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color w:val="auto"/>
          <w:sz w:val="64"/>
          <w:szCs w:val="64"/>
        </w:rPr>
      </w:pPr>
    </w:p>
    <w:p>
      <w:pPr>
        <w:jc w:val="center"/>
        <w:rPr>
          <w:rFonts w:ascii="仿宋" w:hAnsi="仿宋" w:eastAsia="仿宋"/>
          <w:b/>
          <w:bCs/>
          <w:color w:val="auto"/>
          <w:sz w:val="64"/>
          <w:szCs w:val="64"/>
        </w:rPr>
      </w:pPr>
      <w:r>
        <w:rPr>
          <w:rFonts w:hint="eastAsia" w:ascii="仿宋" w:hAnsi="仿宋" w:eastAsia="仿宋"/>
          <w:b/>
          <w:bCs/>
          <w:color w:val="auto"/>
          <w:sz w:val="64"/>
          <w:szCs w:val="64"/>
        </w:rPr>
        <w:t>设计</w:t>
      </w:r>
      <w:r>
        <w:rPr>
          <w:rFonts w:hint="eastAsia" w:ascii="仿宋" w:hAnsi="仿宋" w:eastAsia="仿宋"/>
          <w:b/>
          <w:bCs/>
          <w:color w:val="auto"/>
          <w:sz w:val="64"/>
          <w:szCs w:val="64"/>
          <w:lang w:eastAsia="zh-CN"/>
        </w:rPr>
        <w:t>竞争性磋商</w:t>
      </w:r>
      <w:r>
        <w:rPr>
          <w:rFonts w:hint="eastAsia" w:ascii="仿宋" w:hAnsi="仿宋" w:eastAsia="仿宋"/>
          <w:b/>
          <w:bCs/>
          <w:color w:val="auto"/>
          <w:sz w:val="64"/>
          <w:szCs w:val="64"/>
        </w:rPr>
        <w:t>招标文件</w:t>
      </w:r>
    </w:p>
    <w:p>
      <w:pPr>
        <w:jc w:val="cente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spacing w:line="360" w:lineRule="auto"/>
        <w:rPr>
          <w:rFonts w:ascii="宋体" w:hAnsi="宋体"/>
          <w:b/>
          <w:bCs/>
          <w:color w:val="auto"/>
          <w:spacing w:val="-20"/>
          <w:sz w:val="24"/>
        </w:rPr>
      </w:pPr>
      <w:r>
        <w:rPr>
          <w:rFonts w:hint="eastAsia" w:ascii="宋体" w:hAnsi="宋体"/>
          <w:color w:val="auto"/>
          <w:spacing w:val="-20"/>
          <w:sz w:val="24"/>
        </w:rPr>
        <w:t>工     程     名    称  ：</w:t>
      </w:r>
      <w:r>
        <w:rPr>
          <w:rFonts w:hint="eastAsia"/>
          <w:b/>
          <w:color w:val="auto"/>
          <w:sz w:val="24"/>
          <w:szCs w:val="24"/>
        </w:rPr>
        <w:t>新疆维吾尔自治区治超联网管理信息系统工程初步设计</w:t>
      </w:r>
    </w:p>
    <w:p>
      <w:pPr>
        <w:spacing w:line="360" w:lineRule="auto"/>
        <w:ind w:firstLine="438" w:firstLineChars="150"/>
        <w:rPr>
          <w:rFonts w:ascii="宋体" w:hAnsi="宋体"/>
          <w:color w:val="auto"/>
          <w:spacing w:val="26"/>
          <w:sz w:val="24"/>
        </w:rPr>
      </w:pPr>
    </w:p>
    <w:p>
      <w:pPr>
        <w:spacing w:line="360" w:lineRule="auto"/>
        <w:rPr>
          <w:rFonts w:ascii="宋体" w:hAnsi="宋体"/>
          <w:color w:val="auto"/>
          <w:sz w:val="24"/>
        </w:rPr>
      </w:pPr>
      <w:r>
        <w:rPr>
          <w:rFonts w:hint="eastAsia" w:ascii="宋体" w:hAnsi="宋体"/>
          <w:color w:val="auto"/>
          <w:spacing w:val="26"/>
          <w:sz w:val="24"/>
        </w:rPr>
        <w:t>招 标 人</w:t>
      </w:r>
      <w:r>
        <w:rPr>
          <w:rFonts w:hint="eastAsia" w:ascii="宋体" w:hAnsi="宋体"/>
          <w:color w:val="auto"/>
          <w:spacing w:val="-8"/>
          <w:sz w:val="24"/>
        </w:rPr>
        <w:t>（盖章）：</w:t>
      </w:r>
      <w:r>
        <w:rPr>
          <w:rFonts w:hint="eastAsia" w:ascii="宋体" w:hAnsi="宋体"/>
          <w:color w:val="auto"/>
          <w:sz w:val="24"/>
        </w:rPr>
        <w:t>新疆维吾尔</w:t>
      </w:r>
      <w:bookmarkStart w:id="0" w:name="_Hlk483311755"/>
      <w:r>
        <w:rPr>
          <w:rFonts w:hint="eastAsia" w:ascii="宋体" w:hAnsi="宋体"/>
          <w:color w:val="auto"/>
          <w:sz w:val="24"/>
        </w:rPr>
        <w:t>自治区</w:t>
      </w:r>
      <w:bookmarkEnd w:id="0"/>
      <w:r>
        <w:rPr>
          <w:rFonts w:hint="eastAsia" w:ascii="宋体" w:hAnsi="宋体"/>
          <w:color w:val="auto"/>
          <w:sz w:val="24"/>
        </w:rPr>
        <w:t>路政管理局</w:t>
      </w:r>
    </w:p>
    <w:p>
      <w:pPr>
        <w:spacing w:line="360" w:lineRule="auto"/>
        <w:ind w:firstLine="480" w:firstLineChars="200"/>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联      系     人 ：杨茂</w:t>
      </w:r>
      <w:r>
        <w:rPr>
          <w:rFonts w:ascii="宋体" w:hAnsi="宋体"/>
          <w:color w:val="auto"/>
          <w:sz w:val="24"/>
        </w:rPr>
        <w:t>荣</w:t>
      </w:r>
    </w:p>
    <w:p>
      <w:pPr>
        <w:spacing w:line="360" w:lineRule="auto"/>
        <w:ind w:firstLine="480" w:firstLineChars="200"/>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联   系   电   话：</w:t>
      </w:r>
      <w:r>
        <w:rPr>
          <w:rFonts w:ascii="宋体" w:hAnsi="宋体"/>
          <w:color w:val="auto"/>
          <w:sz w:val="24"/>
        </w:rPr>
        <w:t>15299432999</w:t>
      </w:r>
    </w:p>
    <w:p>
      <w:pPr>
        <w:rPr>
          <w:rFonts w:ascii="宋体" w:hAnsi="宋体"/>
          <w:color w:val="auto"/>
          <w:sz w:val="24"/>
        </w:rPr>
      </w:pPr>
    </w:p>
    <w:p>
      <w:pPr>
        <w:rPr>
          <w:rFonts w:ascii="宋体" w:hAnsi="宋体"/>
          <w:color w:val="auto"/>
          <w:spacing w:val="10"/>
          <w:sz w:val="24"/>
        </w:rPr>
      </w:pPr>
    </w:p>
    <w:p>
      <w:pPr>
        <w:rPr>
          <w:rFonts w:ascii="宋体" w:hAnsi="宋体"/>
          <w:color w:val="auto"/>
          <w:spacing w:val="10"/>
          <w:sz w:val="24"/>
        </w:rPr>
      </w:pPr>
      <w:r>
        <w:rPr>
          <w:rFonts w:ascii="宋体" w:hAnsi="宋体"/>
          <w:color w:val="auto"/>
          <w:sz w:val="24"/>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12065</wp:posOffset>
                </wp:positionV>
                <wp:extent cx="5753100" cy="0"/>
                <wp:effectExtent l="0" t="0" r="0" b="0"/>
                <wp:wrapNone/>
                <wp:docPr id="1" name="直线 3"/>
                <wp:cNvGraphicFramePr/>
                <a:graphic xmlns:a="http://schemas.openxmlformats.org/drawingml/2006/main">
                  <a:graphicData uri="http://schemas.microsoft.com/office/word/2010/wordprocessingShape">
                    <wps:wsp>
                      <wps:cNvCnPr/>
                      <wps:spPr>
                        <a:xfrm>
                          <a:off x="0" y="0"/>
                          <a:ext cx="5753100" cy="0"/>
                        </a:xfrm>
                        <a:prstGeom prst="line">
                          <a:avLst/>
                        </a:prstGeom>
                        <a:ln w="12700" cap="rnd" cmpd="sng">
                          <a:solidFill>
                            <a:srgbClr val="000000"/>
                          </a:solidFill>
                          <a:prstDash val="sysDot"/>
                          <a:headEnd type="none" w="med" len="med"/>
                          <a:tailEnd type="none" w="med" len="med"/>
                        </a:ln>
                        <a:effectLst/>
                      </wps:spPr>
                      <wps:bodyPr/>
                    </wps:wsp>
                  </a:graphicData>
                </a:graphic>
              </wp:anchor>
            </w:drawing>
          </mc:Choice>
          <mc:Fallback>
            <w:pict>
              <v:line id="直线 3" o:spid="_x0000_s1026" o:spt="20" style="position:absolute;left:0pt;margin-left:-9.25pt;margin-top:0.95pt;height:0pt;width:453pt;z-index:251658240;mso-width-relative:page;mso-height-relative:page;" filled="f" stroked="t" coordsize="21600,21600" o:gfxdata="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pfgrHXAAAABwEAAA8AAAAAAAAAAQAgAAAAIgAAAGRycy9k&#10;b3ducmV2LnhtbFBLAQIUABQAAAAIAIdO4kA4ugCiygEAAJADAAAOAAAAAAAAAAEAIAAAACYBAABk&#10;cnMvZTJvRG9jLnhtbFBLBQYAAAAABgAGAFkBAABiBQAAAAA=&#10;">
                <v:fill on="f" focussize="0,0"/>
                <v:stroke weight="1pt" color="#000000" joinstyle="round" dashstyle="1 1" endcap="round"/>
                <v:imagedata o:title=""/>
                <o:lock v:ext="edit" aspectratio="f"/>
              </v:line>
            </w:pict>
          </mc:Fallback>
        </mc:AlternateContent>
      </w:r>
    </w:p>
    <w:p>
      <w:pPr>
        <w:rPr>
          <w:rFonts w:ascii="宋体" w:hAnsi="宋体"/>
          <w:color w:val="auto"/>
          <w:sz w:val="24"/>
        </w:rPr>
      </w:pPr>
      <w:r>
        <w:rPr>
          <w:rFonts w:hint="eastAsia" w:ascii="宋体" w:hAnsi="宋体"/>
          <w:color w:val="auto"/>
          <w:spacing w:val="10"/>
          <w:sz w:val="24"/>
        </w:rPr>
        <w:t>招标代理机构</w:t>
      </w:r>
      <w:r>
        <w:rPr>
          <w:rFonts w:hint="eastAsia" w:ascii="宋体" w:hAnsi="宋体"/>
          <w:color w:val="auto"/>
          <w:spacing w:val="-8"/>
          <w:sz w:val="24"/>
        </w:rPr>
        <w:t>（盖章）</w:t>
      </w:r>
      <w:r>
        <w:rPr>
          <w:rFonts w:hint="eastAsia" w:ascii="宋体" w:hAnsi="宋体"/>
          <w:color w:val="auto"/>
          <w:sz w:val="24"/>
        </w:rPr>
        <w:t>：</w:t>
      </w:r>
      <w:r>
        <w:rPr>
          <w:rFonts w:ascii="宋体" w:hAnsi="宋体"/>
          <w:b/>
          <w:bCs/>
          <w:color w:val="auto"/>
          <w:sz w:val="28"/>
          <w:szCs w:val="28"/>
        </w:rPr>
        <w:t>新疆华域建设工程项目管理咨询有限公司</w:t>
      </w:r>
    </w:p>
    <w:p>
      <w:pPr>
        <w:rPr>
          <w:rFonts w:ascii="宋体" w:hAnsi="宋体"/>
          <w:color w:val="auto"/>
          <w:sz w:val="24"/>
        </w:rPr>
      </w:pPr>
    </w:p>
    <w:p>
      <w:pPr>
        <w:rPr>
          <w:rFonts w:ascii="宋体" w:hAnsi="宋体"/>
          <w:color w:val="auto"/>
          <w:sz w:val="24"/>
        </w:rPr>
      </w:pPr>
      <w:r>
        <w:rPr>
          <w:rFonts w:hint="eastAsia" w:ascii="宋体" w:hAnsi="宋体"/>
          <w:color w:val="auto"/>
          <w:sz w:val="24"/>
          <w:fitText w:val="2880" w:id="0"/>
        </w:rPr>
        <w:t>法 定 代 表 人（签章）：</w:t>
      </w:r>
      <w:r>
        <w:rPr>
          <w:rFonts w:hint="eastAsia" w:ascii="宋体" w:hAnsi="宋体"/>
          <w:color w:val="auto"/>
          <w:sz w:val="24"/>
        </w:rPr>
        <w:t>丁继军</w:t>
      </w:r>
    </w:p>
    <w:p>
      <w:pPr>
        <w:ind w:firstLine="854" w:firstLineChars="356"/>
        <w:rPr>
          <w:rFonts w:ascii="宋体" w:hAnsi="宋体"/>
          <w:color w:val="auto"/>
          <w:sz w:val="24"/>
        </w:rPr>
      </w:pPr>
    </w:p>
    <w:p>
      <w:pPr>
        <w:rPr>
          <w:rFonts w:ascii="宋体" w:hAnsi="宋体"/>
          <w:color w:val="auto"/>
          <w:sz w:val="24"/>
        </w:rPr>
      </w:pPr>
      <w:r>
        <w:rPr>
          <w:rFonts w:hint="eastAsia" w:ascii="宋体" w:hAnsi="宋体"/>
          <w:color w:val="auto"/>
          <w:spacing w:val="320"/>
          <w:sz w:val="24"/>
          <w:fitText w:val="2880" w:id="1"/>
        </w:rPr>
        <w:t>联系人</w:t>
      </w:r>
      <w:r>
        <w:rPr>
          <w:rFonts w:hint="eastAsia" w:ascii="宋体" w:hAnsi="宋体"/>
          <w:color w:val="auto"/>
          <w:sz w:val="24"/>
          <w:fitText w:val="2880" w:id="1"/>
        </w:rPr>
        <w:t>：</w:t>
      </w:r>
      <w:r>
        <w:rPr>
          <w:rFonts w:hint="eastAsia" w:ascii="宋体" w:hAnsi="宋体"/>
          <w:color w:val="auto"/>
          <w:sz w:val="24"/>
        </w:rPr>
        <w:t>李昱骁</w:t>
      </w:r>
    </w:p>
    <w:p>
      <w:pPr>
        <w:rPr>
          <w:rFonts w:ascii="宋体" w:hAnsi="宋体"/>
          <w:color w:val="auto"/>
          <w:sz w:val="24"/>
        </w:rPr>
      </w:pPr>
    </w:p>
    <w:p>
      <w:pPr>
        <w:rPr>
          <w:rFonts w:ascii="宋体" w:hAnsi="宋体"/>
          <w:color w:val="auto"/>
          <w:sz w:val="24"/>
        </w:rPr>
      </w:pPr>
      <w:r>
        <w:rPr>
          <w:rFonts w:hint="eastAsia" w:ascii="宋体" w:hAnsi="宋体"/>
          <w:color w:val="auto"/>
          <w:spacing w:val="23"/>
          <w:sz w:val="24"/>
          <w:fitText w:val="2880" w:id="2"/>
        </w:rPr>
        <w:t>联   系   电   话</w:t>
      </w:r>
      <w:r>
        <w:rPr>
          <w:rFonts w:hint="eastAsia" w:ascii="宋体" w:hAnsi="宋体"/>
          <w:color w:val="auto"/>
          <w:spacing w:val="1"/>
          <w:sz w:val="24"/>
          <w:fitText w:val="2880" w:id="2"/>
        </w:rPr>
        <w:t>：</w:t>
      </w:r>
      <w:r>
        <w:rPr>
          <w:rFonts w:hint="eastAsia" w:ascii="宋体" w:hAnsi="宋体"/>
          <w:color w:val="auto"/>
          <w:sz w:val="24"/>
        </w:rPr>
        <w:t>13899901320</w:t>
      </w:r>
    </w:p>
    <w:p>
      <w:pPr>
        <w:ind w:firstLine="854" w:firstLineChars="356"/>
        <w:rPr>
          <w:rFonts w:ascii="宋体" w:hAnsi="宋体"/>
          <w:color w:val="auto"/>
          <w:sz w:val="24"/>
        </w:rPr>
      </w:pPr>
    </w:p>
    <w:p>
      <w:pPr>
        <w:rPr>
          <w:rFonts w:ascii="宋体" w:hAnsi="宋体"/>
          <w:color w:val="auto"/>
          <w:sz w:val="24"/>
        </w:rPr>
      </w:pPr>
      <w:r>
        <w:rPr>
          <w:rFonts w:hint="eastAsia" w:ascii="宋体" w:hAnsi="宋体"/>
          <w:color w:val="auto"/>
          <w:spacing w:val="30"/>
          <w:sz w:val="24"/>
          <w:fitText w:val="2880" w:id="3"/>
        </w:rPr>
        <w:t>联   系   地  址</w:t>
      </w:r>
      <w:r>
        <w:rPr>
          <w:rFonts w:hint="eastAsia" w:ascii="宋体" w:hAnsi="宋体"/>
          <w:color w:val="auto"/>
          <w:sz w:val="24"/>
          <w:fitText w:val="2880" w:id="3"/>
        </w:rPr>
        <w:t>：</w:t>
      </w:r>
      <w:r>
        <w:rPr>
          <w:rFonts w:ascii="宋体" w:hAnsi="宋体"/>
          <w:color w:val="auto"/>
          <w:sz w:val="24"/>
        </w:rPr>
        <w:t>乌鲁木齐市水磨沟区五星北路194号</w:t>
      </w:r>
      <w:r>
        <w:rPr>
          <w:rFonts w:hint="eastAsia" w:ascii="宋体" w:hAnsi="宋体"/>
          <w:color w:val="auto"/>
          <w:sz w:val="24"/>
        </w:rPr>
        <w:t>（新地园大厦14楼）</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jc w:val="center"/>
        <w:rPr>
          <w:rFonts w:ascii="宋体" w:hAnsi="宋体"/>
          <w:color w:val="auto"/>
          <w:sz w:val="24"/>
        </w:rPr>
      </w:pPr>
      <w:r>
        <w:rPr>
          <w:rFonts w:hint="eastAsia" w:ascii="宋体" w:hAnsi="宋体"/>
          <w:color w:val="auto"/>
          <w:sz w:val="24"/>
        </w:rPr>
        <w:t>2019年7月</w:t>
      </w:r>
    </w:p>
    <w:p>
      <w:pPr>
        <w:widowControl w:val="0"/>
        <w:snapToGrid w:val="0"/>
        <w:spacing w:line="374" w:lineRule="atLeast"/>
        <w:jc w:val="center"/>
        <w:rPr>
          <w:rFonts w:ascii="宋体" w:hAnsi="宋体"/>
          <w:b/>
          <w:color w:val="auto"/>
          <w:sz w:val="32"/>
          <w:szCs w:val="32"/>
        </w:rPr>
      </w:pPr>
    </w:p>
    <w:p>
      <w:pPr>
        <w:widowControl w:val="0"/>
        <w:snapToGrid w:val="0"/>
        <w:spacing w:line="374" w:lineRule="atLeast"/>
        <w:jc w:val="center"/>
        <w:rPr>
          <w:rFonts w:ascii="宋体" w:hAnsi="宋体"/>
          <w:b/>
          <w:color w:val="auto"/>
          <w:sz w:val="32"/>
          <w:szCs w:val="32"/>
        </w:rPr>
      </w:pPr>
      <w:r>
        <w:rPr>
          <w:rFonts w:hint="eastAsia" w:ascii="宋体" w:hAnsi="宋体"/>
          <w:b/>
          <w:color w:val="auto"/>
          <w:sz w:val="32"/>
          <w:szCs w:val="32"/>
        </w:rPr>
        <w:t>目    录</w:t>
      </w:r>
    </w:p>
    <w:p>
      <w:pPr>
        <w:pStyle w:val="102"/>
        <w:spacing w:line="360" w:lineRule="auto"/>
        <w:ind w:firstLine="270" w:firstLineChars="112"/>
        <w:rPr>
          <w:rFonts w:ascii="宋体" w:hAnsi="宋体"/>
          <w:b/>
          <w:bCs/>
          <w:color w:val="auto"/>
        </w:rPr>
      </w:pPr>
      <w:r>
        <w:rPr>
          <w:rFonts w:hint="eastAsia" w:ascii="宋体" w:hAnsi="宋体"/>
          <w:b/>
          <w:bCs/>
          <w:color w:val="auto"/>
        </w:rPr>
        <w:t>第一部分 招标公告</w:t>
      </w:r>
    </w:p>
    <w:p>
      <w:pPr>
        <w:pStyle w:val="102"/>
        <w:spacing w:line="360" w:lineRule="auto"/>
        <w:ind w:firstLine="744" w:firstLineChars="310"/>
        <w:rPr>
          <w:rFonts w:ascii="宋体" w:hAnsi="宋体"/>
          <w:color w:val="auto"/>
        </w:rPr>
      </w:pPr>
      <w:r>
        <w:rPr>
          <w:rFonts w:hint="eastAsia" w:ascii="宋体" w:hAnsi="宋体"/>
          <w:color w:val="auto"/>
        </w:rPr>
        <w:t>招标公告</w:t>
      </w:r>
    </w:p>
    <w:p>
      <w:pPr>
        <w:pStyle w:val="102"/>
        <w:spacing w:line="360" w:lineRule="auto"/>
        <w:ind w:firstLine="270" w:firstLineChars="112"/>
        <w:rPr>
          <w:rFonts w:ascii="宋体" w:hAnsi="宋体"/>
          <w:b/>
          <w:bCs/>
          <w:color w:val="auto"/>
        </w:rPr>
      </w:pPr>
      <w:r>
        <w:rPr>
          <w:rFonts w:hint="eastAsia" w:ascii="宋体" w:hAnsi="宋体"/>
          <w:b/>
          <w:bCs/>
          <w:color w:val="auto"/>
        </w:rPr>
        <w:t>第二部分 投标人须知</w:t>
      </w:r>
    </w:p>
    <w:p>
      <w:pPr>
        <w:pStyle w:val="102"/>
        <w:spacing w:line="360" w:lineRule="auto"/>
        <w:ind w:firstLine="720" w:firstLineChars="300"/>
        <w:rPr>
          <w:rFonts w:ascii="宋体" w:hAnsi="宋体"/>
          <w:color w:val="auto"/>
        </w:rPr>
      </w:pPr>
      <w:r>
        <w:rPr>
          <w:rFonts w:hint="eastAsia" w:ascii="宋体" w:hAnsi="宋体"/>
          <w:color w:val="auto"/>
        </w:rPr>
        <w:t>投标人须知</w:t>
      </w:r>
    </w:p>
    <w:p>
      <w:pPr>
        <w:pStyle w:val="102"/>
        <w:spacing w:line="360" w:lineRule="auto"/>
        <w:ind w:firstLine="241" w:firstLineChars="100"/>
        <w:rPr>
          <w:rFonts w:ascii="宋体" w:hAnsi="宋体"/>
          <w:b/>
          <w:bCs/>
          <w:color w:val="auto"/>
        </w:rPr>
      </w:pPr>
      <w:r>
        <w:rPr>
          <w:rFonts w:hint="eastAsia" w:ascii="宋体" w:hAnsi="宋体"/>
          <w:b/>
          <w:bCs/>
          <w:color w:val="auto"/>
        </w:rPr>
        <w:t>第三部分 招标说明</w:t>
      </w:r>
    </w:p>
    <w:p>
      <w:pPr>
        <w:pStyle w:val="102"/>
        <w:spacing w:line="360" w:lineRule="auto"/>
        <w:ind w:firstLine="241" w:firstLineChars="100"/>
        <w:rPr>
          <w:rFonts w:ascii="宋体" w:hAnsi="宋体" w:cs="Arial"/>
          <w:color w:val="auto"/>
        </w:rPr>
      </w:pPr>
      <w:r>
        <w:rPr>
          <w:rFonts w:hint="eastAsia" w:ascii="宋体" w:hAnsi="宋体"/>
          <w:b/>
          <w:bCs/>
          <w:color w:val="auto"/>
        </w:rPr>
        <w:t>第四部分 投标说明</w:t>
      </w:r>
    </w:p>
    <w:p>
      <w:pPr>
        <w:spacing w:line="360" w:lineRule="auto"/>
        <w:ind w:firstLine="720" w:firstLineChars="300"/>
        <w:rPr>
          <w:rFonts w:ascii="宋体" w:hAnsi="宋体"/>
          <w:bCs/>
          <w:color w:val="auto"/>
          <w:sz w:val="24"/>
          <w:szCs w:val="24"/>
        </w:rPr>
      </w:pPr>
      <w:r>
        <w:rPr>
          <w:rFonts w:hint="eastAsia" w:ascii="宋体" w:hAnsi="宋体"/>
          <w:bCs/>
          <w:color w:val="auto"/>
          <w:sz w:val="24"/>
          <w:szCs w:val="24"/>
        </w:rPr>
        <w:t>第一章 对投标方的资格要求</w:t>
      </w:r>
    </w:p>
    <w:p>
      <w:pPr>
        <w:spacing w:line="360" w:lineRule="auto"/>
        <w:ind w:firstLine="720" w:firstLineChars="300"/>
        <w:rPr>
          <w:rFonts w:ascii="宋体" w:hAnsi="宋体"/>
          <w:bCs/>
          <w:color w:val="auto"/>
          <w:sz w:val="24"/>
          <w:szCs w:val="24"/>
        </w:rPr>
      </w:pPr>
      <w:r>
        <w:rPr>
          <w:rFonts w:hint="eastAsia" w:ascii="宋体" w:hAnsi="宋体"/>
          <w:bCs/>
          <w:color w:val="auto"/>
          <w:sz w:val="24"/>
          <w:szCs w:val="24"/>
        </w:rPr>
        <w:t>第二章 投标文件的编写</w:t>
      </w:r>
    </w:p>
    <w:p>
      <w:pPr>
        <w:spacing w:line="360" w:lineRule="auto"/>
        <w:ind w:firstLine="720" w:firstLineChars="300"/>
        <w:rPr>
          <w:rFonts w:ascii="宋体" w:hAnsi="宋体"/>
          <w:bCs/>
          <w:color w:val="auto"/>
          <w:sz w:val="24"/>
          <w:szCs w:val="24"/>
        </w:rPr>
      </w:pPr>
      <w:r>
        <w:rPr>
          <w:rFonts w:hint="eastAsia" w:ascii="宋体" w:hAnsi="宋体"/>
          <w:bCs/>
          <w:color w:val="auto"/>
          <w:sz w:val="24"/>
          <w:szCs w:val="24"/>
        </w:rPr>
        <w:t>第三章 投标文件的递交</w:t>
      </w:r>
    </w:p>
    <w:p>
      <w:pPr>
        <w:spacing w:line="360" w:lineRule="auto"/>
        <w:ind w:firstLine="720" w:firstLineChars="300"/>
        <w:rPr>
          <w:rFonts w:ascii="宋体" w:hAnsi="宋体"/>
          <w:bCs/>
          <w:color w:val="auto"/>
          <w:sz w:val="24"/>
          <w:szCs w:val="24"/>
        </w:rPr>
      </w:pPr>
      <w:r>
        <w:rPr>
          <w:rFonts w:hint="eastAsia" w:ascii="宋体" w:hAnsi="宋体"/>
          <w:bCs/>
          <w:color w:val="auto"/>
          <w:sz w:val="24"/>
          <w:szCs w:val="24"/>
        </w:rPr>
        <w:t>第四章 评标委员会</w:t>
      </w:r>
    </w:p>
    <w:p>
      <w:pPr>
        <w:spacing w:line="360" w:lineRule="auto"/>
        <w:ind w:firstLine="720" w:firstLineChars="300"/>
        <w:rPr>
          <w:rFonts w:ascii="宋体" w:hAnsi="宋体"/>
          <w:bCs/>
          <w:color w:val="auto"/>
          <w:sz w:val="24"/>
          <w:szCs w:val="24"/>
        </w:rPr>
      </w:pPr>
      <w:r>
        <w:rPr>
          <w:rFonts w:hint="eastAsia" w:ascii="宋体" w:hAnsi="宋体"/>
          <w:bCs/>
          <w:color w:val="auto"/>
          <w:sz w:val="24"/>
          <w:szCs w:val="24"/>
        </w:rPr>
        <w:t>第五章 开　标</w:t>
      </w:r>
    </w:p>
    <w:p>
      <w:pPr>
        <w:spacing w:line="360" w:lineRule="auto"/>
        <w:ind w:firstLine="720" w:firstLineChars="300"/>
        <w:rPr>
          <w:rFonts w:ascii="宋体" w:hAnsi="宋体"/>
          <w:bCs/>
          <w:color w:val="auto"/>
          <w:sz w:val="24"/>
          <w:szCs w:val="24"/>
        </w:rPr>
      </w:pPr>
      <w:r>
        <w:rPr>
          <w:rFonts w:hint="eastAsia" w:ascii="宋体" w:hAnsi="宋体"/>
          <w:bCs/>
          <w:color w:val="auto"/>
          <w:sz w:val="24"/>
          <w:szCs w:val="24"/>
        </w:rPr>
        <w:t>第六章 评　标</w:t>
      </w:r>
    </w:p>
    <w:p>
      <w:pPr>
        <w:spacing w:line="360" w:lineRule="auto"/>
        <w:ind w:firstLine="720" w:firstLineChars="300"/>
        <w:rPr>
          <w:rFonts w:ascii="宋体" w:hAnsi="宋体"/>
          <w:bCs/>
          <w:color w:val="auto"/>
          <w:sz w:val="24"/>
          <w:szCs w:val="24"/>
        </w:rPr>
      </w:pPr>
      <w:r>
        <w:rPr>
          <w:rFonts w:hint="eastAsia" w:ascii="宋体" w:hAnsi="宋体"/>
          <w:bCs/>
          <w:color w:val="auto"/>
          <w:sz w:val="24"/>
          <w:szCs w:val="24"/>
        </w:rPr>
        <w:t>第七章 定　标</w:t>
      </w:r>
    </w:p>
    <w:p>
      <w:pPr>
        <w:spacing w:line="360" w:lineRule="auto"/>
        <w:ind w:firstLine="720" w:firstLineChars="300"/>
        <w:rPr>
          <w:rFonts w:ascii="宋体" w:hAnsi="宋体"/>
          <w:bCs/>
          <w:color w:val="auto"/>
          <w:sz w:val="24"/>
          <w:szCs w:val="24"/>
        </w:rPr>
      </w:pPr>
      <w:r>
        <w:rPr>
          <w:rFonts w:hint="eastAsia" w:ascii="宋体" w:hAnsi="宋体"/>
          <w:bCs/>
          <w:color w:val="auto"/>
          <w:sz w:val="24"/>
          <w:szCs w:val="24"/>
        </w:rPr>
        <w:t>第八章 授予合同</w:t>
      </w:r>
    </w:p>
    <w:p>
      <w:pPr>
        <w:pStyle w:val="102"/>
        <w:spacing w:line="360" w:lineRule="auto"/>
        <w:ind w:firstLine="241" w:firstLineChars="100"/>
        <w:rPr>
          <w:rFonts w:ascii="宋体" w:hAnsi="宋体"/>
          <w:b/>
          <w:bCs/>
          <w:color w:val="auto"/>
        </w:rPr>
      </w:pPr>
      <w:r>
        <w:rPr>
          <w:rFonts w:hint="eastAsia" w:ascii="宋体" w:hAnsi="宋体"/>
          <w:b/>
          <w:bCs/>
          <w:color w:val="auto"/>
        </w:rPr>
        <w:t>第五部分 技术规范及设计任务书</w:t>
      </w:r>
    </w:p>
    <w:p>
      <w:pPr>
        <w:pStyle w:val="102"/>
        <w:numPr>
          <w:ilvl w:val="0"/>
          <w:numId w:val="7"/>
        </w:numPr>
        <w:spacing w:line="360" w:lineRule="auto"/>
        <w:ind w:firstLine="241" w:firstLineChars="100"/>
        <w:rPr>
          <w:rFonts w:ascii="宋体" w:hAnsi="宋体"/>
          <w:b/>
          <w:bCs/>
          <w:color w:val="auto"/>
        </w:rPr>
      </w:pPr>
      <w:r>
        <w:rPr>
          <w:rFonts w:hint="eastAsia" w:ascii="宋体" w:hAnsi="宋体"/>
          <w:b/>
          <w:bCs/>
          <w:color w:val="auto"/>
        </w:rPr>
        <w:t xml:space="preserve">建设工程设计合同 </w:t>
      </w:r>
    </w:p>
    <w:p>
      <w:pPr>
        <w:pStyle w:val="102"/>
        <w:numPr>
          <w:ilvl w:val="0"/>
          <w:numId w:val="7"/>
        </w:numPr>
        <w:spacing w:line="360" w:lineRule="auto"/>
        <w:ind w:firstLine="241" w:firstLineChars="100"/>
        <w:rPr>
          <w:rFonts w:ascii="宋体" w:hAnsi="宋体"/>
          <w:b/>
          <w:bCs/>
          <w:color w:val="auto"/>
        </w:rPr>
      </w:pPr>
      <w:r>
        <w:rPr>
          <w:rFonts w:hint="eastAsia" w:ascii="宋体" w:hAnsi="宋体"/>
          <w:b/>
          <w:bCs/>
          <w:color w:val="auto"/>
        </w:rPr>
        <w:t>附件</w:t>
      </w:r>
    </w:p>
    <w:p>
      <w:pPr>
        <w:spacing w:line="360" w:lineRule="auto"/>
        <w:ind w:firstLine="597" w:firstLineChars="249"/>
        <w:rPr>
          <w:rFonts w:ascii="宋体" w:hAnsi="宋体"/>
          <w:color w:val="auto"/>
          <w:sz w:val="24"/>
          <w:szCs w:val="24"/>
        </w:rPr>
      </w:pPr>
      <w:r>
        <w:rPr>
          <w:rFonts w:hint="eastAsia" w:ascii="宋体" w:hAnsi="宋体"/>
          <w:color w:val="auto"/>
          <w:sz w:val="24"/>
          <w:szCs w:val="24"/>
        </w:rPr>
        <w:t>一、投标文件编制和装订顺序</w:t>
      </w:r>
    </w:p>
    <w:p>
      <w:pPr>
        <w:pStyle w:val="102"/>
        <w:spacing w:line="360" w:lineRule="auto"/>
        <w:ind w:firstLine="600" w:firstLineChars="250"/>
        <w:rPr>
          <w:rFonts w:ascii="宋体" w:hAnsi="宋体"/>
          <w:color w:val="auto"/>
        </w:rPr>
      </w:pPr>
      <w:r>
        <w:rPr>
          <w:rFonts w:hint="eastAsia" w:ascii="宋体" w:hAnsi="宋体"/>
          <w:color w:val="auto"/>
        </w:rPr>
        <w:t>二、投标文件顺序及格式范本</w:t>
      </w: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jc w:val="center"/>
        <w:rPr>
          <w:rFonts w:ascii="宋体" w:hAnsi="宋体"/>
          <w:b/>
          <w:color w:val="auto"/>
          <w:szCs w:val="21"/>
        </w:rPr>
      </w:pPr>
    </w:p>
    <w:p>
      <w:pPr>
        <w:widowControl w:val="0"/>
        <w:snapToGrid w:val="0"/>
        <w:spacing w:line="374" w:lineRule="atLeast"/>
        <w:rPr>
          <w:rFonts w:ascii="宋体" w:hAnsi="宋体" w:cs="宋体"/>
          <w:b/>
          <w:color w:val="auto"/>
          <w:sz w:val="28"/>
          <w:szCs w:val="28"/>
        </w:rPr>
      </w:pPr>
    </w:p>
    <w:p>
      <w:pPr>
        <w:widowControl w:val="0"/>
        <w:spacing w:line="440" w:lineRule="atLeast"/>
        <w:jc w:val="center"/>
        <w:textAlignment w:val="auto"/>
        <w:outlineLvl w:val="0"/>
        <w:rPr>
          <w:rFonts w:ascii="宋体" w:hAnsi="宋体"/>
          <w:b/>
          <w:bCs/>
          <w:color w:val="auto"/>
          <w:sz w:val="28"/>
          <w:szCs w:val="28"/>
        </w:rPr>
      </w:pPr>
      <w:r>
        <w:rPr>
          <w:rFonts w:hint="eastAsia" w:ascii="宋体" w:hAnsi="宋体"/>
          <w:b/>
          <w:bCs/>
          <w:color w:val="auto"/>
          <w:sz w:val="28"/>
          <w:szCs w:val="28"/>
        </w:rPr>
        <w:t xml:space="preserve">第一部份 </w:t>
      </w:r>
      <w:r>
        <w:rPr>
          <w:rFonts w:hint="eastAsia" w:ascii="宋体" w:hAnsi="宋体"/>
          <w:b/>
          <w:bCs/>
          <w:color w:val="auto"/>
          <w:sz w:val="28"/>
          <w:szCs w:val="28"/>
          <w:lang w:eastAsia="zh-CN"/>
        </w:rPr>
        <w:t>竞争性磋商</w:t>
      </w:r>
      <w:r>
        <w:rPr>
          <w:rFonts w:hint="eastAsia" w:ascii="宋体" w:hAnsi="宋体"/>
          <w:b/>
          <w:bCs/>
          <w:color w:val="auto"/>
          <w:sz w:val="28"/>
          <w:szCs w:val="28"/>
        </w:rPr>
        <w:t>招标公告</w:t>
      </w:r>
    </w:p>
    <w:p>
      <w:pPr>
        <w:spacing w:line="500" w:lineRule="exact"/>
        <w:ind w:firstLine="551" w:firstLineChars="196"/>
        <w:outlineLvl w:val="1"/>
        <w:rPr>
          <w:rFonts w:ascii="宋体" w:hAnsi="宋体"/>
          <w:color w:val="auto"/>
          <w:sz w:val="28"/>
          <w:szCs w:val="28"/>
        </w:rPr>
      </w:pPr>
      <w:r>
        <w:rPr>
          <w:rFonts w:hint="eastAsia" w:ascii="宋体" w:hAnsi="宋体"/>
          <w:b/>
          <w:bCs/>
          <w:color w:val="auto"/>
          <w:sz w:val="28"/>
          <w:szCs w:val="28"/>
        </w:rPr>
        <w:t>新疆维吾尔自治区治超联网管理信息系统工程初步设计</w:t>
      </w:r>
      <w:r>
        <w:rPr>
          <w:rFonts w:hint="eastAsia" w:ascii="宋体" w:hAnsi="宋体"/>
          <w:b/>
          <w:bCs/>
          <w:color w:val="auto"/>
          <w:sz w:val="28"/>
          <w:szCs w:val="28"/>
          <w:lang w:eastAsia="zh-CN"/>
        </w:rPr>
        <w:t>竞争性磋商招标</w:t>
      </w:r>
      <w:r>
        <w:rPr>
          <w:rFonts w:hint="eastAsia" w:ascii="宋体" w:hAnsi="宋体"/>
          <w:b/>
          <w:bCs/>
          <w:color w:val="auto"/>
          <w:sz w:val="28"/>
          <w:szCs w:val="28"/>
        </w:rPr>
        <w:t>公告</w:t>
      </w:r>
    </w:p>
    <w:p>
      <w:pPr>
        <w:spacing w:line="480" w:lineRule="exact"/>
        <w:ind w:firstLine="480" w:firstLineChars="200"/>
        <w:rPr>
          <w:rFonts w:ascii="宋体" w:hAnsi="宋体" w:cs="宋体"/>
          <w:color w:val="auto"/>
          <w:sz w:val="24"/>
        </w:rPr>
      </w:pPr>
      <w:r>
        <w:rPr>
          <w:rFonts w:hint="eastAsia" w:ascii="宋体" w:hAnsi="宋体" w:cs="宋体"/>
          <w:color w:val="auto"/>
          <w:sz w:val="24"/>
        </w:rPr>
        <w:t>新疆华域建设工程项目管理咨询有限公司受新疆维吾尔自治区路政管理局，根据《中华人民共和国招标投标法》等有关规定，现对新疆维吾尔自治区路政管理局新疆维吾尔自治区治超联网管理信息系统工程初步设计进行公开招标，欢迎合格的投标人前来投标。</w:t>
      </w:r>
    </w:p>
    <w:p>
      <w:pPr>
        <w:spacing w:line="500" w:lineRule="exact"/>
        <w:ind w:firstLine="472" w:firstLineChars="196"/>
        <w:outlineLvl w:val="1"/>
        <w:rPr>
          <w:rFonts w:ascii="宋体" w:hAnsi="宋体" w:cs="宋体"/>
          <w:color w:val="auto"/>
          <w:sz w:val="24"/>
        </w:rPr>
      </w:pPr>
      <w:r>
        <w:rPr>
          <w:rFonts w:hint="eastAsia" w:ascii="宋体" w:hAnsi="宋体" w:cs="宋体"/>
          <w:b/>
          <w:bCs/>
          <w:color w:val="auto"/>
          <w:sz w:val="24"/>
        </w:rPr>
        <w:t>项目名称：</w:t>
      </w:r>
      <w:r>
        <w:rPr>
          <w:rFonts w:hint="eastAsia" w:ascii="宋体" w:hAnsi="宋体" w:cs="宋体"/>
          <w:color w:val="auto"/>
          <w:sz w:val="24"/>
        </w:rPr>
        <w:t>新疆维吾尔自治区治超联网管理信息系统工程初步设计</w:t>
      </w:r>
    </w:p>
    <w:p>
      <w:pPr>
        <w:spacing w:line="500" w:lineRule="exact"/>
        <w:ind w:firstLine="472" w:firstLineChars="196"/>
        <w:outlineLvl w:val="1"/>
        <w:rPr>
          <w:rFonts w:hint="default" w:ascii="宋体" w:hAnsi="宋体" w:eastAsia="宋体" w:cs="宋体"/>
          <w:color w:val="auto"/>
          <w:sz w:val="24"/>
          <w:lang w:val="en-US" w:eastAsia="zh-CN"/>
        </w:rPr>
      </w:pPr>
      <w:r>
        <w:rPr>
          <w:rFonts w:hint="eastAsia" w:ascii="宋体" w:hAnsi="宋体" w:cs="宋体"/>
          <w:b/>
          <w:bCs/>
          <w:color w:val="auto"/>
          <w:sz w:val="24"/>
        </w:rPr>
        <w:t>项目编号：</w:t>
      </w:r>
      <w:r>
        <w:rPr>
          <w:rFonts w:hint="eastAsia" w:ascii="宋体" w:hAnsi="宋体" w:cs="宋体"/>
          <w:b/>
          <w:bCs/>
          <w:color w:val="auto"/>
          <w:sz w:val="24"/>
          <w:lang w:val="en-US" w:eastAsia="zh-CN"/>
        </w:rPr>
        <w:t>HYZB-2019-0710</w:t>
      </w:r>
    </w:p>
    <w:p>
      <w:pPr>
        <w:spacing w:line="500" w:lineRule="exact"/>
        <w:ind w:firstLine="472" w:firstLineChars="196"/>
        <w:outlineLvl w:val="1"/>
        <w:rPr>
          <w:rFonts w:ascii="宋体" w:hAnsi="宋体" w:cs="宋体"/>
          <w:color w:val="auto"/>
          <w:sz w:val="24"/>
        </w:rPr>
      </w:pPr>
      <w:r>
        <w:rPr>
          <w:rFonts w:hint="eastAsia" w:ascii="宋体" w:hAnsi="宋体" w:cs="宋体"/>
          <w:b/>
          <w:bCs/>
          <w:color w:val="auto"/>
          <w:sz w:val="24"/>
        </w:rPr>
        <w:t>招标单位联系方式：</w:t>
      </w:r>
    </w:p>
    <w:p>
      <w:pPr>
        <w:spacing w:line="480" w:lineRule="exact"/>
        <w:ind w:firstLine="480" w:firstLineChars="200"/>
        <w:rPr>
          <w:rFonts w:ascii="宋体" w:hAnsi="宋体" w:cs="宋体"/>
          <w:color w:val="auto"/>
          <w:sz w:val="24"/>
        </w:rPr>
      </w:pPr>
      <w:r>
        <w:rPr>
          <w:rFonts w:hint="eastAsia" w:ascii="宋体" w:hAnsi="宋体" w:cs="宋体"/>
          <w:color w:val="auto"/>
          <w:sz w:val="24"/>
        </w:rPr>
        <w:t>招标单位：新疆维吾尔自治区路政管理局</w:t>
      </w:r>
    </w:p>
    <w:p>
      <w:pPr>
        <w:spacing w:line="480" w:lineRule="exact"/>
        <w:ind w:firstLine="480" w:firstLineChars="200"/>
        <w:rPr>
          <w:rFonts w:ascii="宋体" w:hAnsi="宋体" w:cs="宋体"/>
          <w:color w:val="auto"/>
          <w:sz w:val="24"/>
        </w:rPr>
      </w:pPr>
      <w:r>
        <w:rPr>
          <w:rFonts w:hint="eastAsia" w:ascii="宋体" w:hAnsi="宋体" w:cs="宋体"/>
          <w:color w:val="auto"/>
          <w:sz w:val="24"/>
        </w:rPr>
        <w:t>招标单位地址：乌鲁木齐市</w:t>
      </w:r>
    </w:p>
    <w:p>
      <w:pPr>
        <w:spacing w:line="480" w:lineRule="exact"/>
        <w:ind w:firstLine="480" w:firstLineChars="200"/>
        <w:rPr>
          <w:rFonts w:ascii="宋体" w:hAnsi="宋体" w:cs="宋体"/>
          <w:color w:val="auto"/>
          <w:sz w:val="24"/>
        </w:rPr>
      </w:pPr>
      <w:r>
        <w:rPr>
          <w:rFonts w:hint="eastAsia" w:ascii="宋体" w:hAnsi="宋体" w:cs="宋体"/>
          <w:color w:val="auto"/>
          <w:sz w:val="24"/>
        </w:rPr>
        <w:t>招标单位联系方式：</w:t>
      </w:r>
      <w:r>
        <w:rPr>
          <w:rFonts w:hint="eastAsia" w:ascii="宋体" w:hAnsi="宋体"/>
          <w:color w:val="auto"/>
          <w:sz w:val="24"/>
        </w:rPr>
        <w:t>杨茂</w:t>
      </w:r>
      <w:r>
        <w:rPr>
          <w:rFonts w:ascii="宋体" w:hAnsi="宋体"/>
          <w:color w:val="auto"/>
          <w:sz w:val="24"/>
        </w:rPr>
        <w:t>荣</w:t>
      </w:r>
      <w:r>
        <w:rPr>
          <w:rFonts w:hint="eastAsia" w:ascii="宋体" w:hAnsi="宋体" w:cs="宋体"/>
          <w:color w:val="auto"/>
          <w:sz w:val="24"/>
        </w:rPr>
        <w:t>；</w:t>
      </w:r>
      <w:r>
        <w:rPr>
          <w:rFonts w:ascii="宋体" w:hAnsi="宋体"/>
          <w:color w:val="auto"/>
          <w:sz w:val="24"/>
        </w:rPr>
        <w:t>15299432999</w:t>
      </w:r>
    </w:p>
    <w:p>
      <w:pPr>
        <w:spacing w:line="500" w:lineRule="exact"/>
        <w:ind w:firstLine="472" w:firstLineChars="196"/>
        <w:outlineLvl w:val="1"/>
        <w:rPr>
          <w:rFonts w:ascii="宋体" w:hAnsi="宋体" w:cs="宋体"/>
          <w:color w:val="auto"/>
          <w:sz w:val="24"/>
        </w:rPr>
      </w:pPr>
      <w:r>
        <w:rPr>
          <w:rFonts w:hint="eastAsia" w:ascii="宋体" w:hAnsi="宋体" w:cs="宋体"/>
          <w:b/>
          <w:bCs/>
          <w:color w:val="auto"/>
          <w:sz w:val="24"/>
        </w:rPr>
        <w:t>代理机构联系方式：</w:t>
      </w:r>
    </w:p>
    <w:p>
      <w:pPr>
        <w:spacing w:line="480" w:lineRule="exact"/>
        <w:ind w:firstLine="480" w:firstLineChars="200"/>
        <w:rPr>
          <w:rFonts w:ascii="宋体" w:hAnsi="宋体" w:cs="宋体"/>
          <w:color w:val="auto"/>
          <w:sz w:val="24"/>
        </w:rPr>
      </w:pPr>
      <w:r>
        <w:rPr>
          <w:rFonts w:hint="eastAsia" w:ascii="宋体" w:hAnsi="宋体" w:cs="宋体"/>
          <w:color w:val="auto"/>
          <w:sz w:val="24"/>
        </w:rPr>
        <w:t>代理机构：新疆华域建设工程项目管理咨询有限公司</w:t>
      </w:r>
    </w:p>
    <w:p>
      <w:pPr>
        <w:spacing w:line="480" w:lineRule="exact"/>
        <w:ind w:firstLine="480" w:firstLineChars="200"/>
        <w:rPr>
          <w:rFonts w:ascii="宋体" w:hAnsi="宋体" w:cs="宋体"/>
          <w:color w:val="auto"/>
          <w:sz w:val="24"/>
        </w:rPr>
      </w:pPr>
      <w:r>
        <w:rPr>
          <w:rFonts w:hint="eastAsia" w:ascii="宋体" w:hAnsi="宋体" w:cs="宋体"/>
          <w:color w:val="auto"/>
          <w:sz w:val="24"/>
        </w:rPr>
        <w:t>代理机构联系人：李昱骁 13899901320</w:t>
      </w:r>
    </w:p>
    <w:p>
      <w:pPr>
        <w:spacing w:line="480" w:lineRule="exact"/>
        <w:ind w:firstLine="480" w:firstLineChars="200"/>
        <w:rPr>
          <w:rFonts w:ascii="宋体" w:hAnsi="宋体" w:cs="宋体"/>
          <w:color w:val="auto"/>
          <w:sz w:val="24"/>
        </w:rPr>
      </w:pPr>
      <w:r>
        <w:rPr>
          <w:rFonts w:hint="eastAsia" w:ascii="宋体" w:hAnsi="宋体" w:cs="宋体"/>
          <w:color w:val="auto"/>
          <w:sz w:val="24"/>
        </w:rPr>
        <w:t>代理机构地址： 乌鲁木齐市五星北路194号（新地园大厦14楼）</w:t>
      </w:r>
    </w:p>
    <w:p>
      <w:pPr>
        <w:spacing w:line="480" w:lineRule="exact"/>
        <w:ind w:firstLine="482" w:firstLineChars="200"/>
        <w:rPr>
          <w:rFonts w:ascii="宋体" w:hAnsi="宋体" w:cs="宋体"/>
          <w:color w:val="auto"/>
          <w:sz w:val="24"/>
        </w:rPr>
      </w:pPr>
      <w:r>
        <w:rPr>
          <w:rFonts w:hint="eastAsia" w:ascii="宋体" w:hAnsi="宋体" w:cs="宋体"/>
          <w:b/>
          <w:bCs/>
          <w:color w:val="auto"/>
          <w:sz w:val="24"/>
        </w:rPr>
        <w:t>一、招标项目的名称、数量、简要规格描述或项目基本概况介绍：</w:t>
      </w:r>
    </w:p>
    <w:p>
      <w:pPr>
        <w:spacing w:line="480" w:lineRule="exact"/>
        <w:ind w:firstLine="480" w:firstLineChars="200"/>
        <w:rPr>
          <w:rFonts w:ascii="宋体" w:hAnsi="宋体" w:cs="宋体"/>
          <w:color w:val="auto"/>
          <w:sz w:val="24"/>
        </w:rPr>
      </w:pPr>
      <w:r>
        <w:rPr>
          <w:rFonts w:hint="eastAsia" w:ascii="宋体" w:hAnsi="宋体" w:cs="宋体"/>
          <w:color w:val="auto"/>
          <w:sz w:val="24"/>
        </w:rPr>
        <w:t>新疆维吾尔自治区治超联网管理信息系统工程初步设计内容包括1、超限运输运行监管系统；2、违法超限运输执法管理系统；3、治超指挥调度管理系统；4、大件运输并联许可系统（升级）；5、治超综合分析评价系统；6、站级系统;7、治超APP；8、构建全区统一的治理超限超载数据资源体系；9、应用</w:t>
      </w:r>
      <w:r>
        <w:rPr>
          <w:rFonts w:ascii="宋体" w:hAnsi="宋体" w:cs="宋体"/>
          <w:color w:val="auto"/>
          <w:sz w:val="24"/>
        </w:rPr>
        <w:t>支撑平台</w:t>
      </w:r>
      <w:r>
        <w:rPr>
          <w:rFonts w:hint="eastAsia" w:ascii="宋体" w:hAnsi="宋体" w:cs="宋体"/>
          <w:color w:val="auto"/>
          <w:sz w:val="24"/>
        </w:rPr>
        <w:t>；</w:t>
      </w:r>
      <w:r>
        <w:rPr>
          <w:rFonts w:ascii="宋体" w:hAnsi="宋体" w:cs="宋体"/>
          <w:color w:val="auto"/>
          <w:sz w:val="24"/>
        </w:rPr>
        <w:t>10</w:t>
      </w:r>
      <w:r>
        <w:rPr>
          <w:rFonts w:hint="eastAsia" w:ascii="宋体" w:hAnsi="宋体" w:cs="宋体"/>
          <w:color w:val="auto"/>
          <w:sz w:val="24"/>
        </w:rPr>
        <w:t>、外场终端建设。</w:t>
      </w:r>
    </w:p>
    <w:p>
      <w:pPr>
        <w:spacing w:line="240" w:lineRule="auto"/>
        <w:jc w:val="left"/>
        <w:rPr>
          <w:rFonts w:ascii="宋体" w:hAnsi="宋体" w:cs="宋体"/>
          <w:color w:val="auto"/>
          <w:sz w:val="24"/>
        </w:rPr>
      </w:pPr>
    </w:p>
    <w:p>
      <w:pPr>
        <w:spacing w:line="500" w:lineRule="exact"/>
        <w:ind w:firstLine="472" w:firstLineChars="196"/>
        <w:outlineLvl w:val="1"/>
        <w:rPr>
          <w:rFonts w:ascii="宋体" w:hAnsi="宋体" w:cs="宋体"/>
          <w:color w:val="auto"/>
          <w:sz w:val="24"/>
        </w:rPr>
      </w:pPr>
      <w:r>
        <w:rPr>
          <w:rFonts w:hint="eastAsia" w:ascii="宋体" w:hAnsi="宋体" w:cs="宋体"/>
          <w:b/>
          <w:bCs/>
          <w:color w:val="auto"/>
          <w:sz w:val="24"/>
        </w:rPr>
        <w:t>二、对投标人资格要求（投标人资格条件）:</w:t>
      </w:r>
    </w:p>
    <w:p>
      <w:pPr>
        <w:spacing w:line="480" w:lineRule="exact"/>
        <w:ind w:firstLine="480" w:firstLineChars="200"/>
        <w:rPr>
          <w:rFonts w:ascii="宋体" w:hAnsi="宋体" w:cs="宋体"/>
          <w:color w:val="auto"/>
          <w:sz w:val="24"/>
        </w:rPr>
      </w:pPr>
      <w:r>
        <w:rPr>
          <w:rFonts w:hint="eastAsia" w:ascii="宋体" w:hAnsi="宋体" w:cs="宋体"/>
          <w:color w:val="auto"/>
          <w:sz w:val="24"/>
        </w:rPr>
        <w:t>1、投标人需具备有效的中华人民共和国住房和城乡建设部颁发的电子通信广电行业（电子系统工程）专业甲级或电子通信广电行业（通信工程）甲级或工程设计综合甲级设计资质。</w:t>
      </w:r>
    </w:p>
    <w:p>
      <w:pPr>
        <w:spacing w:line="480" w:lineRule="exact"/>
        <w:ind w:firstLine="480" w:firstLineChars="200"/>
        <w:rPr>
          <w:rFonts w:ascii="宋体" w:hAnsi="宋体" w:cs="宋体"/>
          <w:color w:val="auto"/>
          <w:sz w:val="24"/>
        </w:rPr>
      </w:pPr>
      <w:r>
        <w:rPr>
          <w:rFonts w:hint="eastAsia" w:ascii="宋体" w:hAnsi="宋体" w:cs="宋体"/>
          <w:color w:val="auto"/>
          <w:sz w:val="24"/>
        </w:rPr>
        <w:t>2、从“信用中国”网站( www.creditchina.gov.cn)失信被执行人、重大税收违法案件当事人名单、政府招标严重违法失信行为记录名单和“中国政府招标”网站（ www.ccgp.gov.cn）政府招标严重违法失信行为记录名单中查询（以开标当天查询结果为准）；</w:t>
      </w:r>
    </w:p>
    <w:p>
      <w:pPr>
        <w:spacing w:line="480" w:lineRule="exact"/>
        <w:ind w:firstLine="480" w:firstLineChars="200"/>
        <w:rPr>
          <w:rFonts w:ascii="宋体" w:hAnsi="宋体" w:cs="宋体"/>
          <w:color w:val="auto"/>
          <w:sz w:val="24"/>
        </w:rPr>
      </w:pPr>
      <w:r>
        <w:rPr>
          <w:rFonts w:hint="eastAsia" w:ascii="宋体" w:hAnsi="宋体" w:cs="宋体"/>
          <w:color w:val="auto"/>
          <w:sz w:val="24"/>
        </w:rPr>
        <w:t>3、投标人在参加本项目竞标活动前三年内的经营活动中无重大违法记录，需提供书面承诺书。</w:t>
      </w:r>
    </w:p>
    <w:p>
      <w:pPr>
        <w:spacing w:line="480" w:lineRule="exact"/>
        <w:ind w:firstLine="480" w:firstLineChars="200"/>
        <w:rPr>
          <w:rFonts w:ascii="宋体" w:hAnsi="宋体" w:cs="宋体"/>
          <w:color w:val="auto"/>
          <w:sz w:val="24"/>
        </w:rPr>
      </w:pPr>
      <w:r>
        <w:rPr>
          <w:rFonts w:hint="eastAsia" w:ascii="宋体" w:hAnsi="宋体" w:cs="宋体"/>
          <w:color w:val="auto"/>
          <w:sz w:val="24"/>
        </w:rPr>
        <w:t>4、本项目不接受联合体投标。</w:t>
      </w:r>
    </w:p>
    <w:p>
      <w:pPr>
        <w:spacing w:line="480" w:lineRule="exact"/>
        <w:ind w:firstLine="480" w:firstLineChars="200"/>
        <w:rPr>
          <w:rFonts w:ascii="宋体" w:hAnsi="宋体" w:cs="宋体"/>
          <w:color w:val="auto"/>
          <w:sz w:val="24"/>
        </w:rPr>
      </w:pPr>
      <w:r>
        <w:rPr>
          <w:rFonts w:hint="eastAsia" w:ascii="宋体" w:hAnsi="宋体" w:cs="宋体"/>
          <w:color w:val="auto"/>
          <w:sz w:val="24"/>
        </w:rPr>
        <w:t>资格要求为本次项目投标人应具备的基本条件，参加报价的投标人必须满足资格要求中的所有条款，并按照相关规定在响应文件中递交资格证明文件。</w:t>
      </w:r>
    </w:p>
    <w:p>
      <w:pPr>
        <w:spacing w:line="500" w:lineRule="exact"/>
        <w:ind w:firstLine="472" w:firstLineChars="196"/>
        <w:outlineLvl w:val="1"/>
        <w:rPr>
          <w:rFonts w:ascii="宋体" w:hAnsi="宋体" w:cs="宋体"/>
          <w:color w:val="auto"/>
          <w:sz w:val="24"/>
        </w:rPr>
      </w:pPr>
      <w:r>
        <w:rPr>
          <w:rFonts w:hint="eastAsia" w:ascii="宋体" w:hAnsi="宋体" w:cs="宋体"/>
          <w:b/>
          <w:bCs/>
          <w:color w:val="auto"/>
          <w:sz w:val="24"/>
        </w:rPr>
        <w:t>三、开标和响应文件时间及地点等:</w:t>
      </w:r>
    </w:p>
    <w:p>
      <w:pPr>
        <w:spacing w:line="480" w:lineRule="exact"/>
        <w:ind w:firstLine="480" w:firstLineChars="200"/>
        <w:rPr>
          <w:rFonts w:ascii="宋体" w:hAnsi="宋体" w:cs="宋体"/>
          <w:color w:val="auto"/>
          <w:sz w:val="24"/>
        </w:rPr>
      </w:pPr>
      <w:r>
        <w:rPr>
          <w:rFonts w:hint="eastAsia" w:ascii="宋体" w:hAnsi="宋体" w:cs="宋体"/>
          <w:color w:val="auto"/>
          <w:sz w:val="24"/>
        </w:rPr>
        <w:t>预算金额：</w:t>
      </w:r>
      <w:r>
        <w:rPr>
          <w:rFonts w:ascii="宋体" w:hAnsi="宋体" w:cs="宋体"/>
          <w:color w:val="auto"/>
          <w:sz w:val="24"/>
        </w:rPr>
        <w:t>61.50</w:t>
      </w:r>
      <w:r>
        <w:rPr>
          <w:rFonts w:hint="eastAsia" w:ascii="宋体" w:hAnsi="宋体" w:cs="宋体"/>
          <w:color w:val="auto"/>
          <w:sz w:val="24"/>
        </w:rPr>
        <w:t>万元（人民币）</w:t>
      </w:r>
    </w:p>
    <w:p>
      <w:pPr>
        <w:spacing w:line="480" w:lineRule="exact"/>
        <w:ind w:firstLine="480" w:firstLineChars="200"/>
        <w:rPr>
          <w:rFonts w:ascii="宋体" w:hAnsi="宋体" w:cs="宋体"/>
          <w:color w:val="auto"/>
          <w:sz w:val="24"/>
        </w:rPr>
      </w:pPr>
      <w:r>
        <w:rPr>
          <w:rFonts w:hint="eastAsia" w:ascii="宋体" w:hAnsi="宋体" w:cs="宋体"/>
          <w:color w:val="auto"/>
          <w:sz w:val="24"/>
        </w:rPr>
        <w:t>开标时间：2019年</w:t>
      </w:r>
      <w:r>
        <w:rPr>
          <w:rFonts w:hint="eastAsia" w:ascii="宋体" w:hAnsi="宋体" w:cs="宋体"/>
          <w:color w:val="auto"/>
          <w:sz w:val="24"/>
          <w:lang w:val="en-US" w:eastAsia="zh-CN"/>
        </w:rPr>
        <w:t>0</w:t>
      </w:r>
      <w:r>
        <w:rPr>
          <w:rFonts w:hint="eastAsia" w:ascii="宋体" w:hAnsi="宋体" w:cs="宋体"/>
          <w:color w:val="auto"/>
          <w:sz w:val="24"/>
        </w:rPr>
        <w:t>7月</w:t>
      </w:r>
      <w:r>
        <w:rPr>
          <w:rFonts w:hint="eastAsia" w:ascii="宋体" w:hAnsi="宋体" w:cs="宋体"/>
          <w:color w:val="auto"/>
          <w:sz w:val="24"/>
          <w:lang w:val="en-US" w:eastAsia="zh-CN"/>
        </w:rPr>
        <w:t>24</w:t>
      </w:r>
      <w:r>
        <w:rPr>
          <w:rFonts w:hint="eastAsia" w:ascii="宋体" w:hAnsi="宋体" w:cs="宋体"/>
          <w:color w:val="auto"/>
          <w:sz w:val="24"/>
        </w:rPr>
        <w:t>日 1</w:t>
      </w:r>
      <w:r>
        <w:rPr>
          <w:rFonts w:hint="eastAsia" w:ascii="宋体" w:hAnsi="宋体" w:cs="宋体"/>
          <w:color w:val="auto"/>
          <w:sz w:val="24"/>
          <w:lang w:val="en-US" w:eastAsia="zh-CN"/>
        </w:rPr>
        <w:t>6</w:t>
      </w:r>
      <w:r>
        <w:rPr>
          <w:rFonts w:hint="eastAsia" w:ascii="宋体" w:hAnsi="宋体" w:cs="宋体"/>
          <w:color w:val="auto"/>
          <w:sz w:val="24"/>
        </w:rPr>
        <w:t>:00</w:t>
      </w:r>
    </w:p>
    <w:p>
      <w:pPr>
        <w:spacing w:line="480" w:lineRule="exact"/>
        <w:ind w:firstLine="480" w:firstLineChars="200"/>
        <w:rPr>
          <w:rFonts w:ascii="宋体" w:hAnsi="宋体" w:cs="宋体"/>
          <w:color w:val="auto"/>
          <w:sz w:val="24"/>
        </w:rPr>
      </w:pPr>
      <w:r>
        <w:rPr>
          <w:rFonts w:hint="eastAsia" w:ascii="宋体" w:hAnsi="宋体" w:cs="宋体"/>
          <w:color w:val="auto"/>
          <w:sz w:val="24"/>
        </w:rPr>
        <w:t>获取招标文件时间：2019年07月  日10:00至2019年07月  日 19:00(双休日及法定节假日除外)</w:t>
      </w:r>
    </w:p>
    <w:p>
      <w:pPr>
        <w:spacing w:line="480" w:lineRule="exact"/>
        <w:ind w:firstLine="480" w:firstLineChars="200"/>
        <w:rPr>
          <w:rFonts w:ascii="宋体" w:hAnsi="宋体" w:cs="宋体"/>
          <w:color w:val="auto"/>
          <w:sz w:val="24"/>
        </w:rPr>
      </w:pPr>
      <w:r>
        <w:rPr>
          <w:rFonts w:hint="eastAsia" w:ascii="宋体" w:hAnsi="宋体" w:cs="宋体"/>
          <w:color w:val="auto"/>
          <w:sz w:val="24"/>
        </w:rPr>
        <w:t>获取招标文件地点：乌鲁木齐市五星北路194号（新地园大厦14楼1401室）</w:t>
      </w:r>
    </w:p>
    <w:p>
      <w:pPr>
        <w:spacing w:line="480" w:lineRule="exact"/>
        <w:ind w:firstLine="480" w:firstLineChars="200"/>
        <w:rPr>
          <w:rFonts w:ascii="宋体" w:hAnsi="宋体" w:cs="宋体"/>
          <w:color w:val="auto"/>
          <w:sz w:val="24"/>
        </w:rPr>
      </w:pPr>
      <w:r>
        <w:rPr>
          <w:rFonts w:hint="eastAsia" w:ascii="宋体" w:hAnsi="宋体" w:cs="宋体"/>
          <w:color w:val="auto"/>
          <w:sz w:val="24"/>
        </w:rPr>
        <w:t>响应文件递交时间：2019年07月</w:t>
      </w:r>
      <w:r>
        <w:rPr>
          <w:rFonts w:hint="eastAsia" w:ascii="宋体" w:hAnsi="宋体" w:cs="宋体"/>
          <w:color w:val="auto"/>
          <w:sz w:val="24"/>
          <w:lang w:val="en-US" w:eastAsia="zh-CN"/>
        </w:rPr>
        <w:t>12</w:t>
      </w:r>
      <w:r>
        <w:rPr>
          <w:rFonts w:hint="eastAsia" w:ascii="宋体" w:hAnsi="宋体" w:cs="宋体"/>
          <w:color w:val="auto"/>
          <w:sz w:val="24"/>
        </w:rPr>
        <w:t>日 11:00至2019年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日 11:00(双休日及法定节假日除外)</w:t>
      </w:r>
    </w:p>
    <w:p>
      <w:pPr>
        <w:spacing w:line="480" w:lineRule="exact"/>
        <w:ind w:firstLine="480" w:firstLineChars="200"/>
        <w:rPr>
          <w:rFonts w:ascii="宋体" w:hAnsi="宋体" w:cs="宋体"/>
          <w:color w:val="auto"/>
          <w:sz w:val="24"/>
        </w:rPr>
      </w:pPr>
      <w:r>
        <w:rPr>
          <w:rFonts w:hint="eastAsia" w:ascii="宋体" w:hAnsi="宋体" w:cs="宋体"/>
          <w:color w:val="auto"/>
          <w:sz w:val="24"/>
        </w:rPr>
        <w:t>响应文件递交地点：乌鲁木齐市五星北路194号（新地园大厦1</w:t>
      </w:r>
      <w:r>
        <w:rPr>
          <w:rFonts w:hint="eastAsia" w:ascii="宋体" w:hAnsi="宋体" w:cs="宋体"/>
          <w:color w:val="auto"/>
          <w:sz w:val="24"/>
          <w:lang w:val="en-US" w:eastAsia="zh-CN"/>
        </w:rPr>
        <w:t>3</w:t>
      </w:r>
      <w:r>
        <w:rPr>
          <w:rFonts w:hint="eastAsia" w:ascii="宋体" w:hAnsi="宋体" w:cs="宋体"/>
          <w:color w:val="auto"/>
          <w:sz w:val="24"/>
        </w:rPr>
        <w:t>楼1</w:t>
      </w:r>
      <w:r>
        <w:rPr>
          <w:rFonts w:hint="eastAsia" w:ascii="宋体" w:hAnsi="宋体" w:cs="宋体"/>
          <w:color w:val="auto"/>
          <w:sz w:val="24"/>
          <w:lang w:val="en-US" w:eastAsia="zh-CN"/>
        </w:rPr>
        <w:t>3</w:t>
      </w:r>
      <w:r>
        <w:rPr>
          <w:rFonts w:hint="eastAsia" w:ascii="宋体" w:hAnsi="宋体" w:cs="宋体"/>
          <w:color w:val="auto"/>
          <w:sz w:val="24"/>
        </w:rPr>
        <w:t>01室）</w:t>
      </w:r>
    </w:p>
    <w:p>
      <w:pPr>
        <w:spacing w:line="500" w:lineRule="exact"/>
        <w:ind w:firstLine="472" w:firstLineChars="196"/>
        <w:outlineLvl w:val="1"/>
        <w:rPr>
          <w:rFonts w:ascii="宋体" w:hAnsi="宋体" w:cs="宋体"/>
          <w:color w:val="auto"/>
          <w:sz w:val="24"/>
        </w:rPr>
      </w:pPr>
      <w:r>
        <w:rPr>
          <w:rFonts w:hint="eastAsia" w:ascii="宋体" w:hAnsi="宋体" w:cs="宋体"/>
          <w:b/>
          <w:bCs/>
          <w:color w:val="auto"/>
          <w:sz w:val="24"/>
        </w:rPr>
        <w:t>四、其它补充事宜：</w:t>
      </w:r>
    </w:p>
    <w:p>
      <w:pPr>
        <w:spacing w:line="500" w:lineRule="exact"/>
        <w:ind w:firstLine="472" w:firstLineChars="196"/>
        <w:outlineLvl w:val="1"/>
        <w:rPr>
          <w:rFonts w:ascii="宋体" w:hAnsi="宋体" w:cs="宋体"/>
          <w:b/>
          <w:color w:val="auto"/>
          <w:sz w:val="24"/>
        </w:rPr>
      </w:pPr>
      <w:r>
        <w:rPr>
          <w:rFonts w:hint="eastAsia" w:ascii="宋体" w:hAnsi="宋体" w:cs="宋体"/>
          <w:b/>
          <w:color w:val="auto"/>
          <w:sz w:val="24"/>
        </w:rPr>
        <w:t>1．投标人现场购买文件须携带资料：</w:t>
      </w:r>
    </w:p>
    <w:p>
      <w:pPr>
        <w:spacing w:line="48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rPr>
        <w:tab/>
      </w:r>
      <w:r>
        <w:rPr>
          <w:rFonts w:hint="eastAsia" w:ascii="宋体" w:hAnsi="宋体" w:cs="宋体"/>
          <w:color w:val="auto"/>
          <w:sz w:val="24"/>
        </w:rPr>
        <w:t>法定代表人自己领取的，凭法定代表人身份证明书原件及法定代表人身份证原件、资质证书原件、法定代表人身份证复印件加盖单位公章获取。</w:t>
      </w:r>
    </w:p>
    <w:p>
      <w:pPr>
        <w:spacing w:line="48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法定代表人委托他人领取的，凭法定代表人授权书原件及被授权人身份证原件、被授权人身份证复印件加盖单位公章获取。</w:t>
      </w:r>
    </w:p>
    <w:p>
      <w:pPr>
        <w:spacing w:line="480" w:lineRule="exact"/>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rPr>
        <w:tab/>
      </w:r>
      <w:r>
        <w:rPr>
          <w:rFonts w:hint="eastAsia" w:ascii="宋体" w:hAnsi="宋体" w:cs="宋体"/>
          <w:color w:val="auto"/>
          <w:sz w:val="24"/>
        </w:rPr>
        <w:t>开票资料：①开票单位名称、②纳税人识别号（或统一社会信用代码）、③营业执照或税务登记证地址、④单位联系电话、⑤开户行及账号。</w:t>
      </w:r>
    </w:p>
    <w:p>
      <w:pPr>
        <w:spacing w:line="500" w:lineRule="exact"/>
        <w:ind w:firstLine="472" w:firstLineChars="196"/>
        <w:outlineLvl w:val="1"/>
        <w:rPr>
          <w:rFonts w:ascii="宋体" w:hAnsi="宋体" w:cs="宋体"/>
          <w:color w:val="auto"/>
          <w:sz w:val="24"/>
        </w:rPr>
      </w:pPr>
      <w:r>
        <w:rPr>
          <w:rFonts w:hint="eastAsia" w:ascii="宋体" w:hAnsi="宋体" w:cs="宋体"/>
          <w:b/>
          <w:bCs/>
          <w:color w:val="auto"/>
          <w:sz w:val="24"/>
        </w:rPr>
        <w:t>五、招标项目需要落实的政策：</w:t>
      </w:r>
    </w:p>
    <w:p>
      <w:pPr>
        <w:spacing w:line="480" w:lineRule="exact"/>
        <w:ind w:firstLine="480" w:firstLineChars="200"/>
        <w:rPr>
          <w:rFonts w:ascii="宋体" w:hAnsi="宋体" w:cs="宋体"/>
          <w:b/>
          <w:bCs/>
          <w:color w:val="auto"/>
          <w:sz w:val="28"/>
          <w:szCs w:val="28"/>
        </w:rPr>
      </w:pPr>
      <w:r>
        <w:rPr>
          <w:rFonts w:hint="eastAsia" w:ascii="宋体" w:hAnsi="宋体" w:cs="宋体"/>
          <w:color w:val="auto"/>
          <w:sz w:val="24"/>
        </w:rPr>
        <w:t>(1)</w:t>
      </w:r>
      <w:r>
        <w:rPr>
          <w:rFonts w:hint="eastAsia" w:ascii="宋体" w:hAnsi="宋体" w:cs="宋体"/>
          <w:color w:val="auto"/>
          <w:sz w:val="24"/>
          <w:u w:val="single"/>
        </w:rPr>
        <w:t>投标人必须是经中华人民共和国境内依法注册，具有有效的营业执照或事业单位法人证书、组织机构代码证（三证合一企业无需提供），税务登记证（三证合一企业无需提供）；具有中华人民共和国住房和城乡建设部颁发的电子通信广电行业（电子系统工程）专业甲级或电子通信广电行业（通信工程）甲级或工程设计综合甲级设计资质。</w:t>
      </w:r>
    </w:p>
    <w:p>
      <w:pPr>
        <w:spacing w:line="240" w:lineRule="auto"/>
        <w:jc w:val="center"/>
        <w:outlineLvl w:val="0"/>
        <w:rPr>
          <w:rFonts w:ascii="宋体" w:hAnsi="宋体" w:cs="宋体"/>
          <w:b/>
          <w:bCs/>
          <w:color w:val="auto"/>
          <w:sz w:val="28"/>
          <w:szCs w:val="28"/>
        </w:rPr>
      </w:pPr>
      <w:r>
        <w:rPr>
          <w:rFonts w:ascii="宋体" w:hAnsi="宋体" w:cs="宋体"/>
          <w:b/>
          <w:bCs/>
          <w:color w:val="auto"/>
          <w:sz w:val="28"/>
          <w:szCs w:val="28"/>
        </w:rPr>
        <w:br w:type="page"/>
      </w:r>
      <w:r>
        <w:rPr>
          <w:rFonts w:hint="eastAsia" w:ascii="宋体" w:hAnsi="宋体" w:cs="宋体"/>
          <w:b/>
          <w:bCs/>
          <w:color w:val="auto"/>
          <w:sz w:val="28"/>
          <w:szCs w:val="28"/>
        </w:rPr>
        <w:t>第二部分 投标人须知</w:t>
      </w:r>
    </w:p>
    <w:p>
      <w:pPr>
        <w:spacing w:line="240" w:lineRule="auto"/>
        <w:rPr>
          <w:rFonts w:ascii="宋体" w:hAnsi="宋体" w:cs="宋体"/>
          <w:b/>
          <w:bCs/>
          <w:color w:val="auto"/>
          <w:sz w:val="28"/>
          <w:szCs w:val="28"/>
        </w:rPr>
      </w:pPr>
    </w:p>
    <w:tbl>
      <w:tblPr>
        <w:tblStyle w:val="29"/>
        <w:tblW w:w="9351"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46" w:type="dxa"/>
            <w:vAlign w:val="center"/>
          </w:tcPr>
          <w:p>
            <w:pPr>
              <w:jc w:val="center"/>
              <w:rPr>
                <w:rFonts w:ascii="宋体" w:hAnsi="宋体" w:cs="宋体"/>
                <w:b/>
                <w:color w:val="auto"/>
                <w:sz w:val="24"/>
                <w:szCs w:val="24"/>
              </w:rPr>
            </w:pPr>
            <w:r>
              <w:rPr>
                <w:rFonts w:hint="eastAsia" w:ascii="宋体" w:hAnsi="宋体" w:cs="宋体"/>
                <w:b/>
                <w:color w:val="auto"/>
                <w:sz w:val="24"/>
                <w:szCs w:val="24"/>
              </w:rPr>
              <w:t>序号</w:t>
            </w:r>
          </w:p>
        </w:tc>
        <w:tc>
          <w:tcPr>
            <w:tcW w:w="8505" w:type="dxa"/>
            <w:vAlign w:val="center"/>
          </w:tcPr>
          <w:p>
            <w:pPr>
              <w:jc w:val="center"/>
              <w:rPr>
                <w:rFonts w:ascii="宋体" w:hAnsi="宋体" w:cs="宋体"/>
                <w:b/>
                <w:color w:val="auto"/>
                <w:sz w:val="24"/>
                <w:szCs w:val="24"/>
              </w:rPr>
            </w:pPr>
            <w:r>
              <w:rPr>
                <w:rFonts w:hint="eastAsia" w:ascii="宋体" w:hAnsi="宋体" w:cs="宋体"/>
                <w:b/>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8505"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招标项目名称：新疆维吾尔自治区治超联网管理信息系统工程初步设计</w:t>
            </w:r>
          </w:p>
          <w:p>
            <w:pPr>
              <w:spacing w:line="300" w:lineRule="exact"/>
              <w:jc w:val="left"/>
              <w:rPr>
                <w:rFonts w:hint="default" w:ascii="宋体" w:hAnsi="宋体" w:eastAsia="等线" w:cs="宋体"/>
                <w:color w:val="auto"/>
                <w:szCs w:val="21"/>
                <w:lang w:val="en-US" w:eastAsia="zh-CN"/>
              </w:rPr>
            </w:pPr>
            <w:r>
              <w:rPr>
                <w:rFonts w:hint="eastAsia" w:ascii="宋体" w:hAnsi="宋体" w:cs="宋体"/>
                <w:color w:val="auto"/>
                <w:szCs w:val="21"/>
              </w:rPr>
              <w:t>项目编号：</w:t>
            </w:r>
            <w:r>
              <w:rPr>
                <w:rFonts w:hint="eastAsia" w:ascii="宋体" w:hAnsi="宋体" w:eastAsia="等线" w:cs="宋体"/>
                <w:color w:val="auto"/>
                <w:szCs w:val="21"/>
              </w:rPr>
              <w:t>HYZB-2019-</w:t>
            </w:r>
            <w:r>
              <w:rPr>
                <w:rFonts w:hint="eastAsia" w:ascii="宋体" w:hAnsi="宋体" w:eastAsia="等线" w:cs="宋体"/>
                <w:color w:val="auto"/>
                <w:szCs w:val="21"/>
                <w:lang w:val="en-US" w:eastAsia="zh-CN"/>
              </w:rPr>
              <w:t>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8505"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招标人：新疆维吾尔自治区路政管理局</w:t>
            </w:r>
          </w:p>
          <w:p>
            <w:pPr>
              <w:spacing w:line="300" w:lineRule="exact"/>
              <w:jc w:val="left"/>
              <w:rPr>
                <w:rFonts w:ascii="宋体" w:hAnsi="宋体" w:cs="宋体"/>
                <w:color w:val="auto"/>
                <w:szCs w:val="21"/>
              </w:rPr>
            </w:pPr>
            <w:r>
              <w:rPr>
                <w:rFonts w:hint="eastAsia" w:ascii="宋体" w:hAnsi="宋体" w:cs="宋体"/>
                <w:color w:val="auto"/>
                <w:szCs w:val="21"/>
              </w:rPr>
              <w:t>招标代理机构：新疆华域建设工程项目管理咨询有限公司</w:t>
            </w:r>
          </w:p>
          <w:p>
            <w:pPr>
              <w:spacing w:line="300" w:lineRule="exact"/>
              <w:jc w:val="left"/>
              <w:rPr>
                <w:rFonts w:ascii="宋体" w:hAnsi="宋体" w:cs="宋体"/>
                <w:color w:val="auto"/>
                <w:szCs w:val="21"/>
              </w:rPr>
            </w:pPr>
            <w:r>
              <w:rPr>
                <w:rFonts w:hint="eastAsia" w:ascii="宋体" w:hAnsi="宋体" w:cs="宋体"/>
                <w:color w:val="auto"/>
                <w:szCs w:val="21"/>
              </w:rPr>
              <w:t>招标代理地址：乌鲁木齐市五星北路194号（新地园大厦14楼1401室）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8505"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招标内容：完成初步设计及业主所提出设计变更等设计咨询服务工作内容，按招标人要求提交初步设计成果，并通过招标人认可</w:t>
            </w:r>
            <w:r>
              <w:rPr>
                <w:rFonts w:ascii="宋体" w:hAnsi="宋体" w:cs="宋体"/>
                <w:color w:val="auto"/>
                <w:szCs w:val="21"/>
              </w:rPr>
              <w:t>方式</w:t>
            </w:r>
            <w:r>
              <w:rPr>
                <w:rFonts w:hint="eastAsia" w:ascii="宋体" w:hAnsi="宋体" w:cs="宋体"/>
                <w:color w:val="auto"/>
                <w:szCs w:val="21"/>
              </w:rPr>
              <w:t>的评审，以及协助招标人完成审批手续办理工作。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846" w:type="dxa"/>
            <w:vAlign w:val="center"/>
          </w:tcPr>
          <w:p>
            <w:pPr>
              <w:jc w:val="center"/>
              <w:rPr>
                <w:rFonts w:ascii="宋体" w:hAnsi="宋体" w:cs="宋体"/>
                <w:color w:val="auto"/>
                <w:sz w:val="24"/>
                <w:szCs w:val="24"/>
              </w:rPr>
            </w:pPr>
            <w:bookmarkStart w:id="1" w:name="_Hlt493042681"/>
            <w:r>
              <w:rPr>
                <w:rFonts w:hint="eastAsia" w:ascii="宋体" w:hAnsi="宋体" w:cs="宋体"/>
                <w:color w:val="auto"/>
                <w:sz w:val="24"/>
                <w:szCs w:val="24"/>
              </w:rPr>
              <w:t>4</w:t>
            </w:r>
          </w:p>
        </w:tc>
        <w:tc>
          <w:tcPr>
            <w:tcW w:w="8505"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投标保证金金额：</w:t>
            </w:r>
            <w:r>
              <w:rPr>
                <w:rFonts w:ascii="宋体" w:hAnsi="宋体" w:cs="宋体"/>
                <w:color w:val="auto"/>
                <w:szCs w:val="21"/>
              </w:rPr>
              <w:t>6000</w:t>
            </w:r>
            <w:r>
              <w:rPr>
                <w:rFonts w:hint="eastAsia" w:ascii="宋体" w:hAnsi="宋体" w:cs="宋体"/>
                <w:color w:val="auto"/>
                <w:szCs w:val="21"/>
              </w:rPr>
              <w:t>元整</w:t>
            </w:r>
          </w:p>
          <w:p>
            <w:pPr>
              <w:spacing w:line="300" w:lineRule="exact"/>
              <w:jc w:val="left"/>
              <w:rPr>
                <w:rFonts w:ascii="宋体" w:hAnsi="宋体" w:cs="宋体"/>
                <w:color w:val="auto"/>
                <w:szCs w:val="21"/>
              </w:rPr>
            </w:pPr>
            <w:r>
              <w:rPr>
                <w:rFonts w:hint="eastAsia" w:ascii="宋体" w:hAnsi="宋体" w:cs="宋体"/>
                <w:color w:val="auto"/>
                <w:szCs w:val="21"/>
              </w:rPr>
              <w:t>递交形式：详见招标文件第二章第13条</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5</w:t>
            </w:r>
          </w:p>
        </w:tc>
        <w:tc>
          <w:tcPr>
            <w:tcW w:w="8505" w:type="dxa"/>
          </w:tcPr>
          <w:p>
            <w:pPr>
              <w:spacing w:line="300" w:lineRule="exact"/>
              <w:rPr>
                <w:rFonts w:ascii="宋体" w:hAnsi="宋体" w:cs="宋体"/>
                <w:color w:val="auto"/>
                <w:szCs w:val="21"/>
              </w:rPr>
            </w:pPr>
            <w:r>
              <w:rPr>
                <w:rFonts w:hint="eastAsia" w:ascii="宋体" w:hAnsi="宋体" w:cs="宋体"/>
                <w:color w:val="auto"/>
                <w:szCs w:val="21"/>
              </w:rPr>
              <w:t>投标有效期：开标后90天</w:t>
            </w:r>
          </w:p>
          <w:p>
            <w:pPr>
              <w:spacing w:line="300" w:lineRule="exact"/>
              <w:rPr>
                <w:rFonts w:ascii="宋体" w:hAnsi="宋体" w:cs="宋体"/>
                <w:color w:val="auto"/>
                <w:szCs w:val="21"/>
              </w:rPr>
            </w:pPr>
            <w:r>
              <w:rPr>
                <w:rFonts w:hint="eastAsia" w:ascii="宋体" w:hAnsi="宋体" w:cs="宋体"/>
                <w:color w:val="auto"/>
                <w:szCs w:val="21"/>
              </w:rPr>
              <w:t>招标方式：公开招标</w:t>
            </w:r>
          </w:p>
          <w:p>
            <w:pPr>
              <w:spacing w:line="300" w:lineRule="exact"/>
              <w:rPr>
                <w:rFonts w:ascii="宋体" w:hAnsi="宋体" w:cs="宋体"/>
                <w:color w:val="auto"/>
                <w:szCs w:val="21"/>
              </w:rPr>
            </w:pPr>
            <w:r>
              <w:rPr>
                <w:rFonts w:hint="eastAsia" w:ascii="宋体" w:hAnsi="宋体" w:cs="宋体"/>
                <w:color w:val="auto"/>
                <w:szCs w:val="21"/>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6</w:t>
            </w:r>
          </w:p>
        </w:tc>
        <w:tc>
          <w:tcPr>
            <w:tcW w:w="8505" w:type="dxa"/>
          </w:tcPr>
          <w:p>
            <w:pPr>
              <w:spacing w:line="300" w:lineRule="exact"/>
              <w:rPr>
                <w:rFonts w:ascii="宋体" w:hAnsi="宋体" w:cs="宋体"/>
                <w:color w:val="auto"/>
                <w:szCs w:val="21"/>
              </w:rPr>
            </w:pPr>
            <w:r>
              <w:rPr>
                <w:rFonts w:hint="eastAsia" w:ascii="宋体" w:hAnsi="宋体" w:cs="宋体"/>
                <w:color w:val="auto"/>
                <w:szCs w:val="21"/>
              </w:rPr>
              <w:t>投标书递交至：乌鲁木齐市五星北路194号（新地园大厦1</w:t>
            </w:r>
            <w:r>
              <w:rPr>
                <w:rFonts w:hint="eastAsia" w:ascii="宋体" w:hAnsi="宋体" w:cs="宋体"/>
                <w:color w:val="auto"/>
                <w:szCs w:val="21"/>
                <w:lang w:val="en-US" w:eastAsia="zh-CN"/>
              </w:rPr>
              <w:t>3</w:t>
            </w:r>
            <w:r>
              <w:rPr>
                <w:rFonts w:hint="eastAsia" w:ascii="宋体" w:hAnsi="宋体" w:cs="宋体"/>
                <w:color w:val="auto"/>
                <w:szCs w:val="21"/>
              </w:rPr>
              <w:t>楼1</w:t>
            </w:r>
            <w:r>
              <w:rPr>
                <w:rFonts w:hint="eastAsia" w:ascii="宋体" w:hAnsi="宋体" w:cs="宋体"/>
                <w:color w:val="auto"/>
                <w:szCs w:val="21"/>
                <w:lang w:val="en-US" w:eastAsia="zh-CN"/>
              </w:rPr>
              <w:t>3</w:t>
            </w:r>
            <w:r>
              <w:rPr>
                <w:rFonts w:hint="eastAsia" w:ascii="宋体" w:hAnsi="宋体" w:cs="宋体"/>
                <w:color w:val="auto"/>
                <w:szCs w:val="21"/>
              </w:rPr>
              <w:t>01室）</w:t>
            </w:r>
          </w:p>
          <w:p>
            <w:pPr>
              <w:spacing w:line="300" w:lineRule="exact"/>
              <w:rPr>
                <w:rFonts w:ascii="宋体" w:hAnsi="宋体" w:cs="宋体"/>
                <w:color w:val="auto"/>
                <w:szCs w:val="21"/>
              </w:rPr>
            </w:pPr>
            <w:r>
              <w:rPr>
                <w:rFonts w:hint="eastAsia" w:ascii="宋体" w:hAnsi="宋体" w:cs="宋体"/>
                <w:color w:val="auto"/>
                <w:szCs w:val="21"/>
              </w:rPr>
              <w:t>投标书接收人：李昱骁  联系电话: 13899901320</w:t>
            </w:r>
          </w:p>
          <w:p>
            <w:pPr>
              <w:spacing w:line="300" w:lineRule="exact"/>
              <w:rPr>
                <w:rFonts w:ascii="宋体" w:hAnsi="宋体" w:cs="宋体"/>
                <w:color w:val="auto"/>
                <w:szCs w:val="21"/>
              </w:rPr>
            </w:pPr>
            <w:r>
              <w:rPr>
                <w:rFonts w:hint="eastAsia" w:ascii="宋体" w:hAnsi="宋体" w:cs="宋体"/>
                <w:color w:val="auto"/>
                <w:szCs w:val="21"/>
              </w:rPr>
              <w:t>购买标书截止时间：2019年07月</w:t>
            </w:r>
            <w:r>
              <w:rPr>
                <w:rFonts w:hint="eastAsia" w:ascii="宋体" w:hAnsi="宋体" w:cs="宋体"/>
                <w:color w:val="auto"/>
                <w:szCs w:val="21"/>
                <w:lang w:val="en-US" w:eastAsia="zh-CN"/>
              </w:rPr>
              <w:t>18</w:t>
            </w:r>
            <w:r>
              <w:rPr>
                <w:rFonts w:hint="eastAsia" w:ascii="宋体" w:hAnsi="宋体" w:cs="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7</w:t>
            </w:r>
          </w:p>
        </w:tc>
        <w:tc>
          <w:tcPr>
            <w:tcW w:w="8505" w:type="dxa"/>
            <w:vAlign w:val="center"/>
          </w:tcPr>
          <w:p>
            <w:pPr>
              <w:spacing w:line="300" w:lineRule="exact"/>
              <w:rPr>
                <w:rFonts w:ascii="宋体" w:hAnsi="宋体" w:cs="宋体"/>
                <w:color w:val="auto"/>
                <w:szCs w:val="21"/>
              </w:rPr>
            </w:pPr>
            <w:r>
              <w:rPr>
                <w:rFonts w:hint="eastAsia" w:ascii="宋体" w:hAnsi="宋体" w:cs="宋体"/>
                <w:color w:val="auto"/>
                <w:szCs w:val="21"/>
              </w:rPr>
              <w:t>投标书正本份数：壹份</w:t>
            </w:r>
          </w:p>
          <w:p>
            <w:pPr>
              <w:spacing w:line="300" w:lineRule="exact"/>
              <w:rPr>
                <w:rFonts w:ascii="宋体" w:hAnsi="宋体" w:cs="宋体"/>
                <w:color w:val="auto"/>
                <w:szCs w:val="21"/>
              </w:rPr>
            </w:pPr>
            <w:r>
              <w:rPr>
                <w:rFonts w:hint="eastAsia" w:ascii="宋体" w:hAnsi="宋体" w:cs="宋体"/>
                <w:color w:val="auto"/>
                <w:szCs w:val="21"/>
              </w:rPr>
              <w:t>投标书副本份数：肆份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8</w:t>
            </w:r>
          </w:p>
        </w:tc>
        <w:tc>
          <w:tcPr>
            <w:tcW w:w="8505" w:type="dxa"/>
            <w:vAlign w:val="center"/>
          </w:tcPr>
          <w:p>
            <w:pPr>
              <w:adjustRightInd w:val="0"/>
              <w:spacing w:line="300" w:lineRule="exact"/>
              <w:jc w:val="left"/>
              <w:rPr>
                <w:rFonts w:ascii="宋体" w:hAnsi="宋体" w:cs="宋体"/>
                <w:color w:val="auto"/>
                <w:szCs w:val="21"/>
              </w:rPr>
            </w:pPr>
            <w:r>
              <w:rPr>
                <w:rFonts w:hint="eastAsia" w:ascii="宋体" w:hAnsi="宋体" w:cs="宋体"/>
                <w:color w:val="auto"/>
                <w:szCs w:val="21"/>
              </w:rPr>
              <w:t>投标人开标审查资质要求：法人身份证原件或委托代理人身份证原件、法人授权委托书原件、营业执照或事业单位法人证书原件的</w:t>
            </w:r>
            <w:r>
              <w:rPr>
                <w:rFonts w:ascii="宋体" w:hAnsi="宋体" w:cs="宋体"/>
                <w:color w:val="auto"/>
                <w:szCs w:val="21"/>
              </w:rPr>
              <w:t>扫描件加盖公章</w:t>
            </w:r>
            <w:r>
              <w:rPr>
                <w:rFonts w:hint="eastAsia" w:ascii="宋体" w:hAnsi="宋体" w:cs="宋体"/>
                <w:color w:val="auto"/>
                <w:szCs w:val="21"/>
              </w:rPr>
              <w:t>、税务登记证原件扫描件加盖</w:t>
            </w:r>
            <w:r>
              <w:rPr>
                <w:rFonts w:ascii="宋体" w:hAnsi="宋体" w:cs="宋体"/>
                <w:color w:val="auto"/>
                <w:szCs w:val="21"/>
              </w:rPr>
              <w:t>公章</w:t>
            </w:r>
            <w:r>
              <w:rPr>
                <w:rFonts w:hint="eastAsia" w:ascii="宋体" w:hAnsi="宋体" w:cs="宋体"/>
                <w:color w:val="auto"/>
                <w:szCs w:val="21"/>
              </w:rPr>
              <w:t>(三证合一无需提供)、组织机构代码证原件扫描件加盖</w:t>
            </w:r>
            <w:r>
              <w:rPr>
                <w:rFonts w:ascii="宋体" w:hAnsi="宋体" w:cs="宋体"/>
                <w:color w:val="auto"/>
                <w:szCs w:val="21"/>
              </w:rPr>
              <w:t>公章</w:t>
            </w:r>
            <w:r>
              <w:rPr>
                <w:rFonts w:hint="eastAsia" w:ascii="宋体" w:hAnsi="宋体" w:cs="宋体"/>
                <w:color w:val="auto"/>
                <w:szCs w:val="21"/>
              </w:rPr>
              <w:t>(三证合一无需提供)、资质证书原件扫描件加盖</w:t>
            </w:r>
            <w:r>
              <w:rPr>
                <w:rFonts w:ascii="宋体" w:hAnsi="宋体" w:cs="宋体"/>
                <w:color w:val="auto"/>
                <w:szCs w:val="21"/>
              </w:rPr>
              <w:t>公章</w:t>
            </w:r>
            <w:r>
              <w:rPr>
                <w:rFonts w:hint="eastAsia" w:ascii="宋体" w:hAnsi="宋体" w:cs="宋体"/>
                <w:color w:val="auto"/>
                <w:szCs w:val="21"/>
              </w:rPr>
              <w:t>、投标保证金收据原件或汇款凭证扫描件加盖公章、反商业贿赂章承诺书原件。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9</w:t>
            </w:r>
          </w:p>
        </w:tc>
        <w:tc>
          <w:tcPr>
            <w:tcW w:w="8505" w:type="dxa"/>
            <w:vAlign w:val="center"/>
          </w:tcPr>
          <w:p>
            <w:pPr>
              <w:spacing w:line="300" w:lineRule="exact"/>
              <w:jc w:val="left"/>
              <w:rPr>
                <w:rFonts w:ascii="宋体" w:hAnsi="宋体" w:cs="宋体"/>
                <w:color w:val="auto"/>
                <w:szCs w:val="21"/>
              </w:rPr>
            </w:pPr>
            <w:r>
              <w:rPr>
                <w:rFonts w:hint="eastAsia" w:ascii="宋体" w:hAnsi="宋体" w:cs="宋体"/>
                <w:color w:val="auto"/>
                <w:szCs w:val="21"/>
              </w:rPr>
              <w:t>付款方式：合同签订10个工作日内，待招标人资金到位，相关人员入场，招标人先支付合同总额的40%的预付款，待</w:t>
            </w:r>
            <w:r>
              <w:rPr>
                <w:rFonts w:ascii="宋体" w:hAnsi="宋体" w:cs="宋体"/>
                <w:color w:val="auto"/>
                <w:szCs w:val="21"/>
              </w:rPr>
              <w:t>设计单位提交设计成果且通过</w:t>
            </w:r>
            <w:r>
              <w:rPr>
                <w:rFonts w:hint="eastAsia" w:ascii="宋体" w:hAnsi="宋体" w:cs="宋体"/>
                <w:color w:val="auto"/>
                <w:szCs w:val="21"/>
              </w:rPr>
              <w:t>招标人认可</w:t>
            </w:r>
            <w:r>
              <w:rPr>
                <w:rFonts w:ascii="宋体" w:hAnsi="宋体" w:cs="宋体"/>
                <w:color w:val="auto"/>
                <w:szCs w:val="21"/>
              </w:rPr>
              <w:t>方式</w:t>
            </w:r>
            <w:r>
              <w:rPr>
                <w:rFonts w:hint="eastAsia" w:ascii="宋体" w:hAnsi="宋体" w:cs="宋体"/>
                <w:color w:val="auto"/>
                <w:szCs w:val="21"/>
              </w:rPr>
              <w:t>的评审</w:t>
            </w:r>
            <w:r>
              <w:rPr>
                <w:rFonts w:ascii="宋体" w:hAnsi="宋体" w:cs="宋体"/>
                <w:color w:val="auto"/>
                <w:szCs w:val="21"/>
              </w:rPr>
              <w:t>后支付</w:t>
            </w:r>
            <w:r>
              <w:rPr>
                <w:rFonts w:hint="eastAsia" w:ascii="宋体" w:hAnsi="宋体" w:cs="宋体"/>
                <w:color w:val="auto"/>
                <w:szCs w:val="21"/>
              </w:rPr>
              <w:t>合同总额的5</w:t>
            </w:r>
            <w:r>
              <w:rPr>
                <w:rFonts w:ascii="宋体" w:hAnsi="宋体" w:cs="宋体"/>
                <w:color w:val="auto"/>
                <w:szCs w:val="21"/>
              </w:rPr>
              <w:t>5</w:t>
            </w:r>
            <w:r>
              <w:rPr>
                <w:rFonts w:hint="eastAsia" w:ascii="宋体" w:hAnsi="宋体" w:cs="宋体"/>
                <w:color w:val="auto"/>
                <w:szCs w:val="21"/>
              </w:rPr>
              <w:t>%设计费用，预留</w:t>
            </w:r>
            <w:r>
              <w:rPr>
                <w:rFonts w:ascii="宋体" w:hAnsi="宋体" w:cs="宋体"/>
                <w:color w:val="auto"/>
                <w:szCs w:val="21"/>
              </w:rPr>
              <w:t>5</w:t>
            </w:r>
            <w:r>
              <w:rPr>
                <w:rFonts w:hint="eastAsia" w:ascii="宋体" w:hAnsi="宋体" w:cs="宋体"/>
                <w:color w:val="auto"/>
                <w:szCs w:val="21"/>
              </w:rPr>
              <w:t>%设计费用待项目</w:t>
            </w:r>
            <w:r>
              <w:rPr>
                <w:rFonts w:ascii="宋体" w:hAnsi="宋体" w:cs="宋体"/>
                <w:color w:val="auto"/>
                <w:szCs w:val="21"/>
              </w:rPr>
              <w:t>初验</w:t>
            </w:r>
            <w:r>
              <w:rPr>
                <w:rFonts w:hint="eastAsia" w:ascii="宋体" w:hAnsi="宋体" w:cs="宋体"/>
                <w:color w:val="auto"/>
                <w:szCs w:val="21"/>
              </w:rPr>
              <w:t>后</w:t>
            </w:r>
            <w:r>
              <w:rPr>
                <w:rFonts w:ascii="宋体" w:hAnsi="宋体" w:cs="宋体"/>
                <w:color w:val="auto"/>
                <w:szCs w:val="21"/>
              </w:rPr>
              <w:t>10</w:t>
            </w:r>
            <w:r>
              <w:rPr>
                <w:rFonts w:hint="eastAsia" w:ascii="宋体" w:hAnsi="宋体" w:cs="宋体"/>
                <w:color w:val="auto"/>
                <w:szCs w:val="21"/>
              </w:rPr>
              <w:t>个</w:t>
            </w:r>
            <w:r>
              <w:rPr>
                <w:rFonts w:ascii="宋体" w:hAnsi="宋体" w:cs="宋体"/>
                <w:color w:val="auto"/>
                <w:szCs w:val="21"/>
              </w:rPr>
              <w:t>工作日内</w:t>
            </w:r>
            <w:r>
              <w:rPr>
                <w:rFonts w:hint="eastAsia" w:ascii="宋体" w:hAnsi="宋体" w:cs="宋体"/>
                <w:color w:val="auto"/>
                <w:szCs w:val="21"/>
              </w:rPr>
              <w:t>全部付清（无息）。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10</w:t>
            </w:r>
          </w:p>
        </w:tc>
        <w:tc>
          <w:tcPr>
            <w:tcW w:w="8505" w:type="dxa"/>
            <w:vAlign w:val="center"/>
          </w:tcPr>
          <w:p>
            <w:pPr>
              <w:spacing w:line="300" w:lineRule="exact"/>
              <w:jc w:val="left"/>
              <w:textAlignment w:val="auto"/>
              <w:rPr>
                <w:rFonts w:ascii="宋体" w:hAnsi="宋体" w:cs="宋体"/>
                <w:color w:val="auto"/>
                <w:szCs w:val="21"/>
              </w:rPr>
            </w:pPr>
            <w:r>
              <w:rPr>
                <w:rFonts w:hint="eastAsia" w:ascii="宋体" w:hAnsi="宋体" w:cs="宋体"/>
                <w:color w:val="auto"/>
                <w:szCs w:val="21"/>
              </w:rPr>
              <w:t>开标时间：2019年07月</w:t>
            </w:r>
            <w:r>
              <w:rPr>
                <w:rFonts w:hint="eastAsia" w:ascii="宋体" w:hAnsi="宋体" w:cs="宋体"/>
                <w:color w:val="auto"/>
                <w:szCs w:val="21"/>
                <w:lang w:val="en-US" w:eastAsia="zh-CN"/>
              </w:rPr>
              <w:t>24</w:t>
            </w:r>
            <w:r>
              <w:rPr>
                <w:rFonts w:hint="eastAsia" w:ascii="宋体" w:hAnsi="宋体" w:cs="宋体"/>
                <w:color w:val="auto"/>
                <w:szCs w:val="21"/>
              </w:rPr>
              <w:t>日</w:t>
            </w:r>
            <w:r>
              <w:rPr>
                <w:rFonts w:hint="eastAsia" w:ascii="宋体" w:hAnsi="宋体" w:cs="宋体"/>
                <w:color w:val="auto"/>
                <w:szCs w:val="21"/>
                <w:lang w:val="en-US" w:eastAsia="zh-CN"/>
              </w:rPr>
              <w:t>16:00</w:t>
            </w:r>
            <w:r>
              <w:rPr>
                <w:rFonts w:hint="eastAsia" w:ascii="宋体" w:hAnsi="宋体" w:cs="宋体"/>
                <w:color w:val="auto"/>
                <w:szCs w:val="21"/>
              </w:rPr>
              <w:t>（北京时间）；若逾期，届时其投标将被拒绝。</w:t>
            </w:r>
          </w:p>
          <w:p>
            <w:pPr>
              <w:spacing w:line="300" w:lineRule="exact"/>
              <w:jc w:val="left"/>
              <w:rPr>
                <w:rFonts w:ascii="宋体" w:hAnsi="宋体" w:cs="宋体"/>
                <w:color w:val="auto"/>
                <w:szCs w:val="21"/>
              </w:rPr>
            </w:pPr>
            <w:r>
              <w:rPr>
                <w:rFonts w:hint="eastAsia" w:ascii="宋体" w:hAnsi="宋体" w:cs="宋体"/>
                <w:color w:val="auto"/>
                <w:szCs w:val="21"/>
              </w:rPr>
              <w:t>开标地点：乌鲁木齐市五星北路194号（新地园大厦1</w:t>
            </w:r>
            <w:r>
              <w:rPr>
                <w:rFonts w:hint="eastAsia" w:ascii="宋体" w:hAnsi="宋体" w:cs="宋体"/>
                <w:color w:val="auto"/>
                <w:szCs w:val="21"/>
                <w:lang w:val="en-US" w:eastAsia="zh-CN"/>
              </w:rPr>
              <w:t>3</w:t>
            </w:r>
            <w:r>
              <w:rPr>
                <w:rFonts w:hint="eastAsia" w:ascii="宋体" w:hAnsi="宋体" w:cs="宋体"/>
                <w:color w:val="auto"/>
                <w:szCs w:val="21"/>
              </w:rPr>
              <w:t>楼1</w:t>
            </w:r>
            <w:r>
              <w:rPr>
                <w:rFonts w:hint="eastAsia" w:ascii="宋体" w:hAnsi="宋体" w:cs="宋体"/>
                <w:color w:val="auto"/>
                <w:szCs w:val="21"/>
                <w:lang w:val="en-US" w:eastAsia="zh-CN"/>
              </w:rPr>
              <w:t>3</w:t>
            </w:r>
            <w:r>
              <w:rPr>
                <w:rFonts w:hint="eastAsia" w:ascii="宋体" w:hAnsi="宋体" w:cs="宋体"/>
                <w:color w:val="auto"/>
                <w:szCs w:val="21"/>
              </w:rPr>
              <w:t>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11</w:t>
            </w:r>
          </w:p>
        </w:tc>
        <w:tc>
          <w:tcPr>
            <w:tcW w:w="8505" w:type="dxa"/>
            <w:vAlign w:val="center"/>
          </w:tcPr>
          <w:p>
            <w:pPr>
              <w:numPr>
                <w:ilvl w:val="0"/>
                <w:numId w:val="8"/>
              </w:numPr>
              <w:spacing w:line="300" w:lineRule="exact"/>
              <w:jc w:val="left"/>
              <w:rPr>
                <w:rFonts w:ascii="宋体" w:hAnsi="宋体" w:cs="宋体"/>
                <w:color w:val="auto"/>
                <w:szCs w:val="21"/>
              </w:rPr>
            </w:pPr>
            <w:r>
              <w:rPr>
                <w:rFonts w:hint="eastAsia" w:ascii="宋体" w:hAnsi="宋体" w:cs="宋体"/>
                <w:color w:val="auto"/>
                <w:szCs w:val="21"/>
              </w:rPr>
              <w:t>方案设计、初步设计通过招标人认可</w:t>
            </w:r>
            <w:r>
              <w:rPr>
                <w:rFonts w:ascii="宋体" w:hAnsi="宋体" w:cs="宋体"/>
                <w:color w:val="auto"/>
                <w:szCs w:val="21"/>
              </w:rPr>
              <w:t>方式</w:t>
            </w:r>
            <w:r>
              <w:rPr>
                <w:rFonts w:hint="eastAsia" w:ascii="宋体" w:hAnsi="宋体" w:cs="宋体"/>
                <w:color w:val="auto"/>
                <w:szCs w:val="21"/>
              </w:rPr>
              <w:t>的评审；如设计方案未通过评审，中标人必须对原设计方案进行修改，直到设计方案通过评审为止；</w:t>
            </w:r>
          </w:p>
          <w:p>
            <w:pPr>
              <w:numPr>
                <w:ilvl w:val="0"/>
                <w:numId w:val="8"/>
              </w:numPr>
              <w:spacing w:line="300" w:lineRule="exact"/>
              <w:jc w:val="left"/>
              <w:rPr>
                <w:rFonts w:ascii="宋体" w:hAnsi="宋体" w:cs="宋体"/>
                <w:color w:val="auto"/>
                <w:szCs w:val="21"/>
              </w:rPr>
            </w:pPr>
            <w:r>
              <w:rPr>
                <w:rFonts w:hint="eastAsia" w:ascii="宋体" w:hAnsi="宋体" w:cs="宋体"/>
                <w:szCs w:val="21"/>
              </w:rPr>
              <w:t>报审周期按国家有关规定执行。</w:t>
            </w:r>
          </w:p>
          <w:p>
            <w:pPr>
              <w:spacing w:line="300" w:lineRule="exact"/>
              <w:jc w:val="left"/>
              <w:rPr>
                <w:rFonts w:ascii="宋体" w:hAnsi="宋体" w:cs="宋体"/>
                <w:szCs w:val="21"/>
              </w:rPr>
            </w:pPr>
            <w:r>
              <w:rPr>
                <w:rFonts w:hint="eastAsia" w:ascii="宋体" w:hAnsi="宋体" w:cs="宋体"/>
                <w:szCs w:val="21"/>
              </w:rPr>
              <w:t>3、设计要求：对非现场执法点、视频监控中心等建设内容，设计单位需实地考察，全面考虑施工地点的实际情况，设计深度需达到施工图设计。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12</w:t>
            </w:r>
          </w:p>
        </w:tc>
        <w:tc>
          <w:tcPr>
            <w:tcW w:w="8505" w:type="dxa"/>
            <w:vAlign w:val="center"/>
          </w:tcPr>
          <w:p>
            <w:pPr>
              <w:spacing w:line="300" w:lineRule="exact"/>
              <w:jc w:val="left"/>
              <w:textAlignment w:val="auto"/>
              <w:rPr>
                <w:rFonts w:ascii="宋体" w:hAnsi="宋体" w:cs="宋体"/>
                <w:color w:val="auto"/>
                <w:szCs w:val="21"/>
              </w:rPr>
            </w:pPr>
            <w:r>
              <w:rPr>
                <w:rFonts w:hint="eastAsia" w:ascii="宋体" w:hAnsi="宋体"/>
                <w:color w:val="auto"/>
                <w:szCs w:val="21"/>
              </w:rPr>
              <w:t>本项目工程可行性研究报告批复初步设计费：6</w:t>
            </w:r>
            <w:r>
              <w:rPr>
                <w:rFonts w:ascii="宋体" w:hAnsi="宋体"/>
                <w:color w:val="auto"/>
                <w:szCs w:val="21"/>
              </w:rPr>
              <w:t>1.50</w:t>
            </w:r>
            <w:r>
              <w:rPr>
                <w:rFonts w:hint="eastAsia" w:ascii="宋体" w:hAnsi="宋体"/>
                <w:color w:val="auto"/>
                <w:szCs w:val="21"/>
              </w:rPr>
              <w:t>万元。本次招标报价采用费率报价，</w:t>
            </w:r>
            <w:r>
              <w:rPr>
                <w:rFonts w:ascii="宋体" w:hAnsi="宋体"/>
                <w:color w:val="auto"/>
                <w:szCs w:val="21"/>
              </w:rPr>
              <w:t>最终</w:t>
            </w:r>
            <w:r>
              <w:rPr>
                <w:rFonts w:hint="eastAsia" w:ascii="宋体" w:hAnsi="宋体"/>
                <w:color w:val="auto"/>
                <w:szCs w:val="21"/>
              </w:rPr>
              <w:t>中标金额=</w:t>
            </w:r>
            <w:r>
              <w:rPr>
                <w:rFonts w:ascii="宋体" w:hAnsi="宋体"/>
                <w:color w:val="auto"/>
                <w:szCs w:val="21"/>
              </w:rPr>
              <w:t>初步设计</w:t>
            </w:r>
            <w:r>
              <w:rPr>
                <w:rFonts w:hint="eastAsia" w:ascii="宋体" w:hAnsi="宋体"/>
                <w:color w:val="auto"/>
                <w:szCs w:val="21"/>
              </w:rPr>
              <w:t>批复设计费*</w:t>
            </w:r>
            <w:r>
              <w:rPr>
                <w:rFonts w:ascii="宋体" w:hAnsi="宋体"/>
                <w:color w:val="auto"/>
                <w:szCs w:val="21"/>
              </w:rPr>
              <w:t>费率</w:t>
            </w:r>
            <w:r>
              <w:rPr>
                <w:rFonts w:hint="eastAsia" w:ascii="宋体" w:hAnsi="宋体"/>
                <w:color w:val="auto"/>
                <w:szCs w:val="21"/>
              </w:rPr>
              <w:t>。投标单位在投标报价时，所报费率不得超过100</w:t>
            </w:r>
            <w:r>
              <w:rPr>
                <w:rFonts w:ascii="宋体" w:hAnsi="宋体"/>
                <w:color w:val="auto"/>
                <w:szCs w:val="21"/>
              </w:rPr>
              <w:t>%，</w:t>
            </w:r>
            <w:r>
              <w:rPr>
                <w:rFonts w:hint="eastAsia" w:ascii="宋体" w:hAnsi="宋体"/>
                <w:color w:val="auto"/>
                <w:szCs w:val="21"/>
              </w:rPr>
              <w:t>费率超过100</w:t>
            </w:r>
            <w:r>
              <w:rPr>
                <w:rFonts w:ascii="宋体" w:hAnsi="宋体"/>
                <w:color w:val="auto"/>
                <w:szCs w:val="21"/>
              </w:rPr>
              <w:t>%</w:t>
            </w:r>
            <w:r>
              <w:rPr>
                <w:rFonts w:hint="eastAsia" w:ascii="宋体" w:hAnsi="宋体"/>
                <w:color w:val="auto"/>
                <w:szCs w:val="21"/>
              </w:rPr>
              <w:t>的投标文件按废标处理。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13</w:t>
            </w:r>
          </w:p>
        </w:tc>
        <w:tc>
          <w:tcPr>
            <w:tcW w:w="8505" w:type="dxa"/>
            <w:vAlign w:val="center"/>
          </w:tcPr>
          <w:p>
            <w:pPr>
              <w:spacing w:line="300" w:lineRule="exact"/>
              <w:jc w:val="left"/>
              <w:textAlignment w:val="auto"/>
              <w:rPr>
                <w:rFonts w:ascii="宋体" w:hAnsi="宋体"/>
                <w:color w:val="auto"/>
                <w:szCs w:val="21"/>
              </w:rPr>
            </w:pPr>
            <w:r>
              <w:rPr>
                <w:rFonts w:hint="eastAsia" w:ascii="宋体" w:hAnsi="宋体"/>
                <w:color w:val="auto"/>
                <w:szCs w:val="21"/>
              </w:rPr>
              <w:t>设计周期：30个日历日。从合同签订之日起。设计期内，设计单位应派专职人员常驻办公；建设期内，设计单位应安排专业技术人员做好设计服务工作，及时解决相关问题。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846" w:type="dxa"/>
            <w:vAlign w:val="center"/>
          </w:tcPr>
          <w:p>
            <w:pPr>
              <w:jc w:val="center"/>
              <w:rPr>
                <w:rFonts w:ascii="宋体" w:hAnsi="宋体" w:cs="宋体"/>
                <w:color w:val="auto"/>
                <w:sz w:val="24"/>
                <w:szCs w:val="24"/>
              </w:rPr>
            </w:pPr>
            <w:r>
              <w:rPr>
                <w:rFonts w:hint="eastAsia" w:ascii="宋体" w:hAnsi="宋体" w:cs="宋体"/>
                <w:color w:val="auto"/>
                <w:sz w:val="24"/>
                <w:szCs w:val="24"/>
              </w:rPr>
              <w:t>14</w:t>
            </w:r>
          </w:p>
        </w:tc>
        <w:tc>
          <w:tcPr>
            <w:tcW w:w="8505" w:type="dxa"/>
            <w:vAlign w:val="center"/>
          </w:tcPr>
          <w:p>
            <w:pPr>
              <w:spacing w:line="300" w:lineRule="exact"/>
              <w:textAlignment w:val="auto"/>
              <w:rPr>
                <w:rFonts w:ascii="宋体" w:hAnsi="宋体"/>
                <w:color w:val="auto"/>
                <w:szCs w:val="21"/>
              </w:rPr>
            </w:pPr>
            <w:r>
              <w:rPr>
                <w:rFonts w:hint="eastAsia" w:ascii="宋体" w:hAnsi="宋体"/>
                <w:color w:val="auto"/>
                <w:szCs w:val="21"/>
              </w:rPr>
              <w:t>备注：本项目的工程可行性研究报告会作为招标文件的附件一并发售给投标单位；报价方式采用费率报价；代理费依据2002【1980】号文件由中标单位支付。支付中标价的1.5％</w:t>
            </w:r>
          </w:p>
          <w:p>
            <w:pPr>
              <w:spacing w:line="300" w:lineRule="exact"/>
              <w:textAlignment w:val="auto"/>
              <w:rPr>
                <w:rFonts w:ascii="宋体" w:hAnsi="宋体" w:cs="宋体"/>
                <w:color w:val="auto"/>
                <w:szCs w:val="21"/>
              </w:rPr>
            </w:pPr>
          </w:p>
        </w:tc>
      </w:tr>
    </w:tbl>
    <w:p>
      <w:pPr>
        <w:spacing w:line="500" w:lineRule="exact"/>
        <w:jc w:val="center"/>
        <w:outlineLvl w:val="0"/>
        <w:rPr>
          <w:rFonts w:ascii="宋体" w:hAnsi="宋体" w:cs="宋体"/>
          <w:b/>
          <w:bCs/>
          <w:color w:val="auto"/>
          <w:sz w:val="28"/>
          <w:szCs w:val="28"/>
        </w:rPr>
      </w:pPr>
      <w:r>
        <w:rPr>
          <w:rFonts w:hint="eastAsia" w:ascii="宋体" w:hAnsi="宋体" w:cs="宋体"/>
          <w:b/>
          <w:bCs/>
          <w:color w:val="auto"/>
          <w:sz w:val="28"/>
          <w:szCs w:val="28"/>
        </w:rPr>
        <w:t>第三部分 招标说明</w:t>
      </w:r>
    </w:p>
    <w:p>
      <w:pPr>
        <w:spacing w:line="500" w:lineRule="exact"/>
        <w:ind w:firstLine="472" w:firstLineChars="196"/>
        <w:outlineLvl w:val="1"/>
        <w:rPr>
          <w:rFonts w:ascii="宋体" w:hAnsi="宋体" w:cs="宋体"/>
          <w:b/>
          <w:color w:val="auto"/>
          <w:sz w:val="24"/>
          <w:szCs w:val="24"/>
        </w:rPr>
      </w:pPr>
      <w:r>
        <w:rPr>
          <w:rFonts w:hint="eastAsia" w:ascii="宋体" w:hAnsi="宋体" w:cs="宋体"/>
          <w:b/>
          <w:color w:val="auto"/>
          <w:sz w:val="24"/>
          <w:szCs w:val="24"/>
        </w:rPr>
        <w:t>1.适用范围</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1.1 本招标文件仅适用于在招标文件中所叙述的</w:t>
      </w:r>
      <w:r>
        <w:rPr>
          <w:rFonts w:hint="eastAsia" w:ascii="宋体" w:hAnsi="宋体" w:cs="宋体"/>
          <w:b/>
          <w:bCs/>
          <w:color w:val="auto"/>
          <w:sz w:val="24"/>
          <w:szCs w:val="24"/>
        </w:rPr>
        <w:t>新疆维吾尔自治区治超联网管理信息系统工程初步设计</w:t>
      </w:r>
      <w:r>
        <w:rPr>
          <w:rFonts w:hint="eastAsia" w:ascii="宋体" w:hAnsi="宋体" w:cs="宋体"/>
          <w:bCs/>
          <w:color w:val="auto"/>
          <w:sz w:val="24"/>
          <w:szCs w:val="24"/>
        </w:rPr>
        <w:t>的合格投标单位。</w:t>
      </w:r>
    </w:p>
    <w:p>
      <w:pPr>
        <w:spacing w:line="500" w:lineRule="exact"/>
        <w:ind w:firstLine="482" w:firstLineChars="200"/>
        <w:outlineLvl w:val="1"/>
        <w:rPr>
          <w:rFonts w:ascii="宋体" w:hAnsi="宋体" w:cs="宋体"/>
          <w:b/>
          <w:bCs/>
          <w:color w:val="auto"/>
          <w:sz w:val="24"/>
          <w:szCs w:val="24"/>
        </w:rPr>
      </w:pPr>
      <w:r>
        <w:rPr>
          <w:rFonts w:hint="eastAsia" w:ascii="宋体" w:hAnsi="宋体" w:cs="宋体"/>
          <w:b/>
          <w:bCs/>
          <w:color w:val="auto"/>
          <w:sz w:val="24"/>
          <w:szCs w:val="24"/>
        </w:rPr>
        <w:t>2.投标资格</w:t>
      </w:r>
    </w:p>
    <w:p>
      <w:pPr>
        <w:spacing w:line="480" w:lineRule="exact"/>
        <w:ind w:firstLine="480" w:firstLineChars="200"/>
        <w:rPr>
          <w:rFonts w:ascii="宋体" w:hAnsi="宋体"/>
          <w:color w:val="auto"/>
          <w:sz w:val="24"/>
        </w:rPr>
      </w:pPr>
      <w:r>
        <w:rPr>
          <w:rFonts w:hint="eastAsia" w:ascii="宋体" w:hAnsi="宋体"/>
          <w:color w:val="auto"/>
          <w:sz w:val="24"/>
        </w:rPr>
        <w:t xml:space="preserve">2.1、投标人必须是经中华人民共和国境内依法注册，具有有效的营业执照或事业单位法人证书、组织机构代码证（三证合一企业无需提供），税务登记证（三证合一企业无需提供）； </w:t>
      </w:r>
    </w:p>
    <w:p>
      <w:pPr>
        <w:spacing w:line="480" w:lineRule="exact"/>
        <w:ind w:firstLine="480" w:firstLineChars="200"/>
        <w:rPr>
          <w:rFonts w:ascii="宋体" w:hAnsi="宋体"/>
          <w:color w:val="auto"/>
          <w:sz w:val="24"/>
        </w:rPr>
      </w:pPr>
      <w:r>
        <w:rPr>
          <w:rFonts w:hint="eastAsia" w:ascii="宋体" w:hAnsi="宋体"/>
          <w:color w:val="auto"/>
          <w:sz w:val="24"/>
        </w:rPr>
        <w:t>2.2、具有中华人民共和国住房和城乡建设部颁发的电子通信广电行业（电子系统工程）专业甲级或电子通信广电行业（通信工程）甲级或工程设计综合甲级设计资质。</w:t>
      </w:r>
    </w:p>
    <w:p>
      <w:pPr>
        <w:spacing w:line="480" w:lineRule="exact"/>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、投标人未被列入“信用中国”网站（www.creditchina.gov.cn）和中国政府招标网（www.ccgp.gov.cn）渠道信用记录失信被执行人、重大税收违法案件当事人名单以及政府招标严重违法失信行为记录名单。</w:t>
      </w:r>
    </w:p>
    <w:p>
      <w:pPr>
        <w:spacing w:line="520" w:lineRule="exact"/>
        <w:ind w:firstLine="480" w:firstLineChars="200"/>
        <w:rPr>
          <w:rFonts w:ascii="宋体" w:hAnsi="宋体"/>
          <w:color w:val="auto"/>
          <w:sz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4本项目不接受联合体投标</w:t>
      </w:r>
    </w:p>
    <w:p>
      <w:pPr>
        <w:tabs>
          <w:tab w:val="left" w:pos="1185"/>
        </w:tabs>
        <w:spacing w:line="500" w:lineRule="exact"/>
        <w:ind w:firstLine="482" w:firstLineChars="200"/>
        <w:outlineLvl w:val="1"/>
        <w:rPr>
          <w:rFonts w:ascii="宋体" w:hAnsi="宋体" w:cs="宋体"/>
          <w:b/>
          <w:color w:val="auto"/>
          <w:sz w:val="24"/>
          <w:szCs w:val="24"/>
        </w:rPr>
      </w:pPr>
      <w:r>
        <w:rPr>
          <w:rFonts w:hint="eastAsia" w:ascii="宋体" w:hAnsi="宋体" w:cs="宋体"/>
          <w:b/>
          <w:color w:val="auto"/>
          <w:sz w:val="24"/>
          <w:szCs w:val="24"/>
        </w:rPr>
        <w:t>3.定义</w:t>
      </w:r>
    </w:p>
    <w:p>
      <w:pPr>
        <w:spacing w:line="500" w:lineRule="exact"/>
        <w:ind w:firstLine="482"/>
        <w:rPr>
          <w:rFonts w:ascii="宋体" w:hAnsi="宋体" w:cs="宋体"/>
          <w:color w:val="auto"/>
          <w:sz w:val="24"/>
          <w:szCs w:val="24"/>
        </w:rPr>
      </w:pPr>
      <w:r>
        <w:rPr>
          <w:rFonts w:hint="eastAsia" w:ascii="宋体" w:hAnsi="宋体" w:cs="宋体"/>
          <w:color w:val="auto"/>
          <w:sz w:val="24"/>
          <w:szCs w:val="24"/>
        </w:rPr>
        <w:t>下列术语和缩写的定义为：</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3.1“招标人”系指新疆维吾尔自治区路政管理局</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3.2“招标代理机构”系指新疆华域建设工程项目管理咨询有限公司</w:t>
      </w:r>
    </w:p>
    <w:p>
      <w:pPr>
        <w:tabs>
          <w:tab w:val="left" w:pos="1185"/>
        </w:tabs>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3.3“投标方”、“投标人”系指有资格的投标人及投标表现人。</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3.4“服务”系指招标文件规定投标方必须承担的综合服务其他类似的责任。</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3.5 “货物”系指招标文件规定的，投标方须向招标方提供的一切运输货物、业绩、人员组织、售后服务及其它有关资料和材料。</w:t>
      </w:r>
    </w:p>
    <w:p>
      <w:pPr>
        <w:spacing w:line="500" w:lineRule="exact"/>
        <w:ind w:firstLine="482" w:firstLineChars="200"/>
        <w:outlineLvl w:val="1"/>
        <w:rPr>
          <w:rFonts w:ascii="宋体" w:hAnsi="宋体" w:cs="宋体"/>
          <w:b/>
          <w:color w:val="auto"/>
          <w:sz w:val="24"/>
          <w:szCs w:val="24"/>
        </w:rPr>
      </w:pPr>
      <w:r>
        <w:rPr>
          <w:rFonts w:hint="eastAsia" w:ascii="宋体" w:hAnsi="宋体" w:cs="宋体"/>
          <w:b/>
          <w:color w:val="auto"/>
          <w:sz w:val="24"/>
          <w:szCs w:val="24"/>
        </w:rPr>
        <w:t>4.投标费用</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4.1无论投标结果如何，凡参与招标、投标活动有关的所有费用将由投标方自行承担。</w:t>
      </w:r>
    </w:p>
    <w:p>
      <w:pPr>
        <w:tabs>
          <w:tab w:val="left" w:pos="1185"/>
        </w:tabs>
        <w:spacing w:line="500" w:lineRule="exact"/>
        <w:ind w:firstLine="482" w:firstLineChars="200"/>
        <w:outlineLvl w:val="1"/>
        <w:rPr>
          <w:rFonts w:ascii="宋体" w:hAnsi="宋体" w:cs="宋体"/>
          <w:b/>
          <w:color w:val="auto"/>
          <w:sz w:val="24"/>
          <w:szCs w:val="24"/>
        </w:rPr>
      </w:pPr>
      <w:r>
        <w:rPr>
          <w:rFonts w:hint="eastAsia" w:ascii="宋体" w:hAnsi="宋体" w:cs="宋体"/>
          <w:b/>
          <w:color w:val="auto"/>
          <w:sz w:val="24"/>
          <w:szCs w:val="24"/>
        </w:rPr>
        <w:t>5.招标文件的构成</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5.1招标文件由下述部分组成：</w:t>
      </w:r>
    </w:p>
    <w:p>
      <w:pPr>
        <w:spacing w:line="500" w:lineRule="exact"/>
        <w:ind w:firstLine="720" w:firstLineChars="300"/>
        <w:rPr>
          <w:rFonts w:ascii="宋体" w:hAnsi="宋体" w:cs="宋体"/>
          <w:color w:val="auto"/>
          <w:sz w:val="24"/>
          <w:szCs w:val="24"/>
        </w:rPr>
      </w:pPr>
      <w:r>
        <w:rPr>
          <w:rFonts w:hint="eastAsia" w:ascii="宋体" w:hAnsi="宋体" w:cs="宋体"/>
          <w:color w:val="auto"/>
          <w:sz w:val="24"/>
          <w:szCs w:val="24"/>
        </w:rPr>
        <w:t>第一部分 招标公告</w:t>
      </w:r>
    </w:p>
    <w:p>
      <w:pPr>
        <w:spacing w:line="500" w:lineRule="exact"/>
        <w:ind w:firstLine="720" w:firstLineChars="300"/>
        <w:rPr>
          <w:rFonts w:ascii="宋体" w:hAnsi="宋体" w:cs="宋体"/>
          <w:color w:val="auto"/>
          <w:sz w:val="24"/>
          <w:szCs w:val="24"/>
        </w:rPr>
      </w:pPr>
      <w:r>
        <w:rPr>
          <w:rFonts w:hint="eastAsia" w:ascii="宋体" w:hAnsi="宋体" w:cs="宋体"/>
          <w:color w:val="auto"/>
          <w:sz w:val="24"/>
          <w:szCs w:val="24"/>
        </w:rPr>
        <w:t>第二部分 投标人须知</w:t>
      </w:r>
    </w:p>
    <w:p>
      <w:pPr>
        <w:spacing w:line="500" w:lineRule="exact"/>
        <w:ind w:firstLine="720" w:firstLineChars="300"/>
        <w:rPr>
          <w:rFonts w:ascii="宋体" w:hAnsi="宋体" w:cs="宋体"/>
          <w:color w:val="auto"/>
          <w:sz w:val="24"/>
          <w:szCs w:val="24"/>
        </w:rPr>
      </w:pPr>
      <w:r>
        <w:rPr>
          <w:rFonts w:hint="eastAsia" w:ascii="宋体" w:hAnsi="宋体" w:cs="宋体"/>
          <w:color w:val="auto"/>
          <w:sz w:val="24"/>
          <w:szCs w:val="24"/>
        </w:rPr>
        <w:t>第三部分 招标说明</w:t>
      </w:r>
    </w:p>
    <w:p>
      <w:pPr>
        <w:spacing w:line="500" w:lineRule="exact"/>
        <w:ind w:firstLine="720" w:firstLineChars="300"/>
        <w:rPr>
          <w:rFonts w:ascii="宋体" w:hAnsi="宋体" w:cs="宋体"/>
          <w:color w:val="auto"/>
          <w:sz w:val="24"/>
          <w:szCs w:val="24"/>
        </w:rPr>
      </w:pPr>
      <w:r>
        <w:rPr>
          <w:rFonts w:hint="eastAsia" w:ascii="宋体" w:hAnsi="宋体" w:cs="宋体"/>
          <w:color w:val="auto"/>
          <w:sz w:val="24"/>
          <w:szCs w:val="24"/>
        </w:rPr>
        <w:t>第四部分 投标说明</w:t>
      </w:r>
    </w:p>
    <w:p>
      <w:pPr>
        <w:spacing w:line="500" w:lineRule="exact"/>
        <w:ind w:firstLine="720" w:firstLineChars="300"/>
        <w:rPr>
          <w:rFonts w:ascii="宋体" w:hAnsi="宋体" w:cs="宋体"/>
          <w:color w:val="auto"/>
          <w:sz w:val="24"/>
          <w:szCs w:val="24"/>
        </w:rPr>
      </w:pPr>
      <w:r>
        <w:rPr>
          <w:rFonts w:hint="eastAsia" w:ascii="宋体" w:hAnsi="宋体" w:cs="宋体"/>
          <w:color w:val="auto"/>
          <w:sz w:val="24"/>
          <w:szCs w:val="24"/>
        </w:rPr>
        <w:t>第五部分 技术规范及设计任务书</w:t>
      </w:r>
    </w:p>
    <w:p>
      <w:pPr>
        <w:spacing w:line="500" w:lineRule="exact"/>
        <w:ind w:firstLine="720" w:firstLineChars="300"/>
        <w:rPr>
          <w:rFonts w:ascii="宋体" w:hAnsi="宋体" w:cs="宋体"/>
          <w:color w:val="auto"/>
          <w:sz w:val="24"/>
          <w:szCs w:val="24"/>
        </w:rPr>
      </w:pPr>
      <w:r>
        <w:rPr>
          <w:rFonts w:hint="eastAsia" w:ascii="宋体" w:hAnsi="宋体" w:cs="宋体"/>
          <w:color w:val="auto"/>
          <w:sz w:val="24"/>
          <w:szCs w:val="24"/>
        </w:rPr>
        <w:t>第六部分 建设工程设计合同</w:t>
      </w:r>
    </w:p>
    <w:p>
      <w:pPr>
        <w:spacing w:line="500" w:lineRule="exact"/>
        <w:ind w:firstLine="720" w:firstLineChars="300"/>
        <w:rPr>
          <w:rFonts w:ascii="宋体" w:hAnsi="宋体" w:cs="宋体"/>
          <w:color w:val="auto"/>
          <w:sz w:val="24"/>
          <w:szCs w:val="24"/>
        </w:rPr>
      </w:pPr>
      <w:r>
        <w:rPr>
          <w:rFonts w:hint="eastAsia" w:ascii="宋体" w:hAnsi="宋体"/>
          <w:color w:val="auto"/>
          <w:sz w:val="24"/>
          <w:szCs w:val="24"/>
        </w:rPr>
        <w:t xml:space="preserve">第七部分 </w:t>
      </w:r>
      <w:r>
        <w:rPr>
          <w:rFonts w:hint="eastAsia" w:ascii="宋体" w:hAnsi="宋体" w:cs="宋体"/>
          <w:color w:val="auto"/>
          <w:sz w:val="24"/>
          <w:szCs w:val="24"/>
        </w:rPr>
        <w:t>附件（投标文件编制顺序及范本格式）</w:t>
      </w:r>
    </w:p>
    <w:p>
      <w:pPr>
        <w:spacing w:line="460" w:lineRule="exact"/>
        <w:ind w:firstLine="482" w:firstLineChars="200"/>
        <w:outlineLvl w:val="1"/>
        <w:rPr>
          <w:rFonts w:ascii="宋体" w:hAnsi="宋体"/>
          <w:b/>
          <w:color w:val="auto"/>
          <w:sz w:val="24"/>
          <w:szCs w:val="24"/>
        </w:rPr>
      </w:pPr>
      <w:r>
        <w:rPr>
          <w:rFonts w:ascii="宋体" w:hAnsi="宋体"/>
          <w:b/>
          <w:color w:val="auto"/>
          <w:sz w:val="24"/>
          <w:szCs w:val="24"/>
        </w:rPr>
        <w:t>6.</w:t>
      </w:r>
      <w:r>
        <w:rPr>
          <w:rFonts w:hint="eastAsia" w:ascii="宋体" w:hAnsi="宋体"/>
          <w:b/>
          <w:color w:val="auto"/>
          <w:sz w:val="24"/>
          <w:szCs w:val="24"/>
        </w:rPr>
        <w:t>招标文件的澄清</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 xml:space="preserve">6.1在规定的提交投标文件截止之日前，招标人、招标代理机构可以对已发出的招标文件进行必要的澄清或者修改。 </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6.2招标人对已发出的招标文件进行必要澄清或者修改的，招标人应当在规定的提交投标文件截止之日</w:t>
      </w:r>
      <w:bookmarkStart w:id="2" w:name="_Hlk510021143"/>
      <w:r>
        <w:rPr>
          <w:rFonts w:hint="eastAsia" w:ascii="宋体" w:hAnsi="宋体"/>
          <w:color w:val="auto"/>
          <w:sz w:val="24"/>
          <w:szCs w:val="24"/>
        </w:rPr>
        <w:t>5个日历日</w:t>
      </w:r>
      <w:bookmarkEnd w:id="2"/>
      <w:r>
        <w:rPr>
          <w:rFonts w:hint="eastAsia" w:ascii="宋体" w:hAnsi="宋体"/>
          <w:color w:val="auto"/>
          <w:sz w:val="24"/>
          <w:szCs w:val="24"/>
        </w:rPr>
        <w:t>前，在电子招标平台上公布，投标人应登陆系统自行下载查阅澄清或者修改文件，澄清或者修改文件作为招标文件的组成部分对投标人具有约束力。不足5个日历日的，应当顺延投标人提交投标文件截止时间。</w:t>
      </w:r>
    </w:p>
    <w:p>
      <w:pPr>
        <w:spacing w:line="460" w:lineRule="exact"/>
        <w:ind w:firstLine="482" w:firstLineChars="200"/>
        <w:jc w:val="left"/>
        <w:outlineLvl w:val="1"/>
        <w:rPr>
          <w:rFonts w:ascii="宋体" w:hAnsi="宋体"/>
          <w:b/>
          <w:bCs/>
          <w:color w:val="auto"/>
          <w:sz w:val="24"/>
          <w:szCs w:val="24"/>
        </w:rPr>
      </w:pPr>
      <w:r>
        <w:rPr>
          <w:rFonts w:hint="eastAsia" w:ascii="宋体" w:hAnsi="宋体"/>
          <w:b/>
          <w:bCs/>
          <w:color w:val="auto"/>
          <w:sz w:val="24"/>
          <w:szCs w:val="24"/>
        </w:rPr>
        <w:t>7.招标文件的修改或补充</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7.1在投标截止期的5个日历日内的任何时间，招标方可主动或依据投标人要求澄清的问题而修改或补充招标文件，并在电子招标平台上公布发布。</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7.2为使投标人在准备投标时有适当的时间考虑投标文件的修改，招标方有权决定推迟投标截止日期和开标日期，并将此变更通知所有的投标人。</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7.3招标文件的修改和补充文件将构成招标文件的一部分，并且对投标人具有优先约束力。</w:t>
      </w:r>
    </w:p>
    <w:p>
      <w:pPr>
        <w:spacing w:line="460" w:lineRule="exact"/>
        <w:ind w:firstLine="480" w:firstLineChars="200"/>
        <w:jc w:val="left"/>
        <w:rPr>
          <w:rFonts w:ascii="宋体" w:hAnsi="宋体" w:cs="宋体"/>
          <w:color w:val="auto"/>
          <w:sz w:val="24"/>
          <w:szCs w:val="24"/>
        </w:rPr>
      </w:pPr>
      <w:r>
        <w:rPr>
          <w:rFonts w:hint="eastAsia" w:ascii="宋体" w:hAnsi="宋体"/>
          <w:color w:val="auto"/>
          <w:sz w:val="24"/>
          <w:szCs w:val="24"/>
        </w:rPr>
        <w:t>7.4对设备的技术参数、配置更先进、更全、更高，更能满足招标方实际需求的，优先选择。</w:t>
      </w:r>
    </w:p>
    <w:p>
      <w:pPr>
        <w:spacing w:line="500" w:lineRule="exact"/>
        <w:ind w:firstLine="482" w:firstLineChars="200"/>
        <w:jc w:val="left"/>
        <w:outlineLvl w:val="1"/>
        <w:rPr>
          <w:rFonts w:ascii="宋体" w:hAnsi="宋体" w:cs="宋体"/>
          <w:b/>
          <w:color w:val="auto"/>
          <w:sz w:val="24"/>
          <w:szCs w:val="24"/>
        </w:rPr>
      </w:pPr>
      <w:r>
        <w:rPr>
          <w:rFonts w:hint="eastAsia" w:ascii="宋体" w:hAnsi="宋体" w:cs="宋体"/>
          <w:b/>
          <w:color w:val="auto"/>
          <w:sz w:val="24"/>
          <w:szCs w:val="24"/>
        </w:rPr>
        <w:t>8.廉洁自律承诺要求</w:t>
      </w:r>
    </w:p>
    <w:p>
      <w:pPr>
        <w:spacing w:line="5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按照财政厅的有关要求，在本次招标活动中，保证不接受任何投标人送的礼金礼品、有价证券、购物券、回扣、佣金；不与投标人及其工作人员私下接触、参与宴请和娱乐活动；不向投标人及其工作人员索要好处费、赞助费和宣传费；不在投标人支付旅游费用、报销各种消费凭证；所有投标投标人必须要现场提交《反商业贿赂承诺书》；凡不填写和不提交的将视为无效招标或无效投标处理。</w:t>
      </w:r>
    </w:p>
    <w:p>
      <w:pPr>
        <w:pStyle w:val="25"/>
        <w:spacing w:line="500" w:lineRule="exact"/>
        <w:ind w:firstLine="482" w:firstLineChars="200"/>
        <w:outlineLvl w:val="1"/>
        <w:rPr>
          <w:rFonts w:cs="宋体"/>
          <w:kern w:val="2"/>
        </w:rPr>
      </w:pPr>
      <w:r>
        <w:rPr>
          <w:rFonts w:hint="eastAsia" w:cs="宋体"/>
          <w:b/>
        </w:rPr>
        <w:t>9.招标会场纪律及要求</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9.1 会议按照“公开、公平、公正、诚信”的原则，由招标采取全封闭式录像方式主持进行。</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9.2 凡没有按</w:t>
      </w:r>
      <w:r>
        <w:rPr>
          <w:rFonts w:hint="eastAsia" w:ascii="宋体" w:hAnsi="宋体" w:cs="宋体"/>
          <w:color w:val="auto"/>
          <w:sz w:val="24"/>
          <w:szCs w:val="24"/>
        </w:rPr>
        <w:t>投标报价截止时间</w:t>
      </w:r>
      <w:r>
        <w:rPr>
          <w:rFonts w:hint="eastAsia" w:ascii="宋体" w:hAnsi="宋体" w:cs="宋体"/>
          <w:bCs/>
          <w:color w:val="auto"/>
          <w:sz w:val="24"/>
          <w:szCs w:val="24"/>
        </w:rPr>
        <w:t>准时到场的投标人、评审专家、与招标活动有关的工作人员（即监标人、招标人代表、特邀代表、工作人员等），一律不允许进场。</w:t>
      </w:r>
    </w:p>
    <w:p>
      <w:pPr>
        <w:spacing w:line="500" w:lineRule="exact"/>
        <w:ind w:firstLine="480" w:firstLineChars="200"/>
        <w:rPr>
          <w:rFonts w:ascii="宋体" w:hAnsi="宋体" w:cs="宋体"/>
          <w:b/>
          <w:color w:val="auto"/>
          <w:sz w:val="24"/>
          <w:szCs w:val="24"/>
        </w:rPr>
      </w:pPr>
      <w:r>
        <w:rPr>
          <w:rFonts w:hint="eastAsia" w:ascii="宋体" w:hAnsi="宋体" w:cs="宋体"/>
          <w:color w:val="auto"/>
          <w:sz w:val="24"/>
          <w:szCs w:val="24"/>
        </w:rPr>
        <w:t>9.3 与会人员要关闭手机等一切通讯工具，严禁在会场大声喧哗。否则，将请你离开会场。</w:t>
      </w:r>
    </w:p>
    <w:p>
      <w:pPr>
        <w:spacing w:line="5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9.4 投标截止时间到后，</w:t>
      </w:r>
      <w:r>
        <w:rPr>
          <w:rFonts w:hint="eastAsia" w:ascii="宋体" w:hAnsi="宋体" w:cs="宋体"/>
          <w:bCs/>
          <w:color w:val="auto"/>
          <w:sz w:val="24"/>
          <w:szCs w:val="24"/>
        </w:rPr>
        <w:t>不允许已到场的所有投标人二次进出，招标现场对投标方的所有投标资格及评标所需的资料证明等均不接受二次提供，且不允许与外界有任何方式的联系与沟通。否则，将直接取消其投标资格。</w:t>
      </w:r>
    </w:p>
    <w:p>
      <w:pPr>
        <w:spacing w:line="500" w:lineRule="exact"/>
        <w:ind w:firstLine="480" w:firstLineChars="200"/>
        <w:rPr>
          <w:rFonts w:ascii="宋体" w:hAnsi="宋体" w:cs="宋体"/>
          <w:bCs/>
          <w:color w:val="auto"/>
          <w:sz w:val="24"/>
          <w:szCs w:val="24"/>
        </w:rPr>
      </w:pPr>
      <w:r>
        <w:rPr>
          <w:rFonts w:hint="eastAsia" w:ascii="宋体" w:hAnsi="宋体" w:cs="宋体"/>
          <w:color w:val="auto"/>
          <w:sz w:val="24"/>
          <w:szCs w:val="24"/>
        </w:rPr>
        <w:t>9.5 严禁投标方会议期间与评委单</w:t>
      </w:r>
      <w:r>
        <w:rPr>
          <w:rFonts w:hint="eastAsia" w:ascii="宋体" w:hAnsi="宋体" w:cs="宋体"/>
          <w:bCs/>
          <w:color w:val="auto"/>
          <w:sz w:val="24"/>
          <w:szCs w:val="24"/>
        </w:rPr>
        <w:t>独接触和交往。</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9.6 评标活动结束前，评标委员会各成员务必自觉做到不与外界及投标投标人有任何形式的联系，确有特殊原因需要外出或其他方面的，必须由监标人提交招标方后，方可外出，外出时须有监标人员陪同。</w:t>
      </w:r>
    </w:p>
    <w:p>
      <w:pPr>
        <w:spacing w:line="500" w:lineRule="exact"/>
        <w:ind w:firstLine="470" w:firstLineChars="196"/>
        <w:rPr>
          <w:rFonts w:ascii="宋体" w:hAnsi="宋体" w:cs="宋体"/>
          <w:color w:val="auto"/>
          <w:sz w:val="24"/>
          <w:szCs w:val="24"/>
          <w:u w:val="single"/>
        </w:rPr>
      </w:pPr>
      <w:r>
        <w:rPr>
          <w:rFonts w:hint="eastAsia" w:ascii="宋体" w:hAnsi="宋体" w:cs="宋体"/>
          <w:bCs/>
          <w:color w:val="auto"/>
          <w:sz w:val="24"/>
          <w:szCs w:val="24"/>
        </w:rPr>
        <w:t>9.7</w:t>
      </w:r>
      <w:r>
        <w:rPr>
          <w:rFonts w:hint="eastAsia" w:ascii="宋体" w:hAnsi="宋体" w:cs="宋体"/>
          <w:color w:val="auto"/>
          <w:sz w:val="24"/>
          <w:szCs w:val="24"/>
        </w:rPr>
        <w:t>投标投标人如果认为参加本次评标的专家成员及其他与会人员与其他投标投标人有利害关系的，可以现场申请其回避。如不申请其回避的，则视同无利害关系。</w:t>
      </w:r>
    </w:p>
    <w:p>
      <w:pPr>
        <w:spacing w:line="500" w:lineRule="exact"/>
        <w:ind w:firstLine="470" w:firstLineChars="196"/>
        <w:rPr>
          <w:rFonts w:ascii="宋体" w:hAnsi="宋体" w:cs="宋体"/>
          <w:color w:val="auto"/>
          <w:sz w:val="24"/>
          <w:szCs w:val="24"/>
          <w:u w:val="single"/>
        </w:rPr>
      </w:pPr>
      <w:r>
        <w:rPr>
          <w:rFonts w:hint="eastAsia" w:ascii="宋体" w:hAnsi="宋体" w:cs="宋体"/>
          <w:color w:val="auto"/>
          <w:sz w:val="24"/>
          <w:szCs w:val="24"/>
        </w:rPr>
        <w:t>9.8 对各投标人的资格审查、开标、报价、评标、询标（答疑）、澄清、定标等工作，采取逐一方式进行，评标此期间投标投标人务必保持通讯工具的畅通，不要远离招标现场，以便及时联络和不延误工作。若发生通讯工具不通或备案通讯工具号码有误，无法实现联络的，或无理拒绝或不执行招标方工作安排的，将视同自愿放弃本次投标权利。</w:t>
      </w:r>
    </w:p>
    <w:p>
      <w:pPr>
        <w:spacing w:line="500" w:lineRule="exact"/>
        <w:ind w:firstLine="470" w:firstLineChars="196"/>
        <w:rPr>
          <w:rFonts w:ascii="宋体" w:hAnsi="宋体" w:cs="宋体"/>
          <w:color w:val="auto"/>
          <w:sz w:val="24"/>
          <w:szCs w:val="24"/>
          <w:u w:val="single"/>
        </w:rPr>
      </w:pPr>
      <w:r>
        <w:rPr>
          <w:rFonts w:hint="eastAsia" w:ascii="宋体" w:hAnsi="宋体" w:cs="宋体"/>
          <w:color w:val="auto"/>
          <w:sz w:val="24"/>
          <w:szCs w:val="24"/>
        </w:rPr>
        <w:t>9.9 凡是须要经过会议通过的事宜事项，招标方对投标人在招标事后发生的已通过事宜事项的质疑或投诉，将不予采信。</w:t>
      </w:r>
    </w:p>
    <w:p>
      <w:pPr>
        <w:spacing w:line="500" w:lineRule="exact"/>
        <w:ind w:firstLine="480" w:firstLineChars="200"/>
        <w:outlineLvl w:val="1"/>
        <w:rPr>
          <w:rFonts w:ascii="宋体" w:hAnsi="宋体" w:cs="宋体"/>
          <w:bCs/>
          <w:color w:val="auto"/>
          <w:sz w:val="24"/>
          <w:szCs w:val="24"/>
        </w:rPr>
      </w:pPr>
      <w:r>
        <w:rPr>
          <w:rFonts w:hint="eastAsia" w:ascii="宋体" w:hAnsi="宋体" w:cs="宋体"/>
          <w:bCs/>
          <w:color w:val="auto"/>
          <w:sz w:val="24"/>
          <w:szCs w:val="24"/>
        </w:rPr>
        <w:t>10. 招标评标须在监标人的监督下由招标方组织进行。</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评标委员会各成员、招标人代表、投标人、特邀代表、工作人员等与会人员如有违纪、违规行为，监标人有权予以纠正或制止。</w:t>
      </w:r>
    </w:p>
    <w:p>
      <w:pPr>
        <w:spacing w:line="500" w:lineRule="exact"/>
        <w:ind w:firstLine="480" w:firstLineChars="200"/>
        <w:outlineLvl w:val="1"/>
        <w:rPr>
          <w:rFonts w:ascii="宋体" w:hAnsi="宋体" w:cs="宋体"/>
          <w:bCs/>
          <w:color w:val="auto"/>
          <w:sz w:val="24"/>
          <w:szCs w:val="24"/>
        </w:rPr>
      </w:pPr>
      <w:r>
        <w:rPr>
          <w:rFonts w:hint="eastAsia" w:ascii="宋体" w:hAnsi="宋体" w:cs="宋体"/>
          <w:bCs/>
          <w:color w:val="auto"/>
          <w:sz w:val="24"/>
          <w:szCs w:val="24"/>
        </w:rPr>
        <w:t>11.与评标活动有关的工作人员。</w:t>
      </w:r>
    </w:p>
    <w:p>
      <w:pPr>
        <w:spacing w:line="500" w:lineRule="exact"/>
        <w:ind w:firstLine="480" w:firstLineChars="200"/>
        <w:rPr>
          <w:rFonts w:ascii="宋体" w:hAnsi="宋体" w:cs="宋体"/>
          <w:b/>
          <w:color w:val="auto"/>
          <w:kern w:val="2"/>
          <w:sz w:val="32"/>
          <w:szCs w:val="32"/>
        </w:rPr>
      </w:pPr>
      <w:r>
        <w:rPr>
          <w:rFonts w:hint="eastAsia" w:ascii="宋体" w:hAnsi="宋体" w:cs="宋体"/>
          <w:bCs/>
          <w:color w:val="auto"/>
          <w:sz w:val="24"/>
          <w:szCs w:val="24"/>
        </w:rPr>
        <w:t>是指评标委员会成员以外的、因参与评标监督工作或者事务性工作而知悉有关评标情况的所有人员。</w:t>
      </w:r>
    </w:p>
    <w:p>
      <w:pPr>
        <w:pStyle w:val="102"/>
        <w:spacing w:line="500" w:lineRule="exact"/>
        <w:jc w:val="both"/>
        <w:rPr>
          <w:rFonts w:ascii="宋体" w:hAnsi="宋体" w:cs="宋体"/>
          <w:b/>
          <w:color w:val="auto"/>
          <w:kern w:val="2"/>
          <w:sz w:val="32"/>
          <w:szCs w:val="32"/>
        </w:rPr>
      </w:pPr>
    </w:p>
    <w:p>
      <w:pPr>
        <w:pStyle w:val="102"/>
        <w:spacing w:line="500" w:lineRule="exact"/>
        <w:jc w:val="center"/>
        <w:outlineLvl w:val="0"/>
        <w:rPr>
          <w:rFonts w:ascii="宋体" w:hAnsi="宋体" w:cs="宋体"/>
          <w:b/>
          <w:color w:val="auto"/>
          <w:kern w:val="2"/>
          <w:sz w:val="32"/>
          <w:szCs w:val="32"/>
        </w:rPr>
      </w:pPr>
      <w:r>
        <w:rPr>
          <w:rFonts w:ascii="宋体" w:hAnsi="宋体" w:cs="宋体"/>
          <w:b/>
          <w:color w:val="auto"/>
          <w:kern w:val="2"/>
          <w:sz w:val="32"/>
          <w:szCs w:val="32"/>
        </w:rPr>
        <w:br w:type="page"/>
      </w:r>
      <w:r>
        <w:rPr>
          <w:rFonts w:hint="eastAsia" w:ascii="宋体" w:hAnsi="宋体" w:cs="宋体"/>
          <w:b/>
          <w:color w:val="auto"/>
          <w:kern w:val="2"/>
          <w:sz w:val="32"/>
          <w:szCs w:val="32"/>
        </w:rPr>
        <w:t>第四部分 投标说明</w:t>
      </w:r>
    </w:p>
    <w:p>
      <w:pPr>
        <w:spacing w:line="500" w:lineRule="exact"/>
        <w:jc w:val="center"/>
        <w:outlineLvl w:val="1"/>
        <w:rPr>
          <w:rFonts w:ascii="宋体" w:hAnsi="宋体" w:cs="宋体"/>
          <w:b/>
          <w:color w:val="auto"/>
          <w:sz w:val="28"/>
          <w:szCs w:val="28"/>
        </w:rPr>
      </w:pPr>
      <w:r>
        <w:rPr>
          <w:rFonts w:hint="eastAsia" w:ascii="宋体" w:hAnsi="宋体" w:cs="宋体"/>
          <w:b/>
          <w:color w:val="auto"/>
          <w:sz w:val="28"/>
          <w:szCs w:val="28"/>
        </w:rPr>
        <w:t>第一章、对投标方的资格要求</w:t>
      </w:r>
    </w:p>
    <w:p>
      <w:pPr>
        <w:spacing w:line="500" w:lineRule="exact"/>
        <w:ind w:firstLine="480" w:firstLineChars="200"/>
        <w:rPr>
          <w:rFonts w:ascii="宋体" w:hAnsi="宋体" w:cs="宋体"/>
          <w:bCs/>
          <w:color w:val="auto"/>
          <w:sz w:val="24"/>
          <w:szCs w:val="24"/>
        </w:rPr>
      </w:pPr>
      <w:r>
        <w:rPr>
          <w:rFonts w:hint="eastAsia" w:ascii="宋体" w:hAnsi="宋体" w:cs="宋体"/>
          <w:color w:val="auto"/>
          <w:sz w:val="24"/>
          <w:szCs w:val="24"/>
        </w:rPr>
        <w:t>1.1　投标人必须提交能够证明其具有履行本招标项目合同能力的资格证明文件，作为投标文件的一部分。</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 xml:space="preserve">1.2 投标时资格审查的必备条件。投标人的法定代表人或其委托代理人应当按时参加开标会，并向招标人提交法定代表人身份证明文件或法定代表人授权委托书，出示本人身份证，以证明其出席。开标前，请各投标人随身携带下列有效证件以备查验： </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（1）年检合格的</w:t>
      </w:r>
      <w:r>
        <w:rPr>
          <w:rFonts w:hint="eastAsia" w:ascii="宋体" w:hAnsi="宋体" w:cs="宋体"/>
          <w:color w:val="auto"/>
          <w:szCs w:val="21"/>
        </w:rPr>
        <w:t>营业执照或事业单位法人证书原件的</w:t>
      </w:r>
      <w:r>
        <w:rPr>
          <w:rFonts w:ascii="宋体" w:hAnsi="宋体" w:cs="宋体"/>
          <w:color w:val="auto"/>
          <w:szCs w:val="21"/>
        </w:rPr>
        <w:t>扫描件加盖公章</w:t>
      </w:r>
      <w:r>
        <w:rPr>
          <w:rFonts w:hint="eastAsia" w:ascii="宋体" w:hAnsi="宋体" w:cs="宋体"/>
          <w:color w:val="auto"/>
          <w:szCs w:val="21"/>
        </w:rPr>
        <w:t>、税务登记证原件扫描件加盖</w:t>
      </w:r>
      <w:r>
        <w:rPr>
          <w:rFonts w:ascii="宋体" w:hAnsi="宋体" w:cs="宋体"/>
          <w:color w:val="auto"/>
          <w:szCs w:val="21"/>
        </w:rPr>
        <w:t>公章</w:t>
      </w:r>
      <w:r>
        <w:rPr>
          <w:rFonts w:hint="eastAsia" w:ascii="宋体" w:hAnsi="宋体" w:cs="宋体"/>
          <w:color w:val="auto"/>
          <w:szCs w:val="21"/>
        </w:rPr>
        <w:t>(三证合一无需提供)、组织机构代码证原件扫描件加盖</w:t>
      </w:r>
      <w:r>
        <w:rPr>
          <w:rFonts w:ascii="宋体" w:hAnsi="宋体" w:cs="宋体"/>
          <w:color w:val="auto"/>
          <w:szCs w:val="21"/>
        </w:rPr>
        <w:t>公章</w:t>
      </w:r>
      <w:r>
        <w:rPr>
          <w:rFonts w:hint="eastAsia" w:ascii="宋体" w:hAnsi="宋体" w:cs="宋体"/>
          <w:color w:val="auto"/>
          <w:szCs w:val="21"/>
        </w:rPr>
        <w:t>(三证合一无需提供)</w:t>
      </w:r>
      <w:r>
        <w:rPr>
          <w:rFonts w:hint="eastAsia" w:ascii="宋体" w:hAnsi="宋体" w:cs="宋体"/>
          <w:color w:val="auto"/>
          <w:sz w:val="24"/>
          <w:szCs w:val="24"/>
        </w:rPr>
        <w:t>或同等法律效力的证明文件（发证机关或公证机关出具的证明材料原件扫描件</w:t>
      </w:r>
      <w:r>
        <w:rPr>
          <w:rFonts w:ascii="宋体" w:hAnsi="宋体" w:cs="宋体"/>
          <w:color w:val="auto"/>
          <w:sz w:val="24"/>
          <w:szCs w:val="24"/>
        </w:rPr>
        <w:t>加盖公章</w:t>
      </w:r>
      <w:r>
        <w:rPr>
          <w:rFonts w:hint="eastAsia" w:ascii="宋体" w:hAnsi="宋体" w:cs="宋体"/>
          <w:color w:val="auto"/>
          <w:sz w:val="24"/>
          <w:szCs w:val="24"/>
        </w:rPr>
        <w:t xml:space="preserve">）； </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Cs w:val="21"/>
        </w:rPr>
        <w:t>法人授权委托书原件</w:t>
      </w:r>
      <w:r>
        <w:rPr>
          <w:rFonts w:hint="eastAsia" w:ascii="宋体" w:hAnsi="宋体" w:cs="宋体"/>
          <w:color w:val="auto"/>
          <w:sz w:val="24"/>
          <w:szCs w:val="24"/>
        </w:rPr>
        <w:t>(法定代表人本人投标时除外)及</w:t>
      </w:r>
      <w:r>
        <w:rPr>
          <w:rFonts w:hint="eastAsia" w:ascii="宋体" w:hAnsi="宋体" w:cs="宋体"/>
          <w:color w:val="auto"/>
          <w:szCs w:val="21"/>
        </w:rPr>
        <w:t>委托代理人身份证原件</w:t>
      </w:r>
      <w:r>
        <w:rPr>
          <w:rFonts w:hint="eastAsia" w:ascii="宋体" w:hAnsi="宋体" w:cs="宋体"/>
          <w:color w:val="auto"/>
          <w:sz w:val="24"/>
          <w:szCs w:val="24"/>
        </w:rPr>
        <w:t>或同等法律效力的证明文件（发证机关或公证机关出具的证明材料原件）；</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（3）资质证书原件扫描件</w:t>
      </w:r>
      <w:r>
        <w:rPr>
          <w:rFonts w:ascii="宋体" w:hAnsi="宋体" w:cs="宋体"/>
          <w:color w:val="auto"/>
          <w:sz w:val="24"/>
          <w:szCs w:val="24"/>
        </w:rPr>
        <w:t>加盖公章</w:t>
      </w:r>
      <w:r>
        <w:rPr>
          <w:rFonts w:hint="eastAsia" w:ascii="宋体" w:hAnsi="宋体" w:cs="宋体"/>
          <w:color w:val="auto"/>
          <w:sz w:val="24"/>
          <w:szCs w:val="24"/>
        </w:rPr>
        <w:t>；</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（4）投标保证金收据原件或者汇款凭证加盖公章；</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（5）投标人反商业贿赂承诺书原件。</w:t>
      </w:r>
    </w:p>
    <w:p>
      <w:pPr>
        <w:rPr>
          <w:b/>
          <w:color w:val="auto"/>
          <w:sz w:val="24"/>
          <w:szCs w:val="24"/>
          <w:u w:val="single"/>
        </w:rPr>
      </w:pPr>
      <w:r>
        <w:rPr>
          <w:rFonts w:hint="eastAsia"/>
          <w:b/>
          <w:color w:val="auto"/>
          <w:sz w:val="24"/>
          <w:szCs w:val="24"/>
          <w:u w:val="single"/>
        </w:rPr>
        <w:t>上述证件齐全、满足要求的投标人为有效投标人。否则，其投标文件不予接受。</w:t>
      </w:r>
    </w:p>
    <w:p>
      <w:pPr>
        <w:spacing w:line="500" w:lineRule="exact"/>
        <w:ind w:firstLine="482" w:firstLineChars="200"/>
        <w:rPr>
          <w:rFonts w:ascii="宋体" w:hAnsi="宋体" w:cs="宋体"/>
          <w:b/>
          <w:color w:val="auto"/>
          <w:sz w:val="24"/>
          <w:szCs w:val="24"/>
        </w:rPr>
      </w:pPr>
      <w:r>
        <w:rPr>
          <w:rFonts w:hint="eastAsia" w:ascii="宋体" w:hAnsi="宋体" w:cs="宋体"/>
          <w:b/>
          <w:bCs/>
          <w:color w:val="auto"/>
          <w:sz w:val="24"/>
          <w:szCs w:val="24"/>
        </w:rPr>
        <w:t>1.3 投标时的审查项目。投标人如果不能提供或有缺项的，则相应本项目视为对招标文件审查项目内容的不响应，且本项目将做为是否中标的重要因素。</w:t>
      </w:r>
    </w:p>
    <w:p>
      <w:pPr>
        <w:spacing w:line="460" w:lineRule="exact"/>
        <w:ind w:firstLine="480" w:firstLineChars="200"/>
        <w:rPr>
          <w:rFonts w:ascii="宋体" w:hAnsi="宋体" w:cs="Arial"/>
          <w:color w:val="auto"/>
          <w:sz w:val="24"/>
          <w:szCs w:val="24"/>
        </w:rPr>
      </w:pPr>
      <w:r>
        <w:rPr>
          <w:rFonts w:hint="eastAsia" w:ascii="宋体" w:hAnsi="宋体" w:cs="Arial"/>
          <w:color w:val="auto"/>
          <w:sz w:val="24"/>
          <w:szCs w:val="24"/>
        </w:rPr>
        <w:t>（1）投标人合法经营和履行国家规定义务的有关证明；</w:t>
      </w:r>
    </w:p>
    <w:p>
      <w:pPr>
        <w:spacing w:line="460" w:lineRule="exact"/>
        <w:ind w:firstLine="480"/>
        <w:rPr>
          <w:rFonts w:ascii="宋体" w:hAnsi="宋体" w:cs="Arial"/>
          <w:color w:val="auto"/>
          <w:sz w:val="24"/>
          <w:szCs w:val="24"/>
        </w:rPr>
      </w:pPr>
      <w:r>
        <w:rPr>
          <w:rFonts w:hint="eastAsia" w:ascii="宋体" w:hAnsi="宋体" w:cs="Arial"/>
          <w:color w:val="auto"/>
          <w:sz w:val="24"/>
          <w:szCs w:val="24"/>
        </w:rPr>
        <w:t>（3）投标方提供售后服务体系、服务保证及服务承诺。投标方应有能力履行招标文件中规定的、合同条款和技术要求方面的义务；</w:t>
      </w:r>
    </w:p>
    <w:p>
      <w:pPr>
        <w:spacing w:line="460" w:lineRule="exact"/>
        <w:ind w:firstLine="480"/>
        <w:rPr>
          <w:rFonts w:ascii="宋体" w:hAnsi="宋体" w:cs="Arial"/>
          <w:color w:val="auto"/>
          <w:sz w:val="24"/>
          <w:szCs w:val="24"/>
        </w:rPr>
      </w:pPr>
      <w:r>
        <w:rPr>
          <w:rFonts w:hint="eastAsia" w:ascii="宋体" w:hAnsi="宋体" w:cs="Arial"/>
          <w:color w:val="auto"/>
          <w:sz w:val="24"/>
          <w:szCs w:val="24"/>
        </w:rPr>
        <w:t>（4）投标人所需具有同类服务的成功案例、近三年的业绩（提供中标通知书或合同为有效案例），否则将视同无业绩；</w:t>
      </w:r>
    </w:p>
    <w:p>
      <w:pPr>
        <w:spacing w:line="460" w:lineRule="exact"/>
        <w:ind w:firstLine="480"/>
        <w:rPr>
          <w:rFonts w:ascii="宋体" w:hAnsi="宋体" w:cs="宋体"/>
          <w:bCs/>
          <w:color w:val="auto"/>
          <w:sz w:val="24"/>
          <w:szCs w:val="24"/>
        </w:rPr>
      </w:pPr>
      <w:r>
        <w:rPr>
          <w:rFonts w:hint="eastAsia" w:ascii="宋体" w:hAnsi="宋体" w:cs="Arial"/>
          <w:color w:val="auto"/>
          <w:sz w:val="24"/>
          <w:szCs w:val="24"/>
        </w:rPr>
        <w:t>（5）本招标文件中除上述投标资质要求之外的其他方面的资质证明文件。</w:t>
      </w:r>
    </w:p>
    <w:p>
      <w:pPr>
        <w:spacing w:line="500" w:lineRule="exact"/>
        <w:ind w:firstLine="482" w:firstLineChars="200"/>
        <w:rPr>
          <w:rFonts w:ascii="宋体" w:hAnsi="宋体" w:cs="宋体"/>
          <w:b/>
          <w:color w:val="auto"/>
          <w:sz w:val="24"/>
          <w:szCs w:val="24"/>
        </w:rPr>
      </w:pPr>
      <w:r>
        <w:rPr>
          <w:rFonts w:hint="eastAsia" w:ascii="宋体" w:hAnsi="宋体" w:cs="宋体"/>
          <w:b/>
          <w:bCs/>
          <w:color w:val="auto"/>
          <w:sz w:val="24"/>
          <w:szCs w:val="24"/>
        </w:rPr>
        <w:t>1.4 开标现场对投标方要求，严格遵循“第三部分”中</w:t>
      </w:r>
      <w:r>
        <w:rPr>
          <w:rFonts w:hint="eastAsia" w:ascii="宋体" w:hAnsi="宋体" w:cs="宋体"/>
          <w:b/>
          <w:color w:val="auto"/>
          <w:sz w:val="24"/>
          <w:szCs w:val="24"/>
        </w:rPr>
        <w:t>9.8条款之规定。</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1.5 投标方保证和承诺所报价不存在恶意或有意压价、恶意或有意虚报报价，也不存在恶意或有意抬高报价等行为。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1.6 投标方保证和承诺不存在与其它投标人有串标、陪标等行为。</w:t>
      </w:r>
    </w:p>
    <w:p>
      <w:pPr>
        <w:spacing w:line="500" w:lineRule="exact"/>
        <w:jc w:val="center"/>
        <w:outlineLvl w:val="1"/>
        <w:rPr>
          <w:rFonts w:ascii="宋体" w:hAnsi="宋体" w:cs="宋体"/>
          <w:b/>
          <w:color w:val="auto"/>
          <w:sz w:val="28"/>
          <w:szCs w:val="28"/>
        </w:rPr>
      </w:pPr>
      <w:r>
        <w:rPr>
          <w:rFonts w:hint="eastAsia" w:ascii="宋体" w:hAnsi="宋体" w:cs="宋体"/>
          <w:b/>
          <w:color w:val="auto"/>
          <w:sz w:val="28"/>
          <w:szCs w:val="28"/>
        </w:rPr>
        <w:t>第二章、投标文件的编写</w:t>
      </w:r>
    </w:p>
    <w:p>
      <w:pPr>
        <w:autoSpaceDE w:val="0"/>
        <w:autoSpaceDN w:val="0"/>
        <w:adjustRightInd w:val="0"/>
        <w:spacing w:line="500" w:lineRule="exact"/>
        <w:ind w:firstLine="482"/>
        <w:rPr>
          <w:rFonts w:ascii="宋体" w:hAnsi="宋体" w:cs="宋体"/>
          <w:b/>
          <w:bCs/>
          <w:color w:val="auto"/>
          <w:sz w:val="24"/>
          <w:szCs w:val="24"/>
        </w:rPr>
      </w:pPr>
      <w:r>
        <w:rPr>
          <w:rFonts w:hint="eastAsia" w:ascii="宋体" w:hAnsi="宋体" w:cs="宋体"/>
          <w:b/>
          <w:bCs/>
          <w:color w:val="auto"/>
          <w:sz w:val="24"/>
          <w:szCs w:val="24"/>
        </w:rPr>
        <w:t>2</w:t>
      </w:r>
      <w:r>
        <w:rPr>
          <w:rFonts w:hint="eastAsia" w:ascii="宋体" w:hAnsi="宋体" w:cs="宋体"/>
          <w:b/>
          <w:bCs/>
          <w:color w:val="auto"/>
          <w:sz w:val="24"/>
          <w:szCs w:val="24"/>
          <w:lang w:val="zh-CN"/>
        </w:rPr>
        <w:t>．要求</w:t>
      </w:r>
    </w:p>
    <w:p>
      <w:pPr>
        <w:autoSpaceDE w:val="0"/>
        <w:autoSpaceDN w:val="0"/>
        <w:adjustRightInd w:val="0"/>
        <w:spacing w:line="500" w:lineRule="exact"/>
        <w:ind w:firstLine="480"/>
        <w:rPr>
          <w:rFonts w:ascii="宋体" w:hAnsi="宋体" w:cs="宋体"/>
          <w:color w:val="auto"/>
          <w:sz w:val="24"/>
          <w:szCs w:val="24"/>
          <w:lang w:val="zh-CN"/>
        </w:rPr>
      </w:pPr>
      <w:r>
        <w:rPr>
          <w:rFonts w:hint="eastAsia" w:ascii="宋体" w:hAnsi="宋体" w:cs="宋体"/>
          <w:color w:val="auto"/>
          <w:sz w:val="24"/>
          <w:szCs w:val="24"/>
          <w:lang w:val="zh-CN"/>
        </w:rPr>
        <w:t>2.1 投标人应详细阅读招标方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pPr>
        <w:spacing w:line="500" w:lineRule="exact"/>
        <w:ind w:firstLine="480" w:firstLineChars="200"/>
        <w:rPr>
          <w:rFonts w:ascii="宋体" w:hAnsi="宋体" w:cs="宋体"/>
          <w:b/>
          <w:color w:val="auto"/>
          <w:sz w:val="24"/>
          <w:szCs w:val="24"/>
        </w:rPr>
      </w:pPr>
      <w:r>
        <w:rPr>
          <w:rFonts w:hint="eastAsia" w:ascii="宋体" w:hAnsi="宋体" w:cs="宋体"/>
          <w:color w:val="auto"/>
          <w:sz w:val="24"/>
          <w:szCs w:val="24"/>
          <w:lang w:val="zh-CN"/>
        </w:rPr>
        <w:t>2.2 投标人对本次招标的全部内容进行报价，不允许投标人对某一项或部分项进行报价。</w:t>
      </w:r>
      <w:r>
        <w:rPr>
          <w:rFonts w:hint="eastAsia" w:ascii="宋体" w:hAnsi="宋体" w:cs="宋体"/>
          <w:b/>
          <w:color w:val="auto"/>
          <w:sz w:val="24"/>
          <w:szCs w:val="24"/>
        </w:rPr>
        <w:t>最低投标报价不一定是中标的保证。</w:t>
      </w:r>
    </w:p>
    <w:p>
      <w:pPr>
        <w:autoSpaceDE w:val="0"/>
        <w:autoSpaceDN w:val="0"/>
        <w:adjustRightInd w:val="0"/>
        <w:spacing w:line="500" w:lineRule="exact"/>
        <w:ind w:firstLine="482"/>
        <w:rPr>
          <w:rFonts w:ascii="宋体" w:hAnsi="宋体" w:cs="宋体"/>
          <w:b/>
          <w:bCs/>
          <w:color w:val="auto"/>
          <w:sz w:val="24"/>
          <w:szCs w:val="24"/>
        </w:rPr>
      </w:pPr>
      <w:r>
        <w:rPr>
          <w:rFonts w:hint="eastAsia" w:ascii="宋体" w:hAnsi="宋体" w:cs="宋体"/>
          <w:b/>
          <w:bCs/>
          <w:color w:val="auto"/>
          <w:sz w:val="24"/>
          <w:szCs w:val="24"/>
        </w:rPr>
        <w:t>3</w:t>
      </w:r>
      <w:r>
        <w:rPr>
          <w:rFonts w:hint="eastAsia" w:ascii="宋体" w:hAnsi="宋体" w:cs="宋体"/>
          <w:b/>
          <w:bCs/>
          <w:color w:val="auto"/>
          <w:sz w:val="24"/>
          <w:szCs w:val="24"/>
          <w:lang w:val="zh-CN"/>
        </w:rPr>
        <w:t>．投标文件语言和度量单位</w:t>
      </w:r>
    </w:p>
    <w:p>
      <w:pPr>
        <w:autoSpaceDE w:val="0"/>
        <w:autoSpaceDN w:val="0"/>
        <w:adjustRightInd w:val="0"/>
        <w:spacing w:line="500" w:lineRule="exact"/>
        <w:ind w:firstLine="480"/>
        <w:rPr>
          <w:rFonts w:ascii="宋体" w:hAnsi="宋体" w:cs="宋体"/>
          <w:color w:val="auto"/>
          <w:sz w:val="24"/>
          <w:szCs w:val="24"/>
          <w:lang w:val="zh-CN"/>
        </w:rPr>
      </w:pPr>
      <w:r>
        <w:rPr>
          <w:rFonts w:hint="eastAsia" w:ascii="宋体" w:hAnsi="宋体" w:cs="宋体"/>
          <w:color w:val="auto"/>
          <w:sz w:val="24"/>
          <w:szCs w:val="24"/>
          <w:lang w:val="zh-CN"/>
        </w:rPr>
        <w:t>3.1 投标人和招标人就招标、投标交换的文件和往来信件，须以中文书写。</w:t>
      </w:r>
    </w:p>
    <w:p>
      <w:pPr>
        <w:autoSpaceDE w:val="0"/>
        <w:autoSpaceDN w:val="0"/>
        <w:adjustRightInd w:val="0"/>
        <w:spacing w:line="500" w:lineRule="exact"/>
        <w:ind w:firstLine="480"/>
        <w:rPr>
          <w:rFonts w:ascii="宋体" w:hAnsi="宋体" w:cs="宋体"/>
          <w:color w:val="auto"/>
          <w:sz w:val="24"/>
          <w:szCs w:val="24"/>
          <w:lang w:val="zh-CN"/>
        </w:rPr>
      </w:pPr>
      <w:r>
        <w:rPr>
          <w:rFonts w:hint="eastAsia" w:ascii="宋体" w:hAnsi="宋体" w:cs="宋体"/>
          <w:color w:val="auto"/>
          <w:sz w:val="24"/>
          <w:szCs w:val="24"/>
          <w:lang w:val="zh-CN"/>
        </w:rPr>
        <w:t>3.2 除在招标文件的技术规格中另有规定外，计量单位应使用中华人民共和国法定计量单位。</w:t>
      </w:r>
    </w:p>
    <w:p>
      <w:pPr>
        <w:numPr>
          <w:ilvl w:val="0"/>
          <w:numId w:val="9"/>
        </w:numPr>
        <w:autoSpaceDE w:val="0"/>
        <w:autoSpaceDN w:val="0"/>
        <w:adjustRightInd w:val="0"/>
        <w:spacing w:line="500" w:lineRule="exact"/>
        <w:ind w:firstLine="482"/>
        <w:rPr>
          <w:rFonts w:ascii="宋体" w:hAnsi="宋体" w:cs="宋体"/>
          <w:b/>
          <w:bCs/>
          <w:color w:val="auto"/>
          <w:sz w:val="24"/>
          <w:szCs w:val="24"/>
          <w:lang w:val="zh-CN"/>
        </w:rPr>
      </w:pPr>
      <w:r>
        <w:rPr>
          <w:rFonts w:hint="eastAsia" w:ascii="宋体" w:hAnsi="宋体" w:cs="宋体"/>
          <w:b/>
          <w:bCs/>
          <w:color w:val="auto"/>
          <w:sz w:val="24"/>
          <w:szCs w:val="24"/>
          <w:lang w:val="zh-CN"/>
        </w:rPr>
        <w:t>投标文件的组成</w:t>
      </w:r>
    </w:p>
    <w:p>
      <w:pPr>
        <w:autoSpaceDE w:val="0"/>
        <w:autoSpaceDN w:val="0"/>
        <w:adjustRightInd w:val="0"/>
        <w:spacing w:line="500" w:lineRule="exact"/>
        <w:ind w:firstLine="480"/>
        <w:rPr>
          <w:rFonts w:ascii="宋体" w:hAnsi="宋体" w:cs="宋体"/>
          <w:b/>
          <w:bCs/>
          <w:color w:val="auto"/>
          <w:sz w:val="24"/>
          <w:szCs w:val="24"/>
          <w:lang w:val="zh-CN"/>
        </w:rPr>
      </w:pPr>
      <w:r>
        <w:rPr>
          <w:rFonts w:hint="eastAsia" w:ascii="宋体" w:hAnsi="宋体" w:cs="宋体"/>
          <w:b/>
          <w:bCs/>
          <w:color w:val="auto"/>
          <w:sz w:val="24"/>
          <w:szCs w:val="24"/>
          <w:lang w:val="zh-CN"/>
        </w:rPr>
        <w:t>4.1 投标人编写的投标文件应包括下列内容：</w:t>
      </w:r>
    </w:p>
    <w:p>
      <w:pPr>
        <w:autoSpaceDE w:val="0"/>
        <w:autoSpaceDN w:val="0"/>
        <w:adjustRightInd w:val="0"/>
        <w:spacing w:line="500" w:lineRule="exact"/>
        <w:rPr>
          <w:rFonts w:ascii="宋体" w:hAnsi="宋体"/>
          <w:color w:val="auto"/>
          <w:sz w:val="24"/>
        </w:rPr>
      </w:pPr>
      <w:r>
        <w:rPr>
          <w:rFonts w:hint="eastAsia" w:ascii="宋体" w:hAnsi="宋体"/>
          <w:color w:val="auto"/>
          <w:sz w:val="24"/>
        </w:rPr>
        <w:t>投标人应按下列顺序排列和装订投标文件：</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（1）投标人简况；</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（2）投标函；</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（3）开标一览表（另行单独密封一份唱标时用）；</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（4）法定代表人身份证明或附有法定代表人身份证明的授权委托书；</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hint="eastAsia" w:ascii="宋体" w:hAnsi="宋体" w:cs="宋体"/>
          <w:color w:val="auto"/>
          <w:szCs w:val="21"/>
        </w:rPr>
        <w:t>营业执照或事业单位法人证书原件的</w:t>
      </w:r>
      <w:r>
        <w:rPr>
          <w:rFonts w:ascii="宋体" w:hAnsi="宋体" w:cs="宋体"/>
          <w:color w:val="auto"/>
          <w:szCs w:val="21"/>
        </w:rPr>
        <w:t>扫描件加盖公章</w:t>
      </w:r>
      <w:r>
        <w:rPr>
          <w:rFonts w:hint="eastAsia" w:ascii="宋体" w:hAnsi="宋体" w:cs="宋体"/>
          <w:color w:val="auto"/>
          <w:szCs w:val="21"/>
        </w:rPr>
        <w:t>、税务登记证原件扫描件加盖</w:t>
      </w:r>
      <w:r>
        <w:rPr>
          <w:rFonts w:ascii="宋体" w:hAnsi="宋体" w:cs="宋体"/>
          <w:color w:val="auto"/>
          <w:szCs w:val="21"/>
        </w:rPr>
        <w:t>公章</w:t>
      </w:r>
      <w:r>
        <w:rPr>
          <w:rFonts w:hint="eastAsia" w:ascii="宋体" w:hAnsi="宋体" w:cs="宋体"/>
          <w:color w:val="auto"/>
          <w:szCs w:val="21"/>
        </w:rPr>
        <w:t>(三证合一无需提供)、组织机构代码证原件扫描件加盖</w:t>
      </w:r>
      <w:r>
        <w:rPr>
          <w:rFonts w:ascii="宋体" w:hAnsi="宋体" w:cs="宋体"/>
          <w:color w:val="auto"/>
          <w:szCs w:val="21"/>
        </w:rPr>
        <w:t>公章</w:t>
      </w:r>
      <w:r>
        <w:rPr>
          <w:rFonts w:hint="eastAsia" w:ascii="宋体" w:hAnsi="宋体" w:cs="宋体"/>
          <w:color w:val="auto"/>
          <w:szCs w:val="21"/>
        </w:rPr>
        <w:t>(三证合一无需提供)、资质证书原件扫描件加盖</w:t>
      </w:r>
      <w:r>
        <w:rPr>
          <w:rFonts w:ascii="宋体" w:hAnsi="宋体" w:cs="宋体"/>
          <w:color w:val="auto"/>
          <w:szCs w:val="21"/>
        </w:rPr>
        <w:t>公章</w:t>
      </w:r>
      <w:r>
        <w:rPr>
          <w:rFonts w:hint="eastAsia" w:ascii="宋体" w:hAnsi="宋体" w:cs="宋体"/>
          <w:color w:val="auto"/>
          <w:szCs w:val="21"/>
        </w:rPr>
        <w:t>。</w:t>
      </w:r>
    </w:p>
    <w:p>
      <w:pPr>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（6）投标人在“信用中国”网站（www.creditchina.gov.cn）、中国政府招标网（www.ccgp.gov.cn）查询相关投标人主体信用记录截图；</w:t>
      </w:r>
    </w:p>
    <w:p>
      <w:pPr>
        <w:autoSpaceDE w:val="0"/>
        <w:autoSpaceDN w:val="0"/>
        <w:adjustRightInd w:val="0"/>
        <w:spacing w:line="480" w:lineRule="exact"/>
        <w:ind w:firstLine="480" w:firstLineChars="200"/>
        <w:rPr>
          <w:rFonts w:ascii="宋体" w:hAnsi="宋体"/>
          <w:color w:val="auto"/>
          <w:sz w:val="24"/>
          <w:lang w:val="zh-CN"/>
        </w:rPr>
      </w:pPr>
      <w:r>
        <w:rPr>
          <w:rFonts w:hint="eastAsia" w:ascii="宋体" w:hAnsi="宋体"/>
          <w:color w:val="auto"/>
          <w:sz w:val="24"/>
        </w:rPr>
        <w:t>（7）</w:t>
      </w:r>
      <w:r>
        <w:rPr>
          <w:rFonts w:hint="eastAsia" w:ascii="宋体" w:hAnsi="宋体" w:cs="仿宋_GB2312"/>
          <w:color w:val="auto"/>
          <w:sz w:val="24"/>
          <w:szCs w:val="24"/>
          <w:lang w:val="zh-CN"/>
        </w:rPr>
        <w:t>关于资格声明函</w:t>
      </w:r>
      <w:r>
        <w:rPr>
          <w:rFonts w:hint="eastAsia" w:ascii="宋体" w:hAnsi="宋体"/>
          <w:color w:val="auto"/>
          <w:sz w:val="24"/>
        </w:rPr>
        <w:t xml:space="preserve"> ；</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hint="eastAsia" w:ascii="宋体" w:hAnsi="宋体" w:cs="仿宋_GB2312"/>
          <w:color w:val="auto"/>
          <w:sz w:val="24"/>
          <w:szCs w:val="24"/>
        </w:rPr>
        <w:t>8</w:t>
      </w:r>
      <w:r>
        <w:rPr>
          <w:rFonts w:hint="eastAsia" w:ascii="宋体" w:hAnsi="宋体" w:cs="仿宋_GB2312"/>
          <w:color w:val="auto"/>
          <w:sz w:val="24"/>
          <w:szCs w:val="24"/>
          <w:lang w:val="zh-CN"/>
        </w:rPr>
        <w:t>）投标人信誉及实力；</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lang w:val="zh-CN"/>
        </w:rPr>
        <w:t>（</w:t>
      </w:r>
      <w:r>
        <w:rPr>
          <w:rFonts w:hint="eastAsia" w:ascii="宋体" w:hAnsi="宋体" w:cs="仿宋_GB2312"/>
          <w:color w:val="auto"/>
          <w:sz w:val="24"/>
          <w:szCs w:val="24"/>
        </w:rPr>
        <w:t>9</w:t>
      </w:r>
      <w:r>
        <w:rPr>
          <w:rFonts w:hint="eastAsia" w:ascii="宋体" w:hAnsi="宋体" w:cs="仿宋_GB2312"/>
          <w:color w:val="auto"/>
          <w:sz w:val="24"/>
          <w:szCs w:val="24"/>
          <w:lang w:val="zh-CN"/>
        </w:rPr>
        <w:t>）</w:t>
      </w:r>
      <w:r>
        <w:rPr>
          <w:rFonts w:hint="eastAsia" w:ascii="宋体" w:hAnsi="宋体" w:cs="仿宋_GB2312"/>
          <w:color w:val="auto"/>
          <w:sz w:val="24"/>
          <w:szCs w:val="24"/>
        </w:rPr>
        <w:t>项目类似业绩（详见评分表要求）；</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lang w:val="zh-CN"/>
        </w:rPr>
        <w:t>（</w:t>
      </w:r>
      <w:r>
        <w:rPr>
          <w:rFonts w:hint="eastAsia" w:ascii="宋体" w:hAnsi="宋体" w:cs="仿宋_GB2312"/>
          <w:color w:val="auto"/>
          <w:sz w:val="24"/>
          <w:szCs w:val="24"/>
        </w:rPr>
        <w:t>10</w:t>
      </w:r>
      <w:r>
        <w:rPr>
          <w:rFonts w:hint="eastAsia" w:ascii="宋体" w:hAnsi="宋体" w:cs="仿宋_GB2312"/>
          <w:color w:val="auto"/>
          <w:sz w:val="24"/>
          <w:szCs w:val="24"/>
          <w:lang w:val="zh-CN"/>
        </w:rPr>
        <w:t>）</w:t>
      </w:r>
      <w:r>
        <w:rPr>
          <w:rFonts w:hint="eastAsia" w:ascii="宋体" w:hAnsi="宋体" w:cs="仿宋_GB2312"/>
          <w:color w:val="auto"/>
          <w:sz w:val="24"/>
          <w:szCs w:val="24"/>
        </w:rPr>
        <w:t>人员配置；</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lang w:val="zh-CN"/>
        </w:rPr>
        <w:t>（</w:t>
      </w:r>
      <w:r>
        <w:rPr>
          <w:rFonts w:hint="eastAsia" w:ascii="宋体" w:hAnsi="宋体" w:cs="仿宋_GB2312"/>
          <w:color w:val="auto"/>
          <w:sz w:val="24"/>
          <w:szCs w:val="24"/>
        </w:rPr>
        <w:t>11</w:t>
      </w:r>
      <w:r>
        <w:rPr>
          <w:rFonts w:hint="eastAsia" w:ascii="宋体" w:hAnsi="宋体" w:cs="仿宋_GB2312"/>
          <w:color w:val="auto"/>
          <w:sz w:val="24"/>
          <w:szCs w:val="24"/>
          <w:lang w:val="zh-CN"/>
        </w:rPr>
        <w:t>）</w:t>
      </w:r>
      <w:r>
        <w:rPr>
          <w:rFonts w:hint="eastAsia" w:ascii="宋体" w:hAnsi="宋体" w:cs="仿宋_GB2312"/>
          <w:color w:val="auto"/>
          <w:sz w:val="24"/>
          <w:szCs w:val="24"/>
        </w:rPr>
        <w:t>项目理解及项目建设需求；</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rPr>
        <w:t>（12）总体方案编制；</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rPr>
        <w:t>（13）投资预算及分析；</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rPr>
        <w:t>（14）项目服务方案计划及安排；</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rPr>
        <w:t>（15）服务承诺及能力；</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6</w:t>
      </w:r>
      <w:r>
        <w:rPr>
          <w:rFonts w:hint="eastAsia" w:ascii="宋体" w:hAnsi="宋体" w:cs="仿宋_GB2312"/>
          <w:color w:val="auto"/>
          <w:sz w:val="24"/>
          <w:szCs w:val="24"/>
          <w:lang w:val="zh-CN"/>
        </w:rPr>
        <w:t>）投标保证金证明复印件；</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hint="eastAsia" w:ascii="宋体" w:hAnsi="宋体" w:cs="仿宋_GB2312"/>
          <w:color w:val="auto"/>
          <w:sz w:val="24"/>
          <w:szCs w:val="24"/>
        </w:rPr>
        <w:t>17</w:t>
      </w:r>
      <w:r>
        <w:rPr>
          <w:rFonts w:hint="eastAsia" w:ascii="宋体" w:hAnsi="宋体" w:cs="仿宋_GB2312"/>
          <w:color w:val="auto"/>
          <w:sz w:val="24"/>
          <w:szCs w:val="24"/>
          <w:lang w:val="zh-CN"/>
        </w:rPr>
        <w:t>）投标单位反商业贿赂承诺书；</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hint="eastAsia" w:ascii="宋体" w:hAnsi="宋体" w:cs="仿宋_GB2312"/>
          <w:color w:val="auto"/>
          <w:sz w:val="24"/>
          <w:szCs w:val="24"/>
        </w:rPr>
        <w:t>18</w:t>
      </w:r>
      <w:r>
        <w:rPr>
          <w:rFonts w:hint="eastAsia" w:ascii="宋体" w:hAnsi="宋体" w:cs="仿宋_GB2312"/>
          <w:color w:val="auto"/>
          <w:sz w:val="24"/>
          <w:szCs w:val="24"/>
          <w:lang w:val="zh-CN"/>
        </w:rPr>
        <w:t>）提供其它有利于投标的资料；</w:t>
      </w:r>
    </w:p>
    <w:p>
      <w:pPr>
        <w:autoSpaceDE w:val="0"/>
        <w:autoSpaceDN w:val="0"/>
        <w:adjustRightInd w:val="0"/>
        <w:spacing w:line="500" w:lineRule="exact"/>
        <w:rPr>
          <w:rFonts w:ascii="宋体" w:hAnsi="宋体" w:cs="宋体"/>
          <w:b/>
          <w:bCs/>
          <w:color w:val="auto"/>
          <w:sz w:val="24"/>
          <w:szCs w:val="24"/>
        </w:rPr>
      </w:pPr>
      <w:r>
        <w:rPr>
          <w:rFonts w:hint="eastAsia" w:ascii="宋体" w:hAnsi="宋体" w:cs="宋体"/>
          <w:b/>
          <w:bCs/>
          <w:color w:val="auto"/>
          <w:sz w:val="24"/>
          <w:szCs w:val="24"/>
        </w:rPr>
        <w:t>注：所有投标文件中的复印件应加盖公章，招标文件中附件格式中应由法人代表或法人授权代表在规定签章处的需逐一签署并加盖单位公章。</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4.投标方应按招标文件中提供的投标文件格式认真编写投标文件，并使用A4规格纸张打印（可以双面打印），装订成册（订口在长边，装订线应位于左侧），</w:t>
      </w:r>
      <w:r>
        <w:rPr>
          <w:rFonts w:hint="eastAsia" w:ascii="宋体" w:hAnsi="宋体" w:cs="宋体"/>
          <w:b/>
          <w:color w:val="auto"/>
          <w:sz w:val="24"/>
          <w:szCs w:val="24"/>
        </w:rPr>
        <w:t>所有投标文件必须编写目录页码（页码应连续）</w:t>
      </w:r>
      <w:r>
        <w:rPr>
          <w:rFonts w:hint="eastAsia" w:ascii="宋体" w:hAnsi="宋体" w:cs="宋体"/>
          <w:color w:val="auto"/>
          <w:sz w:val="24"/>
          <w:szCs w:val="24"/>
        </w:rPr>
        <w:t>，并牢固装订成册，投标文件封面须标注项目编号，否则将被视为无效投标。</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牢固装订成册是指用适当的办法,牢固紧密扎紧，以保证投标文件在翻阅过程中不至于散开，也不能用简单办法将任何一页在没有任何损坏的情况下取出或插入。各种用活页夹、文件夹、塑料方便式书脊（插入式或穿孔式）装订均不认为是牢固装订。</w:t>
      </w:r>
    </w:p>
    <w:p>
      <w:pPr>
        <w:spacing w:line="500" w:lineRule="exact"/>
        <w:ind w:firstLine="482" w:firstLineChars="200"/>
        <w:jc w:val="left"/>
        <w:rPr>
          <w:rFonts w:ascii="宋体" w:hAnsi="宋体" w:cs="宋体"/>
          <w:b/>
          <w:color w:val="auto"/>
          <w:sz w:val="24"/>
          <w:szCs w:val="24"/>
        </w:rPr>
      </w:pPr>
      <w:r>
        <w:rPr>
          <w:rFonts w:hint="eastAsia" w:ascii="宋体" w:hAnsi="宋体" w:cs="宋体"/>
          <w:b/>
          <w:color w:val="auto"/>
          <w:sz w:val="24"/>
          <w:szCs w:val="24"/>
        </w:rPr>
        <w:t>投标文件封面须标注</w:t>
      </w:r>
      <w:r>
        <w:rPr>
          <w:rFonts w:hint="eastAsia" w:ascii="宋体" w:hAnsi="宋体" w:cs="宋体"/>
          <w:b/>
          <w:bCs/>
          <w:color w:val="auto"/>
          <w:sz w:val="24"/>
          <w:szCs w:val="24"/>
        </w:rPr>
        <w:t>招标编号、投标人名称、地址、联系电话还应加盖投标人公章并经法定代表人或其委托代理人签字或盖章</w:t>
      </w:r>
      <w:r>
        <w:rPr>
          <w:rFonts w:hint="eastAsia" w:ascii="宋体" w:hAnsi="宋体" w:cs="宋体"/>
          <w:b/>
          <w:color w:val="auto"/>
          <w:sz w:val="24"/>
          <w:szCs w:val="24"/>
        </w:rPr>
        <w:t>。</w:t>
      </w:r>
    </w:p>
    <w:p>
      <w:pPr>
        <w:numPr>
          <w:ilvl w:val="0"/>
          <w:numId w:val="9"/>
        </w:numPr>
        <w:autoSpaceDE w:val="0"/>
        <w:autoSpaceDN w:val="0"/>
        <w:adjustRightInd w:val="0"/>
        <w:spacing w:line="500" w:lineRule="exact"/>
        <w:ind w:firstLine="482"/>
        <w:rPr>
          <w:rFonts w:ascii="宋体" w:hAnsi="宋体" w:cs="宋体"/>
          <w:b/>
          <w:bCs/>
          <w:color w:val="auto"/>
          <w:sz w:val="24"/>
          <w:szCs w:val="24"/>
        </w:rPr>
      </w:pPr>
      <w:r>
        <w:rPr>
          <w:rFonts w:hint="eastAsia" w:ascii="宋体" w:hAnsi="宋体" w:cs="宋体"/>
          <w:b/>
          <w:bCs/>
          <w:color w:val="auto"/>
          <w:sz w:val="24"/>
          <w:szCs w:val="24"/>
        </w:rPr>
        <w:t>投标报价</w:t>
      </w:r>
    </w:p>
    <w:p>
      <w:pPr>
        <w:spacing w:line="500" w:lineRule="exact"/>
        <w:ind w:firstLine="482" w:firstLineChars="200"/>
        <w:jc w:val="left"/>
        <w:rPr>
          <w:rFonts w:ascii="宋体" w:hAnsi="宋体" w:cs="宋体"/>
          <w:b/>
          <w:color w:val="auto"/>
          <w:sz w:val="24"/>
          <w:szCs w:val="24"/>
        </w:rPr>
      </w:pPr>
      <w:r>
        <w:rPr>
          <w:rFonts w:hint="eastAsia" w:ascii="宋体" w:hAnsi="宋体" w:cs="宋体"/>
          <w:b/>
          <w:color w:val="auto"/>
          <w:sz w:val="24"/>
          <w:szCs w:val="24"/>
        </w:rPr>
        <w:t>5.1项目初步设计费用包括修改所需要的费用，专家评审及会务相关费用，报审报送及其相关收费（含税费），还包括成果工本等履行合同所有相关服务直到初步设计通过验收所需要的所有费用。</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5.2投标方应标明其提供的所有服务及其相关工作范围内所有费用的总价，招标方不接受有任何选择性的报价。</w:t>
      </w:r>
    </w:p>
    <w:p>
      <w:pPr>
        <w:autoSpaceDE w:val="0"/>
        <w:autoSpaceDN w:val="0"/>
        <w:adjustRightInd w:val="0"/>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5.3 投标人提交的投标文件中的报价，在开标现场以公开的方式当场公布。该报价只允许有一个报价，任何有选择性的报价将不予接受。</w:t>
      </w:r>
    </w:p>
    <w:p>
      <w:pPr>
        <w:autoSpaceDE w:val="0"/>
        <w:autoSpaceDN w:val="0"/>
        <w:adjustRightInd w:val="0"/>
        <w:spacing w:line="500" w:lineRule="exact"/>
        <w:ind w:firstLine="482"/>
        <w:rPr>
          <w:rFonts w:ascii="宋体" w:hAnsi="宋体" w:cs="宋体"/>
          <w:b/>
          <w:bCs/>
          <w:color w:val="auto"/>
          <w:sz w:val="24"/>
          <w:szCs w:val="24"/>
        </w:rPr>
      </w:pPr>
      <w:r>
        <w:rPr>
          <w:rFonts w:hint="eastAsia" w:ascii="宋体" w:hAnsi="宋体" w:cs="宋体"/>
          <w:b/>
          <w:bCs/>
          <w:color w:val="auto"/>
          <w:sz w:val="24"/>
          <w:szCs w:val="24"/>
        </w:rPr>
        <w:t>6．投标文件规定的技术投标文件</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投标方须提交证明拟供货物和服务符合招标文件规定的技术投标文件，作为投标文件的一部分。</w:t>
      </w:r>
    </w:p>
    <w:p>
      <w:pPr>
        <w:autoSpaceDE w:val="0"/>
        <w:autoSpaceDN w:val="0"/>
        <w:adjustRightInd w:val="0"/>
        <w:spacing w:line="500" w:lineRule="exact"/>
        <w:ind w:firstLine="482"/>
        <w:rPr>
          <w:rFonts w:ascii="宋体" w:hAnsi="宋体" w:cs="宋体"/>
          <w:b/>
          <w:bCs/>
          <w:color w:val="auto"/>
          <w:sz w:val="24"/>
          <w:szCs w:val="24"/>
        </w:rPr>
      </w:pPr>
      <w:r>
        <w:rPr>
          <w:rFonts w:hint="eastAsia" w:ascii="宋体" w:hAnsi="宋体" w:cs="宋体"/>
          <w:b/>
          <w:bCs/>
          <w:color w:val="auto"/>
          <w:sz w:val="24"/>
          <w:szCs w:val="24"/>
        </w:rPr>
        <w:t>7．投标有效期</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7.1投标文件从开标之日起，投标有效期为90天（如不满足将导致废标）。</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7.2在特殊情况下，招标方可与投标人协商延长投标文件的有效期。</w:t>
      </w:r>
    </w:p>
    <w:p>
      <w:pPr>
        <w:autoSpaceDE w:val="0"/>
        <w:autoSpaceDN w:val="0"/>
        <w:adjustRightInd w:val="0"/>
        <w:spacing w:line="500" w:lineRule="exact"/>
        <w:ind w:firstLine="482"/>
        <w:rPr>
          <w:rFonts w:ascii="宋体" w:hAnsi="宋体" w:cs="宋体"/>
          <w:b/>
          <w:bCs/>
          <w:color w:val="auto"/>
          <w:sz w:val="24"/>
          <w:szCs w:val="24"/>
        </w:rPr>
      </w:pPr>
      <w:r>
        <w:rPr>
          <w:rFonts w:hint="eastAsia" w:ascii="宋体" w:hAnsi="宋体" w:cs="宋体"/>
          <w:b/>
          <w:bCs/>
          <w:color w:val="auto"/>
          <w:sz w:val="24"/>
          <w:szCs w:val="24"/>
        </w:rPr>
        <w:t>8．投标文件的签署规定</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8.1投标文件的页面必须用印刷体打印。</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8.2投标文件应清楚工整，一般不准修改。个别非实质性修改之处应由投标方的被授权人或法人代表签章。</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8.3投标文件应由法人代表或法人授权代表在规定签章处逐一签署并加盖单位公章。所有投标人签字、法人代表签字、法人代表授权人签字和其它签字处必须加盖具有法律效力的投标方的印章后，投标文件方为有效。</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8.4所有投标文件必须提交正本</w:t>
      </w:r>
      <w:r>
        <w:rPr>
          <w:rFonts w:hint="eastAsia" w:ascii="宋体" w:hAnsi="宋体" w:cs="宋体"/>
          <w:b/>
          <w:bCs/>
          <w:color w:val="auto"/>
          <w:sz w:val="24"/>
          <w:szCs w:val="24"/>
        </w:rPr>
        <w:t>一</w:t>
      </w:r>
      <w:r>
        <w:rPr>
          <w:rFonts w:hint="eastAsia" w:ascii="宋体" w:hAnsi="宋体" w:cs="宋体"/>
          <w:bCs/>
          <w:color w:val="auto"/>
          <w:sz w:val="24"/>
          <w:szCs w:val="24"/>
        </w:rPr>
        <w:t>套和副本肆套，并在封面上标记</w:t>
      </w:r>
      <w:r>
        <w:rPr>
          <w:rFonts w:hint="eastAsia" w:ascii="宋体" w:hAnsi="宋体" w:cs="宋体"/>
          <w:b/>
          <w:bCs/>
          <w:color w:val="auto"/>
          <w:sz w:val="24"/>
          <w:szCs w:val="24"/>
        </w:rPr>
        <w:t>“正本”</w:t>
      </w:r>
      <w:r>
        <w:rPr>
          <w:rFonts w:hint="eastAsia" w:ascii="宋体" w:hAnsi="宋体" w:cs="宋体"/>
          <w:bCs/>
          <w:color w:val="auto"/>
          <w:sz w:val="24"/>
          <w:szCs w:val="24"/>
        </w:rPr>
        <w:t>和</w:t>
      </w:r>
      <w:r>
        <w:rPr>
          <w:rFonts w:hint="eastAsia" w:ascii="宋体" w:hAnsi="宋体" w:cs="宋体"/>
          <w:b/>
          <w:bCs/>
          <w:color w:val="auto"/>
          <w:sz w:val="24"/>
          <w:szCs w:val="24"/>
        </w:rPr>
        <w:t>“副本”</w:t>
      </w:r>
      <w:r>
        <w:rPr>
          <w:rFonts w:hint="eastAsia" w:ascii="宋体" w:hAnsi="宋体" w:cs="宋体"/>
          <w:bCs/>
          <w:color w:val="auto"/>
          <w:sz w:val="24"/>
          <w:szCs w:val="24"/>
        </w:rPr>
        <w:t>。</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8.5投标文件的正本与副本应当完全一致。当正本和副本之间出现差异时，以正本为准。</w:t>
      </w:r>
    </w:p>
    <w:p>
      <w:pPr>
        <w:autoSpaceDE w:val="0"/>
        <w:autoSpaceDN w:val="0"/>
        <w:adjustRightInd w:val="0"/>
        <w:spacing w:line="500" w:lineRule="exact"/>
        <w:ind w:firstLine="482"/>
        <w:rPr>
          <w:rFonts w:ascii="宋体" w:hAnsi="宋体" w:cs="宋体"/>
          <w:bCs/>
          <w:color w:val="auto"/>
          <w:sz w:val="24"/>
          <w:szCs w:val="24"/>
        </w:rPr>
      </w:pPr>
      <w:r>
        <w:rPr>
          <w:rFonts w:hint="eastAsia" w:ascii="宋体" w:hAnsi="宋体" w:cs="宋体"/>
          <w:bCs/>
          <w:color w:val="auto"/>
          <w:sz w:val="24"/>
          <w:szCs w:val="24"/>
        </w:rPr>
        <w:t>8.6电报、电话、传真、电子邮件等形式的投标概不接受。</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9、投标保证金</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9.1投标保证金额：</w:t>
      </w:r>
      <w:r>
        <w:rPr>
          <w:rFonts w:ascii="宋体" w:hAnsi="宋体" w:cs="宋体"/>
          <w:b/>
          <w:bCs/>
          <w:color w:val="auto"/>
          <w:sz w:val="24"/>
          <w:szCs w:val="24"/>
        </w:rPr>
        <w:t>6</w:t>
      </w:r>
      <w:r>
        <w:rPr>
          <w:rFonts w:hint="eastAsia" w:ascii="宋体" w:hAnsi="宋体" w:cs="宋体"/>
          <w:b/>
          <w:bCs/>
          <w:color w:val="auto"/>
          <w:sz w:val="24"/>
          <w:szCs w:val="24"/>
        </w:rPr>
        <w:t>000元，必须于2019年07月</w:t>
      </w:r>
      <w:r>
        <w:rPr>
          <w:rFonts w:hint="eastAsia" w:ascii="宋体" w:hAnsi="宋体" w:cs="宋体"/>
          <w:b/>
          <w:bCs/>
          <w:color w:val="auto"/>
          <w:sz w:val="24"/>
          <w:szCs w:val="24"/>
          <w:lang w:val="en-US" w:eastAsia="zh-CN"/>
        </w:rPr>
        <w:t>23</w:t>
      </w:r>
      <w:r>
        <w:rPr>
          <w:rFonts w:hint="eastAsia" w:ascii="宋体" w:hAnsi="宋体" w:cs="宋体"/>
          <w:b/>
          <w:bCs/>
          <w:color w:val="auto"/>
          <w:sz w:val="24"/>
          <w:szCs w:val="24"/>
        </w:rPr>
        <w:t xml:space="preserve">日下午18:00分 （北京时间）之前递交. </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保证金填写名称：新疆华域建设工程项目管理咨询有限公司 </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保证金填写帐号：</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开户行名称：</w:t>
      </w:r>
      <w:r>
        <w:rPr>
          <w:rFonts w:hint="eastAsia" w:asciiTheme="minorEastAsia" w:hAnsiTheme="minorEastAsia" w:eastAsiaTheme="minorEastAsia"/>
          <w:szCs w:val="28"/>
        </w:rPr>
        <w:t>中国银行乌鲁木齐西虹东路第二支行</w:t>
      </w:r>
    </w:p>
    <w:p>
      <w:pPr>
        <w:pStyle w:val="139"/>
        <w:spacing w:line="500" w:lineRule="exact"/>
        <w:ind w:firstLine="480" w:firstLineChars="200"/>
        <w:rPr>
          <w:rFonts w:ascii="宋体" w:hAnsi="宋体" w:cs="Arial"/>
          <w:sz w:val="24"/>
          <w:szCs w:val="24"/>
        </w:rPr>
      </w:pPr>
      <w:r>
        <w:rPr>
          <w:rFonts w:hint="eastAsia" w:ascii="宋体" w:hAnsi="宋体" w:cs="Arial"/>
          <w:sz w:val="24"/>
          <w:szCs w:val="24"/>
        </w:rPr>
        <w:t>银行账号：107644101394</w:t>
      </w:r>
    </w:p>
    <w:p>
      <w:pPr>
        <w:pStyle w:val="139"/>
        <w:spacing w:line="500" w:lineRule="exact"/>
        <w:ind w:firstLine="480" w:firstLineChars="200"/>
        <w:rPr>
          <w:rFonts w:ascii="宋体" w:hAnsi="宋体" w:cs="Arial"/>
          <w:sz w:val="24"/>
          <w:szCs w:val="24"/>
        </w:rPr>
      </w:pPr>
      <w:r>
        <w:rPr>
          <w:rFonts w:hint="eastAsia" w:ascii="宋体" w:hAnsi="宋体" w:cs="Arial"/>
          <w:sz w:val="24"/>
          <w:szCs w:val="24"/>
        </w:rPr>
        <w:t>行    号：104881005046</w:t>
      </w:r>
    </w:p>
    <w:p>
      <w:pPr>
        <w:pStyle w:val="139"/>
        <w:spacing w:line="500" w:lineRule="exact"/>
        <w:ind w:firstLine="480" w:firstLineChars="200"/>
        <w:rPr>
          <w:rFonts w:ascii="宋体" w:hAnsi="宋体"/>
          <w:b/>
          <w:bCs/>
          <w:sz w:val="24"/>
          <w:szCs w:val="24"/>
        </w:rPr>
      </w:pPr>
      <w:r>
        <w:rPr>
          <w:rFonts w:hint="eastAsia" w:ascii="宋体" w:hAnsi="宋体" w:cs="Arial"/>
          <w:sz w:val="24"/>
          <w:szCs w:val="24"/>
        </w:rPr>
        <w:t>9.2</w:t>
      </w:r>
      <w:r>
        <w:rPr>
          <w:rFonts w:hint="eastAsia" w:ascii="宋体" w:hAnsi="宋体"/>
          <w:b/>
          <w:snapToGrid w:val="0"/>
          <w:sz w:val="24"/>
          <w:szCs w:val="24"/>
        </w:rPr>
        <w:t>为保证招投标工作的顺利进行，各投标人应向招标代理机构缴纳规定数额的投标保证金，并作为其投标文件的组成部分。在转账用途栏中注明项目名称。以非投标人名义缴纳的投标保证金无效。未按时足额交纳保证金的，其投标文件将被拒绝（★）。其有效期应不低于投标有效期。不接受以现金形式提交的保证金。</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9.3未中标的投标人的投标保证金，在成交通知书发出后5个工作日内携带投标保证金收据到</w:t>
      </w:r>
      <w:r>
        <w:rPr>
          <w:rFonts w:hint="eastAsia" w:ascii="宋体" w:hAnsi="宋体" w:cs="宋体"/>
          <w:color w:val="auto"/>
          <w:sz w:val="24"/>
          <w:szCs w:val="24"/>
        </w:rPr>
        <w:t>新疆华域建设工程项目管理咨询有限公司财务部办理退还手续。</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9.4未按规定提交投标保证金的投标，将被视为投标无效。</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9.5下列情况发生时，投标保证金将不予退还：</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9.5.1</w:t>
      </w:r>
      <w:r>
        <w:rPr>
          <w:rFonts w:ascii="宋体" w:hAnsi="宋体"/>
          <w:color w:val="auto"/>
          <w:sz w:val="24"/>
          <w:szCs w:val="24"/>
        </w:rPr>
        <w:t>投标人在提交</w:t>
      </w:r>
      <w:r>
        <w:rPr>
          <w:rFonts w:hint="eastAsia" w:ascii="宋体" w:hAnsi="宋体"/>
          <w:color w:val="auto"/>
          <w:sz w:val="24"/>
          <w:szCs w:val="24"/>
        </w:rPr>
        <w:t>投标</w:t>
      </w:r>
      <w:r>
        <w:rPr>
          <w:rFonts w:ascii="宋体" w:hAnsi="宋体"/>
          <w:color w:val="auto"/>
          <w:sz w:val="24"/>
          <w:szCs w:val="24"/>
        </w:rPr>
        <w:t>文件截止时间后撤回</w:t>
      </w:r>
      <w:r>
        <w:rPr>
          <w:rFonts w:hint="eastAsia" w:ascii="宋体" w:hAnsi="宋体"/>
          <w:color w:val="auto"/>
          <w:sz w:val="24"/>
          <w:szCs w:val="24"/>
        </w:rPr>
        <w:t>投标</w:t>
      </w:r>
      <w:r>
        <w:rPr>
          <w:rFonts w:ascii="宋体" w:hAnsi="宋体"/>
          <w:color w:val="auto"/>
          <w:sz w:val="24"/>
          <w:szCs w:val="24"/>
        </w:rPr>
        <w:t>文件的；</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9.5.2</w:t>
      </w:r>
      <w:r>
        <w:rPr>
          <w:rFonts w:ascii="宋体" w:hAnsi="宋体"/>
          <w:color w:val="auto"/>
          <w:sz w:val="24"/>
          <w:szCs w:val="24"/>
        </w:rPr>
        <w:t>投标人在</w:t>
      </w:r>
      <w:r>
        <w:rPr>
          <w:rFonts w:hint="eastAsia" w:ascii="宋体" w:hAnsi="宋体"/>
          <w:color w:val="auto"/>
          <w:sz w:val="24"/>
          <w:szCs w:val="24"/>
        </w:rPr>
        <w:t>投标</w:t>
      </w:r>
      <w:r>
        <w:rPr>
          <w:rFonts w:ascii="宋体" w:hAnsi="宋体"/>
          <w:color w:val="auto"/>
          <w:sz w:val="24"/>
          <w:szCs w:val="24"/>
        </w:rPr>
        <w:t>文件中提供虚假材料的；</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9.5.3</w:t>
      </w:r>
      <w:r>
        <w:rPr>
          <w:rFonts w:ascii="宋体" w:hAnsi="宋体"/>
          <w:color w:val="auto"/>
          <w:sz w:val="24"/>
          <w:szCs w:val="24"/>
        </w:rPr>
        <w:t>除因不可抗力或</w:t>
      </w:r>
      <w:r>
        <w:rPr>
          <w:rFonts w:hint="eastAsia" w:ascii="宋体" w:hAnsi="宋体"/>
          <w:color w:val="auto"/>
          <w:sz w:val="24"/>
          <w:szCs w:val="24"/>
        </w:rPr>
        <w:t>招标</w:t>
      </w:r>
      <w:r>
        <w:rPr>
          <w:rFonts w:ascii="宋体" w:hAnsi="宋体"/>
          <w:color w:val="auto"/>
          <w:sz w:val="24"/>
          <w:szCs w:val="24"/>
        </w:rPr>
        <w:t>文件认可的情形以外，</w:t>
      </w:r>
      <w:r>
        <w:rPr>
          <w:rFonts w:hint="eastAsia" w:ascii="宋体" w:hAnsi="宋体"/>
          <w:color w:val="auto"/>
          <w:sz w:val="24"/>
          <w:szCs w:val="24"/>
        </w:rPr>
        <w:t>中标</w:t>
      </w:r>
      <w:r>
        <w:rPr>
          <w:rFonts w:ascii="宋体" w:hAnsi="宋体"/>
          <w:color w:val="auto"/>
          <w:sz w:val="24"/>
          <w:szCs w:val="24"/>
        </w:rPr>
        <w:t>投标人不与招标人签订合同的；</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9.5.4</w:t>
      </w:r>
      <w:r>
        <w:rPr>
          <w:rFonts w:ascii="宋体" w:hAnsi="宋体"/>
          <w:color w:val="auto"/>
          <w:sz w:val="24"/>
          <w:szCs w:val="24"/>
        </w:rPr>
        <w:t>投标人与招标人、其他投标人或者招标代理机构恶意串通的；</w:t>
      </w:r>
    </w:p>
    <w:p>
      <w:pPr>
        <w:spacing w:line="460" w:lineRule="exact"/>
        <w:ind w:firstLine="480" w:firstLineChars="200"/>
        <w:rPr>
          <w:rFonts w:ascii="宋体" w:hAnsi="宋体"/>
          <w:bCs/>
          <w:color w:val="auto"/>
          <w:sz w:val="24"/>
          <w:szCs w:val="24"/>
        </w:rPr>
      </w:pPr>
      <w:r>
        <w:rPr>
          <w:rFonts w:hint="eastAsia" w:ascii="宋体" w:hAnsi="宋体"/>
          <w:color w:val="auto"/>
          <w:sz w:val="24"/>
          <w:szCs w:val="24"/>
        </w:rPr>
        <w:t>9.5.5招标</w:t>
      </w:r>
      <w:r>
        <w:rPr>
          <w:rFonts w:ascii="宋体" w:hAnsi="宋体"/>
          <w:color w:val="auto"/>
          <w:sz w:val="24"/>
          <w:szCs w:val="24"/>
        </w:rPr>
        <w:t>文件规定的其他情形。</w:t>
      </w:r>
    </w:p>
    <w:p>
      <w:pPr>
        <w:numPr>
          <w:ilvl w:val="0"/>
          <w:numId w:val="10"/>
        </w:numPr>
        <w:spacing w:line="500" w:lineRule="exact"/>
        <w:jc w:val="center"/>
        <w:outlineLvl w:val="1"/>
        <w:rPr>
          <w:rFonts w:ascii="宋体" w:hAnsi="宋体" w:cs="宋体"/>
          <w:b/>
          <w:color w:val="auto"/>
          <w:sz w:val="24"/>
          <w:szCs w:val="24"/>
        </w:rPr>
      </w:pPr>
      <w:r>
        <w:rPr>
          <w:rFonts w:hint="eastAsia" w:ascii="宋体" w:hAnsi="宋体" w:cs="宋体"/>
          <w:b/>
          <w:color w:val="auto"/>
          <w:sz w:val="28"/>
          <w:szCs w:val="28"/>
        </w:rPr>
        <w:t>、投标文件的递交</w:t>
      </w:r>
    </w:p>
    <w:p>
      <w:pPr>
        <w:spacing w:line="500" w:lineRule="exact"/>
        <w:rPr>
          <w:rFonts w:ascii="宋体" w:hAnsi="宋体" w:cs="宋体"/>
          <w:b/>
          <w:color w:val="auto"/>
          <w:sz w:val="24"/>
          <w:szCs w:val="24"/>
        </w:rPr>
      </w:pPr>
      <w:r>
        <w:rPr>
          <w:rFonts w:hint="eastAsia" w:ascii="宋体" w:hAnsi="宋体" w:cs="宋体"/>
          <w:b/>
          <w:color w:val="auto"/>
          <w:sz w:val="24"/>
          <w:szCs w:val="24"/>
        </w:rPr>
        <w:t>10、投标文件的密封与标记</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10.1.1“投标文件”的正本和副本分别密封，在每个密封件的封面上标明招标编号、投标人名称、“正本”或“副本”字样、投标人的名称、地址、联系电话还应加盖投标人公章并经法定代表人或其委托代理人签字或盖章。</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10.1.2“开标一览表”单独装袋密封，封面上标明招标编号、投标人的名称、地址、联系电话还应加盖投标人公章并经法定代表人或其委托代理人签字或盖章。</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11.为方便招标时的唱标，投标方须将开标一览表单独密封，与投标文件同时递交。任何不完整或不满足招标书要求的投标书将被拒绝。</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12.由于不可抗拒原因或无法控制的事件而导致的丢失或损坏投标包装体内的投标书时，招标方将不负责任。</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13、投标截止时间</w:t>
      </w:r>
    </w:p>
    <w:p>
      <w:pPr>
        <w:spacing w:line="500" w:lineRule="exact"/>
        <w:ind w:firstLine="482" w:firstLineChars="200"/>
        <w:rPr>
          <w:rFonts w:ascii="宋体" w:hAnsi="宋体" w:cs="宋体"/>
          <w:color w:val="auto"/>
          <w:sz w:val="24"/>
          <w:szCs w:val="24"/>
        </w:rPr>
      </w:pPr>
      <w:r>
        <w:rPr>
          <w:rFonts w:hint="eastAsia" w:ascii="宋体" w:hAnsi="宋体" w:cs="宋体"/>
          <w:b/>
          <w:bCs/>
          <w:color w:val="auto"/>
          <w:sz w:val="24"/>
          <w:szCs w:val="24"/>
        </w:rPr>
        <w:t>13.1投标文件应在开标时间2019年07月</w:t>
      </w:r>
      <w:r>
        <w:rPr>
          <w:rFonts w:hint="eastAsia" w:ascii="宋体" w:hAnsi="宋体" w:cs="宋体"/>
          <w:b/>
          <w:bCs/>
          <w:color w:val="auto"/>
          <w:sz w:val="24"/>
          <w:szCs w:val="24"/>
          <w:lang w:val="en-US" w:eastAsia="zh-CN"/>
        </w:rPr>
        <w:t>24</w:t>
      </w:r>
      <w:r>
        <w:rPr>
          <w:rFonts w:hint="eastAsia" w:ascii="宋体" w:hAnsi="宋体" w:cs="宋体"/>
          <w:b/>
          <w:bCs/>
          <w:color w:val="auto"/>
          <w:sz w:val="24"/>
          <w:szCs w:val="24"/>
        </w:rPr>
        <w:t>日上午1</w:t>
      </w:r>
      <w:r>
        <w:rPr>
          <w:rFonts w:hint="eastAsia" w:ascii="宋体" w:hAnsi="宋体" w:cs="宋体"/>
          <w:b/>
          <w:bCs/>
          <w:color w:val="auto"/>
          <w:sz w:val="24"/>
          <w:szCs w:val="24"/>
          <w:lang w:val="en-US" w:eastAsia="zh-CN"/>
        </w:rPr>
        <w:t>6</w:t>
      </w:r>
      <w:bookmarkStart w:id="3" w:name="_GoBack"/>
      <w:bookmarkEnd w:id="3"/>
      <w:r>
        <w:rPr>
          <w:rFonts w:hint="eastAsia" w:ascii="宋体" w:hAnsi="宋体" w:cs="宋体"/>
          <w:b/>
          <w:bCs/>
          <w:color w:val="auto"/>
          <w:sz w:val="24"/>
          <w:szCs w:val="24"/>
        </w:rPr>
        <w:t>:00分（北京时间）之前递交。投标文件以密封形式递交指定的开标地点。</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13.2所有投标文件不论派人送交还是通过邮寄的方式递交，都必须在招标方规定的投标截止时间之前送达招标文件指定的地点，在此之后递交的投标文件，为无效投标，投标文件将一律被拒绝。</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13.3出现因招标文件的修而改推迟投标截止时间的情况时，投标方则须按招标方的书面修改通知重新规定的投标截止时间之前递交。</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14、投标文件的修改和撤销</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14.1投标人在递交投标文件后，不可对其投标文件以书面通知的形式进行修改或撤消。</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14.2投标人对投标文件修改的书面材料或撤消通知应按招标文件要求进行密封、标注和递交，并注明“修改投标文件”或“撤消投标”字样，修改或撤销的内容须按招标文件的要求签署、盖章，并作为投标文件的组成部分。</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14.3对投标文件修改的书面材料应于投标截止日前送达招标方，投标截止时间以后不得修改投标文件。</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14.4投标方不得在开标后至投标有效期期满前撤销投标文件。否则招标方将没收其投标保证金。</w:t>
      </w:r>
    </w:p>
    <w:p>
      <w:pPr>
        <w:spacing w:line="500" w:lineRule="exact"/>
        <w:ind w:left="482" w:hanging="482"/>
        <w:jc w:val="center"/>
        <w:outlineLvl w:val="1"/>
        <w:rPr>
          <w:rFonts w:ascii="宋体" w:hAnsi="宋体" w:cs="宋体"/>
          <w:b/>
          <w:color w:val="auto"/>
          <w:sz w:val="28"/>
          <w:szCs w:val="28"/>
        </w:rPr>
      </w:pPr>
      <w:r>
        <w:rPr>
          <w:rFonts w:hint="eastAsia" w:ascii="宋体" w:hAnsi="宋体" w:cs="宋体"/>
          <w:b/>
          <w:color w:val="auto"/>
          <w:sz w:val="28"/>
          <w:szCs w:val="28"/>
        </w:rPr>
        <w:t>第四章、评标委员会</w:t>
      </w:r>
    </w:p>
    <w:p>
      <w:pPr>
        <w:tabs>
          <w:tab w:val="left" w:pos="1620"/>
        </w:tabs>
        <w:spacing w:line="500" w:lineRule="exact"/>
        <w:ind w:left="481" w:leftChars="229"/>
        <w:rPr>
          <w:rFonts w:ascii="宋体" w:hAnsi="宋体" w:cs="宋体"/>
          <w:b/>
          <w:color w:val="auto"/>
          <w:sz w:val="24"/>
          <w:szCs w:val="24"/>
        </w:rPr>
      </w:pPr>
      <w:r>
        <w:rPr>
          <w:rFonts w:hint="eastAsia" w:ascii="宋体" w:hAnsi="宋体" w:cs="宋体"/>
          <w:b/>
          <w:color w:val="auto"/>
          <w:sz w:val="24"/>
          <w:szCs w:val="24"/>
        </w:rPr>
        <w:t>15、评标委员会组成</w:t>
      </w:r>
    </w:p>
    <w:p>
      <w:pPr>
        <w:spacing w:line="500" w:lineRule="exact"/>
        <w:ind w:firstLine="480" w:firstLineChars="200"/>
        <w:rPr>
          <w:rFonts w:ascii="宋体" w:hAnsi="宋体" w:cs="宋体"/>
          <w:b/>
          <w:color w:val="auto"/>
          <w:sz w:val="24"/>
          <w:szCs w:val="24"/>
        </w:rPr>
      </w:pPr>
      <w:r>
        <w:rPr>
          <w:rFonts w:hint="eastAsia" w:ascii="宋体" w:hAnsi="宋体" w:cs="宋体"/>
          <w:bCs/>
          <w:color w:val="auto"/>
          <w:sz w:val="24"/>
          <w:szCs w:val="24"/>
        </w:rPr>
        <w:t>15.1由招标方将根据《中华人民共和国政府招标法》规定，依法组建本次招标的评标委员会，负责组织本次招标的评标活动。评标委员会负责向招标方推荐拟中标人或者根据招标方的授权直接确定中标人。</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15.2评标委员会人选于开标前确定。评标委员会成员名单在中标结果确定前保密。</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15.3评标委员会由关技术、经济等方面的专家和招标人熟悉相关业务的代表人员组成，成员为五人及以上的单数，其中技术、经济等方面的成员人数不少于成员总数的三分之二。</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15.4 按前款规定，评标委员会的成员从</w:t>
      </w:r>
      <w:r>
        <w:rPr>
          <w:rFonts w:hint="eastAsia" w:ascii="宋体" w:hAnsi="宋体" w:cs="宋体"/>
          <w:bCs/>
          <w:color w:val="auto"/>
          <w:sz w:val="24"/>
          <w:szCs w:val="24"/>
          <w:lang w:eastAsia="zh-CN"/>
        </w:rPr>
        <w:t>政采云</w:t>
      </w:r>
      <w:r>
        <w:rPr>
          <w:rFonts w:hint="eastAsia" w:ascii="宋体" w:hAnsi="宋体" w:cs="宋体"/>
          <w:bCs/>
          <w:color w:val="auto"/>
          <w:sz w:val="24"/>
          <w:szCs w:val="24"/>
        </w:rPr>
        <w:t>专家库中</w:t>
      </w:r>
      <w:r>
        <w:rPr>
          <w:rFonts w:hint="eastAsia" w:ascii="宋体" w:hAnsi="宋体" w:cs="宋体"/>
          <w:bCs/>
          <w:color w:val="auto"/>
          <w:sz w:val="24"/>
          <w:szCs w:val="24"/>
          <w:lang w:eastAsia="zh-CN"/>
        </w:rPr>
        <w:t>在开标前</w:t>
      </w:r>
      <w:r>
        <w:rPr>
          <w:rFonts w:hint="eastAsia" w:ascii="宋体" w:hAnsi="宋体" w:cs="宋体"/>
          <w:bCs/>
          <w:color w:val="auto"/>
          <w:sz w:val="24"/>
          <w:szCs w:val="24"/>
        </w:rPr>
        <w:t>采取</w:t>
      </w:r>
      <w:r>
        <w:rPr>
          <w:rFonts w:hint="eastAsia" w:ascii="宋体" w:hAnsi="宋体" w:cs="宋体"/>
          <w:bCs/>
          <w:color w:val="auto"/>
          <w:sz w:val="24"/>
          <w:szCs w:val="24"/>
          <w:lang w:eastAsia="zh-CN"/>
        </w:rPr>
        <w:t>系统后台抽取</w:t>
      </w:r>
      <w:r>
        <w:rPr>
          <w:rFonts w:hint="eastAsia" w:ascii="宋体" w:hAnsi="宋体" w:cs="宋体"/>
          <w:bCs/>
          <w:color w:val="auto"/>
          <w:sz w:val="24"/>
          <w:szCs w:val="24"/>
        </w:rPr>
        <w:t>的方式确定。对于技术复杂、专业性要求较高或者国家有特殊要求的招标项目，抽取的专家不能满足评标工作需要时，将采取直接确定的方式选定评标委员会的人选。</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16.评标委员会专家的条件和回避规定</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16.1评标委员会专家应符合下列条件：</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16.1.1熟悉有关政府招标和招标投标的法律法规；</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16.1.2在相关专业领域工作满八年并具有高级职称或者同等专业水平；</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15.1.3熟悉有关招标投标的法律法规，并具有与招标项目相关的实践经验；</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15.1.4能够认真、公正、诚实、廉洁的履行职责。</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16.2有下列情形之一的，不得担任评标委员会成员：</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16.2.1与投标方或者投标方主要负责人有近亲关系的或有利害关系的；</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16.2.2与项目主管部门或者行政监督部门的人员有近亲关系的或有利害关系的；</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16.2.3与投标方有经济利益关系，可能影响对投标公正评标的；</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16.2.4曾因在招标、评标以及其他与招标、投标有关活动中从事违法行为而受过行政处罚或刑事处罚的。</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17.评标委员会成员应当熟悉并认真研究招标文件，至少应了解和熟悉以下内容：</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17.1招标目的。</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17.2招标项目的范围、性质。</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17.3招标文件中规定的主要技术要求、标准和技术条款。</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17.4招标文件规定的评标原则、评标标准、评标方法和在评标过程中应考虑的相关因素。</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18.招标方应当向评标委员会提供评标所需的重要信息和数据。</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19.评标委员会成员有前款规定情形之一的，应当主动提出回避。</w:t>
      </w:r>
    </w:p>
    <w:p>
      <w:pPr>
        <w:spacing w:line="500" w:lineRule="exact"/>
        <w:ind w:firstLine="472" w:firstLineChars="196"/>
        <w:rPr>
          <w:rFonts w:ascii="宋体" w:hAnsi="宋体" w:cs="宋体"/>
          <w:b/>
          <w:color w:val="auto"/>
          <w:sz w:val="24"/>
          <w:szCs w:val="24"/>
        </w:rPr>
      </w:pPr>
      <w:r>
        <w:rPr>
          <w:rFonts w:hint="eastAsia" w:ascii="宋体" w:hAnsi="宋体" w:cs="宋体"/>
          <w:b/>
          <w:bCs/>
          <w:color w:val="auto"/>
          <w:sz w:val="24"/>
          <w:szCs w:val="24"/>
        </w:rPr>
        <w:t>20.评标委员会</w:t>
      </w:r>
      <w:r>
        <w:rPr>
          <w:rFonts w:hint="eastAsia" w:ascii="宋体" w:hAnsi="宋体" w:cs="宋体"/>
          <w:b/>
          <w:color w:val="auto"/>
          <w:sz w:val="24"/>
          <w:szCs w:val="24"/>
        </w:rPr>
        <w:t xml:space="preserve">及其成员应当履行的义务：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20.1遵纪守法，客观、公正、廉洁地履行职责；</w:t>
      </w:r>
    </w:p>
    <w:p>
      <w:pPr>
        <w:spacing w:line="500" w:lineRule="exact"/>
        <w:ind w:firstLine="470" w:firstLineChars="196"/>
        <w:rPr>
          <w:rFonts w:ascii="宋体" w:hAnsi="宋体" w:cs="宋体"/>
          <w:bCs/>
          <w:color w:val="auto"/>
          <w:sz w:val="24"/>
          <w:szCs w:val="24"/>
        </w:rPr>
      </w:pPr>
      <w:r>
        <w:rPr>
          <w:rFonts w:hint="eastAsia" w:ascii="宋体" w:hAnsi="宋体" w:cs="宋体"/>
          <w:bCs/>
          <w:color w:val="auto"/>
          <w:sz w:val="24"/>
          <w:szCs w:val="24"/>
        </w:rPr>
        <w:t>20.2按照招标文件规定的评标方法和标准进行评标，严格履行签字确认手续，对评标意见承担个人责任；</w:t>
      </w:r>
    </w:p>
    <w:p>
      <w:pPr>
        <w:spacing w:line="500" w:lineRule="exact"/>
        <w:ind w:firstLine="470" w:firstLineChars="196"/>
        <w:rPr>
          <w:rFonts w:ascii="宋体" w:hAnsi="宋体" w:cs="宋体"/>
          <w:bCs/>
          <w:color w:val="auto"/>
          <w:sz w:val="24"/>
          <w:szCs w:val="24"/>
        </w:rPr>
      </w:pPr>
      <w:r>
        <w:rPr>
          <w:rFonts w:hint="eastAsia" w:ascii="宋体" w:hAnsi="宋体" w:cs="宋体"/>
          <w:bCs/>
          <w:color w:val="auto"/>
          <w:sz w:val="24"/>
          <w:szCs w:val="24"/>
        </w:rPr>
        <w:t>20.3对评标过程和结果，以及投标人的商业秘密保密；</w:t>
      </w:r>
    </w:p>
    <w:p>
      <w:pPr>
        <w:spacing w:line="500" w:lineRule="exact"/>
        <w:ind w:firstLine="470" w:firstLineChars="196"/>
        <w:rPr>
          <w:rFonts w:ascii="宋体" w:hAnsi="宋体" w:cs="宋体"/>
          <w:bCs/>
          <w:color w:val="auto"/>
          <w:sz w:val="24"/>
          <w:szCs w:val="24"/>
        </w:rPr>
      </w:pPr>
      <w:r>
        <w:rPr>
          <w:rFonts w:hint="eastAsia" w:ascii="宋体" w:hAnsi="宋体" w:cs="宋体"/>
          <w:bCs/>
          <w:color w:val="auto"/>
          <w:sz w:val="24"/>
          <w:szCs w:val="24"/>
        </w:rPr>
        <w:t>20.4参与评标报告的起草；</w:t>
      </w:r>
    </w:p>
    <w:p>
      <w:pPr>
        <w:spacing w:line="500" w:lineRule="exact"/>
        <w:ind w:firstLine="470" w:firstLineChars="196"/>
        <w:rPr>
          <w:rFonts w:ascii="宋体" w:hAnsi="宋体" w:cs="宋体"/>
          <w:bCs/>
          <w:color w:val="auto"/>
          <w:sz w:val="24"/>
          <w:szCs w:val="24"/>
        </w:rPr>
      </w:pPr>
      <w:r>
        <w:rPr>
          <w:rFonts w:hint="eastAsia" w:ascii="宋体" w:hAnsi="宋体" w:cs="宋体"/>
          <w:bCs/>
          <w:color w:val="auto"/>
          <w:sz w:val="24"/>
          <w:szCs w:val="24"/>
        </w:rPr>
        <w:t>20.5配合财政部门的投诉处理工作；</w:t>
      </w:r>
    </w:p>
    <w:p>
      <w:pPr>
        <w:spacing w:line="500" w:lineRule="exact"/>
        <w:ind w:firstLine="470" w:firstLineChars="196"/>
        <w:rPr>
          <w:rFonts w:ascii="宋体" w:hAnsi="宋体" w:cs="宋体"/>
          <w:bCs/>
          <w:color w:val="auto"/>
          <w:sz w:val="24"/>
          <w:szCs w:val="24"/>
        </w:rPr>
      </w:pPr>
      <w:r>
        <w:rPr>
          <w:rFonts w:hint="eastAsia" w:ascii="宋体" w:hAnsi="宋体" w:cs="宋体"/>
          <w:bCs/>
          <w:color w:val="auto"/>
          <w:sz w:val="24"/>
          <w:szCs w:val="24"/>
        </w:rPr>
        <w:t>20.6配合招标方答复投标投标人提出的质疑。</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21.评标委员会及其成员应注意事项：</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21.1评标委员会应当客观、公正地履行职责，遵守职业道德，不得与任何投标人或者与招标结果有利害关系的人员进行私下接触。</w:t>
      </w:r>
    </w:p>
    <w:p>
      <w:pPr>
        <w:tabs>
          <w:tab w:val="left" w:pos="8280"/>
        </w:tabs>
        <w:spacing w:line="500" w:lineRule="exact"/>
        <w:ind w:right="-1" w:firstLine="540" w:firstLineChars="225"/>
        <w:rPr>
          <w:rFonts w:ascii="宋体" w:hAnsi="宋体" w:cs="宋体"/>
          <w:bCs/>
          <w:color w:val="auto"/>
          <w:sz w:val="24"/>
          <w:szCs w:val="24"/>
        </w:rPr>
      </w:pPr>
      <w:r>
        <w:rPr>
          <w:rFonts w:hint="eastAsia" w:ascii="宋体" w:hAnsi="宋体" w:cs="宋体"/>
          <w:bCs/>
          <w:color w:val="auto"/>
          <w:sz w:val="24"/>
          <w:szCs w:val="24"/>
        </w:rPr>
        <w:t>21.2评标委员会应当</w:t>
      </w:r>
      <w:r>
        <w:rPr>
          <w:rFonts w:hint="eastAsia" w:ascii="宋体" w:hAnsi="宋体" w:cs="宋体"/>
          <w:b/>
          <w:bCs/>
          <w:color w:val="auto"/>
          <w:sz w:val="24"/>
          <w:szCs w:val="24"/>
        </w:rPr>
        <w:t>遵循独立评标的原则</w:t>
      </w:r>
      <w:r>
        <w:rPr>
          <w:rFonts w:hint="eastAsia" w:ascii="宋体" w:hAnsi="宋体" w:cs="宋体"/>
          <w:bCs/>
          <w:color w:val="auto"/>
          <w:sz w:val="24"/>
          <w:szCs w:val="24"/>
        </w:rPr>
        <w:t>，按照《中华人民共和国政府招标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宋体" w:hAnsi="宋体" w:cs="宋体"/>
          <w:color w:val="auto"/>
          <w:sz w:val="24"/>
          <w:szCs w:val="24"/>
          <w:lang w:val="zh-CN"/>
        </w:rPr>
        <w:t>做好相关书面原始署名记录。</w:t>
      </w:r>
    </w:p>
    <w:p>
      <w:pPr>
        <w:tabs>
          <w:tab w:val="left" w:pos="8280"/>
        </w:tabs>
        <w:spacing w:line="500" w:lineRule="exact"/>
        <w:ind w:right="-1" w:firstLine="540" w:firstLineChars="225"/>
        <w:rPr>
          <w:rFonts w:ascii="宋体" w:hAnsi="宋体" w:cs="宋体"/>
          <w:color w:val="auto"/>
          <w:sz w:val="24"/>
          <w:szCs w:val="24"/>
          <w:lang w:val="zh-CN"/>
        </w:rPr>
      </w:pPr>
      <w:r>
        <w:rPr>
          <w:rFonts w:hint="eastAsia" w:ascii="宋体" w:hAnsi="宋体" w:cs="宋体"/>
          <w:bCs/>
          <w:color w:val="auto"/>
          <w:sz w:val="24"/>
          <w:szCs w:val="24"/>
        </w:rPr>
        <w:t>21.3评标委员会应当客观、公正地履行职责。评标时，严禁存在</w:t>
      </w:r>
      <w:r>
        <w:rPr>
          <w:rFonts w:hint="eastAsia" w:ascii="宋体" w:hAnsi="宋体" w:cs="宋体"/>
          <w:color w:val="auto"/>
          <w:sz w:val="24"/>
          <w:szCs w:val="24"/>
          <w:lang w:val="zh-CN"/>
        </w:rPr>
        <w:t>个人印象、个人关系或带有明显倾向性的行为发生。</w:t>
      </w:r>
      <w:r>
        <w:rPr>
          <w:rFonts w:hint="eastAsia" w:ascii="宋体" w:hAnsi="宋体" w:cs="宋体"/>
          <w:bCs/>
          <w:color w:val="auto"/>
          <w:sz w:val="24"/>
          <w:szCs w:val="24"/>
        </w:rPr>
        <w:t>否则，经核实后，招标方将有权予以制止此类行为的发生，</w:t>
      </w:r>
      <w:r>
        <w:rPr>
          <w:rFonts w:hint="eastAsia" w:ascii="宋体" w:hAnsi="宋体" w:cs="宋体"/>
          <w:color w:val="auto"/>
          <w:sz w:val="24"/>
          <w:szCs w:val="24"/>
          <w:lang w:val="zh-CN"/>
        </w:rPr>
        <w:t>责成其修正不果的，将做为不良记录记录在案，并按政府招标相关政策法规的规定和程序，向财政监管部门提出处罚建议意见。</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21.4评标委员会成员和与本次评标活动有关的工作人员，不得透露对投标文件的评标和比较、中标候选人的推荐情况以及与评标有关的其他情况。</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21.5除法律需要外，自开标直至宣布中标及签订政府招标合同为止，有关投标文件的审查、澄清、评定及关于评标的建议等情况，评标委员会及其成员任何人均不得以任何形式泄露，评标过程中如有不明事宜，需要投标方进行解释的，只能由评标委员会各成员进行询标（答疑）。</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22.与评标活动有关的工作人员，自开标之日期起至定标日止，在此期间任何监标人、招标人代表、特邀代表、工作人员及投标人不得干扰评标委员会正常及其它评标工作，否则，招标方将有权取消其权利资格。</w:t>
      </w:r>
    </w:p>
    <w:p>
      <w:pPr>
        <w:spacing w:line="500" w:lineRule="exact"/>
        <w:rPr>
          <w:rFonts w:ascii="宋体" w:hAnsi="宋体" w:cs="宋体"/>
          <w:b/>
          <w:color w:val="auto"/>
          <w:sz w:val="28"/>
          <w:szCs w:val="28"/>
        </w:rPr>
      </w:pPr>
    </w:p>
    <w:p>
      <w:pPr>
        <w:spacing w:line="500" w:lineRule="exact"/>
        <w:jc w:val="center"/>
        <w:outlineLvl w:val="1"/>
        <w:rPr>
          <w:rFonts w:ascii="宋体" w:hAnsi="宋体" w:cs="宋体"/>
          <w:b/>
          <w:color w:val="auto"/>
          <w:sz w:val="28"/>
          <w:szCs w:val="28"/>
        </w:rPr>
      </w:pPr>
      <w:r>
        <w:rPr>
          <w:rFonts w:hint="eastAsia" w:ascii="宋体" w:hAnsi="宋体" w:cs="宋体"/>
          <w:b/>
          <w:color w:val="auto"/>
          <w:sz w:val="28"/>
          <w:szCs w:val="28"/>
        </w:rPr>
        <w:t>第五章、开  标</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23．开标</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23.1本次招标按招标文件的规定的时间和地点进行公开开标，允许投标人的法定代表人或其授权人参加开标会。</w:t>
      </w:r>
    </w:p>
    <w:p>
      <w:pPr>
        <w:autoSpaceDE w:val="0"/>
        <w:autoSpaceDN w:val="0"/>
        <w:adjustRightInd w:val="0"/>
        <w:spacing w:line="500" w:lineRule="exact"/>
        <w:ind w:firstLine="480"/>
        <w:rPr>
          <w:rFonts w:ascii="宋体" w:hAnsi="宋体" w:cs="宋体"/>
          <w:color w:val="auto"/>
          <w:sz w:val="24"/>
          <w:szCs w:val="24"/>
          <w:lang w:val="zh-CN"/>
        </w:rPr>
      </w:pPr>
      <w:r>
        <w:rPr>
          <w:rFonts w:hint="eastAsia" w:ascii="宋体" w:hAnsi="宋体" w:cs="宋体"/>
          <w:color w:val="auto"/>
          <w:sz w:val="24"/>
          <w:szCs w:val="24"/>
          <w:lang w:val="zh-CN"/>
        </w:rPr>
        <w:t>23.2为了体现投标人的合法权益，和确保评标工作的公平、公正，投标人如果认为参加评标的评标委员会成员及其他与会人员与其他投标投标人有利害关系的，有权在开标现场以举手示意的方式向招标方申请其回避。如现场不提请招标方申请其回避的，则视同无利害关系。</w:t>
      </w:r>
    </w:p>
    <w:p>
      <w:pPr>
        <w:spacing w:line="5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23.4投标文件响应性审查</w:t>
      </w:r>
    </w:p>
    <w:p>
      <w:pPr>
        <w:spacing w:line="500" w:lineRule="exact"/>
        <w:ind w:firstLine="480" w:firstLineChars="200"/>
        <w:rPr>
          <w:rFonts w:ascii="宋体" w:hAnsi="宋体" w:cs="宋体"/>
          <w:bCs/>
          <w:color w:val="auto"/>
          <w:sz w:val="24"/>
          <w:szCs w:val="24"/>
        </w:rPr>
      </w:pPr>
      <w:r>
        <w:rPr>
          <w:rFonts w:hint="eastAsia" w:ascii="宋体" w:hAnsi="宋体" w:cs="宋体"/>
          <w:color w:val="auto"/>
          <w:sz w:val="24"/>
          <w:szCs w:val="24"/>
          <w:lang w:val="zh-CN"/>
        </w:rPr>
        <w:t>23.4.1</w:t>
      </w:r>
      <w:r>
        <w:rPr>
          <w:rFonts w:hint="eastAsia" w:ascii="宋体" w:hAnsi="宋体" w:cs="宋体"/>
          <w:bCs/>
          <w:color w:val="auto"/>
          <w:sz w:val="24"/>
          <w:szCs w:val="24"/>
        </w:rPr>
        <w:t>开标后，招标方将组织对投标文件进行审查，应检查其是否完整，是否出现计算性错误，投标文件正本是否由投标表现人逐页签名，是否满足招标文件的格式要求，是否提供投标保证金等。</w:t>
      </w:r>
    </w:p>
    <w:p>
      <w:pPr>
        <w:spacing w:line="500" w:lineRule="exact"/>
        <w:ind w:firstLine="480" w:firstLineChars="200"/>
        <w:rPr>
          <w:rFonts w:ascii="宋体" w:hAnsi="宋体" w:cs="宋体"/>
          <w:bCs/>
          <w:color w:val="auto"/>
          <w:sz w:val="24"/>
          <w:szCs w:val="24"/>
        </w:rPr>
      </w:pPr>
      <w:r>
        <w:rPr>
          <w:rFonts w:hint="eastAsia" w:ascii="宋体" w:hAnsi="宋体" w:cs="宋体"/>
          <w:color w:val="auto"/>
          <w:sz w:val="24"/>
          <w:szCs w:val="24"/>
          <w:lang w:val="zh-CN"/>
        </w:rPr>
        <w:t>23.4.2</w:t>
      </w:r>
      <w:r>
        <w:rPr>
          <w:rFonts w:hint="eastAsia" w:ascii="宋体" w:hAnsi="宋体" w:cs="宋体"/>
          <w:bCs/>
          <w:color w:val="auto"/>
          <w:sz w:val="24"/>
          <w:szCs w:val="24"/>
        </w:rPr>
        <w:t>在对投标文件进行综合评估之前，招标方将依据投标人提供的资格证明文件，审查投标人的财务和技术能力。如果确定投标人无能力履行合同，其投标将被拒绝。</w:t>
      </w:r>
    </w:p>
    <w:p>
      <w:pPr>
        <w:spacing w:line="500" w:lineRule="exact"/>
        <w:ind w:firstLine="480" w:firstLineChars="200"/>
        <w:rPr>
          <w:rFonts w:ascii="宋体" w:hAnsi="宋体" w:cs="宋体"/>
          <w:bCs/>
          <w:color w:val="auto"/>
          <w:sz w:val="24"/>
          <w:szCs w:val="24"/>
        </w:rPr>
      </w:pPr>
      <w:r>
        <w:rPr>
          <w:rFonts w:hint="eastAsia" w:ascii="宋体" w:hAnsi="宋体" w:cs="宋体"/>
          <w:color w:val="auto"/>
          <w:sz w:val="24"/>
          <w:szCs w:val="24"/>
          <w:lang w:val="zh-CN"/>
        </w:rPr>
        <w:t>23.4.3</w:t>
      </w:r>
      <w:r>
        <w:rPr>
          <w:rFonts w:hint="eastAsia" w:ascii="宋体" w:hAnsi="宋体" w:cs="宋体"/>
          <w:bCs/>
          <w:color w:val="auto"/>
          <w:sz w:val="24"/>
          <w:szCs w:val="24"/>
        </w:rPr>
        <w:t>评标委员会将确定每一投标人是否对投标文件的要求做出了实质性响应，而没有重大偏离。实质性响应的投标是指符合招标文件的所有条款、条件和规定且没有重大偏离和保留的投标。</w:t>
      </w:r>
    </w:p>
    <w:p>
      <w:pPr>
        <w:spacing w:line="500" w:lineRule="exact"/>
        <w:ind w:firstLine="480" w:firstLineChars="200"/>
        <w:rPr>
          <w:rFonts w:ascii="宋体" w:hAnsi="宋体" w:cs="宋体"/>
          <w:bCs/>
          <w:color w:val="auto"/>
          <w:sz w:val="24"/>
          <w:szCs w:val="24"/>
        </w:rPr>
      </w:pPr>
      <w:r>
        <w:rPr>
          <w:rFonts w:hint="eastAsia" w:ascii="宋体" w:hAnsi="宋体" w:cs="宋体"/>
          <w:color w:val="auto"/>
          <w:sz w:val="24"/>
          <w:szCs w:val="24"/>
          <w:lang w:val="zh-CN"/>
        </w:rPr>
        <w:t>23.4.4</w:t>
      </w:r>
      <w:r>
        <w:rPr>
          <w:rFonts w:hint="eastAsia" w:ascii="宋体" w:hAnsi="宋体" w:cs="宋体"/>
          <w:bCs/>
          <w:color w:val="auto"/>
          <w:sz w:val="24"/>
          <w:szCs w:val="24"/>
        </w:rPr>
        <w:t>评标委员会判断投标文件的响应性仅基于投标文件本身而不靠外部证据。</w:t>
      </w:r>
    </w:p>
    <w:p>
      <w:pPr>
        <w:spacing w:line="500" w:lineRule="exact"/>
        <w:ind w:firstLine="480" w:firstLineChars="200"/>
        <w:rPr>
          <w:rFonts w:ascii="宋体" w:hAnsi="宋体" w:cs="宋体"/>
          <w:bCs/>
          <w:color w:val="auto"/>
          <w:sz w:val="24"/>
          <w:szCs w:val="24"/>
        </w:rPr>
      </w:pPr>
      <w:r>
        <w:rPr>
          <w:rFonts w:hint="eastAsia" w:ascii="宋体" w:hAnsi="宋体" w:cs="宋体"/>
          <w:color w:val="auto"/>
          <w:sz w:val="24"/>
          <w:szCs w:val="24"/>
          <w:lang w:val="zh-CN"/>
        </w:rPr>
        <w:t>23.4.5</w:t>
      </w:r>
      <w:r>
        <w:rPr>
          <w:rFonts w:hint="eastAsia" w:ascii="宋体" w:hAnsi="宋体" w:cs="宋体"/>
          <w:bCs/>
          <w:color w:val="auto"/>
          <w:sz w:val="24"/>
          <w:szCs w:val="24"/>
        </w:rPr>
        <w:t>评标委员会将拒绝被确定为非实质性响应的投标。投标方不能通过修正或撤回不符合之处而使其投标成为实质性响应的投标。</w:t>
      </w:r>
    </w:p>
    <w:p>
      <w:pPr>
        <w:spacing w:line="500" w:lineRule="exact"/>
        <w:ind w:firstLine="472" w:firstLineChars="196"/>
        <w:rPr>
          <w:rFonts w:ascii="宋体" w:hAnsi="宋体" w:cs="宋体"/>
          <w:b/>
          <w:bCs/>
          <w:color w:val="auto"/>
          <w:sz w:val="24"/>
          <w:szCs w:val="24"/>
        </w:rPr>
      </w:pPr>
      <w:r>
        <w:rPr>
          <w:rFonts w:hint="eastAsia" w:ascii="宋体" w:hAnsi="宋体" w:cs="宋体"/>
          <w:b/>
          <w:bCs/>
          <w:color w:val="auto"/>
          <w:sz w:val="24"/>
          <w:szCs w:val="24"/>
        </w:rPr>
        <w:t>23.5 投标登记确认的审查</w:t>
      </w:r>
    </w:p>
    <w:p>
      <w:pPr>
        <w:spacing w:line="500" w:lineRule="exact"/>
        <w:ind w:firstLine="470" w:firstLineChars="196"/>
        <w:rPr>
          <w:rFonts w:ascii="宋体" w:hAnsi="宋体" w:cs="宋体"/>
          <w:b/>
          <w:bCs/>
          <w:color w:val="auto"/>
          <w:sz w:val="24"/>
          <w:szCs w:val="24"/>
        </w:rPr>
      </w:pPr>
      <w:r>
        <w:rPr>
          <w:rFonts w:hint="eastAsia" w:ascii="宋体" w:hAnsi="宋体" w:cs="宋体"/>
          <w:bCs/>
          <w:color w:val="auto"/>
          <w:sz w:val="24"/>
          <w:szCs w:val="24"/>
        </w:rPr>
        <w:t>23.5.1</w:t>
      </w:r>
      <w:r>
        <w:rPr>
          <w:rFonts w:hint="eastAsia" w:ascii="宋体" w:hAnsi="宋体" w:cs="宋体"/>
          <w:color w:val="auto"/>
          <w:sz w:val="24"/>
          <w:szCs w:val="24"/>
        </w:rPr>
        <w:t>由招标方以书面方式，对按招标文件规定的开标时间准时参加的投标人的投标登记确认情况，进行现场审查通报。凡按规定时间前进行了投标登记确认的，其投标被接受。否则，其投标将直接被拒绝。</w:t>
      </w:r>
    </w:p>
    <w:p>
      <w:pPr>
        <w:spacing w:line="500" w:lineRule="exact"/>
        <w:ind w:firstLine="472" w:firstLineChars="196"/>
        <w:rPr>
          <w:rFonts w:ascii="宋体" w:hAnsi="宋体" w:cs="宋体"/>
          <w:b/>
          <w:bCs/>
          <w:color w:val="auto"/>
          <w:sz w:val="24"/>
          <w:szCs w:val="24"/>
        </w:rPr>
      </w:pPr>
      <w:r>
        <w:rPr>
          <w:rFonts w:hint="eastAsia" w:ascii="宋体" w:hAnsi="宋体" w:cs="宋体"/>
          <w:b/>
          <w:bCs/>
          <w:color w:val="auto"/>
          <w:sz w:val="24"/>
          <w:szCs w:val="24"/>
        </w:rPr>
        <w:t>23.6 投标人资格审查</w:t>
      </w:r>
    </w:p>
    <w:p>
      <w:pPr>
        <w:spacing w:line="500" w:lineRule="exact"/>
        <w:ind w:firstLine="470" w:firstLineChars="196"/>
        <w:rPr>
          <w:rFonts w:ascii="宋体" w:hAnsi="宋体" w:cs="宋体"/>
          <w:color w:val="auto"/>
          <w:sz w:val="24"/>
          <w:szCs w:val="24"/>
        </w:rPr>
      </w:pPr>
      <w:r>
        <w:rPr>
          <w:rFonts w:hint="eastAsia" w:ascii="宋体" w:hAnsi="宋体" w:cs="宋体"/>
          <w:color w:val="auto"/>
          <w:sz w:val="24"/>
          <w:szCs w:val="24"/>
        </w:rPr>
        <w:t>23.6.1各投标人的资格审查，现场不接受二次提所供涉及的投标资料，且现场不允许与外界有任何方式的联系和沟通。</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23.6.2依据招标文件规定，由招标方按照投标登记确认先后顺序，当众启封投标文件，并对投标文件的密封性、完整性、时效性、相关资格证照和保证金缴纳情况等进行审查。</w:t>
      </w:r>
      <w:r>
        <w:rPr>
          <w:rFonts w:hint="eastAsia" w:ascii="宋体" w:hAnsi="宋体" w:cs="宋体"/>
          <w:b/>
          <w:color w:val="auto"/>
          <w:sz w:val="24"/>
          <w:szCs w:val="24"/>
        </w:rPr>
        <w:t>凡不符合前款“第四部分”中1.2条款之规定要求的，</w:t>
      </w:r>
      <w:r>
        <w:rPr>
          <w:rFonts w:hint="eastAsia" w:ascii="宋体" w:hAnsi="宋体" w:cs="宋体"/>
          <w:b/>
          <w:bCs/>
          <w:color w:val="auto"/>
          <w:sz w:val="24"/>
          <w:szCs w:val="24"/>
        </w:rPr>
        <w:t>其投标将被直接拒绝，并不得进入具体评标程序。</w:t>
      </w:r>
    </w:p>
    <w:p>
      <w:pPr>
        <w:spacing w:line="500" w:lineRule="exact"/>
        <w:ind w:firstLine="472" w:firstLineChars="196"/>
        <w:rPr>
          <w:rFonts w:ascii="宋体" w:hAnsi="宋体" w:cs="宋体"/>
          <w:b/>
          <w:bCs/>
          <w:color w:val="auto"/>
          <w:sz w:val="24"/>
          <w:szCs w:val="24"/>
        </w:rPr>
      </w:pPr>
      <w:r>
        <w:rPr>
          <w:rFonts w:hint="eastAsia" w:ascii="宋体" w:hAnsi="宋体" w:cs="宋体"/>
          <w:b/>
          <w:bCs/>
          <w:color w:val="auto"/>
          <w:sz w:val="24"/>
          <w:szCs w:val="24"/>
        </w:rPr>
        <w:t>23.6评标前的意见征求</w:t>
      </w:r>
    </w:p>
    <w:p>
      <w:pPr>
        <w:spacing w:line="500" w:lineRule="exact"/>
        <w:ind w:firstLine="470" w:firstLineChars="196"/>
        <w:rPr>
          <w:rFonts w:ascii="宋体" w:hAnsi="宋体" w:cs="宋体"/>
          <w:color w:val="auto"/>
          <w:sz w:val="24"/>
          <w:szCs w:val="24"/>
        </w:rPr>
      </w:pPr>
      <w:r>
        <w:rPr>
          <w:rFonts w:hint="eastAsia" w:ascii="宋体" w:hAnsi="宋体" w:cs="宋体"/>
          <w:bCs/>
          <w:color w:val="auto"/>
          <w:sz w:val="24"/>
          <w:szCs w:val="24"/>
        </w:rPr>
        <w:t>23.6.1</w:t>
      </w:r>
      <w:r>
        <w:rPr>
          <w:rFonts w:hint="eastAsia" w:ascii="宋体" w:hAnsi="宋体" w:cs="宋体"/>
          <w:color w:val="auto"/>
          <w:sz w:val="24"/>
          <w:szCs w:val="24"/>
        </w:rPr>
        <w:t>严格在招标文件的规定范围内，由招标方、现场以书面的方式，征求招标单位代表对本次评标委员会评标时应注意的事项及意见建议，并签字确认。</w:t>
      </w:r>
    </w:p>
    <w:p>
      <w:pPr>
        <w:spacing w:line="500" w:lineRule="exact"/>
        <w:ind w:firstLine="470" w:firstLineChars="196"/>
        <w:rPr>
          <w:rFonts w:ascii="宋体" w:hAnsi="宋体" w:cs="宋体"/>
          <w:color w:val="auto"/>
          <w:sz w:val="24"/>
          <w:szCs w:val="24"/>
        </w:rPr>
      </w:pPr>
      <w:r>
        <w:rPr>
          <w:rFonts w:hint="eastAsia" w:ascii="宋体" w:hAnsi="宋体" w:cs="宋体"/>
          <w:bCs/>
          <w:color w:val="auto"/>
          <w:sz w:val="24"/>
          <w:szCs w:val="24"/>
        </w:rPr>
        <w:t>23.6.2</w:t>
      </w:r>
      <w:r>
        <w:rPr>
          <w:rFonts w:hint="eastAsia" w:ascii="宋体" w:hAnsi="宋体" w:cs="宋体"/>
          <w:color w:val="auto"/>
          <w:sz w:val="24"/>
          <w:szCs w:val="24"/>
        </w:rPr>
        <w:t>由招标方本次项目承办责任人严格按照招标文件的规定范围，核实并提出是否采信的意见并签字确认。</w:t>
      </w:r>
    </w:p>
    <w:p>
      <w:pPr>
        <w:spacing w:line="500" w:lineRule="exact"/>
        <w:ind w:firstLine="470" w:firstLineChars="196"/>
        <w:rPr>
          <w:rFonts w:ascii="宋体" w:hAnsi="宋体" w:cs="宋体"/>
          <w:color w:val="auto"/>
          <w:sz w:val="24"/>
          <w:szCs w:val="24"/>
        </w:rPr>
      </w:pPr>
      <w:r>
        <w:rPr>
          <w:rFonts w:hint="eastAsia" w:ascii="宋体" w:hAnsi="宋体" w:cs="宋体"/>
          <w:bCs/>
          <w:color w:val="auto"/>
          <w:sz w:val="24"/>
          <w:szCs w:val="24"/>
        </w:rPr>
        <w:t>23.6.3</w:t>
      </w:r>
      <w:r>
        <w:rPr>
          <w:rFonts w:hint="eastAsia" w:ascii="宋体" w:hAnsi="宋体" w:cs="宋体"/>
          <w:color w:val="auto"/>
          <w:sz w:val="24"/>
          <w:szCs w:val="24"/>
        </w:rPr>
        <w:t>由招标方将可采信的上述意见建议，现场向评标委员会及成员提出可以予以采纳的决定。反之，则不予采纳。</w:t>
      </w:r>
    </w:p>
    <w:p>
      <w:pPr>
        <w:spacing w:line="500" w:lineRule="exact"/>
        <w:ind w:firstLine="3915" w:firstLineChars="1625"/>
        <w:rPr>
          <w:rFonts w:ascii="宋体" w:hAnsi="宋体" w:cs="宋体"/>
          <w:b/>
          <w:color w:val="auto"/>
          <w:sz w:val="24"/>
          <w:szCs w:val="24"/>
        </w:rPr>
      </w:pPr>
    </w:p>
    <w:p>
      <w:pPr>
        <w:spacing w:line="500" w:lineRule="exact"/>
        <w:jc w:val="center"/>
        <w:outlineLvl w:val="1"/>
        <w:rPr>
          <w:rFonts w:ascii="宋体" w:hAnsi="宋体" w:cs="宋体"/>
          <w:b/>
          <w:color w:val="auto"/>
          <w:sz w:val="28"/>
          <w:szCs w:val="28"/>
        </w:rPr>
      </w:pPr>
      <w:r>
        <w:rPr>
          <w:rFonts w:hint="eastAsia" w:ascii="宋体" w:hAnsi="宋体" w:cs="宋体"/>
          <w:b/>
          <w:color w:val="auto"/>
          <w:sz w:val="28"/>
          <w:szCs w:val="28"/>
        </w:rPr>
        <w:t>第六章、评  标</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17、评标依据和方法</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17.1评标的依据为招标文件。</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17.2评标方法采取综合评分法。</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18、投标文件的澄清</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18.1为有助于对投标文件进行审查、评估和比较，招标方组建的评标委员会将对投标人进行询标，请投标方澄清其投标内容，投标方有责任按照招标方通知的时间、地点指派专人进行答疑和澄清。询标时投标方代表应作书面记录。并对重要内容做出书面答复。</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18.2重要澄清的答复应是书面的，但不得对投标的价格、技术指标和参数等内容进行实质性修改。澄清文件须由投标方法人代表或法人授权代表签字和（或）加盖招标方公章并作为投标文件的组成部分。</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19、对投标文件的评估和比较</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19.1对实质性响应招标文件的投标文件进行评估和比较。</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19.2除考虑投标价格外，还应考虑以下因素：</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19.2.1投标文件中所报服务期及付款方式；</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19.2.2企业综合能力；</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19.2.3招标文件中所要求的有关服务费用；</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19.2.4服务承诺。</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19.2.5其他特殊要求因素（如节能、安全和环保等）。</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20、评标过程的保密</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20.1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20.2投标人在评标过程中，所进行的试图影响评标结果的不符合《政府招标法》及本次招标有关规定的活动，将被取消中标资格。</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21、初步评审</w:t>
      </w:r>
    </w:p>
    <w:p>
      <w:pPr>
        <w:spacing w:line="500" w:lineRule="exact"/>
        <w:ind w:firstLine="472" w:firstLineChars="200"/>
        <w:rPr>
          <w:rFonts w:hint="eastAsia" w:ascii="宋体" w:hAnsi="宋体" w:cs="宋体"/>
          <w:spacing w:val="-2"/>
          <w:sz w:val="24"/>
          <w:szCs w:val="24"/>
        </w:rPr>
      </w:pPr>
      <w:r>
        <w:rPr>
          <w:rFonts w:hint="eastAsia" w:ascii="宋体" w:hAnsi="宋体" w:cs="宋体"/>
          <w:spacing w:val="-2"/>
          <w:sz w:val="24"/>
          <w:szCs w:val="24"/>
        </w:rPr>
        <w:t>21.1  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的实质性内容。投标文件中的大写金额和小写金额不一致的以大写金额为准；总价金额与单价金额不一致的，以单价金额为准。</w:t>
      </w:r>
    </w:p>
    <w:p>
      <w:pPr>
        <w:spacing w:line="500" w:lineRule="exact"/>
        <w:ind w:firstLine="472" w:firstLineChars="200"/>
        <w:rPr>
          <w:rFonts w:hint="eastAsia" w:ascii="宋体" w:hAnsi="宋体" w:cs="宋体"/>
          <w:spacing w:val="-2"/>
          <w:sz w:val="24"/>
          <w:szCs w:val="24"/>
        </w:rPr>
      </w:pPr>
      <w:r>
        <w:rPr>
          <w:rFonts w:hint="eastAsia" w:ascii="宋体" w:hAnsi="宋体" w:cs="宋体"/>
          <w:spacing w:val="-2"/>
          <w:sz w:val="24"/>
          <w:szCs w:val="24"/>
        </w:rPr>
        <w:t>21.2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autoSpaceDE w:val="0"/>
        <w:autoSpaceDN w:val="0"/>
        <w:adjustRightInd w:val="0"/>
        <w:spacing w:line="500" w:lineRule="exact"/>
        <w:ind w:firstLine="482"/>
        <w:rPr>
          <w:rFonts w:hint="eastAsia" w:ascii="宋体" w:hAnsi="宋体" w:cs="宋体"/>
          <w:spacing w:val="-2"/>
          <w:sz w:val="24"/>
          <w:szCs w:val="24"/>
        </w:rPr>
      </w:pPr>
      <w:r>
        <w:rPr>
          <w:rFonts w:hint="eastAsia" w:ascii="宋体" w:hAnsi="宋体" w:cs="宋体"/>
          <w:spacing w:val="-2"/>
          <w:sz w:val="24"/>
          <w:szCs w:val="24"/>
        </w:rPr>
        <w:t xml:space="preserve">    21.3　二次</w:t>
      </w:r>
      <w:r>
        <w:rPr>
          <w:rFonts w:hint="eastAsia" w:ascii="宋体" w:hAnsi="宋体" w:cs="宋体"/>
          <w:bCs/>
          <w:sz w:val="24"/>
          <w:szCs w:val="24"/>
          <w:lang w:val="zh-CN"/>
        </w:rPr>
        <w:t>报价</w:t>
      </w:r>
      <w:r>
        <w:rPr>
          <w:rFonts w:hint="eastAsia" w:ascii="宋体" w:hAnsi="宋体" w:cs="宋体"/>
          <w:sz w:val="24"/>
          <w:szCs w:val="24"/>
          <w:lang w:val="zh-CN"/>
        </w:rPr>
        <w:t>采取现场同时填报的形式提交，且为最终报价。</w:t>
      </w:r>
      <w:r>
        <w:rPr>
          <w:rFonts w:hint="eastAsia" w:ascii="宋体" w:hAnsi="宋体" w:cs="宋体"/>
          <w:spacing w:val="-2"/>
          <w:sz w:val="24"/>
          <w:szCs w:val="24"/>
        </w:rPr>
        <w:t>投标最低报价，不作为是否中标的依据。</w:t>
      </w:r>
    </w:p>
    <w:p>
      <w:pPr>
        <w:spacing w:line="500" w:lineRule="exact"/>
        <w:ind w:firstLine="472" w:firstLineChars="200"/>
        <w:rPr>
          <w:rFonts w:ascii="宋体" w:hAnsi="宋体" w:cs="宋体"/>
          <w:b/>
          <w:color w:val="auto"/>
          <w:spacing w:val="-2"/>
          <w:sz w:val="24"/>
          <w:szCs w:val="24"/>
        </w:rPr>
      </w:pPr>
      <w:r>
        <w:rPr>
          <w:rFonts w:hint="eastAsia" w:ascii="宋体" w:hAnsi="宋体" w:cs="宋体"/>
          <w:color w:val="auto"/>
          <w:spacing w:val="-2"/>
          <w:sz w:val="24"/>
          <w:szCs w:val="24"/>
        </w:rPr>
        <w:t>21.4</w:t>
      </w:r>
      <w:r>
        <w:rPr>
          <w:rFonts w:hint="eastAsia" w:ascii="宋体" w:hAnsi="宋体" w:cs="宋体"/>
          <w:b/>
          <w:color w:val="auto"/>
          <w:spacing w:val="-2"/>
          <w:sz w:val="24"/>
          <w:szCs w:val="24"/>
        </w:rPr>
        <w:t>招标方不接受不符合国家有关部门相关规定的投标报价或优惠方案，不接受均超过了招标预算，且招标人不能支付的报价。</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21.5在评标过程中，评标委员会发现投标人以他人名义投标、串通投标、以行贿手段谋取中标或者以其他弄虚作假方式投标的，该投标人的投标应作废标处理。</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21.6投标人的资格条件不符合国家有关规定和招标文件要求的，或者拒不按照要求对投标文件进行澄清、说明或补正的，评标委员会可以否决其投标。</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21.7评标委员会应当审查每一投标文件是否对招标文件提出的所有实质性要求和条件做出响应。未能在实质上响应的投标，应作废标处理。</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21.8投标人不得误导、干扰招标方的评标活动，否则将废除其投标。</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21.9评标委员会应当根据招标文件，审查并逐项列出投标文件的全部投标偏差。投标偏差分为重大偏差和细微偏差。</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21.9下列情况属于重大偏差：</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21.9.1没有按照招标文件要求提供投标保证金的；</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21.9.2投标文件没有投标人授权代表签字和加盖公章的；</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21.9.3投标文件中附有招标人不能接受的条件的；</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21.9.4不符合招标文件中规定的其他实质性要求的。</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投标文件有上述情形之一的，为未能对招标文件做出实质性响应的投标，并作废标处理。</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评标委员会应当要求存在细小偏差的投标人在评标结束前以书面形式予以补正。拒绝补正的，在详细评审时可以对细微偏差作不利于该投标人的量化。</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21.13对投标文件响应性的审查</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21.14.1开标后，招标方将组织对投标文件进行审查，检查投标书是否完整，是否出现计算性错误，投标书正本是否由投标表现人逐页签名，是否满足招标书的格式要求，是否提供投标保证金。</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21.14.2在对投标文件进行详细评分之前，招标方将依据投标人提供的资格证明文件审查投标人的财务和技术能力。如果确定投标人无能力履行合同，其投标将被拒绝。</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21.14.3评标委员会将确定每一投标人是否对招标文件的要求做出了实质性响应，而没有重大偏离。实质性响应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响应的投标人的公平竞争地位。</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21.14.4评标委员会判断投标文件的响应性仅基于投标文件本身而不靠外部证据。</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21.14.5评标委员会将拒绝被确定为非实质性响应的投标。投标人不能通过修正或撤消不符合之处而使其投标成为实质性响应的投标。</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21.15投标文件的澄清</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21.15.1为了有助于对投标文件进行审查、评估和比较，招标方有权向投标人质疑，要求投标人澄清其投标内容。投标人有责任按照招标方指定的时间、地点指派专人进行答疑和澄清。</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21.15.2所有澄清的答复必须是书面形式。</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21.15.3投标人的澄清不得对投标内容进行实质性修改。</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22.详细评审</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22.1</w:t>
      </w:r>
      <w:r>
        <w:rPr>
          <w:rFonts w:hint="eastAsia" w:ascii="宋体" w:hAnsi="宋体" w:cs="宋体"/>
          <w:b/>
          <w:spacing w:val="-2"/>
          <w:sz w:val="24"/>
          <w:szCs w:val="24"/>
        </w:rPr>
        <w:t>经初步评审合格的投标人进行二次或多次报价确定最后评标价格，评标委员会应当根据招标文件确定的评标标准和方法，对其技术和商务部分作进一步的评审和比较。</w:t>
      </w:r>
      <w:r>
        <w:rPr>
          <w:rFonts w:hint="eastAsia" w:ascii="宋体" w:hAnsi="宋体" w:cs="宋体"/>
          <w:b/>
          <w:color w:val="auto"/>
          <w:spacing w:val="-2"/>
          <w:sz w:val="24"/>
          <w:szCs w:val="24"/>
        </w:rPr>
        <w:t>。</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22.2</w:t>
      </w:r>
      <w:r>
        <w:rPr>
          <w:rFonts w:hint="eastAsia" w:ascii="宋体" w:hAnsi="宋体" w:cs="Arial"/>
          <w:bCs/>
          <w:color w:val="auto"/>
          <w:sz w:val="24"/>
          <w:szCs w:val="24"/>
        </w:rPr>
        <w:t>评标办法：本次招标采取</w:t>
      </w:r>
      <w:r>
        <w:rPr>
          <w:rFonts w:hint="eastAsia" w:ascii="宋体" w:hAnsi="宋体" w:cs="Arial"/>
          <w:b/>
          <w:bCs/>
          <w:color w:val="auto"/>
          <w:sz w:val="24"/>
          <w:szCs w:val="24"/>
          <w:u w:val="single"/>
        </w:rPr>
        <w:t>综合评分法</w:t>
      </w:r>
      <w:r>
        <w:rPr>
          <w:rFonts w:hint="eastAsia" w:ascii="宋体" w:hAnsi="宋体" w:cs="Arial"/>
          <w:bCs/>
          <w:color w:val="auto"/>
          <w:sz w:val="24"/>
          <w:szCs w:val="24"/>
        </w:rPr>
        <w:t>。</w:t>
      </w:r>
      <w:r>
        <w:rPr>
          <w:rFonts w:hint="eastAsia" w:ascii="宋体" w:hAnsi="宋体" w:cs="宋体"/>
          <w:color w:val="auto"/>
          <w:sz w:val="24"/>
          <w:szCs w:val="24"/>
        </w:rPr>
        <w:t>衡量投标文件是否最大限度满足</w:t>
      </w:r>
      <w:r>
        <w:rPr>
          <w:rFonts w:hint="eastAsia" w:ascii="宋体" w:hAnsi="宋体"/>
          <w:color w:val="auto"/>
          <w:spacing w:val="-2"/>
          <w:sz w:val="24"/>
          <w:szCs w:val="24"/>
        </w:rPr>
        <w:t>招标文件中规定的各项评价标准，最大限度地满足招标文件中规定的各项综合评价标准的投标，根据得分高低，确定第一名为中标单位。</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22.3根据综合评分法完成评标后，评标委员会应当拟定一份书面评标报告提交招标方。评标报告应当载明投标人的投标项目、所作的任何修正、对商业偏差的调整、对技术偏差的调整、对各评审因素的评估以及对每一投标的最终评审结果。</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22.4评标和定标一般应当在开标后1个工作日内完成，项目金额较大、技术较为复杂等特殊项目的评标工作应当在3个工作日内完成。不能在开标后3个工作日内完成评标和定标的，招标人应当提前3天通知所有投标人延长投标有效期。同意延长投标有效期的投标人应当相应延长投标保证金的有效期，但不得修改投标文件的实质性内容。</w:t>
      </w:r>
    </w:p>
    <w:p>
      <w:pPr>
        <w:spacing w:line="50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22.5评分标准</w:t>
      </w:r>
    </w:p>
    <w:p>
      <w:pPr>
        <w:spacing w:line="500" w:lineRule="exact"/>
        <w:ind w:firstLine="495"/>
        <w:rPr>
          <w:rFonts w:ascii="宋体" w:hAnsi="宋体" w:cs="宋体"/>
          <w:color w:val="auto"/>
          <w:sz w:val="24"/>
          <w:szCs w:val="24"/>
        </w:rPr>
      </w:pPr>
      <w:r>
        <w:rPr>
          <w:rFonts w:hint="eastAsia" w:ascii="宋体" w:hAnsi="宋体" w:cs="宋体"/>
          <w:color w:val="auto"/>
          <w:sz w:val="24"/>
          <w:szCs w:val="24"/>
        </w:rPr>
        <w:t xml:space="preserve">评标委员会根据招标文件对各投标方所报商务文件、技术文件进行评审和综合评估打分，打分采取百分制。 </w:t>
      </w:r>
    </w:p>
    <w:p>
      <w:pPr>
        <w:spacing w:line="500" w:lineRule="exact"/>
        <w:ind w:firstLine="480"/>
        <w:rPr>
          <w:rFonts w:ascii="宋体" w:hAnsi="宋体" w:cs="宋体"/>
          <w:b/>
          <w:color w:val="auto"/>
          <w:sz w:val="24"/>
          <w:szCs w:val="24"/>
        </w:rPr>
      </w:pPr>
      <w:r>
        <w:rPr>
          <w:rFonts w:hint="eastAsia" w:ascii="宋体" w:hAnsi="宋体" w:cs="宋体"/>
          <w:b/>
          <w:color w:val="auto"/>
          <w:sz w:val="24"/>
          <w:szCs w:val="24"/>
        </w:rPr>
        <w:t xml:space="preserve">评分标准 </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一、技术部分，占总分的50%</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二、商务部分，占总分的40%</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三、价格部分，占总分的10%</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1、对各家投标报价进行唱标</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rPr>
        <w:t>23．综合评分原则</w:t>
      </w:r>
    </w:p>
    <w:p>
      <w:pPr>
        <w:spacing w:line="500" w:lineRule="exact"/>
        <w:ind w:firstLine="480" w:firstLineChars="200"/>
        <w:rPr>
          <w:rFonts w:ascii="宋体" w:hAnsi="宋体" w:cs="宋体"/>
          <w:b/>
          <w:color w:val="auto"/>
          <w:sz w:val="24"/>
          <w:szCs w:val="24"/>
        </w:rPr>
      </w:pPr>
      <w:r>
        <w:rPr>
          <w:rFonts w:hint="eastAsia" w:ascii="宋体" w:hAnsi="宋体" w:cs="宋体"/>
          <w:color w:val="auto"/>
          <w:sz w:val="24"/>
          <w:szCs w:val="24"/>
        </w:rPr>
        <w:t>1、评标委员会对所报价格、技术（配置、质量及性能、技术方案）、财务状况、信誉、业绩、服务、标书的响应程度等因素进行比较与评价，并进行打分和汇总。详见</w:t>
      </w:r>
      <w:r>
        <w:rPr>
          <w:rFonts w:hint="eastAsia" w:ascii="宋体" w:hAnsi="宋体" w:cs="宋体"/>
          <w:b/>
          <w:color w:val="auto"/>
          <w:sz w:val="24"/>
          <w:szCs w:val="24"/>
          <w:lang w:val="zh-CN"/>
        </w:rPr>
        <w:t>《</w:t>
      </w:r>
      <w:r>
        <w:rPr>
          <w:rFonts w:hint="eastAsia" w:ascii="宋体" w:hAnsi="宋体" w:cs="宋体"/>
          <w:b/>
          <w:color w:val="auto"/>
          <w:sz w:val="24"/>
          <w:szCs w:val="24"/>
        </w:rPr>
        <w:t>综合评标（分）记录明细表》。</w:t>
      </w:r>
    </w:p>
    <w:p>
      <w:pPr>
        <w:spacing w:line="500" w:lineRule="exact"/>
        <w:ind w:firstLine="480" w:firstLineChars="200"/>
        <w:rPr>
          <w:rFonts w:ascii="宋体" w:hAnsi="宋体" w:cs="宋体"/>
          <w:b/>
          <w:color w:val="auto"/>
          <w:sz w:val="24"/>
          <w:szCs w:val="24"/>
        </w:rPr>
      </w:pPr>
      <w:r>
        <w:rPr>
          <w:rFonts w:hint="eastAsia" w:ascii="宋体" w:hAnsi="宋体" w:cs="宋体"/>
          <w:color w:val="auto"/>
          <w:sz w:val="24"/>
          <w:szCs w:val="24"/>
        </w:rPr>
        <w:t>2、评标委员会小组成员评标、打分时不得协商，应独立完成。</w:t>
      </w:r>
    </w:p>
    <w:p>
      <w:pPr>
        <w:spacing w:line="500" w:lineRule="exact"/>
        <w:ind w:firstLine="480" w:firstLineChars="200"/>
        <w:rPr>
          <w:rFonts w:ascii="宋体" w:hAnsi="宋体" w:cs="宋体"/>
          <w:b/>
          <w:color w:val="auto"/>
          <w:sz w:val="24"/>
          <w:szCs w:val="24"/>
        </w:rPr>
      </w:pPr>
      <w:r>
        <w:rPr>
          <w:rFonts w:hint="eastAsia" w:ascii="宋体" w:hAnsi="宋体" w:cs="宋体"/>
          <w:color w:val="auto"/>
          <w:sz w:val="24"/>
          <w:szCs w:val="24"/>
        </w:rPr>
        <w:t>3、未满足招标文件要求的投标方，不予评分。</w:t>
      </w:r>
    </w:p>
    <w:p>
      <w:pPr>
        <w:spacing w:line="500" w:lineRule="exact"/>
        <w:ind w:firstLine="480" w:firstLineChars="200"/>
        <w:rPr>
          <w:rFonts w:ascii="宋体" w:hAnsi="宋体" w:cs="宋体"/>
          <w:b/>
          <w:color w:val="auto"/>
          <w:sz w:val="24"/>
          <w:szCs w:val="24"/>
        </w:rPr>
      </w:pPr>
      <w:r>
        <w:rPr>
          <w:rFonts w:hint="eastAsia" w:ascii="宋体" w:hAnsi="宋体" w:cs="宋体"/>
          <w:color w:val="auto"/>
          <w:sz w:val="24"/>
          <w:szCs w:val="24"/>
        </w:rPr>
        <w:t>4、评标打分应当按照技术部分、价格部分的顺序进行，打分保留两位小数。</w:t>
      </w:r>
    </w:p>
    <w:p>
      <w:pPr>
        <w:spacing w:line="500" w:lineRule="exact"/>
        <w:ind w:firstLine="480" w:firstLineChars="200"/>
        <w:rPr>
          <w:rFonts w:ascii="宋体" w:hAnsi="宋体" w:cs="宋体"/>
          <w:b/>
          <w:color w:val="auto"/>
          <w:sz w:val="24"/>
          <w:szCs w:val="24"/>
        </w:rPr>
      </w:pPr>
      <w:r>
        <w:rPr>
          <w:rFonts w:hint="eastAsia" w:ascii="宋体" w:hAnsi="宋体" w:cs="宋体"/>
          <w:color w:val="auto"/>
          <w:sz w:val="24"/>
          <w:szCs w:val="24"/>
        </w:rPr>
        <w:t>5、技术部分应按各小项分档打分，并要载明具体打分时的增减原因，即具体评估（价）的依据及理由。投标文件中各小项指标相近的，打分应属同一档次。在招标方同意的情况下，允许评标委员会小组各成员根据招标书文件部分要求的技术、功能和</w:t>
      </w:r>
      <w:r>
        <w:rPr>
          <w:rFonts w:hint="eastAsia" w:ascii="宋体" w:hAnsi="宋体" w:cs="宋体"/>
          <w:b/>
          <w:color w:val="auto"/>
          <w:sz w:val="24"/>
          <w:szCs w:val="24"/>
          <w:lang w:val="zh-CN"/>
        </w:rPr>
        <w:t>《</w:t>
      </w:r>
      <w:r>
        <w:rPr>
          <w:rFonts w:hint="eastAsia" w:ascii="宋体" w:hAnsi="宋体" w:cs="宋体"/>
          <w:b/>
          <w:color w:val="auto"/>
          <w:sz w:val="24"/>
          <w:szCs w:val="24"/>
        </w:rPr>
        <w:t>综合评标（分）记录明细表》</w:t>
      </w:r>
      <w:r>
        <w:rPr>
          <w:rFonts w:hint="eastAsia" w:ascii="宋体" w:hAnsi="宋体" w:cs="宋体"/>
          <w:color w:val="auto"/>
          <w:sz w:val="24"/>
          <w:szCs w:val="24"/>
        </w:rPr>
        <w:t>表格部分的性能指标要求，可以按各投标文件（投标书和产品技术说明书）实际情况在档次打分范围内调整分值。</w:t>
      </w:r>
    </w:p>
    <w:p>
      <w:pPr>
        <w:spacing w:line="500" w:lineRule="exact"/>
        <w:ind w:firstLine="573"/>
        <w:rPr>
          <w:rFonts w:ascii="宋体" w:hAnsi="宋体" w:cs="宋体"/>
          <w:color w:val="auto"/>
          <w:sz w:val="24"/>
          <w:szCs w:val="24"/>
        </w:rPr>
      </w:pPr>
      <w:r>
        <w:rPr>
          <w:rFonts w:hint="eastAsia" w:ascii="宋体" w:hAnsi="宋体" w:cs="宋体"/>
          <w:color w:val="auto"/>
          <w:sz w:val="24"/>
          <w:szCs w:val="24"/>
        </w:rPr>
        <w:t>6、打分采取百分制，其中技术部分占总分的</w:t>
      </w:r>
      <w:r>
        <w:rPr>
          <w:rFonts w:hint="eastAsia" w:ascii="宋体" w:hAnsi="宋体" w:cs="宋体"/>
          <w:b/>
          <w:color w:val="auto"/>
          <w:sz w:val="24"/>
          <w:szCs w:val="24"/>
          <w:u w:val="single"/>
        </w:rPr>
        <w:t>50%</w:t>
      </w:r>
      <w:r>
        <w:rPr>
          <w:rFonts w:hint="eastAsia" w:ascii="宋体" w:hAnsi="宋体" w:cs="宋体"/>
          <w:color w:val="auto"/>
          <w:sz w:val="24"/>
          <w:szCs w:val="24"/>
        </w:rPr>
        <w:t>，商务部分占总分的</w:t>
      </w:r>
      <w:r>
        <w:rPr>
          <w:rFonts w:hint="eastAsia" w:ascii="宋体" w:hAnsi="宋体" w:cs="宋体"/>
          <w:b/>
          <w:bCs/>
          <w:color w:val="auto"/>
          <w:sz w:val="24"/>
          <w:szCs w:val="24"/>
          <w:u w:val="single"/>
        </w:rPr>
        <w:t>40%，</w:t>
      </w:r>
      <w:r>
        <w:rPr>
          <w:rFonts w:hint="eastAsia" w:ascii="宋体" w:hAnsi="宋体" w:cs="宋体"/>
          <w:color w:val="auto"/>
          <w:sz w:val="24"/>
          <w:szCs w:val="24"/>
        </w:rPr>
        <w:t>价格部分占总分的</w:t>
      </w:r>
      <w:r>
        <w:rPr>
          <w:rFonts w:hint="eastAsia" w:ascii="宋体" w:hAnsi="宋体" w:cs="宋体"/>
          <w:b/>
          <w:color w:val="auto"/>
          <w:sz w:val="24"/>
          <w:szCs w:val="24"/>
          <w:u w:val="single"/>
        </w:rPr>
        <w:t>10%。</w:t>
      </w:r>
    </w:p>
    <w:p>
      <w:pPr>
        <w:spacing w:line="500" w:lineRule="exact"/>
        <w:ind w:firstLine="573"/>
        <w:rPr>
          <w:rFonts w:ascii="宋体" w:hAnsi="宋体" w:cs="宋体"/>
          <w:color w:val="auto"/>
          <w:sz w:val="24"/>
          <w:szCs w:val="24"/>
        </w:rPr>
      </w:pPr>
      <w:r>
        <w:rPr>
          <w:rFonts w:hint="eastAsia" w:ascii="宋体" w:hAnsi="宋体" w:cs="宋体"/>
          <w:color w:val="auto"/>
          <w:sz w:val="24"/>
          <w:szCs w:val="24"/>
        </w:rPr>
        <w:t>7、招标方核对汇总评标委员会各成员评分时，将计算出每一个投标投标人技术部分所得分数的合计数后，再计算出其合计数的算术平均数，对高于或低于这一平均数25%以上的评分，不纳入计算该投标投标人技术部分的合计得分的范围，剩余评标委员会小组成员技术部分合计评分的算术平均数加上该投标方最终报价部分的得分后，即为该投标方的最后综合得分。</w:t>
      </w:r>
    </w:p>
    <w:p>
      <w:pPr>
        <w:tabs>
          <w:tab w:val="left" w:pos="8280"/>
        </w:tabs>
        <w:spacing w:line="500" w:lineRule="exact"/>
        <w:ind w:right="-1" w:firstLine="540" w:firstLineChars="225"/>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4"/>
          <w:lang w:val="zh-CN"/>
        </w:rPr>
        <w:t>由招标方核对录入和汇总计算出每一个投标投标人的所得分数值，</w:t>
      </w:r>
      <w:r>
        <w:rPr>
          <w:rFonts w:hint="eastAsia" w:ascii="宋体" w:hAnsi="宋体" w:cs="宋体"/>
          <w:color w:val="auto"/>
          <w:sz w:val="24"/>
          <w:szCs w:val="24"/>
        </w:rPr>
        <w:t>并由高到底排序后，须有评标委员会小组各成员署名确认。如出现得分相同的，</w:t>
      </w:r>
      <w:r>
        <w:rPr>
          <w:rFonts w:hint="eastAsia" w:ascii="宋体" w:hAnsi="宋体" w:cs="宋体"/>
          <w:color w:val="auto"/>
          <w:sz w:val="24"/>
          <w:szCs w:val="24"/>
          <w:lang w:val="zh-CN"/>
        </w:rPr>
        <w:t>应按投标投标人的最终报价由低到高顺序排列；得分且其最终报价相等的，则按核心技术指标优劣顺序排列。价格、技术指标高</w:t>
      </w:r>
      <w:r>
        <w:rPr>
          <w:rFonts w:hint="eastAsia" w:ascii="宋体" w:hAnsi="宋体" w:cs="宋体"/>
          <w:color w:val="auto"/>
          <w:sz w:val="24"/>
          <w:szCs w:val="24"/>
        </w:rPr>
        <w:t>低或优劣由评标委员各成员确认评定。</w:t>
      </w:r>
    </w:p>
    <w:p>
      <w:pPr>
        <w:spacing w:line="500" w:lineRule="exact"/>
        <w:ind w:firstLine="482" w:firstLineChars="200"/>
        <w:rPr>
          <w:rFonts w:ascii="宋体" w:hAnsi="宋体" w:cs="宋体"/>
          <w:b/>
          <w:color w:val="auto"/>
          <w:sz w:val="24"/>
          <w:szCs w:val="24"/>
        </w:rPr>
      </w:pPr>
      <w:r>
        <w:rPr>
          <w:rFonts w:hint="eastAsia" w:ascii="宋体" w:hAnsi="宋体" w:cs="宋体"/>
          <w:b/>
          <w:color w:val="auto"/>
          <w:sz w:val="24"/>
          <w:szCs w:val="24"/>
          <w:lang w:val="zh-CN"/>
        </w:rPr>
        <w:t>24.</w:t>
      </w:r>
      <w:r>
        <w:rPr>
          <w:rFonts w:hint="eastAsia" w:ascii="宋体" w:hAnsi="宋体" w:cs="宋体"/>
          <w:b/>
          <w:color w:val="auto"/>
          <w:sz w:val="24"/>
          <w:szCs w:val="24"/>
        </w:rPr>
        <w:t>《综合评标（分）记录明细表》</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1、明细表包括技术部分、报价部分、评审分标准、具体评审意见、综合评审意见、分数标准、得分、其他等组成。</w:t>
      </w:r>
    </w:p>
    <w:p>
      <w:pPr>
        <w:spacing w:line="500" w:lineRule="exact"/>
        <w:ind w:firstLine="480" w:firstLineChars="200"/>
        <w:rPr>
          <w:rFonts w:ascii="宋体" w:hAnsi="宋体" w:cs="宋体"/>
          <w:bCs/>
          <w:color w:val="auto"/>
          <w:sz w:val="24"/>
          <w:szCs w:val="24"/>
        </w:rPr>
      </w:pPr>
      <w:r>
        <w:rPr>
          <w:rFonts w:hint="eastAsia" w:ascii="宋体" w:hAnsi="宋体" w:cs="宋体"/>
          <w:color w:val="auto"/>
          <w:sz w:val="24"/>
          <w:szCs w:val="24"/>
        </w:rPr>
        <w:t>2、评标委员会各成员记录原则上不允许有涂改、划擦等，如有应按合规方式修正。不允许在招标方核对汇总且确认之后，在未经许可时，不能再要回重新记录。</w:t>
      </w:r>
      <w:r>
        <w:rPr>
          <w:rFonts w:hint="eastAsia" w:ascii="宋体" w:hAnsi="宋体" w:cs="宋体"/>
          <w:bCs/>
          <w:color w:val="auto"/>
          <w:sz w:val="24"/>
          <w:szCs w:val="24"/>
        </w:rPr>
        <w:t>评标委员会将对投标人递交的投标文件按《投标文件完备性及符合性审查标准》进行审查。</w:t>
      </w:r>
    </w:p>
    <w:p>
      <w:pPr>
        <w:spacing w:line="440" w:lineRule="exact"/>
        <w:ind w:firstLine="480" w:firstLineChars="200"/>
        <w:jc w:val="center"/>
        <w:rPr>
          <w:rFonts w:ascii="宋体" w:hAnsi="宋体" w:cs="宋体"/>
          <w:bCs/>
          <w:color w:val="auto"/>
          <w:sz w:val="24"/>
          <w:szCs w:val="24"/>
        </w:rPr>
      </w:pPr>
      <w:r>
        <w:rPr>
          <w:rFonts w:hint="eastAsia" w:ascii="宋体" w:hAnsi="宋体" w:cs="宋体"/>
          <w:bCs/>
          <w:color w:val="auto"/>
          <w:sz w:val="24"/>
          <w:szCs w:val="24"/>
        </w:rPr>
        <w:t>《投标文件完备性及符合性审查标准》</w:t>
      </w:r>
    </w:p>
    <w:tbl>
      <w:tblPr>
        <w:tblStyle w:val="2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spacing w:line="440" w:lineRule="exact"/>
              <w:ind w:firstLine="120" w:firstLineChars="50"/>
              <w:rPr>
                <w:rFonts w:ascii="宋体" w:hAnsi="宋体" w:cs="宋体"/>
                <w:bCs/>
                <w:color w:val="auto"/>
                <w:sz w:val="24"/>
                <w:szCs w:val="24"/>
              </w:rPr>
            </w:pPr>
            <w:r>
              <w:rPr>
                <w:rFonts w:hint="eastAsia" w:ascii="宋体" w:hAnsi="宋体" w:cs="宋体"/>
                <w:bCs/>
                <w:color w:val="auto"/>
                <w:sz w:val="24"/>
                <w:szCs w:val="24"/>
              </w:rPr>
              <w:t>序号</w:t>
            </w:r>
          </w:p>
        </w:tc>
        <w:tc>
          <w:tcPr>
            <w:tcW w:w="7569" w:type="dxa"/>
          </w:tcPr>
          <w:p>
            <w:pPr>
              <w:spacing w:line="440" w:lineRule="exact"/>
              <w:ind w:firstLine="120" w:firstLineChars="50"/>
              <w:jc w:val="center"/>
              <w:rPr>
                <w:rFonts w:ascii="宋体" w:hAnsi="宋体" w:cs="宋体"/>
                <w:bCs/>
                <w:color w:val="auto"/>
                <w:sz w:val="24"/>
                <w:szCs w:val="24"/>
              </w:rPr>
            </w:pPr>
            <w:r>
              <w:rPr>
                <w:rFonts w:hint="eastAsia" w:ascii="宋体" w:hAnsi="宋体" w:cs="宋体"/>
                <w:bCs/>
                <w:color w:val="auto"/>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40" w:lineRule="exact"/>
              <w:jc w:val="center"/>
              <w:rPr>
                <w:rFonts w:ascii="宋体" w:hAnsi="宋体" w:cs="宋体"/>
                <w:bCs/>
                <w:color w:val="auto"/>
                <w:sz w:val="24"/>
                <w:szCs w:val="24"/>
              </w:rPr>
            </w:pPr>
            <w:r>
              <w:rPr>
                <w:rFonts w:hint="eastAsia" w:ascii="宋体" w:hAnsi="宋体" w:cs="宋体"/>
                <w:bCs/>
                <w:color w:val="auto"/>
                <w:sz w:val="24"/>
                <w:szCs w:val="24"/>
              </w:rPr>
              <w:t>1</w:t>
            </w:r>
          </w:p>
        </w:tc>
        <w:tc>
          <w:tcPr>
            <w:tcW w:w="7569" w:type="dxa"/>
            <w:vAlign w:val="center"/>
          </w:tcPr>
          <w:p>
            <w:pPr>
              <w:spacing w:line="440" w:lineRule="exact"/>
              <w:jc w:val="left"/>
              <w:rPr>
                <w:rFonts w:ascii="宋体" w:hAnsi="宋体" w:cs="宋体"/>
                <w:bCs/>
                <w:color w:val="auto"/>
                <w:sz w:val="24"/>
                <w:szCs w:val="24"/>
              </w:rPr>
            </w:pPr>
            <w:r>
              <w:rPr>
                <w:rFonts w:hint="eastAsia" w:ascii="宋体" w:hAnsi="宋体" w:cs="宋体"/>
                <w:bCs/>
                <w:color w:val="auto"/>
                <w:sz w:val="24"/>
                <w:szCs w:val="24"/>
              </w:rPr>
              <w:t>投标承诺书中所报的招标项目完成期限必须要符合招标文件规定。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959" w:type="dxa"/>
            <w:vAlign w:val="center"/>
          </w:tcPr>
          <w:p>
            <w:pPr>
              <w:spacing w:line="440" w:lineRule="exact"/>
              <w:jc w:val="center"/>
              <w:rPr>
                <w:rFonts w:ascii="宋体" w:hAnsi="宋体" w:cs="宋体"/>
                <w:bCs/>
                <w:color w:val="auto"/>
                <w:sz w:val="24"/>
                <w:szCs w:val="24"/>
              </w:rPr>
            </w:pPr>
            <w:r>
              <w:rPr>
                <w:rFonts w:hint="eastAsia" w:ascii="宋体" w:hAnsi="宋体" w:cs="宋体"/>
                <w:bCs/>
                <w:color w:val="auto"/>
                <w:sz w:val="24"/>
                <w:szCs w:val="24"/>
              </w:rPr>
              <w:t>2</w:t>
            </w:r>
          </w:p>
        </w:tc>
        <w:tc>
          <w:tcPr>
            <w:tcW w:w="7569" w:type="dxa"/>
            <w:vAlign w:val="center"/>
          </w:tcPr>
          <w:p>
            <w:pPr>
              <w:jc w:val="left"/>
              <w:rPr>
                <w:rFonts w:ascii="宋体" w:hAnsi="宋体" w:cs="宋体"/>
                <w:bCs/>
                <w:color w:val="auto"/>
                <w:sz w:val="24"/>
                <w:szCs w:val="24"/>
              </w:rPr>
            </w:pPr>
            <w:r>
              <w:rPr>
                <w:rFonts w:hint="eastAsia" w:ascii="宋体" w:hAnsi="宋体" w:cs="宋体"/>
                <w:bCs/>
                <w:color w:val="auto"/>
                <w:sz w:val="24"/>
                <w:szCs w:val="24"/>
              </w:rPr>
              <w:t>投标函必须按招标文件规定格式完整提供，并加盖投标人公章。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40" w:lineRule="exact"/>
              <w:jc w:val="center"/>
              <w:rPr>
                <w:rFonts w:ascii="宋体" w:hAnsi="宋体" w:cs="宋体"/>
                <w:bCs/>
                <w:color w:val="auto"/>
                <w:sz w:val="24"/>
                <w:szCs w:val="24"/>
              </w:rPr>
            </w:pPr>
            <w:r>
              <w:rPr>
                <w:rFonts w:hint="eastAsia" w:ascii="宋体" w:hAnsi="宋体" w:cs="宋体"/>
                <w:bCs/>
                <w:color w:val="auto"/>
                <w:sz w:val="24"/>
                <w:szCs w:val="24"/>
              </w:rPr>
              <w:t>3</w:t>
            </w:r>
          </w:p>
        </w:tc>
        <w:tc>
          <w:tcPr>
            <w:tcW w:w="7569" w:type="dxa"/>
            <w:vAlign w:val="center"/>
          </w:tcPr>
          <w:p>
            <w:pPr>
              <w:jc w:val="left"/>
              <w:rPr>
                <w:rFonts w:ascii="宋体" w:hAnsi="宋体" w:cs="宋体"/>
                <w:bCs/>
                <w:color w:val="auto"/>
                <w:sz w:val="24"/>
                <w:szCs w:val="24"/>
              </w:rPr>
            </w:pPr>
            <w:r>
              <w:rPr>
                <w:rFonts w:hint="eastAsia" w:ascii="宋体" w:hAnsi="宋体" w:cs="宋体"/>
                <w:bCs/>
                <w:color w:val="auto"/>
                <w:sz w:val="24"/>
                <w:szCs w:val="24"/>
              </w:rPr>
              <w:t>关于资格的声明函必须按招标文件规定格式完整提供，并加盖投标人公章。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40" w:lineRule="exact"/>
              <w:jc w:val="center"/>
              <w:rPr>
                <w:rFonts w:ascii="宋体" w:hAnsi="宋体" w:cs="宋体"/>
                <w:bCs/>
                <w:color w:val="auto"/>
                <w:sz w:val="24"/>
                <w:szCs w:val="24"/>
              </w:rPr>
            </w:pPr>
            <w:r>
              <w:rPr>
                <w:rFonts w:hint="eastAsia" w:ascii="宋体" w:hAnsi="宋体" w:cs="宋体"/>
                <w:bCs/>
                <w:color w:val="auto"/>
                <w:sz w:val="24"/>
                <w:szCs w:val="24"/>
              </w:rPr>
              <w:t>4</w:t>
            </w:r>
          </w:p>
        </w:tc>
        <w:tc>
          <w:tcPr>
            <w:tcW w:w="7569" w:type="dxa"/>
            <w:vAlign w:val="center"/>
          </w:tcPr>
          <w:p>
            <w:pPr>
              <w:spacing w:line="440" w:lineRule="exact"/>
              <w:jc w:val="left"/>
              <w:rPr>
                <w:rFonts w:ascii="宋体" w:hAnsi="宋体" w:cs="宋体"/>
                <w:bCs/>
                <w:color w:val="auto"/>
                <w:sz w:val="24"/>
                <w:szCs w:val="24"/>
              </w:rPr>
            </w:pPr>
            <w:r>
              <w:rPr>
                <w:rFonts w:hint="eastAsia" w:ascii="宋体" w:hAnsi="宋体" w:cs="宋体"/>
                <w:bCs/>
                <w:color w:val="auto"/>
                <w:sz w:val="24"/>
                <w:szCs w:val="24"/>
              </w:rPr>
              <w:t>法定代表人身份证明书必须按招标文件规定格式完整提供，并加盖投标人公章。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40" w:lineRule="exact"/>
              <w:jc w:val="center"/>
              <w:rPr>
                <w:rFonts w:ascii="宋体" w:hAnsi="宋体" w:cs="宋体"/>
                <w:bCs/>
                <w:color w:val="auto"/>
                <w:sz w:val="24"/>
                <w:szCs w:val="24"/>
              </w:rPr>
            </w:pPr>
            <w:r>
              <w:rPr>
                <w:rFonts w:hint="eastAsia" w:ascii="宋体" w:hAnsi="宋体" w:cs="宋体"/>
                <w:bCs/>
                <w:color w:val="auto"/>
                <w:sz w:val="24"/>
                <w:szCs w:val="24"/>
              </w:rPr>
              <w:t>5</w:t>
            </w:r>
          </w:p>
        </w:tc>
        <w:tc>
          <w:tcPr>
            <w:tcW w:w="7569" w:type="dxa"/>
            <w:vAlign w:val="center"/>
          </w:tcPr>
          <w:p>
            <w:pPr>
              <w:jc w:val="left"/>
              <w:rPr>
                <w:rFonts w:ascii="宋体" w:hAnsi="宋体" w:cs="宋体"/>
                <w:bCs/>
                <w:color w:val="auto"/>
                <w:sz w:val="24"/>
                <w:szCs w:val="24"/>
              </w:rPr>
            </w:pPr>
            <w:r>
              <w:rPr>
                <w:rFonts w:hint="eastAsia" w:ascii="宋体" w:hAnsi="宋体" w:cs="宋体"/>
                <w:bCs/>
                <w:color w:val="auto"/>
                <w:sz w:val="24"/>
                <w:szCs w:val="24"/>
              </w:rPr>
              <w:t>法定代表授权委托书必须按招标文件规定格式完整提供，并加盖投标人公章。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40" w:lineRule="exact"/>
              <w:jc w:val="center"/>
              <w:rPr>
                <w:rFonts w:ascii="宋体" w:hAnsi="宋体" w:cs="宋体"/>
                <w:bCs/>
                <w:color w:val="auto"/>
                <w:sz w:val="24"/>
                <w:szCs w:val="24"/>
              </w:rPr>
            </w:pPr>
            <w:r>
              <w:rPr>
                <w:rFonts w:ascii="宋体" w:hAnsi="宋体" w:cs="宋体"/>
                <w:bCs/>
                <w:color w:val="auto"/>
                <w:sz w:val="24"/>
                <w:szCs w:val="24"/>
              </w:rPr>
              <w:t>6</w:t>
            </w:r>
          </w:p>
        </w:tc>
        <w:tc>
          <w:tcPr>
            <w:tcW w:w="7569" w:type="dxa"/>
            <w:vAlign w:val="center"/>
          </w:tcPr>
          <w:p>
            <w:pPr>
              <w:jc w:val="left"/>
              <w:rPr>
                <w:rFonts w:ascii="宋体" w:hAnsi="宋体" w:cs="宋体"/>
                <w:bCs/>
                <w:color w:val="auto"/>
                <w:sz w:val="24"/>
                <w:szCs w:val="24"/>
              </w:rPr>
            </w:pPr>
            <w:r>
              <w:rPr>
                <w:rFonts w:hint="eastAsia" w:ascii="宋体" w:hAnsi="宋体" w:cs="宋体"/>
                <w:bCs/>
                <w:color w:val="auto"/>
                <w:sz w:val="24"/>
                <w:szCs w:val="24"/>
              </w:rPr>
              <w:t>开标一览表必须按招标文件规定格式完整提供，并加盖投标人公章。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440" w:lineRule="exact"/>
              <w:jc w:val="center"/>
              <w:rPr>
                <w:rFonts w:ascii="宋体" w:hAnsi="宋体" w:cs="宋体"/>
                <w:bCs/>
                <w:color w:val="auto"/>
                <w:sz w:val="24"/>
                <w:szCs w:val="24"/>
              </w:rPr>
            </w:pPr>
            <w:r>
              <w:rPr>
                <w:rFonts w:ascii="宋体" w:hAnsi="宋体" w:cs="宋体"/>
                <w:bCs/>
                <w:color w:val="auto"/>
                <w:sz w:val="24"/>
                <w:szCs w:val="24"/>
              </w:rPr>
              <w:t>7</w:t>
            </w:r>
          </w:p>
        </w:tc>
        <w:tc>
          <w:tcPr>
            <w:tcW w:w="7569" w:type="dxa"/>
            <w:vAlign w:val="center"/>
          </w:tcPr>
          <w:p>
            <w:pPr>
              <w:spacing w:line="440" w:lineRule="exact"/>
              <w:jc w:val="left"/>
              <w:rPr>
                <w:rFonts w:ascii="宋体" w:hAnsi="宋体" w:cs="宋体"/>
                <w:bCs/>
                <w:color w:val="auto"/>
                <w:sz w:val="24"/>
                <w:szCs w:val="24"/>
              </w:rPr>
            </w:pPr>
            <w:r>
              <w:rPr>
                <w:rFonts w:hint="eastAsia" w:ascii="宋体" w:hAnsi="宋体" w:cs="宋体"/>
                <w:bCs/>
                <w:color w:val="auto"/>
                <w:sz w:val="24"/>
                <w:szCs w:val="24"/>
              </w:rPr>
              <w:t>投标文件右上角必须注明“正本”或“副本”字样。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gridSpan w:val="2"/>
          </w:tcPr>
          <w:p>
            <w:pPr>
              <w:spacing w:line="440" w:lineRule="exact"/>
              <w:rPr>
                <w:rFonts w:ascii="宋体" w:hAnsi="宋体"/>
                <w:bCs/>
                <w:color w:val="auto"/>
              </w:rPr>
            </w:pPr>
            <w:r>
              <w:rPr>
                <w:rFonts w:hint="eastAsia" w:ascii="宋体" w:hAnsi="宋体" w:cs="宋体"/>
                <w:bCs/>
                <w:color w:val="auto"/>
                <w:sz w:val="24"/>
                <w:szCs w:val="24"/>
              </w:rPr>
              <w:t>再次重申：投标人请认真阅读和理解上述内容，避免投标文件中有违背上述审查标准之一的情况发生而造成废标。</w:t>
            </w:r>
          </w:p>
        </w:tc>
      </w:tr>
    </w:tbl>
    <w:p>
      <w:pPr>
        <w:spacing w:line="500" w:lineRule="exact"/>
        <w:rPr>
          <w:rFonts w:ascii="宋体" w:hAnsi="宋体" w:cs="宋体"/>
          <w:color w:val="auto"/>
          <w:sz w:val="24"/>
          <w:szCs w:val="24"/>
        </w:rPr>
      </w:pPr>
    </w:p>
    <w:tbl>
      <w:tblPr>
        <w:tblStyle w:val="29"/>
        <w:tblpPr w:leftFromText="180" w:rightFromText="180" w:vertAnchor="text" w:horzAnchor="page" w:tblpX="843" w:tblpY="269"/>
        <w:tblOverlap w:val="never"/>
        <w:tblW w:w="17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211"/>
        <w:gridCol w:w="1197"/>
        <w:gridCol w:w="335"/>
        <w:gridCol w:w="3623"/>
        <w:gridCol w:w="1434"/>
        <w:gridCol w:w="675"/>
        <w:gridCol w:w="615"/>
        <w:gridCol w:w="830"/>
        <w:gridCol w:w="456"/>
        <w:gridCol w:w="845"/>
        <w:gridCol w:w="2108"/>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390" w:hRule="atLeast"/>
        </w:trPr>
        <w:tc>
          <w:tcPr>
            <w:tcW w:w="10314" w:type="dxa"/>
            <w:gridSpan w:val="9"/>
            <w:vAlign w:val="center"/>
          </w:tcPr>
          <w:p>
            <w:pPr>
              <w:spacing w:line="240" w:lineRule="auto"/>
              <w:textAlignment w:val="auto"/>
              <w:rPr>
                <w:rFonts w:ascii="宋体" w:hAnsi="宋体" w:cs="宋体"/>
                <w:b/>
                <w:bCs/>
                <w:color w:val="auto"/>
                <w:szCs w:val="21"/>
              </w:rPr>
            </w:pPr>
            <w:r>
              <w:rPr>
                <w:rFonts w:hint="eastAsia" w:ascii="宋体" w:hAnsi="宋体" w:cs="宋体"/>
                <w:b/>
                <w:bCs/>
                <w:color w:val="auto"/>
                <w:szCs w:val="21"/>
              </w:rPr>
              <w:t>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355" w:hRule="atLeast"/>
        </w:trPr>
        <w:tc>
          <w:tcPr>
            <w:tcW w:w="10314" w:type="dxa"/>
            <w:gridSpan w:val="9"/>
            <w:vAlign w:val="center"/>
          </w:tcPr>
          <w:p>
            <w:pPr>
              <w:spacing w:line="240" w:lineRule="auto"/>
              <w:jc w:val="left"/>
              <w:textAlignment w:val="auto"/>
              <w:rPr>
                <w:rFonts w:ascii="宋体" w:hAnsi="宋体" w:cs="宋体"/>
                <w:b/>
                <w:bCs/>
                <w:color w:val="auto"/>
                <w:szCs w:val="21"/>
              </w:rPr>
            </w:pPr>
            <w:r>
              <w:rPr>
                <w:rFonts w:hint="eastAsia" w:ascii="宋体" w:hAnsi="宋体" w:cs="宋体"/>
                <w:b/>
                <w:bCs/>
                <w:color w:val="auto"/>
                <w:szCs w:val="21"/>
              </w:rPr>
              <w:t>投标公司：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380" w:hRule="atLeast"/>
        </w:trPr>
        <w:tc>
          <w:tcPr>
            <w:tcW w:w="10314" w:type="dxa"/>
            <w:gridSpan w:val="9"/>
            <w:vAlign w:val="center"/>
          </w:tcPr>
          <w:p>
            <w:pPr>
              <w:spacing w:line="240" w:lineRule="auto"/>
              <w:jc w:val="center"/>
              <w:textAlignment w:val="auto"/>
              <w:rPr>
                <w:rFonts w:ascii="宋体" w:hAnsi="宋体" w:cs="宋体"/>
                <w:b/>
                <w:bCs/>
                <w:color w:val="auto"/>
                <w:szCs w:val="21"/>
              </w:rPr>
            </w:pPr>
            <w:r>
              <w:rPr>
                <w:rFonts w:hint="eastAsia" w:ascii="宋体" w:hAnsi="宋体" w:cs="宋体"/>
                <w:b/>
                <w:bCs/>
                <w:color w:val="auto"/>
                <w:szCs w:val="21"/>
              </w:rPr>
              <w:t xml:space="preserve"> 综合评标（分）记录明细表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600" w:hRule="atLeast"/>
        </w:trPr>
        <w:tc>
          <w:tcPr>
            <w:tcW w:w="394" w:type="dxa"/>
            <w:vAlign w:val="center"/>
          </w:tcPr>
          <w:p>
            <w:pPr>
              <w:spacing w:line="24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序号</w:t>
            </w:r>
          </w:p>
        </w:tc>
        <w:tc>
          <w:tcPr>
            <w:tcW w:w="1211" w:type="dxa"/>
            <w:vAlign w:val="center"/>
          </w:tcPr>
          <w:p>
            <w:pPr>
              <w:spacing w:line="24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项目</w:t>
            </w:r>
          </w:p>
        </w:tc>
        <w:tc>
          <w:tcPr>
            <w:tcW w:w="1197" w:type="dxa"/>
            <w:vAlign w:val="center"/>
          </w:tcPr>
          <w:p>
            <w:pPr>
              <w:spacing w:line="24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评分项目</w:t>
            </w:r>
          </w:p>
        </w:tc>
        <w:tc>
          <w:tcPr>
            <w:tcW w:w="5392" w:type="dxa"/>
            <w:gridSpan w:val="3"/>
            <w:vAlign w:val="center"/>
          </w:tcPr>
          <w:p>
            <w:pPr>
              <w:spacing w:line="24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 xml:space="preserve">  评分标准（以下各项均须填写具体评估依据及理由）</w:t>
            </w:r>
          </w:p>
        </w:tc>
        <w:tc>
          <w:tcPr>
            <w:tcW w:w="675" w:type="dxa"/>
            <w:vAlign w:val="center"/>
          </w:tcPr>
          <w:p>
            <w:pPr>
              <w:spacing w:line="24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分值</w:t>
            </w:r>
          </w:p>
        </w:tc>
        <w:tc>
          <w:tcPr>
            <w:tcW w:w="615" w:type="dxa"/>
            <w:vAlign w:val="center"/>
          </w:tcPr>
          <w:p>
            <w:pPr>
              <w:spacing w:line="24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得分</w:t>
            </w:r>
          </w:p>
        </w:tc>
        <w:tc>
          <w:tcPr>
            <w:tcW w:w="830" w:type="dxa"/>
            <w:vAlign w:val="center"/>
          </w:tcPr>
          <w:p>
            <w:pPr>
              <w:spacing w:line="24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评估（价）的依据及理由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514" w:hRule="atLeast"/>
        </w:trPr>
        <w:tc>
          <w:tcPr>
            <w:tcW w:w="394" w:type="dxa"/>
            <w:vMerge w:val="restart"/>
            <w:vAlign w:val="center"/>
          </w:tcPr>
          <w:p>
            <w:pPr>
              <w:spacing w:line="240" w:lineRule="auto"/>
              <w:jc w:val="center"/>
              <w:textAlignment w:val="auto"/>
              <w:rPr>
                <w:rFonts w:ascii="宋体" w:hAnsi="宋体" w:cs="宋体"/>
                <w:color w:val="auto"/>
                <w:sz w:val="18"/>
                <w:szCs w:val="18"/>
              </w:rPr>
            </w:pPr>
            <w:r>
              <w:rPr>
                <w:rFonts w:hint="eastAsia" w:ascii="宋体" w:hAnsi="宋体" w:cs="宋体"/>
                <w:color w:val="auto"/>
                <w:sz w:val="18"/>
                <w:szCs w:val="18"/>
              </w:rPr>
              <w:t>1</w:t>
            </w:r>
          </w:p>
        </w:tc>
        <w:tc>
          <w:tcPr>
            <w:tcW w:w="1211" w:type="dxa"/>
            <w:vMerge w:val="restart"/>
            <w:vAlign w:val="center"/>
          </w:tcPr>
          <w:p>
            <w:pPr>
              <w:spacing w:line="240" w:lineRule="auto"/>
              <w:jc w:val="center"/>
              <w:textAlignment w:val="auto"/>
              <w:rPr>
                <w:rFonts w:ascii="宋体" w:hAnsi="宋体" w:cs="宋体"/>
                <w:color w:val="auto"/>
                <w:sz w:val="18"/>
                <w:szCs w:val="18"/>
              </w:rPr>
            </w:pPr>
            <w:r>
              <w:rPr>
                <w:rFonts w:hint="eastAsia" w:ascii="宋体" w:hAnsi="宋体" w:cs="宋体"/>
                <w:color w:val="auto"/>
                <w:sz w:val="18"/>
                <w:szCs w:val="18"/>
              </w:rPr>
              <w:t>商务部分   （A1=</w:t>
            </w:r>
            <w:r>
              <w:rPr>
                <w:rFonts w:ascii="宋体" w:hAnsi="宋体" w:cs="宋体"/>
                <w:color w:val="auto"/>
                <w:sz w:val="18"/>
                <w:szCs w:val="18"/>
              </w:rPr>
              <w:t>4</w:t>
            </w:r>
            <w:r>
              <w:rPr>
                <w:rFonts w:hint="eastAsia" w:ascii="宋体" w:hAnsi="宋体" w:cs="宋体"/>
                <w:color w:val="auto"/>
                <w:sz w:val="18"/>
                <w:szCs w:val="18"/>
              </w:rPr>
              <w:t>0分）</w:t>
            </w:r>
          </w:p>
          <w:p>
            <w:pPr>
              <w:spacing w:line="240" w:lineRule="auto"/>
              <w:jc w:val="center"/>
              <w:textAlignment w:val="auto"/>
              <w:rPr>
                <w:rFonts w:ascii="宋体" w:hAnsi="宋体" w:cs="宋体"/>
                <w:color w:val="auto"/>
                <w:sz w:val="18"/>
                <w:szCs w:val="18"/>
              </w:rPr>
            </w:pPr>
          </w:p>
        </w:tc>
        <w:tc>
          <w:tcPr>
            <w:tcW w:w="1197" w:type="dxa"/>
            <w:vMerge w:val="restart"/>
            <w:vAlign w:val="center"/>
          </w:tcPr>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投标人信誉及实力</w:t>
            </w:r>
          </w:p>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（16分）</w:t>
            </w:r>
          </w:p>
        </w:tc>
        <w:tc>
          <w:tcPr>
            <w:tcW w:w="5392" w:type="dxa"/>
            <w:gridSpan w:val="3"/>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中华人民共和国住房和城乡建设部颁发的电子通信广电行业（电子系统工程）专业甲级或电子通信广电行业（通信工程）甲级或工程设计综合甲级设计资质。；</w:t>
            </w:r>
          </w:p>
        </w:tc>
        <w:tc>
          <w:tcPr>
            <w:tcW w:w="675" w:type="dxa"/>
            <w:vAlign w:val="center"/>
          </w:tcPr>
          <w:p>
            <w:pPr>
              <w:spacing w:line="240" w:lineRule="atLeast"/>
              <w:jc w:val="center"/>
              <w:textAlignment w:val="auto"/>
              <w:rPr>
                <w:rFonts w:ascii="宋体" w:hAnsi="宋体" w:cs="宋体"/>
                <w:color w:val="auto"/>
                <w:sz w:val="18"/>
                <w:szCs w:val="18"/>
              </w:rPr>
            </w:pPr>
            <w:r>
              <w:rPr>
                <w:rFonts w:ascii="宋体" w:hAnsi="宋体" w:cs="宋体"/>
                <w:color w:val="auto"/>
                <w:sz w:val="18"/>
                <w:szCs w:val="18"/>
              </w:rPr>
              <w:t>8</w:t>
            </w:r>
          </w:p>
        </w:tc>
        <w:tc>
          <w:tcPr>
            <w:tcW w:w="615" w:type="dxa"/>
            <w:vMerge w:val="restart"/>
            <w:vAlign w:val="center"/>
          </w:tcPr>
          <w:p>
            <w:pPr>
              <w:spacing w:line="240" w:lineRule="auto"/>
              <w:jc w:val="center"/>
              <w:textAlignment w:val="auto"/>
              <w:rPr>
                <w:rFonts w:ascii="宋体" w:hAnsi="宋体" w:cs="宋体"/>
                <w:b/>
                <w:bCs/>
                <w:color w:val="auto"/>
                <w:szCs w:val="21"/>
              </w:rPr>
            </w:pPr>
          </w:p>
        </w:tc>
        <w:tc>
          <w:tcPr>
            <w:tcW w:w="830" w:type="dxa"/>
            <w:vMerge w:val="restart"/>
            <w:vAlign w:val="center"/>
          </w:tcPr>
          <w:p>
            <w:pPr>
              <w:spacing w:line="240" w:lineRule="auto"/>
              <w:jc w:val="center"/>
              <w:textAlignment w:val="auto"/>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694" w:hRule="atLeast"/>
        </w:trPr>
        <w:tc>
          <w:tcPr>
            <w:tcW w:w="394" w:type="dxa"/>
            <w:vMerge w:val="continue"/>
            <w:vAlign w:val="center"/>
          </w:tcPr>
          <w:p>
            <w:pPr>
              <w:spacing w:line="240" w:lineRule="auto"/>
              <w:jc w:val="center"/>
              <w:textAlignment w:val="auto"/>
              <w:rPr>
                <w:rFonts w:ascii="宋体" w:hAnsi="宋体" w:cs="宋体"/>
                <w:color w:val="auto"/>
                <w:sz w:val="18"/>
                <w:szCs w:val="18"/>
              </w:rPr>
            </w:pPr>
          </w:p>
        </w:tc>
        <w:tc>
          <w:tcPr>
            <w:tcW w:w="1211" w:type="dxa"/>
            <w:vMerge w:val="continue"/>
            <w:vAlign w:val="center"/>
          </w:tcPr>
          <w:p>
            <w:pPr>
              <w:spacing w:line="240" w:lineRule="auto"/>
              <w:jc w:val="center"/>
              <w:textAlignment w:val="auto"/>
              <w:rPr>
                <w:rFonts w:ascii="宋体" w:hAnsi="宋体" w:cs="宋体"/>
                <w:color w:val="auto"/>
                <w:sz w:val="18"/>
                <w:szCs w:val="18"/>
              </w:rPr>
            </w:pPr>
          </w:p>
        </w:tc>
        <w:tc>
          <w:tcPr>
            <w:tcW w:w="1197" w:type="dxa"/>
            <w:vMerge w:val="continue"/>
            <w:vAlign w:val="center"/>
          </w:tcPr>
          <w:p>
            <w:pPr>
              <w:spacing w:line="240" w:lineRule="exact"/>
              <w:jc w:val="center"/>
              <w:textAlignment w:val="auto"/>
              <w:rPr>
                <w:rFonts w:ascii="宋体" w:hAnsi="宋体" w:cs="宋体"/>
                <w:color w:val="auto"/>
                <w:sz w:val="18"/>
                <w:szCs w:val="18"/>
              </w:rPr>
            </w:pPr>
          </w:p>
        </w:tc>
        <w:tc>
          <w:tcPr>
            <w:tcW w:w="5392" w:type="dxa"/>
            <w:gridSpan w:val="3"/>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近三年无不良行为记录的单位得满分，被通报的单位不得分。</w:t>
            </w:r>
          </w:p>
        </w:tc>
        <w:tc>
          <w:tcPr>
            <w:tcW w:w="675" w:type="dxa"/>
            <w:vAlign w:val="center"/>
          </w:tcPr>
          <w:p>
            <w:pPr>
              <w:spacing w:line="240" w:lineRule="atLeast"/>
              <w:jc w:val="center"/>
              <w:textAlignment w:val="auto"/>
              <w:rPr>
                <w:rFonts w:ascii="宋体" w:hAnsi="宋体" w:cs="宋体"/>
                <w:color w:val="auto"/>
                <w:sz w:val="18"/>
                <w:szCs w:val="18"/>
              </w:rPr>
            </w:pPr>
            <w:r>
              <w:rPr>
                <w:rFonts w:ascii="宋体" w:hAnsi="宋体" w:cs="宋体"/>
                <w:color w:val="auto"/>
                <w:sz w:val="18"/>
                <w:szCs w:val="18"/>
              </w:rPr>
              <w:t>8</w:t>
            </w:r>
          </w:p>
        </w:tc>
        <w:tc>
          <w:tcPr>
            <w:tcW w:w="615" w:type="dxa"/>
            <w:vMerge w:val="continue"/>
            <w:vAlign w:val="center"/>
          </w:tcPr>
          <w:p>
            <w:pPr>
              <w:spacing w:line="240" w:lineRule="auto"/>
              <w:jc w:val="center"/>
              <w:textAlignment w:val="auto"/>
              <w:rPr>
                <w:rFonts w:ascii="宋体" w:hAnsi="宋体" w:cs="宋体"/>
                <w:b/>
                <w:bCs/>
                <w:color w:val="auto"/>
                <w:szCs w:val="21"/>
              </w:rPr>
            </w:pPr>
          </w:p>
        </w:tc>
        <w:tc>
          <w:tcPr>
            <w:tcW w:w="830" w:type="dxa"/>
            <w:vMerge w:val="continue"/>
            <w:vAlign w:val="center"/>
          </w:tcPr>
          <w:p>
            <w:pPr>
              <w:spacing w:line="240" w:lineRule="auto"/>
              <w:jc w:val="center"/>
              <w:textAlignment w:val="auto"/>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2263"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Align w:val="center"/>
          </w:tcPr>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项目类似业绩</w:t>
            </w:r>
          </w:p>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（15分）</w:t>
            </w:r>
          </w:p>
        </w:tc>
        <w:tc>
          <w:tcPr>
            <w:tcW w:w="5392" w:type="dxa"/>
            <w:gridSpan w:val="3"/>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投标人须提供自2016年至今完成的有效的类似项目咨询业绩的，且项目总投资在3000万元以上或设计费在60万元以上的，每提供一项得3分，满分15分；</w:t>
            </w:r>
          </w:p>
          <w:p>
            <w:pPr>
              <w:spacing w:line="240" w:lineRule="exact"/>
              <w:jc w:val="left"/>
              <w:textAlignment w:val="auto"/>
              <w:rPr>
                <w:rFonts w:ascii="宋体" w:hAnsi="宋体" w:cs="宋体"/>
                <w:color w:val="auto"/>
                <w:sz w:val="18"/>
                <w:szCs w:val="18"/>
              </w:rPr>
            </w:pPr>
          </w:p>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业绩证明材料要求：投标人须提供业绩证明文件，包括但不限于合同有效内容（至少包括封面、合同内容页、盖章页）复印件。投标人提供的业绩证明文件应能够证明该业绩符合招标文件要求，若投标人提交的证明文件不完整或不清导致评标委员会无法准确判定，则该业绩将不被确认</w:t>
            </w:r>
          </w:p>
        </w:tc>
        <w:tc>
          <w:tcPr>
            <w:tcW w:w="675" w:type="dxa"/>
            <w:vAlign w:val="center"/>
          </w:tcPr>
          <w:p>
            <w:pPr>
              <w:spacing w:line="240" w:lineRule="auto"/>
              <w:jc w:val="center"/>
              <w:textAlignment w:val="auto"/>
              <w:rPr>
                <w:rFonts w:ascii="宋体" w:hAnsi="宋体" w:cs="宋体"/>
                <w:color w:val="auto"/>
                <w:sz w:val="18"/>
                <w:szCs w:val="18"/>
              </w:rPr>
            </w:pPr>
            <w:r>
              <w:rPr>
                <w:rFonts w:hint="eastAsia" w:ascii="宋体" w:hAnsi="宋体" w:cs="宋体"/>
                <w:color w:val="auto"/>
                <w:sz w:val="18"/>
                <w:szCs w:val="18"/>
              </w:rPr>
              <w:t>15</w:t>
            </w:r>
          </w:p>
        </w:tc>
        <w:tc>
          <w:tcPr>
            <w:tcW w:w="615" w:type="dxa"/>
            <w:vAlign w:val="center"/>
          </w:tcPr>
          <w:p>
            <w:pPr>
              <w:spacing w:line="240" w:lineRule="auto"/>
              <w:jc w:val="center"/>
              <w:textAlignment w:val="auto"/>
              <w:rPr>
                <w:rFonts w:ascii="宋体" w:hAnsi="宋体" w:cs="宋体"/>
                <w:b/>
                <w:bCs/>
                <w:color w:val="auto"/>
                <w:szCs w:val="21"/>
              </w:rPr>
            </w:pPr>
          </w:p>
        </w:tc>
        <w:tc>
          <w:tcPr>
            <w:tcW w:w="830" w:type="dxa"/>
            <w:vAlign w:val="center"/>
          </w:tcPr>
          <w:p>
            <w:pPr>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663"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Merge w:val="restart"/>
            <w:vAlign w:val="center"/>
          </w:tcPr>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人员配置</w:t>
            </w:r>
          </w:p>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（9分）</w:t>
            </w:r>
          </w:p>
        </w:tc>
        <w:tc>
          <w:tcPr>
            <w:tcW w:w="5392" w:type="dxa"/>
            <w:gridSpan w:val="3"/>
            <w:vAlign w:val="center"/>
          </w:tcPr>
          <w:p>
            <w:pPr>
              <w:spacing w:line="240" w:lineRule="exact"/>
              <w:jc w:val="left"/>
              <w:textAlignment w:val="auto"/>
              <w:rPr>
                <w:rFonts w:ascii="宋体" w:hAnsi="宋体" w:eastAsia="等线" w:cs="宋体"/>
                <w:color w:val="auto"/>
                <w:sz w:val="18"/>
                <w:szCs w:val="18"/>
              </w:rPr>
            </w:pPr>
            <w:r>
              <w:rPr>
                <w:rFonts w:hint="eastAsia" w:ascii="宋体" w:hAnsi="宋体" w:cs="宋体"/>
                <w:color w:val="auto"/>
                <w:sz w:val="18"/>
                <w:szCs w:val="18"/>
              </w:rPr>
              <w:t>拟派的项目负责人要求具备高级工程师及以上职称，得</w:t>
            </w:r>
            <w:r>
              <w:rPr>
                <w:rFonts w:ascii="宋体" w:hAnsi="宋体" w:cs="宋体"/>
                <w:color w:val="auto"/>
                <w:sz w:val="18"/>
                <w:szCs w:val="18"/>
              </w:rPr>
              <w:t>3</w:t>
            </w:r>
            <w:r>
              <w:rPr>
                <w:rFonts w:hint="eastAsia" w:ascii="宋体" w:hAnsi="宋体" w:cs="宋体"/>
                <w:color w:val="auto"/>
                <w:sz w:val="18"/>
                <w:szCs w:val="18"/>
              </w:rPr>
              <w:t>分，不满足或未提供相应证明文件不得分</w:t>
            </w:r>
            <w:r>
              <w:rPr>
                <w:rFonts w:hint="eastAsia" w:ascii="宋体" w:hAnsi="宋体" w:eastAsia="等线" w:cs="宋体"/>
                <w:color w:val="auto"/>
                <w:sz w:val="18"/>
                <w:szCs w:val="18"/>
              </w:rPr>
              <w:t>。</w:t>
            </w:r>
          </w:p>
        </w:tc>
        <w:tc>
          <w:tcPr>
            <w:tcW w:w="675" w:type="dxa"/>
            <w:vAlign w:val="center"/>
          </w:tcPr>
          <w:p>
            <w:pPr>
              <w:spacing w:line="240" w:lineRule="auto"/>
              <w:jc w:val="center"/>
              <w:textAlignment w:val="auto"/>
              <w:rPr>
                <w:rFonts w:ascii="宋体" w:hAnsi="宋体" w:cs="宋体"/>
                <w:color w:val="auto"/>
                <w:sz w:val="18"/>
                <w:szCs w:val="18"/>
              </w:rPr>
            </w:pPr>
            <w:r>
              <w:rPr>
                <w:rFonts w:ascii="宋体" w:hAnsi="宋体" w:cs="宋体"/>
                <w:color w:val="auto"/>
                <w:sz w:val="18"/>
                <w:szCs w:val="18"/>
              </w:rPr>
              <w:t>3</w:t>
            </w:r>
          </w:p>
        </w:tc>
        <w:tc>
          <w:tcPr>
            <w:tcW w:w="615" w:type="dxa"/>
            <w:vMerge w:val="restart"/>
            <w:vAlign w:val="center"/>
          </w:tcPr>
          <w:p>
            <w:pPr>
              <w:spacing w:line="240" w:lineRule="auto"/>
              <w:jc w:val="center"/>
              <w:textAlignment w:val="auto"/>
              <w:rPr>
                <w:rFonts w:ascii="宋体" w:hAnsi="宋体" w:cs="宋体"/>
                <w:b/>
                <w:bCs/>
                <w:color w:val="auto"/>
                <w:szCs w:val="21"/>
              </w:rPr>
            </w:pPr>
          </w:p>
        </w:tc>
        <w:tc>
          <w:tcPr>
            <w:tcW w:w="830" w:type="dxa"/>
            <w:vMerge w:val="restart"/>
            <w:vAlign w:val="center"/>
          </w:tcPr>
          <w:p>
            <w:pPr>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984"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Merge w:val="continue"/>
            <w:vAlign w:val="center"/>
          </w:tcPr>
          <w:p>
            <w:pPr>
              <w:spacing w:line="240" w:lineRule="exact"/>
              <w:jc w:val="center"/>
              <w:textAlignment w:val="auto"/>
              <w:rPr>
                <w:rFonts w:ascii="宋体" w:hAnsi="宋体" w:cs="宋体"/>
                <w:color w:val="auto"/>
                <w:sz w:val="18"/>
                <w:szCs w:val="18"/>
              </w:rPr>
            </w:pPr>
          </w:p>
        </w:tc>
        <w:tc>
          <w:tcPr>
            <w:tcW w:w="5392" w:type="dxa"/>
            <w:gridSpan w:val="3"/>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拟投入项目组人员具有高级工程师及以上职称的（不包括项目负责人），每人加</w:t>
            </w:r>
            <w:r>
              <w:rPr>
                <w:rFonts w:ascii="宋体" w:hAnsi="宋体" w:cs="宋体"/>
                <w:color w:val="auto"/>
                <w:sz w:val="18"/>
                <w:szCs w:val="18"/>
              </w:rPr>
              <w:t>1</w:t>
            </w:r>
            <w:r>
              <w:rPr>
                <w:rFonts w:hint="eastAsia" w:ascii="宋体" w:hAnsi="宋体" w:cs="宋体"/>
                <w:color w:val="auto"/>
                <w:sz w:val="18"/>
                <w:szCs w:val="18"/>
              </w:rPr>
              <w:t>分，最高加</w:t>
            </w:r>
            <w:r>
              <w:rPr>
                <w:rFonts w:ascii="宋体" w:hAnsi="宋体" w:cs="宋体"/>
                <w:color w:val="auto"/>
                <w:sz w:val="18"/>
                <w:szCs w:val="18"/>
              </w:rPr>
              <w:t>4</w:t>
            </w:r>
            <w:r>
              <w:rPr>
                <w:rFonts w:hint="eastAsia" w:ascii="宋体" w:hAnsi="宋体" w:cs="宋体"/>
                <w:color w:val="auto"/>
                <w:sz w:val="18"/>
                <w:szCs w:val="18"/>
              </w:rPr>
              <w:t>分，不满足或未提供相应证明文件不得分</w:t>
            </w:r>
            <w:r>
              <w:rPr>
                <w:rFonts w:hint="eastAsia" w:ascii="宋体" w:hAnsi="宋体" w:eastAsia="等线" w:cs="宋体"/>
                <w:color w:val="auto"/>
                <w:sz w:val="18"/>
                <w:szCs w:val="18"/>
              </w:rPr>
              <w:t>。</w:t>
            </w:r>
          </w:p>
        </w:tc>
        <w:tc>
          <w:tcPr>
            <w:tcW w:w="675" w:type="dxa"/>
            <w:vAlign w:val="center"/>
          </w:tcPr>
          <w:p>
            <w:pPr>
              <w:spacing w:line="240" w:lineRule="auto"/>
              <w:jc w:val="center"/>
              <w:textAlignment w:val="auto"/>
              <w:rPr>
                <w:rFonts w:ascii="宋体" w:hAnsi="宋体" w:eastAsia="等线" w:cs="宋体"/>
                <w:color w:val="auto"/>
                <w:sz w:val="18"/>
                <w:szCs w:val="18"/>
              </w:rPr>
            </w:pPr>
            <w:r>
              <w:rPr>
                <w:rFonts w:ascii="宋体" w:hAnsi="宋体" w:eastAsia="等线" w:cs="宋体"/>
                <w:color w:val="auto"/>
                <w:sz w:val="18"/>
                <w:szCs w:val="18"/>
              </w:rPr>
              <w:t>4</w:t>
            </w:r>
          </w:p>
        </w:tc>
        <w:tc>
          <w:tcPr>
            <w:tcW w:w="615" w:type="dxa"/>
            <w:vMerge w:val="continue"/>
            <w:vAlign w:val="center"/>
          </w:tcPr>
          <w:p>
            <w:pPr>
              <w:spacing w:line="240" w:lineRule="auto"/>
              <w:jc w:val="center"/>
              <w:textAlignment w:val="auto"/>
              <w:rPr>
                <w:rFonts w:ascii="宋体" w:hAnsi="宋体" w:cs="宋体"/>
                <w:b/>
                <w:bCs/>
                <w:color w:val="auto"/>
                <w:szCs w:val="21"/>
              </w:rPr>
            </w:pPr>
          </w:p>
        </w:tc>
        <w:tc>
          <w:tcPr>
            <w:tcW w:w="830" w:type="dxa"/>
            <w:vMerge w:val="continue"/>
            <w:vAlign w:val="center"/>
          </w:tcPr>
          <w:p>
            <w:pPr>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731"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Merge w:val="continue"/>
            <w:vAlign w:val="center"/>
          </w:tcPr>
          <w:p>
            <w:pPr>
              <w:spacing w:line="240" w:lineRule="exact"/>
              <w:jc w:val="center"/>
              <w:textAlignment w:val="auto"/>
              <w:rPr>
                <w:rFonts w:ascii="宋体" w:hAnsi="宋体" w:cs="宋体"/>
                <w:color w:val="auto"/>
                <w:sz w:val="18"/>
                <w:szCs w:val="18"/>
              </w:rPr>
            </w:pPr>
          </w:p>
        </w:tc>
        <w:tc>
          <w:tcPr>
            <w:tcW w:w="5392" w:type="dxa"/>
            <w:gridSpan w:val="3"/>
            <w:vAlign w:val="center"/>
          </w:tcPr>
          <w:p>
            <w:pPr>
              <w:spacing w:line="240" w:lineRule="exact"/>
              <w:jc w:val="left"/>
              <w:textAlignment w:val="auto"/>
              <w:rPr>
                <w:rFonts w:ascii="宋体" w:hAnsi="宋体" w:eastAsia="等线" w:cs="宋体"/>
                <w:color w:val="auto"/>
                <w:sz w:val="18"/>
                <w:szCs w:val="18"/>
              </w:rPr>
            </w:pPr>
            <w:r>
              <w:rPr>
                <w:rFonts w:hint="eastAsia" w:ascii="宋体" w:hAnsi="宋体" w:cs="宋体"/>
                <w:color w:val="auto"/>
                <w:sz w:val="18"/>
                <w:szCs w:val="18"/>
              </w:rPr>
              <w:t>拟派的项目组人员具有中级工程师职称的</w:t>
            </w:r>
            <w:r>
              <w:rPr>
                <w:rFonts w:hint="eastAsia" w:ascii="宋体" w:hAnsi="宋体" w:eastAsia="等线" w:cs="宋体"/>
                <w:color w:val="auto"/>
                <w:sz w:val="18"/>
                <w:szCs w:val="18"/>
              </w:rPr>
              <w:t>，</w:t>
            </w:r>
            <w:r>
              <w:rPr>
                <w:rFonts w:hint="eastAsia" w:ascii="宋体" w:hAnsi="宋体" w:cs="宋体"/>
                <w:color w:val="auto"/>
                <w:sz w:val="18"/>
                <w:szCs w:val="18"/>
              </w:rPr>
              <w:t>每人加1分，最高加2分，不满足或未提供相应证明文件不得分。</w:t>
            </w:r>
          </w:p>
        </w:tc>
        <w:tc>
          <w:tcPr>
            <w:tcW w:w="675" w:type="dxa"/>
            <w:vAlign w:val="center"/>
          </w:tcPr>
          <w:p>
            <w:pPr>
              <w:spacing w:line="240" w:lineRule="auto"/>
              <w:jc w:val="center"/>
              <w:textAlignment w:val="auto"/>
              <w:rPr>
                <w:rFonts w:ascii="宋体" w:hAnsi="宋体" w:cs="宋体"/>
                <w:color w:val="auto"/>
                <w:sz w:val="18"/>
                <w:szCs w:val="18"/>
              </w:rPr>
            </w:pPr>
            <w:r>
              <w:rPr>
                <w:rFonts w:ascii="宋体" w:hAnsi="宋体" w:cs="宋体"/>
                <w:color w:val="auto"/>
                <w:sz w:val="18"/>
                <w:szCs w:val="18"/>
              </w:rPr>
              <w:t>2</w:t>
            </w:r>
          </w:p>
        </w:tc>
        <w:tc>
          <w:tcPr>
            <w:tcW w:w="615" w:type="dxa"/>
            <w:vMerge w:val="continue"/>
            <w:vAlign w:val="center"/>
          </w:tcPr>
          <w:p>
            <w:pPr>
              <w:spacing w:line="240" w:lineRule="auto"/>
              <w:jc w:val="center"/>
              <w:textAlignment w:val="auto"/>
              <w:rPr>
                <w:rFonts w:ascii="宋体" w:hAnsi="宋体" w:cs="宋体"/>
                <w:b/>
                <w:bCs/>
                <w:color w:val="auto"/>
                <w:szCs w:val="21"/>
              </w:rPr>
            </w:pPr>
          </w:p>
        </w:tc>
        <w:tc>
          <w:tcPr>
            <w:tcW w:w="830" w:type="dxa"/>
            <w:vMerge w:val="continue"/>
            <w:vAlign w:val="center"/>
          </w:tcPr>
          <w:p>
            <w:pPr>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564" w:hRule="atLeast"/>
        </w:trPr>
        <w:tc>
          <w:tcPr>
            <w:tcW w:w="394" w:type="dxa"/>
            <w:vMerge w:val="restart"/>
            <w:vAlign w:val="center"/>
          </w:tcPr>
          <w:p>
            <w:pPr>
              <w:spacing w:line="240" w:lineRule="auto"/>
              <w:jc w:val="left"/>
              <w:textAlignment w:val="auto"/>
              <w:rPr>
                <w:rFonts w:ascii="宋体" w:hAnsi="宋体" w:cs="宋体"/>
                <w:color w:val="auto"/>
                <w:sz w:val="18"/>
                <w:szCs w:val="18"/>
              </w:rPr>
            </w:pPr>
            <w:r>
              <w:rPr>
                <w:rFonts w:hint="eastAsia" w:ascii="宋体" w:hAnsi="宋体" w:cs="宋体"/>
                <w:color w:val="auto"/>
                <w:sz w:val="18"/>
                <w:szCs w:val="18"/>
              </w:rPr>
              <w:t>2</w:t>
            </w:r>
          </w:p>
        </w:tc>
        <w:tc>
          <w:tcPr>
            <w:tcW w:w="1211" w:type="dxa"/>
            <w:vMerge w:val="restart"/>
            <w:vAlign w:val="center"/>
          </w:tcPr>
          <w:p>
            <w:pPr>
              <w:spacing w:line="240" w:lineRule="auto"/>
              <w:ind w:firstLine="180" w:firstLineChars="100"/>
              <w:jc w:val="center"/>
              <w:textAlignment w:val="auto"/>
              <w:rPr>
                <w:rFonts w:ascii="宋体" w:hAnsi="宋体" w:cs="宋体"/>
                <w:color w:val="auto"/>
                <w:sz w:val="18"/>
                <w:szCs w:val="18"/>
              </w:rPr>
            </w:pPr>
            <w:r>
              <w:rPr>
                <w:rFonts w:hint="eastAsia" w:ascii="宋体" w:hAnsi="宋体" w:cs="宋体"/>
                <w:color w:val="auto"/>
                <w:sz w:val="18"/>
                <w:szCs w:val="18"/>
              </w:rPr>
              <w:t>技术部分（A2=</w:t>
            </w:r>
            <w:r>
              <w:rPr>
                <w:rFonts w:ascii="宋体" w:hAnsi="宋体" w:cs="宋体"/>
                <w:color w:val="auto"/>
                <w:sz w:val="18"/>
                <w:szCs w:val="18"/>
              </w:rPr>
              <w:t>5</w:t>
            </w:r>
            <w:r>
              <w:rPr>
                <w:rFonts w:hint="eastAsia" w:ascii="宋体" w:hAnsi="宋体" w:cs="宋体"/>
                <w:color w:val="auto"/>
                <w:sz w:val="18"/>
                <w:szCs w:val="18"/>
              </w:rPr>
              <w:t>0分）</w:t>
            </w:r>
          </w:p>
        </w:tc>
        <w:tc>
          <w:tcPr>
            <w:tcW w:w="1197" w:type="dxa"/>
            <w:vMerge w:val="restart"/>
            <w:vAlign w:val="center"/>
          </w:tcPr>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项目理解及建设需求</w:t>
            </w:r>
          </w:p>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（1</w:t>
            </w:r>
            <w:r>
              <w:rPr>
                <w:rFonts w:ascii="宋体" w:hAnsi="宋体" w:cs="宋体"/>
                <w:color w:val="auto"/>
                <w:sz w:val="18"/>
                <w:szCs w:val="18"/>
              </w:rPr>
              <w:t>0</w:t>
            </w:r>
            <w:r>
              <w:rPr>
                <w:rFonts w:hint="eastAsia" w:ascii="宋体" w:hAnsi="宋体" w:cs="宋体"/>
                <w:color w:val="auto"/>
                <w:sz w:val="18"/>
                <w:szCs w:val="18"/>
              </w:rPr>
              <w:t>分）</w:t>
            </w:r>
          </w:p>
        </w:tc>
        <w:tc>
          <w:tcPr>
            <w:tcW w:w="5392" w:type="dxa"/>
            <w:gridSpan w:val="3"/>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对招标项目理解和总体设计内容</w:t>
            </w:r>
            <w:r>
              <w:rPr>
                <w:rFonts w:ascii="宋体" w:hAnsi="宋体" w:cs="宋体"/>
                <w:color w:val="auto"/>
                <w:sz w:val="18"/>
                <w:szCs w:val="18"/>
              </w:rPr>
              <w:t>充实</w:t>
            </w:r>
            <w:r>
              <w:rPr>
                <w:rFonts w:hint="eastAsia" w:ascii="宋体" w:hAnsi="宋体" w:cs="宋体"/>
                <w:color w:val="auto"/>
                <w:sz w:val="18"/>
                <w:szCs w:val="18"/>
              </w:rPr>
              <w:t>思路透彻得</w:t>
            </w:r>
            <w:r>
              <w:rPr>
                <w:rFonts w:ascii="宋体" w:hAnsi="宋体" w:cs="宋体"/>
                <w:color w:val="auto"/>
                <w:sz w:val="18"/>
                <w:szCs w:val="18"/>
              </w:rPr>
              <w:t>5</w:t>
            </w:r>
            <w:r>
              <w:rPr>
                <w:rFonts w:hint="eastAsia" w:ascii="宋体" w:hAnsi="宋体" w:cs="宋体"/>
                <w:color w:val="auto"/>
                <w:sz w:val="18"/>
                <w:szCs w:val="18"/>
              </w:rPr>
              <w:t>分，一般得</w:t>
            </w:r>
            <w:r>
              <w:rPr>
                <w:rFonts w:ascii="宋体" w:hAnsi="宋体" w:cs="宋体"/>
                <w:color w:val="auto"/>
                <w:sz w:val="18"/>
                <w:szCs w:val="18"/>
              </w:rPr>
              <w:t>3</w:t>
            </w:r>
            <w:r>
              <w:rPr>
                <w:rFonts w:hint="eastAsia" w:ascii="宋体" w:hAnsi="宋体" w:cs="宋体"/>
                <w:color w:val="auto"/>
                <w:sz w:val="18"/>
                <w:szCs w:val="18"/>
              </w:rPr>
              <w:t>分，对招标项目理解和总体设计内容</w:t>
            </w:r>
            <w:r>
              <w:rPr>
                <w:rFonts w:ascii="宋体" w:hAnsi="宋体" w:cs="宋体"/>
                <w:color w:val="auto"/>
                <w:sz w:val="18"/>
                <w:szCs w:val="18"/>
              </w:rPr>
              <w:t>充实</w:t>
            </w:r>
            <w:r>
              <w:rPr>
                <w:rFonts w:hint="eastAsia" w:ascii="宋体" w:hAnsi="宋体" w:cs="宋体"/>
                <w:color w:val="auto"/>
                <w:sz w:val="18"/>
                <w:szCs w:val="18"/>
              </w:rPr>
              <w:t>思路有欠缺酌情得</w:t>
            </w:r>
            <w:r>
              <w:rPr>
                <w:rFonts w:ascii="宋体" w:hAnsi="宋体" w:cs="宋体"/>
                <w:color w:val="auto"/>
                <w:sz w:val="18"/>
                <w:szCs w:val="18"/>
              </w:rPr>
              <w:t>1</w:t>
            </w:r>
            <w:r>
              <w:rPr>
                <w:rFonts w:hint="eastAsia" w:ascii="宋体" w:hAnsi="宋体" w:cs="宋体"/>
                <w:color w:val="auto"/>
                <w:sz w:val="18"/>
                <w:szCs w:val="18"/>
              </w:rPr>
              <w:t>分；</w:t>
            </w:r>
          </w:p>
        </w:tc>
        <w:tc>
          <w:tcPr>
            <w:tcW w:w="675" w:type="dxa"/>
            <w:vAlign w:val="center"/>
          </w:tcPr>
          <w:p>
            <w:pPr>
              <w:spacing w:line="240" w:lineRule="auto"/>
              <w:jc w:val="center"/>
              <w:textAlignment w:val="auto"/>
              <w:rPr>
                <w:rFonts w:ascii="宋体" w:hAnsi="宋体" w:cs="宋体"/>
                <w:color w:val="auto"/>
                <w:sz w:val="18"/>
                <w:szCs w:val="18"/>
              </w:rPr>
            </w:pPr>
            <w:r>
              <w:rPr>
                <w:rFonts w:ascii="宋体" w:hAnsi="宋体" w:cs="宋体"/>
                <w:color w:val="auto"/>
                <w:sz w:val="18"/>
                <w:szCs w:val="18"/>
              </w:rPr>
              <w:t>5</w:t>
            </w:r>
          </w:p>
        </w:tc>
        <w:tc>
          <w:tcPr>
            <w:tcW w:w="615" w:type="dxa"/>
            <w:vMerge w:val="restart"/>
            <w:vAlign w:val="center"/>
          </w:tcPr>
          <w:p>
            <w:pPr>
              <w:spacing w:line="240" w:lineRule="auto"/>
              <w:textAlignment w:val="auto"/>
              <w:rPr>
                <w:rFonts w:ascii="宋体" w:hAnsi="宋体" w:cs="宋体"/>
                <w:color w:val="auto"/>
                <w:szCs w:val="21"/>
              </w:rPr>
            </w:pPr>
          </w:p>
        </w:tc>
        <w:tc>
          <w:tcPr>
            <w:tcW w:w="830" w:type="dxa"/>
            <w:vMerge w:val="restart"/>
            <w:vAlign w:val="center"/>
          </w:tcPr>
          <w:p>
            <w:pPr>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312"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Merge w:val="continue"/>
            <w:vAlign w:val="center"/>
          </w:tcPr>
          <w:p>
            <w:pPr>
              <w:spacing w:line="240" w:lineRule="exact"/>
              <w:jc w:val="center"/>
              <w:textAlignment w:val="auto"/>
              <w:rPr>
                <w:rFonts w:ascii="宋体" w:hAnsi="宋体" w:cs="宋体"/>
                <w:color w:val="auto"/>
                <w:sz w:val="18"/>
                <w:szCs w:val="18"/>
              </w:rPr>
            </w:pPr>
          </w:p>
        </w:tc>
        <w:tc>
          <w:tcPr>
            <w:tcW w:w="5392" w:type="dxa"/>
            <w:gridSpan w:val="3"/>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投标单位对本次建设内容及规模需求的分析，对本次项目建设需求分析</w:t>
            </w:r>
            <w:r>
              <w:rPr>
                <w:rFonts w:ascii="宋体" w:hAnsi="宋体" w:cs="宋体"/>
                <w:color w:val="auto"/>
                <w:sz w:val="18"/>
                <w:szCs w:val="18"/>
              </w:rPr>
              <w:t>条理清晰、切合实际，问题根源分析辅以数字统计结果，能从不同角度分析问题</w:t>
            </w:r>
            <w:r>
              <w:rPr>
                <w:rFonts w:hint="eastAsia" w:ascii="宋体" w:hAnsi="宋体" w:cs="宋体"/>
                <w:color w:val="auto"/>
                <w:sz w:val="18"/>
                <w:szCs w:val="18"/>
              </w:rPr>
              <w:t>清晰得</w:t>
            </w:r>
            <w:r>
              <w:rPr>
                <w:rFonts w:ascii="宋体" w:hAnsi="宋体" w:cs="宋体"/>
                <w:color w:val="auto"/>
                <w:sz w:val="18"/>
                <w:szCs w:val="18"/>
              </w:rPr>
              <w:t>5</w:t>
            </w:r>
            <w:r>
              <w:rPr>
                <w:rFonts w:hint="eastAsia" w:ascii="宋体" w:hAnsi="宋体" w:cs="宋体"/>
                <w:color w:val="auto"/>
                <w:sz w:val="18"/>
                <w:szCs w:val="18"/>
              </w:rPr>
              <w:t>分，一般得</w:t>
            </w:r>
            <w:r>
              <w:rPr>
                <w:rFonts w:ascii="宋体" w:hAnsi="宋体" w:cs="宋体"/>
                <w:color w:val="auto"/>
                <w:sz w:val="18"/>
                <w:szCs w:val="18"/>
              </w:rPr>
              <w:t>3</w:t>
            </w:r>
            <w:r>
              <w:rPr>
                <w:rFonts w:hint="eastAsia" w:ascii="宋体" w:hAnsi="宋体" w:cs="宋体"/>
                <w:color w:val="auto"/>
                <w:sz w:val="18"/>
                <w:szCs w:val="18"/>
              </w:rPr>
              <w:t>分，对本次建设内容规模需求的分析不到位酌情得</w:t>
            </w:r>
            <w:r>
              <w:rPr>
                <w:rFonts w:ascii="宋体" w:hAnsi="宋体" w:cs="宋体"/>
                <w:color w:val="auto"/>
                <w:sz w:val="18"/>
                <w:szCs w:val="18"/>
              </w:rPr>
              <w:t>1</w:t>
            </w:r>
            <w:r>
              <w:rPr>
                <w:rFonts w:hint="eastAsia" w:ascii="宋体" w:hAnsi="宋体" w:cs="宋体"/>
                <w:color w:val="auto"/>
                <w:sz w:val="18"/>
                <w:szCs w:val="18"/>
              </w:rPr>
              <w:t>分；</w:t>
            </w:r>
          </w:p>
        </w:tc>
        <w:tc>
          <w:tcPr>
            <w:tcW w:w="675" w:type="dxa"/>
            <w:vAlign w:val="center"/>
          </w:tcPr>
          <w:p>
            <w:pPr>
              <w:spacing w:line="240" w:lineRule="auto"/>
              <w:jc w:val="center"/>
              <w:textAlignment w:val="auto"/>
              <w:rPr>
                <w:rFonts w:ascii="宋体" w:hAnsi="宋体" w:cs="宋体"/>
                <w:color w:val="auto"/>
                <w:sz w:val="18"/>
                <w:szCs w:val="18"/>
              </w:rPr>
            </w:pPr>
            <w:r>
              <w:rPr>
                <w:rFonts w:ascii="宋体" w:hAnsi="宋体" w:cs="宋体"/>
                <w:color w:val="auto"/>
                <w:sz w:val="18"/>
                <w:szCs w:val="18"/>
              </w:rPr>
              <w:t>5</w:t>
            </w:r>
          </w:p>
        </w:tc>
        <w:tc>
          <w:tcPr>
            <w:tcW w:w="615" w:type="dxa"/>
            <w:vMerge w:val="continue"/>
            <w:vAlign w:val="center"/>
          </w:tcPr>
          <w:p>
            <w:pPr>
              <w:spacing w:line="240" w:lineRule="auto"/>
              <w:jc w:val="center"/>
              <w:textAlignment w:val="auto"/>
              <w:rPr>
                <w:rFonts w:ascii="宋体" w:hAnsi="宋体" w:cs="宋体"/>
                <w:color w:val="auto"/>
                <w:szCs w:val="21"/>
              </w:rPr>
            </w:pPr>
          </w:p>
        </w:tc>
        <w:tc>
          <w:tcPr>
            <w:tcW w:w="830" w:type="dxa"/>
            <w:vMerge w:val="continue"/>
            <w:vAlign w:val="center"/>
          </w:tcPr>
          <w:p>
            <w:pPr>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280"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Align w:val="center"/>
          </w:tcPr>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总体方案编制</w:t>
            </w:r>
          </w:p>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10</w:t>
            </w:r>
            <w:r>
              <w:rPr>
                <w:rFonts w:hint="eastAsia" w:ascii="宋体" w:hAnsi="宋体" w:cs="宋体"/>
                <w:color w:val="auto"/>
                <w:sz w:val="18"/>
                <w:szCs w:val="18"/>
              </w:rPr>
              <w:t>分）</w:t>
            </w:r>
          </w:p>
        </w:tc>
        <w:tc>
          <w:tcPr>
            <w:tcW w:w="5392" w:type="dxa"/>
            <w:gridSpan w:val="3"/>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制定项目总体方案设计的思路清晰、内容完整，技术架构设计科学合理，</w:t>
            </w:r>
            <w:r>
              <w:rPr>
                <w:rFonts w:ascii="宋体" w:hAnsi="宋体" w:cs="宋体"/>
                <w:color w:val="auto"/>
                <w:sz w:val="18"/>
                <w:szCs w:val="18"/>
              </w:rPr>
              <w:t>包括建设思路</w:t>
            </w:r>
            <w:r>
              <w:rPr>
                <w:rFonts w:hint="eastAsia" w:ascii="宋体" w:hAnsi="宋体" w:cs="宋体"/>
                <w:color w:val="auto"/>
                <w:sz w:val="18"/>
                <w:szCs w:val="18"/>
              </w:rPr>
              <w:t>、</w:t>
            </w:r>
            <w:r>
              <w:rPr>
                <w:rFonts w:ascii="宋体" w:hAnsi="宋体" w:cs="宋体"/>
                <w:color w:val="auto"/>
                <w:sz w:val="18"/>
                <w:szCs w:val="18"/>
              </w:rPr>
              <w:t>建设目标</w:t>
            </w:r>
            <w:r>
              <w:rPr>
                <w:rFonts w:hint="eastAsia" w:ascii="宋体" w:hAnsi="宋体" w:cs="宋体"/>
                <w:color w:val="auto"/>
                <w:sz w:val="18"/>
                <w:szCs w:val="18"/>
              </w:rPr>
              <w:t>、建设</w:t>
            </w:r>
            <w:r>
              <w:rPr>
                <w:rFonts w:ascii="宋体" w:hAnsi="宋体" w:cs="宋体"/>
                <w:color w:val="auto"/>
                <w:sz w:val="18"/>
                <w:szCs w:val="18"/>
              </w:rPr>
              <w:t>任务、业务框架、系统框架等，总体方案</w:t>
            </w:r>
            <w:r>
              <w:rPr>
                <w:rFonts w:hint="eastAsia" w:ascii="宋体" w:hAnsi="宋体" w:cs="宋体"/>
                <w:color w:val="auto"/>
                <w:sz w:val="18"/>
                <w:szCs w:val="18"/>
              </w:rPr>
              <w:t>层次</w:t>
            </w:r>
            <w:r>
              <w:rPr>
                <w:rFonts w:ascii="宋体" w:hAnsi="宋体" w:cs="宋体"/>
                <w:color w:val="auto"/>
                <w:sz w:val="18"/>
                <w:szCs w:val="18"/>
              </w:rPr>
              <w:t>清晰</w:t>
            </w:r>
            <w:r>
              <w:rPr>
                <w:rFonts w:hint="eastAsia" w:ascii="宋体" w:hAnsi="宋体" w:cs="宋体"/>
                <w:color w:val="auto"/>
                <w:sz w:val="18"/>
                <w:szCs w:val="18"/>
              </w:rPr>
              <w:t>的</w:t>
            </w:r>
            <w:r>
              <w:rPr>
                <w:rFonts w:ascii="宋体" w:hAnsi="宋体" w:cs="宋体"/>
                <w:color w:val="auto"/>
                <w:sz w:val="18"/>
                <w:szCs w:val="18"/>
              </w:rPr>
              <w:t>得</w:t>
            </w:r>
            <w:r>
              <w:rPr>
                <w:rFonts w:hint="eastAsia" w:ascii="宋体" w:hAnsi="宋体" w:cs="宋体"/>
                <w:color w:val="auto"/>
                <w:sz w:val="18"/>
                <w:szCs w:val="18"/>
              </w:rPr>
              <w:t>10分；</w:t>
            </w:r>
            <w:r>
              <w:rPr>
                <w:rFonts w:ascii="宋体" w:hAnsi="宋体" w:cs="宋体"/>
                <w:color w:val="auto"/>
                <w:sz w:val="18"/>
                <w:szCs w:val="18"/>
              </w:rPr>
              <w:t>较清晰的</w:t>
            </w:r>
            <w:r>
              <w:rPr>
                <w:rFonts w:hint="eastAsia" w:ascii="宋体" w:hAnsi="宋体" w:cs="宋体"/>
                <w:color w:val="auto"/>
                <w:sz w:val="18"/>
                <w:szCs w:val="18"/>
              </w:rPr>
              <w:t>得7分</w:t>
            </w:r>
            <w:r>
              <w:rPr>
                <w:rFonts w:ascii="宋体" w:hAnsi="宋体" w:cs="宋体"/>
                <w:color w:val="auto"/>
                <w:sz w:val="18"/>
                <w:szCs w:val="18"/>
              </w:rPr>
              <w:t>；逻辑混乱的</w:t>
            </w:r>
            <w:r>
              <w:rPr>
                <w:rFonts w:hint="eastAsia" w:ascii="宋体" w:hAnsi="宋体" w:cs="宋体"/>
                <w:color w:val="auto"/>
                <w:sz w:val="18"/>
                <w:szCs w:val="18"/>
              </w:rPr>
              <w:t xml:space="preserve">不得分。 </w:t>
            </w:r>
          </w:p>
        </w:tc>
        <w:tc>
          <w:tcPr>
            <w:tcW w:w="675" w:type="dxa"/>
            <w:vAlign w:val="center"/>
          </w:tcPr>
          <w:p>
            <w:pPr>
              <w:spacing w:line="240" w:lineRule="auto"/>
              <w:jc w:val="center"/>
              <w:textAlignment w:val="auto"/>
              <w:rPr>
                <w:rFonts w:ascii="宋体" w:hAnsi="宋体" w:cs="宋体"/>
                <w:color w:val="auto"/>
                <w:sz w:val="18"/>
                <w:szCs w:val="18"/>
              </w:rPr>
            </w:pPr>
            <w:r>
              <w:rPr>
                <w:rFonts w:ascii="宋体" w:hAnsi="宋体" w:cs="宋体"/>
                <w:color w:val="auto"/>
                <w:sz w:val="18"/>
                <w:szCs w:val="18"/>
              </w:rPr>
              <w:t>10</w:t>
            </w:r>
          </w:p>
        </w:tc>
        <w:tc>
          <w:tcPr>
            <w:tcW w:w="615" w:type="dxa"/>
            <w:vAlign w:val="center"/>
          </w:tcPr>
          <w:p>
            <w:pPr>
              <w:spacing w:line="240" w:lineRule="auto"/>
              <w:jc w:val="center"/>
              <w:textAlignment w:val="auto"/>
              <w:rPr>
                <w:rFonts w:ascii="宋体" w:hAnsi="宋体" w:cs="宋体"/>
                <w:color w:val="auto"/>
                <w:szCs w:val="21"/>
              </w:rPr>
            </w:pPr>
          </w:p>
        </w:tc>
        <w:tc>
          <w:tcPr>
            <w:tcW w:w="830" w:type="dxa"/>
            <w:vAlign w:val="center"/>
          </w:tcPr>
          <w:p>
            <w:pPr>
              <w:spacing w:line="240" w:lineRule="auto"/>
              <w:jc w:val="left"/>
              <w:textAlignment w:val="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280"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Align w:val="center"/>
          </w:tcPr>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建设</w:t>
            </w:r>
            <w:r>
              <w:rPr>
                <w:rFonts w:ascii="宋体" w:hAnsi="宋体" w:cs="宋体"/>
                <w:color w:val="auto"/>
                <w:sz w:val="18"/>
                <w:szCs w:val="18"/>
              </w:rPr>
              <w:t>方案编制（</w:t>
            </w:r>
            <w:r>
              <w:rPr>
                <w:rFonts w:hint="eastAsia" w:ascii="宋体" w:hAnsi="宋体" w:cs="宋体"/>
                <w:color w:val="auto"/>
                <w:sz w:val="18"/>
                <w:szCs w:val="18"/>
              </w:rPr>
              <w:t>15分）</w:t>
            </w:r>
            <w:r>
              <w:rPr>
                <w:rFonts w:ascii="宋体" w:hAnsi="宋体" w:cs="宋体"/>
                <w:color w:val="auto"/>
                <w:sz w:val="18"/>
                <w:szCs w:val="18"/>
              </w:rPr>
              <w:t>）</w:t>
            </w:r>
          </w:p>
        </w:tc>
        <w:tc>
          <w:tcPr>
            <w:tcW w:w="5392" w:type="dxa"/>
            <w:gridSpan w:val="3"/>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建设</w:t>
            </w:r>
            <w:r>
              <w:rPr>
                <w:rFonts w:ascii="宋体" w:hAnsi="宋体" w:cs="宋体"/>
                <w:color w:val="auto"/>
                <w:sz w:val="18"/>
                <w:szCs w:val="18"/>
              </w:rPr>
              <w:t>方案</w:t>
            </w:r>
            <w:r>
              <w:rPr>
                <w:rFonts w:hint="eastAsia" w:ascii="宋体" w:hAnsi="宋体" w:cs="宋体"/>
                <w:color w:val="auto"/>
                <w:sz w:val="18"/>
                <w:szCs w:val="18"/>
              </w:rPr>
              <w:t>各部分</w:t>
            </w:r>
            <w:r>
              <w:rPr>
                <w:rFonts w:ascii="宋体" w:hAnsi="宋体" w:cs="宋体"/>
                <w:color w:val="auto"/>
                <w:sz w:val="18"/>
                <w:szCs w:val="18"/>
              </w:rPr>
              <w:t>内容阐述清晰，</w:t>
            </w:r>
            <w:r>
              <w:rPr>
                <w:rFonts w:hint="eastAsia" w:ascii="宋体" w:hAnsi="宋体" w:cs="宋体"/>
                <w:color w:val="auto"/>
                <w:sz w:val="18"/>
                <w:szCs w:val="18"/>
              </w:rPr>
              <w:t>包括</w:t>
            </w:r>
            <w:r>
              <w:rPr>
                <w:rFonts w:ascii="宋体" w:hAnsi="宋体" w:cs="宋体"/>
                <w:color w:val="auto"/>
                <w:sz w:val="18"/>
                <w:szCs w:val="18"/>
              </w:rPr>
              <w:t>但不限于应用系统、</w:t>
            </w:r>
            <w:r>
              <w:rPr>
                <w:rFonts w:hint="eastAsia" w:ascii="宋体" w:hAnsi="宋体" w:cs="宋体"/>
                <w:color w:val="auto"/>
                <w:sz w:val="18"/>
                <w:szCs w:val="18"/>
              </w:rPr>
              <w:t>应用</w:t>
            </w:r>
            <w:r>
              <w:rPr>
                <w:rFonts w:ascii="宋体" w:hAnsi="宋体" w:cs="宋体"/>
                <w:color w:val="auto"/>
                <w:sz w:val="18"/>
                <w:szCs w:val="18"/>
              </w:rPr>
              <w:t>支撑平台、数据</w:t>
            </w:r>
            <w:r>
              <w:rPr>
                <w:rFonts w:hint="eastAsia" w:ascii="宋体" w:hAnsi="宋体" w:cs="宋体"/>
                <w:color w:val="auto"/>
                <w:sz w:val="18"/>
                <w:szCs w:val="18"/>
              </w:rPr>
              <w:t>资源</w:t>
            </w:r>
            <w:r>
              <w:rPr>
                <w:rFonts w:ascii="宋体" w:hAnsi="宋体" w:cs="宋体"/>
                <w:color w:val="auto"/>
                <w:sz w:val="18"/>
                <w:szCs w:val="18"/>
              </w:rPr>
              <w:t>、</w:t>
            </w:r>
            <w:r>
              <w:rPr>
                <w:rFonts w:hint="eastAsia" w:ascii="宋体" w:hAnsi="宋体" w:cs="宋体"/>
                <w:color w:val="auto"/>
                <w:sz w:val="18"/>
                <w:szCs w:val="18"/>
              </w:rPr>
              <w:t>主机与</w:t>
            </w:r>
            <w:r>
              <w:rPr>
                <w:rFonts w:ascii="宋体" w:hAnsi="宋体" w:cs="宋体"/>
                <w:color w:val="auto"/>
                <w:sz w:val="18"/>
                <w:szCs w:val="18"/>
              </w:rPr>
              <w:t>存储、网络</w:t>
            </w:r>
            <w:r>
              <w:rPr>
                <w:rFonts w:hint="eastAsia" w:ascii="宋体" w:hAnsi="宋体" w:cs="宋体"/>
                <w:color w:val="auto"/>
                <w:sz w:val="18"/>
                <w:szCs w:val="18"/>
              </w:rPr>
              <w:t>系统</w:t>
            </w:r>
            <w:r>
              <w:rPr>
                <w:rFonts w:ascii="宋体" w:hAnsi="宋体" w:cs="宋体"/>
                <w:color w:val="auto"/>
                <w:sz w:val="18"/>
                <w:szCs w:val="18"/>
              </w:rPr>
              <w:t>、安全系统、</w:t>
            </w:r>
            <w:r>
              <w:rPr>
                <w:rFonts w:hint="eastAsia" w:ascii="宋体" w:hAnsi="宋体" w:cs="宋体"/>
                <w:color w:val="auto"/>
                <w:sz w:val="18"/>
                <w:szCs w:val="18"/>
              </w:rPr>
              <w:t>外场</w:t>
            </w:r>
            <w:r>
              <w:rPr>
                <w:rFonts w:ascii="宋体" w:hAnsi="宋体" w:cs="宋体"/>
                <w:color w:val="auto"/>
                <w:sz w:val="18"/>
                <w:szCs w:val="18"/>
              </w:rPr>
              <w:t>终端等，方案设计合理</w:t>
            </w:r>
            <w:r>
              <w:rPr>
                <w:rFonts w:hint="eastAsia" w:ascii="宋体" w:hAnsi="宋体" w:cs="宋体"/>
                <w:color w:val="auto"/>
                <w:sz w:val="18"/>
                <w:szCs w:val="18"/>
              </w:rPr>
              <w:t>的</w:t>
            </w:r>
            <w:r>
              <w:rPr>
                <w:rFonts w:ascii="宋体" w:hAnsi="宋体" w:cs="宋体"/>
                <w:color w:val="auto"/>
                <w:sz w:val="18"/>
                <w:szCs w:val="18"/>
              </w:rPr>
              <w:t>得</w:t>
            </w:r>
            <w:r>
              <w:rPr>
                <w:rFonts w:hint="eastAsia" w:ascii="宋体" w:hAnsi="宋体" w:cs="宋体"/>
                <w:color w:val="auto"/>
                <w:sz w:val="18"/>
                <w:szCs w:val="18"/>
              </w:rPr>
              <w:t>15分</w:t>
            </w:r>
            <w:r>
              <w:rPr>
                <w:rFonts w:ascii="宋体" w:hAnsi="宋体" w:cs="宋体"/>
                <w:color w:val="auto"/>
                <w:sz w:val="18"/>
                <w:szCs w:val="18"/>
              </w:rPr>
              <w:t>，较合理的得</w:t>
            </w:r>
            <w:r>
              <w:rPr>
                <w:rFonts w:hint="eastAsia" w:ascii="宋体" w:hAnsi="宋体" w:cs="宋体"/>
                <w:color w:val="auto"/>
                <w:sz w:val="18"/>
                <w:szCs w:val="18"/>
              </w:rPr>
              <w:t>10分</w:t>
            </w:r>
            <w:r>
              <w:rPr>
                <w:rFonts w:ascii="宋体" w:hAnsi="宋体" w:cs="宋体"/>
                <w:color w:val="auto"/>
                <w:sz w:val="18"/>
                <w:szCs w:val="18"/>
              </w:rPr>
              <w:t>，逻辑混乱的不得分。</w:t>
            </w:r>
          </w:p>
        </w:tc>
        <w:tc>
          <w:tcPr>
            <w:tcW w:w="675" w:type="dxa"/>
            <w:vAlign w:val="center"/>
          </w:tcPr>
          <w:p>
            <w:pPr>
              <w:spacing w:line="240" w:lineRule="auto"/>
              <w:jc w:val="center"/>
              <w:textAlignment w:val="auto"/>
              <w:rPr>
                <w:rFonts w:ascii="宋体" w:hAnsi="宋体" w:eastAsia="等线" w:cs="宋体"/>
                <w:color w:val="auto"/>
                <w:sz w:val="18"/>
                <w:szCs w:val="18"/>
              </w:rPr>
            </w:pPr>
            <w:r>
              <w:rPr>
                <w:rFonts w:hint="eastAsia" w:ascii="宋体" w:hAnsi="宋体" w:eastAsia="等线" w:cs="宋体"/>
                <w:color w:val="auto"/>
                <w:sz w:val="18"/>
                <w:szCs w:val="18"/>
              </w:rPr>
              <w:t>15</w:t>
            </w:r>
          </w:p>
        </w:tc>
        <w:tc>
          <w:tcPr>
            <w:tcW w:w="615" w:type="dxa"/>
            <w:vAlign w:val="center"/>
          </w:tcPr>
          <w:p>
            <w:pPr>
              <w:spacing w:line="240" w:lineRule="auto"/>
              <w:jc w:val="center"/>
              <w:textAlignment w:val="auto"/>
              <w:rPr>
                <w:rFonts w:ascii="宋体" w:hAnsi="宋体" w:cs="宋体"/>
                <w:color w:val="auto"/>
                <w:szCs w:val="21"/>
              </w:rPr>
            </w:pPr>
          </w:p>
        </w:tc>
        <w:tc>
          <w:tcPr>
            <w:tcW w:w="830" w:type="dxa"/>
            <w:vAlign w:val="center"/>
          </w:tcPr>
          <w:p>
            <w:pPr>
              <w:spacing w:line="240" w:lineRule="auto"/>
              <w:jc w:val="left"/>
              <w:textAlignment w:val="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575"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Align w:val="center"/>
          </w:tcPr>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工作量</w:t>
            </w:r>
            <w:r>
              <w:rPr>
                <w:rFonts w:ascii="宋体" w:hAnsi="宋体" w:cs="宋体"/>
                <w:color w:val="auto"/>
                <w:sz w:val="18"/>
                <w:szCs w:val="18"/>
              </w:rPr>
              <w:t>及计划安排</w:t>
            </w:r>
            <w:r>
              <w:rPr>
                <w:rFonts w:hint="eastAsia" w:ascii="宋体" w:hAnsi="宋体" w:cs="宋体"/>
                <w:color w:val="auto"/>
                <w:sz w:val="18"/>
                <w:szCs w:val="18"/>
              </w:rPr>
              <w:t>（5分）</w:t>
            </w:r>
          </w:p>
        </w:tc>
        <w:tc>
          <w:tcPr>
            <w:tcW w:w="5392" w:type="dxa"/>
            <w:gridSpan w:val="3"/>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工作量及计划安排合理、可行的得5分，基本可行的得1-4分，较差的不得分；</w:t>
            </w:r>
          </w:p>
        </w:tc>
        <w:tc>
          <w:tcPr>
            <w:tcW w:w="675" w:type="dxa"/>
            <w:vAlign w:val="center"/>
          </w:tcPr>
          <w:p>
            <w:pPr>
              <w:spacing w:line="240" w:lineRule="auto"/>
              <w:jc w:val="center"/>
              <w:textAlignment w:val="auto"/>
              <w:rPr>
                <w:rFonts w:ascii="宋体" w:hAnsi="宋体" w:eastAsia="等线" w:cs="宋体"/>
                <w:color w:val="auto"/>
                <w:sz w:val="18"/>
                <w:szCs w:val="18"/>
              </w:rPr>
            </w:pPr>
            <w:r>
              <w:rPr>
                <w:rFonts w:hint="eastAsia" w:ascii="宋体" w:hAnsi="宋体" w:eastAsia="等线" w:cs="宋体"/>
                <w:color w:val="auto"/>
                <w:sz w:val="18"/>
                <w:szCs w:val="18"/>
              </w:rPr>
              <w:t>5</w:t>
            </w:r>
          </w:p>
        </w:tc>
        <w:tc>
          <w:tcPr>
            <w:tcW w:w="615" w:type="dxa"/>
            <w:vAlign w:val="center"/>
          </w:tcPr>
          <w:p>
            <w:pPr>
              <w:spacing w:line="240" w:lineRule="auto"/>
              <w:jc w:val="left"/>
              <w:textAlignment w:val="auto"/>
              <w:rPr>
                <w:rFonts w:ascii="宋体" w:hAnsi="宋体" w:cs="宋体"/>
                <w:color w:val="auto"/>
                <w:szCs w:val="21"/>
              </w:rPr>
            </w:pPr>
          </w:p>
        </w:tc>
        <w:tc>
          <w:tcPr>
            <w:tcW w:w="830" w:type="dxa"/>
            <w:vAlign w:val="center"/>
          </w:tcPr>
          <w:p>
            <w:pPr>
              <w:spacing w:line="240" w:lineRule="auto"/>
              <w:jc w:val="left"/>
              <w:textAlignment w:val="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575"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Align w:val="center"/>
          </w:tcPr>
          <w:p>
            <w:pPr>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质量保证措施、进度保证措施（</w:t>
            </w:r>
            <w:r>
              <w:rPr>
                <w:rFonts w:ascii="宋体" w:hAnsi="宋体" w:cs="宋体"/>
                <w:color w:val="auto"/>
                <w:sz w:val="18"/>
                <w:szCs w:val="18"/>
              </w:rPr>
              <w:t>5</w:t>
            </w:r>
            <w:r>
              <w:rPr>
                <w:rFonts w:hint="eastAsia" w:ascii="宋体" w:hAnsi="宋体" w:cs="宋体"/>
                <w:color w:val="auto"/>
                <w:sz w:val="18"/>
                <w:szCs w:val="18"/>
              </w:rPr>
              <w:t>分）</w:t>
            </w:r>
          </w:p>
        </w:tc>
        <w:tc>
          <w:tcPr>
            <w:tcW w:w="5392" w:type="dxa"/>
            <w:gridSpan w:val="3"/>
            <w:vAlign w:val="center"/>
          </w:tcPr>
          <w:p>
            <w:pPr>
              <w:spacing w:line="240" w:lineRule="exact"/>
              <w:jc w:val="left"/>
              <w:textAlignment w:val="auto"/>
              <w:rPr>
                <w:rFonts w:ascii="宋体" w:hAnsi="宋体" w:eastAsia="等线" w:cs="宋体"/>
                <w:color w:val="auto"/>
                <w:sz w:val="18"/>
                <w:szCs w:val="18"/>
              </w:rPr>
            </w:pPr>
            <w:r>
              <w:rPr>
                <w:rFonts w:hint="eastAsia" w:ascii="宋体" w:hAnsi="宋体" w:cs="宋体"/>
                <w:color w:val="auto"/>
                <w:sz w:val="18"/>
                <w:szCs w:val="18"/>
              </w:rPr>
              <w:t>质量保证措施、进度保证措施合理、可行的得5分，基本可行的得1-4分，较差的不得分；</w:t>
            </w:r>
          </w:p>
        </w:tc>
        <w:tc>
          <w:tcPr>
            <w:tcW w:w="675" w:type="dxa"/>
            <w:vAlign w:val="center"/>
          </w:tcPr>
          <w:p>
            <w:pPr>
              <w:spacing w:line="240" w:lineRule="auto"/>
              <w:jc w:val="center"/>
              <w:textAlignment w:val="auto"/>
              <w:rPr>
                <w:rFonts w:ascii="宋体" w:hAnsi="宋体" w:cs="宋体"/>
                <w:color w:val="auto"/>
                <w:sz w:val="18"/>
                <w:szCs w:val="18"/>
              </w:rPr>
            </w:pPr>
            <w:r>
              <w:rPr>
                <w:rFonts w:ascii="宋体" w:hAnsi="宋体" w:cs="宋体"/>
                <w:color w:val="auto"/>
                <w:sz w:val="18"/>
                <w:szCs w:val="18"/>
              </w:rPr>
              <w:t>5</w:t>
            </w:r>
          </w:p>
        </w:tc>
        <w:tc>
          <w:tcPr>
            <w:tcW w:w="615" w:type="dxa"/>
            <w:vAlign w:val="center"/>
          </w:tcPr>
          <w:p>
            <w:pPr>
              <w:spacing w:line="240" w:lineRule="auto"/>
              <w:jc w:val="left"/>
              <w:textAlignment w:val="auto"/>
              <w:rPr>
                <w:rFonts w:ascii="宋体" w:hAnsi="宋体" w:cs="宋体"/>
                <w:color w:val="auto"/>
                <w:szCs w:val="21"/>
              </w:rPr>
            </w:pPr>
          </w:p>
        </w:tc>
        <w:tc>
          <w:tcPr>
            <w:tcW w:w="830" w:type="dxa"/>
            <w:vAlign w:val="center"/>
          </w:tcPr>
          <w:p>
            <w:pPr>
              <w:spacing w:line="240" w:lineRule="auto"/>
              <w:jc w:val="left"/>
              <w:textAlignment w:val="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575"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197" w:type="dxa"/>
            <w:vAlign w:val="center"/>
          </w:tcPr>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项目风险</w:t>
            </w:r>
            <w:r>
              <w:rPr>
                <w:rFonts w:ascii="宋体" w:hAnsi="宋体" w:cs="宋体"/>
                <w:color w:val="auto"/>
                <w:sz w:val="18"/>
                <w:szCs w:val="18"/>
              </w:rPr>
              <w:t>与风险管理</w:t>
            </w:r>
          </w:p>
          <w:p>
            <w:pPr>
              <w:spacing w:line="240" w:lineRule="exact"/>
              <w:jc w:val="left"/>
              <w:textAlignment w:val="auto"/>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5</w:t>
            </w:r>
            <w:r>
              <w:rPr>
                <w:rFonts w:hint="eastAsia" w:ascii="宋体" w:hAnsi="宋体" w:cs="宋体"/>
                <w:color w:val="auto"/>
                <w:sz w:val="18"/>
                <w:szCs w:val="18"/>
              </w:rPr>
              <w:t>分）</w:t>
            </w:r>
          </w:p>
        </w:tc>
        <w:tc>
          <w:tcPr>
            <w:tcW w:w="5392" w:type="dxa"/>
            <w:gridSpan w:val="3"/>
            <w:vAlign w:val="center"/>
          </w:tcPr>
          <w:p>
            <w:pPr>
              <w:spacing w:line="240" w:lineRule="exact"/>
              <w:jc w:val="left"/>
              <w:textAlignment w:val="auto"/>
              <w:rPr>
                <w:rFonts w:ascii="宋体" w:hAnsi="宋体" w:eastAsia="等线" w:cs="宋体"/>
                <w:color w:val="auto"/>
                <w:sz w:val="18"/>
                <w:szCs w:val="18"/>
              </w:rPr>
            </w:pPr>
            <w:r>
              <w:rPr>
                <w:rFonts w:hint="eastAsia" w:ascii="宋体" w:hAnsi="宋体" w:cs="宋体"/>
                <w:color w:val="auto"/>
                <w:sz w:val="18"/>
                <w:szCs w:val="18"/>
              </w:rPr>
              <w:t>风险</w:t>
            </w:r>
            <w:r>
              <w:rPr>
                <w:rFonts w:ascii="宋体" w:hAnsi="宋体" w:cs="宋体"/>
                <w:color w:val="auto"/>
                <w:sz w:val="18"/>
                <w:szCs w:val="18"/>
              </w:rPr>
              <w:t>管控</w:t>
            </w:r>
            <w:r>
              <w:rPr>
                <w:rFonts w:hint="eastAsia" w:ascii="宋体" w:hAnsi="宋体" w:cs="宋体"/>
                <w:color w:val="auto"/>
                <w:sz w:val="18"/>
                <w:szCs w:val="18"/>
              </w:rPr>
              <w:t>合理、保证措施合理、可行的得5分，基本可行的得1-4分，较差的不得分。</w:t>
            </w:r>
          </w:p>
        </w:tc>
        <w:tc>
          <w:tcPr>
            <w:tcW w:w="675" w:type="dxa"/>
            <w:vAlign w:val="center"/>
          </w:tcPr>
          <w:p>
            <w:pPr>
              <w:spacing w:line="240" w:lineRule="auto"/>
              <w:jc w:val="center"/>
              <w:textAlignment w:val="auto"/>
              <w:rPr>
                <w:rFonts w:ascii="宋体" w:hAnsi="宋体" w:eastAsia="等线" w:cs="宋体"/>
                <w:color w:val="auto"/>
                <w:sz w:val="18"/>
                <w:szCs w:val="18"/>
              </w:rPr>
            </w:pPr>
            <w:r>
              <w:rPr>
                <w:rFonts w:hint="eastAsia" w:ascii="宋体" w:hAnsi="宋体" w:eastAsia="等线" w:cs="宋体"/>
                <w:color w:val="auto"/>
                <w:sz w:val="18"/>
                <w:szCs w:val="18"/>
              </w:rPr>
              <w:t>5</w:t>
            </w:r>
          </w:p>
        </w:tc>
        <w:tc>
          <w:tcPr>
            <w:tcW w:w="615" w:type="dxa"/>
            <w:vAlign w:val="center"/>
          </w:tcPr>
          <w:p>
            <w:pPr>
              <w:spacing w:line="240" w:lineRule="auto"/>
              <w:jc w:val="left"/>
              <w:textAlignment w:val="auto"/>
              <w:rPr>
                <w:rFonts w:ascii="宋体" w:hAnsi="宋体" w:cs="宋体"/>
                <w:color w:val="auto"/>
                <w:szCs w:val="21"/>
              </w:rPr>
            </w:pPr>
          </w:p>
        </w:tc>
        <w:tc>
          <w:tcPr>
            <w:tcW w:w="830" w:type="dxa"/>
            <w:vAlign w:val="center"/>
          </w:tcPr>
          <w:p>
            <w:pPr>
              <w:spacing w:line="240" w:lineRule="auto"/>
              <w:jc w:val="left"/>
              <w:textAlignment w:val="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394" w:type="dxa"/>
            <w:vMerge w:val="restart"/>
            <w:vAlign w:val="center"/>
          </w:tcPr>
          <w:p>
            <w:pPr>
              <w:spacing w:line="240" w:lineRule="auto"/>
              <w:jc w:val="center"/>
              <w:textAlignment w:val="auto"/>
              <w:rPr>
                <w:rFonts w:ascii="宋体" w:hAnsi="宋体" w:cs="宋体"/>
                <w:color w:val="auto"/>
                <w:sz w:val="18"/>
                <w:szCs w:val="18"/>
              </w:rPr>
            </w:pPr>
            <w:r>
              <w:rPr>
                <w:rFonts w:hint="eastAsia" w:ascii="宋体" w:hAnsi="宋体" w:cs="宋体"/>
                <w:color w:val="auto"/>
                <w:sz w:val="18"/>
                <w:szCs w:val="18"/>
              </w:rPr>
              <w:t>3</w:t>
            </w:r>
          </w:p>
        </w:tc>
        <w:tc>
          <w:tcPr>
            <w:tcW w:w="9920" w:type="dxa"/>
            <w:gridSpan w:val="8"/>
            <w:vAlign w:val="center"/>
          </w:tcPr>
          <w:p>
            <w:pPr>
              <w:spacing w:line="240" w:lineRule="auto"/>
              <w:textAlignment w:val="auto"/>
              <w:rPr>
                <w:rFonts w:ascii="宋体" w:hAnsi="宋体" w:cs="宋体"/>
                <w:color w:val="auto"/>
                <w:sz w:val="18"/>
                <w:szCs w:val="18"/>
              </w:rPr>
            </w:pPr>
            <w:r>
              <w:rPr>
                <w:rFonts w:hint="eastAsia" w:ascii="宋体" w:hAnsi="宋体" w:cs="宋体"/>
                <w:color w:val="auto"/>
                <w:sz w:val="18"/>
                <w:szCs w:val="18"/>
              </w:rPr>
              <w:t>商务部分、技术部分得分合计（A1+A2=90）：</w:t>
            </w:r>
          </w:p>
        </w:tc>
        <w:tc>
          <w:tcPr>
            <w:tcW w:w="1301" w:type="dxa"/>
            <w:gridSpan w:val="2"/>
            <w:tcBorders>
              <w:top w:val="nil"/>
              <w:bottom w:val="nil"/>
            </w:tcBorders>
          </w:tcPr>
          <w:p>
            <w:pPr>
              <w:spacing w:line="240" w:lineRule="auto"/>
              <w:jc w:val="left"/>
              <w:textAlignment w:val="auto"/>
              <w:rPr>
                <w:rFonts w:ascii="宋体" w:hAnsi="宋体" w:cs="宋体"/>
                <w:color w:val="auto"/>
                <w:szCs w:val="21"/>
              </w:rPr>
            </w:pPr>
          </w:p>
        </w:tc>
        <w:tc>
          <w:tcPr>
            <w:tcW w:w="2108" w:type="dxa"/>
          </w:tcPr>
          <w:p>
            <w:pPr>
              <w:spacing w:line="240" w:lineRule="auto"/>
              <w:jc w:val="left"/>
              <w:textAlignment w:val="auto"/>
              <w:rPr>
                <w:rFonts w:ascii="宋体" w:hAnsi="宋体" w:cs="宋体"/>
                <w:color w:val="auto"/>
                <w:szCs w:val="21"/>
              </w:rPr>
            </w:pPr>
          </w:p>
        </w:tc>
        <w:tc>
          <w:tcPr>
            <w:tcW w:w="3695" w:type="dxa"/>
            <w:vAlign w:val="center"/>
          </w:tcPr>
          <w:p>
            <w:pPr>
              <w:spacing w:line="240" w:lineRule="auto"/>
              <w:jc w:val="left"/>
              <w:textAlignment w:val="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6648" w:type="dxa"/>
          <w:trHeight w:val="342" w:hRule="atLeast"/>
        </w:trPr>
        <w:tc>
          <w:tcPr>
            <w:tcW w:w="394" w:type="dxa"/>
            <w:vMerge w:val="continue"/>
            <w:vAlign w:val="center"/>
          </w:tcPr>
          <w:p>
            <w:pPr>
              <w:spacing w:line="240" w:lineRule="auto"/>
              <w:jc w:val="left"/>
              <w:textAlignment w:val="auto"/>
              <w:rPr>
                <w:rFonts w:ascii="宋体" w:hAnsi="宋体" w:cs="宋体"/>
                <w:color w:val="auto"/>
                <w:sz w:val="18"/>
                <w:szCs w:val="18"/>
              </w:rPr>
            </w:pPr>
          </w:p>
        </w:tc>
        <w:tc>
          <w:tcPr>
            <w:tcW w:w="1211" w:type="dxa"/>
            <w:vMerge w:val="restart"/>
            <w:vAlign w:val="center"/>
          </w:tcPr>
          <w:p>
            <w:pPr>
              <w:spacing w:line="240" w:lineRule="auto"/>
              <w:ind w:firstLine="180" w:firstLineChars="100"/>
              <w:jc w:val="left"/>
              <w:textAlignment w:val="auto"/>
              <w:rPr>
                <w:rFonts w:ascii="宋体" w:hAnsi="宋体" w:cs="宋体"/>
                <w:color w:val="auto"/>
                <w:sz w:val="18"/>
                <w:szCs w:val="18"/>
              </w:rPr>
            </w:pPr>
            <w:r>
              <w:rPr>
                <w:rFonts w:hint="eastAsia" w:ascii="宋体" w:hAnsi="宋体" w:cs="宋体"/>
                <w:color w:val="auto"/>
                <w:sz w:val="18"/>
                <w:szCs w:val="18"/>
              </w:rPr>
              <w:t xml:space="preserve">价格部分 </w:t>
            </w:r>
          </w:p>
        </w:tc>
        <w:tc>
          <w:tcPr>
            <w:tcW w:w="1532" w:type="dxa"/>
            <w:gridSpan w:val="2"/>
            <w:vMerge w:val="restart"/>
            <w:vAlign w:val="center"/>
          </w:tcPr>
          <w:p>
            <w:pPr>
              <w:spacing w:line="240" w:lineRule="auto"/>
              <w:jc w:val="left"/>
              <w:textAlignment w:val="auto"/>
              <w:rPr>
                <w:rFonts w:ascii="宋体" w:hAnsi="宋体" w:cs="宋体"/>
                <w:color w:val="auto"/>
                <w:sz w:val="18"/>
                <w:szCs w:val="18"/>
              </w:rPr>
            </w:pPr>
            <w:r>
              <w:rPr>
                <w:rFonts w:hint="eastAsia" w:ascii="宋体" w:hAnsi="宋体" w:cs="宋体"/>
                <w:color w:val="auto"/>
                <w:sz w:val="18"/>
                <w:szCs w:val="18"/>
              </w:rPr>
              <w:t>（权重A3=10分）</w:t>
            </w:r>
          </w:p>
        </w:tc>
        <w:tc>
          <w:tcPr>
            <w:tcW w:w="3623" w:type="dxa"/>
            <w:vMerge w:val="restart"/>
            <w:vAlign w:val="center"/>
          </w:tcPr>
          <w:p>
            <w:pPr>
              <w:spacing w:line="240" w:lineRule="auto"/>
              <w:jc w:val="left"/>
              <w:textAlignment w:val="auto"/>
              <w:rPr>
                <w:rFonts w:ascii="宋体" w:hAnsi="宋体" w:cs="宋体"/>
                <w:color w:val="auto"/>
                <w:sz w:val="18"/>
                <w:szCs w:val="18"/>
              </w:rPr>
            </w:pPr>
            <w:r>
              <w:rPr>
                <w:rFonts w:hint="eastAsia" w:ascii="宋体" w:hAnsi="宋体" w:cs="宋体"/>
                <w:color w:val="auto"/>
                <w:sz w:val="18"/>
                <w:szCs w:val="18"/>
              </w:rPr>
              <w:t>满足招标文件要求且投标价格最低的投标最低报价为评标基准价，其价格分为满分。其他投标人的价格分统一按照下列公式计算：报价得分=(投标基准价／投标报价)×10%×100</w:t>
            </w:r>
          </w:p>
        </w:tc>
        <w:tc>
          <w:tcPr>
            <w:tcW w:w="2109" w:type="dxa"/>
            <w:gridSpan w:val="2"/>
            <w:vMerge w:val="restart"/>
            <w:vAlign w:val="center"/>
          </w:tcPr>
          <w:p>
            <w:pPr>
              <w:spacing w:line="240" w:lineRule="auto"/>
              <w:jc w:val="center"/>
              <w:textAlignment w:val="auto"/>
              <w:rPr>
                <w:rFonts w:ascii="宋体" w:hAnsi="宋体" w:cs="宋体"/>
                <w:color w:val="auto"/>
                <w:sz w:val="18"/>
                <w:szCs w:val="18"/>
              </w:rPr>
            </w:pPr>
            <w:r>
              <w:rPr>
                <w:rFonts w:hint="eastAsia" w:ascii="宋体" w:hAnsi="宋体" w:cs="宋体"/>
                <w:color w:val="auto"/>
                <w:sz w:val="18"/>
                <w:szCs w:val="18"/>
              </w:rPr>
              <w:t>价格部分得分：</w:t>
            </w:r>
          </w:p>
        </w:tc>
        <w:tc>
          <w:tcPr>
            <w:tcW w:w="1445" w:type="dxa"/>
            <w:gridSpan w:val="2"/>
            <w:vMerge w:val="restart"/>
            <w:vAlign w:val="center"/>
          </w:tcPr>
          <w:p>
            <w:pPr>
              <w:spacing w:line="240" w:lineRule="auto"/>
              <w:jc w:val="left"/>
              <w:textAlignment w:val="auto"/>
              <w:rPr>
                <w:rFonts w:ascii="宋体" w:hAnsi="宋体" w:cs="宋体"/>
                <w:color w:val="auto"/>
                <w:sz w:val="18"/>
                <w:szCs w:val="18"/>
              </w:rPr>
            </w:pPr>
          </w:p>
        </w:tc>
        <w:tc>
          <w:tcPr>
            <w:tcW w:w="456" w:type="dxa"/>
            <w:tcBorders>
              <w:top w:val="nil"/>
              <w:bottom w:val="nil"/>
              <w:right w:val="nil"/>
            </w:tcBorders>
          </w:tcPr>
          <w:p>
            <w:pPr>
              <w:spacing w:line="240" w:lineRule="auto"/>
              <w:jc w:val="left"/>
              <w:textAlignment w:val="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7104" w:type="dxa"/>
          <w:trHeight w:val="870" w:hRule="atLeast"/>
        </w:trPr>
        <w:tc>
          <w:tcPr>
            <w:tcW w:w="394" w:type="dxa"/>
            <w:vMerge w:val="continue"/>
            <w:vAlign w:val="center"/>
          </w:tcPr>
          <w:p>
            <w:pPr>
              <w:spacing w:line="240" w:lineRule="auto"/>
              <w:jc w:val="left"/>
              <w:textAlignment w:val="auto"/>
              <w:rPr>
                <w:rFonts w:ascii="宋体" w:hAnsi="宋体" w:cs="宋体"/>
                <w:color w:val="auto"/>
                <w:szCs w:val="21"/>
              </w:rPr>
            </w:pPr>
          </w:p>
        </w:tc>
        <w:tc>
          <w:tcPr>
            <w:tcW w:w="1211" w:type="dxa"/>
            <w:vMerge w:val="continue"/>
            <w:vAlign w:val="center"/>
          </w:tcPr>
          <w:p>
            <w:pPr>
              <w:spacing w:line="240" w:lineRule="auto"/>
              <w:jc w:val="left"/>
              <w:textAlignment w:val="auto"/>
              <w:rPr>
                <w:rFonts w:ascii="宋体" w:hAnsi="宋体" w:cs="宋体"/>
                <w:color w:val="auto"/>
                <w:sz w:val="18"/>
                <w:szCs w:val="18"/>
              </w:rPr>
            </w:pPr>
          </w:p>
        </w:tc>
        <w:tc>
          <w:tcPr>
            <w:tcW w:w="1532" w:type="dxa"/>
            <w:gridSpan w:val="2"/>
            <w:vMerge w:val="continue"/>
            <w:vAlign w:val="center"/>
          </w:tcPr>
          <w:p>
            <w:pPr>
              <w:spacing w:line="240" w:lineRule="auto"/>
              <w:jc w:val="left"/>
              <w:textAlignment w:val="auto"/>
              <w:rPr>
                <w:rFonts w:ascii="宋体" w:hAnsi="宋体" w:cs="宋体"/>
                <w:color w:val="auto"/>
                <w:sz w:val="18"/>
                <w:szCs w:val="18"/>
              </w:rPr>
            </w:pPr>
          </w:p>
        </w:tc>
        <w:tc>
          <w:tcPr>
            <w:tcW w:w="3623" w:type="dxa"/>
            <w:vMerge w:val="continue"/>
            <w:vAlign w:val="center"/>
          </w:tcPr>
          <w:p>
            <w:pPr>
              <w:spacing w:line="240" w:lineRule="auto"/>
              <w:jc w:val="left"/>
              <w:textAlignment w:val="auto"/>
              <w:rPr>
                <w:rFonts w:ascii="宋体" w:hAnsi="宋体" w:cs="宋体"/>
                <w:color w:val="auto"/>
                <w:sz w:val="18"/>
                <w:szCs w:val="18"/>
              </w:rPr>
            </w:pPr>
          </w:p>
        </w:tc>
        <w:tc>
          <w:tcPr>
            <w:tcW w:w="2109" w:type="dxa"/>
            <w:gridSpan w:val="2"/>
            <w:vMerge w:val="continue"/>
            <w:vAlign w:val="center"/>
          </w:tcPr>
          <w:p>
            <w:pPr>
              <w:spacing w:line="240" w:lineRule="auto"/>
              <w:jc w:val="left"/>
              <w:textAlignment w:val="auto"/>
              <w:rPr>
                <w:rFonts w:ascii="宋体" w:hAnsi="宋体" w:cs="宋体"/>
                <w:color w:val="auto"/>
                <w:sz w:val="18"/>
                <w:szCs w:val="18"/>
              </w:rPr>
            </w:pPr>
          </w:p>
        </w:tc>
        <w:tc>
          <w:tcPr>
            <w:tcW w:w="1445" w:type="dxa"/>
            <w:gridSpan w:val="2"/>
            <w:vMerge w:val="continue"/>
            <w:vAlign w:val="center"/>
          </w:tcPr>
          <w:p>
            <w:pPr>
              <w:spacing w:line="240" w:lineRule="auto"/>
              <w:jc w:val="left"/>
              <w:textAlignment w:val="auto"/>
              <w:rPr>
                <w:rFonts w:ascii="宋体" w:hAnsi="宋体" w:cs="宋体"/>
                <w:color w:val="auto"/>
                <w:sz w:val="18"/>
                <w:szCs w:val="18"/>
              </w:rPr>
            </w:pPr>
          </w:p>
        </w:tc>
      </w:tr>
    </w:tbl>
    <w:p>
      <w:pPr>
        <w:spacing w:line="500" w:lineRule="exact"/>
        <w:rPr>
          <w:rFonts w:ascii="宋体" w:hAnsi="宋体" w:cs="宋体"/>
          <w:color w:val="auto"/>
          <w:sz w:val="24"/>
          <w:szCs w:val="24"/>
        </w:rPr>
      </w:pPr>
    </w:p>
    <w:p>
      <w:pPr>
        <w:spacing w:line="500" w:lineRule="exact"/>
        <w:ind w:firstLine="480" w:firstLineChars="200"/>
        <w:rPr>
          <w:rFonts w:hint="eastAsia" w:ascii="宋体" w:hAnsi="宋体" w:cs="宋体"/>
          <w:sz w:val="24"/>
          <w:szCs w:val="24"/>
        </w:rPr>
      </w:pPr>
    </w:p>
    <w:p>
      <w:pPr>
        <w:spacing w:line="240" w:lineRule="auto"/>
        <w:rPr>
          <w:rFonts w:hint="eastAsia" w:ascii="宋体" w:hAnsi="宋体"/>
          <w:b/>
          <w:szCs w:val="21"/>
        </w:rPr>
      </w:pPr>
      <w:r>
        <w:rPr>
          <w:rFonts w:hint="eastAsia" w:ascii="宋体" w:hAnsi="宋体"/>
          <w:b/>
          <w:szCs w:val="21"/>
        </w:rPr>
        <w:t>属于中小企业评审优惠内容及价格扣除幅度的规定：</w:t>
      </w:r>
    </w:p>
    <w:p>
      <w:pPr>
        <w:spacing w:line="460" w:lineRule="exact"/>
        <w:rPr>
          <w:rFonts w:hint="eastAsia" w:ascii="宋体" w:hAnsi="宋体"/>
          <w:b/>
          <w:color w:val="auto"/>
          <w:szCs w:val="21"/>
        </w:rPr>
      </w:pPr>
      <w:r>
        <w:rPr>
          <w:rFonts w:hint="eastAsia" w:ascii="宋体" w:hAnsi="宋体"/>
          <w:b/>
          <w:color w:val="auto"/>
          <w:szCs w:val="21"/>
        </w:rPr>
        <w:t>附件一</w:t>
      </w:r>
    </w:p>
    <w:tbl>
      <w:tblPr>
        <w:tblStyle w:val="29"/>
        <w:tblW w:w="91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9105" w:type="dxa"/>
            <w:noWrap w:val="0"/>
            <w:vAlign w:val="center"/>
          </w:tcPr>
          <w:p>
            <w:pPr>
              <w:spacing w:line="360" w:lineRule="exact"/>
              <w:jc w:val="center"/>
              <w:rPr>
                <w:rFonts w:hint="eastAsia" w:ascii="宋体" w:hAnsi="宋体" w:cs="宋体"/>
                <w:b/>
                <w:szCs w:val="21"/>
              </w:rPr>
            </w:pPr>
            <w:r>
              <w:rPr>
                <w:rFonts w:hint="eastAsia" w:ascii="宋体" w:hAnsi="宋体"/>
                <w:b/>
                <w:szCs w:val="21"/>
              </w:rPr>
              <w:t>属于中小企业评审优惠内容及价格扣除幅度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105" w:type="dxa"/>
            <w:noWrap w:val="0"/>
            <w:vAlign w:val="center"/>
          </w:tcPr>
          <w:p>
            <w:pPr>
              <w:snapToGrid w:val="0"/>
              <w:spacing w:line="360" w:lineRule="exact"/>
              <w:ind w:firstLine="315" w:firstLineChars="150"/>
              <w:jc w:val="left"/>
              <w:rPr>
                <w:rFonts w:hint="eastAsia" w:ascii="宋体" w:hAnsi="宋体"/>
                <w:szCs w:val="21"/>
              </w:rPr>
            </w:pPr>
            <w:r>
              <w:rPr>
                <w:rFonts w:hint="eastAsia" w:ascii="宋体" w:hAnsi="宋体"/>
                <w:szCs w:val="21"/>
              </w:rPr>
              <w:t>根据中华人民共和国</w:t>
            </w:r>
            <w:r>
              <w:rPr>
                <w:rFonts w:ascii="宋体" w:hAnsi="宋体"/>
                <w:szCs w:val="21"/>
              </w:rPr>
              <w:t>财政部</w:t>
            </w:r>
            <w:r>
              <w:rPr>
                <w:rFonts w:hint="eastAsia" w:ascii="宋体" w:hAnsi="宋体"/>
                <w:szCs w:val="21"/>
              </w:rPr>
              <w:t>、中华人民共和国</w:t>
            </w:r>
            <w:r>
              <w:rPr>
                <w:rFonts w:ascii="宋体" w:hAnsi="宋体"/>
                <w:szCs w:val="21"/>
              </w:rPr>
              <w:t>工业和信息化部</w:t>
            </w:r>
            <w:r>
              <w:rPr>
                <w:rFonts w:hint="eastAsia" w:ascii="宋体" w:hAnsi="宋体"/>
                <w:szCs w:val="21"/>
              </w:rPr>
              <w:t>《</w:t>
            </w:r>
            <w:r>
              <w:rPr>
                <w:rFonts w:ascii="宋体" w:hAnsi="宋体"/>
                <w:szCs w:val="21"/>
              </w:rPr>
              <w:t>政府采购促进中小企业发展暂行办法</w:t>
            </w:r>
            <w:r>
              <w:rPr>
                <w:rFonts w:hint="eastAsia" w:ascii="宋体" w:hAnsi="宋体"/>
                <w:szCs w:val="21"/>
              </w:rPr>
              <w:t>》（财库[2011]181号）文件的规定，</w:t>
            </w:r>
            <w:r>
              <w:rPr>
                <w:rFonts w:hint="eastAsia" w:ascii="宋体" w:hAnsi="宋体"/>
                <w:bCs/>
                <w:szCs w:val="21"/>
              </w:rPr>
              <w:t>属于中小企业</w:t>
            </w:r>
            <w:r>
              <w:rPr>
                <w:rFonts w:hint="eastAsia" w:ascii="宋体" w:hAnsi="宋体"/>
                <w:szCs w:val="21"/>
              </w:rPr>
              <w:t>评审优惠内容及幅度如下：</w:t>
            </w:r>
          </w:p>
          <w:p>
            <w:pPr>
              <w:snapToGrid w:val="0"/>
              <w:spacing w:line="360" w:lineRule="exact"/>
              <w:ind w:firstLine="211" w:firstLineChars="100"/>
              <w:jc w:val="left"/>
              <w:rPr>
                <w:rFonts w:hint="eastAsia" w:ascii="宋体" w:hAnsi="宋体"/>
                <w:szCs w:val="21"/>
              </w:rPr>
            </w:pPr>
            <w:r>
              <w:rPr>
                <w:rFonts w:hint="eastAsia" w:ascii="宋体" w:hAnsi="宋体"/>
                <w:b/>
                <w:szCs w:val="21"/>
              </w:rPr>
              <w:t>（一）</w:t>
            </w:r>
            <w:r>
              <w:rPr>
                <w:rFonts w:hint="eastAsia" w:ascii="宋体" w:hAnsi="宋体"/>
                <w:szCs w:val="21"/>
              </w:rPr>
              <w:t>中小企业（含中型、小型、微型企业）应当同时符合以下条件：</w:t>
            </w:r>
          </w:p>
          <w:p>
            <w:pPr>
              <w:pStyle w:val="52"/>
              <w:spacing w:line="360" w:lineRule="exact"/>
              <w:ind w:left="846" w:leftChars="403"/>
              <w:jc w:val="left"/>
              <w:rPr>
                <w:rFonts w:hint="eastAsia" w:ascii="宋体" w:hAnsi="宋体" w:eastAsia="宋体"/>
                <w:szCs w:val="21"/>
              </w:rPr>
            </w:pPr>
            <w:r>
              <w:rPr>
                <w:rFonts w:hint="eastAsia" w:ascii="宋体" w:hAnsi="宋体" w:eastAsia="宋体"/>
                <w:szCs w:val="21"/>
              </w:rPr>
              <w:t>①符合中小企业划分标准（按《关于印发中小企业划型标准规定的通知》（工信部联企业〔2011〕300号）执行）；</w:t>
            </w:r>
          </w:p>
          <w:p>
            <w:pPr>
              <w:pStyle w:val="52"/>
              <w:spacing w:line="360" w:lineRule="exact"/>
              <w:ind w:left="846" w:leftChars="403"/>
              <w:jc w:val="left"/>
              <w:rPr>
                <w:rFonts w:hint="eastAsia" w:ascii="宋体" w:hAnsi="宋体" w:eastAsia="宋体"/>
                <w:szCs w:val="21"/>
              </w:rPr>
            </w:pPr>
            <w:r>
              <w:rPr>
                <w:rFonts w:hint="eastAsia" w:ascii="宋体" w:hAnsi="宋体" w:eastAsia="宋体"/>
                <w:szCs w:val="21"/>
              </w:rPr>
              <w:t>②提供本企业制造的货物、承担的项目或者服务，或者提供其他中小企业制造的货物。本项所称货物不包括使用大型企业注册商标的货物；</w:t>
            </w:r>
          </w:p>
          <w:p>
            <w:pPr>
              <w:pStyle w:val="52"/>
              <w:spacing w:line="360" w:lineRule="exact"/>
              <w:ind w:left="846" w:leftChars="403"/>
              <w:jc w:val="left"/>
              <w:rPr>
                <w:rFonts w:hint="eastAsia" w:ascii="宋体" w:hAnsi="宋体" w:eastAsia="宋体"/>
                <w:szCs w:val="21"/>
              </w:rPr>
            </w:pPr>
            <w:r>
              <w:rPr>
                <w:rFonts w:hint="eastAsia" w:ascii="宋体" w:hAnsi="宋体" w:eastAsia="宋体"/>
                <w:szCs w:val="21"/>
              </w:rPr>
              <w:t>③小型、微型企业提供中型企业制造的货物的，视同为中型企业。</w:t>
            </w:r>
          </w:p>
          <w:p>
            <w:pPr>
              <w:pStyle w:val="52"/>
              <w:spacing w:line="360" w:lineRule="exact"/>
              <w:ind w:left="846" w:leftChars="403"/>
              <w:jc w:val="left"/>
              <w:rPr>
                <w:rFonts w:hint="eastAsia" w:ascii="宋体" w:hAnsi="宋体" w:eastAsia="宋体"/>
                <w:szCs w:val="21"/>
              </w:rPr>
            </w:pPr>
            <w:r>
              <w:rPr>
                <w:rFonts w:hint="eastAsia" w:ascii="宋体" w:hAnsi="宋体" w:eastAsia="宋体"/>
                <w:szCs w:val="21"/>
              </w:rPr>
              <w:t>④监狱和戒毒企业视同小型、微型企业（按《财政部司法部关于政府采购支持监狱企业发展有关问题的通知》（财库[2014]68号））</w:t>
            </w:r>
          </w:p>
          <w:p>
            <w:pPr>
              <w:snapToGrid w:val="0"/>
              <w:spacing w:line="360" w:lineRule="exact"/>
              <w:ind w:firstLine="316" w:firstLineChars="150"/>
              <w:jc w:val="left"/>
              <w:rPr>
                <w:rFonts w:hint="eastAsia" w:ascii="宋体" w:hAnsi="宋体"/>
                <w:szCs w:val="21"/>
              </w:rPr>
            </w:pPr>
            <w:r>
              <w:rPr>
                <w:rFonts w:hint="eastAsia" w:ascii="宋体" w:hAnsi="宋体"/>
                <w:b/>
                <w:szCs w:val="21"/>
              </w:rPr>
              <w:t>（二）</w:t>
            </w:r>
            <w:r>
              <w:rPr>
                <w:rFonts w:hint="eastAsia" w:ascii="宋体" w:hAnsi="宋体"/>
                <w:szCs w:val="21"/>
              </w:rPr>
              <w:t>价格扣除办法：</w:t>
            </w:r>
          </w:p>
          <w:p>
            <w:pPr>
              <w:pStyle w:val="52"/>
              <w:spacing w:line="360" w:lineRule="exact"/>
              <w:ind w:left="657" w:leftChars="313" w:firstLine="210" w:firstLineChars="100"/>
              <w:jc w:val="left"/>
              <w:rPr>
                <w:rFonts w:hint="eastAsia"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1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①</w:t>
            </w:r>
            <w:r>
              <w:rPr>
                <w:rFonts w:ascii="宋体" w:hAnsi="宋体" w:eastAsia="宋体"/>
                <w:szCs w:val="21"/>
              </w:rPr>
              <w:fldChar w:fldCharType="end"/>
            </w:r>
            <w:r>
              <w:rPr>
                <w:rFonts w:hint="eastAsia" w:ascii="宋体" w:hAnsi="宋体" w:eastAsia="宋体"/>
                <w:szCs w:val="21"/>
              </w:rPr>
              <w:t>对于非专门面向中小企业的项目，对小型和微型企业（或联合体各方均为小型、微型企业的）产品的价格给予6%的扣除，用扣除后的价格参与价格分的评审。</w:t>
            </w:r>
          </w:p>
          <w:p>
            <w:pPr>
              <w:snapToGrid w:val="0"/>
              <w:spacing w:line="360" w:lineRule="exact"/>
              <w:ind w:firstLine="316" w:firstLineChars="150"/>
              <w:jc w:val="left"/>
              <w:rPr>
                <w:rFonts w:hint="eastAsia" w:ascii="宋体" w:hAnsi="宋体"/>
                <w:szCs w:val="21"/>
              </w:rPr>
            </w:pPr>
            <w:r>
              <w:rPr>
                <w:rFonts w:hint="eastAsia" w:ascii="宋体" w:hAnsi="宋体"/>
                <w:b/>
                <w:szCs w:val="21"/>
              </w:rPr>
              <w:t>（三）</w:t>
            </w:r>
            <w:r>
              <w:rPr>
                <w:rFonts w:hint="eastAsia" w:ascii="宋体" w:hAnsi="宋体"/>
                <w:szCs w:val="21"/>
              </w:rPr>
              <w:t>小型和微型企业适用价格扣除办法时应提供的相关资料：</w:t>
            </w:r>
          </w:p>
          <w:p>
            <w:pPr>
              <w:pStyle w:val="52"/>
              <w:spacing w:line="360" w:lineRule="exact"/>
              <w:ind w:left="840"/>
              <w:jc w:val="left"/>
              <w:rPr>
                <w:rFonts w:hint="eastAsia"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1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①</w:t>
            </w:r>
            <w:r>
              <w:rPr>
                <w:rFonts w:ascii="宋体" w:hAnsi="宋体" w:eastAsia="宋体"/>
                <w:szCs w:val="21"/>
              </w:rPr>
              <w:fldChar w:fldCharType="end"/>
            </w:r>
            <w:r>
              <w:rPr>
                <w:rFonts w:hint="eastAsia" w:ascii="宋体" w:hAnsi="宋体" w:eastAsia="宋体"/>
                <w:szCs w:val="21"/>
              </w:rPr>
              <w:t>、《中小企业声明函》；</w:t>
            </w:r>
          </w:p>
          <w:p>
            <w:pPr>
              <w:pStyle w:val="52"/>
              <w:spacing w:line="360" w:lineRule="exact"/>
              <w:ind w:left="1200" w:hanging="360"/>
              <w:jc w:val="left"/>
              <w:rPr>
                <w:rFonts w:hint="eastAsia" w:ascii="宋体" w:hAnsi="宋体" w:eastAsia="宋体"/>
                <w:szCs w:val="21"/>
              </w:rPr>
            </w:pPr>
            <w:r>
              <w:rPr>
                <w:rFonts w:hint="eastAsia" w:ascii="宋体" w:hAnsi="宋体" w:eastAsia="宋体"/>
                <w:szCs w:val="21"/>
              </w:rPr>
              <w:t>②、供应商工商行政注册地管理部门出具的小微企业证明文件；</w:t>
            </w:r>
          </w:p>
          <w:p>
            <w:pPr>
              <w:spacing w:line="360" w:lineRule="exact"/>
              <w:ind w:firstLine="840" w:firstLineChars="400"/>
              <w:jc w:val="left"/>
              <w:rPr>
                <w:rFonts w:hint="eastAsia" w:ascii="宋体" w:hAnsi="宋体" w:cs="宋体"/>
                <w:szCs w:val="21"/>
              </w:rPr>
            </w:pPr>
            <w:r>
              <w:rPr>
                <w:rFonts w:hint="eastAsia" w:ascii="宋体" w:hAnsi="宋体"/>
                <w:szCs w:val="21"/>
              </w:rPr>
              <w:t>③、供应商应同时提供以上二个材料，否则将不给予价格扣除。</w:t>
            </w:r>
          </w:p>
        </w:tc>
      </w:tr>
    </w:tbl>
    <w:p>
      <w:pPr>
        <w:spacing w:line="500" w:lineRule="exact"/>
        <w:rPr>
          <w:rFonts w:ascii="宋体" w:hAnsi="宋体" w:cs="宋体"/>
          <w:color w:val="auto"/>
          <w:sz w:val="24"/>
          <w:szCs w:val="24"/>
        </w:rPr>
      </w:pPr>
    </w:p>
    <w:p>
      <w:pPr>
        <w:spacing w:line="500" w:lineRule="exact"/>
        <w:rPr>
          <w:rFonts w:ascii="宋体" w:hAnsi="宋体" w:cs="宋体"/>
          <w:color w:val="auto"/>
          <w:sz w:val="24"/>
          <w:szCs w:val="24"/>
        </w:rPr>
      </w:pPr>
    </w:p>
    <w:p>
      <w:pPr>
        <w:spacing w:line="500" w:lineRule="exact"/>
        <w:rPr>
          <w:rFonts w:ascii="宋体" w:hAnsi="宋体" w:cs="宋体"/>
          <w:color w:val="auto"/>
          <w:sz w:val="24"/>
          <w:szCs w:val="24"/>
        </w:rPr>
      </w:pPr>
    </w:p>
    <w:p>
      <w:pPr>
        <w:tabs>
          <w:tab w:val="left" w:pos="8280"/>
        </w:tabs>
        <w:spacing w:line="500" w:lineRule="exact"/>
        <w:ind w:right="-1"/>
        <w:rPr>
          <w:rFonts w:ascii="宋体" w:hAnsi="宋体" w:cs="仿宋_GB2312"/>
          <w:b/>
          <w:color w:val="auto"/>
          <w:sz w:val="24"/>
          <w:szCs w:val="24"/>
          <w:lang w:val="zh-CN"/>
        </w:rPr>
      </w:pPr>
      <w:r>
        <w:rPr>
          <w:rFonts w:hint="eastAsia" w:ascii="宋体" w:hAnsi="宋体" w:cs="仿宋_GB2312"/>
          <w:b/>
          <w:color w:val="auto"/>
          <w:sz w:val="24"/>
          <w:szCs w:val="24"/>
          <w:lang w:val="zh-CN"/>
        </w:rPr>
        <w:t>25.推荐拟中标候选人</w:t>
      </w:r>
    </w:p>
    <w:p>
      <w:pPr>
        <w:tabs>
          <w:tab w:val="left" w:pos="8280"/>
        </w:tabs>
        <w:spacing w:line="500" w:lineRule="exact"/>
        <w:ind w:right="-1" w:firstLine="540" w:firstLineChars="225"/>
        <w:rPr>
          <w:rFonts w:ascii="宋体" w:hAnsi="宋体"/>
          <w:bCs/>
          <w:color w:val="auto"/>
          <w:sz w:val="24"/>
          <w:szCs w:val="24"/>
        </w:rPr>
      </w:pPr>
      <w:r>
        <w:rPr>
          <w:rFonts w:hint="eastAsia" w:ascii="宋体" w:hAnsi="宋体" w:cs="仿宋_GB2312"/>
          <w:color w:val="auto"/>
          <w:sz w:val="24"/>
          <w:szCs w:val="24"/>
          <w:lang w:val="zh-CN"/>
        </w:rPr>
        <w:t>25.1由评标委员会集体按照经署名确认的汇总得分排序顺序，</w:t>
      </w:r>
      <w:r>
        <w:rPr>
          <w:rFonts w:hint="eastAsia" w:ascii="宋体" w:hAnsi="宋体"/>
          <w:bCs/>
          <w:color w:val="auto"/>
          <w:sz w:val="24"/>
          <w:szCs w:val="24"/>
        </w:rPr>
        <w:t>推荐拟中标候选人。</w:t>
      </w:r>
    </w:p>
    <w:p>
      <w:pPr>
        <w:tabs>
          <w:tab w:val="left" w:pos="8280"/>
        </w:tabs>
        <w:spacing w:line="500" w:lineRule="exact"/>
        <w:ind w:right="-1" w:firstLine="540" w:firstLineChars="225"/>
        <w:rPr>
          <w:rFonts w:ascii="宋体" w:hAnsi="宋体"/>
          <w:bCs/>
          <w:color w:val="auto"/>
          <w:sz w:val="24"/>
          <w:szCs w:val="24"/>
        </w:rPr>
      </w:pPr>
      <w:r>
        <w:rPr>
          <w:rFonts w:hint="eastAsia" w:ascii="宋体" w:hAnsi="宋体"/>
          <w:bCs/>
          <w:color w:val="auto"/>
          <w:sz w:val="24"/>
          <w:szCs w:val="24"/>
        </w:rPr>
        <w:t>25.2推荐中标候选人数量根据招标需要确定，并标明排列顺序，排序第一名为中标单位</w:t>
      </w:r>
      <w:r>
        <w:rPr>
          <w:rFonts w:hint="eastAsia" w:ascii="宋体" w:hAnsi="宋体"/>
          <w:color w:val="auto"/>
          <w:sz w:val="24"/>
          <w:szCs w:val="24"/>
        </w:rPr>
        <w:t>。</w:t>
      </w:r>
    </w:p>
    <w:p>
      <w:pPr>
        <w:tabs>
          <w:tab w:val="left" w:pos="8280"/>
        </w:tabs>
        <w:spacing w:line="500" w:lineRule="exact"/>
        <w:ind w:right="-1" w:firstLine="540" w:firstLineChars="225"/>
        <w:rPr>
          <w:rFonts w:ascii="宋体" w:hAnsi="宋体" w:cs="仿宋_GB2312"/>
          <w:color w:val="auto"/>
          <w:sz w:val="24"/>
          <w:szCs w:val="24"/>
          <w:lang w:val="zh-CN"/>
        </w:rPr>
      </w:pPr>
      <w:r>
        <w:rPr>
          <w:rFonts w:hint="eastAsia" w:ascii="宋体" w:hAnsi="宋体" w:cs="仿宋_GB2312"/>
          <w:color w:val="auto"/>
          <w:sz w:val="24"/>
          <w:szCs w:val="24"/>
          <w:lang w:val="zh-CN"/>
        </w:rPr>
        <w:t>25.3投标方</w:t>
      </w:r>
      <w:r>
        <w:rPr>
          <w:rFonts w:hint="eastAsia" w:ascii="宋体" w:hAnsi="宋体"/>
          <w:bCs/>
          <w:color w:val="auto"/>
          <w:sz w:val="24"/>
          <w:szCs w:val="24"/>
        </w:rPr>
        <w:t>最低投标报价不是唯一中标条件</w:t>
      </w:r>
      <w:r>
        <w:rPr>
          <w:rFonts w:hint="eastAsia" w:ascii="宋体" w:hAnsi="宋体" w:cs="仿宋_GB2312"/>
          <w:color w:val="auto"/>
          <w:sz w:val="24"/>
          <w:szCs w:val="24"/>
          <w:lang w:val="zh-CN"/>
        </w:rPr>
        <w:t>。对资格审查和符合性审查合格的投标报价文件完整无缺、最大限度的满足谈判文件需求的投标方，中标机会均等。</w:t>
      </w:r>
    </w:p>
    <w:p>
      <w:pPr>
        <w:tabs>
          <w:tab w:val="left" w:pos="8280"/>
        </w:tabs>
        <w:spacing w:line="500" w:lineRule="exact"/>
        <w:ind w:right="-1" w:firstLine="540" w:firstLineChars="225"/>
        <w:rPr>
          <w:rFonts w:ascii="宋体" w:hAnsi="宋体"/>
          <w:color w:val="auto"/>
          <w:sz w:val="24"/>
          <w:szCs w:val="24"/>
        </w:rPr>
      </w:pPr>
      <w:r>
        <w:rPr>
          <w:rFonts w:hint="eastAsia" w:ascii="宋体" w:hAnsi="宋体"/>
          <w:color w:val="auto"/>
          <w:sz w:val="24"/>
          <w:szCs w:val="24"/>
        </w:rPr>
        <w:t>25.4如汇总得分排序后出现</w:t>
      </w:r>
      <w:r>
        <w:rPr>
          <w:rFonts w:hint="eastAsia" w:ascii="宋体" w:hAnsi="宋体"/>
          <w:bCs/>
          <w:color w:val="auto"/>
          <w:sz w:val="24"/>
          <w:szCs w:val="24"/>
        </w:rPr>
        <w:t>推荐拟中标候选人</w:t>
      </w:r>
      <w:r>
        <w:rPr>
          <w:rFonts w:hint="eastAsia" w:ascii="宋体" w:hAnsi="宋体"/>
          <w:color w:val="auto"/>
          <w:sz w:val="24"/>
          <w:szCs w:val="24"/>
        </w:rPr>
        <w:t>得分相同的，评标委员会只对取得得分前三位投标人，按照</w:t>
      </w:r>
      <w:r>
        <w:rPr>
          <w:rFonts w:hint="eastAsia" w:ascii="宋体" w:hAnsi="宋体" w:cs="仿宋_GB2312"/>
          <w:color w:val="auto"/>
          <w:sz w:val="24"/>
          <w:szCs w:val="24"/>
          <w:lang w:val="zh-CN"/>
        </w:rPr>
        <w:t>其报价由低到高顺序排列；得分且其报价相等的，则按核心技术指标优劣顺序排列。价格、技术指标的高</w:t>
      </w:r>
      <w:r>
        <w:rPr>
          <w:rFonts w:hint="eastAsia" w:ascii="宋体" w:hAnsi="宋体"/>
          <w:color w:val="auto"/>
          <w:sz w:val="24"/>
          <w:szCs w:val="24"/>
        </w:rPr>
        <w:t>低或优劣由评标委员会集体进行综合确认评定。排序在前三位之后的，按原排序不变，允许排序并列。</w:t>
      </w:r>
    </w:p>
    <w:p>
      <w:pPr>
        <w:spacing w:line="500" w:lineRule="exact"/>
        <w:ind w:firstLine="480" w:firstLineChars="200"/>
        <w:rPr>
          <w:rFonts w:ascii="宋体" w:hAnsi="宋体"/>
          <w:bCs/>
          <w:color w:val="auto"/>
          <w:sz w:val="24"/>
          <w:szCs w:val="24"/>
        </w:rPr>
      </w:pPr>
      <w:r>
        <w:rPr>
          <w:rFonts w:hint="eastAsia" w:ascii="宋体" w:hAnsi="宋体" w:cs="仿宋_GB2312"/>
          <w:color w:val="auto"/>
          <w:sz w:val="24"/>
          <w:szCs w:val="24"/>
          <w:lang w:val="zh-CN"/>
        </w:rPr>
        <w:t>25.5由招标方对未推荐拟成交候选人、确认废标的，进行核对汇总后，由评标委员会各成员签署确认。</w:t>
      </w:r>
    </w:p>
    <w:p>
      <w:pPr>
        <w:tabs>
          <w:tab w:val="left" w:pos="8280"/>
        </w:tabs>
        <w:spacing w:line="500" w:lineRule="exact"/>
        <w:ind w:right="-1" w:firstLine="542" w:firstLineChars="225"/>
        <w:rPr>
          <w:rFonts w:ascii="宋体" w:hAnsi="宋体" w:cs="仿宋_GB2312"/>
          <w:b/>
          <w:color w:val="auto"/>
          <w:sz w:val="24"/>
          <w:szCs w:val="24"/>
          <w:lang w:val="zh-CN"/>
        </w:rPr>
      </w:pPr>
      <w:r>
        <w:rPr>
          <w:rFonts w:hint="eastAsia" w:ascii="宋体" w:hAnsi="宋体" w:cs="仿宋_GB2312"/>
          <w:b/>
          <w:color w:val="auto"/>
          <w:sz w:val="24"/>
          <w:szCs w:val="24"/>
          <w:lang w:val="zh-CN"/>
        </w:rPr>
        <w:t>26.编写评标报告</w:t>
      </w:r>
    </w:p>
    <w:p>
      <w:pPr>
        <w:tabs>
          <w:tab w:val="left" w:pos="8280"/>
        </w:tabs>
        <w:spacing w:line="500" w:lineRule="exact"/>
        <w:ind w:right="-1" w:firstLine="540" w:firstLineChars="225"/>
        <w:rPr>
          <w:rFonts w:ascii="宋体" w:hAnsi="宋体"/>
          <w:color w:val="auto"/>
          <w:sz w:val="24"/>
          <w:szCs w:val="24"/>
        </w:rPr>
      </w:pPr>
      <w:r>
        <w:rPr>
          <w:rFonts w:hint="eastAsia" w:ascii="宋体" w:hAnsi="宋体"/>
          <w:color w:val="auto"/>
          <w:sz w:val="24"/>
          <w:szCs w:val="24"/>
        </w:rPr>
        <w:t>26.1</w:t>
      </w:r>
      <w:r>
        <w:rPr>
          <w:rFonts w:hint="eastAsia" w:ascii="宋体" w:hAnsi="宋体" w:cs="仿宋_GB2312"/>
          <w:color w:val="auto"/>
          <w:sz w:val="24"/>
          <w:szCs w:val="24"/>
          <w:lang w:val="zh-CN"/>
        </w:rPr>
        <w:t>评标委员会</w:t>
      </w:r>
      <w:r>
        <w:rPr>
          <w:rFonts w:hint="eastAsia" w:ascii="宋体" w:hAnsi="宋体"/>
          <w:color w:val="auto"/>
          <w:sz w:val="24"/>
          <w:szCs w:val="24"/>
        </w:rPr>
        <w:t>根据全体成员签字的评标（评审）原始记录和结果，编写评标报告，并现场提交给招标方。编写的评标报告要符合招标文件的要求。</w:t>
      </w:r>
    </w:p>
    <w:p>
      <w:pPr>
        <w:tabs>
          <w:tab w:val="left" w:pos="8280"/>
        </w:tabs>
        <w:spacing w:line="500" w:lineRule="exact"/>
        <w:ind w:right="-1" w:firstLine="542" w:firstLineChars="225"/>
        <w:rPr>
          <w:rFonts w:ascii="宋体" w:hAnsi="宋体"/>
          <w:b/>
          <w:color w:val="auto"/>
          <w:sz w:val="24"/>
          <w:szCs w:val="24"/>
        </w:rPr>
      </w:pPr>
      <w:r>
        <w:rPr>
          <w:rFonts w:hint="eastAsia" w:ascii="宋体" w:hAnsi="宋体"/>
          <w:b/>
          <w:color w:val="auto"/>
          <w:sz w:val="24"/>
          <w:szCs w:val="24"/>
        </w:rPr>
        <w:t>27.评标结束</w:t>
      </w:r>
    </w:p>
    <w:p>
      <w:pPr>
        <w:tabs>
          <w:tab w:val="left" w:pos="8280"/>
        </w:tabs>
        <w:spacing w:line="500" w:lineRule="exact"/>
        <w:ind w:right="-1" w:firstLine="540" w:firstLineChars="225"/>
        <w:rPr>
          <w:rFonts w:ascii="宋体" w:hAnsi="宋体"/>
          <w:b/>
          <w:color w:val="auto"/>
          <w:sz w:val="24"/>
          <w:szCs w:val="24"/>
        </w:rPr>
      </w:pPr>
      <w:r>
        <w:rPr>
          <w:rFonts w:hint="eastAsia" w:ascii="宋体" w:hAnsi="宋体"/>
          <w:color w:val="auto"/>
          <w:sz w:val="24"/>
          <w:szCs w:val="24"/>
        </w:rPr>
        <w:t>27.1招标方应按规定时间，通知全部参与本次招标投标有效的投标人入场，进行会议总结，宣布本次</w:t>
      </w:r>
      <w:r>
        <w:rPr>
          <w:rFonts w:hint="eastAsia" w:ascii="宋体" w:hAnsi="宋体" w:cs="仿宋_GB2312"/>
          <w:color w:val="auto"/>
          <w:sz w:val="24"/>
          <w:szCs w:val="24"/>
          <w:lang w:val="zh-CN"/>
        </w:rPr>
        <w:t>评标委员会</w:t>
      </w:r>
      <w:r>
        <w:rPr>
          <w:rFonts w:hint="eastAsia" w:ascii="宋体" w:hAnsi="宋体"/>
          <w:color w:val="auto"/>
          <w:sz w:val="24"/>
          <w:szCs w:val="24"/>
        </w:rPr>
        <w:t>推荐的中标候选名单。</w:t>
      </w:r>
    </w:p>
    <w:p>
      <w:pPr>
        <w:tabs>
          <w:tab w:val="left" w:pos="8280"/>
        </w:tabs>
        <w:spacing w:line="500" w:lineRule="exact"/>
        <w:ind w:right="-1" w:firstLine="540" w:firstLineChars="225"/>
        <w:rPr>
          <w:rFonts w:ascii="宋体" w:hAnsi="宋体"/>
          <w:b/>
          <w:color w:val="auto"/>
          <w:sz w:val="24"/>
          <w:szCs w:val="24"/>
        </w:rPr>
      </w:pPr>
      <w:r>
        <w:rPr>
          <w:rFonts w:hint="eastAsia" w:ascii="宋体" w:hAnsi="宋体"/>
          <w:color w:val="auto"/>
          <w:sz w:val="24"/>
          <w:szCs w:val="24"/>
        </w:rPr>
        <w:t>27.2评标委员会小组各成员名单公开。</w:t>
      </w:r>
    </w:p>
    <w:p>
      <w:pPr>
        <w:tabs>
          <w:tab w:val="left" w:pos="8280"/>
        </w:tabs>
        <w:spacing w:line="500" w:lineRule="exact"/>
        <w:ind w:right="-1" w:firstLine="540" w:firstLineChars="225"/>
        <w:rPr>
          <w:rFonts w:ascii="宋体" w:hAnsi="宋体"/>
          <w:color w:val="auto"/>
          <w:sz w:val="24"/>
          <w:szCs w:val="24"/>
        </w:rPr>
      </w:pPr>
      <w:r>
        <w:rPr>
          <w:rFonts w:hint="eastAsia" w:ascii="宋体" w:hAnsi="宋体"/>
          <w:color w:val="auto"/>
          <w:sz w:val="24"/>
          <w:szCs w:val="24"/>
        </w:rPr>
        <w:t>27.3由招标方宣读有关招标信息公告、中标确认原则及质疑（投诉）事项等说明。</w:t>
      </w:r>
    </w:p>
    <w:p>
      <w:pPr>
        <w:tabs>
          <w:tab w:val="left" w:pos="8280"/>
        </w:tabs>
        <w:spacing w:line="500" w:lineRule="exact"/>
        <w:ind w:right="-1" w:firstLine="540" w:firstLineChars="225"/>
        <w:rPr>
          <w:rFonts w:ascii="宋体" w:hAnsi="宋体"/>
          <w:color w:val="auto"/>
          <w:sz w:val="24"/>
          <w:szCs w:val="24"/>
        </w:rPr>
      </w:pPr>
      <w:r>
        <w:rPr>
          <w:rFonts w:hint="eastAsia" w:ascii="宋体" w:hAnsi="宋体"/>
          <w:color w:val="auto"/>
          <w:sz w:val="24"/>
          <w:szCs w:val="24"/>
        </w:rPr>
        <w:t>27.4凡参加本次招标的所有投标投标人，无论是否拟中标，或其投标已被决绝，应按招标方的规定要求，在宣布会议结束后，或其投标现场被拒绝离场前，均要现场办理投标保证金的退付手续。</w:t>
      </w:r>
    </w:p>
    <w:p>
      <w:pPr>
        <w:spacing w:line="500" w:lineRule="exact"/>
        <w:rPr>
          <w:rFonts w:ascii="宋体" w:hAnsi="宋体"/>
          <w:b/>
          <w:color w:val="auto"/>
          <w:sz w:val="24"/>
          <w:szCs w:val="24"/>
        </w:rPr>
      </w:pPr>
    </w:p>
    <w:p>
      <w:pPr>
        <w:spacing w:line="520" w:lineRule="exact"/>
        <w:jc w:val="center"/>
        <w:outlineLvl w:val="1"/>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第七章、定标</w:t>
      </w:r>
    </w:p>
    <w:p>
      <w:pPr>
        <w:spacing w:line="520" w:lineRule="exact"/>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8、定标标准</w:t>
      </w:r>
    </w:p>
    <w:p>
      <w:pPr>
        <w:spacing w:line="520" w:lineRule="exact"/>
        <w:ind w:firstLine="472" w:firstLineChars="200"/>
        <w:rPr>
          <w:rFonts w:ascii="宋体" w:hAnsi="宋体"/>
          <w:color w:val="auto"/>
          <w:spacing w:val="-2"/>
          <w:sz w:val="24"/>
          <w:szCs w:val="24"/>
        </w:rPr>
      </w:pPr>
      <w:r>
        <w:rPr>
          <w:rFonts w:hint="eastAsia" w:ascii="宋体" w:hAnsi="宋体"/>
          <w:color w:val="auto"/>
          <w:spacing w:val="-2"/>
          <w:sz w:val="24"/>
          <w:szCs w:val="24"/>
        </w:rPr>
        <w:t>28.1合同将授予被确定为实质上响应招标文件要求，经评定认为具备履行合同义务能力、报价合理、技术和商务条件都符合招标文件要求的、得分最高的投标方。</w:t>
      </w:r>
    </w:p>
    <w:p>
      <w:pPr>
        <w:spacing w:line="520" w:lineRule="exact"/>
        <w:ind w:firstLine="472" w:firstLineChars="200"/>
        <w:rPr>
          <w:rFonts w:ascii="宋体" w:hAnsi="宋体"/>
          <w:color w:val="auto"/>
          <w:spacing w:val="-2"/>
          <w:sz w:val="24"/>
          <w:szCs w:val="24"/>
        </w:rPr>
      </w:pPr>
      <w:r>
        <w:rPr>
          <w:rFonts w:hint="eastAsia" w:ascii="宋体" w:hAnsi="宋体"/>
          <w:color w:val="auto"/>
          <w:spacing w:val="-2"/>
          <w:sz w:val="24"/>
          <w:szCs w:val="24"/>
        </w:rPr>
        <w:t>28.2</w:t>
      </w:r>
      <w:r>
        <w:rPr>
          <w:rFonts w:hint="eastAsia" w:ascii="宋体" w:hAnsi="宋体"/>
          <w:b/>
          <w:color w:val="auto"/>
          <w:spacing w:val="-2"/>
          <w:sz w:val="24"/>
          <w:szCs w:val="24"/>
        </w:rPr>
        <w:t>最低投标价不一定是被授予合同的保证</w:t>
      </w:r>
      <w:r>
        <w:rPr>
          <w:rFonts w:hint="eastAsia" w:ascii="宋体" w:hAnsi="宋体"/>
          <w:color w:val="auto"/>
          <w:spacing w:val="-2"/>
          <w:sz w:val="24"/>
          <w:szCs w:val="24"/>
        </w:rPr>
        <w:t>。</w:t>
      </w:r>
    </w:p>
    <w:p>
      <w:pPr>
        <w:spacing w:line="520" w:lineRule="exact"/>
        <w:ind w:firstLine="472" w:firstLineChars="200"/>
        <w:rPr>
          <w:rFonts w:ascii="宋体" w:hAnsi="宋体"/>
          <w:color w:val="auto"/>
          <w:spacing w:val="-2"/>
          <w:sz w:val="24"/>
          <w:szCs w:val="24"/>
        </w:rPr>
      </w:pPr>
      <w:r>
        <w:rPr>
          <w:rFonts w:hint="eastAsia" w:ascii="宋体" w:hAnsi="宋体"/>
          <w:color w:val="auto"/>
          <w:spacing w:val="-2"/>
          <w:sz w:val="24"/>
          <w:szCs w:val="24"/>
        </w:rPr>
        <w:t>28.3如果确定该投标方不具备圆满履行合同的条件，招标方将按照投标方的得分高低把合同授予下一个中标候选人。</w:t>
      </w:r>
    </w:p>
    <w:p>
      <w:pPr>
        <w:spacing w:line="520" w:lineRule="exact"/>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9、接受和拒绝任何或所有投标的权力</w:t>
      </w:r>
    </w:p>
    <w:p>
      <w:pPr>
        <w:spacing w:line="520" w:lineRule="exact"/>
        <w:ind w:firstLine="472" w:firstLineChars="200"/>
        <w:rPr>
          <w:rFonts w:ascii="宋体" w:hAnsi="宋体"/>
          <w:color w:val="auto"/>
          <w:spacing w:val="-2"/>
          <w:sz w:val="24"/>
          <w:szCs w:val="24"/>
        </w:rPr>
      </w:pPr>
      <w:r>
        <w:rPr>
          <w:rFonts w:hint="eastAsia" w:ascii="宋体" w:hAnsi="宋体"/>
          <w:color w:val="auto"/>
          <w:spacing w:val="-2"/>
          <w:sz w:val="24"/>
          <w:szCs w:val="24"/>
        </w:rPr>
        <w:t>29.1为维护国家利益，招标方在授予合同之前仍有选择或拒绝任何全部投标的权力。</w:t>
      </w:r>
    </w:p>
    <w:p>
      <w:pPr>
        <w:spacing w:line="520" w:lineRule="exact"/>
        <w:ind w:firstLine="482" w:firstLineChars="200"/>
        <w:rPr>
          <w:rFonts w:ascii="宋体" w:hAnsi="宋体"/>
          <w:b/>
          <w:color w:val="auto"/>
          <w:sz w:val="24"/>
          <w:szCs w:val="24"/>
        </w:rPr>
      </w:pPr>
      <w:r>
        <w:rPr>
          <w:rFonts w:hint="eastAsia" w:ascii="宋体" w:hAnsi="宋体"/>
          <w:b/>
          <w:color w:val="auto"/>
          <w:sz w:val="24"/>
          <w:szCs w:val="24"/>
        </w:rPr>
        <w:t>30、中标通知书</w:t>
      </w:r>
    </w:p>
    <w:p>
      <w:pPr>
        <w:spacing w:line="460" w:lineRule="exact"/>
        <w:ind w:firstLine="472" w:firstLineChars="200"/>
        <w:rPr>
          <w:rFonts w:ascii="宋体" w:hAnsi="宋体"/>
          <w:color w:val="auto"/>
          <w:spacing w:val="-2"/>
          <w:sz w:val="24"/>
          <w:szCs w:val="24"/>
        </w:rPr>
      </w:pPr>
      <w:r>
        <w:rPr>
          <w:rFonts w:hint="eastAsia" w:ascii="宋体" w:hAnsi="宋体"/>
          <w:color w:val="auto"/>
          <w:spacing w:val="-2"/>
          <w:sz w:val="24"/>
          <w:szCs w:val="24"/>
        </w:rPr>
        <w:t>30.1评标结束后当日发布成交公告，2个工作日后招标人将以书面形式发出《中标通知书》，但发出时间不超过投标有效期，《中标通知书》一经发出即发生法律效力。</w:t>
      </w:r>
    </w:p>
    <w:p>
      <w:pPr>
        <w:spacing w:line="460" w:lineRule="exact"/>
        <w:ind w:firstLine="472" w:firstLineChars="200"/>
        <w:rPr>
          <w:rFonts w:ascii="宋体" w:hAnsi="宋体"/>
          <w:color w:val="auto"/>
          <w:spacing w:val="-2"/>
          <w:sz w:val="24"/>
          <w:szCs w:val="24"/>
        </w:rPr>
      </w:pPr>
      <w:r>
        <w:rPr>
          <w:rFonts w:hint="eastAsia" w:ascii="宋体" w:hAnsi="宋体"/>
          <w:color w:val="auto"/>
          <w:spacing w:val="-2"/>
          <w:sz w:val="24"/>
          <w:szCs w:val="24"/>
        </w:rPr>
        <w:t>30.1.1《中标通知书》将成为签订合同的依据。</w:t>
      </w:r>
    </w:p>
    <w:p>
      <w:pPr>
        <w:spacing w:line="520" w:lineRule="exact"/>
        <w:ind w:firstLine="562" w:firstLineChars="200"/>
        <w:jc w:val="center"/>
        <w:rPr>
          <w:rFonts w:ascii="宋体" w:hAnsi="宋体"/>
          <w:b/>
          <w:color w:val="auto"/>
          <w:sz w:val="28"/>
          <w:szCs w:val="28"/>
        </w:rPr>
      </w:pPr>
    </w:p>
    <w:p>
      <w:pPr>
        <w:spacing w:line="520" w:lineRule="exact"/>
        <w:ind w:firstLine="562" w:firstLineChars="200"/>
        <w:jc w:val="center"/>
        <w:outlineLvl w:val="1"/>
        <w:rPr>
          <w:rFonts w:ascii="宋体" w:hAnsi="宋体"/>
          <w:b/>
          <w:color w:val="auto"/>
          <w:sz w:val="28"/>
          <w:szCs w:val="28"/>
        </w:rPr>
      </w:pPr>
      <w:r>
        <w:rPr>
          <w:rFonts w:hint="eastAsia" w:ascii="宋体" w:hAnsi="宋体"/>
          <w:b/>
          <w:color w:val="auto"/>
          <w:sz w:val="28"/>
          <w:szCs w:val="28"/>
        </w:rPr>
        <w:t>第八章、授予合同</w:t>
      </w:r>
    </w:p>
    <w:p>
      <w:pPr>
        <w:spacing w:line="460" w:lineRule="exact"/>
        <w:ind w:firstLine="482" w:firstLineChars="200"/>
        <w:rPr>
          <w:rFonts w:ascii="宋体" w:hAnsi="宋体"/>
          <w:b/>
          <w:color w:val="auto"/>
          <w:sz w:val="24"/>
          <w:szCs w:val="24"/>
        </w:rPr>
      </w:pPr>
      <w:r>
        <w:rPr>
          <w:rFonts w:ascii="宋体" w:hAnsi="宋体"/>
          <w:b/>
          <w:color w:val="auto"/>
          <w:sz w:val="24"/>
          <w:szCs w:val="24"/>
        </w:rPr>
        <w:t>26</w:t>
      </w:r>
      <w:r>
        <w:rPr>
          <w:rFonts w:hint="eastAsia" w:ascii="宋体" w:hAnsi="宋体"/>
          <w:b/>
          <w:color w:val="auto"/>
          <w:sz w:val="24"/>
          <w:szCs w:val="24"/>
        </w:rPr>
        <w:t>、签订合同</w:t>
      </w:r>
    </w:p>
    <w:p>
      <w:pPr>
        <w:snapToGrid w:val="0"/>
        <w:spacing w:line="460" w:lineRule="exact"/>
        <w:ind w:firstLine="467" w:firstLineChars="198"/>
        <w:rPr>
          <w:rFonts w:ascii="宋体" w:hAnsi="宋体"/>
          <w:color w:val="auto"/>
          <w:spacing w:val="-2"/>
          <w:sz w:val="24"/>
          <w:szCs w:val="24"/>
        </w:rPr>
      </w:pPr>
      <w:r>
        <w:rPr>
          <w:rFonts w:hint="eastAsia" w:ascii="宋体" w:hAnsi="宋体"/>
          <w:color w:val="auto"/>
          <w:spacing w:val="-2"/>
          <w:sz w:val="24"/>
          <w:szCs w:val="24"/>
        </w:rPr>
        <w:t>26.1招标方在授予合同时，对招标文件中规定的产品和服务不做变更。</w:t>
      </w:r>
    </w:p>
    <w:p>
      <w:pPr>
        <w:spacing w:line="460" w:lineRule="exact"/>
        <w:ind w:firstLine="472" w:firstLineChars="200"/>
        <w:rPr>
          <w:rFonts w:ascii="宋体" w:hAnsi="宋体"/>
          <w:color w:val="auto"/>
          <w:spacing w:val="-2"/>
          <w:sz w:val="24"/>
          <w:szCs w:val="24"/>
        </w:rPr>
      </w:pPr>
      <w:r>
        <w:rPr>
          <w:rFonts w:hint="eastAsia" w:ascii="宋体" w:hAnsi="宋体"/>
          <w:color w:val="auto"/>
          <w:spacing w:val="-2"/>
          <w:sz w:val="24"/>
          <w:szCs w:val="24"/>
        </w:rPr>
        <w:t>26.2如中标方拒签合同，则按违约处理。</w:t>
      </w:r>
    </w:p>
    <w:p>
      <w:pPr>
        <w:spacing w:line="460" w:lineRule="exact"/>
        <w:ind w:firstLine="472" w:firstLineChars="200"/>
        <w:rPr>
          <w:rFonts w:ascii="宋体" w:hAnsi="宋体"/>
          <w:color w:val="auto"/>
          <w:spacing w:val="-2"/>
          <w:sz w:val="24"/>
          <w:szCs w:val="24"/>
        </w:rPr>
      </w:pPr>
      <w:r>
        <w:rPr>
          <w:rFonts w:hint="eastAsia" w:ascii="宋体" w:hAnsi="宋体"/>
          <w:color w:val="auto"/>
          <w:spacing w:val="-2"/>
          <w:sz w:val="24"/>
          <w:szCs w:val="24"/>
        </w:rPr>
        <w:t>26.3招标文件、中标方的投标文件及其澄清文件等，均为签订经济合同的依据。</w:t>
      </w:r>
    </w:p>
    <w:p>
      <w:pPr>
        <w:spacing w:line="460" w:lineRule="exact"/>
        <w:ind w:firstLine="472" w:firstLineChars="200"/>
        <w:rPr>
          <w:rFonts w:ascii="宋体" w:hAnsi="宋体"/>
          <w:color w:val="auto"/>
          <w:spacing w:val="-2"/>
          <w:sz w:val="24"/>
          <w:szCs w:val="24"/>
        </w:rPr>
      </w:pPr>
      <w:r>
        <w:rPr>
          <w:rFonts w:hint="eastAsia" w:ascii="宋体" w:hAnsi="宋体"/>
          <w:color w:val="auto"/>
          <w:spacing w:val="-2"/>
          <w:sz w:val="24"/>
          <w:szCs w:val="24"/>
        </w:rPr>
        <w:t>26.4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pPr>
        <w:spacing w:line="460" w:lineRule="exact"/>
        <w:ind w:firstLine="472" w:firstLineChars="200"/>
        <w:rPr>
          <w:rFonts w:ascii="宋体" w:hAnsi="宋体"/>
          <w:color w:val="auto"/>
          <w:sz w:val="24"/>
        </w:rPr>
      </w:pPr>
      <w:r>
        <w:rPr>
          <w:rFonts w:hint="eastAsia" w:ascii="宋体" w:hAnsi="宋体"/>
          <w:color w:val="auto"/>
          <w:spacing w:val="-2"/>
          <w:sz w:val="24"/>
          <w:szCs w:val="24"/>
        </w:rPr>
        <w:t>26.5</w:t>
      </w:r>
      <w:r>
        <w:rPr>
          <w:rFonts w:hint="eastAsia" w:ascii="宋体" w:hAnsi="宋体"/>
          <w:color w:val="auto"/>
          <w:sz w:val="24"/>
        </w:rPr>
        <w:t>招标服务费按2002【1980号】文件收取，由中标单位支付，中标单位在领取中标通知书时将招标服务费缴纳到招标代理机构，或从投标保证金中扣除。</w:t>
      </w:r>
    </w:p>
    <w:p>
      <w:pPr>
        <w:spacing w:line="460" w:lineRule="exact"/>
        <w:jc w:val="center"/>
        <w:outlineLvl w:val="0"/>
        <w:rPr>
          <w:b/>
          <w:color w:val="auto"/>
          <w:sz w:val="32"/>
          <w:szCs w:val="32"/>
        </w:rPr>
      </w:pPr>
    </w:p>
    <w:p>
      <w:pPr>
        <w:spacing w:line="460" w:lineRule="exact"/>
        <w:jc w:val="center"/>
        <w:outlineLvl w:val="0"/>
        <w:rPr>
          <w:b/>
          <w:color w:val="auto"/>
          <w:sz w:val="24"/>
          <w:szCs w:val="24"/>
        </w:rPr>
      </w:pPr>
      <w:r>
        <w:rPr>
          <w:rFonts w:hint="eastAsia"/>
          <w:b/>
          <w:color w:val="auto"/>
          <w:sz w:val="32"/>
          <w:szCs w:val="32"/>
        </w:rPr>
        <w:t>第五部分技术规范及设计任务书</w:t>
      </w:r>
    </w:p>
    <w:p>
      <w:pPr>
        <w:spacing w:line="480" w:lineRule="exact"/>
        <w:ind w:firstLine="480" w:firstLineChars="200"/>
        <w:jc w:val="left"/>
        <w:rPr>
          <w:rFonts w:ascii="宋体" w:hAnsi="宋体" w:cs="宋体"/>
          <w:bCs/>
          <w:color w:val="auto"/>
          <w:sz w:val="24"/>
          <w:szCs w:val="24"/>
        </w:rPr>
      </w:pPr>
      <w:r>
        <w:rPr>
          <w:rFonts w:hint="eastAsia" w:ascii="宋体" w:hAnsi="宋体" w:cs="宋体"/>
          <w:bCs/>
          <w:color w:val="auto"/>
          <w:sz w:val="24"/>
          <w:szCs w:val="24"/>
        </w:rPr>
        <w:t>本工程的通信网络及信息化系统设计应符合现行国家、地方、行业有关规范和标准具体要求，如在通信网络、信息化、系统工作中有新标准和规范出台，则按最新的标准和规范执行。</w:t>
      </w:r>
    </w:p>
    <w:p>
      <w:pPr>
        <w:spacing w:line="460" w:lineRule="exact"/>
        <w:rPr>
          <w:rFonts w:ascii="宋体" w:hAnsi="宋体"/>
          <w:color w:val="auto"/>
          <w:sz w:val="24"/>
        </w:rPr>
        <w:sectPr>
          <w:footerReference r:id="rId5" w:type="first"/>
          <w:headerReference r:id="rId3" w:type="default"/>
          <w:footerReference r:id="rId4" w:type="default"/>
          <w:pgSz w:w="11907" w:h="16840"/>
          <w:pgMar w:top="600" w:right="1797" w:bottom="682" w:left="1797" w:header="851" w:footer="572" w:gutter="0"/>
          <w:cols w:space="720" w:num="1"/>
          <w:docGrid w:linePitch="312" w:charSpace="0"/>
        </w:sectPr>
      </w:pPr>
    </w:p>
    <w:p>
      <w:pPr>
        <w:pStyle w:val="16"/>
        <w:adjustRightInd w:val="0"/>
        <w:snapToGrid w:val="0"/>
        <w:spacing w:line="360" w:lineRule="auto"/>
        <w:jc w:val="center"/>
        <w:rPr>
          <w:rFonts w:ascii="Times New Roman" w:hAnsi="Times New Roman"/>
          <w:b/>
          <w:sz w:val="72"/>
        </w:rPr>
      </w:pPr>
      <w:r>
        <w:rPr>
          <w:rFonts w:hint="eastAsia" w:ascii="Times New Roman" w:hAnsi="Times New Roman"/>
          <w:b/>
          <w:sz w:val="72"/>
        </w:rPr>
        <w:t>建设工程设计合同</w:t>
      </w:r>
    </w:p>
    <w:p>
      <w:pPr>
        <w:pStyle w:val="16"/>
        <w:adjustRightInd w:val="0"/>
        <w:snapToGrid w:val="0"/>
        <w:spacing w:line="360" w:lineRule="auto"/>
        <w:jc w:val="center"/>
        <w:rPr>
          <w:rFonts w:ascii="Times New Roman" w:hAnsi="Times New Roman"/>
          <w:b/>
          <w:sz w:val="32"/>
        </w:rPr>
      </w:pPr>
      <w:r>
        <w:rPr>
          <w:rFonts w:hint="eastAsia" w:ascii="Times New Roman" w:hAnsi="Times New Roman"/>
          <w:b/>
          <w:sz w:val="32"/>
        </w:rPr>
        <w:t>（专业建设工程设计合同）</w:t>
      </w:r>
    </w:p>
    <w:p>
      <w:pPr>
        <w:pStyle w:val="16"/>
        <w:adjustRightInd w:val="0"/>
        <w:snapToGrid w:val="0"/>
        <w:spacing w:line="360" w:lineRule="auto"/>
        <w:jc w:val="left"/>
        <w:rPr>
          <w:rFonts w:ascii="Times New Roman" w:hAnsi="Times New Roman"/>
          <w:b/>
          <w:sz w:val="30"/>
        </w:rPr>
      </w:pPr>
    </w:p>
    <w:p>
      <w:pPr>
        <w:pStyle w:val="16"/>
        <w:adjustRightInd w:val="0"/>
        <w:snapToGrid w:val="0"/>
        <w:spacing w:line="360" w:lineRule="auto"/>
        <w:jc w:val="left"/>
        <w:rPr>
          <w:rFonts w:ascii="Times New Roman" w:hAnsi="Times New Roman"/>
          <w:b/>
          <w:sz w:val="30"/>
        </w:rPr>
      </w:pPr>
    </w:p>
    <w:p>
      <w:pPr>
        <w:pStyle w:val="16"/>
        <w:adjustRightInd w:val="0"/>
        <w:snapToGrid w:val="0"/>
        <w:spacing w:line="360" w:lineRule="auto"/>
        <w:jc w:val="left"/>
        <w:rPr>
          <w:rFonts w:ascii="Times New Roman" w:hAnsi="Times New Roman"/>
          <w:b/>
          <w:sz w:val="30"/>
          <w:szCs w:val="30"/>
          <w:u w:val="thick"/>
        </w:rPr>
      </w:pPr>
      <w:r>
        <w:rPr>
          <w:rFonts w:hint="eastAsia" w:ascii="Times New Roman" w:hAnsi="Times New Roman"/>
          <w:b/>
          <w:sz w:val="30"/>
        </w:rPr>
        <w:t>工程名称：</w:t>
      </w:r>
      <w:r>
        <w:rPr>
          <w:rFonts w:hint="eastAsia" w:ascii="Times New Roman" w:hAnsi="Times New Roman"/>
          <w:b/>
          <w:sz w:val="30"/>
          <w:szCs w:val="30"/>
          <w:u w:val="thick"/>
        </w:rPr>
        <w:t>新疆维吾尔自治区治超联网管理信息系统工程初步设计</w:t>
      </w:r>
    </w:p>
    <w:p>
      <w:pPr>
        <w:pStyle w:val="16"/>
        <w:adjustRightInd w:val="0"/>
        <w:snapToGrid w:val="0"/>
        <w:spacing w:line="360" w:lineRule="auto"/>
        <w:jc w:val="left"/>
        <w:rPr>
          <w:rFonts w:ascii="Times New Roman" w:hAnsi="Times New Roman"/>
          <w:b/>
          <w:sz w:val="30"/>
          <w:u w:val="single"/>
        </w:rPr>
      </w:pPr>
      <w:r>
        <w:rPr>
          <w:rFonts w:hint="eastAsia" w:ascii="Times New Roman" w:hAnsi="Times New Roman"/>
          <w:b/>
          <w:sz w:val="30"/>
        </w:rPr>
        <w:t>工程地点：</w:t>
      </w:r>
      <w:r>
        <w:rPr>
          <w:rFonts w:hint="eastAsia" w:ascii="Times New Roman" w:hAnsi="Times New Roman"/>
          <w:b/>
          <w:sz w:val="30"/>
          <w:u w:val="single"/>
        </w:rPr>
        <w:t>乌鲁木齐</w:t>
      </w:r>
    </w:p>
    <w:p>
      <w:pPr>
        <w:pStyle w:val="16"/>
        <w:adjustRightInd w:val="0"/>
        <w:snapToGrid w:val="0"/>
        <w:spacing w:line="360" w:lineRule="auto"/>
        <w:jc w:val="left"/>
        <w:rPr>
          <w:rFonts w:ascii="Times New Roman" w:hAnsi="Times New Roman"/>
          <w:b/>
          <w:sz w:val="30"/>
          <w:u w:val="single"/>
        </w:rPr>
      </w:pPr>
      <w:r>
        <w:rPr>
          <w:rFonts w:hint="eastAsia" w:ascii="Times New Roman" w:hAnsi="Times New Roman"/>
          <w:b/>
          <w:sz w:val="30"/>
        </w:rPr>
        <w:t>合同编号：</w:t>
      </w:r>
    </w:p>
    <w:p>
      <w:pPr>
        <w:pStyle w:val="16"/>
        <w:adjustRightInd w:val="0"/>
        <w:snapToGrid w:val="0"/>
        <w:spacing w:line="360" w:lineRule="auto"/>
        <w:jc w:val="left"/>
        <w:outlineLvl w:val="0"/>
        <w:rPr>
          <w:rFonts w:ascii="Times New Roman" w:hAnsi="Times New Roman"/>
          <w:b/>
          <w:sz w:val="30"/>
        </w:rPr>
      </w:pPr>
      <w:r>
        <w:rPr>
          <w:rFonts w:hint="eastAsia" w:ascii="Times New Roman" w:hAnsi="Times New Roman"/>
          <w:b/>
          <w:sz w:val="30"/>
        </w:rPr>
        <w:t>（由设计人编填）</w:t>
      </w:r>
    </w:p>
    <w:p>
      <w:pPr>
        <w:pStyle w:val="16"/>
        <w:adjustRightInd w:val="0"/>
        <w:snapToGrid w:val="0"/>
        <w:spacing w:line="360" w:lineRule="auto"/>
        <w:jc w:val="left"/>
        <w:rPr>
          <w:rFonts w:ascii="Times New Roman" w:hAnsi="Times New Roman"/>
          <w:b/>
          <w:spacing w:val="24"/>
          <w:sz w:val="30"/>
          <w:u w:val="single"/>
        </w:rPr>
      </w:pPr>
      <w:r>
        <w:rPr>
          <w:rFonts w:hint="eastAsia" w:ascii="Times New Roman" w:hAnsi="Times New Roman"/>
          <w:b/>
          <w:spacing w:val="24"/>
          <w:sz w:val="30"/>
        </w:rPr>
        <w:t>设计证书等级：</w:t>
      </w:r>
      <w:r>
        <w:rPr>
          <w:rFonts w:hint="eastAsia" w:ascii="Times New Roman" w:hAnsi="Times New Roman"/>
          <w:b/>
          <w:spacing w:val="24"/>
          <w:sz w:val="30"/>
          <w:u w:val="single"/>
        </w:rPr>
        <w:t>甲级</w:t>
      </w:r>
    </w:p>
    <w:p>
      <w:pPr>
        <w:pStyle w:val="16"/>
        <w:adjustRightInd w:val="0"/>
        <w:snapToGrid w:val="0"/>
        <w:spacing w:line="360" w:lineRule="auto"/>
        <w:jc w:val="left"/>
        <w:rPr>
          <w:rFonts w:ascii="Times New Roman" w:hAnsi="Times New Roman"/>
          <w:b/>
          <w:sz w:val="30"/>
          <w:u w:val="single"/>
        </w:rPr>
      </w:pPr>
      <w:r>
        <w:rPr>
          <w:rFonts w:hint="eastAsia" w:ascii="Times New Roman" w:hAnsi="Times New Roman"/>
          <w:b/>
          <w:sz w:val="30"/>
        </w:rPr>
        <w:t>委托人：</w:t>
      </w:r>
      <w:r>
        <w:rPr>
          <w:rFonts w:hint="eastAsia" w:ascii="Times New Roman" w:hAnsi="Times New Roman"/>
          <w:b/>
          <w:sz w:val="30"/>
          <w:szCs w:val="30"/>
          <w:u w:val="thick"/>
        </w:rPr>
        <w:t>新疆维吾尔自治区路政管理局</w:t>
      </w:r>
    </w:p>
    <w:p>
      <w:pPr>
        <w:pStyle w:val="16"/>
        <w:adjustRightInd w:val="0"/>
        <w:snapToGrid w:val="0"/>
        <w:spacing w:line="360" w:lineRule="auto"/>
        <w:jc w:val="left"/>
        <w:rPr>
          <w:rFonts w:ascii="Times New Roman" w:hAnsi="Times New Roman"/>
          <w:b/>
          <w:sz w:val="30"/>
          <w:u w:val="single"/>
        </w:rPr>
      </w:pPr>
      <w:r>
        <w:rPr>
          <w:rFonts w:hint="eastAsia" w:ascii="Times New Roman" w:hAnsi="Times New Roman"/>
          <w:b/>
          <w:sz w:val="30"/>
        </w:rPr>
        <w:t>设计人：</w:t>
      </w:r>
    </w:p>
    <w:p>
      <w:pPr>
        <w:pStyle w:val="16"/>
        <w:adjustRightInd w:val="0"/>
        <w:snapToGrid w:val="0"/>
        <w:spacing w:line="360" w:lineRule="auto"/>
        <w:jc w:val="left"/>
        <w:rPr>
          <w:rFonts w:ascii="Times New Roman" w:hAnsi="Times New Roman"/>
          <w:sz w:val="30"/>
          <w:u w:val="single"/>
        </w:rPr>
      </w:pPr>
      <w:r>
        <w:rPr>
          <w:rFonts w:hint="eastAsia" w:ascii="Times New Roman" w:hAnsi="Times New Roman"/>
          <w:b/>
          <w:sz w:val="30"/>
        </w:rPr>
        <w:t>签订日期：</w:t>
      </w:r>
    </w:p>
    <w:p>
      <w:pPr>
        <w:pStyle w:val="16"/>
        <w:adjustRightInd w:val="0"/>
        <w:snapToGrid w:val="0"/>
        <w:spacing w:line="360" w:lineRule="auto"/>
        <w:jc w:val="left"/>
        <w:rPr>
          <w:rFonts w:ascii="Times New Roman" w:hAnsi="Times New Roman"/>
          <w:sz w:val="30"/>
        </w:rPr>
      </w:pPr>
    </w:p>
    <w:p>
      <w:pPr>
        <w:pStyle w:val="16"/>
        <w:adjustRightInd w:val="0"/>
        <w:snapToGrid w:val="0"/>
        <w:spacing w:line="360" w:lineRule="auto"/>
        <w:jc w:val="left"/>
        <w:rPr>
          <w:rFonts w:ascii="Times New Roman" w:hAnsi="Times New Roman"/>
          <w:sz w:val="30"/>
        </w:rPr>
      </w:pPr>
    </w:p>
    <w:p>
      <w:pPr>
        <w:pStyle w:val="16"/>
        <w:adjustRightInd w:val="0"/>
        <w:snapToGrid w:val="0"/>
        <w:spacing w:line="360" w:lineRule="auto"/>
        <w:jc w:val="left"/>
        <w:rPr>
          <w:rFonts w:ascii="Times New Roman" w:hAnsi="Times New Roman"/>
          <w:sz w:val="28"/>
        </w:rPr>
      </w:pPr>
    </w:p>
    <w:p>
      <w:pPr>
        <w:pStyle w:val="16"/>
        <w:adjustRightInd w:val="0"/>
        <w:snapToGrid w:val="0"/>
        <w:spacing w:line="360" w:lineRule="auto"/>
        <w:jc w:val="center"/>
        <w:rPr>
          <w:rFonts w:ascii="Times New Roman" w:hAnsi="Times New Roman"/>
          <w:b/>
          <w:sz w:val="32"/>
        </w:rPr>
      </w:pPr>
      <w:r>
        <w:rPr>
          <w:rFonts w:hint="eastAsia" w:ascii="Times New Roman" w:hAnsi="Times New Roman"/>
          <w:b/>
          <w:sz w:val="32"/>
        </w:rPr>
        <w:t>中华人民共和国建设部</w:t>
      </w:r>
    </w:p>
    <w:p>
      <w:pPr>
        <w:pStyle w:val="16"/>
        <w:adjustRightInd w:val="0"/>
        <w:snapToGrid w:val="0"/>
        <w:spacing w:line="360" w:lineRule="auto"/>
        <w:jc w:val="center"/>
        <w:rPr>
          <w:rFonts w:ascii="Times New Roman" w:hAnsi="Times New Roman"/>
          <w:b/>
          <w:spacing w:val="16"/>
          <w:kern w:val="10"/>
          <w:sz w:val="32"/>
        </w:rPr>
      </w:pPr>
      <w:r>
        <w:rPr>
          <w:rFonts w:hint="eastAsia" w:ascii="Times New Roman" w:hAnsi="Times New Roman"/>
          <w:b/>
          <w:spacing w:val="16"/>
          <w:kern w:val="10"/>
          <w:sz w:val="32"/>
        </w:rPr>
        <w:t>国家工商行政管理局</w:t>
      </w:r>
    </w:p>
    <w:p>
      <w:pPr>
        <w:pStyle w:val="16"/>
        <w:adjustRightInd w:val="0"/>
        <w:snapToGrid w:val="0"/>
        <w:spacing w:line="360" w:lineRule="auto"/>
        <w:jc w:val="center"/>
        <w:rPr>
          <w:rFonts w:ascii="Times New Roman" w:hAnsi="Times New Roman"/>
        </w:rPr>
      </w:pPr>
    </w:p>
    <w:p>
      <w:pPr>
        <w:pStyle w:val="16"/>
        <w:adjustRightInd w:val="0"/>
        <w:snapToGrid w:val="0"/>
        <w:spacing w:line="360" w:lineRule="auto"/>
        <w:jc w:val="center"/>
        <w:rPr>
          <w:rFonts w:ascii="Times New Roman" w:hAnsi="Times New Roman"/>
          <w:b/>
          <w:spacing w:val="16"/>
          <w:kern w:val="10"/>
          <w:sz w:val="32"/>
        </w:rPr>
        <w:sectPr>
          <w:footerReference r:id="rId8" w:type="first"/>
          <w:footerReference r:id="rId6" w:type="default"/>
          <w:footerReference r:id="rId7" w:type="even"/>
          <w:pgSz w:w="11906" w:h="16838"/>
          <w:pgMar w:top="1871" w:right="1134" w:bottom="1531" w:left="1701" w:header="851" w:footer="992" w:gutter="0"/>
          <w:cols w:space="425" w:num="1"/>
          <w:titlePg/>
          <w:docGrid w:type="lines" w:linePitch="312" w:charSpace="0"/>
        </w:sectPr>
      </w:pPr>
      <w:r>
        <w:rPr>
          <w:rFonts w:hint="eastAsia" w:ascii="Times New Roman" w:hAnsi="Times New Roman"/>
          <w:b/>
          <w:spacing w:val="16"/>
          <w:kern w:val="10"/>
          <w:sz w:val="32"/>
        </w:rPr>
        <w:t>监制</w:t>
      </w:r>
    </w:p>
    <w:p>
      <w:pPr>
        <w:pStyle w:val="16"/>
        <w:adjustRightInd w:val="0"/>
        <w:snapToGrid w:val="0"/>
        <w:spacing w:line="360" w:lineRule="auto"/>
        <w:ind w:firstLine="567"/>
        <w:jc w:val="left"/>
        <w:rPr>
          <w:rFonts w:ascii="Times New Roman" w:hAnsi="Times New Roman"/>
          <w:sz w:val="28"/>
          <w:u w:val="single"/>
        </w:rPr>
      </w:pPr>
      <w:r>
        <w:rPr>
          <w:rFonts w:hint="eastAsia" w:ascii="Times New Roman" w:hAnsi="Times New Roman"/>
          <w:sz w:val="28"/>
        </w:rPr>
        <w:t>委托人：</w:t>
      </w:r>
    </w:p>
    <w:p>
      <w:pPr>
        <w:pStyle w:val="16"/>
        <w:adjustRightInd w:val="0"/>
        <w:snapToGrid w:val="0"/>
        <w:spacing w:line="360" w:lineRule="auto"/>
        <w:ind w:firstLine="567"/>
        <w:jc w:val="left"/>
        <w:rPr>
          <w:rFonts w:ascii="Times New Roman" w:hAnsi="Times New Roman"/>
          <w:sz w:val="28"/>
        </w:rPr>
      </w:pPr>
      <w:r>
        <w:rPr>
          <w:rFonts w:hint="eastAsia" w:ascii="Times New Roman" w:hAnsi="Times New Roman"/>
          <w:sz w:val="28"/>
        </w:rPr>
        <w:t>设计人：</w:t>
      </w:r>
    </w:p>
    <w:p>
      <w:pPr>
        <w:snapToGrid w:val="0"/>
        <w:spacing w:line="360" w:lineRule="auto"/>
        <w:ind w:firstLine="560" w:firstLineChars="200"/>
        <w:rPr>
          <w:sz w:val="28"/>
          <w:szCs w:val="28"/>
        </w:rPr>
      </w:pPr>
      <w:r>
        <w:rPr>
          <w:rFonts w:hint="eastAsia"/>
          <w:sz w:val="28"/>
          <w:szCs w:val="28"/>
        </w:rPr>
        <w:t>委托人委托设计人承担工程设计，工程地点为，经双方协商一致，签订本合同，共同执行。</w:t>
      </w:r>
    </w:p>
    <w:p>
      <w:pPr>
        <w:pStyle w:val="16"/>
        <w:adjustRightInd w:val="0"/>
        <w:snapToGrid w:val="0"/>
        <w:spacing w:line="360" w:lineRule="auto"/>
        <w:ind w:firstLine="567"/>
        <w:jc w:val="left"/>
        <w:outlineLvl w:val="0"/>
        <w:rPr>
          <w:rFonts w:ascii="Times New Roman" w:hAnsi="Times New Roman"/>
          <w:sz w:val="28"/>
          <w:szCs w:val="28"/>
        </w:rPr>
      </w:pPr>
      <w:r>
        <w:rPr>
          <w:rFonts w:hint="eastAsia" w:ascii="Times New Roman" w:hAnsi="Times New Roman"/>
          <w:b/>
          <w:spacing w:val="40"/>
          <w:sz w:val="28"/>
        </w:rPr>
        <w:t>第一条</w:t>
      </w:r>
      <w:r>
        <w:rPr>
          <w:rFonts w:hint="eastAsia" w:ascii="Times New Roman" w:hAnsi="Times New Roman"/>
          <w:spacing w:val="40"/>
          <w:sz w:val="28"/>
        </w:rPr>
        <w:t>　</w:t>
      </w:r>
      <w:r>
        <w:rPr>
          <w:rFonts w:hint="eastAsia" w:ascii="Times New Roman" w:hAnsi="Times New Roman"/>
          <w:sz w:val="28"/>
          <w:szCs w:val="28"/>
        </w:rPr>
        <w:t>本合同签订论据</w:t>
      </w:r>
    </w:p>
    <w:p>
      <w:pPr>
        <w:snapToGrid w:val="0"/>
        <w:spacing w:line="360" w:lineRule="auto"/>
        <w:ind w:firstLine="560" w:firstLineChars="200"/>
        <w:rPr>
          <w:sz w:val="28"/>
          <w:szCs w:val="28"/>
        </w:rPr>
      </w:pPr>
      <w:r>
        <w:rPr>
          <w:rFonts w:hint="eastAsia"/>
          <w:sz w:val="28"/>
          <w:szCs w:val="28"/>
        </w:rPr>
        <w:t>1.1《中华人民共和国合同法》、《中华人民共和国建筑法》和《建设工程勘察设计市场管理规定》。</w:t>
      </w:r>
    </w:p>
    <w:p>
      <w:pPr>
        <w:snapToGrid w:val="0"/>
        <w:spacing w:line="360" w:lineRule="auto"/>
        <w:ind w:firstLine="560" w:firstLineChars="200"/>
        <w:rPr>
          <w:sz w:val="28"/>
          <w:szCs w:val="28"/>
        </w:rPr>
      </w:pPr>
      <w:r>
        <w:rPr>
          <w:rFonts w:hint="eastAsia"/>
          <w:sz w:val="28"/>
          <w:szCs w:val="28"/>
        </w:rPr>
        <w:t>1.2国家及地方有关建设工程勘察设计管理法规和规章。</w:t>
      </w:r>
    </w:p>
    <w:p>
      <w:pPr>
        <w:snapToGrid w:val="0"/>
        <w:spacing w:line="360" w:lineRule="auto"/>
        <w:ind w:firstLine="560" w:firstLineChars="200"/>
        <w:rPr>
          <w:sz w:val="28"/>
          <w:szCs w:val="28"/>
        </w:rPr>
      </w:pPr>
      <w:r>
        <w:rPr>
          <w:rFonts w:hint="eastAsia"/>
          <w:sz w:val="28"/>
          <w:szCs w:val="28"/>
        </w:rPr>
        <w:t>1.3建设工程批准文件。</w:t>
      </w:r>
    </w:p>
    <w:p>
      <w:pPr>
        <w:pStyle w:val="16"/>
        <w:adjustRightInd w:val="0"/>
        <w:snapToGrid w:val="0"/>
        <w:spacing w:line="360" w:lineRule="auto"/>
        <w:ind w:firstLine="567"/>
        <w:jc w:val="left"/>
        <w:outlineLvl w:val="0"/>
        <w:rPr>
          <w:rFonts w:ascii="Times New Roman" w:hAnsi="Times New Roman"/>
          <w:sz w:val="28"/>
          <w:szCs w:val="28"/>
        </w:rPr>
      </w:pPr>
      <w:r>
        <w:rPr>
          <w:rFonts w:hint="eastAsia" w:ascii="Times New Roman" w:hAnsi="Times New Roman"/>
          <w:b/>
          <w:spacing w:val="40"/>
          <w:sz w:val="28"/>
        </w:rPr>
        <w:t>第二条</w:t>
      </w:r>
      <w:r>
        <w:rPr>
          <w:rFonts w:hint="eastAsia" w:ascii="Times New Roman" w:hAnsi="Times New Roman"/>
          <w:spacing w:val="40"/>
          <w:sz w:val="28"/>
          <w:szCs w:val="28"/>
        </w:rPr>
        <w:t>　</w:t>
      </w:r>
      <w:r>
        <w:rPr>
          <w:rFonts w:hint="eastAsia" w:ascii="Times New Roman" w:hAnsi="Times New Roman"/>
          <w:sz w:val="28"/>
          <w:szCs w:val="28"/>
        </w:rPr>
        <w:t>设计依据</w:t>
      </w:r>
    </w:p>
    <w:p>
      <w:pPr>
        <w:snapToGrid w:val="0"/>
        <w:spacing w:line="360" w:lineRule="auto"/>
        <w:ind w:firstLine="560" w:firstLineChars="200"/>
        <w:rPr>
          <w:sz w:val="28"/>
          <w:szCs w:val="28"/>
        </w:rPr>
      </w:pPr>
      <w:r>
        <w:rPr>
          <w:rFonts w:hint="eastAsia"/>
          <w:sz w:val="28"/>
          <w:szCs w:val="28"/>
        </w:rPr>
        <w:t>2.1《关于新疆维吾尔自治区治超联网管理信息系统工程可行性研究报告的批复》，新交综〔2019〕65号，新疆维吾尔自治区交通运输厅；</w:t>
      </w:r>
    </w:p>
    <w:p>
      <w:pPr>
        <w:snapToGrid w:val="0"/>
        <w:spacing w:line="360" w:lineRule="auto"/>
        <w:ind w:firstLine="560" w:firstLineChars="200"/>
        <w:rPr>
          <w:sz w:val="28"/>
          <w:szCs w:val="28"/>
        </w:rPr>
      </w:pPr>
      <w:r>
        <w:rPr>
          <w:rFonts w:hint="eastAsia"/>
          <w:sz w:val="28"/>
          <w:szCs w:val="28"/>
        </w:rPr>
        <w:t>2.2《新疆维吾尔自治区治超联网管理信息系统工程可行性研究报告》，交通运输部规划研究院，2019年；</w:t>
      </w:r>
    </w:p>
    <w:p>
      <w:pPr>
        <w:snapToGrid w:val="0"/>
        <w:spacing w:line="360" w:lineRule="auto"/>
        <w:ind w:firstLine="560" w:firstLineChars="200"/>
        <w:rPr>
          <w:sz w:val="28"/>
          <w:szCs w:val="28"/>
        </w:rPr>
      </w:pPr>
      <w:r>
        <w:rPr>
          <w:rFonts w:hint="eastAsia"/>
          <w:sz w:val="28"/>
          <w:szCs w:val="28"/>
        </w:rPr>
        <w:t>2.3《交通运输部工业和信息化部公安部工商总局质检总局关于进一步做好货车非法改装和超限超载治理工作的意见》，交公路发〔2016〕124号；</w:t>
      </w:r>
    </w:p>
    <w:p>
      <w:pPr>
        <w:snapToGrid w:val="0"/>
        <w:spacing w:line="360" w:lineRule="auto"/>
        <w:ind w:firstLine="560" w:firstLineChars="200"/>
        <w:rPr>
          <w:sz w:val="28"/>
          <w:szCs w:val="28"/>
        </w:rPr>
      </w:pPr>
      <w:r>
        <w:rPr>
          <w:rFonts w:hint="eastAsia"/>
          <w:sz w:val="28"/>
          <w:szCs w:val="28"/>
        </w:rPr>
        <w:t>2.4《交通运输部办公厅关于印发全国治超联网管理信息系统省级工程建设指南的通知》，交办公路[2018]77号，交通运输部办公厅，2018年；</w:t>
      </w:r>
    </w:p>
    <w:p>
      <w:pPr>
        <w:snapToGrid w:val="0"/>
        <w:spacing w:line="360" w:lineRule="auto"/>
        <w:ind w:firstLine="560" w:firstLineChars="200"/>
        <w:rPr>
          <w:sz w:val="28"/>
          <w:szCs w:val="28"/>
        </w:rPr>
      </w:pPr>
      <w:r>
        <w:rPr>
          <w:rFonts w:hint="eastAsia"/>
          <w:sz w:val="28"/>
          <w:szCs w:val="28"/>
        </w:rPr>
        <w:t>2.5《新疆维吾尔自治区公路交通运输信息化“十三五”建设规划研究》，新疆交通运输厅，2016年3月；</w:t>
      </w:r>
    </w:p>
    <w:p>
      <w:pPr>
        <w:snapToGrid w:val="0"/>
        <w:spacing w:line="360" w:lineRule="auto"/>
        <w:ind w:firstLine="560" w:firstLineChars="200"/>
        <w:rPr>
          <w:sz w:val="28"/>
          <w:szCs w:val="28"/>
        </w:rPr>
      </w:pPr>
      <w:r>
        <w:rPr>
          <w:rFonts w:hint="eastAsia"/>
          <w:sz w:val="28"/>
          <w:szCs w:val="28"/>
        </w:rPr>
        <w:t>2.6《新疆维吾尔自治区路政管理信息化建设“十三五”发展规划》，新疆维吾尔自治区路政管理局，2016年9月；</w:t>
      </w:r>
    </w:p>
    <w:p>
      <w:pPr>
        <w:snapToGrid w:val="0"/>
        <w:spacing w:line="360" w:lineRule="auto"/>
        <w:ind w:firstLine="560" w:firstLineChars="200"/>
        <w:rPr>
          <w:sz w:val="28"/>
          <w:szCs w:val="28"/>
        </w:rPr>
      </w:pPr>
      <w:r>
        <w:rPr>
          <w:rFonts w:hint="eastAsia"/>
          <w:sz w:val="28"/>
          <w:szCs w:val="28"/>
        </w:rPr>
        <w:t>2.7《新疆公路超限检测站规划（2015-2030年）征求意见》；</w:t>
      </w:r>
    </w:p>
    <w:p>
      <w:pPr>
        <w:snapToGrid w:val="0"/>
        <w:spacing w:line="360" w:lineRule="auto"/>
        <w:ind w:firstLine="560" w:firstLineChars="200"/>
        <w:rPr>
          <w:sz w:val="28"/>
          <w:szCs w:val="28"/>
        </w:rPr>
      </w:pPr>
      <w:r>
        <w:rPr>
          <w:rFonts w:hint="eastAsia"/>
          <w:sz w:val="28"/>
          <w:szCs w:val="28"/>
        </w:rPr>
        <w:t>2.8《新疆维吾尔自治区货物运输车辆超限超载治理办法》（政府令第207号）2018年1月；</w:t>
      </w:r>
    </w:p>
    <w:p>
      <w:pPr>
        <w:snapToGrid w:val="0"/>
        <w:spacing w:line="360" w:lineRule="auto"/>
        <w:ind w:firstLine="560" w:firstLineChars="200"/>
        <w:rPr>
          <w:sz w:val="28"/>
          <w:szCs w:val="28"/>
        </w:rPr>
      </w:pPr>
      <w:r>
        <w:rPr>
          <w:rFonts w:hint="eastAsia"/>
          <w:sz w:val="28"/>
          <w:szCs w:val="28"/>
        </w:rPr>
        <w:t>2.9新疆维吾尔自治区路政管理局提供的资料；</w:t>
      </w:r>
    </w:p>
    <w:p>
      <w:pPr>
        <w:snapToGrid w:val="0"/>
        <w:spacing w:line="360" w:lineRule="auto"/>
        <w:ind w:firstLine="560" w:firstLineChars="200"/>
        <w:rPr>
          <w:sz w:val="28"/>
          <w:szCs w:val="28"/>
        </w:rPr>
      </w:pPr>
      <w:r>
        <w:rPr>
          <w:rFonts w:hint="eastAsia"/>
          <w:sz w:val="28"/>
          <w:szCs w:val="28"/>
        </w:rPr>
        <w:t>2.10有关设备厂家近期市场参考报价。</w:t>
      </w:r>
    </w:p>
    <w:p>
      <w:pPr>
        <w:pStyle w:val="16"/>
        <w:adjustRightInd w:val="0"/>
        <w:snapToGrid w:val="0"/>
        <w:spacing w:line="360" w:lineRule="auto"/>
        <w:ind w:firstLine="567"/>
        <w:jc w:val="left"/>
        <w:outlineLvl w:val="0"/>
        <w:rPr>
          <w:rFonts w:ascii="Times New Roman" w:hAnsi="Times New Roman"/>
          <w:sz w:val="28"/>
          <w:szCs w:val="28"/>
        </w:rPr>
      </w:pPr>
      <w:r>
        <w:rPr>
          <w:rFonts w:hint="eastAsia" w:ascii="Times New Roman" w:hAnsi="Times New Roman"/>
          <w:b/>
          <w:spacing w:val="40"/>
          <w:sz w:val="28"/>
        </w:rPr>
        <w:t>第三条</w:t>
      </w:r>
      <w:r>
        <w:rPr>
          <w:rFonts w:hint="eastAsia" w:ascii="Times New Roman" w:hAnsi="Times New Roman"/>
          <w:spacing w:val="40"/>
          <w:sz w:val="28"/>
        </w:rPr>
        <w:t>　</w:t>
      </w:r>
      <w:r>
        <w:rPr>
          <w:rFonts w:hint="eastAsia" w:ascii="Times New Roman" w:hAnsi="Times New Roman"/>
          <w:sz w:val="28"/>
          <w:szCs w:val="28"/>
        </w:rPr>
        <w:t>合同文件的优先次序</w:t>
      </w:r>
    </w:p>
    <w:p>
      <w:pPr>
        <w:snapToGrid w:val="0"/>
        <w:spacing w:line="360" w:lineRule="auto"/>
        <w:ind w:firstLine="560" w:firstLineChars="200"/>
        <w:rPr>
          <w:sz w:val="28"/>
          <w:szCs w:val="28"/>
        </w:rPr>
      </w:pPr>
      <w:r>
        <w:rPr>
          <w:rFonts w:hint="eastAsia"/>
          <w:sz w:val="28"/>
          <w:szCs w:val="28"/>
        </w:rPr>
        <w:t>构成本合同的文件可视为是能互相说明的，如果合同文件存在歧义或不一致，则根据如下优先次序来判断：</w:t>
      </w:r>
    </w:p>
    <w:p>
      <w:pPr>
        <w:snapToGrid w:val="0"/>
        <w:spacing w:line="360" w:lineRule="auto"/>
        <w:ind w:firstLine="560" w:firstLineChars="200"/>
        <w:rPr>
          <w:sz w:val="28"/>
          <w:szCs w:val="28"/>
        </w:rPr>
      </w:pPr>
      <w:r>
        <w:rPr>
          <w:rFonts w:hint="eastAsia"/>
          <w:sz w:val="28"/>
          <w:szCs w:val="28"/>
        </w:rPr>
        <w:t>3.1合同书</w:t>
      </w:r>
    </w:p>
    <w:p>
      <w:pPr>
        <w:snapToGrid w:val="0"/>
        <w:spacing w:line="360" w:lineRule="auto"/>
        <w:ind w:firstLine="560" w:firstLineChars="200"/>
        <w:rPr>
          <w:sz w:val="28"/>
          <w:szCs w:val="28"/>
        </w:rPr>
      </w:pPr>
      <w:r>
        <w:rPr>
          <w:rFonts w:hint="eastAsia"/>
          <w:sz w:val="28"/>
          <w:szCs w:val="28"/>
        </w:rPr>
        <w:t>3.2招标</w:t>
      </w:r>
      <w:r>
        <w:rPr>
          <w:sz w:val="28"/>
          <w:szCs w:val="28"/>
        </w:rPr>
        <w:t>文件</w:t>
      </w:r>
    </w:p>
    <w:p>
      <w:pPr>
        <w:snapToGrid w:val="0"/>
        <w:spacing w:line="360" w:lineRule="auto"/>
        <w:ind w:firstLine="560" w:firstLineChars="200"/>
        <w:rPr>
          <w:sz w:val="28"/>
          <w:szCs w:val="28"/>
        </w:rPr>
      </w:pPr>
      <w:r>
        <w:rPr>
          <w:rFonts w:hint="eastAsia"/>
          <w:sz w:val="28"/>
          <w:szCs w:val="28"/>
        </w:rPr>
        <w:t>3.3委托人要求</w:t>
      </w:r>
    </w:p>
    <w:p>
      <w:pPr>
        <w:pStyle w:val="16"/>
        <w:adjustRightInd w:val="0"/>
        <w:snapToGrid w:val="0"/>
        <w:spacing w:line="360" w:lineRule="auto"/>
        <w:ind w:firstLine="567"/>
        <w:jc w:val="left"/>
        <w:outlineLvl w:val="0"/>
        <w:rPr>
          <w:rFonts w:ascii="Times New Roman" w:hAnsi="Times New Roman"/>
          <w:sz w:val="28"/>
          <w:szCs w:val="28"/>
        </w:rPr>
      </w:pPr>
      <w:r>
        <w:rPr>
          <w:rFonts w:hint="eastAsia" w:ascii="Times New Roman" w:hAnsi="Times New Roman"/>
          <w:b/>
          <w:spacing w:val="40"/>
          <w:sz w:val="28"/>
        </w:rPr>
        <w:t>第四条</w:t>
      </w:r>
      <w:r>
        <w:rPr>
          <w:rFonts w:hint="eastAsia" w:ascii="Times New Roman" w:hAnsi="Times New Roman"/>
          <w:spacing w:val="40"/>
          <w:sz w:val="28"/>
        </w:rPr>
        <w:t>　</w:t>
      </w:r>
      <w:r>
        <w:rPr>
          <w:rFonts w:hint="eastAsia" w:ascii="Times New Roman" w:hAnsi="Times New Roman"/>
          <w:sz w:val="28"/>
          <w:szCs w:val="28"/>
        </w:rPr>
        <w:t>本合同项目的名称、规模及设计内容、阶段、投资</w:t>
      </w:r>
    </w:p>
    <w:p>
      <w:pPr>
        <w:snapToGrid w:val="0"/>
        <w:spacing w:line="360" w:lineRule="auto"/>
        <w:ind w:firstLine="560" w:firstLineChars="200"/>
        <w:rPr>
          <w:sz w:val="28"/>
          <w:szCs w:val="28"/>
        </w:rPr>
      </w:pPr>
      <w:r>
        <w:rPr>
          <w:rFonts w:hint="eastAsia"/>
          <w:sz w:val="28"/>
          <w:szCs w:val="28"/>
        </w:rPr>
        <w:t>项目名称：</w:t>
      </w:r>
    </w:p>
    <w:p>
      <w:pPr>
        <w:snapToGrid w:val="0"/>
        <w:spacing w:line="360" w:lineRule="auto"/>
        <w:ind w:firstLine="560" w:firstLineChars="200"/>
        <w:rPr>
          <w:sz w:val="28"/>
          <w:szCs w:val="28"/>
        </w:rPr>
      </w:pPr>
      <w:r>
        <w:rPr>
          <w:rFonts w:hint="eastAsia"/>
          <w:sz w:val="28"/>
          <w:szCs w:val="28"/>
        </w:rPr>
        <w:t>项目规模：</w:t>
      </w:r>
    </w:p>
    <w:p>
      <w:pPr>
        <w:snapToGrid w:val="0"/>
        <w:spacing w:line="360" w:lineRule="auto"/>
        <w:ind w:firstLine="560" w:firstLineChars="200"/>
        <w:rPr>
          <w:sz w:val="28"/>
          <w:szCs w:val="28"/>
          <w:u w:val="single"/>
        </w:rPr>
      </w:pPr>
      <w:r>
        <w:rPr>
          <w:rFonts w:hint="eastAsia"/>
          <w:sz w:val="28"/>
          <w:szCs w:val="28"/>
        </w:rPr>
        <w:t>设计服务内容：</w:t>
      </w:r>
    </w:p>
    <w:p>
      <w:pPr>
        <w:pStyle w:val="16"/>
        <w:adjustRightInd w:val="0"/>
        <w:snapToGrid w:val="0"/>
        <w:spacing w:line="360" w:lineRule="auto"/>
        <w:ind w:firstLine="567"/>
        <w:jc w:val="left"/>
        <w:outlineLvl w:val="0"/>
        <w:rPr>
          <w:rFonts w:ascii="Times New Roman" w:hAnsi="Times New Roman"/>
          <w:sz w:val="28"/>
          <w:szCs w:val="28"/>
        </w:rPr>
      </w:pPr>
      <w:r>
        <w:rPr>
          <w:rFonts w:hint="eastAsia" w:ascii="Times New Roman" w:hAnsi="Times New Roman"/>
          <w:b/>
          <w:spacing w:val="40"/>
          <w:sz w:val="28"/>
        </w:rPr>
        <w:t>第五条</w:t>
      </w:r>
      <w:r>
        <w:rPr>
          <w:rFonts w:hint="eastAsia" w:ascii="Times New Roman" w:hAnsi="Times New Roman"/>
          <w:spacing w:val="40"/>
          <w:sz w:val="28"/>
        </w:rPr>
        <w:t>　</w:t>
      </w:r>
      <w:r>
        <w:rPr>
          <w:rFonts w:hint="eastAsia" w:ascii="Times New Roman" w:hAnsi="Times New Roman"/>
          <w:sz w:val="28"/>
          <w:szCs w:val="28"/>
        </w:rPr>
        <w:t>委托人向设计人提交的有关资料、文件及时间</w:t>
      </w:r>
    </w:p>
    <w:p>
      <w:pPr>
        <w:snapToGrid w:val="0"/>
        <w:spacing w:line="360" w:lineRule="auto"/>
        <w:ind w:firstLine="560" w:firstLineChars="200"/>
        <w:rPr>
          <w:sz w:val="28"/>
          <w:szCs w:val="28"/>
        </w:rPr>
      </w:pPr>
      <w:r>
        <w:rPr>
          <w:rFonts w:hint="eastAsia"/>
          <w:sz w:val="28"/>
          <w:szCs w:val="28"/>
        </w:rPr>
        <w:t>在本合同签定生效后2周内，提供各阶段工作所需的详细基础资料，以及工程所需的站址、无线电频率、环保、路、水、电等外部条件落实的文件材料。</w:t>
      </w:r>
    </w:p>
    <w:p>
      <w:pPr>
        <w:snapToGrid w:val="0"/>
        <w:spacing w:line="360" w:lineRule="auto"/>
        <w:ind w:firstLine="560" w:firstLineChars="200"/>
        <w:rPr>
          <w:sz w:val="28"/>
          <w:szCs w:val="28"/>
        </w:rPr>
      </w:pPr>
      <w:r>
        <w:rPr>
          <w:rFonts w:hint="eastAsia"/>
          <w:sz w:val="28"/>
          <w:szCs w:val="28"/>
        </w:rPr>
        <w:t>参与设计方案的讨论，并在收到设计文件初稿2周内，向设计人反馈讨论后形成的意见。</w:t>
      </w:r>
    </w:p>
    <w:p>
      <w:pPr>
        <w:pStyle w:val="16"/>
        <w:adjustRightInd w:val="0"/>
        <w:snapToGrid w:val="0"/>
        <w:spacing w:line="360" w:lineRule="auto"/>
        <w:ind w:firstLine="567"/>
        <w:jc w:val="left"/>
        <w:outlineLvl w:val="0"/>
        <w:rPr>
          <w:rFonts w:ascii="Times New Roman" w:hAnsi="Times New Roman"/>
          <w:sz w:val="28"/>
          <w:szCs w:val="28"/>
        </w:rPr>
      </w:pPr>
      <w:r>
        <w:rPr>
          <w:rFonts w:hint="eastAsia" w:ascii="Times New Roman" w:hAnsi="Times New Roman"/>
          <w:b/>
          <w:spacing w:val="40"/>
          <w:sz w:val="28"/>
        </w:rPr>
        <w:t>第六条</w:t>
      </w:r>
      <w:r>
        <w:rPr>
          <w:rFonts w:hint="eastAsia" w:ascii="Times New Roman" w:hAnsi="Times New Roman"/>
          <w:spacing w:val="40"/>
          <w:sz w:val="28"/>
        </w:rPr>
        <w:t>　</w:t>
      </w:r>
      <w:r>
        <w:rPr>
          <w:rFonts w:hint="eastAsia" w:ascii="Times New Roman" w:hAnsi="Times New Roman"/>
          <w:sz w:val="28"/>
          <w:szCs w:val="28"/>
        </w:rPr>
        <w:t>设计人向委托人交付的设计文件、份数、地点及时间</w:t>
      </w:r>
    </w:p>
    <w:p>
      <w:pPr>
        <w:pStyle w:val="16"/>
        <w:adjustRightInd w:val="0"/>
        <w:snapToGrid w:val="0"/>
        <w:spacing w:line="360" w:lineRule="auto"/>
        <w:ind w:firstLine="567"/>
        <w:jc w:val="left"/>
        <w:outlineLvl w:val="0"/>
        <w:rPr>
          <w:rFonts w:ascii="Times New Roman" w:hAnsi="Times New Roman"/>
          <w:spacing w:val="40"/>
          <w:sz w:val="28"/>
        </w:rPr>
      </w:pPr>
      <w:r>
        <w:rPr>
          <w:rFonts w:hint="eastAsia" w:ascii="Times New Roman" w:hAnsi="Times New Roman"/>
          <w:b/>
          <w:spacing w:val="40"/>
          <w:sz w:val="28"/>
        </w:rPr>
        <w:t>第七条</w:t>
      </w:r>
      <w:r>
        <w:rPr>
          <w:rFonts w:hint="eastAsia" w:ascii="Times New Roman" w:hAnsi="Times New Roman"/>
          <w:spacing w:val="40"/>
          <w:sz w:val="28"/>
        </w:rPr>
        <w:t>　费用</w:t>
      </w:r>
    </w:p>
    <w:p>
      <w:pPr>
        <w:snapToGrid w:val="0"/>
        <w:spacing w:line="360" w:lineRule="auto"/>
        <w:ind w:firstLine="560" w:firstLineChars="200"/>
        <w:rPr>
          <w:sz w:val="28"/>
          <w:szCs w:val="28"/>
        </w:rPr>
      </w:pPr>
      <w:r>
        <w:rPr>
          <w:rFonts w:hint="eastAsia"/>
          <w:sz w:val="28"/>
          <w:szCs w:val="28"/>
        </w:rPr>
        <w:t>7.1双方商定，本合同的设计费为</w:t>
      </w:r>
      <w:r>
        <w:rPr>
          <w:rFonts w:hint="eastAsia"/>
          <w:b/>
          <w:sz w:val="28"/>
          <w:szCs w:val="28"/>
        </w:rPr>
        <w:t>元</w:t>
      </w:r>
      <w:r>
        <w:rPr>
          <w:rFonts w:hint="eastAsia"/>
          <w:sz w:val="28"/>
          <w:szCs w:val="28"/>
        </w:rPr>
        <w:t>（￥</w:t>
      </w:r>
      <w:r>
        <w:rPr>
          <w:rFonts w:hint="eastAsia"/>
          <w:b/>
          <w:sz w:val="28"/>
          <w:szCs w:val="28"/>
          <w:u w:val="single"/>
        </w:rPr>
        <w:t>元</w:t>
      </w:r>
      <w:r>
        <w:rPr>
          <w:rFonts w:hint="eastAsia"/>
          <w:sz w:val="28"/>
          <w:szCs w:val="28"/>
        </w:rPr>
        <w:t>）。</w:t>
      </w:r>
    </w:p>
    <w:p>
      <w:pPr>
        <w:pStyle w:val="16"/>
        <w:adjustRightInd w:val="0"/>
        <w:snapToGrid w:val="0"/>
        <w:spacing w:line="360" w:lineRule="auto"/>
        <w:ind w:firstLine="567"/>
        <w:jc w:val="left"/>
        <w:outlineLvl w:val="0"/>
        <w:rPr>
          <w:rFonts w:ascii="Times New Roman" w:hAnsi="Times New Roman"/>
          <w:spacing w:val="40"/>
          <w:sz w:val="28"/>
        </w:rPr>
      </w:pPr>
      <w:r>
        <w:rPr>
          <w:rFonts w:hint="eastAsia" w:ascii="Times New Roman" w:hAnsi="Times New Roman"/>
          <w:b/>
          <w:spacing w:val="40"/>
          <w:sz w:val="28"/>
        </w:rPr>
        <w:t>第八条</w:t>
      </w:r>
      <w:r>
        <w:rPr>
          <w:rFonts w:hint="eastAsia" w:ascii="Times New Roman" w:hAnsi="Times New Roman"/>
          <w:spacing w:val="40"/>
          <w:sz w:val="28"/>
        </w:rPr>
        <w:t>　</w:t>
      </w:r>
      <w:r>
        <w:rPr>
          <w:rFonts w:hint="eastAsia" w:ascii="Times New Roman" w:hAnsi="Times New Roman"/>
          <w:sz w:val="28"/>
          <w:szCs w:val="28"/>
        </w:rPr>
        <w:t>支付方式</w:t>
      </w:r>
    </w:p>
    <w:p>
      <w:pPr>
        <w:snapToGrid w:val="0"/>
        <w:spacing w:line="360" w:lineRule="auto"/>
        <w:ind w:firstLine="560" w:firstLineChars="200"/>
        <w:rPr>
          <w:sz w:val="28"/>
          <w:szCs w:val="28"/>
        </w:rPr>
      </w:pPr>
      <w:r>
        <w:rPr>
          <w:rFonts w:hint="eastAsia"/>
          <w:sz w:val="28"/>
          <w:szCs w:val="28"/>
        </w:rPr>
        <w:t>8.1甲方应负责按以下条款向乙方支付合同总价：</w:t>
      </w:r>
    </w:p>
    <w:p>
      <w:pPr>
        <w:snapToGrid w:val="0"/>
        <w:spacing w:line="360" w:lineRule="auto"/>
        <w:ind w:firstLine="560" w:firstLineChars="200"/>
        <w:rPr>
          <w:sz w:val="28"/>
          <w:szCs w:val="28"/>
        </w:rPr>
      </w:pPr>
      <w:r>
        <w:rPr>
          <w:sz w:val="28"/>
          <w:szCs w:val="28"/>
        </w:rPr>
        <w:t>8.1.1</w:t>
      </w:r>
      <w:r>
        <w:rPr>
          <w:rFonts w:hint="eastAsia"/>
          <w:sz w:val="28"/>
          <w:szCs w:val="28"/>
        </w:rPr>
        <w:t>合同签订[10]个工作日内，待招标人资金到位，相关人员入场，招标人先支付合同总额的40%的预付款，即人民币大写: [] (￥)。</w:t>
      </w:r>
    </w:p>
    <w:p>
      <w:pPr>
        <w:snapToGrid w:val="0"/>
        <w:spacing w:line="360" w:lineRule="auto"/>
        <w:ind w:firstLine="560" w:firstLineChars="200"/>
        <w:rPr>
          <w:sz w:val="28"/>
          <w:szCs w:val="28"/>
        </w:rPr>
      </w:pPr>
      <w:r>
        <w:rPr>
          <w:sz w:val="28"/>
          <w:szCs w:val="28"/>
        </w:rPr>
        <w:t>8.1.2</w:t>
      </w:r>
      <w:r>
        <w:rPr>
          <w:rFonts w:hint="eastAsia"/>
          <w:sz w:val="28"/>
          <w:szCs w:val="28"/>
        </w:rPr>
        <w:t>待设计单位提交设计成果且通过招标人认可方式的评审后，</w:t>
      </w:r>
      <w:r>
        <w:rPr>
          <w:sz w:val="28"/>
          <w:szCs w:val="28"/>
        </w:rPr>
        <w:t>甲方</w:t>
      </w:r>
      <w:r>
        <w:rPr>
          <w:rFonts w:hint="eastAsia"/>
          <w:sz w:val="28"/>
          <w:szCs w:val="28"/>
        </w:rPr>
        <w:t>支付合同总额的55%设计费用，即人民币大写: [] (￥)。</w:t>
      </w:r>
    </w:p>
    <w:p>
      <w:pPr>
        <w:snapToGrid w:val="0"/>
        <w:spacing w:line="360" w:lineRule="auto"/>
        <w:ind w:firstLine="560" w:firstLineChars="200"/>
        <w:rPr>
          <w:sz w:val="28"/>
          <w:szCs w:val="28"/>
        </w:rPr>
      </w:pPr>
      <w:r>
        <w:rPr>
          <w:sz w:val="28"/>
          <w:szCs w:val="28"/>
        </w:rPr>
        <w:t>8.1.3</w:t>
      </w:r>
      <w:r>
        <w:rPr>
          <w:rFonts w:hint="eastAsia"/>
          <w:sz w:val="28"/>
          <w:szCs w:val="28"/>
        </w:rPr>
        <w:t>预留5%设计费用待项目初验后10个工作日内全部付清（无息），即人民币大写: [] (￥)。</w:t>
      </w:r>
    </w:p>
    <w:p>
      <w:pPr>
        <w:snapToGrid w:val="0"/>
        <w:spacing w:line="360" w:lineRule="auto"/>
        <w:ind w:firstLine="560" w:firstLineChars="200"/>
        <w:rPr>
          <w:sz w:val="28"/>
          <w:szCs w:val="28"/>
        </w:rPr>
      </w:pPr>
      <w:r>
        <w:rPr>
          <w:rFonts w:hint="eastAsia"/>
          <w:sz w:val="28"/>
          <w:szCs w:val="28"/>
        </w:rPr>
        <w:t>8.2双方委托银行代付代收有关费用。</w:t>
      </w:r>
    </w:p>
    <w:p>
      <w:pPr>
        <w:pStyle w:val="16"/>
        <w:adjustRightInd w:val="0"/>
        <w:snapToGrid w:val="0"/>
        <w:spacing w:line="360" w:lineRule="auto"/>
        <w:ind w:firstLine="567"/>
        <w:jc w:val="left"/>
        <w:outlineLvl w:val="0"/>
        <w:rPr>
          <w:rFonts w:ascii="Times New Roman" w:hAnsi="Times New Roman"/>
          <w:spacing w:val="40"/>
          <w:sz w:val="28"/>
        </w:rPr>
      </w:pPr>
      <w:r>
        <w:rPr>
          <w:rFonts w:hint="eastAsia" w:ascii="Times New Roman" w:hAnsi="Times New Roman"/>
          <w:b/>
          <w:spacing w:val="40"/>
          <w:sz w:val="28"/>
        </w:rPr>
        <w:t>第九条</w:t>
      </w:r>
      <w:r>
        <w:rPr>
          <w:rFonts w:hint="eastAsia" w:ascii="Times New Roman" w:hAnsi="Times New Roman"/>
          <w:spacing w:val="40"/>
          <w:sz w:val="28"/>
        </w:rPr>
        <w:t>　</w:t>
      </w:r>
      <w:r>
        <w:rPr>
          <w:rFonts w:hint="eastAsia" w:ascii="Times New Roman" w:hAnsi="Times New Roman"/>
          <w:sz w:val="28"/>
          <w:szCs w:val="28"/>
        </w:rPr>
        <w:t>履约保证金</w:t>
      </w:r>
    </w:p>
    <w:p>
      <w:pPr>
        <w:snapToGrid w:val="0"/>
        <w:spacing w:line="360" w:lineRule="auto"/>
        <w:ind w:firstLine="560" w:firstLineChars="200"/>
        <w:rPr>
          <w:sz w:val="28"/>
          <w:szCs w:val="28"/>
        </w:rPr>
      </w:pPr>
      <w:r>
        <w:rPr>
          <w:rFonts w:hint="eastAsia"/>
          <w:sz w:val="28"/>
          <w:szCs w:val="28"/>
        </w:rPr>
        <w:t>本项目约定为合同金额的</w:t>
      </w:r>
      <w:r>
        <w:rPr>
          <w:rFonts w:hint="eastAsia"/>
          <w:sz w:val="28"/>
          <w:szCs w:val="28"/>
          <w:u w:val="single"/>
        </w:rPr>
        <w:t xml:space="preserve"> 5%</w:t>
      </w:r>
      <w:r>
        <w:rPr>
          <w:rFonts w:hint="eastAsia"/>
          <w:sz w:val="28"/>
          <w:szCs w:val="28"/>
        </w:rPr>
        <w:t>。履约保证金在本项目相关后续服务全部完成转为质保金，待建设项目全部安装调试完毕无息退还。</w:t>
      </w:r>
    </w:p>
    <w:p>
      <w:pPr>
        <w:pStyle w:val="16"/>
        <w:adjustRightInd w:val="0"/>
        <w:snapToGrid w:val="0"/>
        <w:spacing w:line="360" w:lineRule="auto"/>
        <w:ind w:firstLine="567"/>
        <w:jc w:val="left"/>
        <w:outlineLvl w:val="0"/>
        <w:rPr>
          <w:rFonts w:ascii="Times New Roman" w:hAnsi="Times New Roman"/>
          <w:sz w:val="28"/>
          <w:szCs w:val="28"/>
        </w:rPr>
      </w:pPr>
      <w:r>
        <w:rPr>
          <w:rFonts w:hint="eastAsia" w:ascii="Times New Roman" w:hAnsi="Times New Roman"/>
          <w:b/>
          <w:spacing w:val="40"/>
          <w:sz w:val="28"/>
        </w:rPr>
        <w:t>第十条</w:t>
      </w:r>
      <w:r>
        <w:rPr>
          <w:rFonts w:hint="eastAsia" w:ascii="Times New Roman" w:hAnsi="Times New Roman"/>
          <w:spacing w:val="40"/>
          <w:sz w:val="28"/>
        </w:rPr>
        <w:t>　</w:t>
      </w:r>
      <w:r>
        <w:rPr>
          <w:rFonts w:hint="eastAsia" w:ascii="Times New Roman" w:hAnsi="Times New Roman"/>
          <w:sz w:val="28"/>
          <w:szCs w:val="28"/>
        </w:rPr>
        <w:t>双方责任</w:t>
      </w:r>
    </w:p>
    <w:p>
      <w:pPr>
        <w:snapToGrid w:val="0"/>
        <w:spacing w:line="360" w:lineRule="auto"/>
        <w:ind w:firstLine="560" w:firstLineChars="200"/>
        <w:rPr>
          <w:sz w:val="28"/>
          <w:szCs w:val="28"/>
        </w:rPr>
      </w:pPr>
      <w:r>
        <w:rPr>
          <w:rFonts w:hint="eastAsia"/>
          <w:sz w:val="28"/>
          <w:szCs w:val="28"/>
        </w:rPr>
        <w:t>9.1委托人责任</w:t>
      </w:r>
    </w:p>
    <w:p>
      <w:pPr>
        <w:snapToGrid w:val="0"/>
        <w:spacing w:line="360" w:lineRule="auto"/>
        <w:ind w:firstLine="560" w:firstLineChars="200"/>
        <w:rPr>
          <w:sz w:val="28"/>
          <w:szCs w:val="28"/>
        </w:rPr>
      </w:pPr>
      <w:r>
        <w:rPr>
          <w:rFonts w:hint="eastAsia"/>
          <w:sz w:val="28"/>
          <w:szCs w:val="28"/>
        </w:rPr>
        <w:t>9.1.1委托人按本合同第五条规定的内容，在规定的时间内向设计人提交基础资料及文件，并对其完整性、正确性及时限负责。委托人不得要求设计人违反国家有关标准进行设计。</w:t>
      </w:r>
    </w:p>
    <w:p>
      <w:pPr>
        <w:snapToGrid w:val="0"/>
        <w:spacing w:line="360" w:lineRule="auto"/>
        <w:ind w:firstLine="560" w:firstLineChars="200"/>
        <w:rPr>
          <w:sz w:val="28"/>
          <w:szCs w:val="28"/>
        </w:rPr>
      </w:pPr>
      <w:r>
        <w:rPr>
          <w:rFonts w:hint="eastAsia"/>
          <w:sz w:val="28"/>
          <w:szCs w:val="28"/>
        </w:rPr>
        <w:t>委托人提交上述资料及文件超过规定期限15天以内，设计人按本合同第六条规定交付设计文件时间顺延；委托人交付上述资料及文件超过规定期限15天以上时，设计人有权重新确定提交设计文件的时间。</w:t>
      </w:r>
    </w:p>
    <w:p>
      <w:pPr>
        <w:snapToGrid w:val="0"/>
        <w:spacing w:line="360" w:lineRule="auto"/>
        <w:ind w:firstLine="560" w:firstLineChars="200"/>
        <w:rPr>
          <w:sz w:val="28"/>
          <w:szCs w:val="28"/>
        </w:rPr>
      </w:pPr>
      <w:r>
        <w:rPr>
          <w:rFonts w:hint="eastAsia"/>
          <w:sz w:val="28"/>
          <w:szCs w:val="28"/>
        </w:rPr>
        <w:t>9.1.2委托人变更委托设计项目、规模、条件或因提交的资料错误，或所提交资料作较大修改，以致造成设计人设计返工时，双方除另行协商签订补充协议（或另订合同）、重新明确有关条款外，委托人应按设计人所耗工作量向设计人支付返工费。</w:t>
      </w:r>
    </w:p>
    <w:p>
      <w:pPr>
        <w:snapToGrid w:val="0"/>
        <w:spacing w:line="360" w:lineRule="auto"/>
        <w:ind w:firstLine="560" w:firstLineChars="200"/>
        <w:rPr>
          <w:sz w:val="28"/>
          <w:szCs w:val="28"/>
        </w:rPr>
      </w:pPr>
      <w:r>
        <w:rPr>
          <w:rFonts w:hint="eastAsia"/>
          <w:sz w:val="28"/>
          <w:szCs w:val="28"/>
        </w:rPr>
        <w:t>在未签订合同前委托人已同意，设计人为委托人所做的各项设计工作，委托人应支付相应设计费。</w:t>
      </w:r>
    </w:p>
    <w:p>
      <w:pPr>
        <w:snapToGrid w:val="0"/>
        <w:spacing w:line="360" w:lineRule="auto"/>
        <w:ind w:firstLine="560" w:firstLineChars="200"/>
        <w:rPr>
          <w:sz w:val="28"/>
          <w:szCs w:val="28"/>
        </w:rPr>
      </w:pPr>
      <w:r>
        <w:rPr>
          <w:rFonts w:hint="eastAsia"/>
          <w:sz w:val="28"/>
          <w:szCs w:val="28"/>
        </w:rPr>
        <w:t>9.1.3在合同履行期间，委托人要求终止或解除合同，设计人未开始设计工作的，不退还委托人已付的定金（本项目无定金）；已开始设计工作的，委托人应根据设计人已进行的实际工作量，不足一半时，按该阶段设计费的一半支付；超过一半时，按该阶段设计费的全部支付。</w:t>
      </w:r>
    </w:p>
    <w:p>
      <w:pPr>
        <w:snapToGrid w:val="0"/>
        <w:spacing w:line="360" w:lineRule="auto"/>
        <w:ind w:firstLine="560" w:firstLineChars="200"/>
        <w:rPr>
          <w:sz w:val="28"/>
          <w:szCs w:val="28"/>
        </w:rPr>
      </w:pPr>
      <w:r>
        <w:rPr>
          <w:rFonts w:hint="eastAsia"/>
          <w:sz w:val="28"/>
          <w:szCs w:val="28"/>
        </w:rPr>
        <w:t>9.1.4委托人应按本合同规定的金额和日期向设计人支付设计费，每逾期支付一天，应承担应支付金额千分之三的逾期违约金，且设计人提交设计文件的时间顺延。逾期超过30天以上时，设计人有权暂停履行下阶段工作，并书面通知委托人。委托人的上级或设计审批部门对设计文件不审批或本合同项目停缓建，委托人均应支付应付的设计费。</w:t>
      </w:r>
    </w:p>
    <w:p>
      <w:pPr>
        <w:snapToGrid w:val="0"/>
        <w:spacing w:line="360" w:lineRule="auto"/>
        <w:ind w:firstLine="560" w:firstLineChars="200"/>
        <w:rPr>
          <w:sz w:val="28"/>
          <w:szCs w:val="28"/>
        </w:rPr>
      </w:pPr>
      <w:r>
        <w:rPr>
          <w:rFonts w:hint="eastAsia"/>
          <w:sz w:val="28"/>
          <w:szCs w:val="28"/>
        </w:rPr>
        <w:t>9.1.5委托人要求设计人比合同规定时间提前交付设计文件时，须征得设计人同意，不得背离合理设计周期，且委托人应支付赶工费。</w:t>
      </w:r>
    </w:p>
    <w:p>
      <w:pPr>
        <w:snapToGrid w:val="0"/>
        <w:spacing w:line="360" w:lineRule="auto"/>
        <w:ind w:firstLine="560" w:firstLineChars="200"/>
        <w:rPr>
          <w:sz w:val="28"/>
          <w:szCs w:val="28"/>
        </w:rPr>
      </w:pPr>
      <w:r>
        <w:rPr>
          <w:rFonts w:hint="eastAsia"/>
          <w:sz w:val="28"/>
          <w:szCs w:val="28"/>
        </w:rPr>
        <w:t>9.1.6委托人应为设计人派驻现场的工作人员提供工作等方面的便利条件及必要的劳动保护装备。</w:t>
      </w:r>
    </w:p>
    <w:p>
      <w:pPr>
        <w:snapToGrid w:val="0"/>
        <w:spacing w:line="360" w:lineRule="auto"/>
        <w:ind w:firstLine="560" w:firstLineChars="200"/>
        <w:rPr>
          <w:sz w:val="28"/>
          <w:szCs w:val="28"/>
        </w:rPr>
      </w:pPr>
      <w:r>
        <w:rPr>
          <w:rFonts w:hint="eastAsia"/>
          <w:sz w:val="28"/>
          <w:szCs w:val="28"/>
        </w:rPr>
        <w:t>9.2设计人责任</w:t>
      </w:r>
    </w:p>
    <w:p>
      <w:pPr>
        <w:snapToGrid w:val="0"/>
        <w:spacing w:line="360" w:lineRule="auto"/>
        <w:ind w:firstLine="560" w:firstLineChars="200"/>
        <w:rPr>
          <w:sz w:val="28"/>
          <w:szCs w:val="28"/>
        </w:rPr>
      </w:pPr>
      <w:r>
        <w:rPr>
          <w:rFonts w:hint="eastAsia"/>
          <w:sz w:val="28"/>
          <w:szCs w:val="28"/>
        </w:rPr>
        <w:t>9.2.1设计人应按国家规定和合同约定的技术规范、标准进行设计，按本合同第六条规定的内容、时间及份数向委托人交付设计文件（出现9.1.1、9.1.2、9.1.4、9.1.5规定有关交付设计文件顺延的情况除外）。并对提交的设计文件的质量负责。</w:t>
      </w:r>
    </w:p>
    <w:p>
      <w:pPr>
        <w:snapToGrid w:val="0"/>
        <w:spacing w:line="360" w:lineRule="auto"/>
        <w:ind w:firstLine="560" w:firstLineChars="200"/>
        <w:rPr>
          <w:sz w:val="28"/>
          <w:szCs w:val="28"/>
        </w:rPr>
      </w:pPr>
      <w:r>
        <w:rPr>
          <w:rFonts w:hint="eastAsia"/>
          <w:sz w:val="28"/>
          <w:szCs w:val="28"/>
        </w:rPr>
        <w:t>9.2.2设计</w:t>
      </w:r>
      <w:r>
        <w:rPr>
          <w:sz w:val="28"/>
          <w:szCs w:val="28"/>
        </w:rPr>
        <w:t>文件质保期：</w:t>
      </w:r>
      <w:r>
        <w:rPr>
          <w:rFonts w:hint="eastAsia"/>
          <w:sz w:val="28"/>
          <w:szCs w:val="28"/>
          <w:u w:val="single"/>
        </w:rPr>
        <w:t>至建设项目全部安装调试完毕。</w:t>
      </w:r>
    </w:p>
    <w:p>
      <w:pPr>
        <w:snapToGrid w:val="0"/>
        <w:spacing w:line="360" w:lineRule="auto"/>
        <w:ind w:firstLine="560" w:firstLineChars="200"/>
        <w:rPr>
          <w:sz w:val="28"/>
          <w:szCs w:val="28"/>
        </w:rPr>
      </w:pPr>
      <w:r>
        <w:rPr>
          <w:rFonts w:hint="eastAsia"/>
          <w:sz w:val="28"/>
          <w:szCs w:val="28"/>
        </w:rPr>
        <w:t>9.2.3负责对外商的设计资料进行审查，负责该合同项日的设计联络工作。</w:t>
      </w:r>
    </w:p>
    <w:p>
      <w:pPr>
        <w:pStyle w:val="16"/>
        <w:adjustRightInd w:val="0"/>
        <w:snapToGrid w:val="0"/>
        <w:spacing w:line="360" w:lineRule="auto"/>
        <w:ind w:firstLine="567"/>
        <w:jc w:val="left"/>
        <w:rPr>
          <w:rFonts w:ascii="Times New Roman" w:hAnsi="Times New Roman"/>
          <w:spacing w:val="40"/>
          <w:sz w:val="28"/>
        </w:rPr>
      </w:pPr>
      <w:r>
        <w:rPr>
          <w:rFonts w:hint="eastAsia" w:ascii="Times New Roman" w:hAnsi="Times New Roman"/>
          <w:sz w:val="28"/>
          <w:szCs w:val="28"/>
        </w:rPr>
        <w:t>9.2.4设计人对设计文件出现的遗漏或错误负责修改或补充。由于设计人设计错误造成工程质量事故损失，设计人除负责采取补救措施外，应免收受损失部分的设计费，并根据损失程度向委托人支付赔偿金，赔偿金数额由双方商定为实际损失的</w:t>
      </w:r>
      <w:r>
        <w:rPr>
          <w:rFonts w:hint="eastAsia" w:ascii="Times New Roman" w:hAnsi="Times New Roman"/>
          <w:sz w:val="28"/>
          <w:szCs w:val="28"/>
          <w:u w:val="single"/>
        </w:rPr>
        <w:t xml:space="preserve"> 5 </w:t>
      </w:r>
      <w:r>
        <w:rPr>
          <w:rFonts w:hint="eastAsia" w:ascii="Times New Roman" w:hAnsi="Times New Roman"/>
          <w:sz w:val="28"/>
          <w:szCs w:val="28"/>
        </w:rPr>
        <w:t>％</w:t>
      </w:r>
      <w:r>
        <w:rPr>
          <w:rFonts w:hint="eastAsia" w:ascii="Times New Roman" w:hAnsi="Times New Roman"/>
          <w:spacing w:val="40"/>
          <w:sz w:val="28"/>
        </w:rPr>
        <w:t>。</w:t>
      </w:r>
    </w:p>
    <w:p>
      <w:pPr>
        <w:snapToGrid w:val="0"/>
        <w:spacing w:line="360" w:lineRule="auto"/>
        <w:ind w:firstLine="560" w:firstLineChars="200"/>
        <w:rPr>
          <w:sz w:val="28"/>
          <w:szCs w:val="28"/>
        </w:rPr>
      </w:pPr>
      <w:r>
        <w:rPr>
          <w:rFonts w:hint="eastAsia"/>
          <w:sz w:val="28"/>
          <w:szCs w:val="28"/>
        </w:rPr>
        <w:t>9.2.5由于设计人原因，延误了设计文件交付时间，每延误一天，应减收该项目应收设计费的千分之三。</w:t>
      </w:r>
    </w:p>
    <w:p>
      <w:pPr>
        <w:snapToGrid w:val="0"/>
        <w:spacing w:line="360" w:lineRule="auto"/>
        <w:ind w:firstLine="560" w:firstLineChars="200"/>
        <w:rPr>
          <w:sz w:val="28"/>
          <w:szCs w:val="28"/>
        </w:rPr>
      </w:pPr>
      <w:r>
        <w:rPr>
          <w:rFonts w:hint="eastAsia"/>
          <w:sz w:val="28"/>
          <w:szCs w:val="28"/>
        </w:rPr>
        <w:t>9.2.6合同生效后，设计人中途要求终止或解除合同，设计人应双倍返还委托人已支付的合同价款。</w:t>
      </w:r>
    </w:p>
    <w:p>
      <w:pPr>
        <w:snapToGrid w:val="0"/>
        <w:spacing w:line="360" w:lineRule="auto"/>
        <w:ind w:firstLine="560" w:firstLineChars="200"/>
        <w:rPr>
          <w:sz w:val="28"/>
          <w:szCs w:val="28"/>
        </w:rPr>
      </w:pPr>
      <w:r>
        <w:rPr>
          <w:rFonts w:hint="eastAsia"/>
          <w:sz w:val="28"/>
          <w:szCs w:val="28"/>
        </w:rPr>
        <w:t>9.2.7设计人交付设计文件后，按规定参加有关上级的设计审查，并根据审查结论负责不超出原定范围的内容做必要调整补充。设计人按合同规定时限交付设计文件一年内项目开始施工，负责向委托人及施工单位进行设计交底、处理有关设计问题和参加竣工验收。在一年内项目尚未开始施工，设计人仍负责上述工作，可按所需工作量向委托人适当收取咨询服务费，收费额由双方商定。</w:t>
      </w:r>
    </w:p>
    <w:p>
      <w:pPr>
        <w:pStyle w:val="16"/>
        <w:adjustRightInd w:val="0"/>
        <w:snapToGrid w:val="0"/>
        <w:spacing w:line="360" w:lineRule="auto"/>
        <w:ind w:firstLine="567"/>
        <w:jc w:val="left"/>
        <w:outlineLvl w:val="0"/>
        <w:rPr>
          <w:rFonts w:ascii="Times New Roman" w:hAnsi="Times New Roman"/>
          <w:spacing w:val="40"/>
          <w:sz w:val="28"/>
        </w:rPr>
      </w:pPr>
      <w:r>
        <w:rPr>
          <w:rFonts w:hint="eastAsia" w:ascii="Times New Roman" w:hAnsi="Times New Roman"/>
          <w:b/>
          <w:spacing w:val="40"/>
          <w:sz w:val="28"/>
        </w:rPr>
        <w:t>第十一条</w:t>
      </w:r>
      <w:r>
        <w:rPr>
          <w:rFonts w:hint="eastAsia" w:ascii="Times New Roman" w:hAnsi="Times New Roman"/>
          <w:spacing w:val="40"/>
          <w:sz w:val="28"/>
        </w:rPr>
        <w:t>　</w:t>
      </w:r>
      <w:r>
        <w:rPr>
          <w:rFonts w:hint="eastAsia" w:ascii="Times New Roman" w:hAnsi="Times New Roman"/>
          <w:sz w:val="28"/>
          <w:szCs w:val="28"/>
        </w:rPr>
        <w:t>保密</w:t>
      </w:r>
    </w:p>
    <w:p>
      <w:pPr>
        <w:snapToGrid w:val="0"/>
        <w:spacing w:line="360" w:lineRule="auto"/>
        <w:ind w:firstLine="560" w:firstLineChars="200"/>
        <w:rPr>
          <w:sz w:val="28"/>
          <w:szCs w:val="28"/>
        </w:rPr>
      </w:pPr>
      <w:r>
        <w:rPr>
          <w:rFonts w:hint="eastAsia"/>
          <w:sz w:val="28"/>
          <w:szCs w:val="28"/>
        </w:rPr>
        <w:t>双方均应保护对方的知识产权，未经对方同意，任何一方均不得对对方的资料及文件擅自修改、复制或向第四人转让或用于本合同项目外的项目。如发生以上情况，泄密方承担一切由此引起的后果并承担赔偿责任。</w:t>
      </w:r>
    </w:p>
    <w:p>
      <w:pPr>
        <w:pStyle w:val="16"/>
        <w:adjustRightInd w:val="0"/>
        <w:snapToGrid w:val="0"/>
        <w:spacing w:line="360" w:lineRule="auto"/>
        <w:ind w:firstLine="567"/>
        <w:jc w:val="left"/>
        <w:outlineLvl w:val="0"/>
        <w:rPr>
          <w:rFonts w:ascii="Times New Roman" w:hAnsi="Times New Roman"/>
          <w:spacing w:val="40"/>
          <w:sz w:val="28"/>
        </w:rPr>
      </w:pPr>
      <w:r>
        <w:rPr>
          <w:rFonts w:hint="eastAsia" w:ascii="Times New Roman" w:hAnsi="Times New Roman"/>
          <w:b/>
          <w:spacing w:val="40"/>
          <w:sz w:val="28"/>
        </w:rPr>
        <w:t>第十二条</w:t>
      </w:r>
      <w:r>
        <w:rPr>
          <w:rFonts w:hint="eastAsia" w:ascii="Times New Roman" w:hAnsi="Times New Roman"/>
          <w:spacing w:val="40"/>
          <w:sz w:val="28"/>
        </w:rPr>
        <w:t>　</w:t>
      </w:r>
      <w:r>
        <w:rPr>
          <w:rFonts w:hint="eastAsia" w:ascii="Times New Roman" w:hAnsi="Times New Roman"/>
          <w:sz w:val="28"/>
          <w:szCs w:val="28"/>
        </w:rPr>
        <w:t>仲裁</w:t>
      </w:r>
    </w:p>
    <w:p>
      <w:pPr>
        <w:snapToGrid w:val="0"/>
        <w:spacing w:line="360" w:lineRule="auto"/>
        <w:ind w:firstLine="560" w:firstLineChars="200"/>
        <w:rPr>
          <w:sz w:val="28"/>
          <w:szCs w:val="28"/>
        </w:rPr>
      </w:pPr>
      <w:r>
        <w:rPr>
          <w:rFonts w:hint="eastAsia"/>
          <w:sz w:val="28"/>
          <w:szCs w:val="28"/>
        </w:rPr>
        <w:t>本建设工程设计合同发生争议，委托人与设计人应及时协商解决。也可由当地建设行政主管部门调解，调解不成时，双方当事人同意由</w:t>
      </w:r>
      <w:r>
        <w:rPr>
          <w:rFonts w:hint="eastAsia"/>
          <w:b/>
          <w:sz w:val="28"/>
          <w:szCs w:val="28"/>
          <w:u w:val="single"/>
        </w:rPr>
        <w:t>贵阳</w:t>
      </w:r>
      <w:r>
        <w:rPr>
          <w:rFonts w:hint="eastAsia"/>
          <w:sz w:val="28"/>
          <w:szCs w:val="28"/>
        </w:rPr>
        <w:t>仲裁委员会仲裁。双方当事人未在合同中约定仲裁机构，当事人又未达成仲裁书面协议的，可向人民法院起诉。</w:t>
      </w:r>
    </w:p>
    <w:p>
      <w:pPr>
        <w:pStyle w:val="16"/>
        <w:adjustRightInd w:val="0"/>
        <w:snapToGrid w:val="0"/>
        <w:spacing w:line="360" w:lineRule="auto"/>
        <w:ind w:firstLine="567"/>
        <w:jc w:val="left"/>
        <w:outlineLvl w:val="0"/>
        <w:rPr>
          <w:rFonts w:ascii="Times New Roman" w:hAnsi="Times New Roman"/>
          <w:spacing w:val="40"/>
          <w:sz w:val="28"/>
        </w:rPr>
      </w:pPr>
      <w:r>
        <w:rPr>
          <w:rFonts w:hint="eastAsia" w:ascii="Times New Roman" w:hAnsi="Times New Roman"/>
          <w:b/>
          <w:spacing w:val="40"/>
          <w:sz w:val="28"/>
        </w:rPr>
        <w:t>第十三条</w:t>
      </w:r>
      <w:r>
        <w:rPr>
          <w:rFonts w:hint="eastAsia" w:ascii="Times New Roman" w:hAnsi="Times New Roman"/>
          <w:spacing w:val="40"/>
          <w:sz w:val="28"/>
        </w:rPr>
        <w:t>　</w:t>
      </w:r>
      <w:r>
        <w:rPr>
          <w:rFonts w:hint="eastAsia" w:ascii="Times New Roman" w:hAnsi="Times New Roman"/>
          <w:sz w:val="28"/>
          <w:szCs w:val="28"/>
        </w:rPr>
        <w:t>合同生效及其他</w:t>
      </w:r>
    </w:p>
    <w:p>
      <w:pPr>
        <w:snapToGrid w:val="0"/>
        <w:spacing w:line="360" w:lineRule="auto"/>
        <w:ind w:firstLine="560" w:firstLineChars="200"/>
        <w:rPr>
          <w:sz w:val="28"/>
          <w:szCs w:val="28"/>
        </w:rPr>
      </w:pPr>
      <w:r>
        <w:rPr>
          <w:rFonts w:hint="eastAsia"/>
          <w:sz w:val="28"/>
          <w:szCs w:val="28"/>
        </w:rPr>
        <w:t>12.1委托人要求设计人派专人长期驻施工现场进行配合与解决有关问题时，双方应另行签订技术咨询服务合同。</w:t>
      </w:r>
    </w:p>
    <w:p>
      <w:pPr>
        <w:snapToGrid w:val="0"/>
        <w:spacing w:line="360" w:lineRule="auto"/>
        <w:ind w:firstLine="560" w:firstLineChars="200"/>
        <w:rPr>
          <w:sz w:val="28"/>
          <w:szCs w:val="28"/>
        </w:rPr>
      </w:pPr>
      <w:r>
        <w:rPr>
          <w:rFonts w:hint="eastAsia"/>
          <w:sz w:val="28"/>
          <w:szCs w:val="28"/>
        </w:rPr>
        <w:t>12.2设计人为本合同项目的服务至施工安装结束为止。</w:t>
      </w:r>
    </w:p>
    <w:p>
      <w:pPr>
        <w:snapToGrid w:val="0"/>
        <w:spacing w:line="360" w:lineRule="auto"/>
        <w:ind w:firstLine="560" w:firstLineChars="200"/>
        <w:rPr>
          <w:sz w:val="28"/>
          <w:szCs w:val="28"/>
        </w:rPr>
      </w:pPr>
      <w:r>
        <w:rPr>
          <w:rFonts w:hint="eastAsia"/>
          <w:sz w:val="28"/>
          <w:szCs w:val="28"/>
        </w:rPr>
        <w:t>12.3本工程项目中，设计人不得指定建筑材料、设备的生产厂或供货商。委托人需要设计人配合建筑材料、设备的加工订货时，所需费用由委托人承担。</w:t>
      </w:r>
    </w:p>
    <w:p>
      <w:pPr>
        <w:snapToGrid w:val="0"/>
        <w:spacing w:line="360" w:lineRule="auto"/>
        <w:ind w:firstLine="560" w:firstLineChars="200"/>
        <w:rPr>
          <w:sz w:val="28"/>
          <w:szCs w:val="28"/>
        </w:rPr>
      </w:pPr>
      <w:r>
        <w:rPr>
          <w:rFonts w:hint="eastAsia"/>
          <w:sz w:val="28"/>
          <w:szCs w:val="28"/>
        </w:rPr>
        <w:t>12.4委托人委托设计人配合引进项目的设计任务，从询价、对外谈判、国内外技术考察直至建成投产的各个阶段，应吸收承担有关设计任务的设计人员参加，除制装费外，其他费用由委托人支付。</w:t>
      </w:r>
    </w:p>
    <w:p>
      <w:pPr>
        <w:snapToGrid w:val="0"/>
        <w:spacing w:line="360" w:lineRule="auto"/>
        <w:ind w:firstLine="560" w:firstLineChars="200"/>
        <w:rPr>
          <w:sz w:val="28"/>
          <w:szCs w:val="28"/>
        </w:rPr>
      </w:pPr>
      <w:r>
        <w:rPr>
          <w:rFonts w:hint="eastAsia"/>
          <w:sz w:val="28"/>
          <w:szCs w:val="28"/>
        </w:rPr>
        <w:t>12.5委托人委托设计人承担本合同内容以外的工作服务，另行签订协议并支付费用。</w:t>
      </w:r>
    </w:p>
    <w:p>
      <w:pPr>
        <w:snapToGrid w:val="0"/>
        <w:spacing w:line="360" w:lineRule="auto"/>
        <w:ind w:firstLine="560" w:firstLineChars="200"/>
        <w:rPr>
          <w:sz w:val="28"/>
          <w:szCs w:val="28"/>
        </w:rPr>
      </w:pPr>
      <w:r>
        <w:rPr>
          <w:rFonts w:hint="eastAsia"/>
          <w:sz w:val="28"/>
          <w:szCs w:val="28"/>
        </w:rPr>
        <w:t>12.6由于不可抗力因素使合同无法履行，双方应及时协商解决。</w:t>
      </w:r>
    </w:p>
    <w:p>
      <w:pPr>
        <w:snapToGrid w:val="0"/>
        <w:spacing w:line="360" w:lineRule="auto"/>
        <w:ind w:firstLine="560" w:firstLineChars="200"/>
        <w:rPr>
          <w:sz w:val="28"/>
          <w:szCs w:val="28"/>
        </w:rPr>
      </w:pPr>
      <w:r>
        <w:rPr>
          <w:rFonts w:hint="eastAsia"/>
          <w:sz w:val="28"/>
          <w:szCs w:val="28"/>
        </w:rPr>
        <w:t>12.7本合同双方签字盖章即生效，一式</w:t>
      </w:r>
      <w:r>
        <w:rPr>
          <w:b/>
          <w:sz w:val="28"/>
          <w:szCs w:val="28"/>
          <w:u w:val="single"/>
        </w:rPr>
        <w:t>8</w:t>
      </w:r>
      <w:r>
        <w:rPr>
          <w:rFonts w:hint="eastAsia"/>
          <w:sz w:val="28"/>
          <w:szCs w:val="28"/>
        </w:rPr>
        <w:t>份，委托人</w:t>
      </w:r>
      <w:r>
        <w:rPr>
          <w:b/>
          <w:sz w:val="28"/>
          <w:szCs w:val="28"/>
          <w:u w:val="single"/>
        </w:rPr>
        <w:t>4</w:t>
      </w:r>
      <w:r>
        <w:rPr>
          <w:rFonts w:hint="eastAsia"/>
          <w:sz w:val="28"/>
          <w:szCs w:val="28"/>
        </w:rPr>
        <w:t>份，设计人</w:t>
      </w:r>
      <w:r>
        <w:rPr>
          <w:b/>
          <w:sz w:val="28"/>
          <w:szCs w:val="28"/>
          <w:u w:val="single"/>
        </w:rPr>
        <w:t>4</w:t>
      </w:r>
      <w:r>
        <w:rPr>
          <w:rFonts w:hint="eastAsia"/>
          <w:sz w:val="28"/>
          <w:szCs w:val="28"/>
        </w:rPr>
        <w:t>份。</w:t>
      </w:r>
    </w:p>
    <w:p>
      <w:pPr>
        <w:snapToGrid w:val="0"/>
        <w:spacing w:line="360" w:lineRule="auto"/>
        <w:ind w:firstLine="560" w:firstLineChars="200"/>
        <w:rPr>
          <w:sz w:val="28"/>
          <w:szCs w:val="28"/>
        </w:rPr>
      </w:pPr>
      <w:r>
        <w:rPr>
          <w:rFonts w:hint="eastAsia"/>
          <w:sz w:val="28"/>
          <w:szCs w:val="28"/>
        </w:rPr>
        <w:t>12.8双方履行完合同规定的义务后，本合同即行终止。</w:t>
      </w:r>
    </w:p>
    <w:p>
      <w:pPr>
        <w:snapToGrid w:val="0"/>
        <w:spacing w:line="360" w:lineRule="auto"/>
        <w:ind w:firstLine="560" w:firstLineChars="200"/>
        <w:rPr>
          <w:sz w:val="28"/>
          <w:szCs w:val="28"/>
        </w:rPr>
      </w:pPr>
      <w:r>
        <w:rPr>
          <w:rFonts w:hint="eastAsia"/>
          <w:sz w:val="28"/>
          <w:szCs w:val="28"/>
        </w:rPr>
        <w:t>12.9双方认可的来往传真、电报、会议纪要等，均为合同的组成部分，与本合同具有同等法律效力。</w:t>
      </w:r>
    </w:p>
    <w:p>
      <w:pPr>
        <w:snapToGrid w:val="0"/>
        <w:spacing w:line="360" w:lineRule="auto"/>
        <w:ind w:firstLine="560" w:firstLineChars="200"/>
        <w:rPr>
          <w:sz w:val="28"/>
          <w:szCs w:val="28"/>
        </w:rPr>
      </w:pPr>
      <w:r>
        <w:rPr>
          <w:rFonts w:hint="eastAsia"/>
          <w:sz w:val="28"/>
          <w:szCs w:val="28"/>
        </w:rPr>
        <w:t>12.10未尽事宜，经双方协商一致，签订补充协议，补充协议与本合同具有同等效力。</w:t>
      </w:r>
    </w:p>
    <w:p>
      <w:pPr>
        <w:snapToGrid w:val="0"/>
        <w:spacing w:line="360" w:lineRule="auto"/>
        <w:ind w:firstLine="560" w:firstLineChars="200"/>
        <w:rPr>
          <w:sz w:val="28"/>
          <w:szCs w:val="28"/>
        </w:rPr>
      </w:pPr>
    </w:p>
    <w:tbl>
      <w:tblPr>
        <w:tblStyle w:val="29"/>
        <w:tblW w:w="9252" w:type="dxa"/>
        <w:jc w:val="center"/>
        <w:tblInd w:w="0" w:type="dxa"/>
        <w:tblLayout w:type="fixed"/>
        <w:tblCellMar>
          <w:top w:w="0" w:type="dxa"/>
          <w:left w:w="108" w:type="dxa"/>
          <w:bottom w:w="0" w:type="dxa"/>
          <w:right w:w="108" w:type="dxa"/>
        </w:tblCellMar>
      </w:tblPr>
      <w:tblGrid>
        <w:gridCol w:w="2221"/>
        <w:gridCol w:w="1980"/>
        <w:gridCol w:w="652"/>
        <w:gridCol w:w="2226"/>
        <w:gridCol w:w="2173"/>
      </w:tblGrid>
      <w:tr>
        <w:tblPrEx>
          <w:tblLayout w:type="fixed"/>
          <w:tblCellMar>
            <w:top w:w="0" w:type="dxa"/>
            <w:left w:w="108" w:type="dxa"/>
            <w:bottom w:w="0" w:type="dxa"/>
            <w:right w:w="108" w:type="dxa"/>
          </w:tblCellMar>
        </w:tblPrEx>
        <w:trPr>
          <w:jc w:val="center"/>
        </w:trPr>
        <w:tc>
          <w:tcPr>
            <w:tcW w:w="2221" w:type="dxa"/>
          </w:tcPr>
          <w:p>
            <w:pPr>
              <w:pStyle w:val="16"/>
              <w:pageBreakBefore/>
              <w:adjustRightInd w:val="0"/>
              <w:snapToGrid w:val="0"/>
              <w:spacing w:beforeLines="50" w:afterLines="50"/>
              <w:jc w:val="left"/>
              <w:rPr>
                <w:rFonts w:ascii="Times New Roman" w:hAnsi="Times New Roman"/>
                <w:spacing w:val="40"/>
                <w:sz w:val="28"/>
              </w:rPr>
            </w:pPr>
            <w:r>
              <w:rPr>
                <w:rFonts w:ascii="Times New Roman" w:hAnsi="Times New Roman"/>
                <w:spacing w:val="40"/>
                <w:sz w:val="28"/>
              </w:rPr>
              <w:br w:type="page"/>
            </w:r>
            <w:r>
              <w:rPr>
                <w:rFonts w:hint="eastAsia" w:ascii="Times New Roman" w:hAnsi="Times New Roman"/>
                <w:spacing w:val="40"/>
                <w:sz w:val="28"/>
              </w:rPr>
              <w:t>委托人名称</w:t>
            </w:r>
            <w:r>
              <w:rPr>
                <w:rFonts w:hint="eastAsia" w:ascii="Times New Roman" w:hAnsi="Times New Roman"/>
                <w:sz w:val="28"/>
                <w:szCs w:val="28"/>
              </w:rPr>
              <w:t>：</w:t>
            </w:r>
          </w:p>
        </w:tc>
        <w:tc>
          <w:tcPr>
            <w:tcW w:w="1980" w:type="dxa"/>
          </w:tcPr>
          <w:p>
            <w:pPr>
              <w:pStyle w:val="16"/>
              <w:adjustRightInd w:val="0"/>
              <w:snapToGrid w:val="0"/>
              <w:spacing w:beforeLines="50" w:afterLines="50"/>
              <w:jc w:val="left"/>
              <w:rPr>
                <w:rFonts w:ascii="Times New Roman" w:hAnsi="Times New Roman"/>
                <w:b/>
                <w:spacing w:val="40"/>
                <w:sz w:val="28"/>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ascii="Times New Roman" w:hAnsi="Times New Roman"/>
                <w:spacing w:val="40"/>
                <w:sz w:val="28"/>
              </w:rPr>
              <w:br w:type="page"/>
            </w:r>
            <w:r>
              <w:rPr>
                <w:rFonts w:hint="eastAsia" w:ascii="Times New Roman" w:hAnsi="Times New Roman"/>
                <w:spacing w:val="40"/>
                <w:sz w:val="28"/>
              </w:rPr>
              <w:t>设计人名称：</w:t>
            </w:r>
          </w:p>
        </w:tc>
        <w:tc>
          <w:tcPr>
            <w:tcW w:w="2173" w:type="dxa"/>
          </w:tcPr>
          <w:p>
            <w:pPr>
              <w:pStyle w:val="16"/>
              <w:adjustRightInd w:val="0"/>
              <w:snapToGrid w:val="0"/>
              <w:spacing w:beforeLines="50" w:afterLines="50"/>
              <w:jc w:val="left"/>
              <w:rPr>
                <w:rFonts w:ascii="Times New Roman" w:hAnsi="Times New Roman"/>
                <w:spacing w:val="40"/>
                <w:sz w:val="28"/>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（盖章）</w:t>
            </w:r>
          </w:p>
        </w:tc>
        <w:tc>
          <w:tcPr>
            <w:tcW w:w="1980" w:type="dxa"/>
          </w:tcPr>
          <w:p>
            <w:pPr>
              <w:pStyle w:val="16"/>
              <w:adjustRightInd w:val="0"/>
              <w:snapToGrid w:val="0"/>
              <w:spacing w:beforeLines="50" w:afterLines="50"/>
              <w:jc w:val="left"/>
              <w:rPr>
                <w:rFonts w:ascii="Times New Roman" w:hAnsi="Times New Roman"/>
                <w:spacing w:val="40"/>
                <w:sz w:val="28"/>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（盖章）</w:t>
            </w:r>
          </w:p>
        </w:tc>
        <w:tc>
          <w:tcPr>
            <w:tcW w:w="2173" w:type="dxa"/>
          </w:tcPr>
          <w:p>
            <w:pPr>
              <w:pStyle w:val="16"/>
              <w:adjustRightInd w:val="0"/>
              <w:snapToGrid w:val="0"/>
              <w:spacing w:beforeLines="50" w:afterLines="50"/>
              <w:jc w:val="left"/>
              <w:rPr>
                <w:rFonts w:ascii="Times New Roman" w:hAnsi="Times New Roman"/>
                <w:spacing w:val="40"/>
                <w:sz w:val="28"/>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法定代表人：</w:t>
            </w:r>
          </w:p>
        </w:tc>
        <w:tc>
          <w:tcPr>
            <w:tcW w:w="1980" w:type="dxa"/>
          </w:tcPr>
          <w:p>
            <w:pPr>
              <w:pStyle w:val="16"/>
              <w:adjustRightInd w:val="0"/>
              <w:snapToGrid w:val="0"/>
              <w:spacing w:beforeLines="50" w:afterLines="50"/>
              <w:jc w:val="left"/>
              <w:rPr>
                <w:rFonts w:ascii="Times New Roman" w:hAnsi="Times New Roman"/>
                <w:spacing w:val="40"/>
                <w:sz w:val="28"/>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法定代表人：</w:t>
            </w:r>
          </w:p>
        </w:tc>
        <w:tc>
          <w:tcPr>
            <w:tcW w:w="2173" w:type="dxa"/>
          </w:tcPr>
          <w:p>
            <w:pPr>
              <w:pStyle w:val="16"/>
              <w:adjustRightInd w:val="0"/>
              <w:snapToGrid w:val="0"/>
              <w:spacing w:beforeLines="50" w:afterLines="50"/>
              <w:jc w:val="left"/>
              <w:rPr>
                <w:rFonts w:ascii="Times New Roman" w:hAnsi="Times New Roman"/>
                <w:spacing w:val="40"/>
                <w:sz w:val="28"/>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委托代理人：</w:t>
            </w:r>
          </w:p>
        </w:tc>
        <w:tc>
          <w:tcPr>
            <w:tcW w:w="1980" w:type="dxa"/>
          </w:tcPr>
          <w:p>
            <w:pPr>
              <w:pStyle w:val="16"/>
              <w:adjustRightInd w:val="0"/>
              <w:snapToGrid w:val="0"/>
              <w:spacing w:beforeLines="50" w:afterLines="50"/>
              <w:jc w:val="left"/>
              <w:rPr>
                <w:rFonts w:ascii="Times New Roman" w:hAnsi="Times New Roman"/>
                <w:spacing w:val="40"/>
                <w:sz w:val="28"/>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委托代理人：</w:t>
            </w:r>
          </w:p>
        </w:tc>
        <w:tc>
          <w:tcPr>
            <w:tcW w:w="2173" w:type="dxa"/>
          </w:tcPr>
          <w:p>
            <w:pPr>
              <w:pStyle w:val="16"/>
              <w:adjustRightInd w:val="0"/>
              <w:snapToGrid w:val="0"/>
              <w:spacing w:beforeLines="50" w:afterLines="50"/>
              <w:jc w:val="left"/>
              <w:rPr>
                <w:rFonts w:ascii="Times New Roman" w:hAnsi="Times New Roman"/>
                <w:spacing w:val="40"/>
                <w:sz w:val="28"/>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项目经理：</w:t>
            </w:r>
          </w:p>
        </w:tc>
        <w:tc>
          <w:tcPr>
            <w:tcW w:w="1980" w:type="dxa"/>
          </w:tcPr>
          <w:p>
            <w:pPr>
              <w:pStyle w:val="16"/>
              <w:adjustRightInd w:val="0"/>
              <w:snapToGrid w:val="0"/>
              <w:spacing w:beforeLines="50" w:afterLines="50"/>
              <w:jc w:val="left"/>
              <w:rPr>
                <w:rFonts w:ascii="Times New Roman" w:hAnsi="Times New Roman"/>
                <w:spacing w:val="40"/>
                <w:sz w:val="28"/>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项目经理：</w:t>
            </w:r>
          </w:p>
        </w:tc>
        <w:tc>
          <w:tcPr>
            <w:tcW w:w="2173" w:type="dxa"/>
          </w:tcPr>
          <w:p>
            <w:pPr>
              <w:pStyle w:val="16"/>
              <w:adjustRightInd w:val="0"/>
              <w:snapToGrid w:val="0"/>
              <w:spacing w:beforeLines="50" w:afterLines="50"/>
              <w:jc w:val="left"/>
              <w:rPr>
                <w:rFonts w:ascii="Times New Roman" w:hAnsi="Times New Roman"/>
                <w:spacing w:val="40"/>
                <w:sz w:val="28"/>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住　所：</w:t>
            </w:r>
          </w:p>
        </w:tc>
        <w:tc>
          <w:tcPr>
            <w:tcW w:w="1980" w:type="dxa"/>
          </w:tcPr>
          <w:p>
            <w:pPr>
              <w:pStyle w:val="16"/>
              <w:adjustRightInd w:val="0"/>
              <w:snapToGrid w:val="0"/>
              <w:spacing w:beforeLines="50" w:afterLines="50"/>
              <w:jc w:val="left"/>
              <w:rPr>
                <w:rFonts w:ascii="Times New Roman" w:hAnsi="Times New Roman"/>
                <w:b/>
                <w:sz w:val="24"/>
                <w:szCs w:val="24"/>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住　所：</w:t>
            </w:r>
          </w:p>
        </w:tc>
        <w:tc>
          <w:tcPr>
            <w:tcW w:w="2173" w:type="dxa"/>
          </w:tcPr>
          <w:p>
            <w:pPr>
              <w:pStyle w:val="16"/>
              <w:adjustRightInd w:val="0"/>
              <w:snapToGrid w:val="0"/>
              <w:spacing w:beforeLines="50" w:afterLines="50"/>
              <w:jc w:val="left"/>
              <w:rPr>
                <w:rFonts w:ascii="Times New Roman" w:hAnsi="Times New Roman"/>
                <w:spacing w:val="40"/>
                <w:sz w:val="28"/>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邮政编码：</w:t>
            </w:r>
          </w:p>
        </w:tc>
        <w:tc>
          <w:tcPr>
            <w:tcW w:w="1980" w:type="dxa"/>
          </w:tcPr>
          <w:p>
            <w:pPr>
              <w:pStyle w:val="16"/>
              <w:adjustRightInd w:val="0"/>
              <w:snapToGrid w:val="0"/>
              <w:spacing w:beforeLines="50" w:afterLines="50"/>
              <w:jc w:val="left"/>
              <w:rPr>
                <w:rFonts w:ascii="Times New Roman" w:hAnsi="Times New Roman"/>
                <w:b/>
                <w:sz w:val="28"/>
                <w:szCs w:val="24"/>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邮政编码：</w:t>
            </w:r>
          </w:p>
        </w:tc>
        <w:tc>
          <w:tcPr>
            <w:tcW w:w="2173" w:type="dxa"/>
          </w:tcPr>
          <w:p>
            <w:pPr>
              <w:pStyle w:val="16"/>
              <w:adjustRightInd w:val="0"/>
              <w:snapToGrid w:val="0"/>
              <w:spacing w:beforeLines="50" w:afterLines="50"/>
              <w:jc w:val="left"/>
              <w:rPr>
                <w:rFonts w:ascii="Times New Roman" w:hAnsi="Times New Roman"/>
                <w:b/>
                <w:sz w:val="28"/>
                <w:szCs w:val="24"/>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电　　话：</w:t>
            </w:r>
          </w:p>
        </w:tc>
        <w:tc>
          <w:tcPr>
            <w:tcW w:w="1980" w:type="dxa"/>
          </w:tcPr>
          <w:p>
            <w:pPr>
              <w:pStyle w:val="16"/>
              <w:adjustRightInd w:val="0"/>
              <w:snapToGrid w:val="0"/>
              <w:spacing w:beforeLines="50" w:afterLines="50"/>
              <w:jc w:val="left"/>
              <w:rPr>
                <w:rFonts w:ascii="Times New Roman" w:hAnsi="Times New Roman"/>
                <w:b/>
                <w:sz w:val="28"/>
                <w:szCs w:val="24"/>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电　　话：</w:t>
            </w:r>
          </w:p>
        </w:tc>
        <w:tc>
          <w:tcPr>
            <w:tcW w:w="2173" w:type="dxa"/>
          </w:tcPr>
          <w:p>
            <w:pPr>
              <w:pStyle w:val="16"/>
              <w:adjustRightInd w:val="0"/>
              <w:snapToGrid w:val="0"/>
              <w:spacing w:beforeLines="50" w:afterLines="50"/>
              <w:jc w:val="left"/>
              <w:rPr>
                <w:rFonts w:ascii="Times New Roman" w:hAnsi="Times New Roman"/>
                <w:spacing w:val="40"/>
                <w:sz w:val="28"/>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传　　真：</w:t>
            </w:r>
          </w:p>
        </w:tc>
        <w:tc>
          <w:tcPr>
            <w:tcW w:w="1980" w:type="dxa"/>
          </w:tcPr>
          <w:p>
            <w:pPr>
              <w:pStyle w:val="16"/>
              <w:adjustRightInd w:val="0"/>
              <w:snapToGrid w:val="0"/>
              <w:spacing w:beforeLines="50" w:afterLines="50"/>
              <w:jc w:val="left"/>
              <w:rPr>
                <w:rFonts w:ascii="Times New Roman" w:hAnsi="Times New Roman"/>
                <w:b/>
                <w:sz w:val="28"/>
                <w:szCs w:val="28"/>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传　　真：</w:t>
            </w:r>
          </w:p>
        </w:tc>
        <w:tc>
          <w:tcPr>
            <w:tcW w:w="2173" w:type="dxa"/>
          </w:tcPr>
          <w:p>
            <w:pPr>
              <w:pStyle w:val="16"/>
              <w:adjustRightInd w:val="0"/>
              <w:snapToGrid w:val="0"/>
              <w:spacing w:beforeLines="50" w:afterLines="50"/>
              <w:jc w:val="left"/>
              <w:rPr>
                <w:rFonts w:ascii="Times New Roman" w:hAnsi="Times New Roman"/>
                <w:b/>
                <w:sz w:val="28"/>
                <w:szCs w:val="24"/>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开户银行：</w:t>
            </w:r>
          </w:p>
        </w:tc>
        <w:tc>
          <w:tcPr>
            <w:tcW w:w="1980" w:type="dxa"/>
          </w:tcPr>
          <w:p>
            <w:pPr>
              <w:pStyle w:val="16"/>
              <w:adjustRightInd w:val="0"/>
              <w:snapToGrid w:val="0"/>
              <w:spacing w:beforeLines="50" w:afterLines="50"/>
              <w:jc w:val="left"/>
              <w:rPr>
                <w:rFonts w:ascii="Times New Roman" w:hAnsi="Times New Roman"/>
                <w:spacing w:val="40"/>
                <w:sz w:val="28"/>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开户银行：</w:t>
            </w:r>
          </w:p>
        </w:tc>
        <w:tc>
          <w:tcPr>
            <w:tcW w:w="2173" w:type="dxa"/>
          </w:tcPr>
          <w:p>
            <w:pPr>
              <w:pStyle w:val="16"/>
              <w:adjustRightInd w:val="0"/>
              <w:snapToGrid w:val="0"/>
              <w:spacing w:beforeLines="50" w:afterLines="50"/>
              <w:jc w:val="left"/>
              <w:rPr>
                <w:rFonts w:ascii="Times New Roman" w:hAnsi="Times New Roman"/>
                <w:b/>
                <w:sz w:val="28"/>
                <w:szCs w:val="24"/>
              </w:rPr>
            </w:pPr>
          </w:p>
        </w:tc>
      </w:tr>
      <w:tr>
        <w:tblPrEx>
          <w:tblLayout w:type="fixed"/>
          <w:tblCellMar>
            <w:top w:w="0" w:type="dxa"/>
            <w:left w:w="108" w:type="dxa"/>
            <w:bottom w:w="0" w:type="dxa"/>
            <w:right w:w="108" w:type="dxa"/>
          </w:tblCellMar>
        </w:tblPrEx>
        <w:trPr>
          <w:jc w:val="center"/>
        </w:trPr>
        <w:tc>
          <w:tcPr>
            <w:tcW w:w="2221"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银行帐号：</w:t>
            </w:r>
          </w:p>
        </w:tc>
        <w:tc>
          <w:tcPr>
            <w:tcW w:w="1980" w:type="dxa"/>
          </w:tcPr>
          <w:p>
            <w:pPr>
              <w:pStyle w:val="16"/>
              <w:adjustRightInd w:val="0"/>
              <w:snapToGrid w:val="0"/>
              <w:spacing w:beforeLines="50" w:afterLines="50"/>
              <w:jc w:val="left"/>
              <w:rPr>
                <w:rFonts w:ascii="Times New Roman" w:hAnsi="Times New Roman"/>
                <w:spacing w:val="40"/>
                <w:sz w:val="28"/>
              </w:rPr>
            </w:pPr>
          </w:p>
        </w:tc>
        <w:tc>
          <w:tcPr>
            <w:tcW w:w="652" w:type="dxa"/>
          </w:tcPr>
          <w:p>
            <w:pPr>
              <w:pStyle w:val="16"/>
              <w:adjustRightInd w:val="0"/>
              <w:snapToGrid w:val="0"/>
              <w:spacing w:beforeLines="50" w:afterLines="50"/>
              <w:jc w:val="left"/>
              <w:rPr>
                <w:rFonts w:ascii="Times New Roman" w:hAnsi="Times New Roman"/>
                <w:spacing w:val="40"/>
                <w:sz w:val="28"/>
              </w:rPr>
            </w:pPr>
          </w:p>
        </w:tc>
        <w:tc>
          <w:tcPr>
            <w:tcW w:w="2226" w:type="dxa"/>
          </w:tcPr>
          <w:p>
            <w:pPr>
              <w:pStyle w:val="16"/>
              <w:adjustRightInd w:val="0"/>
              <w:snapToGrid w:val="0"/>
              <w:spacing w:beforeLines="50" w:afterLines="50"/>
              <w:jc w:val="left"/>
              <w:rPr>
                <w:rFonts w:ascii="Times New Roman" w:hAnsi="Times New Roman"/>
                <w:spacing w:val="40"/>
                <w:sz w:val="28"/>
              </w:rPr>
            </w:pPr>
            <w:r>
              <w:rPr>
                <w:rFonts w:hint="eastAsia" w:ascii="Times New Roman" w:hAnsi="Times New Roman"/>
                <w:spacing w:val="40"/>
                <w:sz w:val="28"/>
              </w:rPr>
              <w:t>银行帐号：</w:t>
            </w:r>
          </w:p>
        </w:tc>
        <w:tc>
          <w:tcPr>
            <w:tcW w:w="2173" w:type="dxa"/>
          </w:tcPr>
          <w:p>
            <w:pPr>
              <w:pStyle w:val="16"/>
              <w:adjustRightInd w:val="0"/>
              <w:snapToGrid w:val="0"/>
              <w:spacing w:beforeLines="50" w:afterLines="50"/>
              <w:jc w:val="left"/>
              <w:rPr>
                <w:rFonts w:ascii="Times New Roman" w:hAnsi="Times New Roman"/>
                <w:b/>
                <w:sz w:val="28"/>
                <w:szCs w:val="24"/>
              </w:rPr>
            </w:pPr>
          </w:p>
        </w:tc>
      </w:tr>
    </w:tbl>
    <w:p>
      <w:pPr>
        <w:pStyle w:val="16"/>
        <w:adjustRightInd w:val="0"/>
        <w:snapToGrid w:val="0"/>
        <w:spacing w:line="360" w:lineRule="auto"/>
        <w:jc w:val="left"/>
        <w:rPr>
          <w:rFonts w:ascii="Times New Roman" w:hAnsi="Times New Roman"/>
          <w:spacing w:val="40"/>
          <w:sz w:val="28"/>
        </w:rPr>
      </w:pPr>
    </w:p>
    <w:p>
      <w:pPr>
        <w:pStyle w:val="16"/>
        <w:adjustRightInd w:val="0"/>
        <w:snapToGrid w:val="0"/>
        <w:spacing w:line="360" w:lineRule="auto"/>
        <w:jc w:val="left"/>
        <w:rPr>
          <w:rFonts w:ascii="Times New Roman" w:hAnsi="Times New Roman"/>
          <w:spacing w:val="40"/>
          <w:sz w:val="28"/>
        </w:rPr>
      </w:pPr>
    </w:p>
    <w:p>
      <w:pPr>
        <w:spacing w:line="480" w:lineRule="exact"/>
        <w:ind w:firstLine="480" w:firstLineChars="200"/>
        <w:jc w:val="left"/>
        <w:rPr>
          <w:rFonts w:ascii="宋体" w:hAnsi="宋体" w:cs="宋体"/>
          <w:bCs/>
          <w:color w:val="auto"/>
          <w:sz w:val="24"/>
          <w:szCs w:val="24"/>
        </w:rPr>
      </w:pPr>
    </w:p>
    <w:p>
      <w:pPr>
        <w:spacing w:line="240" w:lineRule="auto"/>
        <w:jc w:val="center"/>
        <w:outlineLvl w:val="0"/>
        <w:rPr>
          <w:rFonts w:ascii="宋体" w:hAnsi="宋体"/>
          <w:b/>
          <w:color w:val="auto"/>
          <w:sz w:val="24"/>
          <w:szCs w:val="24"/>
        </w:rPr>
      </w:pPr>
      <w:r>
        <w:rPr>
          <w:rFonts w:ascii="宋体" w:hAnsi="宋体"/>
          <w:b/>
          <w:color w:val="auto"/>
          <w:sz w:val="30"/>
          <w:szCs w:val="30"/>
        </w:rPr>
        <w:br w:type="page"/>
      </w:r>
      <w:r>
        <w:rPr>
          <w:rFonts w:hint="eastAsia" w:ascii="宋体" w:hAnsi="宋体"/>
          <w:b/>
          <w:color w:val="auto"/>
          <w:sz w:val="30"/>
          <w:szCs w:val="30"/>
        </w:rPr>
        <w:t>第七部分  附　　件</w:t>
      </w:r>
    </w:p>
    <w:p>
      <w:pPr>
        <w:spacing w:line="480" w:lineRule="exact"/>
        <w:rPr>
          <w:rFonts w:ascii="宋体" w:hAnsi="宋体"/>
          <w:color w:val="auto"/>
          <w:sz w:val="24"/>
          <w:szCs w:val="24"/>
        </w:rPr>
      </w:pPr>
      <w:r>
        <w:rPr>
          <w:rFonts w:hint="eastAsia" w:ascii="宋体" w:hAnsi="宋体"/>
          <w:b/>
          <w:color w:val="auto"/>
          <w:sz w:val="24"/>
          <w:szCs w:val="24"/>
        </w:rPr>
        <w:t>一、投标书编制顺序</w:t>
      </w:r>
    </w:p>
    <w:p>
      <w:pPr>
        <w:spacing w:line="480" w:lineRule="exact"/>
        <w:rPr>
          <w:rFonts w:ascii="宋体" w:hAnsi="宋体"/>
          <w:color w:val="auto"/>
          <w:sz w:val="24"/>
          <w:szCs w:val="24"/>
        </w:rPr>
      </w:pPr>
      <w:r>
        <w:rPr>
          <w:rFonts w:hint="eastAsia" w:ascii="宋体" w:hAnsi="宋体"/>
          <w:color w:val="auto"/>
          <w:sz w:val="24"/>
          <w:szCs w:val="24"/>
        </w:rPr>
        <w:t>投标人应按下列顺序排列和装订投标文件：</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（1）投标人简况；</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 xml:space="preserve">（2）投标函 </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 xml:space="preserve">（3）开标一览表（另行单独密封一份唱标时用） </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（4）法定代表人身份证明或附有法定代表人身份证明的授权委托书；</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（5）营业执照副本、税务登记证副本(三证合一无需提供)、组织机构代码证副本(三证合一无需提供)、资质证书、</w:t>
      </w:r>
      <w:r>
        <w:rPr>
          <w:rFonts w:hint="eastAsia" w:ascii="宋体" w:hAnsi="宋体" w:cs="仿宋_GB2312"/>
          <w:color w:val="auto"/>
          <w:sz w:val="24"/>
          <w:szCs w:val="24"/>
        </w:rPr>
        <w:t>项目负责人相关证书</w:t>
      </w:r>
      <w:r>
        <w:rPr>
          <w:rFonts w:hint="eastAsia" w:ascii="宋体" w:hAnsi="宋体" w:cs="仿宋_GB2312"/>
          <w:color w:val="auto"/>
          <w:sz w:val="24"/>
          <w:szCs w:val="24"/>
          <w:lang w:val="zh-CN"/>
        </w:rPr>
        <w:t>等复印件。以上证件复印件须加盖单位公章。</w:t>
      </w:r>
    </w:p>
    <w:p>
      <w:pPr>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（6）投标人在“信用中国”网站（www.creditchina.gov.cn）、中国政府招标网（www.ccgp.gov.cn）查询相关投标人主体信用记录截图；</w:t>
      </w:r>
    </w:p>
    <w:p>
      <w:pPr>
        <w:autoSpaceDE w:val="0"/>
        <w:autoSpaceDN w:val="0"/>
        <w:adjustRightInd w:val="0"/>
        <w:spacing w:line="480" w:lineRule="exact"/>
        <w:ind w:firstLine="480" w:firstLineChars="200"/>
        <w:rPr>
          <w:rFonts w:ascii="宋体" w:hAnsi="宋体"/>
          <w:color w:val="auto"/>
          <w:sz w:val="24"/>
          <w:lang w:val="zh-CN"/>
        </w:rPr>
      </w:pPr>
      <w:r>
        <w:rPr>
          <w:rFonts w:hint="eastAsia" w:ascii="宋体" w:hAnsi="宋体"/>
          <w:color w:val="auto"/>
          <w:sz w:val="24"/>
        </w:rPr>
        <w:t>（7）</w:t>
      </w:r>
      <w:r>
        <w:rPr>
          <w:rFonts w:hint="eastAsia" w:ascii="宋体" w:hAnsi="宋体" w:cs="仿宋_GB2312"/>
          <w:color w:val="auto"/>
          <w:sz w:val="24"/>
          <w:szCs w:val="24"/>
          <w:lang w:val="zh-CN"/>
        </w:rPr>
        <w:t>关于资格声明函</w:t>
      </w:r>
      <w:r>
        <w:rPr>
          <w:rFonts w:hint="eastAsia" w:ascii="宋体" w:hAnsi="宋体"/>
          <w:color w:val="auto"/>
          <w:sz w:val="24"/>
        </w:rPr>
        <w:t xml:space="preserve"> ；</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hint="eastAsia" w:ascii="宋体" w:hAnsi="宋体" w:cs="仿宋_GB2312"/>
          <w:color w:val="auto"/>
          <w:sz w:val="24"/>
          <w:szCs w:val="24"/>
        </w:rPr>
        <w:t>8</w:t>
      </w:r>
      <w:r>
        <w:rPr>
          <w:rFonts w:hint="eastAsia" w:ascii="宋体" w:hAnsi="宋体" w:cs="仿宋_GB2312"/>
          <w:color w:val="auto"/>
          <w:sz w:val="24"/>
          <w:szCs w:val="24"/>
          <w:lang w:val="zh-CN"/>
        </w:rPr>
        <w:t>）投标人信誉及实力；</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lang w:val="zh-CN"/>
        </w:rPr>
        <w:t>（</w:t>
      </w:r>
      <w:r>
        <w:rPr>
          <w:rFonts w:hint="eastAsia" w:ascii="宋体" w:hAnsi="宋体" w:cs="仿宋_GB2312"/>
          <w:color w:val="auto"/>
          <w:sz w:val="24"/>
          <w:szCs w:val="24"/>
        </w:rPr>
        <w:t>9</w:t>
      </w:r>
      <w:r>
        <w:rPr>
          <w:rFonts w:hint="eastAsia" w:ascii="宋体" w:hAnsi="宋体" w:cs="仿宋_GB2312"/>
          <w:color w:val="auto"/>
          <w:sz w:val="24"/>
          <w:szCs w:val="24"/>
          <w:lang w:val="zh-CN"/>
        </w:rPr>
        <w:t>）</w:t>
      </w:r>
      <w:r>
        <w:rPr>
          <w:rFonts w:hint="eastAsia" w:ascii="宋体" w:hAnsi="宋体" w:cs="仿宋_GB2312"/>
          <w:color w:val="auto"/>
          <w:sz w:val="24"/>
          <w:szCs w:val="24"/>
        </w:rPr>
        <w:t>项目类似业绩（详见评分表要求）；</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lang w:val="zh-CN"/>
        </w:rPr>
        <w:t>（</w:t>
      </w:r>
      <w:r>
        <w:rPr>
          <w:rFonts w:hint="eastAsia" w:ascii="宋体" w:hAnsi="宋体" w:cs="仿宋_GB2312"/>
          <w:color w:val="auto"/>
          <w:sz w:val="24"/>
          <w:szCs w:val="24"/>
        </w:rPr>
        <w:t>10</w:t>
      </w:r>
      <w:r>
        <w:rPr>
          <w:rFonts w:hint="eastAsia" w:ascii="宋体" w:hAnsi="宋体" w:cs="仿宋_GB2312"/>
          <w:color w:val="auto"/>
          <w:sz w:val="24"/>
          <w:szCs w:val="24"/>
          <w:lang w:val="zh-CN"/>
        </w:rPr>
        <w:t>）</w:t>
      </w:r>
      <w:r>
        <w:rPr>
          <w:rFonts w:hint="eastAsia" w:ascii="宋体" w:hAnsi="宋体" w:cs="仿宋_GB2312"/>
          <w:color w:val="auto"/>
          <w:sz w:val="24"/>
          <w:szCs w:val="24"/>
        </w:rPr>
        <w:t>人员配置；</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lang w:val="zh-CN"/>
        </w:rPr>
        <w:t>（</w:t>
      </w:r>
      <w:r>
        <w:rPr>
          <w:rFonts w:hint="eastAsia" w:ascii="宋体" w:hAnsi="宋体" w:cs="仿宋_GB2312"/>
          <w:color w:val="auto"/>
          <w:sz w:val="24"/>
          <w:szCs w:val="24"/>
        </w:rPr>
        <w:t>11</w:t>
      </w:r>
      <w:r>
        <w:rPr>
          <w:rFonts w:hint="eastAsia" w:ascii="宋体" w:hAnsi="宋体" w:cs="仿宋_GB2312"/>
          <w:color w:val="auto"/>
          <w:sz w:val="24"/>
          <w:szCs w:val="24"/>
          <w:lang w:val="zh-CN"/>
        </w:rPr>
        <w:t>）</w:t>
      </w:r>
      <w:r>
        <w:rPr>
          <w:rFonts w:hint="eastAsia" w:ascii="宋体" w:hAnsi="宋体" w:cs="仿宋_GB2312"/>
          <w:color w:val="auto"/>
          <w:sz w:val="24"/>
          <w:szCs w:val="24"/>
        </w:rPr>
        <w:t>项目理解及项目建设需求；</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rPr>
        <w:t>（12）总体方案编制；</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rPr>
        <w:t>（13）投资预算及分析；</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rPr>
        <w:t>（14）项目服务方案计划及安排；</w:t>
      </w:r>
    </w:p>
    <w:p>
      <w:pPr>
        <w:autoSpaceDE w:val="0"/>
        <w:autoSpaceDN w:val="0"/>
        <w:adjustRightInd w:val="0"/>
        <w:spacing w:line="480" w:lineRule="exact"/>
        <w:ind w:firstLine="482"/>
        <w:rPr>
          <w:rFonts w:ascii="宋体" w:hAnsi="宋体" w:cs="仿宋_GB2312"/>
          <w:color w:val="auto"/>
          <w:sz w:val="24"/>
          <w:szCs w:val="24"/>
        </w:rPr>
      </w:pPr>
      <w:r>
        <w:rPr>
          <w:rFonts w:hint="eastAsia" w:ascii="宋体" w:hAnsi="宋体" w:cs="仿宋_GB2312"/>
          <w:color w:val="auto"/>
          <w:sz w:val="24"/>
          <w:szCs w:val="24"/>
        </w:rPr>
        <w:t>（15）服务承诺及能力；</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6</w:t>
      </w:r>
      <w:r>
        <w:rPr>
          <w:rFonts w:hint="eastAsia" w:ascii="宋体" w:hAnsi="宋体" w:cs="仿宋_GB2312"/>
          <w:color w:val="auto"/>
          <w:sz w:val="24"/>
          <w:szCs w:val="24"/>
          <w:lang w:val="zh-CN"/>
        </w:rPr>
        <w:t>）投标保证金证明复印件；</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hint="eastAsia" w:ascii="宋体" w:hAnsi="宋体" w:cs="仿宋_GB2312"/>
          <w:color w:val="auto"/>
          <w:sz w:val="24"/>
          <w:szCs w:val="24"/>
        </w:rPr>
        <w:t>17</w:t>
      </w:r>
      <w:r>
        <w:rPr>
          <w:rFonts w:hint="eastAsia" w:ascii="宋体" w:hAnsi="宋体" w:cs="仿宋_GB2312"/>
          <w:color w:val="auto"/>
          <w:sz w:val="24"/>
          <w:szCs w:val="24"/>
          <w:lang w:val="zh-CN"/>
        </w:rPr>
        <w:t>）投标单位反商业贿赂承诺书；</w:t>
      </w:r>
    </w:p>
    <w:p>
      <w:pPr>
        <w:autoSpaceDE w:val="0"/>
        <w:autoSpaceDN w:val="0"/>
        <w:adjustRightInd w:val="0"/>
        <w:spacing w:line="480" w:lineRule="exact"/>
        <w:ind w:firstLine="482"/>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hint="eastAsia" w:ascii="宋体" w:hAnsi="宋体" w:cs="仿宋_GB2312"/>
          <w:color w:val="auto"/>
          <w:sz w:val="24"/>
          <w:szCs w:val="24"/>
        </w:rPr>
        <w:t>18</w:t>
      </w:r>
      <w:r>
        <w:rPr>
          <w:rFonts w:hint="eastAsia" w:ascii="宋体" w:hAnsi="宋体" w:cs="仿宋_GB2312"/>
          <w:color w:val="auto"/>
          <w:sz w:val="24"/>
          <w:szCs w:val="24"/>
          <w:lang w:val="zh-CN"/>
        </w:rPr>
        <w:t>）提供其它有利于投标的资料；</w:t>
      </w:r>
    </w:p>
    <w:p>
      <w:pPr>
        <w:spacing w:line="480" w:lineRule="exact"/>
        <w:ind w:firstLine="361" w:firstLineChars="150"/>
        <w:rPr>
          <w:rFonts w:ascii="宋体" w:hAnsi="宋体"/>
          <w:b/>
          <w:color w:val="auto"/>
          <w:sz w:val="24"/>
          <w:szCs w:val="24"/>
        </w:rPr>
      </w:pPr>
      <w:r>
        <w:rPr>
          <w:rFonts w:hint="eastAsia" w:ascii="宋体" w:hAnsi="宋体"/>
          <w:b/>
          <w:color w:val="auto"/>
          <w:sz w:val="24"/>
          <w:szCs w:val="24"/>
        </w:rPr>
        <w:t>注：1）所有投标文件中的复印件应加盖公章，附件格式中应由法人代表或法人授权代表在规定签章处的需逐一签署并加盖单位公章</w:t>
      </w:r>
    </w:p>
    <w:p>
      <w:pPr>
        <w:spacing w:line="480" w:lineRule="exact"/>
        <w:ind w:firstLine="361" w:firstLineChars="150"/>
        <w:rPr>
          <w:rFonts w:ascii="宋体" w:hAnsi="宋体"/>
          <w:b/>
          <w:color w:val="auto"/>
          <w:sz w:val="24"/>
          <w:szCs w:val="24"/>
        </w:rPr>
      </w:pPr>
      <w:r>
        <w:rPr>
          <w:rFonts w:hint="eastAsia" w:ascii="宋体" w:hAnsi="宋体"/>
          <w:b/>
          <w:color w:val="auto"/>
          <w:sz w:val="24"/>
          <w:szCs w:val="24"/>
        </w:rPr>
        <w:t>注：开标一览表另行单独密封一份</w:t>
      </w:r>
    </w:p>
    <w:p>
      <w:pPr>
        <w:spacing w:line="460" w:lineRule="exact"/>
        <w:jc w:val="center"/>
        <w:rPr>
          <w:rFonts w:ascii="宋体" w:hAnsi="宋体"/>
          <w:b/>
          <w:color w:val="auto"/>
          <w:sz w:val="28"/>
          <w:szCs w:val="28"/>
        </w:rPr>
      </w:pPr>
    </w:p>
    <w:p>
      <w:pPr>
        <w:spacing w:line="460" w:lineRule="exact"/>
        <w:jc w:val="center"/>
        <w:rPr>
          <w:rFonts w:ascii="宋体" w:hAnsi="宋体"/>
          <w:b/>
          <w:color w:val="auto"/>
          <w:sz w:val="28"/>
          <w:szCs w:val="28"/>
        </w:rPr>
      </w:pPr>
    </w:p>
    <w:p>
      <w:pPr>
        <w:spacing w:line="460" w:lineRule="exact"/>
        <w:jc w:val="center"/>
        <w:rPr>
          <w:rFonts w:ascii="宋体" w:hAnsi="宋体"/>
          <w:b/>
          <w:color w:val="auto"/>
          <w:sz w:val="28"/>
          <w:szCs w:val="28"/>
        </w:rPr>
      </w:pPr>
    </w:p>
    <w:p>
      <w:pPr>
        <w:spacing w:line="460" w:lineRule="exact"/>
        <w:jc w:val="center"/>
        <w:rPr>
          <w:rFonts w:ascii="宋体" w:hAnsi="宋体"/>
          <w:b/>
          <w:color w:val="auto"/>
          <w:sz w:val="28"/>
          <w:szCs w:val="28"/>
        </w:rPr>
      </w:pPr>
    </w:p>
    <w:p>
      <w:pPr>
        <w:spacing w:line="460" w:lineRule="exact"/>
        <w:jc w:val="center"/>
        <w:rPr>
          <w:rFonts w:ascii="宋体" w:hAnsi="宋体"/>
          <w:b/>
          <w:color w:val="auto"/>
          <w:sz w:val="28"/>
          <w:szCs w:val="28"/>
        </w:rPr>
      </w:pPr>
      <w:r>
        <w:rPr>
          <w:rFonts w:hint="eastAsia" w:ascii="宋体" w:hAnsi="宋体"/>
          <w:b/>
          <w:color w:val="auto"/>
          <w:sz w:val="28"/>
          <w:szCs w:val="28"/>
        </w:rPr>
        <w:t>二、其它有关附件格式范本</w:t>
      </w:r>
    </w:p>
    <w:p>
      <w:pPr>
        <w:widowControl w:val="0"/>
        <w:spacing w:line="460" w:lineRule="exact"/>
        <w:jc w:val="center"/>
        <w:textAlignment w:val="auto"/>
        <w:rPr>
          <w:rFonts w:ascii="宋体" w:hAnsi="宋体"/>
          <w:b/>
          <w:color w:val="auto"/>
          <w:sz w:val="24"/>
          <w:szCs w:val="24"/>
        </w:rPr>
      </w:pPr>
      <w:r>
        <w:rPr>
          <w:rFonts w:hint="eastAsia" w:ascii="宋体" w:hAnsi="宋体"/>
          <w:b/>
          <w:color w:val="auto"/>
          <w:sz w:val="24"/>
          <w:szCs w:val="24"/>
        </w:rPr>
        <w:t xml:space="preserve"> 投 标 函</w:t>
      </w:r>
    </w:p>
    <w:p>
      <w:pPr>
        <w:pStyle w:val="84"/>
        <w:ind w:firstLine="720" w:firstLineChars="300"/>
        <w:rPr>
          <w:rFonts w:ascii="宋体" w:hAnsi="宋体"/>
          <w:sz w:val="24"/>
        </w:rPr>
      </w:pPr>
      <w:r>
        <w:rPr>
          <w:rFonts w:hint="eastAsia" w:ascii="宋体" w:hAnsi="宋体" w:eastAsia="宋体"/>
          <w:sz w:val="24"/>
        </w:rPr>
        <w:t>（招标人）</w:t>
      </w:r>
      <w:r>
        <w:rPr>
          <w:rFonts w:hint="eastAsia" w:ascii="宋体" w:hAnsi="宋体"/>
          <w:sz w:val="24"/>
        </w:rPr>
        <w:t>：</w:t>
      </w:r>
    </w:p>
    <w:p>
      <w:pPr>
        <w:spacing w:line="480" w:lineRule="exact"/>
        <w:ind w:firstLine="688" w:firstLineChars="287"/>
        <w:rPr>
          <w:rFonts w:ascii="宋体" w:hAnsi="宋体" w:cs="宋体"/>
          <w:color w:val="auto"/>
          <w:sz w:val="24"/>
        </w:rPr>
      </w:pPr>
      <w:r>
        <w:rPr>
          <w:rFonts w:hint="eastAsia" w:ascii="宋体" w:hAnsi="宋体" w:cs="宋体"/>
          <w:color w:val="auto"/>
          <w:sz w:val="24"/>
        </w:rPr>
        <w:t>（投标人全称）授权 （授权代表姓名）   （职务、职称）为授权代表，参加贵方组织的招标编号为招标项目的有关活动，并对（项目名称）进行投标。为此：</w:t>
      </w:r>
    </w:p>
    <w:p>
      <w:pPr>
        <w:spacing w:line="480" w:lineRule="exact"/>
        <w:ind w:firstLine="570"/>
        <w:rPr>
          <w:rFonts w:ascii="宋体" w:hAnsi="宋体" w:cs="宋体"/>
          <w:color w:val="auto"/>
          <w:sz w:val="24"/>
        </w:rPr>
      </w:pPr>
      <w:r>
        <w:rPr>
          <w:rFonts w:hint="eastAsia" w:ascii="宋体" w:hAnsi="宋体" w:cs="宋体"/>
          <w:color w:val="auto"/>
          <w:sz w:val="24"/>
        </w:rPr>
        <w:t>1、提供投标须知规定的全部投标文件：</w:t>
      </w:r>
    </w:p>
    <w:p>
      <w:pPr>
        <w:spacing w:line="480" w:lineRule="exact"/>
        <w:ind w:firstLine="570"/>
        <w:jc w:val="left"/>
        <w:rPr>
          <w:rFonts w:ascii="宋体" w:hAnsi="宋体" w:cs="宋体"/>
          <w:color w:val="auto"/>
          <w:sz w:val="24"/>
        </w:rPr>
      </w:pPr>
      <w:r>
        <w:rPr>
          <w:rFonts w:hint="eastAsia" w:ascii="宋体" w:hAnsi="宋体" w:cs="宋体"/>
          <w:color w:val="auto"/>
          <w:sz w:val="24"/>
        </w:rPr>
        <w:t>2、本次初步设计报价为元（大写：                     ￥）。</w:t>
      </w:r>
    </w:p>
    <w:p>
      <w:pPr>
        <w:spacing w:line="480" w:lineRule="exact"/>
        <w:ind w:firstLine="570"/>
        <w:rPr>
          <w:rFonts w:ascii="宋体" w:hAnsi="宋体" w:cs="宋体"/>
          <w:color w:val="auto"/>
          <w:sz w:val="24"/>
        </w:rPr>
      </w:pPr>
      <w:r>
        <w:rPr>
          <w:rFonts w:hint="eastAsia" w:ascii="宋体" w:hAnsi="宋体" w:cs="宋体"/>
          <w:color w:val="auto"/>
          <w:sz w:val="24"/>
        </w:rPr>
        <w:t>3、保正遵守招标文件中有关规定和收费标准。</w:t>
      </w:r>
    </w:p>
    <w:p>
      <w:pPr>
        <w:spacing w:line="480" w:lineRule="exact"/>
        <w:ind w:firstLine="570"/>
        <w:rPr>
          <w:rFonts w:ascii="宋体" w:hAnsi="宋体" w:cs="宋体"/>
          <w:color w:val="auto"/>
          <w:sz w:val="24"/>
        </w:rPr>
      </w:pPr>
      <w:r>
        <w:rPr>
          <w:rFonts w:hint="eastAsia" w:ascii="宋体" w:hAnsi="宋体" w:cs="宋体"/>
          <w:color w:val="auto"/>
          <w:sz w:val="24"/>
        </w:rPr>
        <w:t>4、保证忠实的执行买卖双方所签合同，并承担合同规定的责任义务。</w:t>
      </w:r>
    </w:p>
    <w:p>
      <w:pPr>
        <w:spacing w:line="480" w:lineRule="exact"/>
        <w:ind w:firstLine="570"/>
        <w:rPr>
          <w:rFonts w:ascii="宋体" w:hAnsi="宋体" w:cs="宋体"/>
          <w:color w:val="auto"/>
          <w:sz w:val="24"/>
        </w:rPr>
      </w:pPr>
      <w:r>
        <w:rPr>
          <w:rFonts w:hint="eastAsia" w:ascii="宋体" w:hAnsi="宋体" w:cs="宋体"/>
          <w:color w:val="auto"/>
          <w:sz w:val="24"/>
        </w:rPr>
        <w:t>5、愿意向贵方提供任何与本项投标有关的数据、情况和技术资料服务。</w:t>
      </w:r>
    </w:p>
    <w:p>
      <w:pPr>
        <w:spacing w:line="480" w:lineRule="exact"/>
        <w:ind w:firstLine="570"/>
        <w:rPr>
          <w:rFonts w:ascii="宋体" w:hAnsi="宋体" w:cs="宋体"/>
          <w:color w:val="auto"/>
          <w:sz w:val="24"/>
        </w:rPr>
      </w:pPr>
      <w:r>
        <w:rPr>
          <w:rFonts w:hint="eastAsia" w:ascii="宋体" w:hAnsi="宋体" w:cs="宋体"/>
          <w:color w:val="auto"/>
          <w:sz w:val="24"/>
        </w:rPr>
        <w:t>6、本投标自开标之日90天内有效。与本投标有关的一切往来通讯请寄：</w:t>
      </w:r>
    </w:p>
    <w:p>
      <w:pPr>
        <w:spacing w:line="480" w:lineRule="exact"/>
        <w:ind w:firstLine="570"/>
        <w:rPr>
          <w:rFonts w:ascii="宋体" w:hAnsi="宋体" w:cs="宋体"/>
          <w:color w:val="auto"/>
          <w:sz w:val="24"/>
        </w:rPr>
      </w:pPr>
      <w:r>
        <w:rPr>
          <w:rFonts w:hint="eastAsia" w:ascii="宋体" w:hAnsi="宋体" w:cs="宋体"/>
          <w:color w:val="auto"/>
          <w:sz w:val="24"/>
        </w:rPr>
        <w:t xml:space="preserve">地址：                               </w:t>
      </w:r>
    </w:p>
    <w:p>
      <w:pPr>
        <w:spacing w:line="480" w:lineRule="exact"/>
        <w:ind w:firstLine="570"/>
        <w:rPr>
          <w:rFonts w:ascii="宋体" w:hAnsi="宋体" w:cs="宋体"/>
          <w:color w:val="auto"/>
          <w:sz w:val="24"/>
        </w:rPr>
      </w:pPr>
      <w:r>
        <w:rPr>
          <w:rFonts w:hint="eastAsia" w:ascii="宋体" w:hAnsi="宋体" w:cs="宋体"/>
          <w:color w:val="auto"/>
          <w:sz w:val="24"/>
        </w:rPr>
        <w:t xml:space="preserve">邮编：           电话：                  </w:t>
      </w:r>
    </w:p>
    <w:p>
      <w:pPr>
        <w:spacing w:line="480" w:lineRule="exact"/>
        <w:ind w:firstLine="570"/>
        <w:rPr>
          <w:rFonts w:ascii="宋体" w:hAnsi="宋体" w:cs="宋体"/>
          <w:color w:val="auto"/>
          <w:sz w:val="24"/>
        </w:rPr>
      </w:pPr>
    </w:p>
    <w:p>
      <w:pPr>
        <w:spacing w:line="480" w:lineRule="exact"/>
        <w:ind w:firstLine="570"/>
        <w:rPr>
          <w:rFonts w:ascii="宋体" w:hAnsi="宋体" w:cs="宋体"/>
          <w:color w:val="auto"/>
          <w:sz w:val="24"/>
        </w:rPr>
      </w:pPr>
      <w:r>
        <w:rPr>
          <w:rFonts w:hint="eastAsia" w:ascii="宋体" w:hAnsi="宋体" w:cs="宋体"/>
          <w:color w:val="auto"/>
          <w:sz w:val="24"/>
        </w:rPr>
        <w:t xml:space="preserve">投标人全称（公章）：                                       </w:t>
      </w:r>
    </w:p>
    <w:p>
      <w:pPr>
        <w:spacing w:line="480" w:lineRule="exact"/>
        <w:ind w:firstLine="570"/>
        <w:rPr>
          <w:rFonts w:ascii="宋体" w:hAnsi="宋体" w:cs="宋体"/>
          <w:color w:val="auto"/>
          <w:sz w:val="24"/>
        </w:rPr>
      </w:pPr>
      <w:r>
        <w:rPr>
          <w:rFonts w:hint="eastAsia" w:ascii="宋体" w:hAnsi="宋体" w:cs="宋体"/>
          <w:color w:val="auto"/>
          <w:sz w:val="24"/>
        </w:rPr>
        <w:t xml:space="preserve">法人代表（或授权代表）签章：                    </w:t>
      </w:r>
    </w:p>
    <w:p>
      <w:pPr>
        <w:spacing w:line="460" w:lineRule="exact"/>
        <w:ind w:firstLine="480" w:firstLineChars="200"/>
        <w:rPr>
          <w:rFonts w:ascii="宋体" w:hAnsi="宋体"/>
          <w:color w:val="auto"/>
          <w:sz w:val="24"/>
          <w:szCs w:val="24"/>
        </w:rPr>
      </w:pPr>
      <w:r>
        <w:rPr>
          <w:rFonts w:hint="eastAsia" w:ascii="宋体" w:hAnsi="宋体" w:cs="宋体"/>
          <w:color w:val="auto"/>
          <w:sz w:val="24"/>
        </w:rPr>
        <w:t xml:space="preserve"> 日 期：      年     月     日</w:t>
      </w:r>
    </w:p>
    <w:p>
      <w:pPr>
        <w:spacing w:line="460" w:lineRule="exact"/>
        <w:jc w:val="center"/>
        <w:rPr>
          <w:rFonts w:ascii="宋体" w:hAnsi="宋体"/>
          <w:b/>
          <w:color w:val="auto"/>
          <w:sz w:val="24"/>
          <w:szCs w:val="24"/>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p>
    <w:p>
      <w:pPr>
        <w:pStyle w:val="102"/>
        <w:spacing w:line="460" w:lineRule="exact"/>
        <w:ind w:left="393" w:hanging="393" w:hangingChars="163"/>
        <w:jc w:val="center"/>
        <w:rPr>
          <w:rFonts w:ascii="宋体" w:hAnsi="宋体"/>
          <w:b/>
          <w:color w:val="auto"/>
          <w:u w:color="000000"/>
        </w:rPr>
      </w:pPr>
      <w:r>
        <w:rPr>
          <w:rFonts w:ascii="宋体" w:hAnsi="宋体"/>
          <w:b/>
          <w:color w:val="auto"/>
          <w:u w:color="000000"/>
        </w:rPr>
        <w:br w:type="page"/>
      </w:r>
      <w:r>
        <w:rPr>
          <w:rFonts w:hint="eastAsia" w:ascii="宋体" w:hAnsi="宋体"/>
          <w:b/>
          <w:color w:val="auto"/>
          <w:u w:color="000000"/>
        </w:rPr>
        <w:t>开标一览表</w:t>
      </w:r>
    </w:p>
    <w:tbl>
      <w:tblPr>
        <w:tblStyle w:val="29"/>
        <w:tblW w:w="8718" w:type="dxa"/>
        <w:tblInd w:w="2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76"/>
        <w:gridCol w:w="5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77" w:hRule="atLeast"/>
        </w:trPr>
        <w:tc>
          <w:tcPr>
            <w:tcW w:w="28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ind w:left="105" w:leftChars="50" w:right="105" w:rightChars="50"/>
              <w:jc w:val="center"/>
              <w:rPr>
                <w:rFonts w:ascii="宋体" w:hAnsi="宋体" w:cs="Arial"/>
                <w:color w:val="auto"/>
                <w:sz w:val="24"/>
                <w:szCs w:val="24"/>
              </w:rPr>
            </w:pPr>
            <w:r>
              <w:rPr>
                <w:rFonts w:hint="eastAsia" w:ascii="宋体" w:hAnsi="宋体" w:cs="Arial"/>
                <w:color w:val="auto"/>
                <w:sz w:val="24"/>
                <w:szCs w:val="24"/>
              </w:rPr>
              <w:t>项目名称</w:t>
            </w:r>
          </w:p>
        </w:tc>
        <w:tc>
          <w:tcPr>
            <w:tcW w:w="584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ind w:left="50" w:right="50"/>
              <w:jc w:val="center"/>
              <w:rPr>
                <w:rFonts w:ascii="宋体" w:hAnsi="宋体" w:cs="Arial"/>
                <w:color w:val="auto"/>
                <w:sz w:val="24"/>
                <w:szCs w:val="24"/>
              </w:rPr>
            </w:pPr>
          </w:p>
          <w:p>
            <w:pPr>
              <w:spacing w:before="100" w:beforeAutospacing="1" w:after="100" w:afterAutospacing="1" w:line="360" w:lineRule="auto"/>
              <w:ind w:left="50" w:right="50"/>
              <w:jc w:val="center"/>
              <w:rPr>
                <w:rFonts w:ascii="宋体" w:hAnsi="宋体" w:cs="Arial"/>
                <w:color w:val="auto"/>
                <w:sz w:val="24"/>
                <w:szCs w:val="24"/>
              </w:rPr>
            </w:pPr>
            <w:r>
              <w:rPr>
                <w:rFonts w:hint="eastAsia" w:ascii="宋体" w:hAnsi="宋体" w:cs="Arial"/>
                <w:color w:val="auto"/>
                <w:sz w:val="24"/>
                <w:szCs w:val="24"/>
              </w:rPr>
              <w:t>新疆维吾尔自治区治超联网管理信息系统工程</w:t>
            </w:r>
          </w:p>
          <w:p>
            <w:pPr>
              <w:spacing w:before="100" w:beforeAutospacing="1" w:after="100" w:afterAutospacing="1" w:line="360" w:lineRule="auto"/>
              <w:ind w:left="50" w:right="50"/>
              <w:jc w:val="center"/>
              <w:rPr>
                <w:rFonts w:ascii="宋体" w:hAnsi="宋体" w:cs="Arial"/>
                <w:color w:val="auto"/>
                <w:sz w:val="24"/>
                <w:szCs w:val="24"/>
              </w:rPr>
            </w:pPr>
            <w:r>
              <w:rPr>
                <w:rFonts w:hint="eastAsia" w:ascii="宋体" w:hAnsi="宋体" w:cs="Arial"/>
                <w:color w:val="auto"/>
                <w:sz w:val="24"/>
                <w:szCs w:val="24"/>
              </w:rPr>
              <w:t>初步设计</w:t>
            </w:r>
          </w:p>
          <w:p>
            <w:pPr>
              <w:spacing w:before="100" w:beforeAutospacing="1" w:after="100" w:afterAutospacing="1" w:line="360" w:lineRule="auto"/>
              <w:ind w:left="50" w:right="50"/>
              <w:jc w:val="cente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876" w:type="dxa"/>
            <w:tcBorders>
              <w:left w:val="single" w:color="auto" w:sz="4" w:space="0"/>
              <w:bottom w:val="single" w:color="auto" w:sz="4" w:space="0"/>
              <w:right w:val="single" w:color="auto" w:sz="4" w:space="0"/>
            </w:tcBorders>
            <w:vAlign w:val="center"/>
          </w:tcPr>
          <w:p>
            <w:pPr>
              <w:spacing w:before="100" w:beforeAutospacing="1" w:after="100" w:afterAutospacing="1" w:line="360" w:lineRule="auto"/>
              <w:ind w:left="105" w:leftChars="50" w:right="105" w:rightChars="50"/>
              <w:jc w:val="center"/>
              <w:rPr>
                <w:rFonts w:ascii="宋体" w:hAnsi="宋体" w:cs="Arial"/>
                <w:color w:val="auto"/>
                <w:sz w:val="24"/>
                <w:szCs w:val="24"/>
              </w:rPr>
            </w:pPr>
            <w:r>
              <w:rPr>
                <w:rFonts w:hint="eastAsia" w:ascii="宋体" w:hAnsi="宋体" w:cs="Arial"/>
                <w:color w:val="auto"/>
                <w:sz w:val="24"/>
                <w:szCs w:val="24"/>
              </w:rPr>
              <w:t>投标费率</w:t>
            </w:r>
          </w:p>
        </w:tc>
        <w:tc>
          <w:tcPr>
            <w:tcW w:w="584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ind w:right="50"/>
              <w:jc w:val="cente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24" w:hRule="atLeast"/>
        </w:trPr>
        <w:tc>
          <w:tcPr>
            <w:tcW w:w="2876" w:type="dxa"/>
            <w:tcBorders>
              <w:top w:val="single" w:color="auto" w:sz="4" w:space="0"/>
              <w:left w:val="single" w:color="auto" w:sz="4" w:space="0"/>
              <w:right w:val="single" w:color="auto" w:sz="4" w:space="0"/>
            </w:tcBorders>
            <w:vAlign w:val="center"/>
          </w:tcPr>
          <w:p>
            <w:pPr>
              <w:spacing w:before="100" w:beforeAutospacing="1" w:after="100" w:afterAutospacing="1" w:line="360" w:lineRule="auto"/>
              <w:ind w:left="50" w:right="50"/>
              <w:jc w:val="center"/>
              <w:rPr>
                <w:rFonts w:ascii="宋体" w:hAnsi="宋体" w:cs="Arial"/>
                <w:color w:val="auto"/>
                <w:sz w:val="24"/>
                <w:szCs w:val="24"/>
              </w:rPr>
            </w:pPr>
            <w:r>
              <w:rPr>
                <w:rFonts w:hint="eastAsia" w:ascii="宋体" w:hAnsi="宋体" w:cs="Arial"/>
                <w:color w:val="auto"/>
                <w:sz w:val="24"/>
                <w:szCs w:val="24"/>
              </w:rPr>
              <w:t>对报价需要说明的问题</w:t>
            </w:r>
          </w:p>
        </w:tc>
        <w:tc>
          <w:tcPr>
            <w:tcW w:w="5842" w:type="dxa"/>
            <w:tcBorders>
              <w:top w:val="single" w:color="auto" w:sz="4" w:space="0"/>
              <w:left w:val="single" w:color="auto" w:sz="4" w:space="0"/>
              <w:right w:val="single" w:color="auto" w:sz="4" w:space="0"/>
            </w:tcBorders>
            <w:vAlign w:val="center"/>
          </w:tcPr>
          <w:p>
            <w:pPr>
              <w:spacing w:before="100" w:beforeAutospacing="1" w:after="100" w:afterAutospacing="1" w:line="360" w:lineRule="auto"/>
              <w:ind w:left="50" w:right="50"/>
              <w:jc w:val="center"/>
              <w:rPr>
                <w:rFonts w:ascii="宋体" w:hAnsi="宋体" w:cs="Arial"/>
                <w:color w:val="auto"/>
                <w:sz w:val="24"/>
                <w:szCs w:val="24"/>
              </w:rPr>
            </w:pPr>
          </w:p>
          <w:p>
            <w:pPr>
              <w:spacing w:before="100" w:beforeAutospacing="1" w:after="100" w:afterAutospacing="1" w:line="360" w:lineRule="auto"/>
              <w:ind w:left="50" w:right="50"/>
              <w:jc w:val="cente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8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ind w:left="50" w:right="50"/>
              <w:jc w:val="center"/>
              <w:rPr>
                <w:rFonts w:ascii="宋体" w:hAnsi="宋体" w:cs="Arial"/>
                <w:color w:val="auto"/>
                <w:sz w:val="24"/>
                <w:szCs w:val="24"/>
              </w:rPr>
            </w:pPr>
            <w:r>
              <w:rPr>
                <w:rFonts w:hint="eastAsia" w:ascii="宋体" w:hAnsi="宋体" w:cs="Arial"/>
                <w:color w:val="auto"/>
                <w:sz w:val="24"/>
                <w:szCs w:val="24"/>
              </w:rPr>
              <w:t>备注</w:t>
            </w:r>
          </w:p>
        </w:tc>
        <w:tc>
          <w:tcPr>
            <w:tcW w:w="584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ind w:left="50" w:right="50"/>
              <w:jc w:val="center"/>
              <w:rPr>
                <w:rFonts w:ascii="宋体" w:hAnsi="宋体" w:cs="Arial"/>
                <w:color w:val="auto"/>
                <w:sz w:val="24"/>
                <w:szCs w:val="24"/>
              </w:rPr>
            </w:pPr>
          </w:p>
        </w:tc>
      </w:tr>
    </w:tbl>
    <w:p>
      <w:pPr>
        <w:snapToGrid w:val="0"/>
        <w:spacing w:before="50" w:after="50"/>
        <w:rPr>
          <w:rFonts w:ascii="宋体" w:hAnsi="宋体"/>
          <w:b/>
          <w:color w:val="auto"/>
        </w:rPr>
      </w:pPr>
      <w:r>
        <w:rPr>
          <w:rFonts w:hint="eastAsia" w:ascii="宋体" w:hAnsi="宋体"/>
          <w:b/>
          <w:color w:val="auto"/>
        </w:rPr>
        <w:t>注：此表除标书内按顺序装订外，再另行单独密封信封中。</w:t>
      </w:r>
    </w:p>
    <w:p>
      <w:pPr>
        <w:pStyle w:val="102"/>
        <w:rPr>
          <w:rFonts w:ascii="宋体" w:hAnsi="宋体"/>
          <w:color w:val="auto"/>
        </w:rPr>
      </w:pPr>
    </w:p>
    <w:p>
      <w:pPr>
        <w:pStyle w:val="102"/>
        <w:rPr>
          <w:rFonts w:ascii="宋体" w:hAnsi="宋体"/>
          <w:color w:val="auto"/>
        </w:rPr>
      </w:pPr>
      <w:r>
        <w:rPr>
          <w:rFonts w:hint="eastAsia" w:ascii="宋体" w:hAnsi="宋体"/>
          <w:color w:val="auto"/>
        </w:rPr>
        <w:t>投标人全称：（盖章）：</w:t>
      </w:r>
    </w:p>
    <w:p>
      <w:pPr>
        <w:pStyle w:val="102"/>
        <w:rPr>
          <w:rFonts w:ascii="宋体" w:hAnsi="宋体"/>
          <w:color w:val="auto"/>
        </w:rPr>
      </w:pPr>
    </w:p>
    <w:p>
      <w:pPr>
        <w:pStyle w:val="102"/>
        <w:rPr>
          <w:rFonts w:ascii="宋体" w:hAnsi="宋体"/>
          <w:color w:val="auto"/>
        </w:rPr>
      </w:pPr>
      <w:r>
        <w:rPr>
          <w:rFonts w:hint="eastAsia" w:ascii="宋体" w:hAnsi="宋体"/>
          <w:color w:val="auto"/>
        </w:rPr>
        <w:t>法定代表人或其委托代理人签字：</w:t>
      </w:r>
    </w:p>
    <w:p>
      <w:pPr>
        <w:pStyle w:val="102"/>
        <w:rPr>
          <w:rFonts w:ascii="宋体" w:hAnsi="宋体"/>
          <w:color w:val="auto"/>
        </w:rPr>
      </w:pPr>
    </w:p>
    <w:p>
      <w:pPr>
        <w:pStyle w:val="102"/>
        <w:rPr>
          <w:rFonts w:ascii="宋体" w:hAnsi="宋体"/>
          <w:b/>
          <w:color w:val="auto"/>
          <w:szCs w:val="21"/>
        </w:rPr>
      </w:pPr>
      <w:r>
        <w:rPr>
          <w:rFonts w:hint="eastAsia"/>
          <w:color w:val="auto"/>
        </w:rPr>
        <w:t>日期：年月日</w:t>
      </w: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rPr>
          <w:rFonts w:ascii="宋体" w:hAnsi="宋体"/>
          <w:b/>
          <w:color w:val="auto"/>
          <w:sz w:val="24"/>
          <w:szCs w:val="24"/>
        </w:rPr>
      </w:pPr>
    </w:p>
    <w:p>
      <w:pPr>
        <w:spacing w:line="460" w:lineRule="exact"/>
        <w:rPr>
          <w:rFonts w:ascii="宋体" w:hAnsi="宋体"/>
          <w:b/>
          <w:color w:val="auto"/>
          <w:sz w:val="24"/>
          <w:szCs w:val="24"/>
        </w:rPr>
      </w:pPr>
    </w:p>
    <w:p>
      <w:pPr>
        <w:spacing w:line="460" w:lineRule="exact"/>
        <w:ind w:firstLine="3855" w:firstLineChars="1600"/>
        <w:rPr>
          <w:rFonts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rPr>
        <w:t>法人代表授权书格式</w:t>
      </w:r>
    </w:p>
    <w:p>
      <w:pPr>
        <w:pStyle w:val="14"/>
        <w:spacing w:after="0" w:line="520" w:lineRule="exact"/>
        <w:ind w:leftChars="0" w:firstLine="482"/>
        <w:rPr>
          <w:rFonts w:ascii="宋体" w:hAnsi="宋体"/>
          <w:sz w:val="24"/>
          <w:szCs w:val="24"/>
        </w:rPr>
      </w:pPr>
      <w:r>
        <w:rPr>
          <w:rFonts w:hint="eastAsia" w:ascii="宋体" w:hAnsi="宋体"/>
          <w:sz w:val="24"/>
          <w:szCs w:val="24"/>
        </w:rPr>
        <w:t>本授权书声明：注册于</w:t>
      </w:r>
      <w:r>
        <w:rPr>
          <w:rFonts w:hint="eastAsia" w:ascii="宋体" w:hAnsi="宋体"/>
          <w:sz w:val="24"/>
          <w:szCs w:val="24"/>
          <w:u w:val="single"/>
        </w:rPr>
        <w:t>（地区的名称）</w:t>
      </w:r>
      <w:r>
        <w:rPr>
          <w:rFonts w:hint="eastAsia" w:ascii="宋体" w:hAnsi="宋体"/>
          <w:sz w:val="24"/>
          <w:szCs w:val="24"/>
        </w:rPr>
        <w:t>的</w:t>
      </w:r>
      <w:r>
        <w:rPr>
          <w:rFonts w:hint="eastAsia" w:ascii="宋体" w:hAnsi="宋体"/>
          <w:sz w:val="24"/>
          <w:szCs w:val="24"/>
          <w:u w:val="single"/>
        </w:rPr>
        <w:t>（公司名称）</w:t>
      </w:r>
      <w:r>
        <w:rPr>
          <w:rFonts w:hint="eastAsia" w:ascii="宋体" w:hAnsi="宋体"/>
          <w:sz w:val="24"/>
          <w:szCs w:val="24"/>
        </w:rPr>
        <w:t>，在下面签字的法人代表</w:t>
      </w:r>
      <w:r>
        <w:rPr>
          <w:rFonts w:hint="eastAsia" w:ascii="宋体" w:hAnsi="宋体"/>
          <w:sz w:val="24"/>
          <w:szCs w:val="24"/>
          <w:u w:val="single"/>
        </w:rPr>
        <w:t>（姓名、职务）</w:t>
      </w:r>
      <w:r>
        <w:rPr>
          <w:rFonts w:hint="eastAsia" w:ascii="宋体" w:hAnsi="宋体"/>
          <w:sz w:val="24"/>
          <w:szCs w:val="24"/>
        </w:rPr>
        <w:t>，代表本公司授权在下面签字的</w:t>
      </w:r>
      <w:r>
        <w:rPr>
          <w:rFonts w:hint="eastAsia" w:ascii="宋体" w:hAnsi="宋体"/>
          <w:sz w:val="24"/>
          <w:szCs w:val="24"/>
          <w:u w:val="single"/>
        </w:rPr>
        <w:t>（被授权人的姓名、职务）</w:t>
      </w:r>
      <w:r>
        <w:rPr>
          <w:rFonts w:hint="eastAsia" w:ascii="宋体" w:hAnsi="宋体"/>
          <w:sz w:val="24"/>
          <w:szCs w:val="24"/>
        </w:rPr>
        <w:t>为本公司的合法代理人，就</w:t>
      </w:r>
      <w:r>
        <w:rPr>
          <w:rFonts w:hint="eastAsia" w:ascii="宋体" w:hAnsi="宋体"/>
          <w:sz w:val="24"/>
          <w:szCs w:val="24"/>
          <w:u w:val="single"/>
        </w:rPr>
        <w:t>（项目名称）</w:t>
      </w:r>
      <w:r>
        <w:rPr>
          <w:rFonts w:hint="eastAsia" w:ascii="宋体" w:hAnsi="宋体"/>
          <w:sz w:val="24"/>
          <w:szCs w:val="24"/>
        </w:rPr>
        <w:t>的投标，以本公司的名义处理一切与之有关的事务。</w:t>
      </w:r>
    </w:p>
    <w:p>
      <w:pPr>
        <w:spacing w:line="520" w:lineRule="exact"/>
        <w:ind w:firstLine="482"/>
        <w:rPr>
          <w:rFonts w:ascii="宋体" w:hAnsi="宋体"/>
          <w:color w:val="auto"/>
          <w:sz w:val="24"/>
          <w:szCs w:val="24"/>
        </w:rPr>
      </w:pPr>
      <w:r>
        <w:rPr>
          <w:rFonts w:hint="eastAsia" w:ascii="宋体" w:hAnsi="宋体"/>
          <w:color w:val="auto"/>
          <w:sz w:val="24"/>
          <w:szCs w:val="24"/>
        </w:rPr>
        <w:t>本授权书于20年月日签字生效，特此声明。</w:t>
      </w:r>
    </w:p>
    <w:p>
      <w:pPr>
        <w:spacing w:line="520" w:lineRule="exact"/>
        <w:ind w:firstLine="482"/>
        <w:rPr>
          <w:rFonts w:ascii="宋体" w:hAnsi="宋体"/>
          <w:color w:val="auto"/>
          <w:sz w:val="24"/>
          <w:szCs w:val="24"/>
          <w:u w:val="single"/>
        </w:rPr>
      </w:pPr>
      <w:r>
        <w:rPr>
          <w:rFonts w:hint="eastAsia" w:ascii="宋体" w:hAnsi="宋体"/>
          <w:color w:val="auto"/>
          <w:sz w:val="24"/>
          <w:szCs w:val="24"/>
        </w:rPr>
        <w:t>法人代表签字：</w:t>
      </w:r>
    </w:p>
    <w:p>
      <w:pPr>
        <w:spacing w:line="520" w:lineRule="exact"/>
        <w:ind w:firstLine="482"/>
        <w:rPr>
          <w:rFonts w:ascii="宋体" w:hAnsi="宋体"/>
          <w:color w:val="auto"/>
          <w:sz w:val="24"/>
          <w:szCs w:val="24"/>
        </w:rPr>
      </w:pPr>
      <w:r>
        <w:rPr>
          <w:rFonts w:hint="eastAsia" w:ascii="宋体" w:hAnsi="宋体"/>
          <w:color w:val="auto"/>
          <w:sz w:val="24"/>
          <w:szCs w:val="24"/>
        </w:rPr>
        <w:t>被授权人签字：</w:t>
      </w:r>
    </w:p>
    <w:p>
      <w:pPr>
        <w:spacing w:line="520" w:lineRule="exact"/>
        <w:ind w:firstLine="482"/>
        <w:rPr>
          <w:rFonts w:ascii="宋体" w:hAnsi="宋体"/>
          <w:color w:val="auto"/>
          <w:sz w:val="24"/>
          <w:szCs w:val="24"/>
        </w:rPr>
      </w:pPr>
      <w:r>
        <w:rPr>
          <w:rFonts w:hint="eastAsia" w:ascii="宋体" w:hAnsi="宋体"/>
          <w:color w:val="auto"/>
          <w:sz w:val="24"/>
          <w:szCs w:val="24"/>
        </w:rPr>
        <w:t>公      章：</w:t>
      </w:r>
    </w:p>
    <w:p>
      <w:pPr>
        <w:wordWrap w:val="0"/>
        <w:spacing w:line="520" w:lineRule="exact"/>
        <w:ind w:firstLine="120" w:firstLineChars="50"/>
        <w:jc w:val="right"/>
        <w:rPr>
          <w:rFonts w:ascii="宋体" w:hAnsi="宋体"/>
          <w:color w:val="auto"/>
          <w:sz w:val="24"/>
          <w:szCs w:val="24"/>
          <w:u w:val="single"/>
        </w:rPr>
      </w:pPr>
      <w:r>
        <w:rPr>
          <w:rFonts w:hint="eastAsia" w:ascii="宋体" w:hAnsi="宋体"/>
          <w:color w:val="auto"/>
          <w:sz w:val="24"/>
          <w:szCs w:val="24"/>
        </w:rPr>
        <w:t>授权日期：年月日</w:t>
      </w:r>
    </w:p>
    <w:p>
      <w:pPr>
        <w:spacing w:line="520" w:lineRule="exact"/>
        <w:ind w:firstLine="482" w:firstLineChars="200"/>
        <w:rPr>
          <w:rFonts w:ascii="宋体" w:hAnsi="宋体"/>
          <w:b/>
          <w:color w:val="auto"/>
          <w:sz w:val="24"/>
          <w:szCs w:val="24"/>
        </w:rPr>
      </w:pPr>
      <w:r>
        <w:rPr>
          <w:rFonts w:hint="eastAsia" w:ascii="宋体" w:hAnsi="宋体"/>
          <w:b/>
          <w:color w:val="auto"/>
          <w:sz w:val="24"/>
          <w:szCs w:val="24"/>
        </w:rPr>
        <w:t>注：法人代表本人作为公司代理人前来参加投标的投标方，可不提供此项证明文件。</w:t>
      </w: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rPr>
        <w:t>投标方资质证明文件</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1、投标人营业执照复印件（加盖公章）</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2、组织机构代码证（三证合一者无需提供）复印件（加盖公章）</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3、税务登记证复印件（三证合一者无需提供）复印件（加盖公章）</w:t>
      </w:r>
    </w:p>
    <w:p>
      <w:pPr>
        <w:spacing w:line="500" w:lineRule="exact"/>
        <w:rPr>
          <w:rFonts w:hAnsi="宋体"/>
          <w:b/>
          <w:color w:val="auto"/>
          <w:sz w:val="24"/>
          <w:szCs w:val="24"/>
        </w:rPr>
      </w:pPr>
      <w:r>
        <w:rPr>
          <w:rFonts w:hint="eastAsia" w:ascii="宋体" w:hAnsi="宋体"/>
          <w:color w:val="auto"/>
          <w:sz w:val="24"/>
          <w:szCs w:val="24"/>
        </w:rPr>
        <w:t xml:space="preserve">    4、资质证书、项目负责人相关证书</w:t>
      </w:r>
    </w:p>
    <w:p>
      <w:pPr>
        <w:spacing w:line="500" w:lineRule="exact"/>
        <w:jc w:val="center"/>
        <w:rPr>
          <w:rFonts w:ascii="宋体" w:hAnsi="宋体"/>
          <w:b/>
          <w:color w:val="auto"/>
          <w:sz w:val="24"/>
          <w:szCs w:val="24"/>
        </w:rPr>
      </w:pPr>
    </w:p>
    <w:p>
      <w:pPr>
        <w:spacing w:line="500" w:lineRule="exact"/>
        <w:jc w:val="center"/>
        <w:rPr>
          <w:rFonts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rPr>
        <w:t>关于资格的声明函</w:t>
      </w:r>
    </w:p>
    <w:p>
      <w:pPr>
        <w:topLinePunct/>
        <w:spacing w:line="560" w:lineRule="exact"/>
        <w:ind w:firstLine="480" w:firstLineChars="200"/>
        <w:rPr>
          <w:rFonts w:ascii="宋体" w:hAnsi="宋体"/>
          <w:color w:val="auto"/>
          <w:sz w:val="24"/>
        </w:rPr>
      </w:pPr>
      <w:r>
        <w:rPr>
          <w:rFonts w:hint="eastAsia" w:ascii="宋体" w:hAnsi="宋体"/>
          <w:color w:val="auto"/>
          <w:sz w:val="24"/>
        </w:rPr>
        <w:t>致：</w:t>
      </w:r>
    </w:p>
    <w:p>
      <w:pPr>
        <w:topLinePunct/>
        <w:spacing w:line="560" w:lineRule="exact"/>
        <w:ind w:firstLine="480" w:firstLineChars="200"/>
        <w:jc w:val="left"/>
        <w:rPr>
          <w:rFonts w:ascii="宋体" w:hAnsi="宋体"/>
          <w:color w:val="auto"/>
          <w:sz w:val="24"/>
        </w:rPr>
      </w:pPr>
      <w:r>
        <w:rPr>
          <w:rFonts w:hint="eastAsia" w:ascii="宋体" w:hAnsi="宋体"/>
          <w:color w:val="auto"/>
          <w:sz w:val="24"/>
        </w:rPr>
        <w:t>关于贵方20年月日（招标编号）招标公告关于“”的招标项目，本签字人愿意参加投标，并有能力完成  （项目名称），并保证我单位与招标人无政府招标实施条例第九条应回避的关系，在投标报名及投标全过程中提供的企业证明文件、证件、签章及有关附件等资料的原件及复印件是真实、有效的，无伪造、编造、变造、篡改和隐瞒等虚假内容，且复印件与原件一致，若提供虚假内容，我单位将承担全部责任，并承担由此造成的全部损失。</w:t>
      </w:r>
    </w:p>
    <w:p>
      <w:pPr>
        <w:topLinePunct/>
        <w:spacing w:line="560" w:lineRule="exact"/>
        <w:ind w:firstLine="480" w:firstLineChars="200"/>
        <w:rPr>
          <w:rFonts w:ascii="宋体" w:hAnsi="宋体"/>
          <w:color w:val="auto"/>
          <w:sz w:val="24"/>
        </w:rPr>
      </w:pPr>
      <w:r>
        <w:rPr>
          <w:rFonts w:hint="eastAsia" w:ascii="宋体" w:hAnsi="宋体"/>
          <w:color w:val="auto"/>
          <w:sz w:val="24"/>
        </w:rPr>
        <w:t xml:space="preserve">投标人(盖章):                          </w:t>
      </w:r>
    </w:p>
    <w:p>
      <w:pPr>
        <w:topLinePunct/>
        <w:spacing w:line="560" w:lineRule="exact"/>
        <w:ind w:firstLine="480" w:firstLineChars="200"/>
        <w:rPr>
          <w:rFonts w:ascii="宋体" w:hAnsi="宋体"/>
          <w:color w:val="auto"/>
          <w:sz w:val="24"/>
        </w:rPr>
      </w:pPr>
      <w:r>
        <w:rPr>
          <w:rFonts w:hint="eastAsia" w:ascii="宋体" w:hAnsi="宋体"/>
          <w:color w:val="auto"/>
          <w:sz w:val="24"/>
        </w:rPr>
        <w:t>法定代表人(签章):</w:t>
      </w:r>
    </w:p>
    <w:p>
      <w:pPr>
        <w:wordWrap w:val="0"/>
        <w:topLinePunct/>
        <w:spacing w:line="560" w:lineRule="exact"/>
        <w:ind w:firstLine="600" w:firstLineChars="250"/>
        <w:jc w:val="right"/>
        <w:rPr>
          <w:rFonts w:ascii="宋体" w:hAnsi="宋体"/>
          <w:color w:val="auto"/>
          <w:sz w:val="24"/>
        </w:rPr>
      </w:pPr>
      <w:r>
        <w:rPr>
          <w:rFonts w:hint="eastAsia" w:ascii="宋体" w:hAnsi="宋体"/>
          <w:color w:val="auto"/>
          <w:sz w:val="24"/>
        </w:rPr>
        <w:t>年月日</w:t>
      </w:r>
    </w:p>
    <w:p>
      <w:pPr>
        <w:pStyle w:val="16"/>
        <w:spacing w:line="460" w:lineRule="exact"/>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16"/>
        <w:spacing w:line="460" w:lineRule="exact"/>
        <w:jc w:val="center"/>
        <w:rPr>
          <w:rFonts w:hAnsi="宋体"/>
          <w:b/>
          <w:sz w:val="24"/>
          <w:szCs w:val="24"/>
        </w:rPr>
      </w:pPr>
    </w:p>
    <w:p>
      <w:pPr>
        <w:pStyle w:val="8"/>
        <w:ind w:firstLine="562"/>
        <w:jc w:val="center"/>
        <w:rPr>
          <w:rFonts w:ascii="宋体" w:hAnsi="宋体" w:cs="宋体"/>
          <w:b/>
          <w:sz w:val="28"/>
          <w:szCs w:val="28"/>
        </w:rPr>
      </w:pPr>
    </w:p>
    <w:p>
      <w:pPr>
        <w:pStyle w:val="8"/>
        <w:ind w:firstLine="643"/>
        <w:jc w:val="center"/>
        <w:rPr>
          <w:rFonts w:ascii="宋体" w:hAnsi="宋体" w:cs="宋体"/>
          <w:b/>
          <w:sz w:val="28"/>
          <w:szCs w:val="28"/>
        </w:rPr>
      </w:pPr>
      <w:r>
        <w:rPr>
          <w:rFonts w:hint="eastAsia" w:ascii="宋体" w:hAnsi="宋体" w:cs="宋体"/>
          <w:b/>
          <w:sz w:val="32"/>
          <w:szCs w:val="32"/>
        </w:rPr>
        <w:t>项目负责人简历表</w:t>
      </w:r>
    </w:p>
    <w:tbl>
      <w:tblPr>
        <w:tblStyle w:val="29"/>
        <w:tblpPr w:leftFromText="180" w:rightFromText="180" w:vertAnchor="page" w:horzAnchor="page" w:tblpX="1235" w:tblpY="164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1"/>
        <w:gridCol w:w="630"/>
        <w:gridCol w:w="742"/>
        <w:gridCol w:w="1065"/>
        <w:gridCol w:w="1416"/>
        <w:gridCol w:w="1572"/>
        <w:gridCol w:w="241"/>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exact"/>
        </w:trPr>
        <w:tc>
          <w:tcPr>
            <w:tcW w:w="1771" w:type="dxa"/>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姓名</w:t>
            </w:r>
          </w:p>
        </w:tc>
        <w:tc>
          <w:tcPr>
            <w:tcW w:w="1372" w:type="dxa"/>
            <w:gridSpan w:val="2"/>
            <w:vAlign w:val="center"/>
          </w:tcPr>
          <w:p>
            <w:pPr>
              <w:spacing w:line="240" w:lineRule="auto"/>
              <w:jc w:val="center"/>
              <w:textAlignment w:val="auto"/>
              <w:rPr>
                <w:rFonts w:ascii="宋体" w:hAnsi="宋体"/>
                <w:color w:val="auto"/>
                <w:kern w:val="2"/>
                <w:sz w:val="22"/>
                <w:szCs w:val="22"/>
                <w:highlight w:val="white"/>
              </w:rPr>
            </w:pPr>
          </w:p>
        </w:tc>
        <w:tc>
          <w:tcPr>
            <w:tcW w:w="1065" w:type="dxa"/>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性别</w:t>
            </w:r>
          </w:p>
        </w:tc>
        <w:tc>
          <w:tcPr>
            <w:tcW w:w="1416" w:type="dxa"/>
            <w:vAlign w:val="center"/>
          </w:tcPr>
          <w:p>
            <w:pPr>
              <w:spacing w:line="240" w:lineRule="auto"/>
              <w:jc w:val="center"/>
              <w:textAlignment w:val="auto"/>
              <w:rPr>
                <w:rFonts w:ascii="宋体" w:hAnsi="宋体"/>
                <w:color w:val="auto"/>
                <w:kern w:val="2"/>
                <w:sz w:val="22"/>
                <w:szCs w:val="22"/>
                <w:highlight w:val="white"/>
              </w:rPr>
            </w:pPr>
          </w:p>
        </w:tc>
        <w:tc>
          <w:tcPr>
            <w:tcW w:w="1813" w:type="dxa"/>
            <w:gridSpan w:val="2"/>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出生年月</w:t>
            </w:r>
          </w:p>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日期</w:t>
            </w:r>
          </w:p>
        </w:tc>
        <w:tc>
          <w:tcPr>
            <w:tcW w:w="2143" w:type="dxa"/>
            <w:vAlign w:val="center"/>
          </w:tcPr>
          <w:p>
            <w:pPr>
              <w:spacing w:line="240" w:lineRule="auto"/>
              <w:jc w:val="center"/>
              <w:textAlignment w:val="auto"/>
              <w:rPr>
                <w:rFonts w:ascii="宋体" w:hAnsi="宋体"/>
                <w:color w:val="auto"/>
                <w:kern w:val="2"/>
                <w:sz w:val="22"/>
                <w:szCs w:val="2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3" w:hRule="exact"/>
        </w:trPr>
        <w:tc>
          <w:tcPr>
            <w:tcW w:w="1771" w:type="dxa"/>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毕业院校及专业</w:t>
            </w:r>
          </w:p>
        </w:tc>
        <w:tc>
          <w:tcPr>
            <w:tcW w:w="3853" w:type="dxa"/>
            <w:gridSpan w:val="4"/>
            <w:vAlign w:val="center"/>
          </w:tcPr>
          <w:p>
            <w:pPr>
              <w:spacing w:line="240" w:lineRule="auto"/>
              <w:jc w:val="center"/>
              <w:textAlignment w:val="auto"/>
              <w:rPr>
                <w:rFonts w:ascii="宋体" w:hAnsi="宋体"/>
                <w:color w:val="auto"/>
                <w:kern w:val="2"/>
                <w:sz w:val="22"/>
                <w:szCs w:val="22"/>
                <w:highlight w:val="white"/>
              </w:rPr>
            </w:pPr>
          </w:p>
        </w:tc>
        <w:tc>
          <w:tcPr>
            <w:tcW w:w="1813" w:type="dxa"/>
            <w:gridSpan w:val="2"/>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毕业时间</w:t>
            </w:r>
          </w:p>
        </w:tc>
        <w:tc>
          <w:tcPr>
            <w:tcW w:w="2143" w:type="dxa"/>
            <w:vAlign w:val="center"/>
          </w:tcPr>
          <w:p>
            <w:pPr>
              <w:spacing w:line="240" w:lineRule="auto"/>
              <w:jc w:val="center"/>
              <w:textAlignment w:val="auto"/>
              <w:rPr>
                <w:rFonts w:ascii="宋体" w:hAnsi="宋体"/>
                <w:color w:val="auto"/>
                <w:kern w:val="2"/>
                <w:sz w:val="22"/>
                <w:szCs w:val="2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exact"/>
        </w:trPr>
        <w:tc>
          <w:tcPr>
            <w:tcW w:w="1771" w:type="dxa"/>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参加工作时间</w:t>
            </w:r>
          </w:p>
        </w:tc>
        <w:tc>
          <w:tcPr>
            <w:tcW w:w="3853" w:type="dxa"/>
            <w:gridSpan w:val="4"/>
            <w:vAlign w:val="center"/>
          </w:tcPr>
          <w:p>
            <w:pPr>
              <w:spacing w:line="240" w:lineRule="auto"/>
              <w:jc w:val="center"/>
              <w:textAlignment w:val="auto"/>
              <w:rPr>
                <w:rFonts w:ascii="宋体" w:hAnsi="宋体"/>
                <w:color w:val="auto"/>
                <w:kern w:val="2"/>
                <w:sz w:val="22"/>
                <w:szCs w:val="22"/>
                <w:highlight w:val="white"/>
              </w:rPr>
            </w:pPr>
          </w:p>
        </w:tc>
        <w:tc>
          <w:tcPr>
            <w:tcW w:w="1813" w:type="dxa"/>
            <w:gridSpan w:val="2"/>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从事本专业年限</w:t>
            </w:r>
          </w:p>
        </w:tc>
        <w:tc>
          <w:tcPr>
            <w:tcW w:w="2143" w:type="dxa"/>
            <w:vAlign w:val="center"/>
          </w:tcPr>
          <w:p>
            <w:pPr>
              <w:spacing w:line="240" w:lineRule="auto"/>
              <w:jc w:val="center"/>
              <w:textAlignment w:val="auto"/>
              <w:rPr>
                <w:rFonts w:ascii="宋体" w:hAnsi="宋体"/>
                <w:color w:val="auto"/>
                <w:kern w:val="2"/>
                <w:sz w:val="22"/>
                <w:szCs w:val="2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0" w:hRule="exact"/>
        </w:trPr>
        <w:tc>
          <w:tcPr>
            <w:tcW w:w="1771" w:type="dxa"/>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执业注册资格</w:t>
            </w:r>
          </w:p>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及职称</w:t>
            </w:r>
          </w:p>
        </w:tc>
        <w:tc>
          <w:tcPr>
            <w:tcW w:w="3853" w:type="dxa"/>
            <w:gridSpan w:val="4"/>
            <w:vAlign w:val="center"/>
          </w:tcPr>
          <w:p>
            <w:pPr>
              <w:spacing w:line="240" w:lineRule="auto"/>
              <w:jc w:val="center"/>
              <w:textAlignment w:val="auto"/>
              <w:rPr>
                <w:rFonts w:ascii="宋体" w:hAnsi="宋体"/>
                <w:color w:val="auto"/>
                <w:kern w:val="2"/>
                <w:sz w:val="22"/>
                <w:szCs w:val="22"/>
                <w:highlight w:val="white"/>
              </w:rPr>
            </w:pPr>
          </w:p>
        </w:tc>
        <w:tc>
          <w:tcPr>
            <w:tcW w:w="1813" w:type="dxa"/>
            <w:gridSpan w:val="2"/>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是否本单位</w:t>
            </w:r>
          </w:p>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长期雇员</w:t>
            </w:r>
          </w:p>
        </w:tc>
        <w:tc>
          <w:tcPr>
            <w:tcW w:w="2143" w:type="dxa"/>
            <w:vAlign w:val="center"/>
          </w:tcPr>
          <w:p>
            <w:pPr>
              <w:spacing w:line="240" w:lineRule="auto"/>
              <w:jc w:val="center"/>
              <w:textAlignment w:val="auto"/>
              <w:rPr>
                <w:rFonts w:ascii="宋体" w:hAnsi="宋体"/>
                <w:color w:val="auto"/>
                <w:kern w:val="2"/>
                <w:sz w:val="22"/>
                <w:szCs w:val="2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exact"/>
        </w:trPr>
        <w:tc>
          <w:tcPr>
            <w:tcW w:w="1771" w:type="dxa"/>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在本项目中</w:t>
            </w:r>
          </w:p>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担任任务</w:t>
            </w:r>
          </w:p>
        </w:tc>
        <w:tc>
          <w:tcPr>
            <w:tcW w:w="7809" w:type="dxa"/>
            <w:gridSpan w:val="7"/>
            <w:vAlign w:val="center"/>
          </w:tcPr>
          <w:p>
            <w:pPr>
              <w:spacing w:line="240" w:lineRule="auto"/>
              <w:jc w:val="center"/>
              <w:textAlignment w:val="auto"/>
              <w:rPr>
                <w:rFonts w:ascii="宋体" w:hAnsi="宋体"/>
                <w:color w:val="auto"/>
                <w:kern w:val="2"/>
                <w:sz w:val="22"/>
                <w:szCs w:val="2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71" w:type="dxa"/>
            <w:vMerge w:val="restart"/>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本人</w:t>
            </w:r>
          </w:p>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主要</w:t>
            </w:r>
          </w:p>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设计</w:t>
            </w:r>
          </w:p>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成果</w:t>
            </w:r>
          </w:p>
        </w:tc>
        <w:tc>
          <w:tcPr>
            <w:tcW w:w="630" w:type="dxa"/>
            <w:vAlign w:val="center"/>
          </w:tcPr>
          <w:p>
            <w:pPr>
              <w:spacing w:line="240" w:lineRule="auto"/>
              <w:jc w:val="center"/>
              <w:textAlignment w:val="auto"/>
              <w:rPr>
                <w:rFonts w:ascii="宋体" w:hAnsi="宋体"/>
                <w:color w:val="auto"/>
                <w:kern w:val="2"/>
                <w:sz w:val="22"/>
                <w:szCs w:val="22"/>
                <w:highlight w:val="white"/>
              </w:rPr>
            </w:pPr>
            <w:r>
              <w:rPr>
                <w:rFonts w:ascii="宋体" w:hAnsi="宋体"/>
                <w:color w:val="auto"/>
                <w:kern w:val="2"/>
                <w:sz w:val="22"/>
                <w:szCs w:val="22"/>
                <w:highlight w:val="white"/>
              </w:rPr>
              <w:t>1</w:t>
            </w:r>
          </w:p>
          <w:p>
            <w:pPr>
              <w:spacing w:line="240" w:lineRule="auto"/>
              <w:jc w:val="center"/>
              <w:textAlignment w:val="auto"/>
              <w:rPr>
                <w:rFonts w:ascii="宋体" w:hAnsi="宋体"/>
                <w:color w:val="auto"/>
                <w:kern w:val="2"/>
                <w:sz w:val="22"/>
                <w:szCs w:val="22"/>
                <w:highlight w:val="white"/>
              </w:rPr>
            </w:pPr>
          </w:p>
        </w:tc>
        <w:tc>
          <w:tcPr>
            <w:tcW w:w="3223" w:type="dxa"/>
            <w:gridSpan w:val="3"/>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工程项目名称及规模</w:t>
            </w:r>
          </w:p>
        </w:tc>
        <w:tc>
          <w:tcPr>
            <w:tcW w:w="1572" w:type="dxa"/>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完成年月</w:t>
            </w:r>
          </w:p>
        </w:tc>
        <w:tc>
          <w:tcPr>
            <w:tcW w:w="2384" w:type="dxa"/>
            <w:gridSpan w:val="2"/>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71" w:type="dxa"/>
            <w:vMerge w:val="continue"/>
            <w:vAlign w:val="center"/>
          </w:tcPr>
          <w:p>
            <w:pPr>
              <w:spacing w:line="240" w:lineRule="auto"/>
              <w:jc w:val="center"/>
              <w:textAlignment w:val="auto"/>
              <w:rPr>
                <w:rFonts w:ascii="宋体" w:hAnsi="宋体"/>
                <w:color w:val="auto"/>
                <w:kern w:val="2"/>
                <w:sz w:val="22"/>
                <w:szCs w:val="22"/>
                <w:highlight w:val="white"/>
              </w:rPr>
            </w:pPr>
          </w:p>
        </w:tc>
        <w:tc>
          <w:tcPr>
            <w:tcW w:w="630" w:type="dxa"/>
            <w:vAlign w:val="center"/>
          </w:tcPr>
          <w:p>
            <w:pPr>
              <w:spacing w:line="240" w:lineRule="auto"/>
              <w:jc w:val="center"/>
              <w:textAlignment w:val="auto"/>
              <w:rPr>
                <w:rFonts w:ascii="宋体" w:hAnsi="宋体"/>
                <w:color w:val="auto"/>
                <w:kern w:val="2"/>
                <w:sz w:val="22"/>
                <w:szCs w:val="22"/>
                <w:highlight w:val="white"/>
              </w:rPr>
            </w:pPr>
            <w:r>
              <w:rPr>
                <w:rFonts w:ascii="宋体" w:hAnsi="宋体"/>
                <w:color w:val="auto"/>
                <w:kern w:val="2"/>
                <w:sz w:val="22"/>
                <w:szCs w:val="22"/>
                <w:highlight w:val="white"/>
              </w:rPr>
              <w:t>2</w:t>
            </w:r>
          </w:p>
        </w:tc>
        <w:tc>
          <w:tcPr>
            <w:tcW w:w="3223" w:type="dxa"/>
            <w:gridSpan w:val="3"/>
            <w:vAlign w:val="center"/>
          </w:tcPr>
          <w:p>
            <w:pPr>
              <w:spacing w:line="240" w:lineRule="auto"/>
              <w:jc w:val="center"/>
              <w:textAlignment w:val="auto"/>
              <w:rPr>
                <w:rFonts w:ascii="宋体" w:hAnsi="宋体"/>
                <w:color w:val="auto"/>
                <w:kern w:val="2"/>
                <w:sz w:val="22"/>
                <w:szCs w:val="22"/>
                <w:highlight w:val="white"/>
              </w:rPr>
            </w:pPr>
          </w:p>
        </w:tc>
        <w:tc>
          <w:tcPr>
            <w:tcW w:w="1572" w:type="dxa"/>
            <w:vAlign w:val="center"/>
          </w:tcPr>
          <w:p>
            <w:pPr>
              <w:spacing w:line="240" w:lineRule="auto"/>
              <w:jc w:val="center"/>
              <w:textAlignment w:val="auto"/>
              <w:rPr>
                <w:rFonts w:ascii="宋体" w:hAnsi="宋体"/>
                <w:color w:val="auto"/>
                <w:kern w:val="2"/>
                <w:sz w:val="22"/>
                <w:szCs w:val="22"/>
                <w:highlight w:val="white"/>
              </w:rPr>
            </w:pPr>
          </w:p>
        </w:tc>
        <w:tc>
          <w:tcPr>
            <w:tcW w:w="2384" w:type="dxa"/>
            <w:gridSpan w:val="2"/>
            <w:vAlign w:val="center"/>
          </w:tcPr>
          <w:p>
            <w:pPr>
              <w:spacing w:line="240" w:lineRule="auto"/>
              <w:jc w:val="center"/>
              <w:textAlignment w:val="auto"/>
              <w:rPr>
                <w:rFonts w:ascii="宋体" w:hAnsi="宋体"/>
                <w:color w:val="auto"/>
                <w:kern w:val="2"/>
                <w:sz w:val="22"/>
                <w:szCs w:val="2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71" w:type="dxa"/>
            <w:vMerge w:val="continue"/>
            <w:vAlign w:val="center"/>
          </w:tcPr>
          <w:p>
            <w:pPr>
              <w:spacing w:line="240" w:lineRule="auto"/>
              <w:jc w:val="center"/>
              <w:textAlignment w:val="auto"/>
              <w:rPr>
                <w:rFonts w:ascii="宋体" w:hAnsi="宋体"/>
                <w:color w:val="auto"/>
                <w:kern w:val="2"/>
                <w:sz w:val="22"/>
                <w:szCs w:val="22"/>
                <w:highlight w:val="white"/>
              </w:rPr>
            </w:pPr>
          </w:p>
        </w:tc>
        <w:tc>
          <w:tcPr>
            <w:tcW w:w="630" w:type="dxa"/>
            <w:vAlign w:val="center"/>
          </w:tcPr>
          <w:p>
            <w:pPr>
              <w:spacing w:line="240" w:lineRule="auto"/>
              <w:jc w:val="center"/>
              <w:textAlignment w:val="auto"/>
              <w:rPr>
                <w:rFonts w:ascii="宋体" w:hAnsi="宋体"/>
                <w:color w:val="auto"/>
                <w:kern w:val="2"/>
                <w:sz w:val="22"/>
                <w:szCs w:val="22"/>
                <w:highlight w:val="white"/>
              </w:rPr>
            </w:pPr>
            <w:r>
              <w:rPr>
                <w:rFonts w:ascii="宋体" w:hAnsi="宋体"/>
                <w:color w:val="auto"/>
                <w:kern w:val="2"/>
                <w:sz w:val="22"/>
                <w:szCs w:val="22"/>
                <w:highlight w:val="white"/>
              </w:rPr>
              <w:t>3</w:t>
            </w:r>
          </w:p>
        </w:tc>
        <w:tc>
          <w:tcPr>
            <w:tcW w:w="3223" w:type="dxa"/>
            <w:gridSpan w:val="3"/>
            <w:vAlign w:val="center"/>
          </w:tcPr>
          <w:p>
            <w:pPr>
              <w:spacing w:line="240" w:lineRule="auto"/>
              <w:jc w:val="center"/>
              <w:textAlignment w:val="auto"/>
              <w:rPr>
                <w:rFonts w:ascii="宋体" w:hAnsi="宋体"/>
                <w:color w:val="auto"/>
                <w:kern w:val="2"/>
                <w:sz w:val="22"/>
                <w:szCs w:val="22"/>
                <w:highlight w:val="white"/>
              </w:rPr>
            </w:pPr>
          </w:p>
        </w:tc>
        <w:tc>
          <w:tcPr>
            <w:tcW w:w="1572" w:type="dxa"/>
            <w:vAlign w:val="center"/>
          </w:tcPr>
          <w:p>
            <w:pPr>
              <w:spacing w:line="240" w:lineRule="auto"/>
              <w:jc w:val="center"/>
              <w:textAlignment w:val="auto"/>
              <w:rPr>
                <w:rFonts w:ascii="宋体" w:hAnsi="宋体"/>
                <w:color w:val="auto"/>
                <w:kern w:val="2"/>
                <w:sz w:val="22"/>
                <w:szCs w:val="22"/>
                <w:highlight w:val="white"/>
              </w:rPr>
            </w:pPr>
          </w:p>
        </w:tc>
        <w:tc>
          <w:tcPr>
            <w:tcW w:w="2384" w:type="dxa"/>
            <w:gridSpan w:val="2"/>
            <w:vAlign w:val="center"/>
          </w:tcPr>
          <w:p>
            <w:pPr>
              <w:spacing w:line="240" w:lineRule="auto"/>
              <w:jc w:val="center"/>
              <w:textAlignment w:val="auto"/>
              <w:rPr>
                <w:rFonts w:ascii="宋体" w:hAnsi="宋体"/>
                <w:color w:val="auto"/>
                <w:kern w:val="2"/>
                <w:sz w:val="22"/>
                <w:szCs w:val="2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71" w:type="dxa"/>
            <w:vMerge w:val="continue"/>
            <w:vAlign w:val="center"/>
          </w:tcPr>
          <w:p>
            <w:pPr>
              <w:spacing w:line="240" w:lineRule="auto"/>
              <w:jc w:val="center"/>
              <w:textAlignment w:val="auto"/>
              <w:rPr>
                <w:rFonts w:ascii="宋体" w:hAnsi="宋体"/>
                <w:color w:val="auto"/>
                <w:kern w:val="2"/>
                <w:sz w:val="22"/>
                <w:szCs w:val="22"/>
                <w:highlight w:val="white"/>
              </w:rPr>
            </w:pPr>
          </w:p>
        </w:tc>
        <w:tc>
          <w:tcPr>
            <w:tcW w:w="630" w:type="dxa"/>
            <w:vAlign w:val="center"/>
          </w:tcPr>
          <w:p>
            <w:pPr>
              <w:spacing w:line="240" w:lineRule="auto"/>
              <w:jc w:val="center"/>
              <w:textAlignment w:val="auto"/>
              <w:rPr>
                <w:rFonts w:ascii="宋体" w:hAnsi="宋体"/>
                <w:color w:val="auto"/>
                <w:kern w:val="2"/>
                <w:sz w:val="22"/>
                <w:szCs w:val="22"/>
                <w:highlight w:val="white"/>
              </w:rPr>
            </w:pPr>
            <w:r>
              <w:rPr>
                <w:rFonts w:ascii="宋体" w:hAnsi="宋体"/>
                <w:color w:val="auto"/>
                <w:kern w:val="2"/>
                <w:sz w:val="22"/>
                <w:szCs w:val="22"/>
                <w:highlight w:val="white"/>
              </w:rPr>
              <w:t>4</w:t>
            </w:r>
          </w:p>
          <w:p>
            <w:pPr>
              <w:spacing w:line="240" w:lineRule="auto"/>
              <w:jc w:val="center"/>
              <w:textAlignment w:val="auto"/>
              <w:rPr>
                <w:rFonts w:ascii="宋体" w:hAnsi="宋体"/>
                <w:color w:val="auto"/>
                <w:kern w:val="2"/>
                <w:sz w:val="22"/>
                <w:szCs w:val="22"/>
                <w:highlight w:val="white"/>
              </w:rPr>
            </w:pPr>
          </w:p>
        </w:tc>
        <w:tc>
          <w:tcPr>
            <w:tcW w:w="3223" w:type="dxa"/>
            <w:gridSpan w:val="3"/>
            <w:vAlign w:val="center"/>
          </w:tcPr>
          <w:p>
            <w:pPr>
              <w:spacing w:line="240" w:lineRule="auto"/>
              <w:jc w:val="center"/>
              <w:textAlignment w:val="auto"/>
              <w:rPr>
                <w:rFonts w:ascii="宋体" w:hAnsi="宋体"/>
                <w:color w:val="auto"/>
                <w:kern w:val="2"/>
                <w:sz w:val="22"/>
                <w:szCs w:val="22"/>
                <w:highlight w:val="white"/>
              </w:rPr>
            </w:pPr>
          </w:p>
        </w:tc>
        <w:tc>
          <w:tcPr>
            <w:tcW w:w="1572" w:type="dxa"/>
            <w:vAlign w:val="center"/>
          </w:tcPr>
          <w:p>
            <w:pPr>
              <w:spacing w:line="240" w:lineRule="auto"/>
              <w:jc w:val="center"/>
              <w:textAlignment w:val="auto"/>
              <w:rPr>
                <w:rFonts w:ascii="宋体" w:hAnsi="宋体"/>
                <w:color w:val="auto"/>
                <w:kern w:val="2"/>
                <w:sz w:val="22"/>
                <w:szCs w:val="22"/>
                <w:highlight w:val="white"/>
              </w:rPr>
            </w:pPr>
          </w:p>
        </w:tc>
        <w:tc>
          <w:tcPr>
            <w:tcW w:w="2384" w:type="dxa"/>
            <w:gridSpan w:val="2"/>
            <w:vAlign w:val="center"/>
          </w:tcPr>
          <w:p>
            <w:pPr>
              <w:spacing w:line="240" w:lineRule="auto"/>
              <w:jc w:val="center"/>
              <w:textAlignment w:val="auto"/>
              <w:rPr>
                <w:rFonts w:ascii="宋体" w:hAnsi="宋体"/>
                <w:color w:val="auto"/>
                <w:kern w:val="2"/>
                <w:sz w:val="22"/>
                <w:szCs w:val="2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71" w:type="dxa"/>
            <w:vMerge w:val="continue"/>
            <w:vAlign w:val="center"/>
          </w:tcPr>
          <w:p>
            <w:pPr>
              <w:spacing w:line="240" w:lineRule="auto"/>
              <w:jc w:val="center"/>
              <w:textAlignment w:val="auto"/>
              <w:rPr>
                <w:rFonts w:ascii="宋体" w:hAnsi="宋体"/>
                <w:color w:val="auto"/>
                <w:kern w:val="2"/>
                <w:sz w:val="22"/>
                <w:szCs w:val="22"/>
                <w:highlight w:val="white"/>
              </w:rPr>
            </w:pPr>
          </w:p>
        </w:tc>
        <w:tc>
          <w:tcPr>
            <w:tcW w:w="630" w:type="dxa"/>
            <w:vAlign w:val="center"/>
          </w:tcPr>
          <w:p>
            <w:pPr>
              <w:spacing w:line="240" w:lineRule="auto"/>
              <w:jc w:val="center"/>
              <w:textAlignment w:val="auto"/>
              <w:rPr>
                <w:rFonts w:ascii="宋体" w:hAnsi="宋体"/>
                <w:color w:val="auto"/>
                <w:kern w:val="2"/>
                <w:sz w:val="22"/>
                <w:szCs w:val="22"/>
                <w:highlight w:val="white"/>
              </w:rPr>
            </w:pPr>
            <w:r>
              <w:rPr>
                <w:rFonts w:ascii="宋体" w:hAnsi="宋体"/>
                <w:color w:val="auto"/>
                <w:kern w:val="2"/>
                <w:sz w:val="22"/>
                <w:szCs w:val="22"/>
                <w:highlight w:val="white"/>
              </w:rPr>
              <w:t>5</w:t>
            </w:r>
          </w:p>
          <w:p>
            <w:pPr>
              <w:spacing w:line="240" w:lineRule="auto"/>
              <w:jc w:val="center"/>
              <w:textAlignment w:val="auto"/>
              <w:rPr>
                <w:rFonts w:ascii="宋体" w:hAnsi="宋体"/>
                <w:color w:val="auto"/>
                <w:kern w:val="2"/>
                <w:sz w:val="22"/>
                <w:szCs w:val="22"/>
                <w:highlight w:val="white"/>
              </w:rPr>
            </w:pPr>
          </w:p>
        </w:tc>
        <w:tc>
          <w:tcPr>
            <w:tcW w:w="3223" w:type="dxa"/>
            <w:gridSpan w:val="3"/>
            <w:vAlign w:val="center"/>
          </w:tcPr>
          <w:p>
            <w:pPr>
              <w:spacing w:line="240" w:lineRule="auto"/>
              <w:jc w:val="center"/>
              <w:textAlignment w:val="auto"/>
              <w:rPr>
                <w:rFonts w:ascii="宋体" w:hAnsi="宋体"/>
                <w:color w:val="auto"/>
                <w:kern w:val="2"/>
                <w:sz w:val="22"/>
                <w:szCs w:val="22"/>
                <w:highlight w:val="white"/>
              </w:rPr>
            </w:pPr>
          </w:p>
        </w:tc>
        <w:tc>
          <w:tcPr>
            <w:tcW w:w="1572" w:type="dxa"/>
            <w:vAlign w:val="center"/>
          </w:tcPr>
          <w:p>
            <w:pPr>
              <w:spacing w:line="240" w:lineRule="auto"/>
              <w:jc w:val="center"/>
              <w:textAlignment w:val="auto"/>
              <w:rPr>
                <w:rFonts w:ascii="宋体" w:hAnsi="宋体"/>
                <w:color w:val="auto"/>
                <w:kern w:val="2"/>
                <w:sz w:val="22"/>
                <w:szCs w:val="22"/>
                <w:highlight w:val="white"/>
              </w:rPr>
            </w:pPr>
          </w:p>
        </w:tc>
        <w:tc>
          <w:tcPr>
            <w:tcW w:w="2384" w:type="dxa"/>
            <w:gridSpan w:val="2"/>
            <w:vAlign w:val="center"/>
          </w:tcPr>
          <w:p>
            <w:pPr>
              <w:spacing w:line="240" w:lineRule="auto"/>
              <w:jc w:val="center"/>
              <w:textAlignment w:val="auto"/>
              <w:rPr>
                <w:rFonts w:ascii="宋体" w:hAnsi="宋体"/>
                <w:color w:val="auto"/>
                <w:kern w:val="2"/>
                <w:sz w:val="22"/>
                <w:szCs w:val="2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6" w:hRule="exact"/>
        </w:trPr>
        <w:tc>
          <w:tcPr>
            <w:tcW w:w="1771" w:type="dxa"/>
            <w:vAlign w:val="center"/>
          </w:tcPr>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其它需</w:t>
            </w:r>
          </w:p>
          <w:p>
            <w:pPr>
              <w:spacing w:line="240" w:lineRule="auto"/>
              <w:jc w:val="center"/>
              <w:textAlignment w:val="auto"/>
              <w:rPr>
                <w:rFonts w:ascii="宋体" w:hAnsi="宋体"/>
                <w:color w:val="auto"/>
                <w:kern w:val="2"/>
                <w:sz w:val="22"/>
                <w:szCs w:val="22"/>
                <w:highlight w:val="white"/>
              </w:rPr>
            </w:pPr>
            <w:r>
              <w:rPr>
                <w:rFonts w:hint="eastAsia" w:ascii="宋体" w:hAnsi="宋体"/>
                <w:color w:val="auto"/>
                <w:kern w:val="2"/>
                <w:sz w:val="22"/>
                <w:szCs w:val="22"/>
                <w:highlight w:val="white"/>
              </w:rPr>
              <w:t>补充的情况</w:t>
            </w:r>
          </w:p>
        </w:tc>
        <w:tc>
          <w:tcPr>
            <w:tcW w:w="7809" w:type="dxa"/>
            <w:gridSpan w:val="7"/>
            <w:vAlign w:val="center"/>
          </w:tcPr>
          <w:p>
            <w:pPr>
              <w:spacing w:line="240" w:lineRule="auto"/>
              <w:jc w:val="center"/>
              <w:textAlignment w:val="auto"/>
              <w:rPr>
                <w:rFonts w:ascii="宋体" w:hAnsi="宋体"/>
                <w:color w:val="auto"/>
                <w:kern w:val="2"/>
                <w:sz w:val="22"/>
                <w:szCs w:val="22"/>
                <w:highlight w:val="white"/>
              </w:rPr>
            </w:pPr>
          </w:p>
        </w:tc>
      </w:tr>
    </w:tbl>
    <w:p>
      <w:pPr>
        <w:autoSpaceDE w:val="0"/>
        <w:autoSpaceDN w:val="0"/>
        <w:adjustRightInd w:val="0"/>
        <w:spacing w:line="360" w:lineRule="auto"/>
        <w:rPr>
          <w:rFonts w:hAnsi="宋体"/>
          <w:b/>
          <w:color w:val="auto"/>
          <w:sz w:val="24"/>
          <w:szCs w:val="24"/>
        </w:rPr>
      </w:pPr>
    </w:p>
    <w:p>
      <w:pPr>
        <w:topLinePunct/>
        <w:spacing w:line="560" w:lineRule="exact"/>
        <w:ind w:firstLine="480" w:firstLineChars="200"/>
        <w:rPr>
          <w:rFonts w:ascii="宋体" w:hAnsi="宋体"/>
          <w:color w:val="auto"/>
          <w:sz w:val="24"/>
        </w:rPr>
      </w:pPr>
      <w:r>
        <w:rPr>
          <w:rFonts w:hint="eastAsia" w:ascii="宋体" w:hAnsi="宋体"/>
          <w:color w:val="auto"/>
          <w:sz w:val="24"/>
        </w:rPr>
        <w:t>投标人</w:t>
      </w:r>
      <w:r>
        <w:rPr>
          <w:rFonts w:ascii="宋体" w:hAnsi="宋体"/>
          <w:color w:val="auto"/>
          <w:sz w:val="24"/>
        </w:rPr>
        <w:t xml:space="preserve">(盖章):                          </w:t>
      </w:r>
    </w:p>
    <w:p>
      <w:pPr>
        <w:topLinePunct/>
        <w:spacing w:line="560" w:lineRule="exact"/>
        <w:ind w:firstLine="480" w:firstLineChars="200"/>
        <w:rPr>
          <w:rFonts w:ascii="宋体" w:hAnsi="宋体"/>
          <w:color w:val="auto"/>
          <w:sz w:val="24"/>
        </w:rPr>
      </w:pPr>
      <w:r>
        <w:rPr>
          <w:rFonts w:hint="eastAsia" w:ascii="宋体" w:hAnsi="宋体"/>
          <w:color w:val="auto"/>
          <w:sz w:val="24"/>
        </w:rPr>
        <w:t>法定代表人</w:t>
      </w:r>
      <w:r>
        <w:rPr>
          <w:rFonts w:ascii="宋体" w:hAnsi="宋体"/>
          <w:color w:val="auto"/>
          <w:sz w:val="24"/>
        </w:rPr>
        <w:t>(签章):</w:t>
      </w:r>
    </w:p>
    <w:p>
      <w:pPr>
        <w:wordWrap w:val="0"/>
        <w:topLinePunct/>
        <w:spacing w:line="560" w:lineRule="exact"/>
        <w:ind w:firstLine="600" w:firstLineChars="250"/>
        <w:jc w:val="right"/>
        <w:rPr>
          <w:rFonts w:ascii="宋体" w:hAnsi="宋体"/>
          <w:color w:val="auto"/>
          <w:sz w:val="24"/>
        </w:rPr>
      </w:pPr>
      <w:r>
        <w:rPr>
          <w:rFonts w:hint="eastAsia" w:ascii="宋体" w:hAnsi="宋体"/>
          <w:color w:val="auto"/>
          <w:sz w:val="24"/>
        </w:rPr>
        <w:t>年</w:t>
      </w:r>
      <w:r>
        <w:rPr>
          <w:rFonts w:ascii="宋体" w:hAnsi="宋体"/>
          <w:color w:val="auto"/>
          <w:sz w:val="24"/>
        </w:rPr>
        <w:t xml:space="preserve">   月  </w:t>
      </w:r>
      <w:r>
        <w:rPr>
          <w:rFonts w:hint="eastAsia" w:ascii="宋体" w:hAnsi="宋体"/>
          <w:color w:val="auto"/>
          <w:sz w:val="24"/>
        </w:rPr>
        <w:t>日</w:t>
      </w:r>
    </w:p>
    <w:p>
      <w:pPr>
        <w:autoSpaceDE w:val="0"/>
        <w:autoSpaceDN w:val="0"/>
        <w:adjustRightInd w:val="0"/>
        <w:spacing w:line="360" w:lineRule="auto"/>
        <w:rPr>
          <w:rFonts w:hAnsi="宋体"/>
          <w:b/>
          <w:color w:val="auto"/>
          <w:sz w:val="24"/>
          <w:szCs w:val="24"/>
        </w:rPr>
      </w:pPr>
    </w:p>
    <w:p>
      <w:pPr>
        <w:autoSpaceDE w:val="0"/>
        <w:autoSpaceDN w:val="0"/>
        <w:adjustRightInd w:val="0"/>
        <w:spacing w:line="360" w:lineRule="auto"/>
        <w:jc w:val="center"/>
        <w:rPr>
          <w:rFonts w:hAnsi="宋体"/>
          <w:b/>
          <w:color w:val="auto"/>
          <w:sz w:val="24"/>
          <w:szCs w:val="24"/>
        </w:rPr>
      </w:pPr>
      <w:r>
        <w:rPr>
          <w:rFonts w:hAnsi="宋体"/>
          <w:b/>
          <w:color w:val="auto"/>
          <w:sz w:val="24"/>
          <w:szCs w:val="24"/>
        </w:rPr>
        <w:br w:type="page"/>
      </w:r>
      <w:r>
        <w:rPr>
          <w:rFonts w:ascii="宋体" w:hAnsi="宋体" w:cs="宋体"/>
          <w:b/>
          <w:color w:val="auto"/>
          <w:sz w:val="28"/>
          <w:szCs w:val="28"/>
        </w:rPr>
        <w:t>项目组成员配备情况表</w:t>
      </w:r>
    </w:p>
    <w:tbl>
      <w:tblPr>
        <w:tblStyle w:val="29"/>
        <w:tblW w:w="8505" w:type="dxa"/>
        <w:tblInd w:w="108" w:type="dxa"/>
        <w:tblLayout w:type="fixed"/>
        <w:tblCellMar>
          <w:top w:w="0" w:type="dxa"/>
          <w:left w:w="108" w:type="dxa"/>
          <w:bottom w:w="0" w:type="dxa"/>
          <w:right w:w="108" w:type="dxa"/>
        </w:tblCellMar>
      </w:tblPr>
      <w:tblGrid>
        <w:gridCol w:w="836"/>
        <w:gridCol w:w="1080"/>
        <w:gridCol w:w="919"/>
        <w:gridCol w:w="2127"/>
        <w:gridCol w:w="1275"/>
        <w:gridCol w:w="1134"/>
        <w:gridCol w:w="1134"/>
      </w:tblGrid>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jc w:val="center"/>
              <w:rPr>
                <w:rFonts w:ascii="宋体" w:hAnsi="宋体"/>
                <w:color w:val="auto"/>
                <w:sz w:val="22"/>
              </w:rPr>
            </w:pPr>
            <w:r>
              <w:rPr>
                <w:rFonts w:hint="eastAsia" w:ascii="宋体" w:hAnsi="宋体"/>
                <w:color w:val="auto"/>
                <w:sz w:val="22"/>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jc w:val="center"/>
              <w:rPr>
                <w:rFonts w:ascii="宋体" w:hAnsi="宋体"/>
                <w:color w:val="auto"/>
                <w:sz w:val="22"/>
              </w:rPr>
            </w:pPr>
            <w:r>
              <w:rPr>
                <w:rFonts w:hint="eastAsia" w:ascii="宋体" w:hAnsi="宋体"/>
                <w:color w:val="auto"/>
                <w:sz w:val="22"/>
              </w:rPr>
              <w:t>姓名</w:t>
            </w:r>
          </w:p>
        </w:tc>
        <w:tc>
          <w:tcPr>
            <w:tcW w:w="9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jc w:val="center"/>
              <w:rPr>
                <w:rFonts w:ascii="宋体" w:hAnsi="宋体"/>
                <w:color w:val="auto"/>
                <w:sz w:val="22"/>
              </w:rPr>
            </w:pPr>
            <w:r>
              <w:rPr>
                <w:rFonts w:hint="eastAsia" w:ascii="宋体" w:hAnsi="宋体"/>
                <w:color w:val="auto"/>
                <w:sz w:val="22"/>
              </w:rPr>
              <w:t>年龄</w:t>
            </w:r>
          </w:p>
        </w:tc>
        <w:tc>
          <w:tcPr>
            <w:tcW w:w="21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jc w:val="center"/>
              <w:rPr>
                <w:rFonts w:ascii="宋体" w:hAnsi="宋体"/>
                <w:color w:val="auto"/>
                <w:sz w:val="22"/>
              </w:rPr>
            </w:pPr>
            <w:r>
              <w:rPr>
                <w:rFonts w:hint="eastAsia" w:ascii="宋体" w:hAnsi="宋体"/>
                <w:color w:val="auto"/>
                <w:sz w:val="22"/>
              </w:rPr>
              <w:t>拟在本项目中担任的任务</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jc w:val="center"/>
              <w:rPr>
                <w:rFonts w:ascii="宋体" w:hAnsi="宋体"/>
                <w:color w:val="auto"/>
                <w:sz w:val="22"/>
              </w:rPr>
            </w:pPr>
            <w:r>
              <w:rPr>
                <w:rFonts w:hint="eastAsia" w:ascii="宋体" w:hAnsi="宋体"/>
                <w:color w:val="auto"/>
                <w:sz w:val="22"/>
              </w:rPr>
              <w:t>技术职称</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jc w:val="center"/>
              <w:rPr>
                <w:rFonts w:ascii="宋体" w:hAnsi="宋体"/>
                <w:color w:val="auto"/>
                <w:sz w:val="22"/>
              </w:rPr>
            </w:pPr>
            <w:r>
              <w:rPr>
                <w:rFonts w:hint="eastAsia" w:ascii="宋体" w:hAnsi="宋体"/>
                <w:color w:val="auto"/>
                <w:sz w:val="22"/>
              </w:rPr>
              <w:t>专业</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jc w:val="center"/>
              <w:rPr>
                <w:rFonts w:ascii="宋体" w:hAnsi="宋体"/>
                <w:color w:val="auto"/>
                <w:sz w:val="22"/>
              </w:rPr>
            </w:pPr>
            <w:r>
              <w:rPr>
                <w:rFonts w:hint="eastAsia" w:ascii="宋体" w:hAnsi="宋体"/>
                <w:color w:val="auto"/>
                <w:sz w:val="22"/>
              </w:rPr>
              <w:t>工作年限</w:t>
            </w: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2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c>
          <w:tcPr>
            <w:tcW w:w="1080"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919"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2127"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275"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360"/>
                <w:tab w:val="left" w:pos="1800"/>
              </w:tabs>
              <w:jc w:val="center"/>
              <w:rPr>
                <w:rFonts w:ascii="宋体" w:hAnsi="宋体" w:cs="宋体"/>
                <w:color w:val="auto"/>
                <w:kern w:val="1"/>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1800"/>
              </w:tabs>
              <w:jc w:val="center"/>
              <w:rPr>
                <w:rFonts w:ascii="宋体" w:hAnsi="宋体" w:cs="宋体"/>
                <w:color w:val="auto"/>
                <w:kern w:val="1"/>
                <w:sz w:val="24"/>
              </w:rPr>
            </w:pPr>
          </w:p>
        </w:tc>
      </w:tr>
    </w:tbl>
    <w:p>
      <w:pPr>
        <w:autoSpaceDE w:val="0"/>
        <w:autoSpaceDN w:val="0"/>
        <w:adjustRightInd w:val="0"/>
        <w:spacing w:line="360" w:lineRule="auto"/>
        <w:rPr>
          <w:rFonts w:hAnsi="宋体"/>
          <w:b/>
          <w:color w:val="auto"/>
          <w:sz w:val="24"/>
          <w:szCs w:val="24"/>
        </w:rPr>
      </w:pPr>
    </w:p>
    <w:p>
      <w:pPr>
        <w:topLinePunct/>
        <w:spacing w:line="560" w:lineRule="exact"/>
        <w:ind w:firstLine="480" w:firstLineChars="200"/>
        <w:rPr>
          <w:rFonts w:ascii="宋体" w:hAnsi="宋体"/>
          <w:color w:val="auto"/>
          <w:sz w:val="24"/>
        </w:rPr>
      </w:pPr>
      <w:r>
        <w:rPr>
          <w:rFonts w:hint="eastAsia" w:ascii="宋体" w:hAnsi="宋体"/>
          <w:color w:val="auto"/>
          <w:sz w:val="24"/>
        </w:rPr>
        <w:t xml:space="preserve">投标人(盖章):                          </w:t>
      </w:r>
    </w:p>
    <w:p>
      <w:pPr>
        <w:topLinePunct/>
        <w:spacing w:line="560" w:lineRule="exact"/>
        <w:ind w:firstLine="480" w:firstLineChars="200"/>
        <w:rPr>
          <w:rFonts w:ascii="宋体" w:hAnsi="宋体"/>
          <w:color w:val="auto"/>
          <w:sz w:val="24"/>
        </w:rPr>
      </w:pPr>
      <w:r>
        <w:rPr>
          <w:rFonts w:hint="eastAsia" w:ascii="宋体" w:hAnsi="宋体"/>
          <w:color w:val="auto"/>
          <w:sz w:val="24"/>
        </w:rPr>
        <w:t>法定代表人(签章):</w:t>
      </w:r>
    </w:p>
    <w:p>
      <w:pPr>
        <w:wordWrap w:val="0"/>
        <w:topLinePunct/>
        <w:spacing w:line="560" w:lineRule="exact"/>
        <w:ind w:firstLine="600" w:firstLineChars="250"/>
        <w:jc w:val="right"/>
        <w:rPr>
          <w:rFonts w:ascii="宋体" w:hAnsi="宋体"/>
          <w:color w:val="auto"/>
          <w:sz w:val="24"/>
        </w:rPr>
      </w:pPr>
      <w:r>
        <w:rPr>
          <w:rFonts w:hint="eastAsia" w:ascii="宋体" w:hAnsi="宋体"/>
          <w:color w:val="auto"/>
          <w:sz w:val="24"/>
        </w:rPr>
        <w:t>年   月  日</w:t>
      </w:r>
    </w:p>
    <w:p>
      <w:pPr>
        <w:autoSpaceDE w:val="0"/>
        <w:autoSpaceDN w:val="0"/>
        <w:adjustRightInd w:val="0"/>
        <w:spacing w:line="360" w:lineRule="auto"/>
        <w:jc w:val="center"/>
        <w:rPr>
          <w:rFonts w:ascii="宋体" w:hAnsi="宋体"/>
          <w:b/>
          <w:bCs/>
          <w:color w:val="auto"/>
          <w:sz w:val="24"/>
          <w:szCs w:val="24"/>
        </w:rPr>
      </w:pPr>
      <w:r>
        <w:rPr>
          <w:rFonts w:ascii="宋体" w:hAnsi="宋体"/>
          <w:b/>
          <w:bCs/>
          <w:color w:val="auto"/>
          <w:sz w:val="24"/>
          <w:szCs w:val="24"/>
        </w:rPr>
        <w:br w:type="page"/>
      </w:r>
      <w:r>
        <w:rPr>
          <w:rFonts w:hint="eastAsia" w:ascii="宋体" w:hAnsi="宋体"/>
          <w:b/>
          <w:bCs/>
          <w:color w:val="auto"/>
          <w:sz w:val="24"/>
          <w:szCs w:val="24"/>
        </w:rPr>
        <w:t>企业近三年承担类似或相近工程情况一览表</w:t>
      </w:r>
    </w:p>
    <w:tbl>
      <w:tblPr>
        <w:tblStyle w:val="29"/>
        <w:tblW w:w="9299" w:type="dxa"/>
        <w:tblInd w:w="-472" w:type="dxa"/>
        <w:tblLayout w:type="fixed"/>
        <w:tblCellMar>
          <w:top w:w="0" w:type="dxa"/>
          <w:left w:w="108" w:type="dxa"/>
          <w:bottom w:w="0" w:type="dxa"/>
          <w:right w:w="108" w:type="dxa"/>
        </w:tblCellMar>
      </w:tblPr>
      <w:tblGrid>
        <w:gridCol w:w="1009"/>
        <w:gridCol w:w="2711"/>
        <w:gridCol w:w="1319"/>
        <w:gridCol w:w="1376"/>
        <w:gridCol w:w="2884"/>
      </w:tblGrid>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rPr>
            </w:pPr>
            <w:r>
              <w:rPr>
                <w:rFonts w:ascii="宋体" w:hAnsi="宋体" w:cs="宋体"/>
                <w:color w:val="auto"/>
                <w:kern w:val="1"/>
                <w:sz w:val="24"/>
              </w:rPr>
              <w:t>序 号</w:t>
            </w:r>
          </w:p>
        </w:tc>
        <w:tc>
          <w:tcPr>
            <w:tcW w:w="27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rPr>
            </w:pPr>
            <w:r>
              <w:rPr>
                <w:rFonts w:ascii="宋体" w:hAnsi="宋体" w:cs="宋体"/>
                <w:color w:val="auto"/>
                <w:kern w:val="1"/>
                <w:sz w:val="24"/>
              </w:rPr>
              <w:t>项目名称</w:t>
            </w:r>
          </w:p>
        </w:tc>
        <w:tc>
          <w:tcPr>
            <w:tcW w:w="13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rPr>
            </w:pPr>
            <w:r>
              <w:rPr>
                <w:rFonts w:ascii="宋体" w:hAnsi="宋体" w:cs="宋体"/>
                <w:color w:val="auto"/>
                <w:kern w:val="1"/>
                <w:sz w:val="24"/>
              </w:rPr>
              <w:t>规 模</w:t>
            </w:r>
          </w:p>
        </w:tc>
        <w:tc>
          <w:tcPr>
            <w:tcW w:w="13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rPr>
            </w:pPr>
            <w:r>
              <w:rPr>
                <w:rFonts w:ascii="宋体" w:hAnsi="宋体" w:cs="宋体"/>
                <w:color w:val="auto"/>
                <w:kern w:val="1"/>
                <w:sz w:val="24"/>
              </w:rPr>
              <w:t>实施时间</w:t>
            </w:r>
          </w:p>
        </w:tc>
        <w:tc>
          <w:tcPr>
            <w:tcW w:w="28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rPr>
            </w:pPr>
            <w:r>
              <w:rPr>
                <w:rFonts w:ascii="宋体" w:hAnsi="宋体" w:cs="宋体"/>
                <w:color w:val="auto"/>
                <w:kern w:val="1"/>
                <w:sz w:val="24"/>
              </w:rPr>
              <w:t>建设单位/联系电话</w:t>
            </w: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39"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462" w:hRule="atLeast"/>
        </w:trPr>
        <w:tc>
          <w:tcPr>
            <w:tcW w:w="100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71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1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137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rPr>
            </w:pPr>
          </w:p>
        </w:tc>
      </w:tr>
    </w:tbl>
    <w:p>
      <w:pPr>
        <w:autoSpaceDE w:val="0"/>
        <w:autoSpaceDN w:val="0"/>
        <w:adjustRightInd w:val="0"/>
        <w:spacing w:line="360" w:lineRule="auto"/>
        <w:ind w:firstLine="480" w:firstLineChars="200"/>
        <w:jc w:val="right"/>
        <w:rPr>
          <w:rFonts w:ascii="宋体" w:hAnsi="宋体"/>
          <w:color w:val="auto"/>
          <w:sz w:val="24"/>
          <w:szCs w:val="24"/>
        </w:rPr>
      </w:pPr>
      <w:r>
        <w:rPr>
          <w:rFonts w:hint="eastAsia" w:ascii="宋体" w:hAnsi="宋体"/>
          <w:color w:val="auto"/>
          <w:sz w:val="24"/>
          <w:szCs w:val="24"/>
        </w:rPr>
        <w:t>（后附业绩需附中标通知书或合同复印件加盖公章）</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我方承诺上述填报内容真实，如不真实，将按照有关规定接受处理。</w:t>
      </w:r>
    </w:p>
    <w:p>
      <w:pPr>
        <w:autoSpaceDE w:val="0"/>
        <w:autoSpaceDN w:val="0"/>
        <w:adjustRightInd w:val="0"/>
        <w:spacing w:line="360" w:lineRule="auto"/>
        <w:jc w:val="left"/>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投  标  人：（盖章）</w:t>
      </w:r>
    </w:p>
    <w:p>
      <w:pPr>
        <w:spacing w:line="360" w:lineRule="auto"/>
        <w:ind w:firstLine="480" w:firstLineChars="200"/>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法定代表人或其委托代理人：（签字或盖章）</w:t>
      </w:r>
    </w:p>
    <w:p>
      <w:pPr>
        <w:spacing w:line="360" w:lineRule="auto"/>
        <w:ind w:firstLine="960" w:firstLineChars="400"/>
        <w:rPr>
          <w:rFonts w:ascii="宋体" w:hAnsi="宋体"/>
          <w:color w:val="auto"/>
          <w:sz w:val="24"/>
          <w:szCs w:val="24"/>
          <w:u w:val="single"/>
        </w:rPr>
      </w:pPr>
    </w:p>
    <w:p>
      <w:pPr>
        <w:spacing w:line="360" w:lineRule="auto"/>
        <w:ind w:firstLine="5241" w:firstLineChars="2184"/>
        <w:jc w:val="right"/>
        <w:rPr>
          <w:rFonts w:ascii="宋体" w:hAnsi="宋体"/>
          <w:color w:val="auto"/>
          <w:sz w:val="24"/>
          <w:szCs w:val="24"/>
        </w:rPr>
      </w:pPr>
      <w:r>
        <w:rPr>
          <w:rFonts w:hint="eastAsia" w:ascii="宋体" w:hAnsi="宋体"/>
          <w:color w:val="auto"/>
          <w:sz w:val="24"/>
          <w:szCs w:val="24"/>
        </w:rPr>
        <w:t>年    月    日</w:t>
      </w:r>
    </w:p>
    <w:p>
      <w:pPr>
        <w:spacing w:line="360" w:lineRule="auto"/>
        <w:jc w:val="center"/>
        <w:rPr>
          <w:rFonts w:ascii="宋体" w:hAnsi="宋体"/>
          <w:b/>
          <w:color w:val="auto"/>
          <w:sz w:val="24"/>
          <w:szCs w:val="24"/>
        </w:rPr>
      </w:pPr>
    </w:p>
    <w:p>
      <w:pPr>
        <w:spacing w:line="360" w:lineRule="auto"/>
        <w:jc w:val="center"/>
        <w:rPr>
          <w:rFonts w:ascii="宋体" w:hAnsi="宋体"/>
          <w:b/>
          <w:color w:val="auto"/>
          <w:sz w:val="24"/>
          <w:szCs w:val="24"/>
        </w:rPr>
      </w:pPr>
      <w:r>
        <w:rPr>
          <w:rFonts w:hint="eastAsia" w:ascii="宋体" w:hAnsi="宋体"/>
          <w:b/>
          <w:color w:val="auto"/>
          <w:sz w:val="24"/>
          <w:szCs w:val="24"/>
        </w:rPr>
        <w:t>补充条款</w:t>
      </w:r>
    </w:p>
    <w:p>
      <w:pPr>
        <w:spacing w:line="360" w:lineRule="auto"/>
        <w:rPr>
          <w:rFonts w:ascii="宋体" w:hAnsi="宋体"/>
          <w:b/>
          <w:color w:val="auto"/>
          <w:sz w:val="24"/>
          <w:szCs w:val="24"/>
        </w:rPr>
      </w:pPr>
      <w:r>
        <w:rPr>
          <w:rFonts w:hint="eastAsia" w:ascii="宋体" w:hAnsi="宋体"/>
          <w:b/>
          <w:color w:val="auto"/>
          <w:sz w:val="24"/>
        </w:rPr>
        <w:t>其他需要提交的资料（根据招标文件的要求和投标人认为需要提供的资料）；</w:t>
      </w:r>
    </w:p>
    <w:p>
      <w:pPr>
        <w:spacing w:line="460" w:lineRule="exact"/>
        <w:jc w:val="center"/>
        <w:rPr>
          <w:rFonts w:ascii="宋体" w:hAnsi="宋体"/>
          <w:b/>
          <w:color w:val="auto"/>
          <w:sz w:val="24"/>
          <w:szCs w:val="24"/>
        </w:rPr>
      </w:pPr>
    </w:p>
    <w:p>
      <w:pPr>
        <w:spacing w:line="460" w:lineRule="exact"/>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p>
    <w:p>
      <w:pPr>
        <w:spacing w:line="460" w:lineRule="exact"/>
        <w:jc w:val="center"/>
        <w:rPr>
          <w:rFonts w:ascii="宋体" w:hAnsi="宋体"/>
          <w:b/>
          <w:color w:val="auto"/>
          <w:sz w:val="24"/>
          <w:szCs w:val="24"/>
        </w:rPr>
      </w:pPr>
      <w:r>
        <w:rPr>
          <w:rFonts w:hint="eastAsia" w:ascii="宋体" w:hAnsi="宋体"/>
          <w:b/>
          <w:color w:val="auto"/>
          <w:sz w:val="24"/>
          <w:szCs w:val="24"/>
        </w:rPr>
        <w:t>投标单位（投标人）反商业贿赂承诺书</w:t>
      </w:r>
      <w:r>
        <w:rPr>
          <w:rFonts w:ascii="宋体" w:hAnsi="宋体"/>
          <w:b/>
          <w:color w:val="auto"/>
          <w:sz w:val="24"/>
          <w:szCs w:val="24"/>
        </w:rPr>
        <w:t> </w:t>
      </w:r>
    </w:p>
    <w:p>
      <w:pPr>
        <w:topLinePunct/>
        <w:spacing w:line="560" w:lineRule="exact"/>
        <w:ind w:firstLine="480" w:firstLineChars="200"/>
        <w:jc w:val="left"/>
        <w:rPr>
          <w:rFonts w:ascii="宋体" w:hAnsi="宋体"/>
          <w:color w:val="auto"/>
          <w:sz w:val="24"/>
        </w:rPr>
      </w:pPr>
      <w:r>
        <w:rPr>
          <w:rFonts w:hint="eastAsia" w:ascii="宋体" w:hAnsi="宋体"/>
          <w:color w:val="auto"/>
          <w:sz w:val="24"/>
        </w:rPr>
        <w:t>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宋体" w:hAnsi="宋体"/>
          <w:color w:val="auto"/>
          <w:sz w:val="24"/>
        </w:rPr>
        <w:t> </w:t>
      </w:r>
    </w:p>
    <w:p>
      <w:pPr>
        <w:topLinePunct/>
        <w:spacing w:line="560" w:lineRule="exact"/>
        <w:ind w:firstLine="480" w:firstLineChars="200"/>
        <w:jc w:val="left"/>
        <w:rPr>
          <w:rFonts w:ascii="宋体" w:hAnsi="宋体"/>
          <w:color w:val="auto"/>
          <w:sz w:val="24"/>
        </w:rPr>
      </w:pPr>
      <w:r>
        <w:rPr>
          <w:rFonts w:hint="eastAsia" w:ascii="宋体" w:hAnsi="宋体"/>
          <w:color w:val="auto"/>
          <w:sz w:val="24"/>
        </w:rPr>
        <w:t>公司法人代表：</w:t>
      </w:r>
    </w:p>
    <w:p>
      <w:pPr>
        <w:topLinePunct/>
        <w:spacing w:line="560" w:lineRule="exact"/>
        <w:ind w:firstLine="480" w:firstLineChars="200"/>
        <w:jc w:val="left"/>
        <w:rPr>
          <w:rFonts w:ascii="宋体" w:hAnsi="宋体"/>
          <w:color w:val="auto"/>
          <w:sz w:val="24"/>
        </w:rPr>
      </w:pPr>
      <w:r>
        <w:rPr>
          <w:rFonts w:hint="eastAsia" w:ascii="宋体" w:hAnsi="宋体"/>
          <w:color w:val="auto"/>
          <w:sz w:val="24"/>
        </w:rPr>
        <w:t>法人授权代表：</w:t>
      </w:r>
    </w:p>
    <w:p>
      <w:pPr>
        <w:topLinePunct/>
        <w:spacing w:line="560" w:lineRule="exact"/>
        <w:ind w:firstLine="480" w:firstLineChars="200"/>
        <w:jc w:val="left"/>
        <w:rPr>
          <w:rFonts w:ascii="宋体" w:hAnsi="宋体"/>
          <w:color w:val="auto"/>
          <w:sz w:val="24"/>
        </w:rPr>
      </w:pPr>
      <w:r>
        <w:rPr>
          <w:rFonts w:hint="eastAsia" w:ascii="宋体" w:hAnsi="宋体"/>
          <w:color w:val="auto"/>
          <w:sz w:val="24"/>
        </w:rPr>
        <w:t>项目经办人：</w:t>
      </w:r>
    </w:p>
    <w:p>
      <w:pPr>
        <w:topLinePunct/>
        <w:spacing w:line="560" w:lineRule="exact"/>
        <w:ind w:firstLine="480" w:firstLineChars="200"/>
        <w:jc w:val="left"/>
        <w:rPr>
          <w:rFonts w:ascii="宋体" w:hAnsi="宋体"/>
          <w:color w:val="auto"/>
          <w:sz w:val="24"/>
        </w:rPr>
      </w:pPr>
      <w:r>
        <w:rPr>
          <w:rFonts w:hint="eastAsia" w:ascii="宋体" w:hAnsi="宋体"/>
          <w:color w:val="auto"/>
          <w:sz w:val="24"/>
        </w:rPr>
        <w:t xml:space="preserve">                                                     日期：</w:t>
      </w:r>
    </w:p>
    <w:p>
      <w:pPr>
        <w:spacing w:line="240" w:lineRule="auto"/>
        <w:rPr>
          <w:rFonts w:ascii="宋体" w:hAnsi="宋体"/>
          <w:b/>
          <w:color w:val="auto"/>
          <w:sz w:val="24"/>
          <w:szCs w:val="24"/>
        </w:rPr>
      </w:pPr>
      <w:r>
        <w:rPr>
          <w:rFonts w:ascii="宋体" w:hAnsi="宋体"/>
          <w:b/>
          <w:color w:val="auto"/>
          <w:sz w:val="24"/>
          <w:szCs w:val="24"/>
        </w:rPr>
        <w:br w:type="page"/>
      </w:r>
    </w:p>
    <w:p>
      <w:pPr>
        <w:pBdr>
          <w:top w:val="single" w:color="auto" w:sz="4" w:space="0"/>
          <w:left w:val="single" w:color="auto" w:sz="4" w:space="0"/>
          <w:bottom w:val="single" w:color="auto" w:sz="4" w:space="0"/>
          <w:right w:val="single" w:color="auto" w:sz="4" w:space="0"/>
        </w:pBdr>
        <w:autoSpaceDE w:val="0"/>
        <w:autoSpaceDN w:val="0"/>
        <w:adjustRightInd w:val="0"/>
        <w:jc w:val="center"/>
        <w:rPr>
          <w:rFonts w:ascii="宋体"/>
          <w:b/>
          <w:color w:val="auto"/>
          <w:sz w:val="24"/>
        </w:rPr>
      </w:pPr>
    </w:p>
    <w:p>
      <w:pPr>
        <w:pBdr>
          <w:top w:val="single" w:color="auto" w:sz="4" w:space="0"/>
          <w:left w:val="single" w:color="auto" w:sz="4" w:space="0"/>
          <w:bottom w:val="single" w:color="auto" w:sz="4" w:space="0"/>
          <w:right w:val="single" w:color="auto" w:sz="4" w:space="0"/>
        </w:pBdr>
        <w:autoSpaceDE w:val="0"/>
        <w:autoSpaceDN w:val="0"/>
        <w:adjustRightInd w:val="0"/>
        <w:jc w:val="center"/>
        <w:rPr>
          <w:rFonts w:ascii="宋体"/>
          <w:b/>
          <w:color w:val="auto"/>
          <w:sz w:val="24"/>
        </w:rPr>
      </w:pPr>
    </w:p>
    <w:p>
      <w:pPr>
        <w:pBdr>
          <w:top w:val="single" w:color="auto" w:sz="4" w:space="0"/>
          <w:left w:val="single" w:color="auto" w:sz="4" w:space="0"/>
          <w:bottom w:val="single" w:color="auto" w:sz="4" w:space="0"/>
          <w:right w:val="single" w:color="auto" w:sz="4" w:space="0"/>
        </w:pBdr>
        <w:autoSpaceDE w:val="0"/>
        <w:autoSpaceDN w:val="0"/>
        <w:adjustRightInd w:val="0"/>
        <w:jc w:val="center"/>
        <w:rPr>
          <w:rFonts w:ascii="宋体"/>
          <w:b/>
          <w:color w:val="auto"/>
          <w:sz w:val="32"/>
          <w:szCs w:val="32"/>
        </w:rPr>
      </w:pPr>
      <w:r>
        <w:rPr>
          <w:rFonts w:hint="eastAsia" w:ascii="宋体"/>
          <w:b/>
          <w:color w:val="auto"/>
          <w:sz w:val="32"/>
          <w:szCs w:val="32"/>
        </w:rPr>
        <w:t>信用记录</w:t>
      </w:r>
    </w:p>
    <w:p>
      <w:pPr>
        <w:pBdr>
          <w:top w:val="single" w:color="auto" w:sz="4" w:space="0"/>
          <w:left w:val="single" w:color="auto" w:sz="4" w:space="0"/>
          <w:bottom w:val="single" w:color="auto" w:sz="4" w:space="0"/>
          <w:right w:val="single" w:color="auto" w:sz="4" w:space="0"/>
        </w:pBdr>
        <w:adjustRightInd w:val="0"/>
        <w:snapToGrid w:val="0"/>
        <w:spacing w:line="360" w:lineRule="auto"/>
        <w:jc w:val="center"/>
        <w:rPr>
          <w:rFonts w:ascii="宋体" w:hAnsi="宋体" w:cs="宋体"/>
          <w:color w:val="auto"/>
          <w:spacing w:val="6"/>
          <w:szCs w:val="21"/>
        </w:rPr>
      </w:pPr>
      <w:r>
        <w:rPr>
          <w:rFonts w:hint="eastAsia" w:ascii="宋体" w:hAnsi="宋体" w:cs="宋体"/>
          <w:color w:val="auto"/>
          <w:spacing w:val="6"/>
          <w:szCs w:val="21"/>
        </w:rPr>
        <w:t>（复印件并加盖投标人单位公章）</w:t>
      </w:r>
    </w:p>
    <w:p>
      <w:pPr>
        <w:pBdr>
          <w:top w:val="single" w:color="auto" w:sz="4" w:space="0"/>
          <w:left w:val="single" w:color="auto" w:sz="4" w:space="0"/>
          <w:bottom w:val="single" w:color="auto" w:sz="4" w:space="0"/>
          <w:right w:val="single" w:color="auto" w:sz="4" w:space="0"/>
        </w:pBd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依据财库[2016]125号文件规定，投标人须符合《关于在政府招标活动中查询及使用信用记录有关问题的通知》的相关要求，即具有良好的信用记录。</w:t>
      </w:r>
    </w:p>
    <w:p>
      <w:pPr>
        <w:pBdr>
          <w:top w:val="single" w:color="auto" w:sz="4" w:space="0"/>
          <w:left w:val="single" w:color="auto" w:sz="4" w:space="0"/>
          <w:bottom w:val="single" w:color="auto" w:sz="4" w:space="0"/>
          <w:right w:val="single" w:color="auto" w:sz="4" w:space="0"/>
        </w:pBd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投标人须提供本单位近3年（本项目至递交投标文件截止日前）“信用中国”网站（www.creditchina.gov.cn）及中国政府招标网（www.ccgp.gov.cn）已公布的信用记录查询截图。</w:t>
      </w:r>
    </w:p>
    <w:p>
      <w:pPr>
        <w:pBdr>
          <w:top w:val="single" w:color="auto" w:sz="4" w:space="0"/>
          <w:left w:val="single" w:color="auto" w:sz="4" w:space="0"/>
          <w:bottom w:val="single" w:color="auto" w:sz="4" w:space="0"/>
          <w:right w:val="single" w:color="auto" w:sz="4" w:space="0"/>
        </w:pBd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截图含 1）被列入失信被执行人</w:t>
      </w:r>
    </w:p>
    <w:p>
      <w:pPr>
        <w:pBdr>
          <w:top w:val="single" w:color="auto" w:sz="4" w:space="0"/>
          <w:left w:val="single" w:color="auto" w:sz="4" w:space="0"/>
          <w:bottom w:val="single" w:color="auto" w:sz="4" w:space="0"/>
          <w:right w:val="single" w:color="auto" w:sz="4" w:space="0"/>
        </w:pBdr>
        <w:adjustRightInd w:val="0"/>
        <w:snapToGrid w:val="0"/>
        <w:spacing w:line="360" w:lineRule="auto"/>
        <w:ind w:firstLine="1440" w:firstLineChars="600"/>
        <w:rPr>
          <w:rFonts w:ascii="宋体" w:hAnsi="宋体"/>
          <w:color w:val="auto"/>
          <w:sz w:val="24"/>
          <w:szCs w:val="24"/>
        </w:rPr>
      </w:pPr>
      <w:r>
        <w:rPr>
          <w:rFonts w:hint="eastAsia" w:ascii="宋体" w:hAnsi="宋体"/>
          <w:color w:val="auto"/>
          <w:sz w:val="24"/>
          <w:szCs w:val="24"/>
        </w:rPr>
        <w:t>2）重大税收违法案件当事人名单的投标人</w:t>
      </w:r>
    </w:p>
    <w:p>
      <w:pPr>
        <w:pBdr>
          <w:top w:val="single" w:color="auto" w:sz="4" w:space="0"/>
          <w:left w:val="single" w:color="auto" w:sz="4" w:space="0"/>
          <w:bottom w:val="single" w:color="auto" w:sz="4" w:space="0"/>
          <w:right w:val="single" w:color="auto" w:sz="4" w:space="0"/>
        </w:pBdr>
        <w:adjustRightInd w:val="0"/>
        <w:snapToGrid w:val="0"/>
        <w:spacing w:line="360" w:lineRule="auto"/>
        <w:ind w:firstLine="1440" w:firstLineChars="600"/>
        <w:rPr>
          <w:rFonts w:ascii="宋体" w:hAnsi="宋体"/>
          <w:color w:val="auto"/>
          <w:sz w:val="24"/>
          <w:szCs w:val="24"/>
        </w:rPr>
      </w:pPr>
      <w:r>
        <w:rPr>
          <w:rFonts w:hint="eastAsia" w:ascii="宋体" w:hAnsi="宋体"/>
          <w:color w:val="auto"/>
          <w:sz w:val="24"/>
          <w:szCs w:val="24"/>
        </w:rPr>
        <w:t>3）列入政府招标严重违法失信行为记录名单</w:t>
      </w:r>
    </w:p>
    <w:p>
      <w:pPr>
        <w:spacing w:line="480" w:lineRule="exact"/>
        <w:ind w:firstLine="570"/>
        <w:rPr>
          <w:rFonts w:ascii="宋体" w:hAnsi="宋体"/>
          <w:color w:val="auto"/>
          <w:sz w:val="24"/>
        </w:rPr>
      </w:pPr>
      <w:r>
        <w:rPr>
          <w:rFonts w:hint="eastAsia" w:ascii="宋体" w:hAnsi="宋体"/>
          <w:color w:val="auto"/>
          <w:sz w:val="24"/>
          <w:szCs w:val="24"/>
        </w:rPr>
        <w:t>例如：网站搜索页输入投标人名称，截图查询结果。</w:t>
      </w:r>
    </w:p>
    <w:p>
      <w:pPr>
        <w:spacing w:line="480" w:lineRule="exact"/>
        <w:jc w:val="center"/>
        <w:rPr>
          <w:rFonts w:ascii="宋体" w:hAnsi="宋体" w:cs="仿宋"/>
          <w:b/>
          <w:bCs/>
          <w:color w:val="auto"/>
          <w:sz w:val="24"/>
          <w:szCs w:val="24"/>
        </w:rPr>
      </w:pPr>
      <w:r>
        <w:rPr>
          <w:rFonts w:ascii="宋体" w:hAnsi="宋体" w:cs="仿宋"/>
          <w:b/>
          <w:bCs/>
          <w:color w:val="auto"/>
          <w:sz w:val="24"/>
          <w:szCs w:val="24"/>
        </w:rPr>
        <w:br w:type="page"/>
      </w:r>
      <w:r>
        <w:rPr>
          <w:rFonts w:hint="eastAsia" w:ascii="宋体" w:hAnsi="宋体" w:cs="仿宋"/>
          <w:b/>
          <w:bCs/>
          <w:color w:val="auto"/>
          <w:sz w:val="24"/>
          <w:szCs w:val="24"/>
        </w:rPr>
        <w:t>质疑函范本</w:t>
      </w:r>
    </w:p>
    <w:p>
      <w:pPr>
        <w:adjustRightInd w:val="0"/>
        <w:snapToGrid w:val="0"/>
        <w:spacing w:beforeLines="100" w:line="360" w:lineRule="auto"/>
        <w:rPr>
          <w:rFonts w:ascii="宋体" w:hAnsi="宋体" w:cs="仿宋"/>
          <w:bCs/>
          <w:color w:val="auto"/>
          <w:sz w:val="24"/>
          <w:szCs w:val="24"/>
        </w:rPr>
      </w:pPr>
      <w:r>
        <w:rPr>
          <w:rFonts w:hint="eastAsia" w:ascii="宋体" w:hAnsi="宋体" w:cs="仿宋"/>
          <w:bCs/>
          <w:color w:val="auto"/>
          <w:sz w:val="24"/>
          <w:szCs w:val="24"/>
        </w:rPr>
        <w:t>一、质疑投标人基本信息</w:t>
      </w:r>
    </w:p>
    <w:p>
      <w:pPr>
        <w:adjustRightInd w:val="0"/>
        <w:snapToGrid w:val="0"/>
        <w:spacing w:line="360" w:lineRule="auto"/>
        <w:rPr>
          <w:rFonts w:ascii="宋体" w:hAnsi="宋体" w:cs="仿宋"/>
          <w:color w:val="auto"/>
          <w:sz w:val="24"/>
          <w:szCs w:val="24"/>
          <w:u w:val="dotted"/>
        </w:rPr>
      </w:pPr>
      <w:r>
        <w:rPr>
          <w:rFonts w:hint="eastAsia" w:ascii="宋体" w:hAnsi="宋体" w:cs="仿宋"/>
          <w:color w:val="auto"/>
          <w:sz w:val="24"/>
          <w:szCs w:val="24"/>
        </w:rPr>
        <w:t>质疑投标人：</w:t>
      </w:r>
    </w:p>
    <w:p>
      <w:pPr>
        <w:adjustRightInd w:val="0"/>
        <w:snapToGrid w:val="0"/>
        <w:spacing w:line="360" w:lineRule="auto"/>
        <w:rPr>
          <w:rFonts w:ascii="宋体" w:hAnsi="宋体" w:cs="仿宋"/>
          <w:color w:val="auto"/>
          <w:sz w:val="24"/>
          <w:szCs w:val="24"/>
        </w:rPr>
      </w:pPr>
      <w:r>
        <w:rPr>
          <w:rFonts w:hint="eastAsia" w:ascii="宋体" w:hAnsi="宋体" w:cs="仿宋"/>
          <w:color w:val="auto"/>
          <w:sz w:val="24"/>
          <w:szCs w:val="24"/>
        </w:rPr>
        <w:t>地址：邮编：</w:t>
      </w:r>
    </w:p>
    <w:p>
      <w:pPr>
        <w:adjustRightInd w:val="0"/>
        <w:snapToGrid w:val="0"/>
        <w:spacing w:line="360" w:lineRule="auto"/>
        <w:rPr>
          <w:rFonts w:ascii="宋体" w:hAnsi="宋体" w:cs="仿宋"/>
          <w:color w:val="auto"/>
          <w:sz w:val="24"/>
          <w:szCs w:val="24"/>
        </w:rPr>
      </w:pPr>
      <w:r>
        <w:rPr>
          <w:rFonts w:hint="eastAsia" w:ascii="宋体" w:hAnsi="宋体" w:cs="仿宋"/>
          <w:color w:val="auto"/>
          <w:sz w:val="24"/>
          <w:szCs w:val="24"/>
        </w:rPr>
        <w:t>联系人：联系电话：</w:t>
      </w:r>
    </w:p>
    <w:p>
      <w:pPr>
        <w:adjustRightInd w:val="0"/>
        <w:snapToGrid w:val="0"/>
        <w:spacing w:line="360" w:lineRule="auto"/>
        <w:rPr>
          <w:rFonts w:ascii="宋体" w:hAnsi="宋体" w:cs="仿宋"/>
          <w:color w:val="auto"/>
          <w:sz w:val="24"/>
          <w:szCs w:val="24"/>
          <w:u w:val="dotted"/>
        </w:rPr>
      </w:pPr>
      <w:r>
        <w:rPr>
          <w:rFonts w:hint="eastAsia" w:ascii="宋体" w:hAnsi="宋体" w:cs="仿宋"/>
          <w:color w:val="auto"/>
          <w:sz w:val="24"/>
          <w:szCs w:val="24"/>
        </w:rPr>
        <w:t>授权代表：</w:t>
      </w:r>
    </w:p>
    <w:p>
      <w:pPr>
        <w:adjustRightInd w:val="0"/>
        <w:snapToGrid w:val="0"/>
        <w:spacing w:line="360" w:lineRule="auto"/>
        <w:rPr>
          <w:rFonts w:ascii="宋体" w:hAnsi="宋体" w:cs="仿宋"/>
          <w:color w:val="auto"/>
          <w:sz w:val="24"/>
          <w:szCs w:val="24"/>
        </w:rPr>
      </w:pPr>
      <w:r>
        <w:rPr>
          <w:rFonts w:hint="eastAsia" w:ascii="宋体" w:hAnsi="宋体" w:cs="仿宋"/>
          <w:color w:val="auto"/>
          <w:sz w:val="24"/>
          <w:szCs w:val="24"/>
        </w:rPr>
        <w:t>联系电话：</w:t>
      </w:r>
    </w:p>
    <w:p>
      <w:pPr>
        <w:adjustRightInd w:val="0"/>
        <w:snapToGrid w:val="0"/>
        <w:spacing w:line="360" w:lineRule="auto"/>
        <w:rPr>
          <w:rFonts w:ascii="宋体" w:hAnsi="宋体" w:cs="仿宋"/>
          <w:color w:val="auto"/>
          <w:sz w:val="24"/>
          <w:szCs w:val="24"/>
          <w:u w:val="single"/>
        </w:rPr>
      </w:pPr>
      <w:r>
        <w:rPr>
          <w:rFonts w:hint="eastAsia" w:ascii="宋体" w:hAnsi="宋体" w:cs="仿宋"/>
          <w:color w:val="auto"/>
          <w:sz w:val="24"/>
          <w:szCs w:val="24"/>
        </w:rPr>
        <w:t>地址：</w:t>
      </w:r>
    </w:p>
    <w:p>
      <w:pPr>
        <w:adjustRightInd w:val="0"/>
        <w:snapToGrid w:val="0"/>
        <w:spacing w:line="360" w:lineRule="auto"/>
        <w:rPr>
          <w:rFonts w:ascii="宋体" w:hAnsi="宋体" w:cs="仿宋"/>
          <w:color w:val="auto"/>
          <w:sz w:val="24"/>
          <w:szCs w:val="24"/>
          <w:u w:val="single"/>
        </w:rPr>
      </w:pPr>
      <w:r>
        <w:rPr>
          <w:rFonts w:hint="eastAsia" w:ascii="宋体" w:hAnsi="宋体" w:cs="仿宋"/>
          <w:color w:val="auto"/>
          <w:sz w:val="24"/>
          <w:szCs w:val="24"/>
        </w:rPr>
        <w:t>邮编：</w:t>
      </w:r>
    </w:p>
    <w:p>
      <w:pPr>
        <w:adjustRightInd w:val="0"/>
        <w:snapToGrid w:val="0"/>
        <w:spacing w:line="360" w:lineRule="auto"/>
        <w:rPr>
          <w:rFonts w:ascii="宋体" w:hAnsi="宋体" w:cs="仿宋"/>
          <w:bCs/>
          <w:color w:val="auto"/>
          <w:sz w:val="24"/>
          <w:szCs w:val="24"/>
        </w:rPr>
      </w:pPr>
      <w:r>
        <w:rPr>
          <w:rFonts w:hint="eastAsia" w:ascii="宋体" w:hAnsi="宋体" w:cs="仿宋"/>
          <w:bCs/>
          <w:color w:val="auto"/>
          <w:sz w:val="24"/>
          <w:szCs w:val="24"/>
        </w:rPr>
        <w:t>二、质疑项目基本情况</w:t>
      </w:r>
    </w:p>
    <w:p>
      <w:pPr>
        <w:adjustRightInd w:val="0"/>
        <w:snapToGrid w:val="0"/>
        <w:spacing w:line="360" w:lineRule="auto"/>
        <w:rPr>
          <w:rFonts w:ascii="宋体" w:hAnsi="宋体" w:cs="仿宋"/>
          <w:color w:val="auto"/>
          <w:sz w:val="24"/>
          <w:szCs w:val="24"/>
        </w:rPr>
      </w:pPr>
      <w:r>
        <w:rPr>
          <w:rFonts w:hint="eastAsia" w:ascii="宋体" w:hAnsi="宋体" w:cs="仿宋"/>
          <w:color w:val="auto"/>
          <w:sz w:val="24"/>
          <w:szCs w:val="24"/>
        </w:rPr>
        <w:t>质疑项目的名称：</w:t>
      </w:r>
    </w:p>
    <w:p>
      <w:pPr>
        <w:adjustRightInd w:val="0"/>
        <w:snapToGrid w:val="0"/>
        <w:spacing w:line="360" w:lineRule="auto"/>
        <w:rPr>
          <w:rFonts w:ascii="宋体" w:hAnsi="宋体" w:cs="仿宋"/>
          <w:color w:val="auto"/>
          <w:sz w:val="24"/>
          <w:szCs w:val="24"/>
          <w:u w:val="single"/>
        </w:rPr>
      </w:pPr>
      <w:r>
        <w:rPr>
          <w:rFonts w:hint="eastAsia" w:ascii="宋体" w:hAnsi="宋体" w:cs="仿宋"/>
          <w:color w:val="auto"/>
          <w:sz w:val="24"/>
          <w:szCs w:val="24"/>
        </w:rPr>
        <w:t>质疑项目的编号：</w:t>
      </w:r>
    </w:p>
    <w:p>
      <w:pPr>
        <w:adjustRightInd w:val="0"/>
        <w:snapToGrid w:val="0"/>
        <w:spacing w:line="360" w:lineRule="auto"/>
        <w:rPr>
          <w:rFonts w:ascii="宋体" w:hAnsi="宋体" w:cs="仿宋"/>
          <w:color w:val="auto"/>
          <w:sz w:val="24"/>
          <w:szCs w:val="24"/>
        </w:rPr>
      </w:pPr>
      <w:r>
        <w:rPr>
          <w:rFonts w:hint="eastAsia" w:ascii="宋体" w:hAnsi="宋体" w:cs="仿宋"/>
          <w:color w:val="auto"/>
          <w:sz w:val="24"/>
          <w:szCs w:val="24"/>
        </w:rPr>
        <w:t>包号：</w:t>
      </w:r>
    </w:p>
    <w:p>
      <w:pPr>
        <w:adjustRightInd w:val="0"/>
        <w:snapToGrid w:val="0"/>
        <w:spacing w:line="360" w:lineRule="auto"/>
        <w:rPr>
          <w:rFonts w:ascii="宋体" w:hAnsi="宋体" w:cs="仿宋"/>
          <w:color w:val="auto"/>
          <w:sz w:val="24"/>
          <w:szCs w:val="24"/>
          <w:u w:val="dotted"/>
        </w:rPr>
      </w:pPr>
      <w:r>
        <w:rPr>
          <w:rFonts w:hint="eastAsia" w:ascii="宋体" w:hAnsi="宋体" w:cs="仿宋"/>
          <w:color w:val="auto"/>
          <w:sz w:val="24"/>
          <w:szCs w:val="24"/>
        </w:rPr>
        <w:t>招标人名称：</w:t>
      </w:r>
    </w:p>
    <w:p>
      <w:pPr>
        <w:adjustRightInd w:val="0"/>
        <w:snapToGrid w:val="0"/>
        <w:spacing w:line="360" w:lineRule="auto"/>
        <w:rPr>
          <w:rFonts w:ascii="宋体" w:hAnsi="宋体" w:cs="仿宋"/>
          <w:color w:val="auto"/>
          <w:sz w:val="24"/>
          <w:szCs w:val="24"/>
        </w:rPr>
      </w:pPr>
      <w:r>
        <w:rPr>
          <w:rFonts w:hint="eastAsia" w:ascii="宋体" w:hAnsi="宋体" w:cs="仿宋"/>
          <w:color w:val="auto"/>
          <w:sz w:val="24"/>
          <w:szCs w:val="24"/>
        </w:rPr>
        <w:t>招标文件获取日期：</w:t>
      </w:r>
    </w:p>
    <w:p>
      <w:pPr>
        <w:adjustRightInd w:val="0"/>
        <w:snapToGrid w:val="0"/>
        <w:spacing w:line="360" w:lineRule="auto"/>
        <w:rPr>
          <w:rFonts w:ascii="宋体" w:hAnsi="宋体" w:cs="仿宋"/>
          <w:bCs/>
          <w:color w:val="auto"/>
          <w:sz w:val="24"/>
          <w:szCs w:val="24"/>
        </w:rPr>
      </w:pPr>
      <w:r>
        <w:rPr>
          <w:rFonts w:hint="eastAsia" w:ascii="宋体" w:hAnsi="宋体" w:cs="仿宋"/>
          <w:bCs/>
          <w:color w:val="auto"/>
          <w:sz w:val="24"/>
          <w:szCs w:val="24"/>
        </w:rPr>
        <w:t>三、质疑事项具体内容</w:t>
      </w:r>
    </w:p>
    <w:p>
      <w:pPr>
        <w:adjustRightInd w:val="0"/>
        <w:snapToGrid w:val="0"/>
        <w:spacing w:line="360" w:lineRule="auto"/>
        <w:rPr>
          <w:rFonts w:ascii="宋体" w:hAnsi="宋体" w:cs="仿宋"/>
          <w:color w:val="auto"/>
          <w:sz w:val="24"/>
          <w:szCs w:val="24"/>
          <w:u w:val="dotted"/>
        </w:rPr>
      </w:pPr>
      <w:r>
        <w:rPr>
          <w:rFonts w:hint="eastAsia" w:ascii="宋体" w:hAnsi="宋体" w:cs="仿宋"/>
          <w:color w:val="auto"/>
          <w:sz w:val="24"/>
          <w:szCs w:val="24"/>
        </w:rPr>
        <w:t>质疑事项1：</w:t>
      </w:r>
    </w:p>
    <w:p>
      <w:pPr>
        <w:adjustRightInd w:val="0"/>
        <w:snapToGrid w:val="0"/>
        <w:spacing w:line="360" w:lineRule="auto"/>
        <w:rPr>
          <w:rFonts w:ascii="宋体" w:hAnsi="宋体" w:cs="仿宋"/>
          <w:color w:val="auto"/>
          <w:sz w:val="24"/>
          <w:szCs w:val="24"/>
          <w:u w:val="single"/>
        </w:rPr>
      </w:pPr>
      <w:r>
        <w:rPr>
          <w:rFonts w:hint="eastAsia" w:ascii="宋体" w:hAnsi="宋体" w:cs="仿宋"/>
          <w:color w:val="auto"/>
          <w:sz w:val="24"/>
          <w:szCs w:val="24"/>
        </w:rPr>
        <w:t>事实依据：</w:t>
      </w:r>
    </w:p>
    <w:p>
      <w:pPr>
        <w:adjustRightInd w:val="0"/>
        <w:snapToGrid w:val="0"/>
        <w:spacing w:line="360" w:lineRule="auto"/>
        <w:rPr>
          <w:rFonts w:ascii="宋体" w:hAnsi="宋体" w:cs="仿宋"/>
          <w:color w:val="auto"/>
          <w:sz w:val="24"/>
          <w:szCs w:val="24"/>
        </w:rPr>
      </w:pPr>
    </w:p>
    <w:p>
      <w:pPr>
        <w:adjustRightInd w:val="0"/>
        <w:snapToGrid w:val="0"/>
        <w:spacing w:line="360" w:lineRule="auto"/>
        <w:rPr>
          <w:rFonts w:ascii="宋体" w:hAnsi="宋体" w:cs="仿宋"/>
          <w:color w:val="auto"/>
          <w:sz w:val="24"/>
          <w:szCs w:val="24"/>
          <w:u w:val="single"/>
        </w:rPr>
      </w:pPr>
      <w:r>
        <w:rPr>
          <w:rFonts w:hint="eastAsia" w:ascii="宋体" w:hAnsi="宋体" w:cs="仿宋"/>
          <w:color w:val="auto"/>
          <w:sz w:val="24"/>
          <w:szCs w:val="24"/>
        </w:rPr>
        <w:t>法律依据：</w:t>
      </w:r>
    </w:p>
    <w:p>
      <w:pPr>
        <w:adjustRightInd w:val="0"/>
        <w:snapToGrid w:val="0"/>
        <w:spacing w:line="360" w:lineRule="auto"/>
        <w:rPr>
          <w:rFonts w:ascii="宋体" w:hAnsi="宋体" w:cs="仿宋"/>
          <w:color w:val="auto"/>
          <w:sz w:val="24"/>
          <w:szCs w:val="24"/>
          <w:u w:val="dotted"/>
        </w:rPr>
      </w:pPr>
    </w:p>
    <w:p>
      <w:pPr>
        <w:adjustRightInd w:val="0"/>
        <w:snapToGrid w:val="0"/>
        <w:spacing w:line="360" w:lineRule="auto"/>
        <w:rPr>
          <w:rFonts w:ascii="宋体" w:hAnsi="宋体" w:cs="仿宋"/>
          <w:color w:val="auto"/>
          <w:sz w:val="24"/>
          <w:szCs w:val="24"/>
          <w:u w:val="dotted"/>
        </w:rPr>
      </w:pPr>
      <w:r>
        <w:rPr>
          <w:rFonts w:hint="eastAsia" w:ascii="宋体" w:hAnsi="宋体" w:cs="仿宋"/>
          <w:color w:val="auto"/>
          <w:sz w:val="24"/>
          <w:szCs w:val="24"/>
        </w:rPr>
        <w:t>质疑事项2</w:t>
      </w:r>
    </w:p>
    <w:p>
      <w:pPr>
        <w:adjustRightInd w:val="0"/>
        <w:snapToGrid w:val="0"/>
        <w:spacing w:line="360" w:lineRule="auto"/>
        <w:rPr>
          <w:rFonts w:ascii="宋体" w:hAnsi="宋体" w:cs="仿宋"/>
          <w:color w:val="auto"/>
          <w:sz w:val="24"/>
          <w:szCs w:val="24"/>
        </w:rPr>
      </w:pPr>
      <w:r>
        <w:rPr>
          <w:rFonts w:hint="eastAsia" w:ascii="宋体" w:hAnsi="宋体" w:cs="仿宋"/>
          <w:color w:val="auto"/>
          <w:sz w:val="24"/>
          <w:szCs w:val="24"/>
        </w:rPr>
        <w:t>……</w:t>
      </w:r>
    </w:p>
    <w:p>
      <w:pPr>
        <w:adjustRightInd w:val="0"/>
        <w:snapToGrid w:val="0"/>
        <w:spacing w:line="360" w:lineRule="auto"/>
        <w:rPr>
          <w:rFonts w:ascii="宋体" w:hAnsi="宋体" w:cs="仿宋"/>
          <w:bCs/>
          <w:color w:val="auto"/>
          <w:sz w:val="24"/>
          <w:szCs w:val="24"/>
        </w:rPr>
      </w:pPr>
      <w:r>
        <w:rPr>
          <w:rFonts w:hint="eastAsia" w:ascii="宋体" w:hAnsi="宋体" w:cs="仿宋"/>
          <w:bCs/>
          <w:color w:val="auto"/>
          <w:sz w:val="24"/>
          <w:szCs w:val="24"/>
        </w:rPr>
        <w:t>四、与质疑事项相关的质疑请求</w:t>
      </w:r>
    </w:p>
    <w:p>
      <w:pPr>
        <w:adjustRightInd w:val="0"/>
        <w:snapToGrid w:val="0"/>
        <w:spacing w:line="360" w:lineRule="auto"/>
        <w:rPr>
          <w:rFonts w:ascii="宋体" w:hAnsi="宋体" w:cs="仿宋"/>
          <w:color w:val="auto"/>
          <w:sz w:val="24"/>
          <w:szCs w:val="24"/>
          <w:u w:val="dotted"/>
        </w:rPr>
      </w:pPr>
      <w:r>
        <w:rPr>
          <w:rFonts w:hint="eastAsia" w:ascii="宋体" w:hAnsi="宋体" w:cs="仿宋"/>
          <w:color w:val="auto"/>
          <w:sz w:val="24"/>
          <w:szCs w:val="24"/>
        </w:rPr>
        <w:t>请求：</w:t>
      </w:r>
    </w:p>
    <w:p>
      <w:pPr>
        <w:rPr>
          <w:rFonts w:ascii="宋体" w:hAnsi="宋体"/>
          <w:color w:val="auto"/>
          <w:sz w:val="24"/>
        </w:rPr>
      </w:pPr>
    </w:p>
    <w:p>
      <w:pPr>
        <w:rPr>
          <w:rFonts w:ascii="宋体" w:hAnsi="宋体"/>
          <w:color w:val="auto"/>
          <w:sz w:val="24"/>
          <w:szCs w:val="24"/>
        </w:rPr>
      </w:pPr>
      <w:r>
        <w:rPr>
          <w:rFonts w:hint="eastAsia" w:ascii="宋体" w:hAnsi="宋体"/>
          <w:color w:val="auto"/>
          <w:sz w:val="24"/>
          <w:szCs w:val="24"/>
        </w:rPr>
        <w:t xml:space="preserve">签字(签章)：                   公章：                      </w:t>
      </w:r>
    </w:p>
    <w:p>
      <w:pPr>
        <w:rPr>
          <w:rFonts w:ascii="宋体" w:hAnsi="宋体"/>
          <w:color w:val="auto"/>
          <w:sz w:val="24"/>
        </w:rPr>
      </w:pPr>
    </w:p>
    <w:p>
      <w:pPr>
        <w:rPr>
          <w:rFonts w:ascii="宋体" w:hAnsi="宋体"/>
          <w:color w:val="auto"/>
          <w:sz w:val="24"/>
          <w:szCs w:val="24"/>
        </w:rPr>
      </w:pPr>
      <w:r>
        <w:rPr>
          <w:rFonts w:hint="eastAsia" w:ascii="宋体" w:hAnsi="宋体"/>
          <w:color w:val="auto"/>
          <w:sz w:val="24"/>
          <w:szCs w:val="24"/>
        </w:rPr>
        <w:t xml:space="preserve">日期：    </w:t>
      </w:r>
    </w:p>
    <w:p>
      <w:pPr>
        <w:adjustRightInd w:val="0"/>
        <w:snapToGrid w:val="0"/>
        <w:spacing w:line="360" w:lineRule="auto"/>
        <w:rPr>
          <w:rFonts w:ascii="宋体" w:hAnsi="宋体" w:cs="仿宋"/>
          <w:color w:val="auto"/>
          <w:sz w:val="24"/>
        </w:rPr>
      </w:pPr>
    </w:p>
    <w:p>
      <w:pPr>
        <w:adjustRightInd w:val="0"/>
        <w:snapToGrid w:val="0"/>
        <w:spacing w:line="360" w:lineRule="auto"/>
        <w:rPr>
          <w:rFonts w:ascii="宋体" w:hAnsi="宋体" w:cs="仿宋"/>
          <w:color w:val="auto"/>
          <w:sz w:val="24"/>
          <w:szCs w:val="24"/>
        </w:rPr>
      </w:pPr>
    </w:p>
    <w:p>
      <w:pPr>
        <w:adjustRightInd w:val="0"/>
        <w:snapToGrid w:val="0"/>
        <w:spacing w:line="360" w:lineRule="auto"/>
        <w:rPr>
          <w:rFonts w:ascii="宋体" w:hAnsi="宋体" w:cs="仿宋"/>
          <w:color w:val="auto"/>
          <w:sz w:val="24"/>
          <w:szCs w:val="24"/>
        </w:rPr>
      </w:pPr>
    </w:p>
    <w:p>
      <w:pPr>
        <w:spacing w:line="480" w:lineRule="exact"/>
        <w:rPr>
          <w:rFonts w:ascii="宋体" w:hAnsi="宋体"/>
          <w:color w:val="auto"/>
          <w:sz w:val="24"/>
          <w:szCs w:val="24"/>
        </w:rPr>
      </w:pPr>
      <w:r>
        <w:rPr>
          <w:rFonts w:hint="eastAsia" w:ascii="宋体" w:hAnsi="宋体"/>
          <w:color w:val="auto"/>
          <w:sz w:val="24"/>
          <w:szCs w:val="24"/>
        </w:rPr>
        <w:t>质疑函制作说明：</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1.投标人提出质疑时，应提交质疑函和必要的证明材料。</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3.质疑投标人若对项目的某一分包进行质疑，质疑函中应列明具体分包号。</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4.质疑函的质疑事项应具体、明确，并有必要的事实依据和法律依据。</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5.质疑函的质疑请求应与质疑事项相关。</w:t>
      </w:r>
    </w:p>
    <w:p>
      <w:pPr>
        <w:spacing w:line="480" w:lineRule="exact"/>
        <w:ind w:firstLine="480" w:firstLineChars="200"/>
        <w:jc w:val="left"/>
        <w:rPr>
          <w:rFonts w:hint="eastAsia" w:ascii="宋体" w:hAnsi="宋体"/>
          <w:color w:val="auto"/>
          <w:sz w:val="24"/>
          <w:szCs w:val="24"/>
        </w:rPr>
      </w:pPr>
      <w:r>
        <w:rPr>
          <w:rFonts w:hint="eastAsia" w:ascii="宋体" w:hAnsi="宋体"/>
          <w:color w:val="auto"/>
          <w:sz w:val="24"/>
          <w:szCs w:val="24"/>
        </w:rPr>
        <w:t>6.质疑投标人为自然人的，质疑函应由本人签字；质疑投标人为法人或者其他组织的，质疑函应由法定代表人、主要负责人，或者其授权代表签字或者盖章，并加盖公章。</w:t>
      </w:r>
    </w:p>
    <w:p>
      <w:pPr>
        <w:spacing w:line="480" w:lineRule="exact"/>
        <w:ind w:firstLine="480" w:firstLineChars="200"/>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480" w:lineRule="exact"/>
        <w:jc w:val="left"/>
        <w:rPr>
          <w:rFonts w:hint="eastAsia" w:ascii="宋体" w:hAnsi="宋体"/>
          <w:color w:val="auto"/>
          <w:sz w:val="24"/>
          <w:szCs w:val="24"/>
        </w:rPr>
      </w:pPr>
    </w:p>
    <w:p>
      <w:pPr>
        <w:spacing w:line="360" w:lineRule="auto"/>
        <w:jc w:val="left"/>
        <w:rPr>
          <w:rFonts w:hint="eastAsia" w:ascii="宋体" w:hAnsi="宋体" w:cs="宋体"/>
          <w:sz w:val="24"/>
        </w:rPr>
      </w:pPr>
      <w:r>
        <w:rPr>
          <w:rFonts w:hint="eastAsia" w:ascii="宋体" w:hAnsi="宋体" w:cs="宋体"/>
          <w:sz w:val="24"/>
        </w:rPr>
        <w:t>附件2：</w:t>
      </w:r>
    </w:p>
    <w:p>
      <w:pPr>
        <w:jc w:val="center"/>
        <w:rPr>
          <w:rFonts w:ascii="宋体" w:hAnsi="宋体"/>
          <w:sz w:val="32"/>
          <w:szCs w:val="28"/>
        </w:rPr>
      </w:pPr>
      <w:r>
        <w:rPr>
          <w:rFonts w:hint="eastAsia" w:ascii="宋体" w:hAnsi="宋体"/>
          <w:sz w:val="32"/>
          <w:szCs w:val="28"/>
        </w:rPr>
        <w:t>二次(或多次)报价单</w:t>
      </w:r>
    </w:p>
    <w:p>
      <w:pPr>
        <w:rPr>
          <w:rFonts w:ascii="宋体" w:hAnsi="宋体"/>
          <w:sz w:val="32"/>
          <w:szCs w:val="28"/>
        </w:rPr>
      </w:pPr>
    </w:p>
    <w:p>
      <w:pPr>
        <w:rPr>
          <w:rFonts w:ascii="宋体" w:hAnsi="宋体"/>
          <w:sz w:val="32"/>
          <w:szCs w:val="28"/>
        </w:rPr>
      </w:pPr>
      <w:r>
        <w:rPr>
          <w:rFonts w:hint="eastAsia" w:ascii="宋体" w:hAnsi="宋体"/>
          <w:sz w:val="32"/>
          <w:szCs w:val="28"/>
        </w:rPr>
        <w:t>致招标人：</w:t>
      </w:r>
    </w:p>
    <w:p>
      <w:pPr>
        <w:ind w:left="706" w:leftChars="184" w:hanging="320" w:hangingChars="100"/>
        <w:rPr>
          <w:rFonts w:ascii="宋体" w:hAnsi="宋体"/>
          <w:sz w:val="32"/>
          <w:szCs w:val="28"/>
        </w:rPr>
      </w:pPr>
      <w:r>
        <w:rPr>
          <w:rFonts w:hint="eastAsia" w:ascii="宋体" w:hAnsi="宋体"/>
          <w:sz w:val="32"/>
          <w:szCs w:val="28"/>
        </w:rPr>
        <w:t>我单位</w:t>
      </w:r>
      <w:r>
        <w:rPr>
          <w:rFonts w:hint="eastAsia" w:ascii="宋体" w:hAnsi="宋体"/>
          <w:sz w:val="32"/>
          <w:szCs w:val="28"/>
          <w:u w:val="single"/>
        </w:rPr>
        <w:t xml:space="preserve">                  </w:t>
      </w:r>
      <w:r>
        <w:rPr>
          <w:rFonts w:hint="eastAsia" w:ascii="宋体" w:hAnsi="宋体"/>
          <w:sz w:val="32"/>
          <w:szCs w:val="28"/>
        </w:rPr>
        <w:t>（投标人）对</w:t>
      </w:r>
      <w:r>
        <w:rPr>
          <w:rFonts w:hint="eastAsia" w:ascii="宋体" w:hAnsi="宋体"/>
          <w:sz w:val="32"/>
          <w:szCs w:val="28"/>
          <w:u w:val="single"/>
        </w:rPr>
        <w:t xml:space="preserve">                      （项目名称）</w:t>
      </w:r>
      <w:r>
        <w:rPr>
          <w:rFonts w:hint="eastAsia" w:ascii="宋体" w:hAnsi="宋体"/>
          <w:sz w:val="32"/>
          <w:szCs w:val="28"/>
        </w:rPr>
        <w:t>的二次(或多次)报价为：</w:t>
      </w:r>
    </w:p>
    <w:p>
      <w:pPr>
        <w:ind w:firstLine="630"/>
        <w:rPr>
          <w:rFonts w:ascii="宋体" w:hAnsi="宋体"/>
          <w:sz w:val="32"/>
          <w:szCs w:val="28"/>
          <w:u w:val="single"/>
        </w:rPr>
      </w:pPr>
      <w:r>
        <w:rPr>
          <w:rFonts w:hint="eastAsia" w:ascii="宋体" w:hAnsi="宋体"/>
          <w:sz w:val="32"/>
          <w:szCs w:val="28"/>
        </w:rPr>
        <w:t>小写：</w:t>
      </w:r>
      <w:r>
        <w:rPr>
          <w:rFonts w:hint="eastAsia" w:ascii="宋体" w:hAnsi="宋体"/>
          <w:sz w:val="32"/>
          <w:szCs w:val="28"/>
          <w:u w:val="single"/>
        </w:rPr>
        <w:t xml:space="preserve">                      </w:t>
      </w:r>
      <w:r>
        <w:rPr>
          <w:rFonts w:hint="eastAsia" w:ascii="宋体" w:hAnsi="宋体"/>
          <w:color w:val="FFFFFF"/>
          <w:sz w:val="32"/>
          <w:szCs w:val="28"/>
          <w:u w:val="single"/>
        </w:rPr>
        <w:t>的</w:t>
      </w:r>
      <w:r>
        <w:rPr>
          <w:rFonts w:hint="eastAsia" w:ascii="宋体" w:hAnsi="宋体"/>
          <w:sz w:val="32"/>
          <w:szCs w:val="28"/>
          <w:u w:val="single"/>
        </w:rPr>
        <w:t xml:space="preserve"> </w:t>
      </w:r>
    </w:p>
    <w:p>
      <w:pPr>
        <w:ind w:firstLine="630"/>
        <w:rPr>
          <w:rFonts w:ascii="宋体" w:hAnsi="宋体"/>
          <w:sz w:val="32"/>
          <w:szCs w:val="28"/>
        </w:rPr>
      </w:pPr>
      <w:r>
        <w:rPr>
          <w:rFonts w:hint="eastAsia" w:ascii="宋体" w:hAnsi="宋体"/>
          <w:sz w:val="32"/>
          <w:szCs w:val="28"/>
        </w:rPr>
        <w:t>大写：</w:t>
      </w:r>
      <w:r>
        <w:rPr>
          <w:rFonts w:hint="eastAsia" w:ascii="宋体" w:hAnsi="宋体"/>
          <w:sz w:val="32"/>
          <w:szCs w:val="28"/>
          <w:u w:val="single"/>
        </w:rPr>
        <w:t xml:space="preserve">                      </w:t>
      </w:r>
      <w:r>
        <w:rPr>
          <w:rFonts w:hint="eastAsia" w:ascii="宋体" w:hAnsi="宋体"/>
          <w:color w:val="FFFFFF"/>
          <w:sz w:val="32"/>
          <w:szCs w:val="28"/>
        </w:rPr>
        <w:t>的</w:t>
      </w:r>
    </w:p>
    <w:p>
      <w:pPr>
        <w:jc w:val="left"/>
        <w:rPr>
          <w:rFonts w:hint="eastAsia" w:ascii="宋体" w:hAnsi="宋体"/>
          <w:color w:val="FFFFFF"/>
          <w:sz w:val="32"/>
          <w:szCs w:val="28"/>
          <w:u w:val="single"/>
        </w:rPr>
      </w:pPr>
      <w:r>
        <w:rPr>
          <w:rFonts w:hint="eastAsia" w:ascii="宋体" w:hAnsi="宋体"/>
          <w:sz w:val="32"/>
          <w:szCs w:val="28"/>
        </w:rPr>
        <w:t>并承诺：</w:t>
      </w:r>
      <w:r>
        <w:rPr>
          <w:rFonts w:hint="eastAsia" w:ascii="宋体" w:hAnsi="宋体"/>
          <w:sz w:val="32"/>
          <w:szCs w:val="28"/>
          <w:u w:val="single"/>
        </w:rPr>
        <w:t xml:space="preserve"> 本次报价为最终报价。                                                                                                                                                     </w:t>
      </w:r>
    </w:p>
    <w:p>
      <w:pPr>
        <w:jc w:val="left"/>
        <w:rPr>
          <w:rFonts w:hint="eastAsia" w:ascii="宋体" w:hAnsi="宋体"/>
          <w:color w:val="FFFFFF"/>
          <w:sz w:val="32"/>
          <w:szCs w:val="28"/>
          <w:u w:val="single"/>
        </w:rPr>
      </w:pPr>
    </w:p>
    <w:p>
      <w:pPr>
        <w:jc w:val="left"/>
        <w:rPr>
          <w:rFonts w:hint="eastAsia" w:ascii="宋体" w:hAnsi="宋体"/>
          <w:color w:val="FFFFFF"/>
          <w:sz w:val="32"/>
          <w:szCs w:val="28"/>
          <w:u w:val="single"/>
        </w:rPr>
      </w:pPr>
    </w:p>
    <w:p>
      <w:pPr>
        <w:jc w:val="left"/>
        <w:rPr>
          <w:rFonts w:hint="eastAsia" w:ascii="宋体" w:hAnsi="宋体"/>
          <w:color w:val="FFFFFF"/>
          <w:sz w:val="32"/>
          <w:szCs w:val="28"/>
          <w:u w:val="single"/>
        </w:rPr>
      </w:pPr>
    </w:p>
    <w:p>
      <w:pPr>
        <w:jc w:val="left"/>
        <w:rPr>
          <w:rFonts w:hint="eastAsia" w:ascii="宋体" w:hAnsi="宋体"/>
          <w:color w:val="FFFFFF"/>
          <w:sz w:val="32"/>
          <w:szCs w:val="28"/>
          <w:u w:val="single"/>
        </w:rPr>
      </w:pPr>
    </w:p>
    <w:p>
      <w:pPr>
        <w:jc w:val="left"/>
        <w:rPr>
          <w:rFonts w:hint="eastAsia" w:ascii="宋体" w:hAnsi="宋体"/>
          <w:color w:val="FFFFFF"/>
          <w:sz w:val="32"/>
          <w:szCs w:val="28"/>
          <w:u w:val="single"/>
        </w:rPr>
      </w:pPr>
    </w:p>
    <w:p>
      <w:pPr>
        <w:jc w:val="left"/>
        <w:rPr>
          <w:rFonts w:hint="eastAsia" w:ascii="宋体" w:hAnsi="宋体"/>
          <w:color w:val="FFFFFF"/>
          <w:sz w:val="32"/>
          <w:szCs w:val="28"/>
          <w:u w:val="single"/>
        </w:rPr>
      </w:pPr>
    </w:p>
    <w:p>
      <w:pPr>
        <w:jc w:val="left"/>
        <w:rPr>
          <w:rFonts w:hint="eastAsia" w:ascii="宋体" w:hAnsi="宋体"/>
          <w:color w:val="FFFFFF"/>
          <w:sz w:val="32"/>
          <w:szCs w:val="28"/>
          <w:u w:val="single"/>
        </w:rPr>
      </w:pPr>
    </w:p>
    <w:p>
      <w:pPr>
        <w:jc w:val="left"/>
        <w:rPr>
          <w:rFonts w:hint="eastAsia" w:ascii="宋体" w:hAnsi="宋体"/>
          <w:color w:val="FFFFFF"/>
          <w:sz w:val="32"/>
          <w:szCs w:val="28"/>
          <w:u w:val="single"/>
        </w:rPr>
      </w:pPr>
    </w:p>
    <w:p>
      <w:pPr>
        <w:jc w:val="left"/>
        <w:rPr>
          <w:rFonts w:hint="eastAsia" w:ascii="宋体" w:hAnsi="宋体"/>
          <w:color w:val="FFFFFF"/>
          <w:sz w:val="32"/>
          <w:szCs w:val="28"/>
          <w:u w:val="single"/>
        </w:rPr>
      </w:pPr>
    </w:p>
    <w:p>
      <w:pPr>
        <w:ind w:right="560" w:firstLine="5120" w:firstLineChars="1600"/>
        <w:rPr>
          <w:rFonts w:ascii="宋体" w:hAnsi="宋体"/>
          <w:sz w:val="32"/>
          <w:szCs w:val="28"/>
        </w:rPr>
      </w:pPr>
      <w:r>
        <w:rPr>
          <w:rFonts w:hint="eastAsia" w:ascii="宋体" w:hAnsi="宋体"/>
          <w:sz w:val="32"/>
          <w:szCs w:val="28"/>
        </w:rPr>
        <w:t>投标单位（盖章）：</w:t>
      </w:r>
    </w:p>
    <w:p>
      <w:pPr>
        <w:ind w:firstLine="555"/>
        <w:rPr>
          <w:rFonts w:hint="eastAsia" w:ascii="宋体" w:hAnsi="宋体"/>
          <w:sz w:val="32"/>
          <w:szCs w:val="28"/>
        </w:rPr>
      </w:pPr>
      <w:r>
        <w:rPr>
          <w:rFonts w:hint="eastAsia" w:ascii="宋体" w:hAnsi="宋体"/>
          <w:sz w:val="32"/>
          <w:szCs w:val="28"/>
        </w:rPr>
        <w:t xml:space="preserve">                            </w:t>
      </w:r>
    </w:p>
    <w:p>
      <w:pPr>
        <w:ind w:firstLine="555"/>
        <w:rPr>
          <w:rFonts w:hint="eastAsia" w:ascii="宋体" w:hAnsi="宋体"/>
          <w:sz w:val="32"/>
          <w:szCs w:val="28"/>
        </w:rPr>
      </w:pPr>
    </w:p>
    <w:p>
      <w:pPr>
        <w:ind w:firstLine="555"/>
        <w:rPr>
          <w:rFonts w:hint="eastAsia" w:ascii="宋体" w:hAnsi="宋体"/>
          <w:sz w:val="32"/>
          <w:szCs w:val="28"/>
        </w:rPr>
      </w:pPr>
    </w:p>
    <w:p>
      <w:pPr>
        <w:ind w:firstLine="555"/>
        <w:jc w:val="right"/>
        <w:rPr>
          <w:rFonts w:ascii="宋体" w:hAnsi="宋体"/>
          <w:sz w:val="32"/>
          <w:szCs w:val="28"/>
        </w:rPr>
      </w:pPr>
      <w:r>
        <w:rPr>
          <w:rFonts w:hint="eastAsia" w:ascii="宋体" w:hAnsi="宋体"/>
          <w:sz w:val="32"/>
          <w:szCs w:val="28"/>
        </w:rPr>
        <w:t>投标单位授权代表签字：</w:t>
      </w:r>
    </w:p>
    <w:p>
      <w:pPr>
        <w:ind w:firstLine="555"/>
        <w:rPr>
          <w:rFonts w:hint="eastAsia" w:ascii="宋体" w:hAnsi="宋体"/>
          <w:sz w:val="32"/>
          <w:szCs w:val="28"/>
        </w:rPr>
      </w:pPr>
      <w:r>
        <w:rPr>
          <w:rFonts w:hint="eastAsia" w:ascii="宋体" w:hAnsi="宋体"/>
          <w:sz w:val="32"/>
          <w:szCs w:val="28"/>
        </w:rPr>
        <w:t xml:space="preserve">                                    </w:t>
      </w:r>
    </w:p>
    <w:p>
      <w:pPr>
        <w:ind w:firstLine="555"/>
        <w:jc w:val="right"/>
        <w:rPr>
          <w:rFonts w:ascii="宋体" w:hAnsi="宋体"/>
          <w:sz w:val="32"/>
          <w:szCs w:val="28"/>
        </w:rPr>
      </w:pPr>
      <w:r>
        <w:rPr>
          <w:rFonts w:hint="eastAsia" w:ascii="宋体" w:hAnsi="宋体"/>
          <w:sz w:val="32"/>
          <w:szCs w:val="28"/>
        </w:rPr>
        <w:t xml:space="preserve"> 年  月  日</w:t>
      </w:r>
    </w:p>
    <w:p>
      <w:pPr>
        <w:spacing w:line="360" w:lineRule="auto"/>
        <w:jc w:val="left"/>
        <w:rPr>
          <w:rFonts w:ascii="宋体" w:hAnsi="宋体" w:cs="宋体"/>
          <w:sz w:val="22"/>
          <w:szCs w:val="21"/>
        </w:rPr>
      </w:pPr>
    </w:p>
    <w:p>
      <w:pPr>
        <w:spacing w:line="360" w:lineRule="auto"/>
        <w:jc w:val="left"/>
        <w:rPr>
          <w:rFonts w:hint="eastAsia" w:ascii="宋体" w:hAnsi="宋体" w:cs="宋体"/>
          <w:color w:val="FF0000"/>
          <w:sz w:val="28"/>
          <w:szCs w:val="28"/>
        </w:rPr>
      </w:pPr>
      <w:r>
        <w:rPr>
          <w:rFonts w:hint="eastAsia" w:ascii="宋体" w:hAnsi="宋体" w:cs="宋体"/>
          <w:color w:val="FF0000"/>
          <w:sz w:val="28"/>
          <w:szCs w:val="28"/>
        </w:rPr>
        <w:t>注：各投标人将此表内容填写（报价大小写除外），加盖单位公章后，一式两份带到开标地点，现场进行手写二次(或多次)报价。</w:t>
      </w:r>
    </w:p>
    <w:p>
      <w:pPr>
        <w:spacing w:line="480" w:lineRule="exact"/>
        <w:ind w:firstLine="480" w:firstLineChars="200"/>
        <w:jc w:val="left"/>
        <w:rPr>
          <w:rFonts w:hint="eastAsia" w:ascii="宋体" w:hAnsi="宋体"/>
          <w:sz w:val="24"/>
          <w:szCs w:val="24"/>
        </w:rPr>
      </w:pPr>
    </w:p>
    <w:p>
      <w:pPr>
        <w:spacing w:line="480" w:lineRule="exact"/>
        <w:jc w:val="left"/>
        <w:rPr>
          <w:rFonts w:hint="eastAsia" w:ascii="宋体" w:hAnsi="宋体"/>
          <w:color w:val="auto"/>
          <w:sz w:val="24"/>
          <w:szCs w:val="24"/>
        </w:rPr>
      </w:pPr>
    </w:p>
    <w:sectPr>
      <w:footerReference r:id="rId9" w:type="default"/>
      <w:pgSz w:w="11907" w:h="16840"/>
      <w:pgMar w:top="600" w:right="1797" w:bottom="682" w:left="1797" w:header="851" w:footer="57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MT Extra">
    <w:panose1 w:val="05050102010205020202"/>
    <w:charset w:val="02"/>
    <w:family w:val="roman"/>
    <w:pitch w:val="default"/>
    <w:sig w:usb0="8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cs="宋体"/>
        <w:i/>
        <w:iCs/>
        <w:u w:val="single"/>
      </w:rPr>
    </w:pPr>
    <w:r>
      <w:rPr>
        <w:rFonts w:hint="eastAsia" w:ascii="宋体" w:hAnsi="宋体" w:cs="宋体"/>
        <w:i/>
        <w:iCs/>
        <w:u w:val="single"/>
      </w:rPr>
      <w:t xml:space="preserve">新疆华域建设工程项目管理咨询有限公司             </w:t>
    </w:r>
    <w:r>
      <w:rPr>
        <w:rFonts w:hint="eastAsia" w:ascii="宋体" w:hAnsi="宋体" w:cs="宋体"/>
        <w:u w:val="single"/>
      </w:rPr>
      <w:fldChar w:fldCharType="begin"/>
    </w:r>
    <w:r>
      <w:rPr>
        <w:rStyle w:val="34"/>
        <w:rFonts w:hint="eastAsia" w:ascii="宋体" w:hAnsi="宋体" w:cs="宋体"/>
        <w:u w:val="single"/>
      </w:rPr>
      <w:instrText xml:space="preserve"> PAGE </w:instrText>
    </w:r>
    <w:r>
      <w:rPr>
        <w:rFonts w:hint="eastAsia" w:ascii="宋体" w:hAnsi="宋体" w:cs="宋体"/>
        <w:u w:val="single"/>
      </w:rPr>
      <w:fldChar w:fldCharType="separate"/>
    </w:r>
    <w:r>
      <w:rPr>
        <w:rStyle w:val="34"/>
        <w:rFonts w:ascii="宋体" w:hAnsi="宋体" w:cs="宋体"/>
        <w:u w:val="single"/>
      </w:rPr>
      <w:t>2</w:t>
    </w:r>
    <w:r>
      <w:rPr>
        <w:rFonts w:hint="eastAsia" w:ascii="宋体" w:hAnsi="宋体" w:cs="宋体"/>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567632"/>
      <w:docPartObj>
        <w:docPartGallery w:val="autotext"/>
      </w:docPartObj>
    </w:sdtPr>
    <w:sdtContent>
      <w:p>
        <w:pPr>
          <w:pStyle w:val="19"/>
          <w:jc w:val="center"/>
        </w:pPr>
        <w:r>
          <w:fldChar w:fldCharType="begin"/>
        </w:r>
        <w:r>
          <w:instrText xml:space="preserve">PAGE   \* MERGEFORMAT</w:instrText>
        </w:r>
        <w:r>
          <w:fldChar w:fldCharType="separate"/>
        </w:r>
        <w:r>
          <w:rPr>
            <w:lang w:val="zh-CN"/>
          </w:rPr>
          <w:t>0</w:t>
        </w:r>
        <w: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lang w:val="zh-CN"/>
      </w:rPr>
      <w:fldChar w:fldCharType="begin"/>
    </w:r>
    <w:r>
      <w:rPr>
        <w:lang w:val="zh-CN"/>
      </w:rPr>
      <w:instrText xml:space="preserve">PAGE   \* MERGEFORMAT</w:instrText>
    </w:r>
    <w:r>
      <w:rPr>
        <w:lang w:val="zh-CN"/>
      </w:rPr>
      <w:fldChar w:fldCharType="separate"/>
    </w:r>
    <w:r>
      <w:rPr>
        <w:lang w:val="zh-CN"/>
      </w:rPr>
      <w:t>7</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567930"/>
      <w:docPartObj>
        <w:docPartGallery w:val="autotext"/>
      </w:docPartObj>
    </w:sdtPr>
    <w:sdtContent>
      <w:p>
        <w:pPr>
          <w:pStyle w:val="19"/>
          <w:jc w:val="center"/>
        </w:pPr>
        <w:r>
          <w:fldChar w:fldCharType="begin"/>
        </w:r>
        <w:r>
          <w:instrText xml:space="preserve">PAGE   \* MERGEFORMAT</w:instrText>
        </w:r>
        <w:r>
          <w:fldChar w:fldCharType="separate"/>
        </w:r>
        <w:r>
          <w:rPr>
            <w:lang w:val="zh-CN"/>
          </w:rPr>
          <w:t>29</w:t>
        </w:r>
        <w:r>
          <w:fldChar w:fldCharType="end"/>
        </w:r>
      </w:p>
    </w:sdtContent>
  </w:sdt>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u w:val="single"/>
      </w:rPr>
    </w:pPr>
    <w:r>
      <w:rPr>
        <w:rFonts w:hint="eastAsia" w:ascii="宋体" w:hAnsi="宋体" w:cs="宋体"/>
        <w:i/>
        <w:iCs/>
        <w:u w:val="single"/>
      </w:rPr>
      <w:t xml:space="preserve">新疆华域建设工程项目管理咨询有限公司             </w:t>
    </w:r>
    <w:r>
      <w:rPr>
        <w:rFonts w:hint="eastAsia" w:ascii="宋体" w:hAnsi="宋体" w:cs="宋体"/>
        <w:u w:val="single"/>
      </w:rPr>
      <w:fldChar w:fldCharType="begin"/>
    </w:r>
    <w:r>
      <w:rPr>
        <w:rStyle w:val="34"/>
        <w:rFonts w:hint="eastAsia" w:ascii="宋体" w:hAnsi="宋体" w:cs="宋体"/>
        <w:u w:val="single"/>
      </w:rPr>
      <w:instrText xml:space="preserve"> PAGE </w:instrText>
    </w:r>
    <w:r>
      <w:rPr>
        <w:rFonts w:hint="eastAsia" w:ascii="宋体" w:hAnsi="宋体" w:cs="宋体"/>
        <w:u w:val="single"/>
      </w:rPr>
      <w:fldChar w:fldCharType="separate"/>
    </w:r>
    <w:r>
      <w:rPr>
        <w:rStyle w:val="34"/>
        <w:rFonts w:ascii="宋体" w:hAnsi="宋体" w:cs="宋体"/>
        <w:u w:val="single"/>
      </w:rPr>
      <w:t>49</w:t>
    </w:r>
    <w:r>
      <w:rPr>
        <w:rFonts w:hint="eastAsia" w:ascii="宋体" w:hAnsi="宋体" w:cs="宋体"/>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Style w:val="34"/>
        <w:rFonts w:ascii="宋体" w:hAnsi="宋体"/>
        <w:b/>
        <w:bCs/>
        <w:sz w:val="20"/>
        <w:szCs w:val="28"/>
      </w:rPr>
    </w:pPr>
    <w:r>
      <w:rPr>
        <w:rFonts w:hint="eastAsia" w:ascii="宋体" w:hAnsi="宋体"/>
        <w:b/>
        <w:bCs/>
        <w:sz w:val="20"/>
        <w:szCs w:val="28"/>
      </w:rPr>
      <w:t>新疆维吾尔自治区治超联网管理信息系统工程初步设计</w:t>
    </w:r>
    <w:r>
      <w:rPr>
        <w:rFonts w:hint="eastAsia" w:ascii="宋体" w:hAnsi="宋体"/>
        <w:b/>
        <w:bCs/>
        <w:sz w:val="20"/>
        <w:szCs w:val="28"/>
        <w:lang w:eastAsia="zh-CN"/>
      </w:rPr>
      <w:t>竞争性磋商</w:t>
    </w:r>
    <w:r>
      <w:rPr>
        <w:rFonts w:hint="eastAsia" w:ascii="宋体" w:hAnsi="宋体"/>
        <w:b/>
        <w:bCs/>
        <w:sz w:val="20"/>
        <w:szCs w:val="2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8BAF7"/>
    <w:multiLevelType w:val="singleLevel"/>
    <w:tmpl w:val="9C78BAF7"/>
    <w:lvl w:ilvl="0" w:tentative="0">
      <w:start w:val="1"/>
      <w:numFmt w:val="decimal"/>
      <w:suff w:val="nothing"/>
      <w:lvlText w:val="%1、"/>
      <w:lvlJc w:val="left"/>
    </w:lvl>
  </w:abstractNum>
  <w:abstractNum w:abstractNumId="1">
    <w:nsid w:val="C73C3C3B"/>
    <w:multiLevelType w:val="singleLevel"/>
    <w:tmpl w:val="C73C3C3B"/>
    <w:lvl w:ilvl="0" w:tentative="0">
      <w:start w:val="6"/>
      <w:numFmt w:val="chineseCounting"/>
      <w:suff w:val="space"/>
      <w:lvlText w:val="第%1部分"/>
      <w:lvlJc w:val="left"/>
      <w:rPr>
        <w:rFonts w:hint="eastAsia"/>
      </w:rPr>
    </w:lvl>
  </w:abstractNum>
  <w:abstractNum w:abstractNumId="2">
    <w:nsid w:val="FFFFFF82"/>
    <w:multiLevelType w:val="singleLevel"/>
    <w:tmpl w:val="FFFFFF82"/>
    <w:lvl w:ilvl="0" w:tentative="0">
      <w:start w:val="1"/>
      <w:numFmt w:val="bullet"/>
      <w:pStyle w:val="121"/>
      <w:lvlText w:val=""/>
      <w:lvlJc w:val="left"/>
      <w:pPr>
        <w:tabs>
          <w:tab w:val="left" w:pos="1080"/>
        </w:tabs>
        <w:ind w:left="1080" w:hanging="360"/>
      </w:pPr>
      <w:rPr>
        <w:rFonts w:hint="default" w:ascii="Symbol" w:hAnsi="Symbol"/>
      </w:rPr>
    </w:lvl>
  </w:abstractNum>
  <w:abstractNum w:abstractNumId="3">
    <w:nsid w:val="3F155115"/>
    <w:multiLevelType w:val="multilevel"/>
    <w:tmpl w:val="3F155115"/>
    <w:lvl w:ilvl="0" w:tentative="0">
      <w:start w:val="1"/>
      <w:numFmt w:val="decimal"/>
      <w:pStyle w:val="107"/>
      <w:lvlText w:val="%1."/>
      <w:lvlJc w:val="left"/>
      <w:pPr>
        <w:ind w:left="425" w:hanging="425"/>
      </w:pPr>
      <w:rPr>
        <w:rFonts w:cs="Times New Roman"/>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4">
    <w:nsid w:val="42267E75"/>
    <w:multiLevelType w:val="multilevel"/>
    <w:tmpl w:val="42267E75"/>
    <w:lvl w:ilvl="0" w:tentative="0">
      <w:start w:val="1"/>
      <w:numFmt w:val="decimal"/>
      <w:pStyle w:val="53"/>
      <w:lvlText w:val="%1"/>
      <w:lvlJc w:val="left"/>
      <w:pPr>
        <w:tabs>
          <w:tab w:val="left" w:pos="1667"/>
        </w:tabs>
        <w:ind w:left="1667" w:hanging="420"/>
      </w:pPr>
      <w:rPr>
        <w:rFonts w:hint="eastAsia"/>
      </w:rPr>
    </w:lvl>
    <w:lvl w:ilvl="1" w:tentative="0">
      <w:start w:val="1"/>
      <w:numFmt w:val="decimal"/>
      <w:lvlText w:val="%1.%2."/>
      <w:lvlJc w:val="left"/>
      <w:pPr>
        <w:tabs>
          <w:tab w:val="left" w:pos="1814"/>
        </w:tabs>
        <w:ind w:left="1814" w:hanging="567"/>
      </w:pPr>
      <w:rPr>
        <w:rFonts w:hint="eastAsia"/>
      </w:rPr>
    </w:lvl>
    <w:lvl w:ilvl="2" w:tentative="0">
      <w:start w:val="1"/>
      <w:numFmt w:val="decimal"/>
      <w:lvlText w:val="%1.%2.%3."/>
      <w:lvlJc w:val="left"/>
      <w:pPr>
        <w:tabs>
          <w:tab w:val="left" w:pos="1956"/>
        </w:tabs>
        <w:ind w:left="1956" w:hanging="709"/>
      </w:pPr>
      <w:rPr>
        <w:rFonts w:hint="eastAsia"/>
      </w:rPr>
    </w:lvl>
    <w:lvl w:ilvl="3" w:tentative="0">
      <w:start w:val="1"/>
      <w:numFmt w:val="decimal"/>
      <w:lvlText w:val="%1.%2.%3.%4."/>
      <w:lvlJc w:val="left"/>
      <w:pPr>
        <w:tabs>
          <w:tab w:val="left" w:pos="2098"/>
        </w:tabs>
        <w:ind w:left="2098" w:hanging="851"/>
      </w:pPr>
      <w:rPr>
        <w:rFonts w:hint="eastAsia"/>
      </w:rPr>
    </w:lvl>
    <w:lvl w:ilvl="4" w:tentative="0">
      <w:start w:val="1"/>
      <w:numFmt w:val="decimal"/>
      <w:lvlText w:val="%1.%2.%3.%4.%5."/>
      <w:lvlJc w:val="left"/>
      <w:pPr>
        <w:tabs>
          <w:tab w:val="left" w:pos="2239"/>
        </w:tabs>
        <w:ind w:left="2239" w:hanging="992"/>
      </w:pPr>
      <w:rPr>
        <w:rFonts w:hint="eastAsia"/>
      </w:rPr>
    </w:lvl>
    <w:lvl w:ilvl="5" w:tentative="0">
      <w:start w:val="1"/>
      <w:numFmt w:val="decimal"/>
      <w:lvlText w:val="%1.%2.%3.%4.%5.%6."/>
      <w:lvlJc w:val="left"/>
      <w:pPr>
        <w:tabs>
          <w:tab w:val="left" w:pos="2381"/>
        </w:tabs>
        <w:ind w:left="2381" w:hanging="1134"/>
      </w:pPr>
      <w:rPr>
        <w:rFonts w:hint="eastAsia"/>
      </w:rPr>
    </w:lvl>
    <w:lvl w:ilvl="6" w:tentative="0">
      <w:start w:val="1"/>
      <w:numFmt w:val="decimal"/>
      <w:lvlText w:val="%1.%2.%3.%4.%5.%6.%7."/>
      <w:lvlJc w:val="left"/>
      <w:pPr>
        <w:tabs>
          <w:tab w:val="left" w:pos="2523"/>
        </w:tabs>
        <w:ind w:left="2523" w:hanging="1276"/>
      </w:pPr>
      <w:rPr>
        <w:rFonts w:hint="eastAsia"/>
      </w:rPr>
    </w:lvl>
    <w:lvl w:ilvl="7" w:tentative="0">
      <w:start w:val="1"/>
      <w:numFmt w:val="decimal"/>
      <w:lvlText w:val="%1.%2.%3.%4.%5.%6.%7.%8."/>
      <w:lvlJc w:val="left"/>
      <w:pPr>
        <w:tabs>
          <w:tab w:val="left" w:pos="2665"/>
        </w:tabs>
        <w:ind w:left="2665" w:hanging="1418"/>
      </w:pPr>
      <w:rPr>
        <w:rFonts w:hint="eastAsia"/>
      </w:rPr>
    </w:lvl>
    <w:lvl w:ilvl="8" w:tentative="0">
      <w:start w:val="1"/>
      <w:numFmt w:val="decimal"/>
      <w:lvlText w:val="%1.%2.%3.%4.%5.%6.%7.%8.%9."/>
      <w:lvlJc w:val="left"/>
      <w:pPr>
        <w:tabs>
          <w:tab w:val="left" w:pos="2806"/>
        </w:tabs>
        <w:ind w:left="2806" w:hanging="1559"/>
      </w:pPr>
      <w:rPr>
        <w:rFonts w:hint="eastAsia"/>
      </w:rPr>
    </w:lvl>
  </w:abstractNum>
  <w:abstractNum w:abstractNumId="5">
    <w:nsid w:val="4DB279DD"/>
    <w:multiLevelType w:val="multilevel"/>
    <w:tmpl w:val="4DB279DD"/>
    <w:lvl w:ilvl="0" w:tentative="0">
      <w:start w:val="1"/>
      <w:numFmt w:val="chineseCountingThousand"/>
      <w:pStyle w:val="127"/>
      <w:lvlText w:val="第%1章 "/>
      <w:lvlJc w:val="left"/>
      <w:pPr>
        <w:tabs>
          <w:tab w:val="left" w:pos="3780"/>
        </w:tabs>
        <w:ind w:left="3780" w:hanging="540"/>
      </w:pPr>
      <w:rPr>
        <w:rFonts w:hint="eastAsia" w:eastAsia="宋体"/>
        <w:b/>
        <w:bCs w:val="0"/>
        <w:i w:val="0"/>
        <w:iCs w:val="0"/>
        <w:caps w:val="0"/>
        <w:smallCaps w:val="0"/>
        <w:strike w:val="0"/>
        <w:dstrike w:val="0"/>
        <w:vanish w:val="0"/>
        <w:spacing w:val="0"/>
        <w:position w:val="0"/>
        <w:sz w:val="32"/>
        <w:szCs w:val="32"/>
        <w:u w:val="none"/>
        <w:vertAlign w:val="baseline"/>
      </w:rPr>
    </w:lvl>
    <w:lvl w:ilvl="1" w:tentative="0">
      <w:start w:val="1"/>
      <w:numFmt w:val="decimal"/>
      <w:pStyle w:val="68"/>
      <w:isLgl/>
      <w:suff w:val="space"/>
      <w:lvlText w:val="%1.%2"/>
      <w:lvlJc w:val="left"/>
      <w:pPr>
        <w:ind w:left="1110" w:hanging="567"/>
      </w:pPr>
      <w:rPr>
        <w:rFonts w:hint="default" w:ascii="Arial" w:hAnsi="Arial"/>
        <w:b/>
        <w:sz w:val="24"/>
        <w:szCs w:val="24"/>
      </w:rPr>
    </w:lvl>
    <w:lvl w:ilvl="2" w:tentative="0">
      <w:start w:val="1"/>
      <w:numFmt w:val="decimal"/>
      <w:pStyle w:val="105"/>
      <w:isLgl/>
      <w:lvlText w:val="%1.%2.%3"/>
      <w:lvlJc w:val="left"/>
      <w:pPr>
        <w:tabs>
          <w:tab w:val="left" w:pos="1623"/>
        </w:tabs>
        <w:ind w:left="1623" w:hanging="1080"/>
      </w:pPr>
      <w:rPr>
        <w:rFonts w:hint="default" w:ascii="Arial" w:hAnsi="Arial" w:eastAsia="宋体"/>
        <w:b/>
        <w:i w:val="0"/>
        <w:caps w:val="0"/>
        <w:smallCaps w:val="0"/>
        <w:strike w:val="0"/>
        <w:spacing w:val="0"/>
        <w:w w:val="100"/>
        <w:kern w:val="2"/>
        <w:position w:val="0"/>
        <w:sz w:val="24"/>
        <w:szCs w:val="24"/>
        <w:u w:val="none"/>
      </w:rPr>
    </w:lvl>
    <w:lvl w:ilvl="3" w:tentative="0">
      <w:start w:val="1"/>
      <w:numFmt w:val="decimal"/>
      <w:pStyle w:val="108"/>
      <w:isLgl/>
      <w:lvlText w:val="%1.%2.%3.%4"/>
      <w:lvlJc w:val="left"/>
      <w:pPr>
        <w:tabs>
          <w:tab w:val="left" w:pos="1261"/>
        </w:tabs>
        <w:ind w:left="1261" w:hanging="1080"/>
      </w:pPr>
      <w:rPr>
        <w:rFonts w:hint="default" w:ascii="Arial" w:hAnsi="Arial" w:eastAsia="宋体"/>
        <w:sz w:val="24"/>
        <w:szCs w:val="24"/>
      </w:rPr>
    </w:lvl>
    <w:lvl w:ilvl="4" w:tentative="0">
      <w:start w:val="1"/>
      <w:numFmt w:val="decimal"/>
      <w:isLgl/>
      <w:lvlText w:val="%1.%2.%3.%4.%5 "/>
      <w:lvlJc w:val="left"/>
      <w:pPr>
        <w:tabs>
          <w:tab w:val="left" w:pos="1640"/>
        </w:tabs>
        <w:ind w:left="1640" w:hanging="1440"/>
      </w:pPr>
      <w:rPr>
        <w:rFonts w:hint="default"/>
      </w:rPr>
    </w:lvl>
    <w:lvl w:ilvl="5" w:tentative="0">
      <w:start w:val="1"/>
      <w:numFmt w:val="decimal"/>
      <w:isLgl/>
      <w:lvlText w:val="%1.%2.%3.%4.%5.%6 "/>
      <w:lvlJc w:val="left"/>
      <w:pPr>
        <w:tabs>
          <w:tab w:val="left" w:pos="2000"/>
        </w:tabs>
        <w:ind w:left="2000" w:hanging="1800"/>
      </w:pPr>
      <w:rPr>
        <w:rFonts w:hint="default"/>
      </w:rPr>
    </w:lvl>
    <w:lvl w:ilvl="6" w:tentative="0">
      <w:start w:val="1"/>
      <w:numFmt w:val="decimal"/>
      <w:isLgl/>
      <w:lvlText w:val="%1.%2.%3.%4.%5.%6.%7 "/>
      <w:lvlJc w:val="left"/>
      <w:pPr>
        <w:tabs>
          <w:tab w:val="left" w:pos="2360"/>
        </w:tabs>
        <w:ind w:left="2360" w:hanging="2160"/>
      </w:pPr>
      <w:rPr>
        <w:rFonts w:hint="default"/>
      </w:rPr>
    </w:lvl>
    <w:lvl w:ilvl="7" w:tentative="0">
      <w:start w:val="1"/>
      <w:numFmt w:val="decimal"/>
      <w:isLgl/>
      <w:lvlText w:val="%1.%2.%3.%4.%5.%6.%7.%8 "/>
      <w:lvlJc w:val="left"/>
      <w:pPr>
        <w:tabs>
          <w:tab w:val="left" w:pos="2360"/>
        </w:tabs>
        <w:ind w:left="2360" w:hanging="2160"/>
      </w:pPr>
      <w:rPr>
        <w:rFonts w:hint="default"/>
      </w:rPr>
    </w:lvl>
    <w:lvl w:ilvl="8" w:tentative="0">
      <w:start w:val="1"/>
      <w:numFmt w:val="decimal"/>
      <w:isLgl/>
      <w:lvlText w:val="%1.%2.%3.%4.%5.%6.%7.%8.%9 "/>
      <w:lvlJc w:val="left"/>
      <w:pPr>
        <w:tabs>
          <w:tab w:val="left" w:pos="2720"/>
        </w:tabs>
        <w:ind w:left="2720" w:hanging="2520"/>
      </w:pPr>
      <w:rPr>
        <w:rFonts w:hint="default"/>
      </w:rPr>
    </w:lvl>
  </w:abstractNum>
  <w:abstractNum w:abstractNumId="6">
    <w:nsid w:val="56D7F4C9"/>
    <w:multiLevelType w:val="singleLevel"/>
    <w:tmpl w:val="56D7F4C9"/>
    <w:lvl w:ilvl="0" w:tentative="0">
      <w:start w:val="4"/>
      <w:numFmt w:val="decimal"/>
      <w:suff w:val="nothing"/>
      <w:lvlText w:val="%1．"/>
      <w:lvlJc w:val="left"/>
    </w:lvl>
  </w:abstractNum>
  <w:abstractNum w:abstractNumId="7">
    <w:nsid w:val="56D815A8"/>
    <w:multiLevelType w:val="singleLevel"/>
    <w:tmpl w:val="56D815A8"/>
    <w:lvl w:ilvl="0" w:tentative="0">
      <w:start w:val="3"/>
      <w:numFmt w:val="chineseCounting"/>
      <w:suff w:val="nothing"/>
      <w:lvlText w:val="第%1章"/>
      <w:lvlJc w:val="left"/>
    </w:lvl>
  </w:abstractNum>
  <w:abstractNum w:abstractNumId="8">
    <w:nsid w:val="5D194D29"/>
    <w:multiLevelType w:val="multilevel"/>
    <w:tmpl w:val="5D194D29"/>
    <w:lvl w:ilvl="0" w:tentative="0">
      <w:start w:val="3"/>
      <w:numFmt w:val="japaneseCounting"/>
      <w:pStyle w:val="4"/>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DDA0EC1"/>
    <w:multiLevelType w:val="multilevel"/>
    <w:tmpl w:val="6DDA0EC1"/>
    <w:lvl w:ilvl="0" w:tentative="0">
      <w:start w:val="1"/>
      <w:numFmt w:val="bullet"/>
      <w:pStyle w:val="81"/>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8"/>
  </w:num>
  <w:num w:numId="2">
    <w:abstractNumId w:val="4"/>
  </w:num>
  <w:num w:numId="3">
    <w:abstractNumId w:val="5"/>
  </w:num>
  <w:num w:numId="4">
    <w:abstractNumId w:val="9"/>
  </w:num>
  <w:num w:numId="5">
    <w:abstractNumId w:val="3"/>
  </w:num>
  <w:num w:numId="6">
    <w:abstractNumId w:val="2"/>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2C"/>
    <w:rsid w:val="00002BE0"/>
    <w:rsid w:val="00006DA9"/>
    <w:rsid w:val="000117DE"/>
    <w:rsid w:val="00014597"/>
    <w:rsid w:val="000145BC"/>
    <w:rsid w:val="000153B2"/>
    <w:rsid w:val="000231CF"/>
    <w:rsid w:val="00023AFB"/>
    <w:rsid w:val="00027E88"/>
    <w:rsid w:val="00030495"/>
    <w:rsid w:val="00034A5E"/>
    <w:rsid w:val="0003614E"/>
    <w:rsid w:val="00036FD2"/>
    <w:rsid w:val="0004473D"/>
    <w:rsid w:val="00053570"/>
    <w:rsid w:val="00053E05"/>
    <w:rsid w:val="00061D54"/>
    <w:rsid w:val="0007126D"/>
    <w:rsid w:val="000729F2"/>
    <w:rsid w:val="000758E5"/>
    <w:rsid w:val="00075A5F"/>
    <w:rsid w:val="00076DD5"/>
    <w:rsid w:val="00083E28"/>
    <w:rsid w:val="000846F5"/>
    <w:rsid w:val="00092108"/>
    <w:rsid w:val="000946D0"/>
    <w:rsid w:val="00096774"/>
    <w:rsid w:val="00097E4B"/>
    <w:rsid w:val="000A1771"/>
    <w:rsid w:val="000A21FF"/>
    <w:rsid w:val="000A2705"/>
    <w:rsid w:val="000B4BE2"/>
    <w:rsid w:val="000B5DDF"/>
    <w:rsid w:val="000B6DCF"/>
    <w:rsid w:val="000B7483"/>
    <w:rsid w:val="000B7676"/>
    <w:rsid w:val="000C155C"/>
    <w:rsid w:val="000D031D"/>
    <w:rsid w:val="000D2B69"/>
    <w:rsid w:val="000D79EE"/>
    <w:rsid w:val="000E0CC0"/>
    <w:rsid w:val="000E230C"/>
    <w:rsid w:val="000E2B8D"/>
    <w:rsid w:val="000E40FD"/>
    <w:rsid w:val="000E441F"/>
    <w:rsid w:val="000F43C4"/>
    <w:rsid w:val="000F5597"/>
    <w:rsid w:val="00100133"/>
    <w:rsid w:val="00102525"/>
    <w:rsid w:val="00107107"/>
    <w:rsid w:val="00111478"/>
    <w:rsid w:val="001130EC"/>
    <w:rsid w:val="00113269"/>
    <w:rsid w:val="00114CAE"/>
    <w:rsid w:val="00120700"/>
    <w:rsid w:val="001225C3"/>
    <w:rsid w:val="0013306C"/>
    <w:rsid w:val="001340B0"/>
    <w:rsid w:val="00136006"/>
    <w:rsid w:val="001464E7"/>
    <w:rsid w:val="00153C52"/>
    <w:rsid w:val="00155109"/>
    <w:rsid w:val="00155288"/>
    <w:rsid w:val="0016071E"/>
    <w:rsid w:val="0017132D"/>
    <w:rsid w:val="00180345"/>
    <w:rsid w:val="00182030"/>
    <w:rsid w:val="00185C48"/>
    <w:rsid w:val="00193C12"/>
    <w:rsid w:val="001965A1"/>
    <w:rsid w:val="001A00DC"/>
    <w:rsid w:val="001A233D"/>
    <w:rsid w:val="001A3052"/>
    <w:rsid w:val="001A3121"/>
    <w:rsid w:val="001A3AFC"/>
    <w:rsid w:val="001B19D5"/>
    <w:rsid w:val="001C38AC"/>
    <w:rsid w:val="001C5F91"/>
    <w:rsid w:val="001C79AE"/>
    <w:rsid w:val="001C7D58"/>
    <w:rsid w:val="001D6303"/>
    <w:rsid w:val="001D71FC"/>
    <w:rsid w:val="001E294C"/>
    <w:rsid w:val="001E651B"/>
    <w:rsid w:val="001F5EAC"/>
    <w:rsid w:val="00204A22"/>
    <w:rsid w:val="002050E5"/>
    <w:rsid w:val="002105B8"/>
    <w:rsid w:val="00212D55"/>
    <w:rsid w:val="00220CAE"/>
    <w:rsid w:val="00222B71"/>
    <w:rsid w:val="00223C10"/>
    <w:rsid w:val="00230BF5"/>
    <w:rsid w:val="00231637"/>
    <w:rsid w:val="0023179E"/>
    <w:rsid w:val="00233A7D"/>
    <w:rsid w:val="00236E0A"/>
    <w:rsid w:val="00237C17"/>
    <w:rsid w:val="002426CA"/>
    <w:rsid w:val="00245E5A"/>
    <w:rsid w:val="00246FD2"/>
    <w:rsid w:val="00250713"/>
    <w:rsid w:val="002543D3"/>
    <w:rsid w:val="00255081"/>
    <w:rsid w:val="0026146D"/>
    <w:rsid w:val="002615F5"/>
    <w:rsid w:val="00261A13"/>
    <w:rsid w:val="0026784D"/>
    <w:rsid w:val="00267E11"/>
    <w:rsid w:val="002708D7"/>
    <w:rsid w:val="00273C23"/>
    <w:rsid w:val="002800D5"/>
    <w:rsid w:val="002901A3"/>
    <w:rsid w:val="00293153"/>
    <w:rsid w:val="00297DF4"/>
    <w:rsid w:val="002A3FDC"/>
    <w:rsid w:val="002A4541"/>
    <w:rsid w:val="002A53CC"/>
    <w:rsid w:val="002B3559"/>
    <w:rsid w:val="002B6B36"/>
    <w:rsid w:val="002C15FD"/>
    <w:rsid w:val="002C38AA"/>
    <w:rsid w:val="002C3C67"/>
    <w:rsid w:val="002C66E8"/>
    <w:rsid w:val="002E00E0"/>
    <w:rsid w:val="002E1D2C"/>
    <w:rsid w:val="002E35FF"/>
    <w:rsid w:val="002E7675"/>
    <w:rsid w:val="002F01E6"/>
    <w:rsid w:val="002F5E17"/>
    <w:rsid w:val="00300FA3"/>
    <w:rsid w:val="00301987"/>
    <w:rsid w:val="00301C0B"/>
    <w:rsid w:val="00301F02"/>
    <w:rsid w:val="003051D1"/>
    <w:rsid w:val="003063B6"/>
    <w:rsid w:val="00314D92"/>
    <w:rsid w:val="00316EB9"/>
    <w:rsid w:val="003203F1"/>
    <w:rsid w:val="00330347"/>
    <w:rsid w:val="0033708A"/>
    <w:rsid w:val="00337413"/>
    <w:rsid w:val="00340135"/>
    <w:rsid w:val="00340A3C"/>
    <w:rsid w:val="0034540D"/>
    <w:rsid w:val="00352561"/>
    <w:rsid w:val="00362218"/>
    <w:rsid w:val="00372462"/>
    <w:rsid w:val="00374462"/>
    <w:rsid w:val="003772B4"/>
    <w:rsid w:val="0038057F"/>
    <w:rsid w:val="00385C0C"/>
    <w:rsid w:val="00386717"/>
    <w:rsid w:val="0039295C"/>
    <w:rsid w:val="003962EC"/>
    <w:rsid w:val="00397AAE"/>
    <w:rsid w:val="003A0980"/>
    <w:rsid w:val="003A7956"/>
    <w:rsid w:val="003B1467"/>
    <w:rsid w:val="003C4A2A"/>
    <w:rsid w:val="003C5B4A"/>
    <w:rsid w:val="003C71D9"/>
    <w:rsid w:val="003D1171"/>
    <w:rsid w:val="003D118D"/>
    <w:rsid w:val="003D3C8D"/>
    <w:rsid w:val="003D5349"/>
    <w:rsid w:val="003D5A39"/>
    <w:rsid w:val="003D6D4C"/>
    <w:rsid w:val="003E1A80"/>
    <w:rsid w:val="003E23DD"/>
    <w:rsid w:val="003E3672"/>
    <w:rsid w:val="003F0C1F"/>
    <w:rsid w:val="003F4D94"/>
    <w:rsid w:val="00404871"/>
    <w:rsid w:val="00411310"/>
    <w:rsid w:val="00411EA3"/>
    <w:rsid w:val="00412BFF"/>
    <w:rsid w:val="00421F11"/>
    <w:rsid w:val="00425F1C"/>
    <w:rsid w:val="0043032D"/>
    <w:rsid w:val="00442B4E"/>
    <w:rsid w:val="00443502"/>
    <w:rsid w:val="00452873"/>
    <w:rsid w:val="004609D8"/>
    <w:rsid w:val="00465146"/>
    <w:rsid w:val="004656E9"/>
    <w:rsid w:val="00466493"/>
    <w:rsid w:val="00466F0A"/>
    <w:rsid w:val="004707DB"/>
    <w:rsid w:val="00480F49"/>
    <w:rsid w:val="00483193"/>
    <w:rsid w:val="0049069B"/>
    <w:rsid w:val="00491301"/>
    <w:rsid w:val="0049161B"/>
    <w:rsid w:val="004936C2"/>
    <w:rsid w:val="00496533"/>
    <w:rsid w:val="004A60AB"/>
    <w:rsid w:val="004A6971"/>
    <w:rsid w:val="004A7AD7"/>
    <w:rsid w:val="004B27B2"/>
    <w:rsid w:val="004B4EA2"/>
    <w:rsid w:val="004C653C"/>
    <w:rsid w:val="004C7DA4"/>
    <w:rsid w:val="004D377D"/>
    <w:rsid w:val="004D3BB2"/>
    <w:rsid w:val="004D5F1C"/>
    <w:rsid w:val="004D6D67"/>
    <w:rsid w:val="004E20BB"/>
    <w:rsid w:val="004E3C89"/>
    <w:rsid w:val="004E50C3"/>
    <w:rsid w:val="004F64C7"/>
    <w:rsid w:val="004F65F4"/>
    <w:rsid w:val="00502B46"/>
    <w:rsid w:val="00505377"/>
    <w:rsid w:val="00507AA2"/>
    <w:rsid w:val="00507BF9"/>
    <w:rsid w:val="00511E3D"/>
    <w:rsid w:val="005165BD"/>
    <w:rsid w:val="00522068"/>
    <w:rsid w:val="005226D1"/>
    <w:rsid w:val="00522BD7"/>
    <w:rsid w:val="00524EA4"/>
    <w:rsid w:val="00525FAF"/>
    <w:rsid w:val="00533E1E"/>
    <w:rsid w:val="0054113E"/>
    <w:rsid w:val="0054235F"/>
    <w:rsid w:val="005621CE"/>
    <w:rsid w:val="005652B1"/>
    <w:rsid w:val="005679BA"/>
    <w:rsid w:val="00582115"/>
    <w:rsid w:val="0058340B"/>
    <w:rsid w:val="00583B07"/>
    <w:rsid w:val="00586454"/>
    <w:rsid w:val="005864DD"/>
    <w:rsid w:val="00591CCA"/>
    <w:rsid w:val="00591F56"/>
    <w:rsid w:val="0059259C"/>
    <w:rsid w:val="0059376B"/>
    <w:rsid w:val="0059522F"/>
    <w:rsid w:val="00596CBE"/>
    <w:rsid w:val="0059738E"/>
    <w:rsid w:val="005A0BF7"/>
    <w:rsid w:val="005A7D49"/>
    <w:rsid w:val="005B0FC7"/>
    <w:rsid w:val="005B5024"/>
    <w:rsid w:val="005B5C26"/>
    <w:rsid w:val="005C24C8"/>
    <w:rsid w:val="005C5621"/>
    <w:rsid w:val="005C69D5"/>
    <w:rsid w:val="005C79BD"/>
    <w:rsid w:val="005D1F8E"/>
    <w:rsid w:val="005D42B1"/>
    <w:rsid w:val="005D563B"/>
    <w:rsid w:val="005D6CD7"/>
    <w:rsid w:val="005D6EBB"/>
    <w:rsid w:val="005E1FB0"/>
    <w:rsid w:val="005E3123"/>
    <w:rsid w:val="005E593E"/>
    <w:rsid w:val="005E7D16"/>
    <w:rsid w:val="005F2729"/>
    <w:rsid w:val="005F3CF7"/>
    <w:rsid w:val="005F532D"/>
    <w:rsid w:val="00605749"/>
    <w:rsid w:val="006057D5"/>
    <w:rsid w:val="006060A4"/>
    <w:rsid w:val="006068CC"/>
    <w:rsid w:val="00611848"/>
    <w:rsid w:val="00614B4B"/>
    <w:rsid w:val="00617FE9"/>
    <w:rsid w:val="006200C6"/>
    <w:rsid w:val="00623985"/>
    <w:rsid w:val="00625C28"/>
    <w:rsid w:val="00633D23"/>
    <w:rsid w:val="006426BF"/>
    <w:rsid w:val="0064725F"/>
    <w:rsid w:val="00647E4F"/>
    <w:rsid w:val="00654940"/>
    <w:rsid w:val="006569F5"/>
    <w:rsid w:val="006614E4"/>
    <w:rsid w:val="00663CAB"/>
    <w:rsid w:val="00670B5A"/>
    <w:rsid w:val="00677D97"/>
    <w:rsid w:val="00680D69"/>
    <w:rsid w:val="00683614"/>
    <w:rsid w:val="00684FDA"/>
    <w:rsid w:val="00687480"/>
    <w:rsid w:val="00691148"/>
    <w:rsid w:val="006932C4"/>
    <w:rsid w:val="006965CA"/>
    <w:rsid w:val="006A5CCA"/>
    <w:rsid w:val="006A64AC"/>
    <w:rsid w:val="006A6F60"/>
    <w:rsid w:val="006B236C"/>
    <w:rsid w:val="006B2834"/>
    <w:rsid w:val="006B39C4"/>
    <w:rsid w:val="006B59CB"/>
    <w:rsid w:val="006C7501"/>
    <w:rsid w:val="006C7BE9"/>
    <w:rsid w:val="006D0140"/>
    <w:rsid w:val="006D0194"/>
    <w:rsid w:val="006D297E"/>
    <w:rsid w:val="006D33CA"/>
    <w:rsid w:val="006D4F0A"/>
    <w:rsid w:val="006E5285"/>
    <w:rsid w:val="006E7712"/>
    <w:rsid w:val="006F2AD3"/>
    <w:rsid w:val="006F43F8"/>
    <w:rsid w:val="006F5AF6"/>
    <w:rsid w:val="006F5CDE"/>
    <w:rsid w:val="0070307D"/>
    <w:rsid w:val="00707880"/>
    <w:rsid w:val="00707D4A"/>
    <w:rsid w:val="00707DA6"/>
    <w:rsid w:val="00711E76"/>
    <w:rsid w:val="00714413"/>
    <w:rsid w:val="00723F6F"/>
    <w:rsid w:val="007252CB"/>
    <w:rsid w:val="00733A9A"/>
    <w:rsid w:val="0073546A"/>
    <w:rsid w:val="007371D6"/>
    <w:rsid w:val="007408F3"/>
    <w:rsid w:val="007439F2"/>
    <w:rsid w:val="00745642"/>
    <w:rsid w:val="0074631B"/>
    <w:rsid w:val="00747FD9"/>
    <w:rsid w:val="00752D11"/>
    <w:rsid w:val="007564C2"/>
    <w:rsid w:val="00757A2C"/>
    <w:rsid w:val="0076642D"/>
    <w:rsid w:val="00773685"/>
    <w:rsid w:val="007747C6"/>
    <w:rsid w:val="00774EC5"/>
    <w:rsid w:val="00780910"/>
    <w:rsid w:val="007817FB"/>
    <w:rsid w:val="00782A50"/>
    <w:rsid w:val="007838AE"/>
    <w:rsid w:val="007846E1"/>
    <w:rsid w:val="0078497D"/>
    <w:rsid w:val="007924F0"/>
    <w:rsid w:val="007944EE"/>
    <w:rsid w:val="00795755"/>
    <w:rsid w:val="007A1417"/>
    <w:rsid w:val="007A7C1E"/>
    <w:rsid w:val="007B171D"/>
    <w:rsid w:val="007B527C"/>
    <w:rsid w:val="007C1B32"/>
    <w:rsid w:val="007C1F7E"/>
    <w:rsid w:val="007C312D"/>
    <w:rsid w:val="007C42BA"/>
    <w:rsid w:val="007C591E"/>
    <w:rsid w:val="007D01FF"/>
    <w:rsid w:val="007D0B7B"/>
    <w:rsid w:val="007D1E8A"/>
    <w:rsid w:val="007D4E74"/>
    <w:rsid w:val="007E12FF"/>
    <w:rsid w:val="007E193C"/>
    <w:rsid w:val="007E6856"/>
    <w:rsid w:val="007F066E"/>
    <w:rsid w:val="007F117F"/>
    <w:rsid w:val="007F2386"/>
    <w:rsid w:val="007F25D7"/>
    <w:rsid w:val="007F35B8"/>
    <w:rsid w:val="00803662"/>
    <w:rsid w:val="00805116"/>
    <w:rsid w:val="008052D7"/>
    <w:rsid w:val="00811582"/>
    <w:rsid w:val="00814756"/>
    <w:rsid w:val="00824B59"/>
    <w:rsid w:val="0083118F"/>
    <w:rsid w:val="008323AA"/>
    <w:rsid w:val="0084002A"/>
    <w:rsid w:val="0084306A"/>
    <w:rsid w:val="00850D05"/>
    <w:rsid w:val="008526B4"/>
    <w:rsid w:val="00853484"/>
    <w:rsid w:val="00860FE3"/>
    <w:rsid w:val="00861780"/>
    <w:rsid w:val="00861DFB"/>
    <w:rsid w:val="00863AFA"/>
    <w:rsid w:val="00864E58"/>
    <w:rsid w:val="008707DC"/>
    <w:rsid w:val="00874E0C"/>
    <w:rsid w:val="00875448"/>
    <w:rsid w:val="00875839"/>
    <w:rsid w:val="00877AE3"/>
    <w:rsid w:val="00882577"/>
    <w:rsid w:val="00890A43"/>
    <w:rsid w:val="008A0B3F"/>
    <w:rsid w:val="008A6129"/>
    <w:rsid w:val="008B02E7"/>
    <w:rsid w:val="008B1BCD"/>
    <w:rsid w:val="008B702C"/>
    <w:rsid w:val="008C2DE2"/>
    <w:rsid w:val="008C4580"/>
    <w:rsid w:val="008C7BF5"/>
    <w:rsid w:val="008D03C5"/>
    <w:rsid w:val="008E0669"/>
    <w:rsid w:val="008E169B"/>
    <w:rsid w:val="008E46FC"/>
    <w:rsid w:val="008E595E"/>
    <w:rsid w:val="008E6BB7"/>
    <w:rsid w:val="008E70B2"/>
    <w:rsid w:val="008F235A"/>
    <w:rsid w:val="008F27CF"/>
    <w:rsid w:val="008F458B"/>
    <w:rsid w:val="008F6147"/>
    <w:rsid w:val="008F68D7"/>
    <w:rsid w:val="009079EF"/>
    <w:rsid w:val="0091022A"/>
    <w:rsid w:val="009159EF"/>
    <w:rsid w:val="00917A7F"/>
    <w:rsid w:val="0092031C"/>
    <w:rsid w:val="00921B33"/>
    <w:rsid w:val="00935033"/>
    <w:rsid w:val="00937AEF"/>
    <w:rsid w:val="00943284"/>
    <w:rsid w:val="009441DF"/>
    <w:rsid w:val="009450A4"/>
    <w:rsid w:val="009455D9"/>
    <w:rsid w:val="00950D8C"/>
    <w:rsid w:val="0095223A"/>
    <w:rsid w:val="00953840"/>
    <w:rsid w:val="00957CE2"/>
    <w:rsid w:val="0096102C"/>
    <w:rsid w:val="00963000"/>
    <w:rsid w:val="00971120"/>
    <w:rsid w:val="009759BD"/>
    <w:rsid w:val="00976186"/>
    <w:rsid w:val="009853AE"/>
    <w:rsid w:val="009863C8"/>
    <w:rsid w:val="00986663"/>
    <w:rsid w:val="00986F36"/>
    <w:rsid w:val="009919A3"/>
    <w:rsid w:val="00993C7B"/>
    <w:rsid w:val="009A21CE"/>
    <w:rsid w:val="009A2AB6"/>
    <w:rsid w:val="009A3F41"/>
    <w:rsid w:val="009B29B5"/>
    <w:rsid w:val="009B4C78"/>
    <w:rsid w:val="009B7D7E"/>
    <w:rsid w:val="009C01C4"/>
    <w:rsid w:val="009C39CC"/>
    <w:rsid w:val="009C70AD"/>
    <w:rsid w:val="009C7BC8"/>
    <w:rsid w:val="009D0B60"/>
    <w:rsid w:val="009D56D3"/>
    <w:rsid w:val="009D6B2B"/>
    <w:rsid w:val="009E1FD4"/>
    <w:rsid w:val="009E255A"/>
    <w:rsid w:val="009E4B1C"/>
    <w:rsid w:val="009E56FB"/>
    <w:rsid w:val="009F2CE2"/>
    <w:rsid w:val="009F481C"/>
    <w:rsid w:val="009F6DFB"/>
    <w:rsid w:val="00A04F43"/>
    <w:rsid w:val="00A10038"/>
    <w:rsid w:val="00A15116"/>
    <w:rsid w:val="00A24B30"/>
    <w:rsid w:val="00A24D57"/>
    <w:rsid w:val="00A24F7C"/>
    <w:rsid w:val="00A30800"/>
    <w:rsid w:val="00A310A0"/>
    <w:rsid w:val="00A31D27"/>
    <w:rsid w:val="00A32534"/>
    <w:rsid w:val="00A34DBD"/>
    <w:rsid w:val="00A3676B"/>
    <w:rsid w:val="00A40FBD"/>
    <w:rsid w:val="00A410DA"/>
    <w:rsid w:val="00A46654"/>
    <w:rsid w:val="00A639FA"/>
    <w:rsid w:val="00A72CC5"/>
    <w:rsid w:val="00A76B43"/>
    <w:rsid w:val="00A771E8"/>
    <w:rsid w:val="00A831B9"/>
    <w:rsid w:val="00A84D00"/>
    <w:rsid w:val="00A863F4"/>
    <w:rsid w:val="00A873C4"/>
    <w:rsid w:val="00A87872"/>
    <w:rsid w:val="00A87D01"/>
    <w:rsid w:val="00AA55DB"/>
    <w:rsid w:val="00AB0319"/>
    <w:rsid w:val="00AB0D05"/>
    <w:rsid w:val="00AB0DBF"/>
    <w:rsid w:val="00AB2A33"/>
    <w:rsid w:val="00AB5192"/>
    <w:rsid w:val="00AB5C15"/>
    <w:rsid w:val="00AC182A"/>
    <w:rsid w:val="00AC471A"/>
    <w:rsid w:val="00AD2217"/>
    <w:rsid w:val="00AD26AF"/>
    <w:rsid w:val="00AD3D74"/>
    <w:rsid w:val="00AE3332"/>
    <w:rsid w:val="00AE3B1C"/>
    <w:rsid w:val="00AF22F1"/>
    <w:rsid w:val="00B01B5F"/>
    <w:rsid w:val="00B02409"/>
    <w:rsid w:val="00B04CBD"/>
    <w:rsid w:val="00B0727D"/>
    <w:rsid w:val="00B10BF2"/>
    <w:rsid w:val="00B16AB7"/>
    <w:rsid w:val="00B245D9"/>
    <w:rsid w:val="00B2599E"/>
    <w:rsid w:val="00B2670D"/>
    <w:rsid w:val="00B30B9E"/>
    <w:rsid w:val="00B31369"/>
    <w:rsid w:val="00B336EC"/>
    <w:rsid w:val="00B33D3D"/>
    <w:rsid w:val="00B40007"/>
    <w:rsid w:val="00B41F65"/>
    <w:rsid w:val="00B438B0"/>
    <w:rsid w:val="00B458B7"/>
    <w:rsid w:val="00B45D37"/>
    <w:rsid w:val="00B47094"/>
    <w:rsid w:val="00B50E70"/>
    <w:rsid w:val="00B51C84"/>
    <w:rsid w:val="00B53F3A"/>
    <w:rsid w:val="00B55C66"/>
    <w:rsid w:val="00B56CC1"/>
    <w:rsid w:val="00B6063B"/>
    <w:rsid w:val="00B60C78"/>
    <w:rsid w:val="00B633B8"/>
    <w:rsid w:val="00B64358"/>
    <w:rsid w:val="00B65DEE"/>
    <w:rsid w:val="00B77ADC"/>
    <w:rsid w:val="00B914A1"/>
    <w:rsid w:val="00B9348F"/>
    <w:rsid w:val="00B94C4E"/>
    <w:rsid w:val="00B94CB9"/>
    <w:rsid w:val="00B96FD5"/>
    <w:rsid w:val="00B97D21"/>
    <w:rsid w:val="00BA43DB"/>
    <w:rsid w:val="00BA471B"/>
    <w:rsid w:val="00BA4BBE"/>
    <w:rsid w:val="00BA4EDF"/>
    <w:rsid w:val="00BA6E88"/>
    <w:rsid w:val="00BC0CFE"/>
    <w:rsid w:val="00BC0E9D"/>
    <w:rsid w:val="00BC1D20"/>
    <w:rsid w:val="00BC2438"/>
    <w:rsid w:val="00BC5FBD"/>
    <w:rsid w:val="00BD3F38"/>
    <w:rsid w:val="00BD6CEA"/>
    <w:rsid w:val="00BD7564"/>
    <w:rsid w:val="00BE1D0F"/>
    <w:rsid w:val="00BF16B0"/>
    <w:rsid w:val="00BF1EC8"/>
    <w:rsid w:val="00BF23DE"/>
    <w:rsid w:val="00C02051"/>
    <w:rsid w:val="00C04003"/>
    <w:rsid w:val="00C111D1"/>
    <w:rsid w:val="00C11E2E"/>
    <w:rsid w:val="00C1726A"/>
    <w:rsid w:val="00C23DAE"/>
    <w:rsid w:val="00C25A4A"/>
    <w:rsid w:val="00C36228"/>
    <w:rsid w:val="00C56F47"/>
    <w:rsid w:val="00C65AAD"/>
    <w:rsid w:val="00C65BBC"/>
    <w:rsid w:val="00C67199"/>
    <w:rsid w:val="00C75921"/>
    <w:rsid w:val="00C814D8"/>
    <w:rsid w:val="00C83E4F"/>
    <w:rsid w:val="00C841FB"/>
    <w:rsid w:val="00C8545F"/>
    <w:rsid w:val="00C91BE4"/>
    <w:rsid w:val="00C92D94"/>
    <w:rsid w:val="00C93CEE"/>
    <w:rsid w:val="00C95D30"/>
    <w:rsid w:val="00C96005"/>
    <w:rsid w:val="00CA45E7"/>
    <w:rsid w:val="00CA4A52"/>
    <w:rsid w:val="00CB14B4"/>
    <w:rsid w:val="00CC4564"/>
    <w:rsid w:val="00CD29BA"/>
    <w:rsid w:val="00CD625B"/>
    <w:rsid w:val="00CF2EBE"/>
    <w:rsid w:val="00CF7B8C"/>
    <w:rsid w:val="00D00AE7"/>
    <w:rsid w:val="00D0161D"/>
    <w:rsid w:val="00D071E2"/>
    <w:rsid w:val="00D10831"/>
    <w:rsid w:val="00D1712B"/>
    <w:rsid w:val="00D206AB"/>
    <w:rsid w:val="00D210E7"/>
    <w:rsid w:val="00D23649"/>
    <w:rsid w:val="00D32175"/>
    <w:rsid w:val="00D32BAE"/>
    <w:rsid w:val="00D32C9B"/>
    <w:rsid w:val="00D4238B"/>
    <w:rsid w:val="00D43B80"/>
    <w:rsid w:val="00D4416E"/>
    <w:rsid w:val="00D470B9"/>
    <w:rsid w:val="00D53869"/>
    <w:rsid w:val="00D619CF"/>
    <w:rsid w:val="00D61F74"/>
    <w:rsid w:val="00D623BF"/>
    <w:rsid w:val="00D63B5C"/>
    <w:rsid w:val="00D664F4"/>
    <w:rsid w:val="00D670C9"/>
    <w:rsid w:val="00D678E1"/>
    <w:rsid w:val="00D70FF2"/>
    <w:rsid w:val="00D71BFD"/>
    <w:rsid w:val="00D73D6C"/>
    <w:rsid w:val="00D74258"/>
    <w:rsid w:val="00D812CA"/>
    <w:rsid w:val="00D87D75"/>
    <w:rsid w:val="00D906C0"/>
    <w:rsid w:val="00D91009"/>
    <w:rsid w:val="00D914A4"/>
    <w:rsid w:val="00D9516D"/>
    <w:rsid w:val="00D95297"/>
    <w:rsid w:val="00D966E8"/>
    <w:rsid w:val="00DA115A"/>
    <w:rsid w:val="00DA58AD"/>
    <w:rsid w:val="00DA6016"/>
    <w:rsid w:val="00DA634B"/>
    <w:rsid w:val="00DC0C45"/>
    <w:rsid w:val="00DC1AE6"/>
    <w:rsid w:val="00DC3C2A"/>
    <w:rsid w:val="00DD209C"/>
    <w:rsid w:val="00DD5871"/>
    <w:rsid w:val="00DD71CB"/>
    <w:rsid w:val="00DE05C9"/>
    <w:rsid w:val="00DE0CEC"/>
    <w:rsid w:val="00DE4C5E"/>
    <w:rsid w:val="00DE52DA"/>
    <w:rsid w:val="00DE74D5"/>
    <w:rsid w:val="00DF0B88"/>
    <w:rsid w:val="00DF23D2"/>
    <w:rsid w:val="00E025AA"/>
    <w:rsid w:val="00E0489C"/>
    <w:rsid w:val="00E15020"/>
    <w:rsid w:val="00E16F7A"/>
    <w:rsid w:val="00E25517"/>
    <w:rsid w:val="00E2588B"/>
    <w:rsid w:val="00E276AE"/>
    <w:rsid w:val="00E3048C"/>
    <w:rsid w:val="00E305BC"/>
    <w:rsid w:val="00E32AB5"/>
    <w:rsid w:val="00E32C10"/>
    <w:rsid w:val="00E40202"/>
    <w:rsid w:val="00E41475"/>
    <w:rsid w:val="00E43EB8"/>
    <w:rsid w:val="00E4510B"/>
    <w:rsid w:val="00E51793"/>
    <w:rsid w:val="00E53C70"/>
    <w:rsid w:val="00E61C37"/>
    <w:rsid w:val="00E67AB5"/>
    <w:rsid w:val="00E738AB"/>
    <w:rsid w:val="00E73DB6"/>
    <w:rsid w:val="00E749FE"/>
    <w:rsid w:val="00E82630"/>
    <w:rsid w:val="00E83024"/>
    <w:rsid w:val="00E842C0"/>
    <w:rsid w:val="00E902C6"/>
    <w:rsid w:val="00E90535"/>
    <w:rsid w:val="00E9484A"/>
    <w:rsid w:val="00E97CD3"/>
    <w:rsid w:val="00EA0A6D"/>
    <w:rsid w:val="00EA3AFA"/>
    <w:rsid w:val="00EA59D6"/>
    <w:rsid w:val="00EB016F"/>
    <w:rsid w:val="00EB6BBB"/>
    <w:rsid w:val="00EC2C36"/>
    <w:rsid w:val="00ED4E85"/>
    <w:rsid w:val="00ED5021"/>
    <w:rsid w:val="00ED5EE8"/>
    <w:rsid w:val="00ED7109"/>
    <w:rsid w:val="00ED7637"/>
    <w:rsid w:val="00EF24A2"/>
    <w:rsid w:val="00EF360F"/>
    <w:rsid w:val="00EF657C"/>
    <w:rsid w:val="00EF7AC6"/>
    <w:rsid w:val="00F00ADF"/>
    <w:rsid w:val="00F060BD"/>
    <w:rsid w:val="00F06A8F"/>
    <w:rsid w:val="00F07144"/>
    <w:rsid w:val="00F071F2"/>
    <w:rsid w:val="00F10452"/>
    <w:rsid w:val="00F10483"/>
    <w:rsid w:val="00F12681"/>
    <w:rsid w:val="00F16AC9"/>
    <w:rsid w:val="00F21BCD"/>
    <w:rsid w:val="00F27006"/>
    <w:rsid w:val="00F27982"/>
    <w:rsid w:val="00F32AA8"/>
    <w:rsid w:val="00F3344C"/>
    <w:rsid w:val="00F33C6B"/>
    <w:rsid w:val="00F34771"/>
    <w:rsid w:val="00F36367"/>
    <w:rsid w:val="00F37433"/>
    <w:rsid w:val="00F45B66"/>
    <w:rsid w:val="00F472C0"/>
    <w:rsid w:val="00F47AC6"/>
    <w:rsid w:val="00F51EAC"/>
    <w:rsid w:val="00F55981"/>
    <w:rsid w:val="00F64177"/>
    <w:rsid w:val="00F6507D"/>
    <w:rsid w:val="00F713F4"/>
    <w:rsid w:val="00F71AD4"/>
    <w:rsid w:val="00F733AB"/>
    <w:rsid w:val="00F747C7"/>
    <w:rsid w:val="00F76927"/>
    <w:rsid w:val="00F76B67"/>
    <w:rsid w:val="00F77005"/>
    <w:rsid w:val="00F8408C"/>
    <w:rsid w:val="00F84C7E"/>
    <w:rsid w:val="00F947F8"/>
    <w:rsid w:val="00F97A9E"/>
    <w:rsid w:val="00FA525C"/>
    <w:rsid w:val="00FB05DE"/>
    <w:rsid w:val="00FB5C38"/>
    <w:rsid w:val="00FD66FE"/>
    <w:rsid w:val="00FE21AB"/>
    <w:rsid w:val="00FE5CB1"/>
    <w:rsid w:val="00FF4AEB"/>
    <w:rsid w:val="00FF5CE9"/>
    <w:rsid w:val="00FF7585"/>
    <w:rsid w:val="012A3378"/>
    <w:rsid w:val="018103B7"/>
    <w:rsid w:val="01BB32F4"/>
    <w:rsid w:val="01F77248"/>
    <w:rsid w:val="025D21EE"/>
    <w:rsid w:val="02895D75"/>
    <w:rsid w:val="029370C7"/>
    <w:rsid w:val="02AE207A"/>
    <w:rsid w:val="02C134DF"/>
    <w:rsid w:val="02E154BF"/>
    <w:rsid w:val="031C530E"/>
    <w:rsid w:val="03564AEB"/>
    <w:rsid w:val="039A4954"/>
    <w:rsid w:val="03BB7343"/>
    <w:rsid w:val="040F1E30"/>
    <w:rsid w:val="04B52D70"/>
    <w:rsid w:val="04B82DAE"/>
    <w:rsid w:val="051B045B"/>
    <w:rsid w:val="051C1580"/>
    <w:rsid w:val="0544695D"/>
    <w:rsid w:val="05EF7CBB"/>
    <w:rsid w:val="06302965"/>
    <w:rsid w:val="06353E77"/>
    <w:rsid w:val="0684347C"/>
    <w:rsid w:val="06953D11"/>
    <w:rsid w:val="06DF1690"/>
    <w:rsid w:val="072468FB"/>
    <w:rsid w:val="078D252F"/>
    <w:rsid w:val="078D58ED"/>
    <w:rsid w:val="078E5CFE"/>
    <w:rsid w:val="07A57FC5"/>
    <w:rsid w:val="07AA0130"/>
    <w:rsid w:val="08C55D2A"/>
    <w:rsid w:val="090D6F75"/>
    <w:rsid w:val="09A0624D"/>
    <w:rsid w:val="0A0E5435"/>
    <w:rsid w:val="0A2A177A"/>
    <w:rsid w:val="0A4941EF"/>
    <w:rsid w:val="0A6E6423"/>
    <w:rsid w:val="0A752CF5"/>
    <w:rsid w:val="0A994A62"/>
    <w:rsid w:val="0AAB683F"/>
    <w:rsid w:val="0B677DC6"/>
    <w:rsid w:val="0BBE7479"/>
    <w:rsid w:val="0C872535"/>
    <w:rsid w:val="0CA67F79"/>
    <w:rsid w:val="0CCB0DF5"/>
    <w:rsid w:val="0D1A400D"/>
    <w:rsid w:val="0D230908"/>
    <w:rsid w:val="0D577E66"/>
    <w:rsid w:val="0E064625"/>
    <w:rsid w:val="0E3A6663"/>
    <w:rsid w:val="0E7A418E"/>
    <w:rsid w:val="0EE25407"/>
    <w:rsid w:val="0F6224FF"/>
    <w:rsid w:val="106A11D7"/>
    <w:rsid w:val="10BC707F"/>
    <w:rsid w:val="10F67FDE"/>
    <w:rsid w:val="11077AE9"/>
    <w:rsid w:val="11416E37"/>
    <w:rsid w:val="11791737"/>
    <w:rsid w:val="11F900EC"/>
    <w:rsid w:val="12B05848"/>
    <w:rsid w:val="12BE5625"/>
    <w:rsid w:val="12EE6A07"/>
    <w:rsid w:val="140D5F12"/>
    <w:rsid w:val="14DA2375"/>
    <w:rsid w:val="15502B44"/>
    <w:rsid w:val="15E14E25"/>
    <w:rsid w:val="16717E28"/>
    <w:rsid w:val="16E265A0"/>
    <w:rsid w:val="1727604A"/>
    <w:rsid w:val="17B85FD9"/>
    <w:rsid w:val="188F1BDD"/>
    <w:rsid w:val="18F65B2D"/>
    <w:rsid w:val="18FD2398"/>
    <w:rsid w:val="191422D8"/>
    <w:rsid w:val="192F6589"/>
    <w:rsid w:val="19DD4AC5"/>
    <w:rsid w:val="19E7657E"/>
    <w:rsid w:val="19EE157E"/>
    <w:rsid w:val="1A892B8F"/>
    <w:rsid w:val="1AA8344A"/>
    <w:rsid w:val="1B052B29"/>
    <w:rsid w:val="1B951CFD"/>
    <w:rsid w:val="1BD233DA"/>
    <w:rsid w:val="1BFD0098"/>
    <w:rsid w:val="1C1A58AA"/>
    <w:rsid w:val="1C246AEA"/>
    <w:rsid w:val="1C4C5CF9"/>
    <w:rsid w:val="1C71450B"/>
    <w:rsid w:val="1C766C5F"/>
    <w:rsid w:val="1CA27A00"/>
    <w:rsid w:val="1CA866C8"/>
    <w:rsid w:val="1D1979FB"/>
    <w:rsid w:val="1DDA2008"/>
    <w:rsid w:val="1E0115BA"/>
    <w:rsid w:val="1E045660"/>
    <w:rsid w:val="1E20586C"/>
    <w:rsid w:val="1E2C4353"/>
    <w:rsid w:val="1E3350F7"/>
    <w:rsid w:val="1E8F3570"/>
    <w:rsid w:val="1EBB6BFE"/>
    <w:rsid w:val="1EDC6DB2"/>
    <w:rsid w:val="1F2C0F7B"/>
    <w:rsid w:val="1F452549"/>
    <w:rsid w:val="1F710E25"/>
    <w:rsid w:val="202A02CD"/>
    <w:rsid w:val="206A7DFE"/>
    <w:rsid w:val="208F2C6D"/>
    <w:rsid w:val="209423B1"/>
    <w:rsid w:val="20A470C6"/>
    <w:rsid w:val="216D717A"/>
    <w:rsid w:val="21AB24FC"/>
    <w:rsid w:val="21B07155"/>
    <w:rsid w:val="22246E42"/>
    <w:rsid w:val="227F5D6A"/>
    <w:rsid w:val="228E057E"/>
    <w:rsid w:val="238B6250"/>
    <w:rsid w:val="23B2363E"/>
    <w:rsid w:val="23B72DD9"/>
    <w:rsid w:val="247933A9"/>
    <w:rsid w:val="24A87DFD"/>
    <w:rsid w:val="24C4261E"/>
    <w:rsid w:val="24EE0F8B"/>
    <w:rsid w:val="25327869"/>
    <w:rsid w:val="25480D38"/>
    <w:rsid w:val="254D49A4"/>
    <w:rsid w:val="263664F9"/>
    <w:rsid w:val="26DB2D41"/>
    <w:rsid w:val="27F14709"/>
    <w:rsid w:val="284B6066"/>
    <w:rsid w:val="289A12D9"/>
    <w:rsid w:val="28C911F5"/>
    <w:rsid w:val="294C2083"/>
    <w:rsid w:val="29830BB3"/>
    <w:rsid w:val="2A0731B6"/>
    <w:rsid w:val="2A2820F5"/>
    <w:rsid w:val="2AB1519A"/>
    <w:rsid w:val="2B504D25"/>
    <w:rsid w:val="2B6F6851"/>
    <w:rsid w:val="2B862A26"/>
    <w:rsid w:val="2BA47EFC"/>
    <w:rsid w:val="2BE80C59"/>
    <w:rsid w:val="2C1105D9"/>
    <w:rsid w:val="2C2B1A17"/>
    <w:rsid w:val="2C351322"/>
    <w:rsid w:val="2C6D5FAC"/>
    <w:rsid w:val="2CAC52D7"/>
    <w:rsid w:val="2CBD7193"/>
    <w:rsid w:val="2CE65204"/>
    <w:rsid w:val="2D0668CD"/>
    <w:rsid w:val="2D807BCC"/>
    <w:rsid w:val="2E1A70FB"/>
    <w:rsid w:val="2E5F1858"/>
    <w:rsid w:val="2E9615FD"/>
    <w:rsid w:val="2EAD23B7"/>
    <w:rsid w:val="30AA78DB"/>
    <w:rsid w:val="32310A0E"/>
    <w:rsid w:val="32373CF1"/>
    <w:rsid w:val="326A6644"/>
    <w:rsid w:val="32761458"/>
    <w:rsid w:val="32E938EA"/>
    <w:rsid w:val="33131537"/>
    <w:rsid w:val="33544829"/>
    <w:rsid w:val="33727C27"/>
    <w:rsid w:val="337B7DFC"/>
    <w:rsid w:val="33C000FD"/>
    <w:rsid w:val="340D0E78"/>
    <w:rsid w:val="347F78DC"/>
    <w:rsid w:val="348E0AD0"/>
    <w:rsid w:val="34C61C13"/>
    <w:rsid w:val="34D96614"/>
    <w:rsid w:val="358D16F7"/>
    <w:rsid w:val="36345106"/>
    <w:rsid w:val="3653131F"/>
    <w:rsid w:val="366615B6"/>
    <w:rsid w:val="36A72F76"/>
    <w:rsid w:val="379505EF"/>
    <w:rsid w:val="381000D5"/>
    <w:rsid w:val="383F4A6D"/>
    <w:rsid w:val="38C22786"/>
    <w:rsid w:val="38D433D5"/>
    <w:rsid w:val="391D4D31"/>
    <w:rsid w:val="394E6246"/>
    <w:rsid w:val="396B19A2"/>
    <w:rsid w:val="398246B9"/>
    <w:rsid w:val="39D70405"/>
    <w:rsid w:val="3B5C6A72"/>
    <w:rsid w:val="3B807F2C"/>
    <w:rsid w:val="3C4D5D67"/>
    <w:rsid w:val="3C5A77E3"/>
    <w:rsid w:val="3CA61630"/>
    <w:rsid w:val="3CF726A2"/>
    <w:rsid w:val="3E063B39"/>
    <w:rsid w:val="3E877CF5"/>
    <w:rsid w:val="3EBC61E7"/>
    <w:rsid w:val="3F3C0C46"/>
    <w:rsid w:val="3F9B2725"/>
    <w:rsid w:val="3FB60916"/>
    <w:rsid w:val="40977C03"/>
    <w:rsid w:val="40E45B6B"/>
    <w:rsid w:val="4130698A"/>
    <w:rsid w:val="41F623F9"/>
    <w:rsid w:val="426D1542"/>
    <w:rsid w:val="42863557"/>
    <w:rsid w:val="42A73E9A"/>
    <w:rsid w:val="4329243A"/>
    <w:rsid w:val="432B0826"/>
    <w:rsid w:val="434D1EFC"/>
    <w:rsid w:val="4357025B"/>
    <w:rsid w:val="43FD307A"/>
    <w:rsid w:val="442C26F9"/>
    <w:rsid w:val="4448082F"/>
    <w:rsid w:val="44923C8C"/>
    <w:rsid w:val="44C37CDE"/>
    <w:rsid w:val="44F56505"/>
    <w:rsid w:val="45017305"/>
    <w:rsid w:val="45477557"/>
    <w:rsid w:val="45DA312D"/>
    <w:rsid w:val="46276B54"/>
    <w:rsid w:val="465F0D84"/>
    <w:rsid w:val="46E70C42"/>
    <w:rsid w:val="47C05EBE"/>
    <w:rsid w:val="47CF0ED3"/>
    <w:rsid w:val="47ED3B0C"/>
    <w:rsid w:val="47F13471"/>
    <w:rsid w:val="47F808B8"/>
    <w:rsid w:val="48321182"/>
    <w:rsid w:val="484E3574"/>
    <w:rsid w:val="4876270A"/>
    <w:rsid w:val="49503C12"/>
    <w:rsid w:val="49EE077B"/>
    <w:rsid w:val="4A1B4857"/>
    <w:rsid w:val="4A3615E0"/>
    <w:rsid w:val="4AD76E1D"/>
    <w:rsid w:val="4AFE5E29"/>
    <w:rsid w:val="4B0A7F0C"/>
    <w:rsid w:val="4B116C16"/>
    <w:rsid w:val="4B206050"/>
    <w:rsid w:val="4B2F1E70"/>
    <w:rsid w:val="4B2F55F8"/>
    <w:rsid w:val="4BCF1817"/>
    <w:rsid w:val="4C145972"/>
    <w:rsid w:val="4C647AFE"/>
    <w:rsid w:val="4CA4258A"/>
    <w:rsid w:val="4D3054EE"/>
    <w:rsid w:val="4D6F239D"/>
    <w:rsid w:val="4DD22F17"/>
    <w:rsid w:val="4E2A47C4"/>
    <w:rsid w:val="4E714AAC"/>
    <w:rsid w:val="501503EF"/>
    <w:rsid w:val="503319F6"/>
    <w:rsid w:val="505E5824"/>
    <w:rsid w:val="50B97287"/>
    <w:rsid w:val="50DE042B"/>
    <w:rsid w:val="50DF2ABC"/>
    <w:rsid w:val="52151BF8"/>
    <w:rsid w:val="53346B46"/>
    <w:rsid w:val="53383CB7"/>
    <w:rsid w:val="537977ED"/>
    <w:rsid w:val="538256CD"/>
    <w:rsid w:val="53AA640E"/>
    <w:rsid w:val="54963296"/>
    <w:rsid w:val="55034602"/>
    <w:rsid w:val="553029F4"/>
    <w:rsid w:val="561045F6"/>
    <w:rsid w:val="56143E80"/>
    <w:rsid w:val="56C6502E"/>
    <w:rsid w:val="570124D3"/>
    <w:rsid w:val="571F5030"/>
    <w:rsid w:val="57741076"/>
    <w:rsid w:val="578809BE"/>
    <w:rsid w:val="57D324BD"/>
    <w:rsid w:val="57E82F8F"/>
    <w:rsid w:val="57EB32BD"/>
    <w:rsid w:val="58807841"/>
    <w:rsid w:val="58B674F1"/>
    <w:rsid w:val="58EF3777"/>
    <w:rsid w:val="590A2721"/>
    <w:rsid w:val="59AB16F0"/>
    <w:rsid w:val="5A432BD8"/>
    <w:rsid w:val="5A53307C"/>
    <w:rsid w:val="5A66219C"/>
    <w:rsid w:val="5B2B3B25"/>
    <w:rsid w:val="5BDC2F37"/>
    <w:rsid w:val="5C850E93"/>
    <w:rsid w:val="5CE50A3E"/>
    <w:rsid w:val="5D377626"/>
    <w:rsid w:val="5D3D4CF6"/>
    <w:rsid w:val="5D632E62"/>
    <w:rsid w:val="5DB25358"/>
    <w:rsid w:val="5DF32EBC"/>
    <w:rsid w:val="5ED80FC6"/>
    <w:rsid w:val="5F67034C"/>
    <w:rsid w:val="5FD52629"/>
    <w:rsid w:val="5FE974BC"/>
    <w:rsid w:val="60995F4B"/>
    <w:rsid w:val="628319D2"/>
    <w:rsid w:val="62CE211F"/>
    <w:rsid w:val="62E41C7E"/>
    <w:rsid w:val="631A3A27"/>
    <w:rsid w:val="63595AA3"/>
    <w:rsid w:val="64270612"/>
    <w:rsid w:val="647A5163"/>
    <w:rsid w:val="64880C7E"/>
    <w:rsid w:val="651E04A9"/>
    <w:rsid w:val="65EE45C9"/>
    <w:rsid w:val="661C3E14"/>
    <w:rsid w:val="66543FE0"/>
    <w:rsid w:val="667E5324"/>
    <w:rsid w:val="66A452A7"/>
    <w:rsid w:val="66CE16B9"/>
    <w:rsid w:val="67232512"/>
    <w:rsid w:val="6764140E"/>
    <w:rsid w:val="676D3EF6"/>
    <w:rsid w:val="68000189"/>
    <w:rsid w:val="683C0367"/>
    <w:rsid w:val="68710D0B"/>
    <w:rsid w:val="689A38C5"/>
    <w:rsid w:val="68D10EFE"/>
    <w:rsid w:val="68E90518"/>
    <w:rsid w:val="69B16296"/>
    <w:rsid w:val="69D7577F"/>
    <w:rsid w:val="69E441CA"/>
    <w:rsid w:val="6A07222C"/>
    <w:rsid w:val="6A7423CF"/>
    <w:rsid w:val="6AA71ED4"/>
    <w:rsid w:val="6AC96CF6"/>
    <w:rsid w:val="6B254869"/>
    <w:rsid w:val="6B460C04"/>
    <w:rsid w:val="6B5C18C8"/>
    <w:rsid w:val="6BB71898"/>
    <w:rsid w:val="6C3244F3"/>
    <w:rsid w:val="6CDD2C88"/>
    <w:rsid w:val="6D34237B"/>
    <w:rsid w:val="6D5F5A4D"/>
    <w:rsid w:val="6D765EFA"/>
    <w:rsid w:val="6D832D34"/>
    <w:rsid w:val="6DAC7863"/>
    <w:rsid w:val="6DB23116"/>
    <w:rsid w:val="6DCF21B6"/>
    <w:rsid w:val="6DE7327E"/>
    <w:rsid w:val="6DE90438"/>
    <w:rsid w:val="6E0B33A8"/>
    <w:rsid w:val="6E13324F"/>
    <w:rsid w:val="6E472EC5"/>
    <w:rsid w:val="6E7761CC"/>
    <w:rsid w:val="6EA60F20"/>
    <w:rsid w:val="6F0C79D0"/>
    <w:rsid w:val="6F236542"/>
    <w:rsid w:val="6F455276"/>
    <w:rsid w:val="6F5C2C41"/>
    <w:rsid w:val="6F872881"/>
    <w:rsid w:val="70026EEC"/>
    <w:rsid w:val="703C3D94"/>
    <w:rsid w:val="70434058"/>
    <w:rsid w:val="70B223AC"/>
    <w:rsid w:val="716F7D14"/>
    <w:rsid w:val="71DB5145"/>
    <w:rsid w:val="71F6683D"/>
    <w:rsid w:val="73AE6065"/>
    <w:rsid w:val="73FA2A69"/>
    <w:rsid w:val="74332E86"/>
    <w:rsid w:val="74E340A9"/>
    <w:rsid w:val="74E75F1E"/>
    <w:rsid w:val="75051439"/>
    <w:rsid w:val="7532416D"/>
    <w:rsid w:val="76F82D99"/>
    <w:rsid w:val="76FE05F2"/>
    <w:rsid w:val="775525B2"/>
    <w:rsid w:val="776C16FD"/>
    <w:rsid w:val="777A1E49"/>
    <w:rsid w:val="77956381"/>
    <w:rsid w:val="77A20821"/>
    <w:rsid w:val="77EC520A"/>
    <w:rsid w:val="78046018"/>
    <w:rsid w:val="78077188"/>
    <w:rsid w:val="78345A75"/>
    <w:rsid w:val="784E6837"/>
    <w:rsid w:val="786252A6"/>
    <w:rsid w:val="78814C1F"/>
    <w:rsid w:val="78E360E0"/>
    <w:rsid w:val="7938441C"/>
    <w:rsid w:val="79FF3C35"/>
    <w:rsid w:val="7B3A5DE5"/>
    <w:rsid w:val="7B92430A"/>
    <w:rsid w:val="7B95293F"/>
    <w:rsid w:val="7BFF39A4"/>
    <w:rsid w:val="7C092797"/>
    <w:rsid w:val="7C3C03C1"/>
    <w:rsid w:val="7CD0503F"/>
    <w:rsid w:val="7CD47838"/>
    <w:rsid w:val="7D015E66"/>
    <w:rsid w:val="7D926BD7"/>
    <w:rsid w:val="7DDD0A66"/>
    <w:rsid w:val="7E4A0D41"/>
    <w:rsid w:val="7E69731D"/>
    <w:rsid w:val="7EA02DBA"/>
    <w:rsid w:val="7EC81071"/>
    <w:rsid w:val="7F0036E4"/>
    <w:rsid w:val="7F2C4864"/>
    <w:rsid w:val="7F307914"/>
    <w:rsid w:val="7F7F1B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191"/>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177"/>
    <w:qFormat/>
    <w:uiPriority w:val="0"/>
    <w:pPr>
      <w:keepNext/>
      <w:keepLines/>
      <w:widowControl w:val="0"/>
      <w:spacing w:before="260" w:after="260" w:line="416" w:lineRule="auto"/>
      <w:textAlignment w:val="auto"/>
      <w:outlineLvl w:val="1"/>
    </w:pPr>
    <w:rPr>
      <w:rFonts w:ascii="Arial Black" w:hAnsi="Arial Black" w:eastAsia="黑体"/>
      <w:b/>
      <w:bCs/>
      <w:color w:val="auto"/>
      <w:kern w:val="2"/>
      <w:sz w:val="32"/>
      <w:szCs w:val="32"/>
    </w:rPr>
  </w:style>
  <w:style w:type="paragraph" w:styleId="4">
    <w:name w:val="heading 3"/>
    <w:basedOn w:val="1"/>
    <w:next w:val="1"/>
    <w:link w:val="184"/>
    <w:qFormat/>
    <w:uiPriority w:val="0"/>
    <w:pPr>
      <w:keepNext/>
      <w:keepLines/>
      <w:widowControl w:val="0"/>
      <w:numPr>
        <w:ilvl w:val="0"/>
        <w:numId w:val="1"/>
      </w:numPr>
      <w:spacing w:before="260" w:after="260" w:line="416" w:lineRule="auto"/>
      <w:jc w:val="center"/>
      <w:textAlignment w:val="auto"/>
      <w:outlineLvl w:val="2"/>
    </w:pPr>
    <w:rPr>
      <w:rFonts w:ascii="宋体" w:hAnsi="宋体"/>
      <w:color w:val="auto"/>
      <w:kern w:val="2"/>
      <w:sz w:val="28"/>
      <w:szCs w:val="32"/>
    </w:rPr>
  </w:style>
  <w:style w:type="paragraph" w:styleId="5">
    <w:name w:val="heading 4"/>
    <w:basedOn w:val="1"/>
    <w:next w:val="1"/>
    <w:link w:val="181"/>
    <w:qFormat/>
    <w:uiPriority w:val="0"/>
    <w:pPr>
      <w:keepNext/>
      <w:keepLines/>
      <w:widowControl w:val="0"/>
      <w:spacing w:before="280" w:after="290" w:line="376" w:lineRule="auto"/>
      <w:textAlignment w:val="auto"/>
      <w:outlineLvl w:val="3"/>
    </w:pPr>
    <w:rPr>
      <w:rFonts w:ascii="Cambria" w:hAnsi="Cambria"/>
      <w:b/>
      <w:color w:val="auto"/>
      <w:sz w:val="28"/>
    </w:rPr>
  </w:style>
  <w:style w:type="paragraph" w:styleId="6">
    <w:name w:val="heading 5"/>
    <w:basedOn w:val="1"/>
    <w:next w:val="1"/>
    <w:link w:val="182"/>
    <w:qFormat/>
    <w:uiPriority w:val="0"/>
    <w:pPr>
      <w:keepNext/>
      <w:keepLines/>
      <w:widowControl w:val="0"/>
      <w:spacing w:before="280" w:after="290" w:line="376" w:lineRule="auto"/>
      <w:textAlignment w:val="auto"/>
      <w:outlineLvl w:val="4"/>
    </w:pPr>
    <w:rPr>
      <w:b/>
      <w:bCs/>
      <w:color w:val="auto"/>
      <w:kern w:val="2"/>
      <w:sz w:val="28"/>
      <w:szCs w:val="28"/>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7">
    <w:name w:val="List Number"/>
    <w:basedOn w:val="1"/>
    <w:qFormat/>
    <w:uiPriority w:val="0"/>
    <w:pPr>
      <w:widowControl w:val="0"/>
      <w:spacing w:line="240" w:lineRule="auto"/>
      <w:ind w:left="900" w:hanging="420"/>
      <w:textAlignment w:val="auto"/>
    </w:pPr>
    <w:rPr>
      <w:color w:val="auto"/>
      <w:kern w:val="2"/>
      <w:szCs w:val="24"/>
    </w:rPr>
  </w:style>
  <w:style w:type="paragraph" w:styleId="8">
    <w:name w:val="Normal Indent"/>
    <w:basedOn w:val="1"/>
    <w:link w:val="156"/>
    <w:qFormat/>
    <w:uiPriority w:val="0"/>
    <w:pPr>
      <w:widowControl w:val="0"/>
      <w:spacing w:line="240" w:lineRule="auto"/>
      <w:ind w:firstLine="420" w:firstLineChars="200"/>
      <w:textAlignment w:val="auto"/>
    </w:pPr>
    <w:rPr>
      <w:color w:val="auto"/>
      <w:kern w:val="2"/>
      <w:szCs w:val="24"/>
    </w:rPr>
  </w:style>
  <w:style w:type="paragraph" w:styleId="9">
    <w:name w:val="caption"/>
    <w:basedOn w:val="1"/>
    <w:next w:val="1"/>
    <w:qFormat/>
    <w:uiPriority w:val="0"/>
    <w:pPr>
      <w:widowControl w:val="0"/>
      <w:spacing w:line="240" w:lineRule="auto"/>
      <w:textAlignment w:val="auto"/>
    </w:pPr>
    <w:rPr>
      <w:rFonts w:ascii="Arial" w:hAnsi="Arial" w:eastAsia="黑体" w:cs="Arial"/>
      <w:color w:val="auto"/>
      <w:kern w:val="2"/>
      <w:sz w:val="20"/>
    </w:rPr>
  </w:style>
  <w:style w:type="paragraph" w:styleId="10">
    <w:name w:val="Document Map"/>
    <w:basedOn w:val="1"/>
    <w:link w:val="166"/>
    <w:semiHidden/>
    <w:qFormat/>
    <w:uiPriority w:val="0"/>
    <w:pPr>
      <w:widowControl w:val="0"/>
      <w:spacing w:line="240" w:lineRule="auto"/>
      <w:textAlignment w:val="auto"/>
    </w:pPr>
    <w:rPr>
      <w:rFonts w:ascii="宋体" w:hAnsi="Calibri"/>
      <w:color w:val="auto"/>
      <w:kern w:val="2"/>
      <w:sz w:val="18"/>
      <w:szCs w:val="18"/>
    </w:rPr>
  </w:style>
  <w:style w:type="paragraph" w:styleId="11">
    <w:name w:val="annotation text"/>
    <w:basedOn w:val="1"/>
    <w:link w:val="183"/>
    <w:qFormat/>
    <w:uiPriority w:val="0"/>
    <w:pPr>
      <w:widowControl w:val="0"/>
      <w:spacing w:line="240" w:lineRule="auto"/>
      <w:jc w:val="left"/>
      <w:textAlignment w:val="auto"/>
    </w:pPr>
    <w:rPr>
      <w:color w:val="auto"/>
      <w:sz w:val="24"/>
    </w:rPr>
  </w:style>
  <w:style w:type="paragraph" w:styleId="12">
    <w:name w:val="Body Text 3"/>
    <w:basedOn w:val="1"/>
    <w:link w:val="162"/>
    <w:qFormat/>
    <w:uiPriority w:val="0"/>
    <w:pPr>
      <w:widowControl w:val="0"/>
      <w:spacing w:line="240" w:lineRule="auto"/>
      <w:textAlignment w:val="auto"/>
    </w:pPr>
    <w:rPr>
      <w:rFonts w:ascii="宋体"/>
      <w:color w:val="auto"/>
      <w:kern w:val="2"/>
      <w:sz w:val="24"/>
    </w:rPr>
  </w:style>
  <w:style w:type="paragraph" w:styleId="13">
    <w:name w:val="Body Text"/>
    <w:basedOn w:val="1"/>
    <w:unhideWhenUsed/>
    <w:qFormat/>
    <w:uiPriority w:val="0"/>
    <w:pPr>
      <w:widowControl w:val="0"/>
      <w:spacing w:after="120" w:line="240" w:lineRule="auto"/>
      <w:textAlignment w:val="auto"/>
    </w:pPr>
    <w:rPr>
      <w:color w:val="auto"/>
      <w:kern w:val="2"/>
      <w:szCs w:val="24"/>
    </w:rPr>
  </w:style>
  <w:style w:type="paragraph" w:styleId="14">
    <w:name w:val="Body Text Indent"/>
    <w:basedOn w:val="1"/>
    <w:link w:val="168"/>
    <w:qFormat/>
    <w:uiPriority w:val="0"/>
    <w:pPr>
      <w:widowControl w:val="0"/>
      <w:spacing w:after="120" w:line="240" w:lineRule="auto"/>
      <w:ind w:left="200" w:leftChars="200"/>
      <w:textAlignment w:val="auto"/>
    </w:pPr>
    <w:rPr>
      <w:color w:val="auto"/>
      <w:kern w:val="2"/>
    </w:rPr>
  </w:style>
  <w:style w:type="paragraph" w:styleId="15">
    <w:name w:val="toc 3"/>
    <w:basedOn w:val="1"/>
    <w:next w:val="1"/>
    <w:qFormat/>
    <w:uiPriority w:val="0"/>
    <w:pPr>
      <w:widowControl w:val="0"/>
      <w:spacing w:line="240" w:lineRule="auto"/>
      <w:ind w:left="840" w:leftChars="400"/>
      <w:textAlignment w:val="auto"/>
    </w:pPr>
    <w:rPr>
      <w:rFonts w:ascii="Calibri" w:hAnsi="Calibri"/>
      <w:color w:val="auto"/>
      <w:kern w:val="2"/>
      <w:szCs w:val="22"/>
    </w:rPr>
  </w:style>
  <w:style w:type="paragraph" w:styleId="16">
    <w:name w:val="Plain Text"/>
    <w:basedOn w:val="1"/>
    <w:link w:val="180"/>
    <w:qFormat/>
    <w:uiPriority w:val="0"/>
    <w:pPr>
      <w:widowControl w:val="0"/>
      <w:spacing w:line="240" w:lineRule="auto"/>
      <w:textAlignment w:val="auto"/>
    </w:pPr>
    <w:rPr>
      <w:rFonts w:ascii="宋体" w:hAnsi="Courier New"/>
      <w:color w:val="auto"/>
      <w:kern w:val="2"/>
    </w:rPr>
  </w:style>
  <w:style w:type="paragraph" w:styleId="17">
    <w:name w:val="Date"/>
    <w:basedOn w:val="1"/>
    <w:next w:val="1"/>
    <w:qFormat/>
    <w:uiPriority w:val="0"/>
    <w:pPr>
      <w:widowControl w:val="0"/>
      <w:spacing w:line="240" w:lineRule="auto"/>
      <w:ind w:left="100" w:leftChars="2500"/>
      <w:textAlignment w:val="auto"/>
    </w:pPr>
    <w:rPr>
      <w:color w:val="auto"/>
      <w:kern w:val="2"/>
      <w:szCs w:val="24"/>
    </w:rPr>
  </w:style>
  <w:style w:type="paragraph" w:styleId="18">
    <w:name w:val="Balloon Text"/>
    <w:basedOn w:val="1"/>
    <w:link w:val="189"/>
    <w:qFormat/>
    <w:uiPriority w:val="0"/>
    <w:pPr>
      <w:widowControl w:val="0"/>
      <w:spacing w:line="240" w:lineRule="auto"/>
      <w:textAlignment w:val="auto"/>
    </w:pPr>
    <w:rPr>
      <w:rFonts w:ascii="MT Extra" w:hAnsi="MT Extra" w:cs="MT Extra"/>
      <w:color w:val="auto"/>
      <w:kern w:val="2"/>
      <w:sz w:val="18"/>
      <w:szCs w:val="18"/>
    </w:rPr>
  </w:style>
  <w:style w:type="paragraph" w:styleId="19">
    <w:name w:val="footer"/>
    <w:basedOn w:val="1"/>
    <w:link w:val="185"/>
    <w:qFormat/>
    <w:uiPriority w:val="99"/>
    <w:pPr>
      <w:tabs>
        <w:tab w:val="center" w:pos="4153"/>
        <w:tab w:val="right" w:pos="8306"/>
      </w:tabs>
      <w:snapToGrid w:val="0"/>
      <w:spacing w:line="240" w:lineRule="atLeast"/>
      <w:jc w:val="left"/>
    </w:pPr>
    <w:rPr>
      <w:sz w:val="18"/>
      <w:szCs w:val="18"/>
    </w:rPr>
  </w:style>
  <w:style w:type="paragraph" w:styleId="20">
    <w:name w:val="header"/>
    <w:basedOn w:val="1"/>
    <w:link w:val="18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qFormat/>
    <w:uiPriority w:val="0"/>
    <w:pPr>
      <w:widowControl w:val="0"/>
      <w:tabs>
        <w:tab w:val="right" w:leader="dot" w:pos="8296"/>
      </w:tabs>
      <w:spacing w:line="240" w:lineRule="auto"/>
      <w:textAlignment w:val="auto"/>
    </w:pPr>
    <w:rPr>
      <w:rFonts w:ascii="Calibri" w:hAnsi="Calibri"/>
      <w:color w:val="auto"/>
      <w:kern w:val="2"/>
      <w:szCs w:val="22"/>
    </w:rPr>
  </w:style>
  <w:style w:type="paragraph" w:styleId="22">
    <w:name w:val="toc 4"/>
    <w:basedOn w:val="1"/>
    <w:next w:val="1"/>
    <w:qFormat/>
    <w:uiPriority w:val="0"/>
    <w:pPr>
      <w:widowControl w:val="0"/>
      <w:spacing w:line="240" w:lineRule="auto"/>
      <w:ind w:left="1260" w:leftChars="600"/>
      <w:textAlignment w:val="auto"/>
    </w:pPr>
    <w:rPr>
      <w:color w:val="auto"/>
      <w:kern w:val="2"/>
      <w:szCs w:val="24"/>
    </w:rPr>
  </w:style>
  <w:style w:type="paragraph" w:styleId="23">
    <w:name w:val="toc 2"/>
    <w:basedOn w:val="1"/>
    <w:next w:val="1"/>
    <w:qFormat/>
    <w:uiPriority w:val="0"/>
    <w:pPr>
      <w:widowControl w:val="0"/>
      <w:spacing w:line="240" w:lineRule="auto"/>
      <w:ind w:left="420" w:leftChars="200"/>
      <w:textAlignment w:val="auto"/>
    </w:pPr>
    <w:rPr>
      <w:rFonts w:ascii="Calibri" w:hAnsi="Calibri"/>
      <w:color w:val="auto"/>
      <w:kern w:val="2"/>
      <w:szCs w:val="22"/>
    </w:rPr>
  </w:style>
  <w:style w:type="paragraph" w:styleId="24">
    <w:name w:val="HTML Preformatted"/>
    <w:basedOn w:val="1"/>
    <w:link w:val="176"/>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color w:val="auto"/>
      <w:sz w:val="24"/>
      <w:szCs w:val="24"/>
    </w:rPr>
  </w:style>
  <w:style w:type="paragraph" w:styleId="25">
    <w:name w:val="Normal (Web)"/>
    <w:basedOn w:val="1"/>
    <w:qFormat/>
    <w:uiPriority w:val="0"/>
    <w:pPr>
      <w:spacing w:line="240" w:lineRule="auto"/>
      <w:jc w:val="left"/>
      <w:textAlignment w:val="auto"/>
    </w:pPr>
    <w:rPr>
      <w:rFonts w:ascii="宋体" w:hAnsi="宋体"/>
      <w:color w:val="auto"/>
      <w:sz w:val="24"/>
      <w:szCs w:val="24"/>
    </w:rPr>
  </w:style>
  <w:style w:type="paragraph" w:styleId="26">
    <w:name w:val="Title"/>
    <w:basedOn w:val="1"/>
    <w:next w:val="1"/>
    <w:qFormat/>
    <w:uiPriority w:val="0"/>
    <w:pPr>
      <w:widowControl w:val="0"/>
      <w:spacing w:before="240" w:after="60" w:line="240" w:lineRule="auto"/>
      <w:jc w:val="center"/>
      <w:textAlignment w:val="auto"/>
      <w:outlineLvl w:val="0"/>
    </w:pPr>
    <w:rPr>
      <w:rFonts w:ascii="Cambria" w:hAnsi="Cambria"/>
      <w:b/>
      <w:bCs/>
      <w:color w:val="auto"/>
      <w:kern w:val="2"/>
      <w:sz w:val="32"/>
      <w:szCs w:val="32"/>
    </w:rPr>
  </w:style>
  <w:style w:type="paragraph" w:styleId="27">
    <w:name w:val="annotation subject"/>
    <w:basedOn w:val="11"/>
    <w:next w:val="11"/>
    <w:link w:val="157"/>
    <w:semiHidden/>
    <w:qFormat/>
    <w:uiPriority w:val="0"/>
    <w:rPr>
      <w:b/>
    </w:rPr>
  </w:style>
  <w:style w:type="paragraph" w:styleId="28">
    <w:name w:val="Body Text First Indent"/>
    <w:basedOn w:val="13"/>
    <w:unhideWhenUsed/>
    <w:qFormat/>
    <w:uiPriority w:val="0"/>
    <w:pPr>
      <w:ind w:firstLine="420" w:firstLineChars="10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1">
    <w:name w:val="Colorful List Accent 1"/>
    <w:basedOn w:val="29"/>
    <w:unhideWhenUsed/>
    <w:qFormat/>
    <w:uiPriority w:val="0"/>
    <w:rPr>
      <w:rFonts w:ascii="Calibri" w:hAnsi="Calibri" w:eastAsia="Times New Roman"/>
      <w:kern w:val="2"/>
      <w:sz w:val="21"/>
      <w:szCs w:val="22"/>
    </w:rPr>
    <w:tblPr>
      <w:tblLayout w:type="fixed"/>
      <w:tblCellMar>
        <w:top w:w="0" w:type="dxa"/>
        <w:left w:w="108" w:type="dxa"/>
        <w:bottom w:w="0" w:type="dxa"/>
        <w:right w:w="108" w:type="dxa"/>
      </w:tblCellMar>
    </w:tblPr>
    <w:tcPr>
      <w:shd w:val="clear" w:color="auto" w:fill="EEF5FB"/>
    </w:tcPr>
    <w:tblStylePr w:type="firstRow">
      <w:rPr>
        <w:b/>
        <w:bCs/>
        <w:color w:val="FFFFFF"/>
      </w:rPr>
      <w:tblPr>
        <w:tblLayout w:type="fixed"/>
      </w:tblPr>
      <w:tcPr>
        <w:tcBorders>
          <w:top w:val="nil"/>
          <w:left w:val="single" w:color="FFFFFF" w:sz="12" w:space="0"/>
          <w:bottom w:val="nil"/>
          <w:right w:val="nil"/>
          <w:insideH w:val="nil"/>
          <w:insideV w:val="nil"/>
          <w:tl2br w:val="nil"/>
          <w:tr2bl w:val="nil"/>
        </w:tcBorders>
        <w:shd w:val="clear" w:color="auto" w:fill="D25F12"/>
      </w:tcPr>
    </w:tblStylePr>
    <w:tblStylePr w:type="lastRow">
      <w:rPr>
        <w:b/>
        <w:bCs/>
        <w:color w:val="9E3A38"/>
      </w:rPr>
      <w:tblPr>
        <w:tblLayout w:type="fixed"/>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l2br w:val="nil"/>
          <w:tr2bl w:val="nil"/>
        </w:tcBorders>
        <w:shd w:val="clear" w:color="auto" w:fill="D6E6F4"/>
      </w:tcPr>
    </w:tblStylePr>
    <w:tblStylePr w:type="band1Horz">
      <w:tblPr>
        <w:tblLayout w:type="fixed"/>
      </w:tblPr>
      <w:tcPr>
        <w:shd w:val="clear" w:color="auto" w:fill="DEEAF6"/>
      </w:tcPr>
    </w:tblStylePr>
  </w:style>
  <w:style w:type="character" w:styleId="33">
    <w:name w:val="Strong"/>
    <w:qFormat/>
    <w:uiPriority w:val="0"/>
    <w:rPr>
      <w:b/>
      <w:bCs/>
    </w:rPr>
  </w:style>
  <w:style w:type="character" w:styleId="34">
    <w:name w:val="page number"/>
    <w:basedOn w:val="32"/>
    <w:qFormat/>
    <w:uiPriority w:val="0"/>
  </w:style>
  <w:style w:type="character" w:styleId="35">
    <w:name w:val="FollowedHyperlink"/>
    <w:unhideWhenUsed/>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rPr>
  </w:style>
  <w:style w:type="paragraph" w:customStyle="1" w:styleId="38">
    <w:name w:val="default"/>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39">
    <w:name w:val="xl1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40">
    <w:name w:val="Char1"/>
    <w:basedOn w:val="1"/>
    <w:qFormat/>
    <w:uiPriority w:val="0"/>
    <w:pPr>
      <w:widowControl w:val="0"/>
      <w:spacing w:line="240" w:lineRule="auto"/>
      <w:textAlignment w:val="auto"/>
    </w:pPr>
    <w:rPr>
      <w:rFonts w:ascii="仿宋_GB2312" w:eastAsia="仿宋_GB2312"/>
      <w:b/>
      <w:color w:val="auto"/>
      <w:kern w:val="2"/>
      <w:sz w:val="32"/>
      <w:szCs w:val="32"/>
    </w:rPr>
  </w:style>
  <w:style w:type="paragraph" w:customStyle="1" w:styleId="41">
    <w:name w:val="font9"/>
    <w:basedOn w:val="1"/>
    <w:qFormat/>
    <w:uiPriority w:val="0"/>
    <w:pPr>
      <w:spacing w:before="100" w:beforeAutospacing="1" w:after="100" w:afterAutospacing="1" w:line="240" w:lineRule="auto"/>
      <w:jc w:val="left"/>
      <w:textAlignment w:val="auto"/>
    </w:pPr>
    <w:rPr>
      <w:rFonts w:ascii="宋体" w:hAnsi="宋体" w:cs="宋体"/>
      <w:b/>
      <w:bCs/>
      <w:sz w:val="32"/>
      <w:szCs w:val="32"/>
    </w:rPr>
  </w:style>
  <w:style w:type="paragraph" w:customStyle="1" w:styleId="42">
    <w:name w:val="xl7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bottom"/>
    </w:pPr>
    <w:rPr>
      <w:rFonts w:ascii="宋体" w:hAnsi="宋体" w:cs="宋体"/>
      <w:b/>
      <w:bCs/>
      <w:color w:val="auto"/>
      <w:sz w:val="20"/>
    </w:rPr>
  </w:style>
  <w:style w:type="paragraph" w:customStyle="1" w:styleId="43">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auto"/>
    </w:pPr>
    <w:rPr>
      <w:rFonts w:ascii="宋体" w:hAnsi="宋体" w:cs="宋体"/>
      <w:color w:val="auto"/>
      <w:sz w:val="18"/>
      <w:szCs w:val="18"/>
    </w:rPr>
  </w:style>
  <w:style w:type="paragraph" w:customStyle="1" w:styleId="4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cs="宋体"/>
      <w:color w:val="auto"/>
      <w:sz w:val="18"/>
      <w:szCs w:val="18"/>
    </w:rPr>
  </w:style>
  <w:style w:type="paragraph" w:customStyle="1" w:styleId="45">
    <w:name w:val="列出段落1"/>
    <w:basedOn w:val="1"/>
    <w:qFormat/>
    <w:uiPriority w:val="0"/>
    <w:pPr>
      <w:widowControl w:val="0"/>
      <w:spacing w:line="240" w:lineRule="auto"/>
      <w:ind w:firstLine="420" w:firstLineChars="200"/>
      <w:textAlignment w:val="auto"/>
    </w:pPr>
    <w:rPr>
      <w:rFonts w:ascii="Calibri" w:hAnsi="Calibri"/>
      <w:color w:val="auto"/>
      <w:kern w:val="2"/>
      <w:szCs w:val="22"/>
    </w:rPr>
  </w:style>
  <w:style w:type="paragraph" w:customStyle="1" w:styleId="46">
    <w:name w:val="xl9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auto"/>
    </w:pPr>
    <w:rPr>
      <w:rFonts w:ascii="Arial" w:hAnsi="Arial" w:cs="Arial"/>
      <w:color w:val="auto"/>
      <w:sz w:val="18"/>
      <w:szCs w:val="18"/>
    </w:rPr>
  </w:style>
  <w:style w:type="paragraph" w:customStyle="1" w:styleId="47">
    <w:name w:val="Char"/>
    <w:basedOn w:val="1"/>
    <w:qFormat/>
    <w:uiPriority w:val="0"/>
    <w:pPr>
      <w:widowControl w:val="0"/>
      <w:tabs>
        <w:tab w:val="left" w:pos="360"/>
      </w:tabs>
      <w:spacing w:line="240" w:lineRule="auto"/>
      <w:textAlignment w:val="auto"/>
    </w:pPr>
    <w:rPr>
      <w:color w:val="auto"/>
      <w:kern w:val="2"/>
      <w:sz w:val="24"/>
      <w:szCs w:val="24"/>
    </w:rPr>
  </w:style>
  <w:style w:type="paragraph" w:customStyle="1" w:styleId="48">
    <w:name w:val="font6"/>
    <w:basedOn w:val="1"/>
    <w:qFormat/>
    <w:uiPriority w:val="0"/>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49">
    <w:name w:val="xl12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bottom"/>
    </w:pPr>
    <w:rPr>
      <w:rFonts w:ascii="宋体" w:hAnsi="宋体" w:cs="宋体"/>
      <w:b/>
      <w:bCs/>
      <w:color w:val="auto"/>
      <w:sz w:val="20"/>
    </w:rPr>
  </w:style>
  <w:style w:type="paragraph" w:customStyle="1" w:styleId="50">
    <w:name w:val="xl11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auto"/>
    </w:pPr>
    <w:rPr>
      <w:rFonts w:ascii="Arial" w:hAnsi="Arial" w:cs="Arial"/>
      <w:color w:val="auto"/>
      <w:sz w:val="18"/>
      <w:szCs w:val="18"/>
    </w:rPr>
  </w:style>
  <w:style w:type="paragraph" w:customStyle="1" w:styleId="5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auto"/>
    </w:pPr>
    <w:rPr>
      <w:rFonts w:ascii="Arial" w:hAnsi="Arial" w:cs="Arial"/>
      <w:color w:val="auto"/>
      <w:sz w:val="20"/>
    </w:rPr>
  </w:style>
  <w:style w:type="paragraph" w:customStyle="1" w:styleId="52">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样式3"/>
    <w:basedOn w:val="1"/>
    <w:link w:val="160"/>
    <w:qFormat/>
    <w:uiPriority w:val="0"/>
    <w:pPr>
      <w:widowControl w:val="0"/>
      <w:numPr>
        <w:ilvl w:val="0"/>
        <w:numId w:val="2"/>
      </w:numPr>
      <w:spacing w:before="240" w:line="288" w:lineRule="auto"/>
      <w:textAlignment w:val="auto"/>
    </w:pPr>
    <w:rPr>
      <w:rFonts w:ascii="Arial" w:hAnsi="Arial"/>
      <w:color w:val="auto"/>
      <w:kern w:val="2"/>
      <w:sz w:val="20"/>
      <w:szCs w:val="22"/>
    </w:rPr>
  </w:style>
  <w:style w:type="paragraph" w:customStyle="1" w:styleId="54">
    <w:name w:val="表头文本"/>
    <w:qFormat/>
    <w:uiPriority w:val="0"/>
    <w:pPr>
      <w:jc w:val="center"/>
    </w:pPr>
    <w:rPr>
      <w:rFonts w:ascii="Arial" w:hAnsi="Arial" w:eastAsia="宋体" w:cs="Times New Roman"/>
      <w:b/>
      <w:sz w:val="21"/>
      <w:szCs w:val="21"/>
      <w:lang w:val="en-US" w:eastAsia="zh-CN" w:bidi="ar-SA"/>
    </w:rPr>
  </w:style>
  <w:style w:type="paragraph" w:customStyle="1" w:styleId="55">
    <w:name w:val="font8"/>
    <w:basedOn w:val="1"/>
    <w:qFormat/>
    <w:uiPriority w:val="0"/>
    <w:pPr>
      <w:spacing w:before="100" w:beforeAutospacing="1" w:after="100" w:afterAutospacing="1" w:line="240" w:lineRule="auto"/>
      <w:jc w:val="left"/>
      <w:textAlignment w:val="auto"/>
    </w:pPr>
    <w:rPr>
      <w:rFonts w:ascii="Calibri" w:hAnsi="Calibri" w:cs="宋体"/>
      <w:b/>
      <w:bCs/>
      <w:sz w:val="32"/>
      <w:szCs w:val="32"/>
    </w:rPr>
  </w:style>
  <w:style w:type="paragraph" w:customStyle="1" w:styleId="56">
    <w:name w:val="1.1点"/>
    <w:basedOn w:val="1"/>
    <w:qFormat/>
    <w:uiPriority w:val="0"/>
    <w:pPr>
      <w:widowControl w:val="0"/>
      <w:spacing w:line="360" w:lineRule="auto"/>
      <w:textAlignment w:val="auto"/>
    </w:pPr>
    <w:rPr>
      <w:rFonts w:ascii="Arial" w:hAnsi="Arial"/>
      <w:color w:val="auto"/>
      <w:kern w:val="2"/>
      <w:sz w:val="24"/>
    </w:rPr>
  </w:style>
  <w:style w:type="paragraph" w:customStyle="1" w:styleId="57">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auto"/>
    </w:pPr>
    <w:rPr>
      <w:rFonts w:ascii="宋体" w:hAnsi="宋体" w:cs="宋体"/>
      <w:color w:val="auto"/>
      <w:sz w:val="18"/>
      <w:szCs w:val="18"/>
    </w:rPr>
  </w:style>
  <w:style w:type="paragraph" w:customStyle="1" w:styleId="58">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auto"/>
    </w:pPr>
    <w:rPr>
      <w:rFonts w:ascii="Arial" w:hAnsi="Arial" w:cs="Arial"/>
      <w:color w:val="auto"/>
      <w:sz w:val="18"/>
      <w:szCs w:val="18"/>
    </w:rPr>
  </w:style>
  <w:style w:type="paragraph" w:customStyle="1" w:styleId="59">
    <w:name w:val="标书_标题1"/>
    <w:basedOn w:val="2"/>
    <w:qFormat/>
    <w:uiPriority w:val="0"/>
    <w:pPr>
      <w:widowControl w:val="0"/>
      <w:spacing w:before="120" w:after="120" w:line="576" w:lineRule="auto"/>
      <w:jc w:val="center"/>
      <w:textAlignment w:val="auto"/>
    </w:pPr>
    <w:rPr>
      <w:rFonts w:hAnsi="仿宋_GB2312" w:eastAsia="黑体"/>
      <w:bCs w:val="0"/>
      <w:color w:val="auto"/>
      <w:sz w:val="32"/>
      <w:szCs w:val="32"/>
    </w:rPr>
  </w:style>
  <w:style w:type="paragraph" w:customStyle="1" w:styleId="60">
    <w:name w:val="方案正文"/>
    <w:basedOn w:val="1"/>
    <w:qFormat/>
    <w:uiPriority w:val="0"/>
    <w:pPr>
      <w:widowControl w:val="0"/>
      <w:spacing w:line="360" w:lineRule="auto"/>
      <w:ind w:firstLine="560" w:firstLineChars="200"/>
      <w:textAlignment w:val="auto"/>
    </w:pPr>
    <w:rPr>
      <w:color w:val="auto"/>
      <w:spacing w:val="20"/>
      <w:kern w:val="2"/>
      <w:sz w:val="24"/>
      <w:szCs w:val="24"/>
    </w:rPr>
  </w:style>
  <w:style w:type="paragraph" w:customStyle="1" w:styleId="61">
    <w:name w:val="标书_标题2"/>
    <w:basedOn w:val="3"/>
    <w:qFormat/>
    <w:uiPriority w:val="0"/>
    <w:pPr>
      <w:spacing w:line="413" w:lineRule="auto"/>
    </w:pPr>
    <w:rPr>
      <w:rFonts w:ascii="楷体_GB2312" w:hAnsi="Arial" w:eastAsia="楷体_GB2312"/>
      <w:bCs w:val="0"/>
      <w:kern w:val="0"/>
      <w:sz w:val="30"/>
      <w:szCs w:val="30"/>
    </w:rPr>
  </w:style>
  <w:style w:type="paragraph" w:customStyle="1" w:styleId="62">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color w:val="auto"/>
      <w:sz w:val="18"/>
      <w:szCs w:val="18"/>
    </w:rPr>
  </w:style>
  <w:style w:type="paragraph" w:customStyle="1" w:styleId="63">
    <w:name w:val="xl11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auto"/>
    </w:pPr>
    <w:rPr>
      <w:rFonts w:ascii="Arial" w:hAnsi="Arial" w:cs="Arial"/>
      <w:color w:val="auto"/>
      <w:sz w:val="18"/>
      <w:szCs w:val="18"/>
    </w:rPr>
  </w:style>
  <w:style w:type="paragraph" w:customStyle="1" w:styleId="64">
    <w:name w:val="TableContent"/>
    <w:qFormat/>
    <w:uiPriority w:val="0"/>
    <w:pPr>
      <w:spacing w:before="40" w:after="40"/>
      <w:jc w:val="both"/>
    </w:pPr>
    <w:rPr>
      <w:rFonts w:ascii="Arial" w:hAnsi="Arial" w:eastAsia="宋体" w:cs="Times New Roman"/>
      <w:kern w:val="44"/>
      <w:sz w:val="18"/>
      <w:szCs w:val="44"/>
      <w:lang w:val="en-US" w:eastAsia="zh-CN" w:bidi="ar-SA"/>
    </w:rPr>
  </w:style>
  <w:style w:type="paragraph" w:customStyle="1" w:styleId="65">
    <w:name w:val="xl7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bottom"/>
    </w:pPr>
    <w:rPr>
      <w:rFonts w:ascii="宋体" w:hAnsi="宋体" w:cs="宋体"/>
      <w:b/>
      <w:bCs/>
      <w:color w:val="auto"/>
      <w:szCs w:val="21"/>
    </w:rPr>
  </w:style>
  <w:style w:type="paragraph" w:customStyle="1" w:styleId="66">
    <w:name w:val="DocParagraph"/>
    <w:basedOn w:val="1"/>
    <w:qFormat/>
    <w:uiPriority w:val="0"/>
    <w:pPr>
      <w:widowControl w:val="0"/>
      <w:spacing w:before="120" w:line="288" w:lineRule="auto"/>
      <w:ind w:left="1247"/>
      <w:textAlignment w:val="auto"/>
    </w:pPr>
    <w:rPr>
      <w:rFonts w:ascii="Arial" w:hAnsi="Arial"/>
      <w:color w:val="auto"/>
      <w:kern w:val="44"/>
      <w:szCs w:val="44"/>
    </w:rPr>
  </w:style>
  <w:style w:type="paragraph" w:customStyle="1" w:styleId="67">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color w:val="333333"/>
      <w:sz w:val="20"/>
    </w:rPr>
  </w:style>
  <w:style w:type="paragraph" w:customStyle="1" w:styleId="68">
    <w:name w:val="q2"/>
    <w:basedOn w:val="26"/>
    <w:qFormat/>
    <w:uiPriority w:val="0"/>
    <w:pPr>
      <w:numPr>
        <w:ilvl w:val="1"/>
        <w:numId w:val="3"/>
      </w:numPr>
      <w:spacing w:line="360" w:lineRule="auto"/>
      <w:jc w:val="left"/>
      <w:outlineLvl w:val="1"/>
    </w:pPr>
    <w:rPr>
      <w:rFonts w:ascii="Arial" w:hAnsi="Arial" w:cs="Arial"/>
    </w:rPr>
  </w:style>
  <w:style w:type="paragraph" w:customStyle="1" w:styleId="69">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70">
    <w:name w:val="Body"/>
    <w:basedOn w:val="1"/>
    <w:link w:val="194"/>
    <w:qFormat/>
    <w:uiPriority w:val="0"/>
    <w:pPr>
      <w:tabs>
        <w:tab w:val="left" w:pos="8940"/>
      </w:tabs>
      <w:spacing w:before="80" w:after="80" w:line="360" w:lineRule="auto"/>
      <w:ind w:left="269" w:leftChars="128" w:firstLine="420" w:firstLineChars="200"/>
      <w:textAlignment w:val="auto"/>
    </w:pPr>
    <w:rPr>
      <w:color w:val="auto"/>
      <w:szCs w:val="21"/>
      <w:lang w:val="pt-BR"/>
    </w:rPr>
  </w:style>
  <w:style w:type="paragraph" w:customStyle="1" w:styleId="71">
    <w:name w:val="xl124"/>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auto"/>
    </w:pPr>
    <w:rPr>
      <w:rFonts w:ascii="宋体" w:hAnsi="宋体" w:cs="宋体"/>
      <w:b/>
      <w:bCs/>
      <w:sz w:val="20"/>
    </w:rPr>
  </w:style>
  <w:style w:type="paragraph" w:customStyle="1" w:styleId="72">
    <w:name w:val="_Style 71"/>
    <w:basedOn w:val="2"/>
    <w:next w:val="1"/>
    <w:qFormat/>
    <w:uiPriority w:val="0"/>
    <w:pPr>
      <w:spacing w:before="240" w:after="0" w:line="259" w:lineRule="auto"/>
      <w:jc w:val="left"/>
      <w:textAlignment w:val="auto"/>
      <w:outlineLvl w:val="9"/>
    </w:pPr>
    <w:rPr>
      <w:rFonts w:ascii="Calibri Light" w:hAnsi="Calibri Light"/>
      <w:b w:val="0"/>
      <w:bCs w:val="0"/>
      <w:color w:val="2E74B5"/>
      <w:kern w:val="0"/>
      <w:sz w:val="32"/>
      <w:szCs w:val="32"/>
    </w:rPr>
  </w:style>
  <w:style w:type="paragraph" w:customStyle="1" w:styleId="7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18"/>
      <w:szCs w:val="18"/>
    </w:rPr>
  </w:style>
  <w:style w:type="paragraph" w:customStyle="1" w:styleId="74">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0"/>
    </w:rPr>
  </w:style>
  <w:style w:type="paragraph" w:customStyle="1" w:styleId="75">
    <w:name w:val="xl10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auto"/>
    </w:pPr>
    <w:rPr>
      <w:rFonts w:ascii="宋体" w:hAnsi="宋体" w:cs="宋体"/>
      <w:b/>
      <w:bCs/>
      <w:color w:val="auto"/>
      <w:sz w:val="20"/>
    </w:rPr>
  </w:style>
  <w:style w:type="paragraph" w:customStyle="1" w:styleId="76">
    <w:name w:val="TOC 标题1"/>
    <w:basedOn w:val="2"/>
    <w:next w:val="1"/>
    <w:uiPriority w:val="0"/>
    <w:pPr>
      <w:spacing w:before="480" w:after="0" w:line="276" w:lineRule="auto"/>
      <w:jc w:val="left"/>
      <w:textAlignment w:val="auto"/>
      <w:outlineLvl w:val="9"/>
    </w:pPr>
    <w:rPr>
      <w:rFonts w:ascii="Cambria" w:hAnsi="Cambria"/>
      <w:bCs w:val="0"/>
      <w:color w:val="365F91"/>
      <w:kern w:val="0"/>
      <w:sz w:val="28"/>
      <w:szCs w:val="28"/>
    </w:rPr>
  </w:style>
  <w:style w:type="paragraph" w:customStyle="1" w:styleId="77">
    <w:name w:val="WPS Plain"/>
    <w:qFormat/>
    <w:uiPriority w:val="0"/>
    <w:rPr>
      <w:rFonts w:ascii="Times New Roman" w:hAnsi="Times New Roman" w:eastAsia="宋体" w:cs="Times New Roman"/>
      <w:sz w:val="21"/>
      <w:szCs w:val="22"/>
      <w:lang w:val="en-US" w:eastAsia="zh-CN" w:bidi="ar-SA"/>
    </w:rPr>
  </w:style>
  <w:style w:type="paragraph" w:customStyle="1" w:styleId="78">
    <w:name w:val="表头文字"/>
    <w:basedOn w:val="1"/>
    <w:qFormat/>
    <w:uiPriority w:val="0"/>
    <w:pPr>
      <w:spacing w:line="300" w:lineRule="atLeast"/>
      <w:jc w:val="left"/>
      <w:textAlignment w:val="auto"/>
    </w:pPr>
    <w:rPr>
      <w:rFonts w:ascii="Arial" w:hAnsi="Arial" w:cs="Arial"/>
      <w:bCs/>
      <w:color w:val="auto"/>
      <w:kern w:val="2"/>
      <w:sz w:val="20"/>
    </w:rPr>
  </w:style>
  <w:style w:type="paragraph" w:customStyle="1" w:styleId="79">
    <w:name w:val="Style First line:  1.71 ch"/>
    <w:basedOn w:val="1"/>
    <w:qFormat/>
    <w:uiPriority w:val="0"/>
    <w:pPr>
      <w:widowControl w:val="0"/>
      <w:spacing w:line="360" w:lineRule="auto"/>
      <w:ind w:firstLine="359" w:firstLineChars="171"/>
      <w:textAlignment w:val="auto"/>
    </w:pPr>
    <w:rPr>
      <w:rFonts w:cs="宋体"/>
      <w:color w:val="auto"/>
      <w:kern w:val="2"/>
      <w:sz w:val="24"/>
    </w:rPr>
  </w:style>
  <w:style w:type="paragraph" w:customStyle="1" w:styleId="80">
    <w:name w:val="xl11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top"/>
    </w:pPr>
    <w:rPr>
      <w:rFonts w:ascii="宋体" w:hAnsi="宋体" w:cs="宋体"/>
      <w:b/>
      <w:bCs/>
      <w:color w:val="auto"/>
      <w:szCs w:val="21"/>
    </w:rPr>
  </w:style>
  <w:style w:type="paragraph" w:customStyle="1" w:styleId="81">
    <w:name w:val="列表项目"/>
    <w:basedOn w:val="1"/>
    <w:qFormat/>
    <w:uiPriority w:val="0"/>
    <w:pPr>
      <w:widowControl w:val="0"/>
      <w:numPr>
        <w:ilvl w:val="0"/>
        <w:numId w:val="4"/>
      </w:numPr>
      <w:tabs>
        <w:tab w:val="left" w:pos="420"/>
        <w:tab w:val="clear" w:pos="980"/>
      </w:tabs>
      <w:spacing w:line="288" w:lineRule="auto"/>
      <w:textAlignment w:val="auto"/>
    </w:pPr>
    <w:rPr>
      <w:color w:val="auto"/>
      <w:kern w:val="2"/>
      <w:sz w:val="24"/>
    </w:rPr>
  </w:style>
  <w:style w:type="paragraph" w:customStyle="1" w:styleId="82">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auto"/>
    </w:pPr>
    <w:rPr>
      <w:rFonts w:ascii="宋体" w:hAnsi="宋体" w:cs="宋体"/>
      <w:color w:val="FF0000"/>
      <w:sz w:val="20"/>
    </w:rPr>
  </w:style>
  <w:style w:type="paragraph" w:customStyle="1" w:styleId="83">
    <w:name w:val="小四 段落 宋体 Char Char Char"/>
    <w:basedOn w:val="7"/>
    <w:link w:val="158"/>
    <w:qFormat/>
    <w:uiPriority w:val="0"/>
    <w:pPr>
      <w:spacing w:line="360" w:lineRule="auto"/>
      <w:ind w:left="0" w:right="-33" w:firstLine="480" w:firstLineChars="200"/>
      <w:jc w:val="left"/>
    </w:pPr>
    <w:rPr>
      <w:sz w:val="24"/>
    </w:rPr>
  </w:style>
  <w:style w:type="paragraph" w:customStyle="1" w:styleId="84">
    <w:name w:val="5）标书正文 首行缩进2字符"/>
    <w:basedOn w:val="1"/>
    <w:qFormat/>
    <w:uiPriority w:val="0"/>
    <w:pPr>
      <w:widowControl w:val="0"/>
      <w:spacing w:line="480" w:lineRule="exact"/>
      <w:ind w:firstLine="200" w:firstLineChars="200"/>
      <w:textAlignment w:val="auto"/>
    </w:pPr>
    <w:rPr>
      <w:rFonts w:ascii="仿宋_GB2312" w:eastAsia="仿宋_GB2312"/>
      <w:color w:val="auto"/>
      <w:kern w:val="2"/>
      <w:sz w:val="28"/>
      <w:szCs w:val="24"/>
    </w:rPr>
  </w:style>
  <w:style w:type="paragraph" w:customStyle="1" w:styleId="8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szCs w:val="21"/>
    </w:rPr>
  </w:style>
  <w:style w:type="paragraph" w:customStyle="1" w:styleId="86">
    <w:name w:val="TOC 标题2"/>
    <w:basedOn w:val="2"/>
    <w:next w:val="1"/>
    <w:qFormat/>
    <w:uiPriority w:val="0"/>
    <w:pPr>
      <w:spacing w:before="480" w:after="0" w:line="276" w:lineRule="auto"/>
      <w:jc w:val="left"/>
      <w:textAlignment w:val="auto"/>
      <w:outlineLvl w:val="9"/>
    </w:pPr>
    <w:rPr>
      <w:rFonts w:ascii="Cambria" w:hAnsi="Cambria"/>
      <w:bCs w:val="0"/>
      <w:color w:val="365F91"/>
      <w:kern w:val="0"/>
      <w:sz w:val="28"/>
      <w:szCs w:val="28"/>
    </w:rPr>
  </w:style>
  <w:style w:type="paragraph" w:customStyle="1" w:styleId="87">
    <w:name w:val="xl10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auto"/>
    </w:pPr>
    <w:rPr>
      <w:rFonts w:ascii="Arial" w:hAnsi="Arial" w:cs="Arial"/>
      <w:b/>
      <w:bCs/>
      <w:color w:val="auto"/>
      <w:sz w:val="20"/>
    </w:rPr>
  </w:style>
  <w:style w:type="paragraph" w:customStyle="1" w:styleId="88">
    <w:name w:val="xl1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auto"/>
    </w:pPr>
    <w:rPr>
      <w:rFonts w:ascii="Arial" w:hAnsi="Arial" w:cs="Arial"/>
      <w:color w:val="auto"/>
      <w:sz w:val="18"/>
      <w:szCs w:val="18"/>
    </w:rPr>
  </w:style>
  <w:style w:type="paragraph" w:customStyle="1" w:styleId="89">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auto"/>
    </w:pPr>
    <w:rPr>
      <w:rFonts w:ascii="Arial" w:hAnsi="Arial" w:cs="Arial"/>
      <w:color w:val="auto"/>
      <w:sz w:val="18"/>
      <w:szCs w:val="18"/>
    </w:rPr>
  </w:style>
  <w:style w:type="paragraph" w:customStyle="1" w:styleId="90">
    <w:name w:val="font5"/>
    <w:basedOn w:val="1"/>
    <w:qFormat/>
    <w:uiPriority w:val="0"/>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91">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color w:val="auto"/>
      <w:sz w:val="20"/>
    </w:rPr>
  </w:style>
  <w:style w:type="paragraph" w:customStyle="1" w:styleId="92">
    <w:name w:val="xl127"/>
    <w:basedOn w:val="1"/>
    <w:qFormat/>
    <w:uiPriority w:val="0"/>
    <w:pPr>
      <w:pBdr>
        <w:top w:val="single" w:color="auto" w:sz="4" w:space="0"/>
        <w:bottom w:val="single" w:color="auto" w:sz="4" w:space="0"/>
      </w:pBdr>
      <w:shd w:val="clear" w:color="000000" w:fill="FFFF00"/>
      <w:spacing w:before="100" w:beforeAutospacing="1" w:after="100" w:afterAutospacing="1" w:line="240" w:lineRule="auto"/>
      <w:jc w:val="left"/>
      <w:textAlignment w:val="auto"/>
    </w:pPr>
    <w:rPr>
      <w:rFonts w:ascii="宋体" w:hAnsi="宋体" w:cs="宋体"/>
      <w:b/>
      <w:bCs/>
      <w:color w:val="auto"/>
      <w:sz w:val="20"/>
    </w:rPr>
  </w:style>
  <w:style w:type="paragraph" w:customStyle="1" w:styleId="9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auto"/>
    </w:pPr>
    <w:rPr>
      <w:rFonts w:ascii="宋体" w:hAnsi="宋体" w:cs="宋体"/>
      <w:color w:val="333333"/>
      <w:sz w:val="20"/>
    </w:rPr>
  </w:style>
  <w:style w:type="paragraph" w:customStyle="1" w:styleId="94">
    <w:name w:val="xl10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auto"/>
    </w:pPr>
    <w:rPr>
      <w:rFonts w:ascii="宋体" w:hAnsi="宋体" w:cs="宋体"/>
      <w:b/>
      <w:bCs/>
      <w:color w:val="auto"/>
      <w:szCs w:val="21"/>
    </w:rPr>
  </w:style>
  <w:style w:type="paragraph" w:customStyle="1" w:styleId="9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auto"/>
    </w:pPr>
    <w:rPr>
      <w:rFonts w:ascii="宋体" w:hAnsi="宋体" w:cs="宋体"/>
      <w:sz w:val="20"/>
    </w:rPr>
  </w:style>
  <w:style w:type="paragraph" w:customStyle="1" w:styleId="96">
    <w:name w:val="Defaul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7">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auto"/>
    </w:pPr>
    <w:rPr>
      <w:rFonts w:ascii="宋体" w:hAnsi="宋体" w:cs="宋体"/>
      <w:b/>
      <w:bCs/>
      <w:sz w:val="20"/>
    </w:rPr>
  </w:style>
  <w:style w:type="paragraph" w:customStyle="1" w:styleId="98">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color w:val="auto"/>
      <w:sz w:val="20"/>
    </w:rPr>
  </w:style>
  <w:style w:type="paragraph" w:styleId="99">
    <w:name w:val="List Paragraph"/>
    <w:basedOn w:val="1"/>
    <w:qFormat/>
    <w:uiPriority w:val="34"/>
    <w:pPr>
      <w:widowControl w:val="0"/>
      <w:spacing w:line="240" w:lineRule="auto"/>
      <w:ind w:firstLine="420" w:firstLineChars="200"/>
      <w:textAlignment w:val="auto"/>
    </w:pPr>
    <w:rPr>
      <w:rFonts w:ascii="Calibri" w:hAnsi="Calibri"/>
      <w:color w:val="auto"/>
      <w:kern w:val="2"/>
      <w:szCs w:val="22"/>
    </w:rPr>
  </w:style>
  <w:style w:type="paragraph" w:customStyle="1" w:styleId="100">
    <w:name w:val="二级目录"/>
    <w:next w:val="1"/>
    <w:link w:val="190"/>
    <w:uiPriority w:val="0"/>
    <w:pPr>
      <w:tabs>
        <w:tab w:val="left" w:pos="720"/>
      </w:tabs>
      <w:ind w:left="961" w:hanging="420"/>
      <w:outlineLvl w:val="1"/>
    </w:pPr>
    <w:rPr>
      <w:rFonts w:ascii="Times New Roman" w:hAnsi="Times New Roman" w:eastAsia="Times New Roman" w:cs="Times New Roman"/>
      <w:b/>
      <w:sz w:val="30"/>
      <w:szCs w:val="28"/>
      <w:lang w:val="en-US" w:eastAsia="zh-CN" w:bidi="ar-SA"/>
    </w:rPr>
  </w:style>
  <w:style w:type="paragraph" w:customStyle="1" w:styleId="101">
    <w:name w:val="Default Tex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缺省文本"/>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3">
    <w:name w:val="列出段落11"/>
    <w:basedOn w:val="1"/>
    <w:uiPriority w:val="0"/>
    <w:pPr>
      <w:widowControl w:val="0"/>
      <w:spacing w:line="240" w:lineRule="auto"/>
      <w:ind w:firstLine="420" w:firstLineChars="200"/>
      <w:textAlignment w:val="auto"/>
    </w:pPr>
    <w:rPr>
      <w:rFonts w:ascii="Calibri" w:hAnsi="Calibri"/>
      <w:color w:val="auto"/>
      <w:kern w:val="2"/>
      <w:szCs w:val="22"/>
    </w:rPr>
  </w:style>
  <w:style w:type="paragraph" w:customStyle="1" w:styleId="104">
    <w:name w:val="xl8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105">
    <w:name w:val="q3 Char"/>
    <w:basedOn w:val="26"/>
    <w:next w:val="1"/>
    <w:uiPriority w:val="0"/>
    <w:pPr>
      <w:numPr>
        <w:ilvl w:val="2"/>
        <w:numId w:val="3"/>
      </w:numPr>
      <w:spacing w:line="360" w:lineRule="auto"/>
      <w:jc w:val="left"/>
      <w:outlineLvl w:val="2"/>
    </w:pPr>
    <w:rPr>
      <w:rFonts w:ascii="Arial" w:hAnsi="Arial" w:cs="Arial"/>
      <w:sz w:val="28"/>
    </w:rPr>
  </w:style>
  <w:style w:type="paragraph" w:customStyle="1" w:styleId="106">
    <w:name w:val="Default Text:1"/>
    <w:basedOn w:val="1"/>
    <w:uiPriority w:val="0"/>
    <w:pPr>
      <w:overflowPunct w:val="0"/>
      <w:autoSpaceDE w:val="0"/>
      <w:autoSpaceDN w:val="0"/>
      <w:adjustRightInd w:val="0"/>
      <w:spacing w:line="240" w:lineRule="auto"/>
      <w:jc w:val="left"/>
    </w:pPr>
    <w:rPr>
      <w:color w:val="auto"/>
      <w:sz w:val="24"/>
    </w:rPr>
  </w:style>
  <w:style w:type="paragraph" w:customStyle="1" w:styleId="107">
    <w:name w:val="一级目录雅黑"/>
    <w:basedOn w:val="1"/>
    <w:uiPriority w:val="0"/>
    <w:pPr>
      <w:widowControl w:val="0"/>
      <w:numPr>
        <w:ilvl w:val="0"/>
        <w:numId w:val="5"/>
      </w:numPr>
      <w:spacing w:beforeLines="100" w:afterLines="100" w:line="360" w:lineRule="auto"/>
      <w:textAlignment w:val="auto"/>
      <w:outlineLvl w:val="0"/>
    </w:pPr>
    <w:rPr>
      <w:rFonts w:ascii="微软雅黑" w:hAnsi="微软雅黑" w:eastAsia="微软雅黑"/>
      <w:b/>
      <w:color w:val="auto"/>
      <w:kern w:val="2"/>
      <w:sz w:val="44"/>
      <w:szCs w:val="44"/>
    </w:rPr>
  </w:style>
  <w:style w:type="paragraph" w:customStyle="1" w:styleId="108">
    <w:name w:val="q4"/>
    <w:basedOn w:val="26"/>
    <w:next w:val="1"/>
    <w:uiPriority w:val="0"/>
    <w:pPr>
      <w:numPr>
        <w:ilvl w:val="3"/>
        <w:numId w:val="3"/>
      </w:numPr>
      <w:spacing w:line="360" w:lineRule="auto"/>
      <w:jc w:val="left"/>
      <w:outlineLvl w:val="3"/>
    </w:pPr>
    <w:rPr>
      <w:rFonts w:ascii="Arial" w:hAnsi="Arial" w:cs="Arial"/>
      <w:sz w:val="24"/>
    </w:rPr>
  </w:style>
  <w:style w:type="paragraph" w:customStyle="1" w:styleId="109">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0">
    <w:name w:val="xl126"/>
    <w:basedOn w:val="1"/>
    <w:qFormat/>
    <w:uiPriority w:val="0"/>
    <w:pPr>
      <w:pBdr>
        <w:top w:val="single" w:color="auto" w:sz="4" w:space="0"/>
        <w:left w:val="single" w:color="auto" w:sz="4" w:space="0"/>
        <w:bottom w:val="single" w:color="auto" w:sz="4" w:space="0"/>
      </w:pBdr>
      <w:shd w:val="clear" w:color="000000" w:fill="FFFF00"/>
      <w:spacing w:before="100" w:beforeAutospacing="1" w:after="100" w:afterAutospacing="1" w:line="240" w:lineRule="auto"/>
      <w:jc w:val="left"/>
      <w:textAlignment w:val="auto"/>
    </w:pPr>
    <w:rPr>
      <w:rFonts w:ascii="宋体" w:hAnsi="宋体" w:cs="宋体"/>
      <w:b/>
      <w:bCs/>
      <w:color w:val="auto"/>
      <w:sz w:val="20"/>
    </w:rPr>
  </w:style>
  <w:style w:type="paragraph" w:customStyle="1" w:styleId="111">
    <w:name w:val="text"/>
    <w:basedOn w:val="1"/>
    <w:uiPriority w:val="0"/>
    <w:pPr>
      <w:spacing w:before="100" w:beforeAutospacing="1" w:after="100" w:afterAutospacing="1" w:line="240" w:lineRule="auto"/>
      <w:jc w:val="left"/>
      <w:textAlignment w:val="auto"/>
    </w:pPr>
    <w:rPr>
      <w:rFonts w:ascii="ˎ̥" w:hAnsi="ˎ̥" w:cs="宋体"/>
      <w:sz w:val="18"/>
      <w:szCs w:val="18"/>
    </w:rPr>
  </w:style>
  <w:style w:type="paragraph" w:customStyle="1" w:styleId="112">
    <w:name w:val="xl1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113">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auto"/>
    </w:pPr>
    <w:rPr>
      <w:rFonts w:ascii="Arial" w:hAnsi="Arial" w:cs="Arial"/>
      <w:color w:val="auto"/>
      <w:sz w:val="18"/>
      <w:szCs w:val="18"/>
    </w:rPr>
  </w:style>
  <w:style w:type="paragraph" w:customStyle="1" w:styleId="114">
    <w:name w:val="xl128"/>
    <w:basedOn w:val="1"/>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line="240" w:lineRule="auto"/>
      <w:jc w:val="center"/>
      <w:textAlignment w:val="auto"/>
    </w:pPr>
    <w:rPr>
      <w:rFonts w:ascii="宋体" w:hAnsi="宋体" w:cs="宋体"/>
      <w:b/>
      <w:bCs/>
      <w:color w:val="auto"/>
      <w:sz w:val="24"/>
      <w:szCs w:val="24"/>
    </w:rPr>
  </w:style>
  <w:style w:type="paragraph" w:customStyle="1" w:styleId="115">
    <w:name w:val="_Style 114"/>
    <w:unhideWhenUsed/>
    <w:uiPriority w:val="99"/>
    <w:rPr>
      <w:rFonts w:ascii="Times New Roman" w:hAnsi="Times New Roman" w:eastAsia="宋体" w:cs="Times New Roman"/>
      <w:color w:val="000000"/>
      <w:sz w:val="21"/>
      <w:u w:color="000000"/>
      <w:lang w:val="en-US" w:eastAsia="zh-CN" w:bidi="ar-SA"/>
    </w:rPr>
  </w:style>
  <w:style w:type="paragraph" w:customStyle="1" w:styleId="116">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szCs w:val="21"/>
    </w:rPr>
  </w:style>
  <w:style w:type="paragraph" w:customStyle="1" w:styleId="117">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0"/>
    </w:rPr>
  </w:style>
  <w:style w:type="paragraph" w:customStyle="1" w:styleId="118">
    <w:name w:val="xl130"/>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textAlignment w:val="auto"/>
    </w:pPr>
    <w:rPr>
      <w:rFonts w:ascii="宋体" w:hAnsi="宋体" w:cs="宋体"/>
      <w:b/>
      <w:bCs/>
      <w:color w:val="auto"/>
      <w:sz w:val="18"/>
      <w:szCs w:val="18"/>
    </w:rPr>
  </w:style>
  <w:style w:type="paragraph" w:customStyle="1" w:styleId="119">
    <w:name w:val="标准正文 Char"/>
    <w:basedOn w:val="1"/>
    <w:link w:val="175"/>
    <w:uiPriority w:val="0"/>
    <w:pPr>
      <w:widowControl w:val="0"/>
      <w:spacing w:before="60" w:after="60" w:line="360" w:lineRule="auto"/>
      <w:ind w:firstLine="482"/>
      <w:textAlignment w:val="auto"/>
    </w:pPr>
    <w:rPr>
      <w:rFonts w:ascii="Calibri" w:hAnsi="Calibri" w:eastAsia="仿宋_GB2312"/>
      <w:color w:val="auto"/>
      <w:kern w:val="2"/>
      <w:sz w:val="30"/>
      <w:szCs w:val="30"/>
    </w:rPr>
  </w:style>
  <w:style w:type="paragraph" w:customStyle="1" w:styleId="120">
    <w:name w:val="TableHeader"/>
    <w:qFormat/>
    <w:uiPriority w:val="0"/>
    <w:pPr>
      <w:spacing w:before="40" w:after="40"/>
      <w:jc w:val="center"/>
    </w:pPr>
    <w:rPr>
      <w:rFonts w:ascii="Arial" w:hAnsi="Arial" w:eastAsia="宋体" w:cs="Times New Roman"/>
      <w:b/>
      <w:bCs/>
      <w:kern w:val="44"/>
      <w:sz w:val="18"/>
      <w:szCs w:val="44"/>
      <w:lang w:val="en-US" w:eastAsia="zh-CN" w:bidi="ar-SA"/>
    </w:rPr>
  </w:style>
  <w:style w:type="paragraph" w:customStyle="1" w:styleId="121">
    <w:name w:val="Ericsson Normal Reply"/>
    <w:basedOn w:val="1"/>
    <w:next w:val="1"/>
    <w:uiPriority w:val="0"/>
    <w:pPr>
      <w:numPr>
        <w:ilvl w:val="0"/>
        <w:numId w:val="6"/>
      </w:numPr>
      <w:tabs>
        <w:tab w:val="clear" w:pos="1080"/>
      </w:tabs>
      <w:spacing w:after="240" w:line="240" w:lineRule="auto"/>
      <w:ind w:left="2340" w:firstLine="0"/>
      <w:jc w:val="left"/>
      <w:textAlignment w:val="auto"/>
    </w:pPr>
    <w:rPr>
      <w:rFonts w:ascii="Garamond" w:hAnsi="Garamond" w:eastAsia="Times New Roman"/>
      <w:color w:val="auto"/>
      <w:sz w:val="24"/>
      <w:lang w:val="en-GB" w:eastAsia="en-US"/>
    </w:rPr>
  </w:style>
  <w:style w:type="paragraph" w:customStyle="1" w:styleId="12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4"/>
      <w:szCs w:val="24"/>
    </w:rPr>
  </w:style>
  <w:style w:type="paragraph" w:customStyle="1" w:styleId="123">
    <w:name w:val="xl13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24">
    <w:name w:val="TableNote"/>
    <w:qFormat/>
    <w:uiPriority w:val="0"/>
    <w:pPr>
      <w:spacing w:before="480" w:after="120"/>
      <w:ind w:left="1587" w:hanging="340"/>
    </w:pPr>
    <w:rPr>
      <w:rFonts w:ascii="Arial" w:hAnsi="Arial" w:eastAsia="宋体" w:cs="Times New Roman"/>
      <w:kern w:val="44"/>
      <w:sz w:val="18"/>
      <w:szCs w:val="44"/>
      <w:lang w:val="en-US" w:eastAsia="zh-CN" w:bidi="ar-SA"/>
    </w:rPr>
  </w:style>
  <w:style w:type="paragraph" w:customStyle="1" w:styleId="125">
    <w:name w:val="NotSortedNumbering1"/>
    <w:basedOn w:val="1"/>
    <w:qFormat/>
    <w:uiPriority w:val="0"/>
    <w:pPr>
      <w:widowControl w:val="0"/>
      <w:spacing w:before="120" w:line="288" w:lineRule="auto"/>
      <w:ind w:left="1701" w:hanging="453"/>
      <w:textAlignment w:val="auto"/>
    </w:pPr>
    <w:rPr>
      <w:rFonts w:ascii="Arial" w:hAnsi="Arial"/>
      <w:color w:val="auto"/>
      <w:kern w:val="44"/>
      <w:szCs w:val="44"/>
    </w:rPr>
  </w:style>
  <w:style w:type="paragraph" w:customStyle="1" w:styleId="126">
    <w:name w:val="xl125"/>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textAlignment w:val="auto"/>
    </w:pPr>
    <w:rPr>
      <w:rFonts w:ascii="宋体" w:hAnsi="宋体" w:cs="宋体"/>
      <w:b/>
      <w:bCs/>
      <w:color w:val="auto"/>
      <w:sz w:val="20"/>
    </w:rPr>
  </w:style>
  <w:style w:type="paragraph" w:customStyle="1" w:styleId="127">
    <w:name w:val="q1"/>
    <w:basedOn w:val="26"/>
    <w:uiPriority w:val="0"/>
    <w:pPr>
      <w:numPr>
        <w:ilvl w:val="0"/>
        <w:numId w:val="3"/>
      </w:numPr>
      <w:spacing w:line="360" w:lineRule="auto"/>
      <w:jc w:val="left"/>
    </w:pPr>
    <w:rPr>
      <w:rFonts w:ascii="Arial" w:hAnsi="Arial" w:cs="Arial"/>
      <w:sz w:val="36"/>
    </w:rPr>
  </w:style>
  <w:style w:type="paragraph" w:customStyle="1" w:styleId="128">
    <w:name w:val="msonormalcxspmiddle"/>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29">
    <w:name w:val="正文缩进2字符"/>
    <w:uiPriority w:val="0"/>
    <w:pPr>
      <w:spacing w:line="30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30">
    <w:name w:val="xl95"/>
    <w:basedOn w:val="1"/>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31">
    <w:name w:val="xl131"/>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textAlignment w:val="auto"/>
    </w:pPr>
    <w:rPr>
      <w:rFonts w:ascii="宋体" w:hAnsi="宋体" w:cs="宋体"/>
      <w:b/>
      <w:bCs/>
      <w:color w:val="auto"/>
      <w:sz w:val="18"/>
      <w:szCs w:val="18"/>
    </w:rPr>
  </w:style>
  <w:style w:type="paragraph" w:customStyle="1" w:styleId="132">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auto"/>
    </w:pPr>
    <w:rPr>
      <w:rFonts w:ascii="Arial" w:hAnsi="Arial" w:cs="Arial"/>
      <w:color w:val="auto"/>
      <w:sz w:val="18"/>
      <w:szCs w:val="18"/>
    </w:rPr>
  </w:style>
  <w:style w:type="paragraph" w:customStyle="1" w:styleId="133">
    <w:name w:val="xl110"/>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auto"/>
    </w:pPr>
    <w:rPr>
      <w:rFonts w:ascii="Arial" w:hAnsi="Arial" w:cs="Arial"/>
      <w:b/>
      <w:bCs/>
      <w:color w:val="auto"/>
      <w:sz w:val="18"/>
      <w:szCs w:val="18"/>
    </w:rPr>
  </w:style>
  <w:style w:type="paragraph" w:customStyle="1" w:styleId="134">
    <w:name w:val="xl9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auto"/>
    </w:pPr>
    <w:rPr>
      <w:rFonts w:ascii="Arial" w:hAnsi="Arial" w:cs="Arial"/>
      <w:color w:val="auto"/>
      <w:sz w:val="18"/>
      <w:szCs w:val="18"/>
    </w:rPr>
  </w:style>
  <w:style w:type="paragraph" w:customStyle="1" w:styleId="135">
    <w:name w:val="body"/>
    <w:basedOn w:val="1"/>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36">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137">
    <w:name w:val="font7"/>
    <w:basedOn w:val="1"/>
    <w:uiPriority w:val="0"/>
    <w:pPr>
      <w:spacing w:before="100" w:beforeAutospacing="1" w:after="100" w:afterAutospacing="1" w:line="240" w:lineRule="auto"/>
      <w:jc w:val="left"/>
      <w:textAlignment w:val="auto"/>
    </w:pPr>
    <w:rPr>
      <w:rFonts w:ascii="Arial" w:hAnsi="Arial" w:cs="Arial"/>
      <w:color w:val="auto"/>
      <w:sz w:val="18"/>
      <w:szCs w:val="18"/>
    </w:rPr>
  </w:style>
  <w:style w:type="paragraph" w:customStyle="1" w:styleId="138">
    <w:name w:val="样式 首行缩进:  2.25 字符"/>
    <w:basedOn w:val="1"/>
    <w:uiPriority w:val="0"/>
    <w:pPr>
      <w:widowControl w:val="0"/>
      <w:spacing w:line="360" w:lineRule="auto"/>
      <w:ind w:firstLine="200" w:firstLineChars="200"/>
      <w:textAlignment w:val="auto"/>
    </w:pPr>
    <w:rPr>
      <w:rFonts w:cs="宋体"/>
      <w:color w:val="auto"/>
      <w:kern w:val="2"/>
      <w:sz w:val="24"/>
    </w:rPr>
  </w:style>
  <w:style w:type="paragraph" w:customStyle="1" w:styleId="139">
    <w:name w:val="p0"/>
    <w:uiPriority w:val="0"/>
    <w:rPr>
      <w:rFonts w:ascii="Times New Roman" w:hAnsi="Times New Roman" w:eastAsia="宋体" w:cs="Times New Roman"/>
      <w:sz w:val="21"/>
      <w:szCs w:val="21"/>
      <w:lang w:val="en-US" w:eastAsia="zh-CN" w:bidi="ar-SA"/>
    </w:rPr>
  </w:style>
  <w:style w:type="paragraph" w:customStyle="1" w:styleId="140">
    <w:name w:val="SortedNumbering4"/>
    <w:basedOn w:val="1"/>
    <w:qFormat/>
    <w:uiPriority w:val="0"/>
    <w:pPr>
      <w:widowControl w:val="0"/>
      <w:spacing w:before="120" w:line="288" w:lineRule="auto"/>
      <w:ind w:left="3231" w:hanging="453"/>
      <w:textAlignment w:val="auto"/>
    </w:pPr>
    <w:rPr>
      <w:rFonts w:ascii="Arial" w:hAnsi="Arial"/>
      <w:color w:val="auto"/>
      <w:kern w:val="44"/>
      <w:szCs w:val="44"/>
    </w:rPr>
  </w:style>
  <w:style w:type="paragraph" w:customStyle="1" w:styleId="141">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color w:val="FF0000"/>
      <w:sz w:val="20"/>
    </w:rPr>
  </w:style>
  <w:style w:type="paragraph" w:customStyle="1" w:styleId="142">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auto"/>
    </w:pPr>
    <w:rPr>
      <w:rFonts w:ascii="宋体" w:hAnsi="宋体" w:cs="宋体"/>
      <w:sz w:val="20"/>
    </w:rPr>
  </w:style>
  <w:style w:type="paragraph" w:customStyle="1" w:styleId="143">
    <w:name w:val="xl111"/>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auto"/>
    </w:pPr>
    <w:rPr>
      <w:rFonts w:ascii="宋体" w:hAnsi="宋体" w:cs="宋体"/>
      <w:b/>
      <w:bCs/>
      <w:color w:val="auto"/>
      <w:sz w:val="18"/>
      <w:szCs w:val="18"/>
    </w:rPr>
  </w:style>
  <w:style w:type="paragraph" w:customStyle="1" w:styleId="144">
    <w:name w:val="图片"/>
    <w:basedOn w:val="1"/>
    <w:uiPriority w:val="0"/>
    <w:pPr>
      <w:widowControl w:val="0"/>
      <w:adjustRightInd w:val="0"/>
      <w:spacing w:line="312" w:lineRule="atLeast"/>
    </w:pPr>
    <w:rPr>
      <w:color w:val="auto"/>
    </w:rPr>
  </w:style>
  <w:style w:type="paragraph" w:customStyle="1" w:styleId="145">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color w:val="auto"/>
      <w:szCs w:val="21"/>
    </w:rPr>
  </w:style>
  <w:style w:type="paragraph" w:customStyle="1" w:styleId="146">
    <w:name w:val="样式 样式 (符号) 宋体 小四 首行缩进:  0.85 厘米 段后: 6 磅 行距: 固定值 20 磅 + 首行缩进:  2 ..."/>
    <w:basedOn w:val="1"/>
    <w:qFormat/>
    <w:uiPriority w:val="0"/>
    <w:pPr>
      <w:widowControl w:val="0"/>
      <w:spacing w:line="360" w:lineRule="auto"/>
      <w:ind w:firstLine="480" w:firstLineChars="200"/>
      <w:textAlignment w:val="auto"/>
    </w:pPr>
    <w:rPr>
      <w:rFonts w:ascii="仿宋_GB2312" w:hAnsi="宋体" w:eastAsia="仿宋_GB2312" w:cs="宋体"/>
      <w:kern w:val="2"/>
      <w:sz w:val="24"/>
      <w:szCs w:val="24"/>
    </w:rPr>
  </w:style>
  <w:style w:type="paragraph" w:customStyle="1" w:styleId="147">
    <w:name w:val="表格文本"/>
    <w:uiPriority w:val="0"/>
    <w:pPr>
      <w:tabs>
        <w:tab w:val="decimal" w:pos="0"/>
      </w:tabs>
      <w:jc w:val="both"/>
    </w:pPr>
    <w:rPr>
      <w:rFonts w:ascii="Arial" w:hAnsi="Arial" w:eastAsia="宋体" w:cs="Times New Roman"/>
      <w:sz w:val="21"/>
      <w:szCs w:val="21"/>
      <w:lang w:val="en-US" w:eastAsia="zh-CN" w:bidi="ar-SA"/>
    </w:rPr>
  </w:style>
  <w:style w:type="paragraph" w:customStyle="1" w:styleId="148">
    <w:name w:val="Char Char1 Char Char1 Char Char1"/>
    <w:basedOn w:val="1"/>
    <w:uiPriority w:val="0"/>
    <w:pPr>
      <w:widowControl w:val="0"/>
      <w:spacing w:line="240" w:lineRule="auto"/>
      <w:textAlignment w:val="auto"/>
    </w:pPr>
    <w:rPr>
      <w:rFonts w:ascii="Tahoma" w:hAnsi="Tahoma"/>
      <w:color w:val="auto"/>
      <w:kern w:val="2"/>
      <w:sz w:val="24"/>
      <w:szCs w:val="24"/>
    </w:rPr>
  </w:style>
  <w:style w:type="paragraph" w:customStyle="1" w:styleId="149">
    <w:name w:val="xl7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bottom"/>
    </w:pPr>
    <w:rPr>
      <w:rFonts w:ascii="宋体" w:hAnsi="宋体" w:cs="宋体"/>
      <w:b/>
      <w:bCs/>
      <w:color w:val="auto"/>
      <w:szCs w:val="21"/>
    </w:rPr>
  </w:style>
  <w:style w:type="paragraph" w:customStyle="1" w:styleId="150">
    <w:name w:val="PictureNote"/>
    <w:basedOn w:val="1"/>
    <w:qFormat/>
    <w:uiPriority w:val="0"/>
    <w:pPr>
      <w:widowControl w:val="0"/>
      <w:spacing w:before="480" w:after="120" w:line="240" w:lineRule="auto"/>
      <w:ind w:left="1587" w:hanging="340"/>
      <w:jc w:val="left"/>
      <w:textAlignment w:val="auto"/>
    </w:pPr>
    <w:rPr>
      <w:rFonts w:ascii="Arial" w:hAnsi="Arial"/>
      <w:color w:val="auto"/>
      <w:kern w:val="44"/>
      <w:sz w:val="18"/>
      <w:szCs w:val="44"/>
    </w:rPr>
  </w:style>
  <w:style w:type="paragraph" w:customStyle="1" w:styleId="151">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color w:val="auto"/>
      <w:sz w:val="20"/>
    </w:rPr>
  </w:style>
  <w:style w:type="paragraph" w:customStyle="1" w:styleId="152">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宋体" w:hAnsi="宋体" w:cs="宋体"/>
      <w:sz w:val="20"/>
    </w:rPr>
  </w:style>
  <w:style w:type="character" w:customStyle="1" w:styleId="153">
    <w:name w:val="Footer Char"/>
    <w:locked/>
    <w:uiPriority w:val="0"/>
    <w:rPr>
      <w:sz w:val="18"/>
    </w:rPr>
  </w:style>
  <w:style w:type="character" w:customStyle="1" w:styleId="154">
    <w:name w:val="font01"/>
    <w:uiPriority w:val="0"/>
    <w:rPr>
      <w:rFonts w:hint="eastAsia" w:ascii="宋体" w:hAnsi="宋体" w:eastAsia="宋体" w:cs="宋体"/>
      <w:color w:val="000000"/>
      <w:sz w:val="24"/>
      <w:szCs w:val="24"/>
      <w:u w:val="none"/>
    </w:rPr>
  </w:style>
  <w:style w:type="character" w:customStyle="1" w:styleId="155">
    <w:name w:val="纯文本 Char1"/>
    <w:locked/>
    <w:uiPriority w:val="0"/>
    <w:rPr>
      <w:rFonts w:ascii="宋体" w:hAnsi="Courier New" w:eastAsia="仿宋_GB2312"/>
      <w:kern w:val="2"/>
      <w:sz w:val="30"/>
    </w:rPr>
  </w:style>
  <w:style w:type="character" w:customStyle="1" w:styleId="156">
    <w:name w:val="正文缩进 Char"/>
    <w:link w:val="8"/>
    <w:uiPriority w:val="0"/>
    <w:rPr>
      <w:rFonts w:eastAsia="宋体"/>
      <w:kern w:val="2"/>
      <w:sz w:val="21"/>
      <w:szCs w:val="24"/>
      <w:lang w:val="en-US" w:eastAsia="zh-CN" w:bidi="ar-SA"/>
    </w:rPr>
  </w:style>
  <w:style w:type="character" w:customStyle="1" w:styleId="157">
    <w:name w:val="批注主题 Char"/>
    <w:link w:val="27"/>
    <w:semiHidden/>
    <w:locked/>
    <w:uiPriority w:val="0"/>
    <w:rPr>
      <w:rFonts w:eastAsia="宋体"/>
      <w:b/>
      <w:sz w:val="24"/>
      <w:lang w:val="en-US" w:eastAsia="zh-CN" w:bidi="ar-SA"/>
    </w:rPr>
  </w:style>
  <w:style w:type="character" w:customStyle="1" w:styleId="158">
    <w:name w:val="小四 段落 宋体 Char Char Char Char1"/>
    <w:link w:val="83"/>
    <w:uiPriority w:val="0"/>
    <w:rPr>
      <w:rFonts w:eastAsia="宋体"/>
      <w:kern w:val="2"/>
      <w:sz w:val="24"/>
      <w:szCs w:val="24"/>
      <w:lang w:val="en-US" w:eastAsia="zh-CN" w:bidi="ar-SA"/>
    </w:rPr>
  </w:style>
  <w:style w:type="character" w:customStyle="1" w:styleId="159">
    <w:name w:val="纯文本 Char"/>
    <w:semiHidden/>
    <w:uiPriority w:val="0"/>
    <w:rPr>
      <w:rFonts w:ascii="宋体" w:hAnsi="Courier New" w:eastAsia="宋体" w:cs="Courier New"/>
      <w:szCs w:val="21"/>
    </w:rPr>
  </w:style>
  <w:style w:type="character" w:customStyle="1" w:styleId="160">
    <w:name w:val="样式3 Char"/>
    <w:link w:val="53"/>
    <w:uiPriority w:val="0"/>
    <w:rPr>
      <w:rFonts w:ascii="Arial" w:hAnsi="Arial" w:eastAsia="宋体"/>
      <w:kern w:val="2"/>
      <w:szCs w:val="22"/>
      <w:lang w:val="en-US" w:eastAsia="zh-CN" w:bidi="ar-SA"/>
    </w:rPr>
  </w:style>
  <w:style w:type="character" w:customStyle="1" w:styleId="161">
    <w:name w:val="font131"/>
    <w:uiPriority w:val="0"/>
    <w:rPr>
      <w:rFonts w:hint="eastAsia" w:ascii="宋体" w:hAnsi="宋体" w:eastAsia="宋体" w:cs="宋体"/>
      <w:color w:val="000000"/>
      <w:sz w:val="18"/>
      <w:szCs w:val="18"/>
      <w:u w:val="none"/>
    </w:rPr>
  </w:style>
  <w:style w:type="character" w:customStyle="1" w:styleId="162">
    <w:name w:val="正文文本 3 Char"/>
    <w:link w:val="12"/>
    <w:locked/>
    <w:uiPriority w:val="0"/>
    <w:rPr>
      <w:rFonts w:ascii="宋体" w:eastAsia="宋体"/>
      <w:kern w:val="2"/>
      <w:sz w:val="24"/>
      <w:lang w:val="en-US" w:eastAsia="zh-CN" w:bidi="ar-SA"/>
    </w:rPr>
  </w:style>
  <w:style w:type="character" w:customStyle="1" w:styleId="163">
    <w:name w:val="font121"/>
    <w:qFormat/>
    <w:uiPriority w:val="0"/>
    <w:rPr>
      <w:rFonts w:hint="eastAsia" w:ascii="宋体" w:hAnsi="宋体" w:eastAsia="宋体" w:cs="宋体"/>
      <w:color w:val="000000"/>
      <w:sz w:val="24"/>
      <w:szCs w:val="24"/>
      <w:u w:val="none"/>
    </w:rPr>
  </w:style>
  <w:style w:type="character" w:customStyle="1" w:styleId="164">
    <w:name w:val="font101"/>
    <w:qFormat/>
    <w:uiPriority w:val="0"/>
    <w:rPr>
      <w:rFonts w:hint="eastAsia" w:ascii="宋体" w:hAnsi="宋体" w:eastAsia="宋体" w:cs="宋体"/>
      <w:color w:val="000000"/>
      <w:sz w:val="18"/>
      <w:szCs w:val="18"/>
      <w:u w:val="none"/>
    </w:rPr>
  </w:style>
  <w:style w:type="character" w:customStyle="1" w:styleId="165">
    <w:name w:val="font171"/>
    <w:qFormat/>
    <w:uiPriority w:val="0"/>
    <w:rPr>
      <w:rFonts w:ascii="仿宋" w:hAnsi="仿宋" w:eastAsia="仿宋" w:cs="仿宋"/>
      <w:color w:val="000000"/>
      <w:sz w:val="22"/>
      <w:szCs w:val="22"/>
      <w:u w:val="none"/>
      <w:vertAlign w:val="superscript"/>
    </w:rPr>
  </w:style>
  <w:style w:type="character" w:customStyle="1" w:styleId="166">
    <w:name w:val="文档结构图 Char"/>
    <w:link w:val="10"/>
    <w:semiHidden/>
    <w:locked/>
    <w:uiPriority w:val="0"/>
    <w:rPr>
      <w:rFonts w:ascii="宋体" w:hAnsi="Calibri" w:eastAsia="宋体"/>
      <w:kern w:val="2"/>
      <w:sz w:val="18"/>
      <w:szCs w:val="18"/>
      <w:lang w:val="en-US" w:eastAsia="zh-CN" w:bidi="ar-SA"/>
    </w:rPr>
  </w:style>
  <w:style w:type="character" w:customStyle="1" w:styleId="167">
    <w:name w:val="Heading 2 Char"/>
    <w:locked/>
    <w:uiPriority w:val="0"/>
    <w:rPr>
      <w:rFonts w:ascii="Cambria" w:hAnsi="Cambria" w:eastAsia="宋体"/>
      <w:b/>
      <w:sz w:val="32"/>
    </w:rPr>
  </w:style>
  <w:style w:type="character" w:customStyle="1" w:styleId="168">
    <w:name w:val="正文文本缩进 Char"/>
    <w:link w:val="14"/>
    <w:uiPriority w:val="0"/>
    <w:rPr>
      <w:rFonts w:eastAsia="宋体"/>
      <w:kern w:val="2"/>
      <w:sz w:val="21"/>
      <w:lang w:val="en-US" w:eastAsia="zh-CN" w:bidi="ar-SA"/>
    </w:rPr>
  </w:style>
  <w:style w:type="character" w:customStyle="1" w:styleId="169">
    <w:name w:val="Header Char"/>
    <w:locked/>
    <w:uiPriority w:val="0"/>
    <w:rPr>
      <w:sz w:val="18"/>
    </w:rPr>
  </w:style>
  <w:style w:type="character" w:customStyle="1" w:styleId="170">
    <w:name w:val="text22"/>
    <w:uiPriority w:val="0"/>
    <w:rPr>
      <w:rFonts w:hint="default" w:ascii="ˎ̥" w:hAnsi="ˎ̥"/>
      <w:color w:val="FFFFFF"/>
      <w:sz w:val="18"/>
      <w:szCs w:val="18"/>
    </w:rPr>
  </w:style>
  <w:style w:type="character" w:customStyle="1" w:styleId="171">
    <w:name w:val="font181"/>
    <w:uiPriority w:val="0"/>
    <w:rPr>
      <w:rFonts w:hint="eastAsia" w:ascii="宋体" w:hAnsi="宋体" w:eastAsia="宋体" w:cs="宋体"/>
      <w:color w:val="000000"/>
      <w:sz w:val="20"/>
      <w:szCs w:val="20"/>
      <w:u w:val="none"/>
    </w:rPr>
  </w:style>
  <w:style w:type="character" w:customStyle="1" w:styleId="172">
    <w:name w:val="font11"/>
    <w:uiPriority w:val="0"/>
    <w:rPr>
      <w:rFonts w:ascii="仿宋" w:hAnsi="仿宋" w:eastAsia="仿宋" w:cs="仿宋"/>
      <w:color w:val="000000"/>
      <w:sz w:val="22"/>
      <w:szCs w:val="22"/>
      <w:u w:val="none"/>
      <w:vertAlign w:val="superscript"/>
    </w:rPr>
  </w:style>
  <w:style w:type="character" w:customStyle="1" w:styleId="173">
    <w:name w:val="apple-converted-space"/>
    <w:basedOn w:val="32"/>
    <w:uiPriority w:val="0"/>
  </w:style>
  <w:style w:type="character" w:customStyle="1" w:styleId="174">
    <w:name w:val="彩色列表 - 着色 1 Char"/>
    <w:locked/>
    <w:uiPriority w:val="0"/>
    <w:rPr>
      <w:rFonts w:ascii="Calibri" w:hAnsi="Calibri"/>
      <w:kern w:val="2"/>
      <w:sz w:val="21"/>
      <w:szCs w:val="22"/>
    </w:rPr>
  </w:style>
  <w:style w:type="character" w:customStyle="1" w:styleId="175">
    <w:name w:val="标准正文 Char Char"/>
    <w:link w:val="119"/>
    <w:uiPriority w:val="0"/>
    <w:rPr>
      <w:rFonts w:ascii="Calibri" w:hAnsi="Calibri" w:eastAsia="仿宋_GB2312"/>
      <w:kern w:val="2"/>
      <w:sz w:val="30"/>
      <w:szCs w:val="30"/>
      <w:lang w:val="en-US" w:eastAsia="zh-CN" w:bidi="ar-SA"/>
    </w:rPr>
  </w:style>
  <w:style w:type="character" w:customStyle="1" w:styleId="176">
    <w:name w:val="HTML 预设格式 Char"/>
    <w:link w:val="24"/>
    <w:semiHidden/>
    <w:locked/>
    <w:uiPriority w:val="0"/>
    <w:rPr>
      <w:rFonts w:ascii="宋体" w:hAnsi="宋体" w:eastAsia="宋体" w:cs="宋体"/>
      <w:sz w:val="24"/>
      <w:szCs w:val="24"/>
      <w:lang w:val="en-US" w:eastAsia="zh-CN" w:bidi="ar-SA"/>
    </w:rPr>
  </w:style>
  <w:style w:type="character" w:customStyle="1" w:styleId="177">
    <w:name w:val="标题 2 Char"/>
    <w:link w:val="3"/>
    <w:uiPriority w:val="0"/>
    <w:rPr>
      <w:rFonts w:ascii="Arial Black" w:hAnsi="Arial Black" w:eastAsia="黑体"/>
      <w:b/>
      <w:bCs/>
      <w:kern w:val="2"/>
      <w:sz w:val="32"/>
      <w:szCs w:val="32"/>
      <w:lang w:val="en-US" w:eastAsia="zh-CN" w:bidi="ar-SA"/>
    </w:rPr>
  </w:style>
  <w:style w:type="character" w:customStyle="1" w:styleId="178">
    <w:name w:val="font51"/>
    <w:qFormat/>
    <w:uiPriority w:val="0"/>
    <w:rPr>
      <w:rFonts w:hint="eastAsia" w:ascii="宋体" w:hAnsi="宋体" w:eastAsia="宋体" w:cs="宋体"/>
      <w:color w:val="000000"/>
      <w:sz w:val="20"/>
      <w:szCs w:val="20"/>
      <w:u w:val="none"/>
    </w:rPr>
  </w:style>
  <w:style w:type="character" w:customStyle="1" w:styleId="179">
    <w:name w:val="Char Char11"/>
    <w:uiPriority w:val="0"/>
    <w:rPr>
      <w:rFonts w:eastAsia="宋体"/>
      <w:color w:val="000000"/>
      <w:sz w:val="18"/>
      <w:szCs w:val="18"/>
      <w:u w:val="none" w:color="000000"/>
      <w:lang w:val="en-US" w:eastAsia="zh-CN" w:bidi="ar-SA"/>
    </w:rPr>
  </w:style>
  <w:style w:type="character" w:customStyle="1" w:styleId="180">
    <w:name w:val="纯文本 Char2"/>
    <w:link w:val="16"/>
    <w:locked/>
    <w:uiPriority w:val="0"/>
    <w:rPr>
      <w:rFonts w:ascii="宋体" w:hAnsi="Courier New" w:eastAsia="宋体"/>
      <w:kern w:val="2"/>
      <w:sz w:val="21"/>
      <w:lang w:val="en-US" w:eastAsia="zh-CN" w:bidi="ar-SA"/>
    </w:rPr>
  </w:style>
  <w:style w:type="character" w:customStyle="1" w:styleId="181">
    <w:name w:val="标题 4 Char"/>
    <w:link w:val="5"/>
    <w:locked/>
    <w:uiPriority w:val="0"/>
    <w:rPr>
      <w:rFonts w:ascii="Cambria" w:hAnsi="Cambria" w:eastAsia="宋体"/>
      <w:b/>
      <w:sz w:val="28"/>
      <w:lang w:val="en-US" w:eastAsia="zh-CN" w:bidi="ar-SA"/>
    </w:rPr>
  </w:style>
  <w:style w:type="character" w:customStyle="1" w:styleId="182">
    <w:name w:val="标题 5 Char"/>
    <w:link w:val="6"/>
    <w:uiPriority w:val="0"/>
    <w:rPr>
      <w:rFonts w:eastAsia="宋体"/>
      <w:b/>
      <w:bCs/>
      <w:kern w:val="2"/>
      <w:sz w:val="28"/>
      <w:szCs w:val="28"/>
      <w:lang w:val="en-US" w:eastAsia="zh-CN" w:bidi="ar-SA"/>
    </w:rPr>
  </w:style>
  <w:style w:type="character" w:customStyle="1" w:styleId="183">
    <w:name w:val="批注文字 Char"/>
    <w:link w:val="11"/>
    <w:locked/>
    <w:uiPriority w:val="0"/>
    <w:rPr>
      <w:rFonts w:eastAsia="宋体"/>
      <w:sz w:val="24"/>
      <w:lang w:val="en-US" w:eastAsia="zh-CN" w:bidi="ar-SA"/>
    </w:rPr>
  </w:style>
  <w:style w:type="character" w:customStyle="1" w:styleId="184">
    <w:name w:val="标题 3 Char"/>
    <w:link w:val="4"/>
    <w:uiPriority w:val="0"/>
    <w:rPr>
      <w:rFonts w:ascii="宋体" w:hAnsi="宋体" w:eastAsia="宋体"/>
      <w:kern w:val="2"/>
      <w:sz w:val="28"/>
      <w:szCs w:val="32"/>
      <w:lang w:val="en-US" w:eastAsia="zh-CN" w:bidi="ar-SA"/>
    </w:rPr>
  </w:style>
  <w:style w:type="character" w:customStyle="1" w:styleId="185">
    <w:name w:val="页脚 Char"/>
    <w:link w:val="19"/>
    <w:uiPriority w:val="99"/>
    <w:rPr>
      <w:rFonts w:eastAsia="宋体"/>
      <w:color w:val="000000"/>
      <w:sz w:val="18"/>
      <w:szCs w:val="18"/>
      <w:u w:val="none" w:color="000000"/>
      <w:lang w:val="en-US" w:eastAsia="zh-CN" w:bidi="ar-SA"/>
    </w:rPr>
  </w:style>
  <w:style w:type="character" w:customStyle="1" w:styleId="186">
    <w:name w:val="页眉 Char"/>
    <w:link w:val="20"/>
    <w:uiPriority w:val="0"/>
    <w:rPr>
      <w:rFonts w:eastAsia="宋体"/>
      <w:color w:val="000000"/>
      <w:sz w:val="18"/>
      <w:szCs w:val="18"/>
      <w:u w:val="none" w:color="000000"/>
      <w:lang w:val="en-US" w:eastAsia="zh-CN" w:bidi="ar-SA"/>
    </w:rPr>
  </w:style>
  <w:style w:type="character" w:customStyle="1" w:styleId="187">
    <w:name w:val="标题 1 1 Char"/>
    <w:uiPriority w:val="0"/>
    <w:rPr>
      <w:rFonts w:eastAsia="宋体"/>
      <w:b/>
      <w:bCs/>
      <w:color w:val="000000"/>
      <w:kern w:val="44"/>
      <w:sz w:val="44"/>
      <w:szCs w:val="44"/>
      <w:u w:val="none" w:color="000000"/>
      <w:lang w:val="en-US" w:eastAsia="zh-CN" w:bidi="ar-SA"/>
    </w:rPr>
  </w:style>
  <w:style w:type="character" w:customStyle="1" w:styleId="188">
    <w:name w:val="H4 Char"/>
    <w:uiPriority w:val="0"/>
    <w:rPr>
      <w:rFonts w:ascii="Cambria" w:hAnsi="Cambria" w:eastAsia="宋体"/>
      <w:b/>
      <w:sz w:val="28"/>
      <w:lang w:val="en-US" w:eastAsia="zh-CN" w:bidi="ar-SA"/>
    </w:rPr>
  </w:style>
  <w:style w:type="character" w:customStyle="1" w:styleId="189">
    <w:name w:val="批注框文本 Char"/>
    <w:link w:val="18"/>
    <w:uiPriority w:val="0"/>
    <w:rPr>
      <w:rFonts w:ascii="MT Extra" w:hAnsi="MT Extra" w:eastAsia="宋体" w:cs="MT Extra"/>
      <w:kern w:val="2"/>
      <w:sz w:val="18"/>
      <w:szCs w:val="18"/>
      <w:lang w:val="en-US" w:eastAsia="zh-CN" w:bidi="ar-SA"/>
    </w:rPr>
  </w:style>
  <w:style w:type="character" w:customStyle="1" w:styleId="190">
    <w:name w:val="二级目录 Char Char"/>
    <w:link w:val="100"/>
    <w:uiPriority w:val="0"/>
    <w:rPr>
      <w:rFonts w:eastAsia="Times New Roman"/>
      <w:b/>
      <w:sz w:val="30"/>
      <w:szCs w:val="28"/>
      <w:lang w:val="en-US" w:eastAsia="zh-CN" w:bidi="ar-SA"/>
    </w:rPr>
  </w:style>
  <w:style w:type="character" w:customStyle="1" w:styleId="191">
    <w:name w:val="标题 1 Char"/>
    <w:link w:val="2"/>
    <w:locked/>
    <w:uiPriority w:val="0"/>
    <w:rPr>
      <w:rFonts w:eastAsia="宋体"/>
      <w:b/>
      <w:bCs/>
      <w:color w:val="000000"/>
      <w:kern w:val="44"/>
      <w:sz w:val="44"/>
      <w:szCs w:val="44"/>
      <w:u w:val="none" w:color="000000"/>
      <w:lang w:val="en-US" w:eastAsia="zh-CN" w:bidi="ar-SA"/>
    </w:rPr>
  </w:style>
  <w:style w:type="character" w:customStyle="1" w:styleId="192">
    <w:name w:val="Char Char10"/>
    <w:uiPriority w:val="0"/>
    <w:rPr>
      <w:rFonts w:eastAsia="宋体"/>
      <w:color w:val="000000"/>
      <w:sz w:val="18"/>
      <w:szCs w:val="18"/>
      <w:u w:val="none" w:color="000000"/>
      <w:lang w:val="en-US" w:eastAsia="zh-CN" w:bidi="ar-SA"/>
    </w:rPr>
  </w:style>
  <w:style w:type="character" w:customStyle="1" w:styleId="193">
    <w:name w:val="批注文字 Char1"/>
    <w:semiHidden/>
    <w:uiPriority w:val="0"/>
    <w:rPr>
      <w:rFonts w:ascii="Times New Roman" w:hAnsi="Times New Roman" w:eastAsia="宋体" w:cs="Times New Roman"/>
      <w:szCs w:val="24"/>
    </w:rPr>
  </w:style>
  <w:style w:type="character" w:customStyle="1" w:styleId="194">
    <w:name w:val="Body Char"/>
    <w:link w:val="70"/>
    <w:uiPriority w:val="0"/>
    <w:rPr>
      <w:rFonts w:eastAsia="宋体"/>
      <w:sz w:val="21"/>
      <w:szCs w:val="21"/>
      <w:lang w:val="pt-BR" w:eastAsia="zh-CN" w:bidi="ar-SA"/>
    </w:rPr>
  </w:style>
  <w:style w:type="character" w:customStyle="1" w:styleId="195">
    <w:name w:val="font111"/>
    <w:qFormat/>
    <w:uiPriority w:val="0"/>
    <w:rPr>
      <w:rFonts w:hint="eastAsia" w:ascii="宋体" w:hAnsi="宋体" w:eastAsia="宋体" w:cs="宋体"/>
      <w:color w:val="FF0000"/>
      <w:sz w:val="20"/>
      <w:szCs w:val="20"/>
      <w:u w:val="none"/>
    </w:rPr>
  </w:style>
  <w:style w:type="paragraph" w:customStyle="1" w:styleId="196">
    <w:name w:val="Revision"/>
    <w:hidden/>
    <w:semiHidden/>
    <w:uiPriority w:val="99"/>
    <w:rPr>
      <w:rFonts w:ascii="Times New Roman" w:hAnsi="Times New Roman" w:eastAsia="宋体" w:cs="Times New Roman"/>
      <w:color w:val="000000"/>
      <w:sz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D13CE-3585-4502-8756-7FD6043E6F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3955</Words>
  <Characters>22546</Characters>
  <Lines>187</Lines>
  <Paragraphs>52</Paragraphs>
  <TotalTime>54</TotalTime>
  <ScaleCrop>false</ScaleCrop>
  <LinksUpToDate>false</LinksUpToDate>
  <CharactersWithSpaces>26449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2019-07-09T08:30:00Z</dcterms:created>
  <dc:creator>SHZCZJ</dc:creator>
  <cp:lastModifiedBy>Administrator</cp:lastModifiedBy>
  <cp:lastPrinted>2019-07-04T07:54:00Z</cp:lastPrinted>
  <dcterms:modified xsi:type="dcterms:W3CDTF">2019-07-22T08:11:10Z</dcterms:modified>
  <dc:title>招  标  文  件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GSEDS_HWMT_d46a6755">
    <vt:lpwstr>f24551c0_mFV0yj84JSk2OspOlHv5runKsRE=_8QYrr0VBXDcyNt5PkXj9rKUY61lPtYPWXyCJj559mwQro7v5wkQLgVaySpnNKLHgnNX+j/5mbi+bCtoht/gsvQnNxIw=_7383bf57</vt:lpwstr>
  </property>
</Properties>
</file>