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pacing w:afterAutospacing="0" w:line="360" w:lineRule="auto"/>
        <w:ind w:left="601" w:leftChars="0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bookmarkStart w:id="0" w:name="_Toc6823"/>
      <w:bookmarkStart w:id="1" w:name="_Toc31920"/>
      <w:r>
        <w:rPr>
          <w:rFonts w:hint="eastAsia" w:ascii="宋体" w:hAnsi="宋体" w:eastAsia="宋体" w:cs="宋体"/>
          <w:color w:val="auto"/>
          <w:sz w:val="32"/>
          <w:szCs w:val="32"/>
        </w:rPr>
        <w:t>克州医疗保障局城乡居民大病保险采购项目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一、二、三包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技术参数</w:t>
      </w:r>
      <w:bookmarkEnd w:id="0"/>
      <w:bookmarkEnd w:id="1"/>
    </w:p>
    <w:p>
      <w:pPr>
        <w:pageBreakBefore w:val="0"/>
        <w:kinsoku/>
        <w:wordWrap/>
        <w:overflowPunct/>
        <w:topLinePunct w:val="0"/>
        <w:bidi w:val="0"/>
        <w:adjustRightInd/>
        <w:spacing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2" w:name="_GoBack"/>
      <w:bookmarkEnd w:id="2"/>
    </w:p>
    <w:p>
      <w:pPr>
        <w:pageBreakBefore w:val="0"/>
        <w:kinsoku/>
        <w:wordWrap/>
        <w:overflowPunct/>
        <w:topLinePunct w:val="0"/>
        <w:bidi w:val="0"/>
        <w:adjustRightInd/>
        <w:spacing w:afterAutospacing="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城乡居民大病保险起付标准为:</w:t>
      </w:r>
    </w:p>
    <w:p>
      <w:pPr>
        <w:pageBreakBefore w:val="0"/>
        <w:kinsoku/>
        <w:wordWrap/>
        <w:overflowPunct/>
        <w:topLinePunct w:val="0"/>
        <w:bidi w:val="0"/>
        <w:adjustRightInd/>
        <w:spacing w:afterAutospacing="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建档立卡贫困人口起付线为6000元，6000元以上（不含6000元）部分按照比例赔付。其他城乡居民大病保险起付标准为：12000元，12000元以上（不含12000元）部分按照比例赔付。</w:t>
      </w:r>
    </w:p>
    <w:p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理赔比例：</w:t>
      </w:r>
    </w:p>
    <w:p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建档立卡贫困户理赔比例：6000元以上至15万元（含15万元）以下按照70%比例进行理赔；15万元以上至30万元（含30万元）以下按照75%比例进行理赔；30万元以上按照80%比例进行理赔。</w:t>
      </w:r>
    </w:p>
    <w:p>
      <w:pPr>
        <w:pStyle w:val="2"/>
        <w:spacing w:line="360" w:lineRule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其他城乡居民理赔比例：12000元以上至15万元(含15万元)以下按照65%比例进行理赔；15万元以上至30万元（含30万元）以下按照70%比例进行赔付；30万元以上部分按照75%比例进行理赔。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upperLetter"/>
      <w:pStyle w:val="3"/>
      <w:lvlText w:val="%1、"/>
      <w:lvlJc w:val="left"/>
      <w:pPr>
        <w:tabs>
          <w:tab w:val="left" w:pos="1605"/>
        </w:tabs>
        <w:ind w:left="1605" w:hanging="1005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1770"/>
        </w:tabs>
        <w:ind w:left="1770" w:hanging="75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76364"/>
    <w:rsid w:val="2DA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720"/>
        <w:tab w:val="clear" w:pos="1605"/>
      </w:tabs>
      <w:spacing w:line="312" w:lineRule="auto"/>
      <w:ind w:left="1604" w:hanging="1003"/>
      <w:jc w:val="center"/>
      <w:outlineLvl w:val="0"/>
    </w:pPr>
    <w:rPr>
      <w:rFonts w:ascii="??_GB2312" w:hAnsi="??_GB2312" w:cs="Times New Roman"/>
      <w:b/>
      <w:kern w:val="0"/>
      <w:sz w:val="30"/>
      <w:szCs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FollowedHyperlink"/>
    <w:basedOn w:val="6"/>
    <w:uiPriority w:val="0"/>
    <w:rPr>
      <w:color w:val="800080"/>
      <w:u w:val="none"/>
    </w:rPr>
  </w:style>
  <w:style w:type="character" w:styleId="8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2020-03-11T09:50:00Z</dcterms:created>
  <dc:creator>asus</dc:creator>
  <cp:lastModifiedBy>asus</cp:lastModifiedBy>
  <dcterms:modified xsi:type="dcterms:W3CDTF">2020-03-11T09:52:22Z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