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宋体" w:cs="宋体"/>
          <w:b/>
          <w:spacing w:val="-20"/>
          <w:kern w:val="44"/>
          <w:sz w:val="40"/>
          <w:szCs w:val="4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spacing w:val="-20"/>
          <w:kern w:val="44"/>
          <w:sz w:val="40"/>
          <w:szCs w:val="40"/>
          <w:highlight w:val="none"/>
          <w:lang w:val="en-US" w:eastAsia="zh-CN" w:bidi="ar-SA"/>
        </w:rPr>
        <w:t xml:space="preserve">莎车县现代农业发展（农产品质量检测建设）项目变更公告 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/>
        <w:jc w:val="both"/>
        <w:outlineLvl w:val="9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/>
        <w:jc w:val="both"/>
        <w:outlineLvl w:val="9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原公告的采购项目编号：XJWSH(JZXTP)2024-01号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/>
        <w:jc w:val="both"/>
        <w:outlineLvl w:val="9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原公告的采购项目名称：莎车县现代农业发展（农产品质量检测建设）项目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/>
        <w:jc w:val="both"/>
        <w:outlineLvl w:val="9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首次公告日期：2024年0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/>
        <w:jc w:val="both"/>
        <w:outlineLvl w:val="9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  <w:t>二、更正信息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/>
        <w:jc w:val="both"/>
        <w:outlineLvl w:val="9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更正事项：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竞争性谈判文件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/>
        <w:jc w:val="both"/>
        <w:outlineLvl w:val="9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更正内容：  </w:t>
      </w:r>
    </w:p>
    <w:tbl>
      <w:tblPr>
        <w:tblStyle w:val="9"/>
        <w:tblpPr w:leftFromText="180" w:rightFromText="180" w:vertAnchor="text" w:horzAnchor="page" w:tblpX="1938" w:tblpY="708"/>
        <w:tblOverlap w:val="never"/>
        <w:tblW w:w="8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00"/>
        <w:gridCol w:w="2644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更正项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更正前内容</w:t>
            </w:r>
          </w:p>
        </w:tc>
        <w:tc>
          <w:tcPr>
            <w:tcW w:w="3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225" w:line="221" w:lineRule="auto"/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高速冷冻离心机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before="225" w:line="221" w:lineRule="auto"/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转速：23000r/min,最大相对离心力36400*g，转速精度±20r/min，温度设置范围-20℃~+40℃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spacing w:before="225" w:line="221" w:lineRule="auto"/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转速范围：300-18,000rpm（100rpm增量）；最高转速：≥18000r/min,最大相对离心力≥30000*g，转速精度±20r/min，温度设置范围-20℃~+40℃;转子15ml*4，1个；水平转子，带9*15ml适配器和4*50ml适配器。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225" w:line="221" w:lineRule="auto"/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超声波清洗机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before="225" w:line="221" w:lineRule="auto"/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常温~100℃可用，时间控制1~99分钟，超声功率480W，频率40khz，容量≥20L，电压220V，内胆材料不锈钢，内槽尺寸≥长500*宽300*高300mm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spacing w:before="225" w:line="221" w:lineRule="auto"/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常温~100℃可用，时间控制1~600分钟，超声功率500W，频率40khz，容量≥30L，电压220V，材质：SUS304不锈钢2.0，内槽尺寸L*W*H 500*300*200MM；具有不锈钢网架和不锈钢降音盖；加热功率：1500W；排水口：有1/2(手控，不锈钢球阀)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31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13"/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仪器维护保养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993" w:type="dxa"/>
            <w:noWrap w:val="0"/>
            <w:vAlign w:val="top"/>
          </w:tcPr>
          <w:p>
            <w:pPr>
              <w:spacing w:before="225" w:line="221" w:lineRule="auto"/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U1timate3000 液相色谱仪；</w:t>
            </w:r>
          </w:p>
          <w:p>
            <w:pPr>
              <w:spacing w:before="225" w:line="221" w:lineRule="auto"/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液相色谱-串联三重四级杆质谱仪 waters xevo  tqd；</w:t>
            </w:r>
          </w:p>
          <w:p>
            <w:pPr>
              <w:spacing w:before="225" w:line="221" w:lineRule="auto"/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气相色</w:t>
            </w:r>
            <w:bookmarkStart w:id="0" w:name="_GoBack"/>
            <w:bookmarkEnd w:id="0"/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谱-串联三重四级杆质谱仪   安捷伦 气相部分：8890GC   气质部分：7000D GC/TQ  包括安捷伦进样盘；</w:t>
            </w:r>
          </w:p>
          <w:p>
            <w:pPr>
              <w:spacing w:before="225" w:line="221" w:lineRule="auto"/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气相色谱仪  安捷伦7820A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31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Style w:val="13"/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检定校准费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993" w:type="dxa"/>
            <w:noWrap w:val="0"/>
            <w:vAlign w:val="top"/>
          </w:tcPr>
          <w:p>
            <w:pPr>
              <w:spacing w:before="225" w:line="221" w:lineRule="auto"/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单通道移液器  12个；YP520N电子天平2个；数字温度计9个；瓶口移液器3个；指针式温湿度表7个；砝码1个；连续分配器1个；原子荧光光度计1个；原子吸收光谱仪1台；液相色谱-串联三重四级杆质谱仪1台；电热恒温鼓风干燥箱1个；U1timate3000 液相色谱仪1台；ME204E1/10000电子天平1个；5001电子天平1个；JA2003N1/1000电子天平1个。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/>
        <w:jc w:val="both"/>
        <w:outlineLvl w:val="9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更正日期：2024年03月25日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/>
        <w:jc w:val="both"/>
        <w:outlineLvl w:val="9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  <w:t>三、其他补充事宜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/>
        <w:jc w:val="both"/>
        <w:outlineLvl w:val="9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  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/>
        <w:jc w:val="both"/>
        <w:outlineLvl w:val="9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  <w:t>四、对本次采购提出询问，请按以下方式联系。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jc w:val="both"/>
        <w:outlineLvl w:val="9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名 称：莎车县农业农村局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地 址：莎车县智慧路32号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联系方式：13579060171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名 称：新疆万士和项目管理有限公司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地 址：新疆喀什市帕依纳普路251号1幢5层5003室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联系方式：唐林红  15657113367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3.同级政府采购监督管理部门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名    称：莎车县财政局政府采购管理办公室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地    址：莎车县财政局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监督投诉电话：0998-8512578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80" w:firstLineChars="200"/>
        <w:jc w:val="right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新疆万士和项目管理有限公司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           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          2024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3月25日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669DF09A-66FF-4C79-94C3-9E95487B0B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57685C7-AC7C-47ED-ABD4-8A83081ACD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YzA1MGU0NWVmNzZlYTZiZTJiOGQzMTJiYmYwZWUifQ=="/>
  </w:docVars>
  <w:rsids>
    <w:rsidRoot w:val="00000000"/>
    <w:rsid w:val="01D64122"/>
    <w:rsid w:val="09287F7D"/>
    <w:rsid w:val="0A2D3298"/>
    <w:rsid w:val="0A984319"/>
    <w:rsid w:val="16ED44DA"/>
    <w:rsid w:val="17AF4C81"/>
    <w:rsid w:val="1BCD48DA"/>
    <w:rsid w:val="2154023D"/>
    <w:rsid w:val="264D464E"/>
    <w:rsid w:val="2D6B5392"/>
    <w:rsid w:val="2ED15B04"/>
    <w:rsid w:val="33002386"/>
    <w:rsid w:val="330D3AE3"/>
    <w:rsid w:val="34425A0E"/>
    <w:rsid w:val="359F479A"/>
    <w:rsid w:val="39BF7136"/>
    <w:rsid w:val="3C6B7ACC"/>
    <w:rsid w:val="412C782A"/>
    <w:rsid w:val="467A6B28"/>
    <w:rsid w:val="470A49F6"/>
    <w:rsid w:val="4948541D"/>
    <w:rsid w:val="55CC1183"/>
    <w:rsid w:val="60765E72"/>
    <w:rsid w:val="60DA41F1"/>
    <w:rsid w:val="61CE1DDF"/>
    <w:rsid w:val="68E85E7D"/>
    <w:rsid w:val="6C1A00FB"/>
    <w:rsid w:val="6EB2165A"/>
    <w:rsid w:val="70C63AB2"/>
    <w:rsid w:val="71137297"/>
    <w:rsid w:val="735B5CBE"/>
    <w:rsid w:val="73FB2F08"/>
    <w:rsid w:val="75650215"/>
    <w:rsid w:val="77A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styleId="3">
    <w:name w:val="toa heading"/>
    <w:basedOn w:val="1"/>
    <w:next w:val="1"/>
    <w:qFormat/>
    <w:uiPriority w:val="0"/>
    <w:pPr>
      <w:widowControl/>
      <w:spacing w:before="120"/>
      <w:ind w:firstLine="3584"/>
    </w:pPr>
  </w:style>
  <w:style w:type="paragraph" w:styleId="4">
    <w:name w:val="Body Text"/>
    <w:basedOn w:val="1"/>
    <w:next w:val="5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Body Text First Indent"/>
    <w:basedOn w:val="4"/>
    <w:next w:val="1"/>
    <w:qFormat/>
    <w:uiPriority w:val="0"/>
    <w:pPr>
      <w:ind w:firstLine="420" w:firstLineChars="100"/>
    </w:pPr>
  </w:style>
  <w:style w:type="paragraph" w:styleId="6">
    <w:name w:val="footnote text"/>
    <w:basedOn w:val="1"/>
    <w:next w:val="4"/>
    <w:qFormat/>
    <w:uiPriority w:val="0"/>
    <w:pPr>
      <w:snapToGrid w:val="0"/>
      <w:jc w:val="left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TML Sample"/>
    <w:basedOn w:val="10"/>
    <w:qFormat/>
    <w:uiPriority w:val="0"/>
    <w:rPr>
      <w:rFonts w:ascii="Courier New" w:hAnsi="Courier New"/>
    </w:rPr>
  </w:style>
  <w:style w:type="character" w:customStyle="1" w:styleId="13">
    <w:name w:val="font21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394</Characters>
  <Lines>0</Lines>
  <Paragraphs>0</Paragraphs>
  <TotalTime>2</TotalTime>
  <ScaleCrop>false</ScaleCrop>
  <LinksUpToDate>false</LinksUpToDate>
  <CharactersWithSpaces>404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2023-04-26T06:02:00Z</dcterms:created>
  <dc:creator>Administrator</dc:creator>
  <cp:lastModifiedBy>;</cp:lastModifiedBy>
  <dcterms:modified xsi:type="dcterms:W3CDTF">2024-03-25T11:39:18Z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9C07E6B678FA4F51A4669441F4A0290D_13</vt:lpwstr>
  </property>
</Properties>
</file>