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C64C42">
      <w:pPr>
        <w:autoSpaceDE w:val="0"/>
        <w:autoSpaceDN w:val="0"/>
        <w:spacing w:line="360" w:lineRule="auto"/>
        <w:rPr>
          <w:rFonts w:hint="eastAsia" w:ascii="仿宋" w:hAnsi="仿宋" w:eastAsia="仿宋" w:cs="仿宋"/>
          <w:sz w:val="32"/>
          <w:szCs w:val="32"/>
          <w:highlight w:val="none"/>
        </w:rPr>
      </w:pPr>
      <w:r>
        <w:rPr>
          <w:rFonts w:hint="eastAsia" w:ascii="仿宋" w:hAnsi="仿宋" w:eastAsia="仿宋" w:cs="仿宋"/>
          <w:b/>
          <w:bCs/>
          <w:color w:val="000000"/>
          <w:sz w:val="30"/>
          <w:szCs w:val="30"/>
          <w:highlight w:val="none"/>
        </w:rPr>
        <w:t>项目编号：</w:t>
      </w:r>
      <w:r>
        <w:rPr>
          <w:rFonts w:hint="eastAsia" w:ascii="仿宋" w:hAnsi="仿宋" w:eastAsia="仿宋" w:cs="仿宋"/>
          <w:b/>
          <w:bCs/>
          <w:color w:val="000000"/>
          <w:sz w:val="30"/>
          <w:szCs w:val="30"/>
          <w:highlight w:val="none"/>
          <w:lang w:eastAsia="zh-CN"/>
        </w:rPr>
        <w:t>XJFZYCG(GK)-2025-044</w:t>
      </w:r>
      <w:r>
        <w:rPr>
          <w:rFonts w:hint="eastAsia" w:ascii="仿宋" w:hAnsi="仿宋" w:eastAsia="仿宋" w:cs="仿宋"/>
          <w:b/>
          <w:bCs/>
          <w:color w:val="000000"/>
          <w:sz w:val="30"/>
          <w:szCs w:val="30"/>
          <w:highlight w:val="none"/>
          <w:lang w:val="en-US" w:eastAsia="zh-CN"/>
        </w:rPr>
        <w:t xml:space="preserve">                  </w:t>
      </w:r>
      <w:r>
        <w:rPr>
          <w:rFonts w:hint="eastAsia" w:ascii="仿宋" w:hAnsi="仿宋" w:eastAsia="仿宋" w:cs="仿宋"/>
          <w:sz w:val="30"/>
          <w:szCs w:val="30"/>
          <w:highlight w:val="none"/>
        </w:rPr>
        <w:t>【</w:t>
      </w:r>
      <w:r>
        <w:rPr>
          <w:rFonts w:hint="eastAsia" w:ascii="仿宋" w:hAnsi="仿宋" w:eastAsia="仿宋" w:cs="仿宋"/>
          <w:b/>
          <w:bCs/>
          <w:sz w:val="30"/>
          <w:szCs w:val="30"/>
          <w:highlight w:val="none"/>
        </w:rPr>
        <w:t>采购</w:t>
      </w:r>
      <w:r>
        <w:rPr>
          <w:rFonts w:hint="eastAsia" w:ascii="仿宋" w:hAnsi="仿宋" w:eastAsia="仿宋" w:cs="仿宋"/>
          <w:sz w:val="30"/>
          <w:szCs w:val="30"/>
          <w:highlight w:val="none"/>
        </w:rPr>
        <w:t>】</w:t>
      </w:r>
    </w:p>
    <w:p w14:paraId="3A416ACB">
      <w:pPr>
        <w:widowControl/>
        <w:autoSpaceDE w:val="0"/>
        <w:autoSpaceDN w:val="0"/>
        <w:spacing w:line="500" w:lineRule="exact"/>
        <w:ind w:right="-26"/>
        <w:jc w:val="center"/>
        <w:textAlignment w:val="bottom"/>
        <w:rPr>
          <w:rFonts w:hint="eastAsia" w:ascii="仿宋" w:hAnsi="仿宋" w:eastAsia="仿宋" w:cs="仿宋"/>
          <w:b/>
          <w:kern w:val="0"/>
          <w:sz w:val="36"/>
          <w:szCs w:val="36"/>
          <w:highlight w:val="none"/>
          <w:lang w:eastAsia="zh-CN"/>
        </w:rPr>
      </w:pPr>
    </w:p>
    <w:p w14:paraId="0004B810">
      <w:pPr>
        <w:pStyle w:val="4"/>
        <w:jc w:val="center"/>
        <w:rPr>
          <w:rFonts w:hint="eastAsia"/>
          <w:highlight w:val="none"/>
          <w:lang w:val="zh-CN" w:eastAsia="zh-CN"/>
        </w:rPr>
      </w:pPr>
      <w:r>
        <w:rPr>
          <w:rFonts w:hint="eastAsia" w:ascii="仿宋" w:hAnsi="仿宋" w:eastAsia="仿宋" w:cs="仿宋"/>
          <w:b/>
          <w:bCs/>
          <w:sz w:val="44"/>
          <w:szCs w:val="44"/>
          <w:highlight w:val="none"/>
          <w:lang w:val="zh-CN" w:eastAsia="zh-CN"/>
        </w:rPr>
        <w:t>岳普湖县教育系统2025-2026学年中小学、幼儿园西部片区食堂大宗食材采购项目</w:t>
      </w:r>
    </w:p>
    <w:p w14:paraId="7DDC4B30">
      <w:pPr>
        <w:autoSpaceDE w:val="0"/>
        <w:autoSpaceDN w:val="0"/>
        <w:jc w:val="center"/>
        <w:rPr>
          <w:rFonts w:hint="eastAsia" w:ascii="仿宋" w:hAnsi="仿宋" w:eastAsia="仿宋" w:cs="仿宋"/>
          <w:b/>
          <w:bCs/>
          <w:sz w:val="44"/>
          <w:szCs w:val="44"/>
          <w:highlight w:val="none"/>
          <w:lang w:val="zh-CN"/>
        </w:rPr>
      </w:pPr>
      <w:r>
        <w:rPr>
          <w:rFonts w:hint="eastAsia" w:ascii="仿宋" w:hAnsi="仿宋" w:eastAsia="仿宋" w:cs="仿宋"/>
          <w:b/>
          <w:bCs/>
          <w:sz w:val="44"/>
          <w:szCs w:val="44"/>
          <w:highlight w:val="none"/>
          <w:lang w:val="zh-CN"/>
        </w:rPr>
        <w:t>（综合评分</w:t>
      </w:r>
      <w:r>
        <w:rPr>
          <w:rFonts w:hint="eastAsia" w:ascii="仿宋" w:hAnsi="仿宋" w:eastAsia="仿宋" w:cs="仿宋"/>
          <w:b/>
          <w:bCs/>
          <w:kern w:val="0"/>
          <w:sz w:val="44"/>
          <w:szCs w:val="44"/>
          <w:highlight w:val="none"/>
        </w:rPr>
        <w:t>法</w:t>
      </w:r>
      <w:r>
        <w:rPr>
          <w:rFonts w:hint="eastAsia" w:ascii="仿宋" w:hAnsi="仿宋" w:eastAsia="仿宋" w:cs="仿宋"/>
          <w:b/>
          <w:bCs/>
          <w:sz w:val="44"/>
          <w:szCs w:val="44"/>
          <w:highlight w:val="none"/>
          <w:lang w:val="zh-CN"/>
        </w:rPr>
        <w:t>）</w:t>
      </w:r>
    </w:p>
    <w:p w14:paraId="22AD525F">
      <w:pPr>
        <w:widowControl/>
        <w:autoSpaceDE w:val="0"/>
        <w:autoSpaceDN w:val="0"/>
        <w:ind w:right="-26"/>
        <w:textAlignment w:val="bottom"/>
        <w:rPr>
          <w:rFonts w:hint="eastAsia" w:ascii="仿宋" w:hAnsi="仿宋" w:eastAsia="仿宋" w:cs="仿宋"/>
          <w:b/>
          <w:sz w:val="96"/>
          <w:szCs w:val="96"/>
          <w:highlight w:val="none"/>
        </w:rPr>
      </w:pPr>
      <w:r>
        <w:rPr>
          <w:rFonts w:hint="eastAsia" w:ascii="仿宋" w:hAnsi="仿宋" w:eastAsia="仿宋" w:cs="仿宋"/>
          <w:highlight w:val="none"/>
        </w:rPr>
        <mc:AlternateContent>
          <mc:Choice Requires="wps">
            <w:drawing>
              <wp:anchor distT="0" distB="0" distL="114300" distR="114300" simplePos="0" relativeHeight="251663360" behindDoc="0" locked="0" layoutInCell="1" allowOverlap="1">
                <wp:simplePos x="0" y="0"/>
                <wp:positionH relativeFrom="column">
                  <wp:posOffset>-309880</wp:posOffset>
                </wp:positionH>
                <wp:positionV relativeFrom="paragraph">
                  <wp:posOffset>12700</wp:posOffset>
                </wp:positionV>
                <wp:extent cx="6391275" cy="9525"/>
                <wp:effectExtent l="0" t="25400" r="9525" b="41275"/>
                <wp:wrapNone/>
                <wp:docPr id="5" name="直接连接符 2"/>
                <wp:cNvGraphicFramePr/>
                <a:graphic xmlns:a="http://schemas.openxmlformats.org/drawingml/2006/main">
                  <a:graphicData uri="http://schemas.microsoft.com/office/word/2010/wordprocessingShape">
                    <wps:wsp>
                      <wps:cNvCnPr/>
                      <wps:spPr>
                        <a:xfrm>
                          <a:off x="0" y="0"/>
                          <a:ext cx="6391275" cy="9525"/>
                        </a:xfrm>
                        <a:prstGeom prst="line">
                          <a:avLst/>
                        </a:prstGeom>
                        <a:ln w="50800" cap="flat" cmpd="tri">
                          <a:solidFill>
                            <a:srgbClr val="000000"/>
                          </a:solidFill>
                          <a:prstDash val="solid"/>
                          <a:headEnd type="none" w="med" len="med"/>
                          <a:tailEnd type="none" w="med" len="med"/>
                        </a:ln>
                        <a:effectLst/>
                      </wps:spPr>
                      <wps:bodyPr upright="1"/>
                    </wps:wsp>
                  </a:graphicData>
                </a:graphic>
              </wp:anchor>
            </w:drawing>
          </mc:Choice>
          <mc:Fallback>
            <w:pict>
              <v:line id="直接连接符 2" o:spid="_x0000_s1026" o:spt="20" style="position:absolute;left:0pt;margin-left:-24.4pt;margin-top:1pt;height:0.75pt;width:503.25pt;z-index:251663360;mso-width-relative:page;mso-height-relative:page;" filled="f" stroked="t" coordsize="21600,21600" o:gfxdata="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CCNFJtcAAAAHAQAADwAAAAAAAAABACAAAAAiAAAAZHJzL2Rvd25yZXYu&#10;eG1sUEsBAhQAFAAAAAgAh07iQEq0KyD8AQAA9gMAAA4AAAAAAAAAAQAgAAAAJgEAAGRycy9lMm9E&#10;b2MueG1sUEsFBgAAAAAGAAYAWQEAAJQFAAAAAA==&#10;">
                <v:fill on="f" focussize="0,0"/>
                <v:stroke weight="4pt" color="#000000" linestyle="thickBetweenThin" joinstyle="round"/>
                <v:imagedata o:title=""/>
                <o:lock v:ext="edit" aspectratio="f"/>
              </v:line>
            </w:pict>
          </mc:Fallback>
        </mc:AlternateContent>
      </w:r>
    </w:p>
    <w:p w14:paraId="469C752B">
      <w:pPr>
        <w:widowControl/>
        <w:autoSpaceDE w:val="0"/>
        <w:autoSpaceDN w:val="0"/>
        <w:ind w:right="-26"/>
        <w:jc w:val="center"/>
        <w:textAlignment w:val="bottom"/>
        <w:rPr>
          <w:rFonts w:hint="eastAsia" w:ascii="仿宋" w:hAnsi="仿宋" w:eastAsia="仿宋" w:cs="仿宋"/>
          <w:b/>
          <w:sz w:val="96"/>
          <w:szCs w:val="96"/>
          <w:highlight w:val="none"/>
          <w:lang w:eastAsia="zh-CN"/>
        </w:rPr>
      </w:pPr>
      <w:r>
        <w:rPr>
          <w:rFonts w:hint="eastAsia" w:ascii="仿宋" w:hAnsi="仿宋" w:eastAsia="仿宋" w:cs="仿宋"/>
          <w:b/>
          <w:sz w:val="96"/>
          <w:szCs w:val="96"/>
          <w:highlight w:val="none"/>
          <w:lang w:eastAsia="zh-CN"/>
        </w:rPr>
        <w:t>招</w:t>
      </w:r>
    </w:p>
    <w:p w14:paraId="7059A8B7">
      <w:pPr>
        <w:widowControl/>
        <w:autoSpaceDE w:val="0"/>
        <w:autoSpaceDN w:val="0"/>
        <w:ind w:right="-26"/>
        <w:jc w:val="center"/>
        <w:textAlignment w:val="bottom"/>
        <w:rPr>
          <w:rFonts w:hint="eastAsia" w:ascii="仿宋" w:hAnsi="仿宋" w:eastAsia="仿宋" w:cs="仿宋"/>
          <w:b/>
          <w:sz w:val="96"/>
          <w:szCs w:val="96"/>
          <w:highlight w:val="none"/>
          <w:lang w:eastAsia="zh-CN"/>
        </w:rPr>
      </w:pPr>
      <w:r>
        <w:rPr>
          <w:rFonts w:hint="eastAsia" w:ascii="仿宋" w:hAnsi="仿宋" w:eastAsia="仿宋" w:cs="仿宋"/>
          <w:b/>
          <w:sz w:val="96"/>
          <w:szCs w:val="96"/>
          <w:highlight w:val="none"/>
          <w:lang w:eastAsia="zh-CN"/>
        </w:rPr>
        <w:t>标</w:t>
      </w:r>
    </w:p>
    <w:p w14:paraId="6E39332C">
      <w:pPr>
        <w:widowControl/>
        <w:autoSpaceDE w:val="0"/>
        <w:autoSpaceDN w:val="0"/>
        <w:ind w:right="-26"/>
        <w:jc w:val="center"/>
        <w:textAlignment w:val="bottom"/>
        <w:rPr>
          <w:rFonts w:hint="eastAsia" w:ascii="仿宋" w:hAnsi="仿宋" w:eastAsia="仿宋" w:cs="仿宋"/>
          <w:b/>
          <w:sz w:val="96"/>
          <w:szCs w:val="96"/>
          <w:highlight w:val="none"/>
        </w:rPr>
      </w:pPr>
      <w:r>
        <w:rPr>
          <w:rFonts w:hint="eastAsia" w:ascii="仿宋" w:hAnsi="仿宋" w:eastAsia="仿宋" w:cs="仿宋"/>
          <w:b/>
          <w:sz w:val="96"/>
          <w:szCs w:val="96"/>
          <w:highlight w:val="none"/>
        </w:rPr>
        <w:t>文</w:t>
      </w:r>
    </w:p>
    <w:p w14:paraId="794CF8C3">
      <w:pPr>
        <w:widowControl/>
        <w:autoSpaceDE w:val="0"/>
        <w:autoSpaceDN w:val="0"/>
        <w:ind w:right="-26"/>
        <w:jc w:val="center"/>
        <w:textAlignment w:val="bottom"/>
        <w:rPr>
          <w:rFonts w:hint="eastAsia" w:ascii="仿宋" w:hAnsi="仿宋" w:eastAsia="仿宋" w:cs="仿宋"/>
          <w:b/>
          <w:sz w:val="96"/>
          <w:szCs w:val="96"/>
          <w:highlight w:val="none"/>
        </w:rPr>
      </w:pPr>
      <w:r>
        <w:rPr>
          <w:rFonts w:hint="eastAsia" w:ascii="仿宋" w:hAnsi="仿宋" w:eastAsia="仿宋" w:cs="仿宋"/>
          <w:b/>
          <w:sz w:val="96"/>
          <w:szCs w:val="96"/>
          <w:highlight w:val="none"/>
        </w:rPr>
        <w:t>件</w:t>
      </w:r>
    </w:p>
    <w:p w14:paraId="55BCD253">
      <w:pPr>
        <w:widowControl/>
        <w:autoSpaceDE w:val="0"/>
        <w:autoSpaceDN w:val="0"/>
        <w:ind w:right="-26"/>
        <w:textAlignment w:val="bottom"/>
        <w:rPr>
          <w:rFonts w:hint="eastAsia" w:ascii="仿宋" w:hAnsi="仿宋" w:eastAsia="仿宋" w:cs="仿宋"/>
          <w:b/>
          <w:sz w:val="32"/>
          <w:highlight w:val="none"/>
        </w:rPr>
      </w:pPr>
    </w:p>
    <w:p w14:paraId="6DB3DF95">
      <w:pPr>
        <w:pStyle w:val="4"/>
        <w:rPr>
          <w:rFonts w:hint="eastAsia" w:ascii="仿宋" w:hAnsi="仿宋" w:eastAsia="仿宋" w:cs="仿宋"/>
          <w:b/>
          <w:sz w:val="32"/>
          <w:highlight w:val="none"/>
        </w:rPr>
      </w:pPr>
    </w:p>
    <w:p w14:paraId="4E8DCFDE">
      <w:pPr>
        <w:pStyle w:val="9"/>
        <w:rPr>
          <w:rFonts w:hint="eastAsia"/>
          <w:highlight w:val="none"/>
        </w:rPr>
      </w:pPr>
    </w:p>
    <w:p w14:paraId="73938EA2">
      <w:pPr>
        <w:pStyle w:val="4"/>
        <w:spacing w:line="600" w:lineRule="auto"/>
        <w:rPr>
          <w:rFonts w:hint="default" w:ascii="仿宋" w:hAnsi="仿宋" w:eastAsia="仿宋" w:cs="仿宋"/>
          <w:b/>
          <w:sz w:val="32"/>
          <w:szCs w:val="32"/>
          <w:highlight w:val="none"/>
          <w:lang w:val="en-US" w:eastAsia="zh-CN"/>
        </w:rPr>
      </w:pPr>
      <w:r>
        <w:rPr>
          <w:rFonts w:hint="eastAsia" w:ascii="仿宋" w:hAnsi="仿宋" w:eastAsia="仿宋" w:cs="仿宋"/>
          <w:b/>
          <w:sz w:val="32"/>
          <w:szCs w:val="32"/>
          <w:highlight w:val="none"/>
        </w:rPr>
        <w:t>招标人：</w:t>
      </w:r>
      <w:r>
        <w:rPr>
          <w:rFonts w:hint="eastAsia" w:ascii="仿宋" w:hAnsi="仿宋" w:eastAsia="仿宋" w:cs="仿宋"/>
          <w:b/>
          <w:sz w:val="32"/>
          <w:szCs w:val="32"/>
          <w:highlight w:val="none"/>
          <w:lang w:val="en-US" w:eastAsia="zh-CN"/>
        </w:rPr>
        <w:t>岳普湖县教育局</w:t>
      </w:r>
    </w:p>
    <w:p w14:paraId="6306B2EC">
      <w:pPr>
        <w:pStyle w:val="4"/>
        <w:spacing w:line="600" w:lineRule="auto"/>
        <w:rPr>
          <w:rFonts w:hint="eastAsia" w:ascii="仿宋" w:hAnsi="仿宋" w:eastAsia="仿宋" w:cs="仿宋"/>
          <w:sz w:val="32"/>
          <w:szCs w:val="32"/>
          <w:highlight w:val="none"/>
        </w:rPr>
      </w:pPr>
      <w:r>
        <w:rPr>
          <w:rFonts w:hint="eastAsia" w:ascii="仿宋" w:hAnsi="仿宋" w:eastAsia="仿宋" w:cs="仿宋"/>
          <w:b/>
          <w:sz w:val="32"/>
          <w:szCs w:val="32"/>
          <w:highlight w:val="none"/>
        </w:rPr>
        <w:t>代理机构：新疆方中圆工程项目管理有限公司</w:t>
      </w:r>
    </w:p>
    <w:p w14:paraId="0B2E4652">
      <w:pPr>
        <w:spacing w:line="240" w:lineRule="atLeast"/>
        <w:ind w:left="1079" w:leftChars="257" w:hanging="540"/>
        <w:jc w:val="center"/>
        <w:rPr>
          <w:rFonts w:hint="eastAsia" w:ascii="仿宋" w:hAnsi="仿宋" w:eastAsia="仿宋" w:cs="仿宋"/>
          <w:b/>
          <w:bCs w:val="0"/>
          <w:sz w:val="36"/>
          <w:szCs w:val="36"/>
          <w:highlight w:val="none"/>
          <w:lang w:eastAsia="zh-CN"/>
        </w:rPr>
      </w:pPr>
    </w:p>
    <w:p w14:paraId="00A8881A">
      <w:pPr>
        <w:spacing w:line="240" w:lineRule="atLeast"/>
        <w:ind w:left="1079" w:leftChars="257" w:hanging="540"/>
        <w:jc w:val="center"/>
        <w:rPr>
          <w:rFonts w:hint="eastAsia" w:ascii="仿宋_GB2312" w:eastAsia="仿宋_GB2312"/>
          <w:b/>
          <w:sz w:val="30"/>
          <w:szCs w:val="30"/>
          <w:highlight w:val="none"/>
          <w:lang w:eastAsia="zh-CN"/>
        </w:rPr>
      </w:pPr>
    </w:p>
    <w:p w14:paraId="3BFAD467">
      <w:pPr>
        <w:pStyle w:val="4"/>
        <w:jc w:val="center"/>
        <w:rPr>
          <w:rFonts w:hint="eastAsia"/>
          <w:highlight w:val="none"/>
        </w:rPr>
      </w:pPr>
      <w:r>
        <w:rPr>
          <w:rFonts w:hint="eastAsia" w:ascii="仿宋" w:hAnsi="仿宋" w:eastAsia="仿宋" w:cs="仿宋"/>
          <w:b/>
          <w:bCs/>
          <w:sz w:val="44"/>
          <w:szCs w:val="44"/>
          <w:highlight w:val="none"/>
          <w:lang w:val="zh-CN" w:eastAsia="zh-CN"/>
        </w:rPr>
        <w:t>岳普湖县教育系统2025-2026学年中小学、幼儿园西部片区食堂大宗食材采购项目</w:t>
      </w:r>
    </w:p>
    <w:p w14:paraId="6C17887A">
      <w:pPr>
        <w:spacing w:line="240" w:lineRule="atLeast"/>
        <w:ind w:left="1079" w:leftChars="257" w:hanging="540"/>
        <w:jc w:val="center"/>
        <w:rPr>
          <w:rFonts w:hint="eastAsia" w:ascii="华文中宋" w:hAnsi="华文中宋" w:eastAsia="华文中宋" w:cs="华文中宋"/>
          <w:b/>
          <w:sz w:val="36"/>
          <w:szCs w:val="36"/>
          <w:highlight w:val="none"/>
          <w:lang w:val="en-US" w:eastAsia="zh-CN"/>
        </w:rPr>
      </w:pPr>
    </w:p>
    <w:p w14:paraId="304786E8">
      <w:pPr>
        <w:spacing w:line="240" w:lineRule="atLeast"/>
        <w:ind w:left="1079" w:leftChars="257" w:hanging="540"/>
        <w:jc w:val="center"/>
        <w:rPr>
          <w:rFonts w:hint="eastAsia" w:ascii="宋体" w:hAnsi="宋体"/>
          <w:b/>
          <w:sz w:val="36"/>
          <w:szCs w:val="36"/>
          <w:highlight w:val="none"/>
        </w:rPr>
      </w:pPr>
      <w:r>
        <w:rPr>
          <w:rFonts w:hint="eastAsia" w:ascii="华文中宋" w:hAnsi="华文中宋" w:eastAsia="华文中宋" w:cs="华文中宋"/>
          <w:b/>
          <w:sz w:val="36"/>
          <w:szCs w:val="36"/>
          <w:highlight w:val="none"/>
          <w:lang w:val="en-US" w:eastAsia="zh-CN"/>
        </w:rPr>
        <w:t>招标文件</w:t>
      </w:r>
    </w:p>
    <w:p w14:paraId="124A39E8">
      <w:pPr>
        <w:spacing w:line="240" w:lineRule="atLeast"/>
        <w:ind w:firstLine="1500" w:firstLineChars="500"/>
        <w:rPr>
          <w:rFonts w:hint="eastAsia" w:ascii="宋体" w:hAnsi="宋体"/>
          <w:b/>
          <w:sz w:val="30"/>
          <w:szCs w:val="30"/>
          <w:highlight w:val="none"/>
        </w:rPr>
      </w:pPr>
    </w:p>
    <w:p w14:paraId="47DF680E">
      <w:pPr>
        <w:spacing w:line="240" w:lineRule="atLeast"/>
        <w:ind w:firstLine="1500" w:firstLineChars="500"/>
        <w:rPr>
          <w:rFonts w:hint="eastAsia" w:ascii="宋体" w:hAnsi="宋体"/>
          <w:b/>
          <w:sz w:val="30"/>
          <w:szCs w:val="30"/>
          <w:highlight w:val="none"/>
        </w:rPr>
      </w:pPr>
      <w:r>
        <w:rPr>
          <w:rFonts w:hint="eastAsia" w:ascii="宋体" w:hAnsi="宋体"/>
          <w:b/>
          <w:sz w:val="30"/>
          <w:szCs w:val="30"/>
          <w:highlight w:val="none"/>
        </w:rPr>
        <w:t>（项目编号：</w:t>
      </w:r>
      <w:r>
        <w:rPr>
          <w:rFonts w:hint="eastAsia" w:ascii="宋体" w:hAnsi="宋体"/>
          <w:b/>
          <w:sz w:val="30"/>
          <w:szCs w:val="30"/>
          <w:highlight w:val="none"/>
          <w:lang w:eastAsia="zh-CN"/>
        </w:rPr>
        <w:t>XJFZYCG(GK)-2025-044</w:t>
      </w:r>
      <w:r>
        <w:rPr>
          <w:rFonts w:hint="eastAsia" w:ascii="宋体" w:hAnsi="宋体"/>
          <w:b/>
          <w:sz w:val="30"/>
          <w:szCs w:val="30"/>
          <w:highlight w:val="none"/>
        </w:rPr>
        <w:t>）</w:t>
      </w:r>
    </w:p>
    <w:p w14:paraId="3E9ECF89">
      <w:pPr>
        <w:spacing w:line="240" w:lineRule="atLeast"/>
        <w:ind w:left="1079" w:leftChars="257" w:hanging="540"/>
        <w:rPr>
          <w:rFonts w:hint="eastAsia" w:ascii="仿宋_GB2312" w:eastAsia="仿宋_GB2312"/>
          <w:b/>
          <w:sz w:val="28"/>
          <w:highlight w:val="none"/>
        </w:rPr>
      </w:pPr>
    </w:p>
    <w:p w14:paraId="7D0C8A39">
      <w:pPr>
        <w:spacing w:line="240" w:lineRule="atLeast"/>
        <w:ind w:left="1079" w:leftChars="257" w:hanging="540"/>
        <w:jc w:val="center"/>
        <w:rPr>
          <w:rFonts w:hint="eastAsia" w:ascii="仿宋_GB2312" w:eastAsia="仿宋_GB2312"/>
          <w:b/>
          <w:sz w:val="52"/>
          <w:highlight w:val="none"/>
        </w:rPr>
      </w:pPr>
    </w:p>
    <w:p w14:paraId="673FC560">
      <w:pPr>
        <w:spacing w:line="240" w:lineRule="atLeast"/>
        <w:ind w:left="1079" w:leftChars="257" w:hanging="540"/>
        <w:jc w:val="center"/>
        <w:rPr>
          <w:rFonts w:hint="eastAsia" w:ascii="仿宋_GB2312" w:eastAsia="仿宋_GB2312"/>
          <w:b/>
          <w:sz w:val="52"/>
          <w:highlight w:val="none"/>
        </w:rPr>
      </w:pPr>
    </w:p>
    <w:p w14:paraId="1E635065">
      <w:pPr>
        <w:pStyle w:val="26"/>
        <w:rPr>
          <w:rFonts w:hint="eastAsia"/>
          <w:highlight w:val="none"/>
        </w:rPr>
      </w:pPr>
    </w:p>
    <w:p w14:paraId="42920BCB">
      <w:pPr>
        <w:pStyle w:val="26"/>
        <w:rPr>
          <w:rFonts w:hint="eastAsia"/>
          <w:highlight w:val="none"/>
        </w:rPr>
      </w:pPr>
    </w:p>
    <w:p w14:paraId="2A5DB9B8">
      <w:pPr>
        <w:pStyle w:val="26"/>
        <w:rPr>
          <w:rFonts w:hint="eastAsia"/>
          <w:highlight w:val="none"/>
        </w:rPr>
      </w:pPr>
    </w:p>
    <w:p w14:paraId="0DA1D65C">
      <w:pPr>
        <w:spacing w:line="600" w:lineRule="auto"/>
        <w:rPr>
          <w:rFonts w:hint="eastAsia" w:ascii="仿宋" w:hAnsi="仿宋" w:eastAsia="仿宋" w:cs="仿宋"/>
          <w:b/>
          <w:bCs/>
          <w:sz w:val="30"/>
          <w:szCs w:val="30"/>
          <w:highlight w:val="none"/>
          <w:u w:val="single"/>
          <w:lang w:eastAsia="zh-CN"/>
        </w:rPr>
      </w:pPr>
      <w:r>
        <w:rPr>
          <w:rFonts w:hint="eastAsia" w:ascii="仿宋" w:hAnsi="仿宋" w:eastAsia="仿宋" w:cs="仿宋"/>
          <w:b/>
          <w:bCs/>
          <w:sz w:val="30"/>
          <w:szCs w:val="30"/>
          <w:highlight w:val="none"/>
        </w:rPr>
        <w:t>招</w:t>
      </w:r>
      <w:r>
        <w:rPr>
          <w:rFonts w:hint="eastAsia" w:ascii="仿宋" w:hAnsi="仿宋" w:eastAsia="仿宋" w:cs="仿宋"/>
          <w:b/>
          <w:bCs/>
          <w:sz w:val="30"/>
          <w:szCs w:val="30"/>
          <w:highlight w:val="none"/>
          <w:lang w:val="en-US" w:eastAsia="zh-CN"/>
        </w:rPr>
        <w:t xml:space="preserve">   </w:t>
      </w:r>
      <w:r>
        <w:rPr>
          <w:rFonts w:hint="eastAsia" w:ascii="仿宋" w:hAnsi="仿宋" w:eastAsia="仿宋" w:cs="仿宋"/>
          <w:b/>
          <w:bCs/>
          <w:sz w:val="30"/>
          <w:szCs w:val="30"/>
          <w:highlight w:val="none"/>
        </w:rPr>
        <w:t>标</w:t>
      </w:r>
      <w:r>
        <w:rPr>
          <w:rFonts w:hint="eastAsia" w:ascii="仿宋" w:hAnsi="仿宋" w:eastAsia="仿宋" w:cs="仿宋"/>
          <w:b/>
          <w:bCs/>
          <w:sz w:val="30"/>
          <w:szCs w:val="30"/>
          <w:highlight w:val="none"/>
          <w:lang w:val="en-US" w:eastAsia="zh-CN"/>
        </w:rPr>
        <w:t xml:space="preserve">   </w:t>
      </w:r>
      <w:r>
        <w:rPr>
          <w:rFonts w:hint="eastAsia" w:ascii="仿宋" w:hAnsi="仿宋" w:eastAsia="仿宋" w:cs="仿宋"/>
          <w:b/>
          <w:bCs/>
          <w:sz w:val="30"/>
          <w:szCs w:val="30"/>
          <w:highlight w:val="none"/>
        </w:rPr>
        <w:t>人：</w:t>
      </w:r>
      <w:r>
        <w:rPr>
          <w:rFonts w:hint="eastAsia" w:ascii="仿宋" w:hAnsi="仿宋" w:eastAsia="仿宋" w:cs="仿宋"/>
          <w:b/>
          <w:bCs/>
          <w:sz w:val="30"/>
          <w:szCs w:val="30"/>
          <w:highlight w:val="none"/>
          <w:u w:val="single"/>
          <w:lang w:val="en-US" w:eastAsia="zh-CN"/>
        </w:rPr>
        <w:t>岳普湖县教育局</w:t>
      </w:r>
    </w:p>
    <w:p w14:paraId="1676C1F2">
      <w:pPr>
        <w:spacing w:line="600" w:lineRule="auto"/>
        <w:jc w:val="left"/>
        <w:rPr>
          <w:rFonts w:hint="eastAsia" w:ascii="仿宋" w:hAnsi="仿宋" w:eastAsia="仿宋" w:cs="仿宋"/>
          <w:b/>
          <w:bCs/>
          <w:sz w:val="30"/>
          <w:szCs w:val="30"/>
          <w:highlight w:val="none"/>
          <w:u w:val="single"/>
          <w:lang w:eastAsia="zh-CN"/>
        </w:rPr>
      </w:pPr>
      <w:r>
        <w:rPr>
          <w:rFonts w:hint="eastAsia" w:ascii="仿宋" w:hAnsi="仿宋" w:eastAsia="仿宋" w:cs="仿宋"/>
          <w:b/>
          <w:bCs/>
          <w:sz w:val="30"/>
          <w:szCs w:val="30"/>
          <w:highlight w:val="none"/>
        </w:rPr>
        <w:t>采购代理机构：</w:t>
      </w:r>
      <w:r>
        <w:rPr>
          <w:rFonts w:hint="eastAsia" w:ascii="仿宋" w:hAnsi="仿宋" w:eastAsia="仿宋" w:cs="仿宋"/>
          <w:b/>
          <w:bCs/>
          <w:sz w:val="30"/>
          <w:szCs w:val="30"/>
          <w:highlight w:val="none"/>
          <w:u w:val="single"/>
        </w:rPr>
        <w:t>新疆方中圆工程项目管理有限公司</w:t>
      </w:r>
    </w:p>
    <w:p w14:paraId="58D4D239">
      <w:pPr>
        <w:spacing w:line="600" w:lineRule="auto"/>
        <w:ind w:left="2096" w:hanging="2088" w:hangingChars="696"/>
        <w:rPr>
          <w:rFonts w:hint="eastAsia" w:ascii="仿宋" w:hAnsi="仿宋" w:eastAsia="仿宋" w:cs="仿宋"/>
          <w:b/>
          <w:bCs/>
          <w:sz w:val="30"/>
          <w:szCs w:val="30"/>
          <w:highlight w:val="none"/>
          <w:u w:val="single"/>
          <w:lang w:val="en-US" w:eastAsia="zh-CN"/>
        </w:rPr>
      </w:pPr>
      <w:r>
        <w:rPr>
          <w:rFonts w:hint="eastAsia" w:ascii="仿宋" w:hAnsi="仿宋" w:eastAsia="仿宋" w:cs="仿宋"/>
          <w:b/>
          <w:bCs/>
          <w:sz w:val="30"/>
          <w:szCs w:val="30"/>
          <w:highlight w:val="none"/>
        </w:rPr>
        <w:t>代理机构地址：</w:t>
      </w:r>
      <w:r>
        <w:rPr>
          <w:rFonts w:hint="eastAsia" w:ascii="仿宋" w:hAnsi="仿宋" w:eastAsia="仿宋" w:cs="仿宋"/>
          <w:b/>
          <w:bCs/>
          <w:sz w:val="30"/>
          <w:szCs w:val="30"/>
          <w:highlight w:val="none"/>
          <w:u w:val="single"/>
        </w:rPr>
        <w:t>新疆喀什地区喀什经济开发区深喀大道总部经济区浙商大厦14楼</w:t>
      </w:r>
    </w:p>
    <w:p w14:paraId="182145C6">
      <w:pPr>
        <w:spacing w:line="600" w:lineRule="auto"/>
        <w:rPr>
          <w:rFonts w:hint="eastAsia" w:ascii="仿宋" w:hAnsi="仿宋" w:eastAsia="仿宋" w:cs="仿宋"/>
          <w:b/>
          <w:bCs/>
          <w:sz w:val="30"/>
          <w:szCs w:val="30"/>
          <w:highlight w:val="none"/>
          <w:u w:val="single"/>
          <w:lang w:eastAsia="zh-CN"/>
        </w:rPr>
      </w:pPr>
      <w:r>
        <w:rPr>
          <w:rFonts w:hint="eastAsia" w:ascii="仿宋" w:hAnsi="仿宋" w:eastAsia="仿宋" w:cs="仿宋"/>
          <w:b/>
          <w:bCs/>
          <w:sz w:val="30"/>
          <w:szCs w:val="30"/>
          <w:highlight w:val="none"/>
        </w:rPr>
        <w:t>联</w:t>
      </w:r>
      <w:r>
        <w:rPr>
          <w:rFonts w:hint="eastAsia" w:ascii="仿宋" w:hAnsi="仿宋" w:eastAsia="仿宋" w:cs="仿宋"/>
          <w:b/>
          <w:bCs/>
          <w:sz w:val="30"/>
          <w:szCs w:val="30"/>
          <w:highlight w:val="none"/>
          <w:lang w:val="en-US" w:eastAsia="zh-CN"/>
        </w:rPr>
        <w:t xml:space="preserve">   </w:t>
      </w:r>
      <w:r>
        <w:rPr>
          <w:rFonts w:hint="eastAsia" w:ascii="仿宋" w:hAnsi="仿宋" w:eastAsia="仿宋" w:cs="仿宋"/>
          <w:b/>
          <w:bCs/>
          <w:sz w:val="30"/>
          <w:szCs w:val="30"/>
          <w:highlight w:val="none"/>
        </w:rPr>
        <w:t>系</w:t>
      </w:r>
      <w:r>
        <w:rPr>
          <w:rFonts w:hint="eastAsia" w:ascii="仿宋" w:hAnsi="仿宋" w:eastAsia="仿宋" w:cs="仿宋"/>
          <w:b/>
          <w:bCs/>
          <w:sz w:val="30"/>
          <w:szCs w:val="30"/>
          <w:highlight w:val="none"/>
          <w:lang w:val="en-US" w:eastAsia="zh-CN"/>
        </w:rPr>
        <w:t xml:space="preserve">   </w:t>
      </w:r>
      <w:r>
        <w:rPr>
          <w:rFonts w:hint="eastAsia" w:ascii="仿宋" w:hAnsi="仿宋" w:eastAsia="仿宋" w:cs="仿宋"/>
          <w:b/>
          <w:bCs/>
          <w:sz w:val="30"/>
          <w:szCs w:val="30"/>
          <w:highlight w:val="none"/>
        </w:rPr>
        <w:t>人：</w:t>
      </w:r>
      <w:r>
        <w:rPr>
          <w:rFonts w:hint="eastAsia" w:ascii="仿宋" w:hAnsi="仿宋" w:eastAsia="仿宋" w:cs="仿宋"/>
          <w:b/>
          <w:bCs/>
          <w:sz w:val="30"/>
          <w:szCs w:val="30"/>
          <w:highlight w:val="none"/>
          <w:u w:val="single"/>
          <w:lang w:val="en-US" w:eastAsia="zh-CN"/>
        </w:rPr>
        <w:t>李静</w:t>
      </w:r>
    </w:p>
    <w:p w14:paraId="26B75AB6">
      <w:pPr>
        <w:spacing w:line="600" w:lineRule="auto"/>
        <w:jc w:val="both"/>
        <w:rPr>
          <w:rFonts w:hint="eastAsia" w:ascii="宋体" w:hAnsi="宋体" w:eastAsia="仿宋" w:cs="宋体"/>
          <w:b/>
          <w:sz w:val="32"/>
          <w:szCs w:val="32"/>
          <w:highlight w:val="none"/>
          <w:lang w:eastAsia="zh-CN"/>
        </w:rPr>
      </w:pPr>
      <w:r>
        <w:rPr>
          <w:rFonts w:hint="eastAsia" w:ascii="仿宋" w:hAnsi="仿宋" w:eastAsia="仿宋" w:cs="仿宋"/>
          <w:b/>
          <w:bCs/>
          <w:sz w:val="30"/>
          <w:szCs w:val="30"/>
          <w:highlight w:val="none"/>
        </w:rPr>
        <w:t>联</w:t>
      </w:r>
      <w:r>
        <w:rPr>
          <w:rFonts w:hint="eastAsia" w:ascii="仿宋" w:hAnsi="仿宋" w:eastAsia="仿宋" w:cs="仿宋"/>
          <w:b/>
          <w:bCs/>
          <w:sz w:val="30"/>
          <w:szCs w:val="30"/>
          <w:highlight w:val="none"/>
          <w:lang w:val="en-US" w:eastAsia="zh-CN"/>
        </w:rPr>
        <w:t xml:space="preserve"> </w:t>
      </w:r>
      <w:r>
        <w:rPr>
          <w:rFonts w:hint="eastAsia" w:ascii="仿宋" w:hAnsi="仿宋" w:eastAsia="仿宋" w:cs="仿宋"/>
          <w:b/>
          <w:bCs/>
          <w:sz w:val="30"/>
          <w:szCs w:val="30"/>
          <w:highlight w:val="none"/>
        </w:rPr>
        <w:t>系</w:t>
      </w:r>
      <w:r>
        <w:rPr>
          <w:rFonts w:hint="eastAsia" w:ascii="仿宋" w:hAnsi="仿宋" w:eastAsia="仿宋" w:cs="仿宋"/>
          <w:b/>
          <w:bCs/>
          <w:sz w:val="30"/>
          <w:szCs w:val="30"/>
          <w:highlight w:val="none"/>
          <w:lang w:val="en-US" w:eastAsia="zh-CN"/>
        </w:rPr>
        <w:t xml:space="preserve"> </w:t>
      </w:r>
      <w:r>
        <w:rPr>
          <w:rFonts w:hint="eastAsia" w:ascii="仿宋" w:hAnsi="仿宋" w:eastAsia="仿宋" w:cs="仿宋"/>
          <w:b/>
          <w:bCs/>
          <w:sz w:val="30"/>
          <w:szCs w:val="30"/>
          <w:highlight w:val="none"/>
        </w:rPr>
        <w:t>电</w:t>
      </w:r>
      <w:r>
        <w:rPr>
          <w:rFonts w:hint="eastAsia" w:ascii="仿宋" w:hAnsi="仿宋" w:eastAsia="仿宋" w:cs="仿宋"/>
          <w:b/>
          <w:bCs/>
          <w:sz w:val="30"/>
          <w:szCs w:val="30"/>
          <w:highlight w:val="none"/>
          <w:lang w:val="en-US" w:eastAsia="zh-CN"/>
        </w:rPr>
        <w:t xml:space="preserve"> </w:t>
      </w:r>
      <w:r>
        <w:rPr>
          <w:rFonts w:hint="eastAsia" w:ascii="仿宋" w:hAnsi="仿宋" w:eastAsia="仿宋" w:cs="仿宋"/>
          <w:b/>
          <w:bCs/>
          <w:sz w:val="30"/>
          <w:szCs w:val="30"/>
          <w:highlight w:val="none"/>
        </w:rPr>
        <w:t>话：</w:t>
      </w:r>
      <w:r>
        <w:rPr>
          <w:rFonts w:hint="eastAsia" w:ascii="仿宋" w:hAnsi="仿宋" w:eastAsia="仿宋" w:cs="仿宋"/>
          <w:b/>
          <w:bCs/>
          <w:sz w:val="30"/>
          <w:szCs w:val="30"/>
          <w:highlight w:val="none"/>
          <w:u w:val="single"/>
          <w:lang w:val="en-US" w:eastAsia="zh-CN"/>
        </w:rPr>
        <w:t>18399127016</w:t>
      </w:r>
    </w:p>
    <w:p w14:paraId="03E0936D">
      <w:pPr>
        <w:pStyle w:val="5"/>
        <w:spacing w:line="600" w:lineRule="auto"/>
        <w:rPr>
          <w:rFonts w:hint="eastAsia"/>
          <w:highlight w:val="none"/>
        </w:rPr>
      </w:pPr>
      <w:r>
        <w:rPr>
          <w:rFonts w:hint="eastAsia"/>
          <w:highlight w:val="none"/>
        </w:rPr>
        <w:br w:type="page"/>
      </w:r>
    </w:p>
    <w:p w14:paraId="13E2443B">
      <w:pPr>
        <w:spacing w:line="240" w:lineRule="atLeast"/>
        <w:jc w:val="center"/>
        <w:rPr>
          <w:rFonts w:hint="eastAsia" w:ascii="仿宋_GB2312" w:eastAsia="仿宋_GB2312"/>
          <w:b/>
          <w:sz w:val="32"/>
          <w:highlight w:val="none"/>
        </w:rPr>
      </w:pPr>
      <w:r>
        <w:rPr>
          <w:rFonts w:hint="eastAsia" w:ascii="宋体" w:hAnsi="宋体" w:eastAsia="宋体" w:cs="宋体"/>
          <w:b/>
          <w:sz w:val="32"/>
          <w:szCs w:val="32"/>
          <w:highlight w:val="none"/>
        </w:rPr>
        <w:t>目录</w:t>
      </w:r>
    </w:p>
    <w:p w14:paraId="2A7C974F">
      <w:pPr>
        <w:pStyle w:val="22"/>
        <w:tabs>
          <w:tab w:val="right" w:leader="dot" w:pos="8312"/>
        </w:tabs>
      </w:pPr>
      <w:r>
        <w:rPr>
          <w:rFonts w:ascii="宋体" w:hAnsi="宋体" w:cs="宋体"/>
          <w:kern w:val="0"/>
          <w:szCs w:val="21"/>
          <w:highlight w:val="none"/>
        </w:rPr>
        <w:fldChar w:fldCharType="begin"/>
      </w:r>
      <w:r>
        <w:rPr>
          <w:rFonts w:ascii="宋体" w:hAnsi="宋体" w:cs="宋体"/>
          <w:kern w:val="0"/>
          <w:szCs w:val="21"/>
          <w:highlight w:val="none"/>
        </w:rPr>
        <w:instrText xml:space="preserve"> TOC \o "1-3" \h \z \u </w:instrText>
      </w:r>
      <w:r>
        <w:rPr>
          <w:rFonts w:ascii="宋体" w:hAnsi="宋体" w:cs="宋体"/>
          <w:kern w:val="0"/>
          <w:szCs w:val="21"/>
          <w:highlight w:val="none"/>
        </w:rPr>
        <w:fldChar w:fldCharType="separate"/>
      </w:r>
      <w:r>
        <w:rPr>
          <w:rFonts w:ascii="宋体" w:hAnsi="宋体" w:cs="宋体"/>
          <w:kern w:val="0"/>
          <w:szCs w:val="21"/>
          <w:highlight w:val="none"/>
        </w:rPr>
        <w:fldChar w:fldCharType="begin"/>
      </w:r>
      <w:r>
        <w:rPr>
          <w:rFonts w:ascii="宋体" w:hAnsi="宋体" w:cs="宋体"/>
          <w:kern w:val="0"/>
          <w:szCs w:val="21"/>
          <w:highlight w:val="none"/>
        </w:rPr>
        <w:instrText xml:space="preserve"> HYPERLINK \l _Toc25082 </w:instrText>
      </w:r>
      <w:r>
        <w:rPr>
          <w:rFonts w:ascii="宋体" w:hAnsi="宋体" w:cs="宋体"/>
          <w:kern w:val="0"/>
          <w:szCs w:val="21"/>
          <w:highlight w:val="none"/>
        </w:rPr>
        <w:fldChar w:fldCharType="separate"/>
      </w:r>
      <w:r>
        <w:rPr>
          <w:rFonts w:hint="default" w:ascii="仿宋_GB2312" w:eastAsia="仿宋_GB2312"/>
          <w:lang w:val="en-US"/>
        </w:rPr>
        <w:t>第1章</w:t>
      </w:r>
      <w:r>
        <w:rPr>
          <w:rFonts w:hint="eastAsia" w:ascii="仿宋_GB2312" w:eastAsia="仿宋_GB2312"/>
          <w:highlight w:val="none"/>
        </w:rPr>
        <w:t>投标人须知</w:t>
      </w:r>
      <w:r>
        <w:tab/>
      </w:r>
      <w:r>
        <w:fldChar w:fldCharType="begin"/>
      </w:r>
      <w:r>
        <w:instrText xml:space="preserve"> PAGEREF _Toc25082 \h </w:instrText>
      </w:r>
      <w:r>
        <w:fldChar w:fldCharType="separate"/>
      </w:r>
      <w:r>
        <w:t>4</w:t>
      </w:r>
      <w:r>
        <w:fldChar w:fldCharType="end"/>
      </w:r>
      <w:r>
        <w:rPr>
          <w:rFonts w:ascii="宋体" w:hAnsi="宋体" w:cs="宋体"/>
          <w:kern w:val="0"/>
          <w:szCs w:val="21"/>
          <w:highlight w:val="none"/>
        </w:rPr>
        <w:fldChar w:fldCharType="end"/>
      </w:r>
    </w:p>
    <w:p w14:paraId="24136C63">
      <w:pPr>
        <w:pStyle w:val="29"/>
        <w:tabs>
          <w:tab w:val="right" w:leader="dot" w:pos="8312"/>
        </w:tabs>
      </w:pPr>
      <w:r>
        <w:rPr>
          <w:rFonts w:hAnsi="宋体" w:cs="宋体"/>
          <w:kern w:val="0"/>
          <w:szCs w:val="21"/>
          <w:highlight w:val="none"/>
        </w:rPr>
        <w:fldChar w:fldCharType="begin"/>
      </w:r>
      <w:r>
        <w:rPr>
          <w:rFonts w:hAnsi="宋体" w:cs="宋体"/>
          <w:kern w:val="0"/>
          <w:szCs w:val="21"/>
          <w:highlight w:val="none"/>
        </w:rPr>
        <w:instrText xml:space="preserve"> HYPERLINK \l _Toc21330 </w:instrText>
      </w:r>
      <w:r>
        <w:rPr>
          <w:rFonts w:hAnsi="宋体" w:cs="宋体"/>
          <w:kern w:val="0"/>
          <w:szCs w:val="21"/>
          <w:highlight w:val="none"/>
        </w:rPr>
        <w:fldChar w:fldCharType="separate"/>
      </w:r>
      <w:r>
        <w:rPr>
          <w:rFonts w:hint="eastAsia" w:ascii="仿宋_GB2312" w:hAnsi="宋体" w:eastAsia="仿宋_GB2312"/>
          <w:highlight w:val="none"/>
        </w:rPr>
        <w:t>一总则</w:t>
      </w:r>
      <w:r>
        <w:tab/>
      </w:r>
      <w:r>
        <w:fldChar w:fldCharType="begin"/>
      </w:r>
      <w:r>
        <w:instrText xml:space="preserve"> PAGEREF _Toc21330 \h </w:instrText>
      </w:r>
      <w:r>
        <w:fldChar w:fldCharType="separate"/>
      </w:r>
      <w:r>
        <w:t>4</w:t>
      </w:r>
      <w:r>
        <w:fldChar w:fldCharType="end"/>
      </w:r>
      <w:r>
        <w:rPr>
          <w:rFonts w:hAnsi="宋体" w:cs="宋体"/>
          <w:kern w:val="0"/>
          <w:szCs w:val="21"/>
          <w:highlight w:val="none"/>
        </w:rPr>
        <w:fldChar w:fldCharType="end"/>
      </w:r>
    </w:p>
    <w:p w14:paraId="6DEC4511">
      <w:pPr>
        <w:pStyle w:val="14"/>
        <w:tabs>
          <w:tab w:val="right" w:leader="dot" w:pos="8312"/>
          <w:tab w:val="clear" w:pos="1260"/>
          <w:tab w:val="clear" w:pos="8630"/>
        </w:tabs>
      </w:pPr>
      <w:r>
        <w:rPr>
          <w:rFonts w:hAnsi="宋体" w:cs="宋体"/>
          <w:kern w:val="0"/>
          <w:szCs w:val="21"/>
          <w:highlight w:val="none"/>
        </w:rPr>
        <w:fldChar w:fldCharType="begin"/>
      </w:r>
      <w:r>
        <w:rPr>
          <w:rFonts w:hAnsi="宋体" w:cs="宋体"/>
          <w:kern w:val="0"/>
          <w:szCs w:val="21"/>
          <w:highlight w:val="none"/>
        </w:rPr>
        <w:instrText xml:space="preserve"> HYPERLINK \l _Toc13892 </w:instrText>
      </w:r>
      <w:r>
        <w:rPr>
          <w:rFonts w:hAnsi="宋体" w:cs="宋体"/>
          <w:kern w:val="0"/>
          <w:szCs w:val="21"/>
          <w:highlight w:val="none"/>
        </w:rPr>
        <w:fldChar w:fldCharType="separate"/>
      </w:r>
      <w:r>
        <w:rPr>
          <w:rFonts w:hint="eastAsia" w:ascii="仿宋_GB2312" w:hAnsi="宋体" w:eastAsia="仿宋_GB2312"/>
          <w:highlight w:val="none"/>
        </w:rPr>
        <w:t>1.采购人、采购</w:t>
      </w:r>
      <w:r>
        <w:rPr>
          <w:rFonts w:ascii="仿宋_GB2312" w:hAnsi="宋体" w:eastAsia="仿宋_GB2312"/>
          <w:highlight w:val="none"/>
        </w:rPr>
        <w:t>代理机构</w:t>
      </w:r>
      <w:r>
        <w:rPr>
          <w:rFonts w:hint="eastAsia" w:ascii="仿宋_GB2312" w:hAnsi="宋体" w:eastAsia="仿宋_GB2312"/>
          <w:highlight w:val="none"/>
        </w:rPr>
        <w:t>及投标人</w:t>
      </w:r>
      <w:r>
        <w:tab/>
      </w:r>
      <w:r>
        <w:fldChar w:fldCharType="begin"/>
      </w:r>
      <w:r>
        <w:instrText xml:space="preserve"> PAGEREF _Toc13892 \h </w:instrText>
      </w:r>
      <w:r>
        <w:fldChar w:fldCharType="separate"/>
      </w:r>
      <w:r>
        <w:t>4</w:t>
      </w:r>
      <w:r>
        <w:fldChar w:fldCharType="end"/>
      </w:r>
      <w:r>
        <w:rPr>
          <w:rFonts w:hAnsi="宋体" w:cs="宋体"/>
          <w:kern w:val="0"/>
          <w:szCs w:val="21"/>
          <w:highlight w:val="none"/>
        </w:rPr>
        <w:fldChar w:fldCharType="end"/>
      </w:r>
    </w:p>
    <w:p w14:paraId="7DFE0963">
      <w:pPr>
        <w:pStyle w:val="14"/>
        <w:tabs>
          <w:tab w:val="right" w:leader="dot" w:pos="8312"/>
          <w:tab w:val="clear" w:pos="1260"/>
          <w:tab w:val="clear" w:pos="8630"/>
        </w:tabs>
      </w:pPr>
      <w:r>
        <w:rPr>
          <w:rFonts w:hAnsi="宋体" w:cs="宋体"/>
          <w:kern w:val="0"/>
          <w:szCs w:val="21"/>
          <w:highlight w:val="none"/>
        </w:rPr>
        <w:fldChar w:fldCharType="begin"/>
      </w:r>
      <w:r>
        <w:rPr>
          <w:rFonts w:hAnsi="宋体" w:cs="宋体"/>
          <w:kern w:val="0"/>
          <w:szCs w:val="21"/>
          <w:highlight w:val="none"/>
        </w:rPr>
        <w:instrText xml:space="preserve"> HYPERLINK \l _Toc7918 </w:instrText>
      </w:r>
      <w:r>
        <w:rPr>
          <w:rFonts w:hAnsi="宋体" w:cs="宋体"/>
          <w:kern w:val="0"/>
          <w:szCs w:val="21"/>
          <w:highlight w:val="none"/>
        </w:rPr>
        <w:fldChar w:fldCharType="separate"/>
      </w:r>
      <w:r>
        <w:rPr>
          <w:rFonts w:hint="eastAsia" w:ascii="仿宋_GB2312" w:hAnsi="宋体" w:eastAsia="仿宋_GB2312"/>
          <w:highlight w:val="none"/>
        </w:rPr>
        <w:t>2.资金来源</w:t>
      </w:r>
      <w:r>
        <w:tab/>
      </w:r>
      <w:r>
        <w:fldChar w:fldCharType="begin"/>
      </w:r>
      <w:r>
        <w:instrText xml:space="preserve"> PAGEREF _Toc7918 \h </w:instrText>
      </w:r>
      <w:r>
        <w:fldChar w:fldCharType="separate"/>
      </w:r>
      <w:r>
        <w:t>5</w:t>
      </w:r>
      <w:r>
        <w:fldChar w:fldCharType="end"/>
      </w:r>
      <w:r>
        <w:rPr>
          <w:rFonts w:hAnsi="宋体" w:cs="宋体"/>
          <w:kern w:val="0"/>
          <w:szCs w:val="21"/>
          <w:highlight w:val="none"/>
        </w:rPr>
        <w:fldChar w:fldCharType="end"/>
      </w:r>
    </w:p>
    <w:p w14:paraId="27CF3C46">
      <w:pPr>
        <w:pStyle w:val="14"/>
        <w:tabs>
          <w:tab w:val="right" w:leader="dot" w:pos="8312"/>
          <w:tab w:val="clear" w:pos="1260"/>
          <w:tab w:val="clear" w:pos="8630"/>
        </w:tabs>
      </w:pPr>
      <w:r>
        <w:rPr>
          <w:rFonts w:hAnsi="宋体" w:cs="宋体"/>
          <w:kern w:val="0"/>
          <w:szCs w:val="21"/>
          <w:highlight w:val="none"/>
        </w:rPr>
        <w:fldChar w:fldCharType="begin"/>
      </w:r>
      <w:r>
        <w:rPr>
          <w:rFonts w:hAnsi="宋体" w:cs="宋体"/>
          <w:kern w:val="0"/>
          <w:szCs w:val="21"/>
          <w:highlight w:val="none"/>
        </w:rPr>
        <w:instrText xml:space="preserve"> HYPERLINK \l _Toc19744 </w:instrText>
      </w:r>
      <w:r>
        <w:rPr>
          <w:rFonts w:hAnsi="宋体" w:cs="宋体"/>
          <w:kern w:val="0"/>
          <w:szCs w:val="21"/>
          <w:highlight w:val="none"/>
        </w:rPr>
        <w:fldChar w:fldCharType="separate"/>
      </w:r>
      <w:r>
        <w:rPr>
          <w:rFonts w:hint="eastAsia" w:ascii="仿宋_GB2312" w:hAnsi="宋体" w:eastAsia="仿宋_GB2312"/>
          <w:highlight w:val="none"/>
        </w:rPr>
        <w:t>3.投标费用</w:t>
      </w:r>
      <w:r>
        <w:tab/>
      </w:r>
      <w:r>
        <w:fldChar w:fldCharType="begin"/>
      </w:r>
      <w:r>
        <w:instrText xml:space="preserve"> PAGEREF _Toc19744 \h </w:instrText>
      </w:r>
      <w:r>
        <w:fldChar w:fldCharType="separate"/>
      </w:r>
      <w:r>
        <w:t>5</w:t>
      </w:r>
      <w:r>
        <w:fldChar w:fldCharType="end"/>
      </w:r>
      <w:r>
        <w:rPr>
          <w:rFonts w:hAnsi="宋体" w:cs="宋体"/>
          <w:kern w:val="0"/>
          <w:szCs w:val="21"/>
          <w:highlight w:val="none"/>
        </w:rPr>
        <w:fldChar w:fldCharType="end"/>
      </w:r>
    </w:p>
    <w:p w14:paraId="144AE5C9">
      <w:pPr>
        <w:pStyle w:val="14"/>
        <w:tabs>
          <w:tab w:val="right" w:leader="dot" w:pos="8312"/>
          <w:tab w:val="clear" w:pos="1260"/>
          <w:tab w:val="clear" w:pos="8630"/>
        </w:tabs>
      </w:pPr>
      <w:r>
        <w:rPr>
          <w:rFonts w:hAnsi="宋体" w:cs="宋体"/>
          <w:kern w:val="0"/>
          <w:szCs w:val="21"/>
          <w:highlight w:val="none"/>
        </w:rPr>
        <w:fldChar w:fldCharType="begin"/>
      </w:r>
      <w:r>
        <w:rPr>
          <w:rFonts w:hAnsi="宋体" w:cs="宋体"/>
          <w:kern w:val="0"/>
          <w:szCs w:val="21"/>
          <w:highlight w:val="none"/>
        </w:rPr>
        <w:instrText xml:space="preserve"> HYPERLINK \l _Toc29669 </w:instrText>
      </w:r>
      <w:r>
        <w:rPr>
          <w:rFonts w:hAnsi="宋体" w:cs="宋体"/>
          <w:kern w:val="0"/>
          <w:szCs w:val="21"/>
          <w:highlight w:val="none"/>
        </w:rPr>
        <w:fldChar w:fldCharType="separate"/>
      </w:r>
      <w:r>
        <w:rPr>
          <w:rFonts w:hint="eastAsia" w:ascii="仿宋_GB2312" w:hAnsi="宋体" w:eastAsia="仿宋_GB2312"/>
          <w:highlight w:val="none"/>
        </w:rPr>
        <w:t>4.适用法律</w:t>
      </w:r>
      <w:r>
        <w:tab/>
      </w:r>
      <w:r>
        <w:fldChar w:fldCharType="begin"/>
      </w:r>
      <w:r>
        <w:instrText xml:space="preserve"> PAGEREF _Toc29669 \h </w:instrText>
      </w:r>
      <w:r>
        <w:fldChar w:fldCharType="separate"/>
      </w:r>
      <w:r>
        <w:t>5</w:t>
      </w:r>
      <w:r>
        <w:fldChar w:fldCharType="end"/>
      </w:r>
      <w:r>
        <w:rPr>
          <w:rFonts w:hAnsi="宋体" w:cs="宋体"/>
          <w:kern w:val="0"/>
          <w:szCs w:val="21"/>
          <w:highlight w:val="none"/>
        </w:rPr>
        <w:fldChar w:fldCharType="end"/>
      </w:r>
    </w:p>
    <w:p w14:paraId="6C8D14CE">
      <w:pPr>
        <w:pStyle w:val="29"/>
        <w:tabs>
          <w:tab w:val="right" w:leader="dot" w:pos="8312"/>
        </w:tabs>
      </w:pPr>
      <w:r>
        <w:rPr>
          <w:rFonts w:hAnsi="宋体" w:cs="宋体"/>
          <w:kern w:val="0"/>
          <w:szCs w:val="21"/>
          <w:highlight w:val="none"/>
        </w:rPr>
        <w:fldChar w:fldCharType="begin"/>
      </w:r>
      <w:r>
        <w:rPr>
          <w:rFonts w:hAnsi="宋体" w:cs="宋体"/>
          <w:kern w:val="0"/>
          <w:szCs w:val="21"/>
          <w:highlight w:val="none"/>
        </w:rPr>
        <w:instrText xml:space="preserve"> HYPERLINK \l _Toc28087 </w:instrText>
      </w:r>
      <w:r>
        <w:rPr>
          <w:rFonts w:hAnsi="宋体" w:cs="宋体"/>
          <w:kern w:val="0"/>
          <w:szCs w:val="21"/>
          <w:highlight w:val="none"/>
        </w:rPr>
        <w:fldChar w:fldCharType="separate"/>
      </w:r>
      <w:r>
        <w:rPr>
          <w:rFonts w:hint="eastAsia" w:ascii="仿宋_GB2312" w:eastAsia="仿宋_GB2312"/>
          <w:highlight w:val="none"/>
        </w:rPr>
        <w:t>二</w:t>
      </w:r>
      <w:r>
        <w:rPr>
          <w:rFonts w:hint="eastAsia" w:ascii="仿宋_GB2312" w:eastAsia="仿宋_GB2312"/>
          <w:highlight w:val="none"/>
          <w:lang w:eastAsia="zh-CN"/>
        </w:rPr>
        <w:t>招标文件</w:t>
      </w:r>
      <w:r>
        <w:tab/>
      </w:r>
      <w:r>
        <w:fldChar w:fldCharType="begin"/>
      </w:r>
      <w:r>
        <w:instrText xml:space="preserve"> PAGEREF _Toc28087 \h </w:instrText>
      </w:r>
      <w:r>
        <w:fldChar w:fldCharType="separate"/>
      </w:r>
      <w:r>
        <w:t>5</w:t>
      </w:r>
      <w:r>
        <w:fldChar w:fldCharType="end"/>
      </w:r>
      <w:r>
        <w:rPr>
          <w:rFonts w:hAnsi="宋体" w:cs="宋体"/>
          <w:kern w:val="0"/>
          <w:szCs w:val="21"/>
          <w:highlight w:val="none"/>
        </w:rPr>
        <w:fldChar w:fldCharType="end"/>
      </w:r>
    </w:p>
    <w:p w14:paraId="6436AD07">
      <w:pPr>
        <w:pStyle w:val="14"/>
        <w:tabs>
          <w:tab w:val="right" w:leader="dot" w:pos="8312"/>
          <w:tab w:val="clear" w:pos="1260"/>
          <w:tab w:val="clear" w:pos="8630"/>
        </w:tabs>
      </w:pPr>
      <w:r>
        <w:rPr>
          <w:rFonts w:hAnsi="宋体" w:cs="宋体"/>
          <w:kern w:val="0"/>
          <w:szCs w:val="21"/>
          <w:highlight w:val="none"/>
        </w:rPr>
        <w:fldChar w:fldCharType="begin"/>
      </w:r>
      <w:r>
        <w:rPr>
          <w:rFonts w:hAnsi="宋体" w:cs="宋体"/>
          <w:kern w:val="0"/>
          <w:szCs w:val="21"/>
          <w:highlight w:val="none"/>
        </w:rPr>
        <w:instrText xml:space="preserve"> HYPERLINK \l _Toc28497 </w:instrText>
      </w:r>
      <w:r>
        <w:rPr>
          <w:rFonts w:hAnsi="宋体" w:cs="宋体"/>
          <w:kern w:val="0"/>
          <w:szCs w:val="21"/>
          <w:highlight w:val="none"/>
        </w:rPr>
        <w:fldChar w:fldCharType="separate"/>
      </w:r>
      <w:r>
        <w:rPr>
          <w:rFonts w:hint="eastAsia" w:ascii="仿宋_GB2312" w:hAnsi="宋体" w:eastAsia="仿宋_GB2312"/>
          <w:highlight w:val="none"/>
        </w:rPr>
        <w:t>5.</w:t>
      </w:r>
      <w:r>
        <w:rPr>
          <w:rFonts w:hint="eastAsia" w:ascii="仿宋_GB2312" w:hAnsi="宋体" w:eastAsia="仿宋_GB2312"/>
          <w:highlight w:val="none"/>
          <w:lang w:eastAsia="zh-CN"/>
        </w:rPr>
        <w:t>招标文件</w:t>
      </w:r>
      <w:r>
        <w:rPr>
          <w:rFonts w:hint="eastAsia" w:ascii="仿宋_GB2312" w:hAnsi="宋体" w:eastAsia="仿宋_GB2312"/>
          <w:highlight w:val="none"/>
        </w:rPr>
        <w:t>构成</w:t>
      </w:r>
      <w:r>
        <w:tab/>
      </w:r>
      <w:r>
        <w:fldChar w:fldCharType="begin"/>
      </w:r>
      <w:r>
        <w:instrText xml:space="preserve"> PAGEREF _Toc28497 \h </w:instrText>
      </w:r>
      <w:r>
        <w:fldChar w:fldCharType="separate"/>
      </w:r>
      <w:r>
        <w:t>5</w:t>
      </w:r>
      <w:r>
        <w:fldChar w:fldCharType="end"/>
      </w:r>
      <w:r>
        <w:rPr>
          <w:rFonts w:hAnsi="宋体" w:cs="宋体"/>
          <w:kern w:val="0"/>
          <w:szCs w:val="21"/>
          <w:highlight w:val="none"/>
        </w:rPr>
        <w:fldChar w:fldCharType="end"/>
      </w:r>
    </w:p>
    <w:p w14:paraId="361B348C">
      <w:pPr>
        <w:pStyle w:val="14"/>
        <w:tabs>
          <w:tab w:val="right" w:leader="dot" w:pos="8312"/>
          <w:tab w:val="clear" w:pos="1260"/>
          <w:tab w:val="clear" w:pos="8630"/>
        </w:tabs>
      </w:pPr>
      <w:r>
        <w:rPr>
          <w:rFonts w:hAnsi="宋体" w:cs="宋体"/>
          <w:kern w:val="0"/>
          <w:szCs w:val="21"/>
          <w:highlight w:val="none"/>
        </w:rPr>
        <w:fldChar w:fldCharType="begin"/>
      </w:r>
      <w:r>
        <w:rPr>
          <w:rFonts w:hAnsi="宋体" w:cs="宋体"/>
          <w:kern w:val="0"/>
          <w:szCs w:val="21"/>
          <w:highlight w:val="none"/>
        </w:rPr>
        <w:instrText xml:space="preserve"> HYPERLINK \l _Toc12543 </w:instrText>
      </w:r>
      <w:r>
        <w:rPr>
          <w:rFonts w:hAnsi="宋体" w:cs="宋体"/>
          <w:kern w:val="0"/>
          <w:szCs w:val="21"/>
          <w:highlight w:val="none"/>
        </w:rPr>
        <w:fldChar w:fldCharType="separate"/>
      </w:r>
      <w:r>
        <w:rPr>
          <w:rFonts w:hint="eastAsia" w:ascii="仿宋_GB2312" w:hAnsi="宋体" w:eastAsia="仿宋_GB2312"/>
          <w:highlight w:val="none"/>
        </w:rPr>
        <w:t>6.</w:t>
      </w:r>
      <w:r>
        <w:rPr>
          <w:rFonts w:hint="eastAsia" w:ascii="仿宋_GB2312" w:hAnsi="宋体" w:eastAsia="仿宋_GB2312"/>
          <w:highlight w:val="none"/>
          <w:lang w:eastAsia="zh-CN"/>
        </w:rPr>
        <w:t>招标文件</w:t>
      </w:r>
      <w:r>
        <w:rPr>
          <w:rFonts w:hint="eastAsia" w:ascii="仿宋_GB2312" w:hAnsi="宋体" w:eastAsia="仿宋_GB2312"/>
          <w:highlight w:val="none"/>
        </w:rPr>
        <w:t>的澄清与</w:t>
      </w:r>
      <w:r>
        <w:rPr>
          <w:rFonts w:ascii="仿宋_GB2312" w:hAnsi="宋体" w:eastAsia="仿宋_GB2312"/>
          <w:highlight w:val="none"/>
        </w:rPr>
        <w:t>修改</w:t>
      </w:r>
      <w:r>
        <w:tab/>
      </w:r>
      <w:r>
        <w:fldChar w:fldCharType="begin"/>
      </w:r>
      <w:r>
        <w:instrText xml:space="preserve"> PAGEREF _Toc12543 \h </w:instrText>
      </w:r>
      <w:r>
        <w:fldChar w:fldCharType="separate"/>
      </w:r>
      <w:r>
        <w:t>6</w:t>
      </w:r>
      <w:r>
        <w:fldChar w:fldCharType="end"/>
      </w:r>
      <w:r>
        <w:rPr>
          <w:rFonts w:hAnsi="宋体" w:cs="宋体"/>
          <w:kern w:val="0"/>
          <w:szCs w:val="21"/>
          <w:highlight w:val="none"/>
        </w:rPr>
        <w:fldChar w:fldCharType="end"/>
      </w:r>
    </w:p>
    <w:p w14:paraId="4D256896">
      <w:pPr>
        <w:pStyle w:val="29"/>
        <w:tabs>
          <w:tab w:val="right" w:leader="dot" w:pos="8312"/>
        </w:tabs>
      </w:pPr>
      <w:r>
        <w:rPr>
          <w:rFonts w:hAnsi="宋体" w:cs="宋体"/>
          <w:kern w:val="0"/>
          <w:szCs w:val="21"/>
          <w:highlight w:val="none"/>
        </w:rPr>
        <w:fldChar w:fldCharType="begin"/>
      </w:r>
      <w:r>
        <w:rPr>
          <w:rFonts w:hAnsi="宋体" w:cs="宋体"/>
          <w:kern w:val="0"/>
          <w:szCs w:val="21"/>
          <w:highlight w:val="none"/>
        </w:rPr>
        <w:instrText xml:space="preserve"> HYPERLINK \l _Toc7536 </w:instrText>
      </w:r>
      <w:r>
        <w:rPr>
          <w:rFonts w:hAnsi="宋体" w:cs="宋体"/>
          <w:kern w:val="0"/>
          <w:szCs w:val="21"/>
          <w:highlight w:val="none"/>
        </w:rPr>
        <w:fldChar w:fldCharType="separate"/>
      </w:r>
      <w:r>
        <w:rPr>
          <w:rFonts w:hint="eastAsia" w:ascii="仿宋_GB2312" w:hAnsi="宋体" w:eastAsia="仿宋_GB2312"/>
          <w:highlight w:val="none"/>
        </w:rPr>
        <w:t>三投标文件的编制</w:t>
      </w:r>
      <w:r>
        <w:tab/>
      </w:r>
      <w:r>
        <w:fldChar w:fldCharType="begin"/>
      </w:r>
      <w:r>
        <w:instrText xml:space="preserve"> PAGEREF _Toc7536 \h </w:instrText>
      </w:r>
      <w:r>
        <w:fldChar w:fldCharType="separate"/>
      </w:r>
      <w:r>
        <w:t>6</w:t>
      </w:r>
      <w:r>
        <w:fldChar w:fldCharType="end"/>
      </w:r>
      <w:r>
        <w:rPr>
          <w:rFonts w:hAnsi="宋体" w:cs="宋体"/>
          <w:kern w:val="0"/>
          <w:szCs w:val="21"/>
          <w:highlight w:val="none"/>
        </w:rPr>
        <w:fldChar w:fldCharType="end"/>
      </w:r>
    </w:p>
    <w:p w14:paraId="4CB42E19">
      <w:pPr>
        <w:pStyle w:val="14"/>
        <w:tabs>
          <w:tab w:val="right" w:pos="3600"/>
          <w:tab w:val="right" w:leader="dot" w:pos="8312"/>
          <w:tab w:val="clear" w:pos="1260"/>
          <w:tab w:val="clear" w:pos="8630"/>
        </w:tabs>
      </w:pPr>
      <w:r>
        <w:rPr>
          <w:rFonts w:hAnsi="宋体" w:cs="宋体"/>
          <w:kern w:val="0"/>
          <w:szCs w:val="21"/>
          <w:highlight w:val="none"/>
        </w:rPr>
        <w:fldChar w:fldCharType="begin"/>
      </w:r>
      <w:r>
        <w:rPr>
          <w:rFonts w:hAnsi="宋体" w:cs="宋体"/>
          <w:kern w:val="0"/>
          <w:szCs w:val="21"/>
          <w:highlight w:val="none"/>
        </w:rPr>
        <w:instrText xml:space="preserve"> HYPERLINK \l _Toc29920 </w:instrText>
      </w:r>
      <w:r>
        <w:rPr>
          <w:rFonts w:hAnsi="宋体" w:cs="宋体"/>
          <w:kern w:val="0"/>
          <w:szCs w:val="21"/>
          <w:highlight w:val="none"/>
        </w:rPr>
        <w:fldChar w:fldCharType="separate"/>
      </w:r>
      <w:r>
        <w:rPr>
          <w:rFonts w:hint="eastAsia" w:ascii="仿宋_GB2312" w:hAnsi="宋体" w:eastAsia="仿宋_GB2312"/>
          <w:highlight w:val="none"/>
        </w:rPr>
        <w:t>8</w:t>
      </w:r>
      <w:r>
        <w:rPr>
          <w:rFonts w:ascii="仿宋_GB2312" w:hAnsi="宋体" w:eastAsia="仿宋_GB2312"/>
          <w:highlight w:val="none"/>
        </w:rPr>
        <w:t>.</w:t>
      </w:r>
      <w:r>
        <w:rPr>
          <w:rFonts w:ascii="仿宋_GB2312" w:hAnsi="宋体" w:eastAsia="仿宋_GB2312"/>
          <w:highlight w:val="none"/>
        </w:rPr>
        <w:tab/>
      </w:r>
      <w:r>
        <w:rPr>
          <w:rFonts w:hint="eastAsia" w:ascii="仿宋_GB2312" w:hAnsi="宋体" w:eastAsia="仿宋_GB2312"/>
          <w:highlight w:val="none"/>
        </w:rPr>
        <w:t>投标范围及投标文件中标准和计量单位的使用</w:t>
      </w:r>
      <w:r>
        <w:tab/>
      </w:r>
      <w:r>
        <w:fldChar w:fldCharType="begin"/>
      </w:r>
      <w:r>
        <w:instrText xml:space="preserve"> PAGEREF _Toc29920 \h </w:instrText>
      </w:r>
      <w:r>
        <w:fldChar w:fldCharType="separate"/>
      </w:r>
      <w:r>
        <w:t>6</w:t>
      </w:r>
      <w:r>
        <w:fldChar w:fldCharType="end"/>
      </w:r>
      <w:r>
        <w:rPr>
          <w:rFonts w:hAnsi="宋体" w:cs="宋体"/>
          <w:kern w:val="0"/>
          <w:szCs w:val="21"/>
          <w:highlight w:val="none"/>
        </w:rPr>
        <w:fldChar w:fldCharType="end"/>
      </w:r>
    </w:p>
    <w:p w14:paraId="2EFAD0E2">
      <w:pPr>
        <w:pStyle w:val="14"/>
        <w:tabs>
          <w:tab w:val="right" w:leader="dot" w:pos="8312"/>
          <w:tab w:val="clear" w:pos="1260"/>
          <w:tab w:val="clear" w:pos="8630"/>
        </w:tabs>
      </w:pPr>
      <w:r>
        <w:rPr>
          <w:rFonts w:hAnsi="宋体" w:cs="宋体"/>
          <w:kern w:val="0"/>
          <w:szCs w:val="21"/>
          <w:highlight w:val="none"/>
        </w:rPr>
        <w:fldChar w:fldCharType="begin"/>
      </w:r>
      <w:r>
        <w:rPr>
          <w:rFonts w:hAnsi="宋体" w:cs="宋体"/>
          <w:kern w:val="0"/>
          <w:szCs w:val="21"/>
          <w:highlight w:val="none"/>
        </w:rPr>
        <w:instrText xml:space="preserve"> HYPERLINK \l _Toc17598 </w:instrText>
      </w:r>
      <w:r>
        <w:rPr>
          <w:rFonts w:hAnsi="宋体" w:cs="宋体"/>
          <w:kern w:val="0"/>
          <w:szCs w:val="21"/>
          <w:highlight w:val="none"/>
        </w:rPr>
        <w:fldChar w:fldCharType="separate"/>
      </w:r>
      <w:r>
        <w:rPr>
          <w:rFonts w:hint="eastAsia" w:ascii="仿宋_GB2312" w:hAnsi="宋体" w:eastAsia="仿宋_GB2312"/>
          <w:highlight w:val="none"/>
        </w:rPr>
        <w:t>9</w:t>
      </w:r>
      <w:r>
        <w:rPr>
          <w:rFonts w:ascii="仿宋_GB2312" w:hAnsi="宋体" w:eastAsia="仿宋_GB2312"/>
          <w:highlight w:val="none"/>
        </w:rPr>
        <w:t>.</w:t>
      </w:r>
      <w:r>
        <w:rPr>
          <w:rFonts w:hint="eastAsia" w:ascii="仿宋_GB2312" w:hAnsi="宋体" w:eastAsia="仿宋_GB2312"/>
          <w:highlight w:val="none"/>
        </w:rPr>
        <w:t>投标文件构成</w:t>
      </w:r>
      <w:r>
        <w:tab/>
      </w:r>
      <w:r>
        <w:fldChar w:fldCharType="begin"/>
      </w:r>
      <w:r>
        <w:instrText xml:space="preserve"> PAGEREF _Toc17598 \h </w:instrText>
      </w:r>
      <w:r>
        <w:fldChar w:fldCharType="separate"/>
      </w:r>
      <w:r>
        <w:t>6</w:t>
      </w:r>
      <w:r>
        <w:fldChar w:fldCharType="end"/>
      </w:r>
      <w:r>
        <w:rPr>
          <w:rFonts w:hAnsi="宋体" w:cs="宋体"/>
          <w:kern w:val="0"/>
          <w:szCs w:val="21"/>
          <w:highlight w:val="none"/>
        </w:rPr>
        <w:fldChar w:fldCharType="end"/>
      </w:r>
    </w:p>
    <w:p w14:paraId="01E5D07E">
      <w:pPr>
        <w:pStyle w:val="14"/>
        <w:tabs>
          <w:tab w:val="right" w:pos="3600"/>
          <w:tab w:val="right" w:leader="dot" w:pos="8312"/>
          <w:tab w:val="clear" w:pos="1260"/>
          <w:tab w:val="clear" w:pos="8630"/>
        </w:tabs>
      </w:pPr>
      <w:r>
        <w:rPr>
          <w:rFonts w:hAnsi="宋体" w:cs="宋体"/>
          <w:kern w:val="0"/>
          <w:szCs w:val="21"/>
          <w:highlight w:val="none"/>
        </w:rPr>
        <w:fldChar w:fldCharType="begin"/>
      </w:r>
      <w:r>
        <w:rPr>
          <w:rFonts w:hAnsi="宋体" w:cs="宋体"/>
          <w:kern w:val="0"/>
          <w:szCs w:val="21"/>
          <w:highlight w:val="none"/>
        </w:rPr>
        <w:instrText xml:space="preserve"> HYPERLINK \l _Toc3397 </w:instrText>
      </w:r>
      <w:r>
        <w:rPr>
          <w:rFonts w:hAnsi="宋体" w:cs="宋体"/>
          <w:kern w:val="0"/>
          <w:szCs w:val="21"/>
          <w:highlight w:val="none"/>
        </w:rPr>
        <w:fldChar w:fldCharType="separate"/>
      </w:r>
      <w:r>
        <w:rPr>
          <w:rFonts w:hint="eastAsia" w:ascii="仿宋_GB2312" w:hAnsi="宋体" w:eastAsia="仿宋_GB2312"/>
          <w:highlight w:val="none"/>
        </w:rPr>
        <w:t>10</w:t>
      </w:r>
      <w:r>
        <w:rPr>
          <w:rFonts w:ascii="仿宋_GB2312" w:hAnsi="宋体" w:eastAsia="仿宋_GB2312"/>
          <w:highlight w:val="none"/>
        </w:rPr>
        <w:t>.</w:t>
      </w:r>
      <w:r>
        <w:rPr>
          <w:rFonts w:ascii="仿宋_GB2312" w:hAnsi="宋体" w:eastAsia="仿宋_GB2312"/>
          <w:highlight w:val="none"/>
        </w:rPr>
        <w:tab/>
      </w:r>
      <w:r>
        <w:rPr>
          <w:rFonts w:hint="eastAsia" w:ascii="仿宋_GB2312" w:hAnsi="宋体" w:eastAsia="仿宋_GB2312"/>
          <w:highlight w:val="none"/>
        </w:rPr>
        <w:t>证明投标标的的合格性和符合</w:t>
      </w:r>
      <w:r>
        <w:rPr>
          <w:rFonts w:hint="eastAsia" w:ascii="仿宋_GB2312" w:hAnsi="宋体" w:eastAsia="仿宋_GB2312"/>
          <w:highlight w:val="none"/>
          <w:lang w:eastAsia="zh-CN"/>
        </w:rPr>
        <w:t>招标文件</w:t>
      </w:r>
      <w:r>
        <w:rPr>
          <w:rFonts w:hint="eastAsia" w:ascii="仿宋_GB2312" w:hAnsi="宋体" w:eastAsia="仿宋_GB2312"/>
          <w:highlight w:val="none"/>
        </w:rPr>
        <w:t>规定的技术文件</w:t>
      </w:r>
      <w:r>
        <w:tab/>
      </w:r>
      <w:r>
        <w:fldChar w:fldCharType="begin"/>
      </w:r>
      <w:r>
        <w:instrText xml:space="preserve"> PAGEREF _Toc3397 \h </w:instrText>
      </w:r>
      <w:r>
        <w:fldChar w:fldCharType="separate"/>
      </w:r>
      <w:r>
        <w:t>6</w:t>
      </w:r>
      <w:r>
        <w:fldChar w:fldCharType="end"/>
      </w:r>
      <w:r>
        <w:rPr>
          <w:rFonts w:hAnsi="宋体" w:cs="宋体"/>
          <w:kern w:val="0"/>
          <w:szCs w:val="21"/>
          <w:highlight w:val="none"/>
        </w:rPr>
        <w:fldChar w:fldCharType="end"/>
      </w:r>
    </w:p>
    <w:p w14:paraId="058CD075">
      <w:pPr>
        <w:pStyle w:val="14"/>
        <w:tabs>
          <w:tab w:val="right" w:leader="dot" w:pos="8312"/>
          <w:tab w:val="clear" w:pos="1260"/>
          <w:tab w:val="clear" w:pos="8630"/>
        </w:tabs>
      </w:pPr>
      <w:r>
        <w:rPr>
          <w:rFonts w:hAnsi="宋体" w:cs="宋体"/>
          <w:kern w:val="0"/>
          <w:szCs w:val="21"/>
          <w:highlight w:val="none"/>
        </w:rPr>
        <w:fldChar w:fldCharType="begin"/>
      </w:r>
      <w:r>
        <w:rPr>
          <w:rFonts w:hAnsi="宋体" w:cs="宋体"/>
          <w:kern w:val="0"/>
          <w:szCs w:val="21"/>
          <w:highlight w:val="none"/>
        </w:rPr>
        <w:instrText xml:space="preserve"> HYPERLINK \l _Toc6967 </w:instrText>
      </w:r>
      <w:r>
        <w:rPr>
          <w:rFonts w:hAnsi="宋体" w:cs="宋体"/>
          <w:kern w:val="0"/>
          <w:szCs w:val="21"/>
          <w:highlight w:val="none"/>
        </w:rPr>
        <w:fldChar w:fldCharType="separate"/>
      </w:r>
      <w:r>
        <w:rPr>
          <w:rFonts w:ascii="仿宋_GB2312" w:hAnsi="宋体" w:eastAsia="仿宋_GB2312"/>
          <w:highlight w:val="none"/>
        </w:rPr>
        <w:t>1</w:t>
      </w:r>
      <w:r>
        <w:rPr>
          <w:rFonts w:hint="eastAsia" w:ascii="仿宋_GB2312" w:hAnsi="宋体" w:eastAsia="仿宋_GB2312"/>
          <w:highlight w:val="none"/>
        </w:rPr>
        <w:t>1.投标报价</w:t>
      </w:r>
      <w:r>
        <w:tab/>
      </w:r>
      <w:r>
        <w:fldChar w:fldCharType="begin"/>
      </w:r>
      <w:r>
        <w:instrText xml:space="preserve"> PAGEREF _Toc6967 \h </w:instrText>
      </w:r>
      <w:r>
        <w:fldChar w:fldCharType="separate"/>
      </w:r>
      <w:r>
        <w:t>7</w:t>
      </w:r>
      <w:r>
        <w:fldChar w:fldCharType="end"/>
      </w:r>
      <w:r>
        <w:rPr>
          <w:rFonts w:hAnsi="宋体" w:cs="宋体"/>
          <w:kern w:val="0"/>
          <w:szCs w:val="21"/>
          <w:highlight w:val="none"/>
        </w:rPr>
        <w:fldChar w:fldCharType="end"/>
      </w:r>
    </w:p>
    <w:p w14:paraId="4BBCA7A8">
      <w:pPr>
        <w:pStyle w:val="14"/>
        <w:tabs>
          <w:tab w:val="right" w:leader="dot" w:pos="8312"/>
          <w:tab w:val="clear" w:pos="1260"/>
          <w:tab w:val="clear" w:pos="8630"/>
        </w:tabs>
      </w:pPr>
      <w:r>
        <w:rPr>
          <w:rFonts w:hAnsi="宋体" w:cs="宋体"/>
          <w:kern w:val="0"/>
          <w:szCs w:val="21"/>
          <w:highlight w:val="none"/>
        </w:rPr>
        <w:fldChar w:fldCharType="begin"/>
      </w:r>
      <w:r>
        <w:rPr>
          <w:rFonts w:hAnsi="宋体" w:cs="宋体"/>
          <w:kern w:val="0"/>
          <w:szCs w:val="21"/>
          <w:highlight w:val="none"/>
        </w:rPr>
        <w:instrText xml:space="preserve"> HYPERLINK \l _Toc19198 </w:instrText>
      </w:r>
      <w:r>
        <w:rPr>
          <w:rFonts w:hAnsi="宋体" w:cs="宋体"/>
          <w:kern w:val="0"/>
          <w:szCs w:val="21"/>
          <w:highlight w:val="none"/>
        </w:rPr>
        <w:fldChar w:fldCharType="separate"/>
      </w:r>
      <w:r>
        <w:rPr>
          <w:rFonts w:ascii="仿宋_GB2312" w:hAnsi="宋体" w:eastAsia="仿宋_GB2312"/>
          <w:highlight w:val="none"/>
        </w:rPr>
        <w:t>1</w:t>
      </w:r>
      <w:r>
        <w:rPr>
          <w:rFonts w:hint="eastAsia" w:ascii="仿宋_GB2312" w:hAnsi="宋体" w:eastAsia="仿宋_GB2312"/>
          <w:highlight w:val="none"/>
        </w:rPr>
        <w:t>2.投标保证金</w:t>
      </w:r>
      <w:r>
        <w:tab/>
      </w:r>
      <w:r>
        <w:fldChar w:fldCharType="begin"/>
      </w:r>
      <w:r>
        <w:instrText xml:space="preserve"> PAGEREF _Toc19198 \h </w:instrText>
      </w:r>
      <w:r>
        <w:fldChar w:fldCharType="separate"/>
      </w:r>
      <w:r>
        <w:t>7</w:t>
      </w:r>
      <w:r>
        <w:fldChar w:fldCharType="end"/>
      </w:r>
      <w:r>
        <w:rPr>
          <w:rFonts w:hAnsi="宋体" w:cs="宋体"/>
          <w:kern w:val="0"/>
          <w:szCs w:val="21"/>
          <w:highlight w:val="none"/>
        </w:rPr>
        <w:fldChar w:fldCharType="end"/>
      </w:r>
    </w:p>
    <w:p w14:paraId="0FC2FBA9">
      <w:pPr>
        <w:pStyle w:val="14"/>
        <w:tabs>
          <w:tab w:val="right" w:leader="dot" w:pos="8312"/>
          <w:tab w:val="clear" w:pos="1260"/>
          <w:tab w:val="clear" w:pos="8630"/>
        </w:tabs>
      </w:pPr>
      <w:r>
        <w:rPr>
          <w:rFonts w:hAnsi="宋体" w:cs="宋体"/>
          <w:kern w:val="0"/>
          <w:szCs w:val="21"/>
          <w:highlight w:val="none"/>
        </w:rPr>
        <w:fldChar w:fldCharType="begin"/>
      </w:r>
      <w:r>
        <w:rPr>
          <w:rFonts w:hAnsi="宋体" w:cs="宋体"/>
          <w:kern w:val="0"/>
          <w:szCs w:val="21"/>
          <w:highlight w:val="none"/>
        </w:rPr>
        <w:instrText xml:space="preserve"> HYPERLINK \l _Toc15939 </w:instrText>
      </w:r>
      <w:r>
        <w:rPr>
          <w:rFonts w:hAnsi="宋体" w:cs="宋体"/>
          <w:kern w:val="0"/>
          <w:szCs w:val="21"/>
          <w:highlight w:val="none"/>
        </w:rPr>
        <w:fldChar w:fldCharType="separate"/>
      </w:r>
      <w:r>
        <w:rPr>
          <w:rFonts w:hint="eastAsia" w:ascii="仿宋_GB2312" w:hAnsi="宋体" w:eastAsia="仿宋_GB2312"/>
          <w:highlight w:val="none"/>
        </w:rPr>
        <w:t>13.投标有效期</w:t>
      </w:r>
      <w:r>
        <w:tab/>
      </w:r>
      <w:r>
        <w:fldChar w:fldCharType="begin"/>
      </w:r>
      <w:r>
        <w:instrText xml:space="preserve"> PAGEREF _Toc15939 \h </w:instrText>
      </w:r>
      <w:r>
        <w:fldChar w:fldCharType="separate"/>
      </w:r>
      <w:r>
        <w:t>8</w:t>
      </w:r>
      <w:r>
        <w:fldChar w:fldCharType="end"/>
      </w:r>
      <w:r>
        <w:rPr>
          <w:rFonts w:hAnsi="宋体" w:cs="宋体"/>
          <w:kern w:val="0"/>
          <w:szCs w:val="21"/>
          <w:highlight w:val="none"/>
        </w:rPr>
        <w:fldChar w:fldCharType="end"/>
      </w:r>
    </w:p>
    <w:p w14:paraId="7916E2C5">
      <w:pPr>
        <w:pStyle w:val="29"/>
        <w:tabs>
          <w:tab w:val="right" w:leader="dot" w:pos="8312"/>
        </w:tabs>
      </w:pPr>
      <w:r>
        <w:rPr>
          <w:rFonts w:hAnsi="宋体" w:cs="宋体"/>
          <w:kern w:val="0"/>
          <w:szCs w:val="21"/>
          <w:highlight w:val="none"/>
        </w:rPr>
        <w:fldChar w:fldCharType="begin"/>
      </w:r>
      <w:r>
        <w:rPr>
          <w:rFonts w:hAnsi="宋体" w:cs="宋体"/>
          <w:kern w:val="0"/>
          <w:szCs w:val="21"/>
          <w:highlight w:val="none"/>
        </w:rPr>
        <w:instrText xml:space="preserve"> HYPERLINK \l _Toc28250 </w:instrText>
      </w:r>
      <w:r>
        <w:rPr>
          <w:rFonts w:hAnsi="宋体" w:cs="宋体"/>
          <w:kern w:val="0"/>
          <w:szCs w:val="21"/>
          <w:highlight w:val="none"/>
        </w:rPr>
        <w:fldChar w:fldCharType="separate"/>
      </w:r>
      <w:r>
        <w:rPr>
          <w:rFonts w:hint="eastAsia" w:ascii="仿宋_GB2312" w:hAnsi="宋体" w:eastAsia="仿宋_GB2312"/>
          <w:highlight w:val="none"/>
        </w:rPr>
        <w:t>四投标文件的递交</w:t>
      </w:r>
      <w:r>
        <w:tab/>
      </w:r>
      <w:r>
        <w:fldChar w:fldCharType="begin"/>
      </w:r>
      <w:r>
        <w:instrText xml:space="preserve"> PAGEREF _Toc28250 \h </w:instrText>
      </w:r>
      <w:r>
        <w:fldChar w:fldCharType="separate"/>
      </w:r>
      <w:r>
        <w:t>8</w:t>
      </w:r>
      <w:r>
        <w:fldChar w:fldCharType="end"/>
      </w:r>
      <w:r>
        <w:rPr>
          <w:rFonts w:hAnsi="宋体" w:cs="宋体"/>
          <w:kern w:val="0"/>
          <w:szCs w:val="21"/>
          <w:highlight w:val="none"/>
        </w:rPr>
        <w:fldChar w:fldCharType="end"/>
      </w:r>
    </w:p>
    <w:p w14:paraId="22B5E359">
      <w:pPr>
        <w:pStyle w:val="29"/>
        <w:tabs>
          <w:tab w:val="right" w:leader="dot" w:pos="8312"/>
        </w:tabs>
      </w:pPr>
      <w:r>
        <w:rPr>
          <w:rFonts w:hAnsi="宋体" w:cs="宋体"/>
          <w:kern w:val="0"/>
          <w:szCs w:val="21"/>
          <w:highlight w:val="none"/>
        </w:rPr>
        <w:fldChar w:fldCharType="begin"/>
      </w:r>
      <w:r>
        <w:rPr>
          <w:rFonts w:hAnsi="宋体" w:cs="宋体"/>
          <w:kern w:val="0"/>
          <w:szCs w:val="21"/>
          <w:highlight w:val="none"/>
        </w:rPr>
        <w:instrText xml:space="preserve"> HYPERLINK \l _Toc19282 </w:instrText>
      </w:r>
      <w:r>
        <w:rPr>
          <w:rFonts w:hAnsi="宋体" w:cs="宋体"/>
          <w:kern w:val="0"/>
          <w:szCs w:val="21"/>
          <w:highlight w:val="none"/>
        </w:rPr>
        <w:fldChar w:fldCharType="separate"/>
      </w:r>
      <w:r>
        <w:rPr>
          <w:rFonts w:hint="eastAsia" w:ascii="仿宋_GB2312" w:hAnsi="宋体" w:eastAsia="仿宋_GB2312"/>
          <w:highlight w:val="none"/>
        </w:rPr>
        <w:t>五开标及评标</w:t>
      </w:r>
      <w:r>
        <w:tab/>
      </w:r>
      <w:r>
        <w:fldChar w:fldCharType="begin"/>
      </w:r>
      <w:r>
        <w:instrText xml:space="preserve"> PAGEREF _Toc19282 \h </w:instrText>
      </w:r>
      <w:r>
        <w:fldChar w:fldCharType="separate"/>
      </w:r>
      <w:r>
        <w:t>9</w:t>
      </w:r>
      <w:r>
        <w:fldChar w:fldCharType="end"/>
      </w:r>
      <w:r>
        <w:rPr>
          <w:rFonts w:hAnsi="宋体" w:cs="宋体"/>
          <w:kern w:val="0"/>
          <w:szCs w:val="21"/>
          <w:highlight w:val="none"/>
        </w:rPr>
        <w:fldChar w:fldCharType="end"/>
      </w:r>
    </w:p>
    <w:p w14:paraId="3340FCEC">
      <w:pPr>
        <w:pStyle w:val="29"/>
        <w:tabs>
          <w:tab w:val="right" w:leader="dot" w:pos="8312"/>
        </w:tabs>
      </w:pPr>
      <w:r>
        <w:rPr>
          <w:rFonts w:hAnsi="宋体" w:cs="宋体"/>
          <w:kern w:val="0"/>
          <w:szCs w:val="21"/>
          <w:highlight w:val="none"/>
        </w:rPr>
        <w:fldChar w:fldCharType="begin"/>
      </w:r>
      <w:r>
        <w:rPr>
          <w:rFonts w:hAnsi="宋体" w:cs="宋体"/>
          <w:kern w:val="0"/>
          <w:szCs w:val="21"/>
          <w:highlight w:val="none"/>
        </w:rPr>
        <w:instrText xml:space="preserve"> HYPERLINK \l _Toc3039 </w:instrText>
      </w:r>
      <w:r>
        <w:rPr>
          <w:rFonts w:hAnsi="宋体" w:cs="宋体"/>
          <w:kern w:val="0"/>
          <w:szCs w:val="21"/>
          <w:highlight w:val="none"/>
        </w:rPr>
        <w:fldChar w:fldCharType="separate"/>
      </w:r>
      <w:r>
        <w:rPr>
          <w:rFonts w:hint="eastAsia" w:ascii="仿宋_GB2312" w:eastAsia="仿宋_GB2312"/>
          <w:szCs w:val="24"/>
          <w:highlight w:val="none"/>
        </w:rPr>
        <w:t>附件</w:t>
      </w:r>
      <w:r>
        <w:rPr>
          <w:rFonts w:ascii="仿宋_GB2312" w:eastAsia="仿宋_GB2312"/>
          <w:szCs w:val="24"/>
          <w:highlight w:val="none"/>
        </w:rPr>
        <w:t>2</w:t>
      </w:r>
      <w:r>
        <w:rPr>
          <w:rFonts w:hint="eastAsia" w:ascii="仿宋_GB2312" w:eastAsia="仿宋_GB2312"/>
          <w:szCs w:val="24"/>
          <w:highlight w:val="none"/>
        </w:rPr>
        <w:t>：履约担保函格式</w:t>
      </w:r>
      <w:r>
        <w:tab/>
      </w:r>
      <w:r>
        <w:fldChar w:fldCharType="begin"/>
      </w:r>
      <w:r>
        <w:instrText xml:space="preserve"> PAGEREF _Toc3039 \h </w:instrText>
      </w:r>
      <w:r>
        <w:fldChar w:fldCharType="separate"/>
      </w:r>
      <w:r>
        <w:t>17</w:t>
      </w:r>
      <w:r>
        <w:fldChar w:fldCharType="end"/>
      </w:r>
      <w:r>
        <w:rPr>
          <w:rFonts w:hAnsi="宋体" w:cs="宋体"/>
          <w:kern w:val="0"/>
          <w:szCs w:val="21"/>
          <w:highlight w:val="none"/>
        </w:rPr>
        <w:fldChar w:fldCharType="end"/>
      </w:r>
    </w:p>
    <w:p w14:paraId="05477172">
      <w:pPr>
        <w:pStyle w:val="29"/>
        <w:tabs>
          <w:tab w:val="right" w:leader="dot" w:pos="8312"/>
        </w:tabs>
      </w:pPr>
      <w:r>
        <w:rPr>
          <w:rFonts w:hAnsi="宋体" w:cs="宋体"/>
          <w:kern w:val="0"/>
          <w:szCs w:val="21"/>
          <w:highlight w:val="none"/>
        </w:rPr>
        <w:fldChar w:fldCharType="begin"/>
      </w:r>
      <w:r>
        <w:rPr>
          <w:rFonts w:hAnsi="宋体" w:cs="宋体"/>
          <w:kern w:val="0"/>
          <w:szCs w:val="21"/>
          <w:highlight w:val="none"/>
        </w:rPr>
        <w:instrText xml:space="preserve"> HYPERLINK \l _Toc9799 </w:instrText>
      </w:r>
      <w:r>
        <w:rPr>
          <w:rFonts w:hAnsi="宋体" w:cs="宋体"/>
          <w:kern w:val="0"/>
          <w:szCs w:val="21"/>
          <w:highlight w:val="none"/>
        </w:rPr>
        <w:fldChar w:fldCharType="separate"/>
      </w:r>
      <w:r>
        <w:rPr>
          <w:rFonts w:hint="eastAsia" w:ascii="仿宋_GB2312" w:eastAsia="仿宋_GB2312"/>
          <w:szCs w:val="24"/>
          <w:highlight w:val="none"/>
        </w:rPr>
        <w:t>（采用政府采购信用担保形式时</w:t>
      </w:r>
      <w:r>
        <w:rPr>
          <w:rFonts w:ascii="仿宋_GB2312" w:eastAsia="仿宋_GB2312"/>
          <w:szCs w:val="24"/>
          <w:highlight w:val="none"/>
        </w:rPr>
        <w:t>使用）</w:t>
      </w:r>
      <w:r>
        <w:tab/>
      </w:r>
      <w:r>
        <w:fldChar w:fldCharType="begin"/>
      </w:r>
      <w:r>
        <w:instrText xml:space="preserve"> PAGEREF _Toc9799 \h </w:instrText>
      </w:r>
      <w:r>
        <w:fldChar w:fldCharType="separate"/>
      </w:r>
      <w:r>
        <w:t>17</w:t>
      </w:r>
      <w:r>
        <w:fldChar w:fldCharType="end"/>
      </w:r>
      <w:r>
        <w:rPr>
          <w:rFonts w:hAnsi="宋体" w:cs="宋体"/>
          <w:kern w:val="0"/>
          <w:szCs w:val="21"/>
          <w:highlight w:val="none"/>
        </w:rPr>
        <w:fldChar w:fldCharType="end"/>
      </w:r>
    </w:p>
    <w:p w14:paraId="3AF3AEF9">
      <w:pPr>
        <w:pStyle w:val="22"/>
        <w:tabs>
          <w:tab w:val="right" w:leader="dot" w:pos="8312"/>
        </w:tabs>
      </w:pPr>
      <w:r>
        <w:rPr>
          <w:rFonts w:hAnsi="宋体" w:cs="宋体"/>
          <w:kern w:val="0"/>
          <w:szCs w:val="21"/>
          <w:highlight w:val="none"/>
        </w:rPr>
        <w:fldChar w:fldCharType="begin"/>
      </w:r>
      <w:r>
        <w:rPr>
          <w:rFonts w:hAnsi="宋体" w:cs="宋体"/>
          <w:kern w:val="0"/>
          <w:szCs w:val="21"/>
          <w:highlight w:val="none"/>
        </w:rPr>
        <w:instrText xml:space="preserve"> HYPERLINK \l _Toc23445 </w:instrText>
      </w:r>
      <w:r>
        <w:rPr>
          <w:rFonts w:hAnsi="宋体" w:cs="宋体"/>
          <w:kern w:val="0"/>
          <w:szCs w:val="21"/>
          <w:highlight w:val="none"/>
        </w:rPr>
        <w:fldChar w:fldCharType="separate"/>
      </w:r>
      <w:r>
        <w:rPr>
          <w:rFonts w:hint="eastAsia" w:ascii="仿宋_GB2312" w:eastAsia="仿宋_GB2312"/>
          <w:highlight w:val="none"/>
          <w:lang w:eastAsia="zh-CN"/>
        </w:rPr>
        <w:t>第二章</w:t>
      </w:r>
      <w:r>
        <w:rPr>
          <w:rFonts w:hint="eastAsia" w:ascii="仿宋_GB2312" w:eastAsia="仿宋_GB2312"/>
          <w:highlight w:val="none"/>
        </w:rPr>
        <w:t>投标文件格式</w:t>
      </w:r>
      <w:r>
        <w:tab/>
      </w:r>
      <w:r>
        <w:fldChar w:fldCharType="begin"/>
      </w:r>
      <w:r>
        <w:instrText xml:space="preserve"> PAGEREF _Toc23445 \h </w:instrText>
      </w:r>
      <w:r>
        <w:fldChar w:fldCharType="separate"/>
      </w:r>
      <w:r>
        <w:t>19</w:t>
      </w:r>
      <w:r>
        <w:fldChar w:fldCharType="end"/>
      </w:r>
      <w:r>
        <w:rPr>
          <w:rFonts w:hAnsi="宋体" w:cs="宋体"/>
          <w:kern w:val="0"/>
          <w:szCs w:val="21"/>
          <w:highlight w:val="none"/>
        </w:rPr>
        <w:fldChar w:fldCharType="end"/>
      </w:r>
    </w:p>
    <w:p w14:paraId="3946669D">
      <w:pPr>
        <w:pStyle w:val="29"/>
        <w:tabs>
          <w:tab w:val="right" w:leader="dot" w:pos="8312"/>
        </w:tabs>
      </w:pPr>
      <w:r>
        <w:rPr>
          <w:rFonts w:hAnsi="宋体" w:cs="宋体"/>
          <w:kern w:val="0"/>
          <w:szCs w:val="21"/>
          <w:highlight w:val="none"/>
        </w:rPr>
        <w:fldChar w:fldCharType="begin"/>
      </w:r>
      <w:r>
        <w:rPr>
          <w:rFonts w:hAnsi="宋体" w:cs="宋体"/>
          <w:kern w:val="0"/>
          <w:szCs w:val="21"/>
          <w:highlight w:val="none"/>
        </w:rPr>
        <w:instrText xml:space="preserve"> HYPERLINK \l _Toc9228 </w:instrText>
      </w:r>
      <w:r>
        <w:rPr>
          <w:rFonts w:hAnsi="宋体" w:cs="宋体"/>
          <w:kern w:val="0"/>
          <w:szCs w:val="21"/>
          <w:highlight w:val="none"/>
        </w:rPr>
        <w:fldChar w:fldCharType="separate"/>
      </w:r>
      <w:r>
        <w:rPr>
          <w:rFonts w:ascii="仿宋_GB2312" w:hAnsi="宋体" w:eastAsia="仿宋_GB2312"/>
          <w:szCs w:val="28"/>
          <w:highlight w:val="none"/>
        </w:rPr>
        <w:t>第一部分</w:t>
      </w:r>
      <w:r>
        <w:rPr>
          <w:rFonts w:hint="eastAsia" w:ascii="仿宋_GB2312" w:hAnsi="宋体" w:eastAsia="仿宋_GB2312"/>
          <w:szCs w:val="28"/>
          <w:highlight w:val="none"/>
        </w:rPr>
        <w:t>开标一览表及资格证明文件</w:t>
      </w:r>
      <w:r>
        <w:tab/>
      </w:r>
      <w:r>
        <w:fldChar w:fldCharType="begin"/>
      </w:r>
      <w:r>
        <w:instrText xml:space="preserve"> PAGEREF _Toc9228 \h </w:instrText>
      </w:r>
      <w:r>
        <w:fldChar w:fldCharType="separate"/>
      </w:r>
      <w:r>
        <w:t>19</w:t>
      </w:r>
      <w:r>
        <w:fldChar w:fldCharType="end"/>
      </w:r>
      <w:r>
        <w:rPr>
          <w:rFonts w:hAnsi="宋体" w:cs="宋体"/>
          <w:kern w:val="0"/>
          <w:szCs w:val="21"/>
          <w:highlight w:val="none"/>
        </w:rPr>
        <w:fldChar w:fldCharType="end"/>
      </w:r>
    </w:p>
    <w:p w14:paraId="2E88F11D">
      <w:pPr>
        <w:pStyle w:val="29"/>
        <w:tabs>
          <w:tab w:val="right" w:leader="dot" w:pos="8312"/>
        </w:tabs>
      </w:pPr>
      <w:r>
        <w:rPr>
          <w:rFonts w:hAnsi="宋体" w:cs="宋体"/>
          <w:kern w:val="0"/>
          <w:szCs w:val="21"/>
          <w:highlight w:val="none"/>
        </w:rPr>
        <w:fldChar w:fldCharType="begin"/>
      </w:r>
      <w:r>
        <w:rPr>
          <w:rFonts w:hAnsi="宋体" w:cs="宋体"/>
          <w:kern w:val="0"/>
          <w:szCs w:val="21"/>
          <w:highlight w:val="none"/>
        </w:rPr>
        <w:instrText xml:space="preserve"> HYPERLINK \l _Toc32022 </w:instrText>
      </w:r>
      <w:r>
        <w:rPr>
          <w:rFonts w:hAnsi="宋体" w:cs="宋体"/>
          <w:kern w:val="0"/>
          <w:szCs w:val="21"/>
          <w:highlight w:val="none"/>
        </w:rPr>
        <w:fldChar w:fldCharType="separate"/>
      </w:r>
      <w:r>
        <w:rPr>
          <w:rFonts w:ascii="仿宋_GB2312" w:hAnsi="宋体" w:eastAsia="仿宋_GB2312"/>
          <w:highlight w:val="none"/>
        </w:rPr>
        <w:t>第</w:t>
      </w:r>
      <w:r>
        <w:rPr>
          <w:rFonts w:hint="eastAsia" w:ascii="仿宋_GB2312" w:hAnsi="宋体" w:eastAsia="仿宋_GB2312"/>
          <w:highlight w:val="none"/>
        </w:rPr>
        <w:t>二</w:t>
      </w:r>
      <w:r>
        <w:rPr>
          <w:rFonts w:ascii="仿宋_GB2312" w:hAnsi="宋体" w:eastAsia="仿宋_GB2312"/>
          <w:highlight w:val="none"/>
        </w:rPr>
        <w:t>部分</w:t>
      </w:r>
      <w:r>
        <w:rPr>
          <w:rFonts w:hint="eastAsia" w:ascii="仿宋_GB2312" w:hAnsi="宋体" w:eastAsia="仿宋_GB2312"/>
          <w:highlight w:val="none"/>
        </w:rPr>
        <w:t>商务及</w:t>
      </w:r>
      <w:r>
        <w:rPr>
          <w:rFonts w:ascii="仿宋_GB2312" w:hAnsi="宋体" w:eastAsia="仿宋_GB2312"/>
          <w:highlight w:val="none"/>
        </w:rPr>
        <w:t>技术</w:t>
      </w:r>
      <w:r>
        <w:rPr>
          <w:rFonts w:hint="eastAsia" w:ascii="仿宋_GB2312" w:hAnsi="宋体" w:eastAsia="仿宋_GB2312"/>
          <w:highlight w:val="none"/>
        </w:rPr>
        <w:t>文件</w:t>
      </w:r>
      <w:r>
        <w:tab/>
      </w:r>
      <w:r>
        <w:fldChar w:fldCharType="begin"/>
      </w:r>
      <w:r>
        <w:instrText xml:space="preserve"> PAGEREF _Toc32022 \h </w:instrText>
      </w:r>
      <w:r>
        <w:fldChar w:fldCharType="separate"/>
      </w:r>
      <w:r>
        <w:t>33</w:t>
      </w:r>
      <w:r>
        <w:fldChar w:fldCharType="end"/>
      </w:r>
      <w:r>
        <w:rPr>
          <w:rFonts w:hAnsi="宋体" w:cs="宋体"/>
          <w:kern w:val="0"/>
          <w:szCs w:val="21"/>
          <w:highlight w:val="none"/>
        </w:rPr>
        <w:fldChar w:fldCharType="end"/>
      </w:r>
    </w:p>
    <w:p w14:paraId="3A5E975A">
      <w:pPr>
        <w:pStyle w:val="29"/>
        <w:tabs>
          <w:tab w:val="right" w:leader="dot" w:pos="8312"/>
        </w:tabs>
      </w:pPr>
      <w:r>
        <w:rPr>
          <w:rFonts w:hAnsi="宋体" w:cs="宋体"/>
          <w:kern w:val="0"/>
          <w:szCs w:val="21"/>
          <w:highlight w:val="none"/>
        </w:rPr>
        <w:fldChar w:fldCharType="begin"/>
      </w:r>
      <w:r>
        <w:rPr>
          <w:rFonts w:hAnsi="宋体" w:cs="宋体"/>
          <w:kern w:val="0"/>
          <w:szCs w:val="21"/>
          <w:highlight w:val="none"/>
        </w:rPr>
        <w:instrText xml:space="preserve"> HYPERLINK \l _Toc4240 </w:instrText>
      </w:r>
      <w:r>
        <w:rPr>
          <w:rFonts w:hAnsi="宋体" w:cs="宋体"/>
          <w:kern w:val="0"/>
          <w:szCs w:val="21"/>
          <w:highlight w:val="none"/>
        </w:rPr>
        <w:fldChar w:fldCharType="separate"/>
      </w:r>
      <w:r>
        <w:rPr>
          <w:rFonts w:hint="eastAsia" w:ascii="仿宋_GB2312" w:hAnsi="宋体" w:eastAsia="仿宋_GB2312"/>
          <w:highlight w:val="none"/>
        </w:rPr>
        <w:t>1投标书（</w:t>
      </w:r>
      <w:r>
        <w:rPr>
          <w:rFonts w:ascii="仿宋_GB2312" w:hAnsi="宋体" w:eastAsia="仿宋_GB2312"/>
          <w:highlight w:val="none"/>
        </w:rPr>
        <w:t>投标文件</w:t>
      </w:r>
      <w:r>
        <w:rPr>
          <w:rFonts w:hint="eastAsia" w:ascii="仿宋_GB2312" w:hAnsi="宋体" w:eastAsia="仿宋_GB2312"/>
          <w:highlight w:val="none"/>
        </w:rPr>
        <w:t>格式五）</w:t>
      </w:r>
      <w:r>
        <w:tab/>
      </w:r>
      <w:r>
        <w:fldChar w:fldCharType="begin"/>
      </w:r>
      <w:r>
        <w:instrText xml:space="preserve"> PAGEREF _Toc4240 \h </w:instrText>
      </w:r>
      <w:r>
        <w:fldChar w:fldCharType="separate"/>
      </w:r>
      <w:r>
        <w:t>34</w:t>
      </w:r>
      <w:r>
        <w:fldChar w:fldCharType="end"/>
      </w:r>
      <w:r>
        <w:rPr>
          <w:rFonts w:hAnsi="宋体" w:cs="宋体"/>
          <w:kern w:val="0"/>
          <w:szCs w:val="21"/>
          <w:highlight w:val="none"/>
        </w:rPr>
        <w:fldChar w:fldCharType="end"/>
      </w:r>
    </w:p>
    <w:p w14:paraId="3000C4CD">
      <w:pPr>
        <w:pStyle w:val="29"/>
        <w:tabs>
          <w:tab w:val="right" w:leader="dot" w:pos="8312"/>
        </w:tabs>
      </w:pPr>
      <w:r>
        <w:rPr>
          <w:rFonts w:hAnsi="宋体" w:cs="宋体"/>
          <w:kern w:val="0"/>
          <w:szCs w:val="21"/>
          <w:highlight w:val="none"/>
        </w:rPr>
        <w:fldChar w:fldCharType="begin"/>
      </w:r>
      <w:r>
        <w:rPr>
          <w:rFonts w:hAnsi="宋体" w:cs="宋体"/>
          <w:kern w:val="0"/>
          <w:szCs w:val="21"/>
          <w:highlight w:val="none"/>
        </w:rPr>
        <w:instrText xml:space="preserve"> HYPERLINK \l _Toc4269 </w:instrText>
      </w:r>
      <w:r>
        <w:rPr>
          <w:rFonts w:hAnsi="宋体" w:cs="宋体"/>
          <w:kern w:val="0"/>
          <w:szCs w:val="21"/>
          <w:highlight w:val="none"/>
        </w:rPr>
        <w:fldChar w:fldCharType="separate"/>
      </w:r>
      <w:r>
        <w:rPr>
          <w:rFonts w:ascii="仿宋_GB2312" w:hAnsi="宋体" w:eastAsia="仿宋_GB2312"/>
          <w:highlight w:val="none"/>
        </w:rPr>
        <w:t>3</w:t>
      </w:r>
      <w:r>
        <w:rPr>
          <w:rFonts w:hint="eastAsia" w:ascii="仿宋_GB2312" w:eastAsia="仿宋_GB2312"/>
          <w:highlight w:val="none"/>
        </w:rPr>
        <w:t>投标分项报价表（</w:t>
      </w:r>
      <w:r>
        <w:rPr>
          <w:rFonts w:ascii="仿宋_GB2312" w:eastAsia="仿宋_GB2312"/>
          <w:highlight w:val="none"/>
        </w:rPr>
        <w:t>投标文件</w:t>
      </w:r>
      <w:r>
        <w:rPr>
          <w:rFonts w:hint="eastAsia" w:ascii="仿宋_GB2312" w:eastAsia="仿宋_GB2312"/>
          <w:highlight w:val="none"/>
        </w:rPr>
        <w:t>格式七）</w:t>
      </w:r>
      <w:r>
        <w:tab/>
      </w:r>
      <w:r>
        <w:fldChar w:fldCharType="begin"/>
      </w:r>
      <w:r>
        <w:instrText xml:space="preserve"> PAGEREF _Toc4269 \h </w:instrText>
      </w:r>
      <w:r>
        <w:fldChar w:fldCharType="separate"/>
      </w:r>
      <w:r>
        <w:t>35</w:t>
      </w:r>
      <w:r>
        <w:fldChar w:fldCharType="end"/>
      </w:r>
      <w:r>
        <w:rPr>
          <w:rFonts w:hAnsi="宋体" w:cs="宋体"/>
          <w:kern w:val="0"/>
          <w:szCs w:val="21"/>
          <w:highlight w:val="none"/>
        </w:rPr>
        <w:fldChar w:fldCharType="end"/>
      </w:r>
    </w:p>
    <w:p w14:paraId="37D5926A">
      <w:pPr>
        <w:pStyle w:val="29"/>
        <w:tabs>
          <w:tab w:val="right" w:leader="dot" w:pos="8312"/>
        </w:tabs>
      </w:pPr>
      <w:r>
        <w:rPr>
          <w:rFonts w:hAnsi="宋体" w:cs="宋体"/>
          <w:kern w:val="0"/>
          <w:szCs w:val="21"/>
          <w:highlight w:val="none"/>
        </w:rPr>
        <w:fldChar w:fldCharType="begin"/>
      </w:r>
      <w:r>
        <w:rPr>
          <w:rFonts w:hAnsi="宋体" w:cs="宋体"/>
          <w:kern w:val="0"/>
          <w:szCs w:val="21"/>
          <w:highlight w:val="none"/>
        </w:rPr>
        <w:instrText xml:space="preserve"> HYPERLINK \l _Toc8566 </w:instrText>
      </w:r>
      <w:r>
        <w:rPr>
          <w:rFonts w:hAnsi="宋体" w:cs="宋体"/>
          <w:kern w:val="0"/>
          <w:szCs w:val="21"/>
          <w:highlight w:val="none"/>
        </w:rPr>
        <w:fldChar w:fldCharType="separate"/>
      </w:r>
      <w:r>
        <w:rPr>
          <w:rFonts w:ascii="仿宋_GB2312" w:eastAsia="仿宋_GB2312"/>
          <w:highlight w:val="none"/>
        </w:rPr>
        <w:t>4</w:t>
      </w:r>
      <w:r>
        <w:rPr>
          <w:rFonts w:hint="eastAsia" w:ascii="仿宋_GB2312" w:eastAsia="仿宋_GB2312"/>
          <w:highlight w:val="none"/>
        </w:rPr>
        <w:t>货物说明一览表（</w:t>
      </w:r>
      <w:r>
        <w:rPr>
          <w:rFonts w:ascii="仿宋_GB2312" w:eastAsia="仿宋_GB2312"/>
          <w:highlight w:val="none"/>
        </w:rPr>
        <w:t>投标文件</w:t>
      </w:r>
      <w:r>
        <w:rPr>
          <w:rFonts w:hint="eastAsia" w:ascii="仿宋_GB2312" w:eastAsia="仿宋_GB2312"/>
          <w:highlight w:val="none"/>
        </w:rPr>
        <w:t>格式八）</w:t>
      </w:r>
      <w:r>
        <w:tab/>
      </w:r>
      <w:r>
        <w:fldChar w:fldCharType="begin"/>
      </w:r>
      <w:r>
        <w:instrText xml:space="preserve"> PAGEREF _Toc8566 \h </w:instrText>
      </w:r>
      <w:r>
        <w:fldChar w:fldCharType="separate"/>
      </w:r>
      <w:r>
        <w:t>36</w:t>
      </w:r>
      <w:r>
        <w:fldChar w:fldCharType="end"/>
      </w:r>
      <w:r>
        <w:rPr>
          <w:rFonts w:hAnsi="宋体" w:cs="宋体"/>
          <w:kern w:val="0"/>
          <w:szCs w:val="21"/>
          <w:highlight w:val="none"/>
        </w:rPr>
        <w:fldChar w:fldCharType="end"/>
      </w:r>
    </w:p>
    <w:p w14:paraId="12C3112B">
      <w:pPr>
        <w:pStyle w:val="29"/>
        <w:tabs>
          <w:tab w:val="right" w:leader="dot" w:pos="8312"/>
        </w:tabs>
      </w:pPr>
      <w:r>
        <w:rPr>
          <w:rFonts w:hAnsi="宋体" w:cs="宋体"/>
          <w:kern w:val="0"/>
          <w:szCs w:val="21"/>
          <w:highlight w:val="none"/>
        </w:rPr>
        <w:fldChar w:fldCharType="begin"/>
      </w:r>
      <w:r>
        <w:rPr>
          <w:rFonts w:hAnsi="宋体" w:cs="宋体"/>
          <w:kern w:val="0"/>
          <w:szCs w:val="21"/>
          <w:highlight w:val="none"/>
        </w:rPr>
        <w:instrText xml:space="preserve"> HYPERLINK \l _Toc18257 </w:instrText>
      </w:r>
      <w:r>
        <w:rPr>
          <w:rFonts w:hAnsi="宋体" w:cs="宋体"/>
          <w:kern w:val="0"/>
          <w:szCs w:val="21"/>
          <w:highlight w:val="none"/>
        </w:rPr>
        <w:fldChar w:fldCharType="separate"/>
      </w:r>
      <w:r>
        <w:rPr>
          <w:rFonts w:hint="eastAsia" w:ascii="仿宋_GB2312" w:eastAsia="仿宋_GB2312"/>
          <w:lang w:val="en-US" w:eastAsia="zh-CN"/>
        </w:rPr>
        <w:t>5</w:t>
      </w:r>
      <w:r>
        <w:rPr>
          <w:rFonts w:hint="eastAsia" w:ascii="仿宋_GB2312" w:eastAsia="仿宋_GB2312"/>
        </w:rPr>
        <w:t>技术规格偏离表（</w:t>
      </w:r>
      <w:r>
        <w:rPr>
          <w:rFonts w:ascii="仿宋_GB2312" w:eastAsia="仿宋_GB2312"/>
        </w:rPr>
        <w:t>投标文件</w:t>
      </w:r>
      <w:r>
        <w:rPr>
          <w:rFonts w:hint="eastAsia" w:ascii="仿宋_GB2312" w:eastAsia="仿宋_GB2312"/>
        </w:rPr>
        <w:t>格式九）</w:t>
      </w:r>
      <w:r>
        <w:tab/>
      </w:r>
      <w:r>
        <w:fldChar w:fldCharType="begin"/>
      </w:r>
      <w:r>
        <w:instrText xml:space="preserve"> PAGEREF _Toc18257 \h </w:instrText>
      </w:r>
      <w:r>
        <w:fldChar w:fldCharType="separate"/>
      </w:r>
      <w:r>
        <w:t>37</w:t>
      </w:r>
      <w:r>
        <w:fldChar w:fldCharType="end"/>
      </w:r>
      <w:r>
        <w:rPr>
          <w:rFonts w:hAnsi="宋体" w:cs="宋体"/>
          <w:kern w:val="0"/>
          <w:szCs w:val="21"/>
          <w:highlight w:val="none"/>
        </w:rPr>
        <w:fldChar w:fldCharType="end"/>
      </w:r>
    </w:p>
    <w:p w14:paraId="38E4F975">
      <w:pPr>
        <w:pStyle w:val="29"/>
        <w:tabs>
          <w:tab w:val="right" w:leader="dot" w:pos="8312"/>
        </w:tabs>
      </w:pPr>
      <w:r>
        <w:rPr>
          <w:rFonts w:hAnsi="宋体" w:cs="宋体"/>
          <w:kern w:val="0"/>
          <w:szCs w:val="21"/>
          <w:highlight w:val="none"/>
        </w:rPr>
        <w:fldChar w:fldCharType="begin"/>
      </w:r>
      <w:r>
        <w:rPr>
          <w:rFonts w:hAnsi="宋体" w:cs="宋体"/>
          <w:kern w:val="0"/>
          <w:szCs w:val="21"/>
          <w:highlight w:val="none"/>
        </w:rPr>
        <w:instrText xml:space="preserve"> HYPERLINK \l _Toc10296 </w:instrText>
      </w:r>
      <w:r>
        <w:rPr>
          <w:rFonts w:hAnsi="宋体" w:cs="宋体"/>
          <w:kern w:val="0"/>
          <w:szCs w:val="21"/>
          <w:highlight w:val="none"/>
        </w:rPr>
        <w:fldChar w:fldCharType="separate"/>
      </w:r>
      <w:r>
        <w:rPr>
          <w:rFonts w:hint="eastAsia" w:ascii="仿宋_GB2312" w:eastAsia="仿宋_GB2312"/>
          <w:highlight w:val="none"/>
          <w:lang w:val="en-US" w:eastAsia="zh-CN"/>
        </w:rPr>
        <w:t>6</w:t>
      </w:r>
      <w:r>
        <w:rPr>
          <w:rFonts w:hint="eastAsia" w:ascii="仿宋_GB2312" w:eastAsia="仿宋_GB2312"/>
          <w:highlight w:val="none"/>
        </w:rPr>
        <w:t>商务条款偏离表（</w:t>
      </w:r>
      <w:r>
        <w:rPr>
          <w:rFonts w:ascii="仿宋_GB2312" w:eastAsia="仿宋_GB2312"/>
          <w:highlight w:val="none"/>
        </w:rPr>
        <w:t>投标文件</w:t>
      </w:r>
      <w:r>
        <w:rPr>
          <w:rFonts w:hint="eastAsia" w:ascii="仿宋_GB2312" w:eastAsia="仿宋_GB2312"/>
          <w:highlight w:val="none"/>
        </w:rPr>
        <w:t>格式十）</w:t>
      </w:r>
      <w:r>
        <w:tab/>
      </w:r>
      <w:r>
        <w:fldChar w:fldCharType="begin"/>
      </w:r>
      <w:r>
        <w:instrText xml:space="preserve"> PAGEREF _Toc10296 \h </w:instrText>
      </w:r>
      <w:r>
        <w:fldChar w:fldCharType="separate"/>
      </w:r>
      <w:r>
        <w:t>38</w:t>
      </w:r>
      <w:r>
        <w:fldChar w:fldCharType="end"/>
      </w:r>
      <w:r>
        <w:rPr>
          <w:rFonts w:hAnsi="宋体" w:cs="宋体"/>
          <w:kern w:val="0"/>
          <w:szCs w:val="21"/>
          <w:highlight w:val="none"/>
        </w:rPr>
        <w:fldChar w:fldCharType="end"/>
      </w:r>
    </w:p>
    <w:p w14:paraId="25AB05F2">
      <w:pPr>
        <w:pStyle w:val="29"/>
        <w:tabs>
          <w:tab w:val="right" w:leader="dot" w:pos="8312"/>
        </w:tabs>
      </w:pPr>
      <w:r>
        <w:rPr>
          <w:rFonts w:hAnsi="宋体" w:cs="宋体"/>
          <w:kern w:val="0"/>
          <w:szCs w:val="21"/>
          <w:highlight w:val="none"/>
        </w:rPr>
        <w:fldChar w:fldCharType="begin"/>
      </w:r>
      <w:r>
        <w:rPr>
          <w:rFonts w:hAnsi="宋体" w:cs="宋体"/>
          <w:kern w:val="0"/>
          <w:szCs w:val="21"/>
          <w:highlight w:val="none"/>
        </w:rPr>
        <w:instrText xml:space="preserve"> HYPERLINK \l _Toc27577 </w:instrText>
      </w:r>
      <w:r>
        <w:rPr>
          <w:rFonts w:hAnsi="宋体" w:cs="宋体"/>
          <w:kern w:val="0"/>
          <w:szCs w:val="21"/>
          <w:highlight w:val="none"/>
        </w:rPr>
        <w:fldChar w:fldCharType="separate"/>
      </w:r>
      <w:r>
        <w:rPr>
          <w:rFonts w:hint="eastAsia" w:ascii="仿宋_GB2312" w:eastAsia="仿宋_GB2312"/>
          <w:highlight w:val="none"/>
          <w:lang w:val="en-US" w:eastAsia="zh-CN"/>
        </w:rPr>
        <w:t>7</w:t>
      </w:r>
      <w:r>
        <w:rPr>
          <w:rFonts w:hint="eastAsia" w:ascii="仿宋_GB2312" w:eastAsia="仿宋_GB2312"/>
          <w:highlight w:val="none"/>
        </w:rPr>
        <w:t>残疾人福利性单位声明函（</w:t>
      </w:r>
      <w:r>
        <w:rPr>
          <w:rFonts w:ascii="仿宋_GB2312" w:eastAsia="仿宋_GB2312"/>
          <w:highlight w:val="none"/>
        </w:rPr>
        <w:t>投标文件</w:t>
      </w:r>
      <w:r>
        <w:rPr>
          <w:rFonts w:hint="eastAsia" w:ascii="仿宋_GB2312" w:eastAsia="仿宋_GB2312"/>
          <w:highlight w:val="none"/>
        </w:rPr>
        <w:t>格式十三）</w:t>
      </w:r>
      <w:r>
        <w:tab/>
      </w:r>
      <w:r>
        <w:fldChar w:fldCharType="begin"/>
      </w:r>
      <w:r>
        <w:instrText xml:space="preserve"> PAGEREF _Toc27577 \h </w:instrText>
      </w:r>
      <w:r>
        <w:fldChar w:fldCharType="separate"/>
      </w:r>
      <w:r>
        <w:t>39</w:t>
      </w:r>
      <w:r>
        <w:fldChar w:fldCharType="end"/>
      </w:r>
      <w:r>
        <w:rPr>
          <w:rFonts w:hAnsi="宋体" w:cs="宋体"/>
          <w:kern w:val="0"/>
          <w:szCs w:val="21"/>
          <w:highlight w:val="none"/>
        </w:rPr>
        <w:fldChar w:fldCharType="end"/>
      </w:r>
    </w:p>
    <w:p w14:paraId="25394D32">
      <w:pPr>
        <w:pStyle w:val="29"/>
        <w:tabs>
          <w:tab w:val="right" w:leader="dot" w:pos="8312"/>
        </w:tabs>
      </w:pPr>
      <w:r>
        <w:rPr>
          <w:rFonts w:hAnsi="宋体" w:cs="宋体"/>
          <w:kern w:val="0"/>
          <w:szCs w:val="21"/>
          <w:highlight w:val="none"/>
        </w:rPr>
        <w:fldChar w:fldCharType="begin"/>
      </w:r>
      <w:r>
        <w:rPr>
          <w:rFonts w:hAnsi="宋体" w:cs="宋体"/>
          <w:kern w:val="0"/>
          <w:szCs w:val="21"/>
          <w:highlight w:val="none"/>
        </w:rPr>
        <w:instrText xml:space="preserve"> HYPERLINK \l _Toc10550 </w:instrText>
      </w:r>
      <w:r>
        <w:rPr>
          <w:rFonts w:hAnsi="宋体" w:cs="宋体"/>
          <w:kern w:val="0"/>
          <w:szCs w:val="21"/>
          <w:highlight w:val="none"/>
        </w:rPr>
        <w:fldChar w:fldCharType="separate"/>
      </w:r>
      <w:r>
        <w:rPr>
          <w:rFonts w:hint="eastAsia" w:ascii="仿宋_GB2312" w:hAnsi="宋体" w:eastAsia="仿宋_GB2312"/>
          <w:highlight w:val="none"/>
          <w:lang w:val="en-US" w:eastAsia="zh-CN"/>
        </w:rPr>
        <w:t>8</w:t>
      </w:r>
      <w:r>
        <w:rPr>
          <w:rFonts w:ascii="仿宋_GB2312" w:hAnsi="宋体" w:eastAsia="仿宋_GB2312"/>
          <w:highlight w:val="none"/>
        </w:rPr>
        <w:t>投标人关联单位的说明</w:t>
      </w:r>
      <w:r>
        <w:tab/>
      </w:r>
      <w:r>
        <w:fldChar w:fldCharType="begin"/>
      </w:r>
      <w:r>
        <w:instrText xml:space="preserve"> PAGEREF _Toc10550 \h </w:instrText>
      </w:r>
      <w:r>
        <w:fldChar w:fldCharType="separate"/>
      </w:r>
      <w:r>
        <w:t>40</w:t>
      </w:r>
      <w:r>
        <w:fldChar w:fldCharType="end"/>
      </w:r>
      <w:r>
        <w:rPr>
          <w:rFonts w:hAnsi="宋体" w:cs="宋体"/>
          <w:kern w:val="0"/>
          <w:szCs w:val="21"/>
          <w:highlight w:val="none"/>
        </w:rPr>
        <w:fldChar w:fldCharType="end"/>
      </w:r>
    </w:p>
    <w:p w14:paraId="516EEBBA">
      <w:pPr>
        <w:pStyle w:val="29"/>
        <w:tabs>
          <w:tab w:val="right" w:leader="dot" w:pos="8312"/>
        </w:tabs>
      </w:pPr>
      <w:r>
        <w:rPr>
          <w:rFonts w:hAnsi="宋体" w:cs="宋体"/>
          <w:kern w:val="0"/>
          <w:szCs w:val="21"/>
          <w:highlight w:val="none"/>
        </w:rPr>
        <w:fldChar w:fldCharType="begin"/>
      </w:r>
      <w:r>
        <w:rPr>
          <w:rFonts w:hAnsi="宋体" w:cs="宋体"/>
          <w:kern w:val="0"/>
          <w:szCs w:val="21"/>
          <w:highlight w:val="none"/>
        </w:rPr>
        <w:instrText xml:space="preserve"> HYPERLINK \l _Toc9333 </w:instrText>
      </w:r>
      <w:r>
        <w:rPr>
          <w:rFonts w:hAnsi="宋体" w:cs="宋体"/>
          <w:kern w:val="0"/>
          <w:szCs w:val="21"/>
          <w:highlight w:val="none"/>
        </w:rPr>
        <w:fldChar w:fldCharType="separate"/>
      </w:r>
      <w:r>
        <w:rPr>
          <w:rFonts w:hint="eastAsia" w:ascii="楷体" w:hAnsi="楷体" w:eastAsia="楷体" w:cs="楷体"/>
          <w:snapToGrid w:val="0"/>
          <w:kern w:val="0"/>
          <w:szCs w:val="24"/>
          <w:lang w:val="en-US" w:eastAsia="zh-CN" w:bidi="ar-SA"/>
        </w:rPr>
        <w:t>9人员配备一览表</w:t>
      </w:r>
      <w:r>
        <w:tab/>
      </w:r>
      <w:r>
        <w:fldChar w:fldCharType="begin"/>
      </w:r>
      <w:r>
        <w:instrText xml:space="preserve"> PAGEREF _Toc9333 \h </w:instrText>
      </w:r>
      <w:r>
        <w:fldChar w:fldCharType="separate"/>
      </w:r>
      <w:r>
        <w:t>41</w:t>
      </w:r>
      <w:r>
        <w:fldChar w:fldCharType="end"/>
      </w:r>
      <w:r>
        <w:rPr>
          <w:rFonts w:hAnsi="宋体" w:cs="宋体"/>
          <w:kern w:val="0"/>
          <w:szCs w:val="21"/>
          <w:highlight w:val="none"/>
        </w:rPr>
        <w:fldChar w:fldCharType="end"/>
      </w:r>
    </w:p>
    <w:p w14:paraId="664F7302">
      <w:pPr>
        <w:pStyle w:val="29"/>
        <w:tabs>
          <w:tab w:val="right" w:leader="dot" w:pos="8312"/>
        </w:tabs>
      </w:pPr>
      <w:r>
        <w:rPr>
          <w:rFonts w:hAnsi="宋体" w:cs="宋体"/>
          <w:kern w:val="0"/>
          <w:szCs w:val="21"/>
          <w:highlight w:val="none"/>
        </w:rPr>
        <w:fldChar w:fldCharType="begin"/>
      </w:r>
      <w:r>
        <w:rPr>
          <w:rFonts w:hAnsi="宋体" w:cs="宋体"/>
          <w:kern w:val="0"/>
          <w:szCs w:val="21"/>
          <w:highlight w:val="none"/>
        </w:rPr>
        <w:instrText xml:space="preserve"> HYPERLINK \l _Toc10503 </w:instrText>
      </w:r>
      <w:r>
        <w:rPr>
          <w:rFonts w:hAnsi="宋体" w:cs="宋体"/>
          <w:kern w:val="0"/>
          <w:szCs w:val="21"/>
          <w:highlight w:val="none"/>
        </w:rPr>
        <w:fldChar w:fldCharType="separate"/>
      </w:r>
      <w:r>
        <w:rPr>
          <w:rFonts w:hint="eastAsia" w:ascii="仿宋_GB2312" w:hAnsi="宋体" w:eastAsia="仿宋_GB2312"/>
          <w:highlight w:val="none"/>
          <w:lang w:val="en-US" w:eastAsia="zh-CN"/>
        </w:rPr>
        <w:t>10</w:t>
      </w:r>
      <w:r>
        <w:rPr>
          <w:rFonts w:hint="eastAsia" w:ascii="仿宋_GB2312" w:hAnsi="宋体" w:eastAsia="仿宋_GB2312"/>
          <w:highlight w:val="none"/>
        </w:rPr>
        <w:t>投标文件还应包括投标人须</w:t>
      </w:r>
      <w:r>
        <w:rPr>
          <w:rFonts w:hint="eastAsia" w:ascii="仿宋_GB2312" w:hAnsi="宋体" w:eastAsia="仿宋_GB2312"/>
          <w:highlight w:val="none"/>
          <w:lang w:eastAsia="zh-CN"/>
        </w:rPr>
        <w:t>知表里</w:t>
      </w:r>
      <w:r>
        <w:rPr>
          <w:rFonts w:hint="eastAsia" w:ascii="仿宋_GB2312" w:hAnsi="宋体" w:eastAsia="仿宋_GB2312"/>
          <w:highlight w:val="none"/>
        </w:rPr>
        <w:t>的所有技术文件</w:t>
      </w:r>
      <w:r>
        <w:tab/>
      </w:r>
      <w:r>
        <w:fldChar w:fldCharType="begin"/>
      </w:r>
      <w:r>
        <w:instrText xml:space="preserve"> PAGEREF _Toc10503 \h </w:instrText>
      </w:r>
      <w:r>
        <w:fldChar w:fldCharType="separate"/>
      </w:r>
      <w:r>
        <w:t>42</w:t>
      </w:r>
      <w:r>
        <w:fldChar w:fldCharType="end"/>
      </w:r>
      <w:r>
        <w:rPr>
          <w:rFonts w:hAnsi="宋体" w:cs="宋体"/>
          <w:kern w:val="0"/>
          <w:szCs w:val="21"/>
          <w:highlight w:val="none"/>
        </w:rPr>
        <w:fldChar w:fldCharType="end"/>
      </w:r>
    </w:p>
    <w:p w14:paraId="33AF6D6B">
      <w:pPr>
        <w:pStyle w:val="22"/>
        <w:tabs>
          <w:tab w:val="right" w:leader="dot" w:pos="8312"/>
        </w:tabs>
      </w:pPr>
      <w:r>
        <w:rPr>
          <w:rFonts w:hAnsi="宋体" w:cs="宋体"/>
          <w:kern w:val="0"/>
          <w:szCs w:val="21"/>
          <w:highlight w:val="none"/>
        </w:rPr>
        <w:fldChar w:fldCharType="begin"/>
      </w:r>
      <w:r>
        <w:rPr>
          <w:rFonts w:hAnsi="宋体" w:cs="宋体"/>
          <w:kern w:val="0"/>
          <w:szCs w:val="21"/>
          <w:highlight w:val="none"/>
        </w:rPr>
        <w:instrText xml:space="preserve"> HYPERLINK \l _Toc17427 </w:instrText>
      </w:r>
      <w:r>
        <w:rPr>
          <w:rFonts w:hAnsi="宋体" w:cs="宋体"/>
          <w:kern w:val="0"/>
          <w:szCs w:val="21"/>
          <w:highlight w:val="none"/>
        </w:rPr>
        <w:fldChar w:fldCharType="separate"/>
      </w:r>
      <w:r>
        <w:rPr>
          <w:rFonts w:hint="eastAsia" w:ascii="仿宋" w:hAnsi="仿宋" w:eastAsia="仿宋" w:cs="仿宋"/>
          <w:lang w:eastAsia="zh-CN"/>
        </w:rPr>
        <w:t>第三章</w:t>
      </w:r>
      <w:r>
        <w:rPr>
          <w:rFonts w:hint="eastAsia" w:ascii="仿宋" w:hAnsi="仿宋" w:eastAsia="仿宋" w:cs="仿宋"/>
          <w:lang w:val="en-US" w:eastAsia="zh-CN"/>
        </w:rPr>
        <w:t>招标</w:t>
      </w:r>
      <w:r>
        <w:rPr>
          <w:rFonts w:hint="eastAsia" w:ascii="仿宋" w:hAnsi="仿宋" w:eastAsia="仿宋" w:cs="仿宋"/>
          <w:lang w:eastAsia="zh-CN"/>
        </w:rPr>
        <w:t>公告</w:t>
      </w:r>
      <w:r>
        <w:tab/>
      </w:r>
      <w:r>
        <w:fldChar w:fldCharType="begin"/>
      </w:r>
      <w:r>
        <w:instrText xml:space="preserve"> PAGEREF _Toc17427 \h </w:instrText>
      </w:r>
      <w:r>
        <w:fldChar w:fldCharType="separate"/>
      </w:r>
      <w:r>
        <w:t>45</w:t>
      </w:r>
      <w:r>
        <w:fldChar w:fldCharType="end"/>
      </w:r>
      <w:r>
        <w:rPr>
          <w:rFonts w:hAnsi="宋体" w:cs="宋体"/>
          <w:kern w:val="0"/>
          <w:szCs w:val="21"/>
          <w:highlight w:val="none"/>
        </w:rPr>
        <w:fldChar w:fldCharType="end"/>
      </w:r>
    </w:p>
    <w:p w14:paraId="3247703E">
      <w:pPr>
        <w:pStyle w:val="22"/>
        <w:tabs>
          <w:tab w:val="right" w:leader="dot" w:pos="8312"/>
        </w:tabs>
      </w:pPr>
      <w:r>
        <w:rPr>
          <w:rFonts w:hAnsi="宋体" w:cs="宋体"/>
          <w:kern w:val="0"/>
          <w:szCs w:val="21"/>
          <w:highlight w:val="none"/>
        </w:rPr>
        <w:fldChar w:fldCharType="begin"/>
      </w:r>
      <w:r>
        <w:rPr>
          <w:rFonts w:hAnsi="宋体" w:cs="宋体"/>
          <w:kern w:val="0"/>
          <w:szCs w:val="21"/>
          <w:highlight w:val="none"/>
        </w:rPr>
        <w:instrText xml:space="preserve"> HYPERLINK \l _Toc8772 </w:instrText>
      </w:r>
      <w:r>
        <w:rPr>
          <w:rFonts w:hAnsi="宋体" w:cs="宋体"/>
          <w:kern w:val="0"/>
          <w:szCs w:val="21"/>
          <w:highlight w:val="none"/>
        </w:rPr>
        <w:fldChar w:fldCharType="separate"/>
      </w:r>
      <w:r>
        <w:rPr>
          <w:rFonts w:hint="eastAsia" w:ascii="仿宋_GB2312" w:eastAsia="仿宋_GB2312"/>
          <w:highlight w:val="none"/>
        </w:rPr>
        <w:t>第</w:t>
      </w:r>
      <w:r>
        <w:rPr>
          <w:rFonts w:hint="eastAsia" w:ascii="仿宋_GB2312" w:eastAsia="仿宋_GB2312"/>
          <w:highlight w:val="none"/>
          <w:lang w:eastAsia="zh-CN"/>
        </w:rPr>
        <w:t>四</w:t>
      </w:r>
      <w:r>
        <w:rPr>
          <w:rFonts w:hint="eastAsia" w:ascii="仿宋_GB2312" w:eastAsia="仿宋_GB2312"/>
          <w:highlight w:val="none"/>
        </w:rPr>
        <w:t>章投标人须知资料表</w:t>
      </w:r>
      <w:r>
        <w:tab/>
      </w:r>
      <w:r>
        <w:fldChar w:fldCharType="begin"/>
      </w:r>
      <w:r>
        <w:instrText xml:space="preserve"> PAGEREF _Toc8772 \h </w:instrText>
      </w:r>
      <w:r>
        <w:fldChar w:fldCharType="separate"/>
      </w:r>
      <w:r>
        <w:t>47</w:t>
      </w:r>
      <w:r>
        <w:fldChar w:fldCharType="end"/>
      </w:r>
      <w:r>
        <w:rPr>
          <w:rFonts w:hAnsi="宋体" w:cs="宋体"/>
          <w:kern w:val="0"/>
          <w:szCs w:val="21"/>
          <w:highlight w:val="none"/>
        </w:rPr>
        <w:fldChar w:fldCharType="end"/>
      </w:r>
    </w:p>
    <w:p w14:paraId="5DD6E9E0">
      <w:pPr>
        <w:pStyle w:val="22"/>
        <w:tabs>
          <w:tab w:val="right" w:leader="dot" w:pos="8312"/>
        </w:tabs>
      </w:pPr>
      <w:r>
        <w:rPr>
          <w:rFonts w:hAnsi="宋体" w:cs="宋体"/>
          <w:kern w:val="0"/>
          <w:szCs w:val="21"/>
          <w:highlight w:val="none"/>
        </w:rPr>
        <w:fldChar w:fldCharType="begin"/>
      </w:r>
      <w:r>
        <w:rPr>
          <w:rFonts w:hAnsi="宋体" w:cs="宋体"/>
          <w:kern w:val="0"/>
          <w:szCs w:val="21"/>
          <w:highlight w:val="none"/>
        </w:rPr>
        <w:instrText xml:space="preserve"> HYPERLINK \l _Toc32007 </w:instrText>
      </w:r>
      <w:r>
        <w:rPr>
          <w:rFonts w:hAnsi="宋体" w:cs="宋体"/>
          <w:kern w:val="0"/>
          <w:szCs w:val="21"/>
          <w:highlight w:val="none"/>
        </w:rPr>
        <w:fldChar w:fldCharType="separate"/>
      </w:r>
      <w:r>
        <w:rPr>
          <w:rFonts w:hint="eastAsia" w:ascii="仿宋_GB2312" w:eastAsia="仿宋_GB2312"/>
        </w:rPr>
        <w:t>第五章</w:t>
      </w:r>
      <w:r>
        <w:rPr>
          <w:rFonts w:hint="eastAsia" w:ascii="仿宋" w:hAnsi="仿宋" w:eastAsia="仿宋" w:cs="仿宋"/>
          <w:highlight w:val="none"/>
        </w:rPr>
        <w:t>货物需求一览表及要求</w:t>
      </w:r>
      <w:r>
        <w:tab/>
      </w:r>
      <w:r>
        <w:fldChar w:fldCharType="begin"/>
      </w:r>
      <w:r>
        <w:instrText xml:space="preserve"> PAGEREF _Toc32007 \h </w:instrText>
      </w:r>
      <w:r>
        <w:fldChar w:fldCharType="separate"/>
      </w:r>
      <w:r>
        <w:t>52</w:t>
      </w:r>
      <w:r>
        <w:fldChar w:fldCharType="end"/>
      </w:r>
      <w:r>
        <w:rPr>
          <w:rFonts w:hAnsi="宋体" w:cs="宋体"/>
          <w:kern w:val="0"/>
          <w:szCs w:val="21"/>
          <w:highlight w:val="none"/>
        </w:rPr>
        <w:fldChar w:fldCharType="end"/>
      </w:r>
    </w:p>
    <w:p w14:paraId="3C254D24">
      <w:pPr>
        <w:pStyle w:val="22"/>
        <w:tabs>
          <w:tab w:val="right" w:leader="dot" w:pos="8312"/>
        </w:tabs>
      </w:pPr>
      <w:r>
        <w:rPr>
          <w:rFonts w:hAnsi="宋体" w:cs="宋体"/>
          <w:kern w:val="0"/>
          <w:szCs w:val="21"/>
          <w:highlight w:val="none"/>
        </w:rPr>
        <w:fldChar w:fldCharType="begin"/>
      </w:r>
      <w:r>
        <w:rPr>
          <w:rFonts w:hAnsi="宋体" w:cs="宋体"/>
          <w:kern w:val="0"/>
          <w:szCs w:val="21"/>
          <w:highlight w:val="none"/>
        </w:rPr>
        <w:instrText xml:space="preserve"> HYPERLINK \l _Toc7432 </w:instrText>
      </w:r>
      <w:r>
        <w:rPr>
          <w:rFonts w:hAnsi="宋体" w:cs="宋体"/>
          <w:kern w:val="0"/>
          <w:szCs w:val="21"/>
          <w:highlight w:val="none"/>
        </w:rPr>
        <w:fldChar w:fldCharType="separate"/>
      </w:r>
      <w:r>
        <w:rPr>
          <w:rFonts w:hint="eastAsia" w:ascii="仿宋_GB2312" w:eastAsia="仿宋_GB2312"/>
        </w:rPr>
        <w:t>第六章</w:t>
      </w:r>
      <w:r>
        <w:rPr>
          <w:rFonts w:hint="eastAsia" w:ascii="仿宋_GB2312" w:eastAsia="仿宋_GB2312"/>
          <w:highlight w:val="none"/>
        </w:rPr>
        <w:t>评标方法和标准</w:t>
      </w:r>
      <w:r>
        <w:tab/>
      </w:r>
      <w:r>
        <w:fldChar w:fldCharType="begin"/>
      </w:r>
      <w:r>
        <w:instrText xml:space="preserve"> PAGEREF _Toc7432 \h </w:instrText>
      </w:r>
      <w:r>
        <w:fldChar w:fldCharType="separate"/>
      </w:r>
      <w:r>
        <w:t>69</w:t>
      </w:r>
      <w:r>
        <w:fldChar w:fldCharType="end"/>
      </w:r>
      <w:r>
        <w:rPr>
          <w:rFonts w:hAnsi="宋体" w:cs="宋体"/>
          <w:kern w:val="0"/>
          <w:szCs w:val="21"/>
          <w:highlight w:val="none"/>
        </w:rPr>
        <w:fldChar w:fldCharType="end"/>
      </w:r>
    </w:p>
    <w:p w14:paraId="11482B2F">
      <w:pPr>
        <w:pStyle w:val="22"/>
        <w:tabs>
          <w:tab w:val="right" w:leader="dot" w:pos="8312"/>
        </w:tabs>
        <w:rPr>
          <w:rFonts w:hint="eastAsia" w:eastAsia="宋体"/>
          <w:highlight w:val="none"/>
          <w:lang w:val="en-US" w:eastAsia="zh-CN"/>
        </w:rPr>
      </w:pPr>
      <w:r>
        <w:rPr>
          <w:rFonts w:hAnsi="宋体" w:cs="宋体"/>
          <w:kern w:val="0"/>
          <w:szCs w:val="21"/>
          <w:highlight w:val="none"/>
        </w:rPr>
        <w:fldChar w:fldCharType="end"/>
      </w:r>
      <w:bookmarkStart w:id="0" w:name="_Toc216582804"/>
      <w:bookmarkStart w:id="1" w:name="_Toc22782"/>
      <w:bookmarkStart w:id="2" w:name="_Toc17230"/>
    </w:p>
    <w:p w14:paraId="3BFD97E7">
      <w:pPr>
        <w:rPr>
          <w:rFonts w:hint="eastAsia" w:ascii="仿宋_GB2312" w:eastAsia="仿宋_GB2312"/>
          <w:highlight w:val="none"/>
        </w:rPr>
      </w:pPr>
      <w:bookmarkStart w:id="3" w:name="_Toc25082"/>
      <w:bookmarkStart w:id="4" w:name="_Toc515647756"/>
      <w:r>
        <w:rPr>
          <w:rFonts w:hint="eastAsia" w:ascii="仿宋_GB2312" w:eastAsia="仿宋_GB2312"/>
          <w:highlight w:val="none"/>
        </w:rPr>
        <w:br w:type="page"/>
      </w:r>
    </w:p>
    <w:p w14:paraId="6ABC8EA2">
      <w:pPr>
        <w:pStyle w:val="2"/>
        <w:numPr>
          <w:ilvl w:val="0"/>
          <w:numId w:val="3"/>
        </w:numPr>
        <w:tabs>
          <w:tab w:val="left" w:pos="0"/>
          <w:tab w:val="clear" w:pos="3134"/>
        </w:tabs>
        <w:spacing w:before="0" w:after="0" w:line="240" w:lineRule="atLeast"/>
        <w:ind w:hanging="3134"/>
        <w:rPr>
          <w:rFonts w:hint="eastAsia" w:ascii="仿宋_GB2312" w:eastAsia="仿宋_GB2312"/>
          <w:highlight w:val="none"/>
        </w:rPr>
      </w:pPr>
      <w:r>
        <w:rPr>
          <w:rFonts w:hint="eastAsia" w:ascii="仿宋_GB2312" w:eastAsia="仿宋_GB2312"/>
          <w:highlight w:val="none"/>
        </w:rPr>
        <w:t>投标人须知</w:t>
      </w:r>
      <w:bookmarkEnd w:id="0"/>
      <w:bookmarkEnd w:id="1"/>
      <w:bookmarkEnd w:id="2"/>
      <w:bookmarkEnd w:id="3"/>
      <w:bookmarkEnd w:id="4"/>
    </w:p>
    <w:p w14:paraId="00113715">
      <w:pPr>
        <w:rPr>
          <w:rFonts w:hint="eastAsia"/>
          <w:highlight w:val="none"/>
        </w:rPr>
      </w:pPr>
    </w:p>
    <w:p w14:paraId="3BB7A0D9">
      <w:pPr>
        <w:pStyle w:val="3"/>
        <w:spacing w:before="0" w:line="240" w:lineRule="atLeast"/>
        <w:ind w:left="1079" w:leftChars="257" w:hanging="540"/>
        <w:rPr>
          <w:rFonts w:hint="eastAsia" w:ascii="仿宋_GB2312" w:hAnsi="宋体" w:eastAsia="仿宋_GB2312"/>
          <w:sz w:val="28"/>
          <w:highlight w:val="none"/>
        </w:rPr>
      </w:pPr>
      <w:bookmarkStart w:id="5" w:name="_Toc216582805"/>
      <w:bookmarkStart w:id="6" w:name="_Toc520356143"/>
      <w:bookmarkStart w:id="7" w:name="_Toc515647757"/>
      <w:bookmarkStart w:id="8" w:name="_Toc21330"/>
      <w:bookmarkStart w:id="9" w:name="_Toc21015"/>
      <w:bookmarkStart w:id="10" w:name="_Toc21215"/>
      <w:r>
        <w:rPr>
          <w:rFonts w:hint="eastAsia" w:ascii="仿宋_GB2312" w:hAnsi="宋体" w:eastAsia="仿宋_GB2312"/>
          <w:sz w:val="28"/>
          <w:highlight w:val="none"/>
        </w:rPr>
        <w:t>一</w:t>
      </w:r>
      <w:bookmarkEnd w:id="5"/>
      <w:bookmarkEnd w:id="6"/>
      <w:bookmarkEnd w:id="7"/>
      <w:r>
        <w:rPr>
          <w:rFonts w:hint="eastAsia" w:ascii="仿宋_GB2312" w:hAnsi="宋体" w:eastAsia="仿宋_GB2312"/>
          <w:sz w:val="28"/>
          <w:highlight w:val="none"/>
        </w:rPr>
        <w:t>总则</w:t>
      </w:r>
      <w:bookmarkEnd w:id="8"/>
      <w:bookmarkEnd w:id="9"/>
      <w:bookmarkEnd w:id="10"/>
    </w:p>
    <w:p w14:paraId="34ECD223">
      <w:pPr>
        <w:pStyle w:val="4"/>
        <w:rPr>
          <w:rFonts w:hint="eastAsia"/>
          <w:highlight w:val="none"/>
        </w:rPr>
      </w:pPr>
    </w:p>
    <w:p w14:paraId="29596986">
      <w:pPr>
        <w:pStyle w:val="5"/>
        <w:spacing w:before="0" w:after="0" w:line="240" w:lineRule="atLeast"/>
        <w:rPr>
          <w:rFonts w:ascii="仿宋_GB2312" w:hAnsi="宋体" w:eastAsia="仿宋_GB2312"/>
          <w:highlight w:val="none"/>
          <w:u w:val="none"/>
        </w:rPr>
      </w:pPr>
      <w:bookmarkStart w:id="11" w:name="_Toc520356144"/>
      <w:bookmarkStart w:id="12" w:name="_Toc515647758"/>
      <w:bookmarkStart w:id="13" w:name="_Toc13892"/>
      <w:bookmarkStart w:id="14" w:name="_Toc32623"/>
      <w:bookmarkStart w:id="15" w:name="_Toc32189"/>
      <w:r>
        <w:rPr>
          <w:rFonts w:hint="eastAsia" w:ascii="仿宋_GB2312" w:hAnsi="宋体" w:eastAsia="仿宋_GB2312"/>
          <w:highlight w:val="none"/>
          <w:u w:val="none"/>
        </w:rPr>
        <w:t>1.采购人、采购</w:t>
      </w:r>
      <w:r>
        <w:rPr>
          <w:rFonts w:ascii="仿宋_GB2312" w:hAnsi="宋体" w:eastAsia="仿宋_GB2312"/>
          <w:highlight w:val="none"/>
          <w:u w:val="none"/>
        </w:rPr>
        <w:t>代理机构</w:t>
      </w:r>
      <w:r>
        <w:rPr>
          <w:rFonts w:hint="eastAsia" w:ascii="仿宋_GB2312" w:hAnsi="宋体" w:eastAsia="仿宋_GB2312"/>
          <w:highlight w:val="none"/>
          <w:u w:val="none"/>
        </w:rPr>
        <w:t>及</w:t>
      </w:r>
      <w:bookmarkEnd w:id="11"/>
      <w:r>
        <w:rPr>
          <w:rFonts w:hint="eastAsia" w:ascii="仿宋_GB2312" w:hAnsi="宋体" w:eastAsia="仿宋_GB2312"/>
          <w:highlight w:val="none"/>
          <w:u w:val="none"/>
        </w:rPr>
        <w:t>投标人</w:t>
      </w:r>
      <w:bookmarkEnd w:id="12"/>
      <w:bookmarkEnd w:id="13"/>
      <w:bookmarkEnd w:id="14"/>
      <w:bookmarkEnd w:id="15"/>
    </w:p>
    <w:p w14:paraId="3C21CDBC">
      <w:pPr>
        <w:numPr>
          <w:ilvl w:val="1"/>
          <w:numId w:val="4"/>
        </w:numPr>
        <w:tabs>
          <w:tab w:val="left" w:pos="0"/>
          <w:tab w:val="clear" w:pos="900"/>
        </w:tabs>
        <w:spacing w:line="240" w:lineRule="atLeast"/>
        <w:ind w:hanging="898"/>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采购人：是指依法开展政府采购活动的国家机关、事业单位、团体组织。</w:t>
      </w:r>
    </w:p>
    <w:p w14:paraId="168BA349">
      <w:pPr>
        <w:numPr>
          <w:ilvl w:val="1"/>
          <w:numId w:val="4"/>
        </w:numPr>
        <w:tabs>
          <w:tab w:val="left" w:pos="0"/>
          <w:tab w:val="clear" w:pos="900"/>
        </w:tabs>
        <w:spacing w:line="240" w:lineRule="atLeast"/>
        <w:ind w:hanging="898"/>
        <w:rPr>
          <w:rFonts w:ascii="黑体" w:hAnsi="宋体" w:eastAsia="仿宋_GB2312"/>
          <w:sz w:val="24"/>
          <w:highlight w:val="none"/>
        </w:rPr>
      </w:pPr>
      <w:r>
        <w:rPr>
          <w:rFonts w:hint="eastAsia" w:ascii="仿宋_GB2312" w:hAnsi="宋体" w:eastAsia="仿宋_GB2312"/>
          <w:color w:val="auto"/>
          <w:sz w:val="24"/>
          <w:highlight w:val="none"/>
        </w:rPr>
        <w:t>本项目的采购人见投标人须知资料表。</w:t>
      </w:r>
    </w:p>
    <w:p w14:paraId="6A3D3ACA">
      <w:pPr>
        <w:tabs>
          <w:tab w:val="left" w:pos="0"/>
        </w:tabs>
        <w:spacing w:line="240" w:lineRule="atLeast"/>
        <w:ind w:left="900"/>
        <w:rPr>
          <w:rFonts w:hint="eastAsia" w:ascii="黑体" w:hAnsi="宋体" w:eastAsia="仿宋_GB2312"/>
          <w:sz w:val="24"/>
          <w:highlight w:val="none"/>
        </w:rPr>
      </w:pPr>
      <w:r>
        <w:rPr>
          <w:rFonts w:hint="eastAsia" w:ascii="黑体" w:hAnsi="宋体" w:eastAsia="仿宋_GB2312"/>
          <w:sz w:val="24"/>
          <w:highlight w:val="none"/>
        </w:rPr>
        <w:t>本项目的采购人见</w:t>
      </w:r>
      <w:r>
        <w:rPr>
          <w:rFonts w:hint="eastAsia" w:ascii="仿宋_GB2312" w:hAnsi="宋体" w:eastAsia="仿宋_GB2312"/>
          <w:sz w:val="24"/>
          <w:highlight w:val="none"/>
          <w:u w:val="single"/>
        </w:rPr>
        <w:t>投标人须知资料表</w:t>
      </w:r>
      <w:r>
        <w:rPr>
          <w:rFonts w:hint="eastAsia" w:ascii="黑体" w:hAnsi="宋体" w:eastAsia="仿宋_GB2312"/>
          <w:sz w:val="24"/>
          <w:highlight w:val="none"/>
        </w:rPr>
        <w:t>。</w:t>
      </w:r>
    </w:p>
    <w:p w14:paraId="4646EB95">
      <w:pPr>
        <w:numPr>
          <w:ilvl w:val="1"/>
          <w:numId w:val="4"/>
        </w:numPr>
        <w:tabs>
          <w:tab w:val="left" w:pos="0"/>
          <w:tab w:val="clear" w:pos="900"/>
        </w:tabs>
        <w:spacing w:line="240" w:lineRule="atLeast"/>
        <w:ind w:hanging="898"/>
        <w:rPr>
          <w:rFonts w:ascii="黑体" w:hAnsi="宋体" w:eastAsia="仿宋_GB2312"/>
          <w:sz w:val="24"/>
          <w:highlight w:val="none"/>
        </w:rPr>
      </w:pPr>
      <w:r>
        <w:rPr>
          <w:rFonts w:hint="eastAsia" w:ascii="黑体" w:hAnsi="宋体" w:eastAsia="仿宋_GB2312"/>
          <w:sz w:val="24"/>
          <w:highlight w:val="none"/>
        </w:rPr>
        <w:t>采购代理机构：是指在集中采购机构或从事采购代理业务的社会中介机构。本项目的采购代理机构见</w:t>
      </w:r>
      <w:r>
        <w:rPr>
          <w:rFonts w:hint="eastAsia" w:ascii="仿宋_GB2312" w:hAnsi="宋体" w:eastAsia="仿宋_GB2312"/>
          <w:sz w:val="24"/>
          <w:highlight w:val="none"/>
          <w:u w:val="single"/>
        </w:rPr>
        <w:t>投标人须知资料表</w:t>
      </w:r>
      <w:r>
        <w:rPr>
          <w:rFonts w:hint="eastAsia" w:ascii="黑体" w:hAnsi="宋体" w:eastAsia="仿宋_GB2312"/>
          <w:sz w:val="24"/>
          <w:highlight w:val="none"/>
        </w:rPr>
        <w:t>。</w:t>
      </w:r>
    </w:p>
    <w:p w14:paraId="72085290">
      <w:pPr>
        <w:numPr>
          <w:ilvl w:val="1"/>
          <w:numId w:val="4"/>
        </w:numPr>
        <w:spacing w:line="240" w:lineRule="atLeast"/>
        <w:ind w:hangingChars="375"/>
        <w:rPr>
          <w:rFonts w:ascii="仿宋_GB2312" w:hAnsi="宋体" w:eastAsia="仿宋_GB2312"/>
          <w:sz w:val="24"/>
          <w:highlight w:val="none"/>
        </w:rPr>
      </w:pPr>
      <w:r>
        <w:rPr>
          <w:rFonts w:hint="eastAsia" w:ascii="仿宋_GB2312" w:hAnsi="宋体" w:eastAsia="仿宋_GB2312"/>
          <w:sz w:val="24"/>
          <w:highlight w:val="none"/>
        </w:rPr>
        <w:t>投标人</w:t>
      </w:r>
      <w:r>
        <w:rPr>
          <w:rFonts w:ascii="仿宋_GB2312" w:hAnsi="宋体" w:eastAsia="仿宋_GB2312"/>
          <w:sz w:val="24"/>
          <w:highlight w:val="none"/>
        </w:rPr>
        <w:t>：是指向采购人提供货物、工程或者服务的法人、非法人组织或者自然人。</w:t>
      </w:r>
      <w:r>
        <w:rPr>
          <w:rFonts w:hint="eastAsia" w:ascii="仿宋_GB2312" w:hAnsi="宋体" w:eastAsia="仿宋_GB2312"/>
          <w:sz w:val="24"/>
          <w:highlight w:val="none"/>
        </w:rPr>
        <w:t>本项目</w:t>
      </w:r>
      <w:r>
        <w:rPr>
          <w:rFonts w:ascii="仿宋_GB2312" w:hAnsi="宋体" w:eastAsia="仿宋_GB2312"/>
          <w:sz w:val="24"/>
          <w:highlight w:val="none"/>
        </w:rPr>
        <w:t>的</w:t>
      </w:r>
      <w:r>
        <w:rPr>
          <w:rFonts w:hint="eastAsia" w:ascii="仿宋_GB2312" w:hAnsi="宋体" w:eastAsia="仿宋_GB2312"/>
          <w:sz w:val="24"/>
          <w:highlight w:val="none"/>
        </w:rPr>
        <w:t>投标人及其投标货物须满足以下条件：</w:t>
      </w:r>
    </w:p>
    <w:p w14:paraId="0CCF7548">
      <w:pPr>
        <w:spacing w:line="240" w:lineRule="atLeast"/>
        <w:ind w:left="850" w:hanging="849" w:hangingChars="354"/>
        <w:rPr>
          <w:rFonts w:ascii="仿宋_GB2312" w:hAnsi="宋体" w:eastAsia="仿宋_GB2312"/>
          <w:sz w:val="24"/>
          <w:highlight w:val="none"/>
        </w:rPr>
      </w:pPr>
      <w:r>
        <w:rPr>
          <w:rFonts w:hint="eastAsia" w:ascii="仿宋_GB2312" w:hAnsi="宋体" w:eastAsia="仿宋_GB2312"/>
          <w:sz w:val="24"/>
          <w:highlight w:val="none"/>
        </w:rPr>
        <w:t>1.</w:t>
      </w:r>
      <w:r>
        <w:rPr>
          <w:rFonts w:ascii="仿宋_GB2312" w:hAnsi="宋体" w:eastAsia="仿宋_GB2312"/>
          <w:sz w:val="24"/>
          <w:highlight w:val="none"/>
        </w:rPr>
        <w:t>3.1</w:t>
      </w:r>
      <w:r>
        <w:rPr>
          <w:rFonts w:hint="eastAsia" w:ascii="仿宋_GB2312" w:hAnsi="宋体" w:eastAsia="仿宋_GB2312"/>
          <w:sz w:val="24"/>
          <w:highlight w:val="none"/>
        </w:rPr>
        <w:tab/>
      </w:r>
      <w:r>
        <w:rPr>
          <w:rFonts w:hint="eastAsia" w:ascii="仿宋_GB2312" w:hAnsi="宋体" w:eastAsia="仿宋_GB2312"/>
          <w:sz w:val="24"/>
          <w:highlight w:val="none"/>
        </w:rPr>
        <w:t>在中华人民共和国境内注册，能够独立承担民事责任，有生产或供应能力的</w:t>
      </w:r>
      <w:r>
        <w:rPr>
          <w:rFonts w:hint="eastAsia" w:ascii="黑体" w:hAnsi="宋体" w:eastAsia="仿宋_GB2312"/>
          <w:sz w:val="24"/>
          <w:highlight w:val="none"/>
        </w:rPr>
        <w:t>本国</w:t>
      </w:r>
      <w:r>
        <w:rPr>
          <w:rFonts w:hint="eastAsia" w:ascii="黑体" w:hAnsi="宋体" w:eastAsia="仿宋_GB2312"/>
          <w:sz w:val="24"/>
          <w:highlight w:val="none"/>
          <w:lang w:eastAsia="zh-CN"/>
        </w:rPr>
        <w:t>投标人</w:t>
      </w:r>
      <w:r>
        <w:rPr>
          <w:rFonts w:hint="eastAsia" w:ascii="仿宋_GB2312" w:hAnsi="宋体" w:eastAsia="仿宋_GB2312"/>
          <w:sz w:val="24"/>
          <w:highlight w:val="none"/>
        </w:rPr>
        <w:t>。</w:t>
      </w:r>
    </w:p>
    <w:p w14:paraId="1AD38E9C">
      <w:pPr>
        <w:spacing w:line="240" w:lineRule="atLeast"/>
        <w:ind w:left="900" w:hanging="900" w:hangingChars="375"/>
        <w:rPr>
          <w:rFonts w:hint="eastAsia" w:ascii="仿宋_GB2312" w:hAnsi="宋体" w:eastAsia="仿宋_GB2312"/>
          <w:sz w:val="24"/>
          <w:highlight w:val="none"/>
        </w:rPr>
      </w:pPr>
      <w:r>
        <w:rPr>
          <w:rFonts w:ascii="仿宋_GB2312" w:hAnsi="宋体" w:eastAsia="仿宋_GB2312"/>
          <w:sz w:val="24"/>
          <w:highlight w:val="none"/>
        </w:rPr>
        <w:t>1.3.2</w:t>
      </w:r>
      <w:r>
        <w:rPr>
          <w:rFonts w:hint="eastAsia" w:ascii="仿宋_GB2312" w:hAnsi="宋体" w:eastAsia="仿宋_GB2312"/>
          <w:sz w:val="24"/>
          <w:highlight w:val="none"/>
        </w:rPr>
        <w:t>具备《中华人民共和国政府采购法》第二十二条关于</w:t>
      </w:r>
      <w:r>
        <w:rPr>
          <w:rFonts w:hint="eastAsia" w:ascii="仿宋_GB2312" w:hAnsi="宋体" w:eastAsia="仿宋_GB2312"/>
          <w:sz w:val="24"/>
          <w:highlight w:val="none"/>
          <w:lang w:eastAsia="zh-CN"/>
        </w:rPr>
        <w:t>投标人</w:t>
      </w:r>
      <w:r>
        <w:rPr>
          <w:rFonts w:hint="eastAsia" w:ascii="仿宋_GB2312" w:hAnsi="宋体" w:eastAsia="仿宋_GB2312"/>
          <w:sz w:val="24"/>
          <w:highlight w:val="none"/>
        </w:rPr>
        <w:t>条件的规定，遵守本项目采购人本级</w:t>
      </w:r>
      <w:r>
        <w:rPr>
          <w:rFonts w:ascii="仿宋_GB2312" w:hAnsi="宋体" w:eastAsia="仿宋_GB2312"/>
          <w:sz w:val="24"/>
          <w:highlight w:val="none"/>
        </w:rPr>
        <w:t>和上级财政部门</w:t>
      </w:r>
      <w:r>
        <w:rPr>
          <w:rFonts w:hint="eastAsia" w:ascii="仿宋_GB2312" w:hAnsi="宋体" w:eastAsia="仿宋_GB2312"/>
          <w:sz w:val="24"/>
          <w:highlight w:val="none"/>
        </w:rPr>
        <w:t>政府采购的有关规定。</w:t>
      </w:r>
    </w:p>
    <w:p w14:paraId="22F19DFA">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1.</w:t>
      </w:r>
      <w:r>
        <w:rPr>
          <w:rFonts w:ascii="仿宋_GB2312" w:hAnsi="宋体" w:eastAsia="仿宋_GB2312"/>
          <w:sz w:val="24"/>
          <w:highlight w:val="none"/>
        </w:rPr>
        <w:t>3</w:t>
      </w:r>
      <w:r>
        <w:rPr>
          <w:rFonts w:hint="eastAsia" w:ascii="仿宋_GB2312" w:hAnsi="宋体" w:eastAsia="仿宋_GB2312"/>
          <w:sz w:val="24"/>
          <w:highlight w:val="none"/>
        </w:rPr>
        <w:t>.3以采购代理机构认可</w:t>
      </w:r>
      <w:r>
        <w:rPr>
          <w:rFonts w:ascii="仿宋_GB2312" w:hAnsi="宋体" w:eastAsia="仿宋_GB2312"/>
          <w:sz w:val="24"/>
          <w:highlight w:val="none"/>
        </w:rPr>
        <w:t>的方式</w:t>
      </w:r>
      <w:r>
        <w:rPr>
          <w:rFonts w:hint="eastAsia" w:ascii="仿宋_GB2312" w:hAnsi="宋体" w:eastAsia="仿宋_GB2312"/>
          <w:sz w:val="24"/>
          <w:highlight w:val="none"/>
        </w:rPr>
        <w:t>获得了本项目的</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w:t>
      </w:r>
    </w:p>
    <w:p w14:paraId="3618F78D">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1.</w:t>
      </w:r>
      <w:r>
        <w:rPr>
          <w:rFonts w:ascii="仿宋_GB2312" w:hAnsi="宋体" w:eastAsia="仿宋_GB2312"/>
          <w:sz w:val="24"/>
          <w:highlight w:val="none"/>
        </w:rPr>
        <w:t>3</w:t>
      </w:r>
      <w:r>
        <w:rPr>
          <w:rFonts w:hint="eastAsia" w:ascii="仿宋_GB2312" w:hAnsi="宋体" w:eastAsia="仿宋_GB2312"/>
          <w:sz w:val="24"/>
          <w:highlight w:val="none"/>
        </w:rPr>
        <w:t>.4符合</w:t>
      </w:r>
      <w:r>
        <w:rPr>
          <w:rFonts w:hint="eastAsia" w:ascii="仿宋_GB2312" w:hAnsi="宋体" w:eastAsia="仿宋_GB2312"/>
          <w:sz w:val="24"/>
          <w:highlight w:val="none"/>
          <w:u w:val="single"/>
        </w:rPr>
        <w:t>投标人须知资料表</w:t>
      </w:r>
      <w:r>
        <w:rPr>
          <w:rFonts w:hint="eastAsia" w:ascii="仿宋_GB2312" w:hAnsi="宋体" w:eastAsia="仿宋_GB2312"/>
          <w:sz w:val="24"/>
          <w:highlight w:val="none"/>
        </w:rPr>
        <w:t>中规定的其他要求。</w:t>
      </w:r>
    </w:p>
    <w:p w14:paraId="6F95ED65">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1.</w:t>
      </w:r>
      <w:r>
        <w:rPr>
          <w:rFonts w:ascii="仿宋_GB2312" w:hAnsi="宋体" w:eastAsia="仿宋_GB2312"/>
          <w:sz w:val="24"/>
          <w:highlight w:val="none"/>
        </w:rPr>
        <w:t>3</w:t>
      </w:r>
      <w:r>
        <w:rPr>
          <w:rFonts w:hint="eastAsia" w:ascii="仿宋_GB2312" w:hAnsi="宋体" w:eastAsia="仿宋_GB2312"/>
          <w:sz w:val="24"/>
          <w:highlight w:val="none"/>
        </w:rPr>
        <w:t>.5若</w:t>
      </w:r>
      <w:r>
        <w:rPr>
          <w:rFonts w:hint="eastAsia" w:ascii="仿宋_GB2312" w:hAnsi="宋体" w:eastAsia="仿宋_GB2312"/>
          <w:sz w:val="24"/>
          <w:highlight w:val="none"/>
          <w:u w:val="single"/>
        </w:rPr>
        <w:t>投标人须知资料表</w:t>
      </w:r>
      <w:r>
        <w:rPr>
          <w:rFonts w:hint="eastAsia" w:ascii="仿宋_GB2312" w:hAnsi="宋体" w:eastAsia="仿宋_GB2312"/>
          <w:sz w:val="24"/>
          <w:highlight w:val="none"/>
        </w:rPr>
        <w:t>中写明允许采购进口产品，投标人应保证所投产品可履行合法报通关手续进入中国关境内。</w:t>
      </w:r>
    </w:p>
    <w:p w14:paraId="2FC1CA22">
      <w:pPr>
        <w:spacing w:line="240" w:lineRule="atLeast"/>
        <w:ind w:left="898" w:leftChars="428"/>
        <w:rPr>
          <w:rFonts w:hint="eastAsia" w:ascii="仿宋_GB2312" w:hAnsi="宋体" w:eastAsia="仿宋_GB2312"/>
          <w:color w:val="FF0000"/>
          <w:sz w:val="24"/>
          <w:highlight w:val="none"/>
        </w:rPr>
      </w:pPr>
      <w:r>
        <w:rPr>
          <w:rFonts w:hint="eastAsia" w:ascii="仿宋_GB2312" w:hAnsi="宋体" w:eastAsia="仿宋_GB2312"/>
          <w:sz w:val="24"/>
          <w:highlight w:val="none"/>
        </w:rPr>
        <w:t>若</w:t>
      </w:r>
      <w:r>
        <w:rPr>
          <w:rFonts w:hint="eastAsia" w:ascii="仿宋_GB2312" w:hAnsi="宋体" w:eastAsia="仿宋_GB2312"/>
          <w:sz w:val="24"/>
          <w:highlight w:val="none"/>
          <w:u w:val="single"/>
        </w:rPr>
        <w:t>投标人须知资料表</w:t>
      </w:r>
      <w:r>
        <w:rPr>
          <w:rFonts w:hint="eastAsia" w:ascii="仿宋_GB2312" w:hAnsi="宋体" w:eastAsia="仿宋_GB2312"/>
          <w:sz w:val="24"/>
          <w:highlight w:val="none"/>
        </w:rPr>
        <w:t>中未写明允许采购进口产品，如投标人所投产品为进口产品，其投标将被认定为</w:t>
      </w:r>
      <w:r>
        <w:rPr>
          <w:rFonts w:hint="eastAsia" w:ascii="仿宋_GB2312" w:hAnsi="宋体" w:eastAsia="仿宋_GB2312"/>
          <w:b/>
          <w:bCs/>
          <w:sz w:val="24"/>
          <w:highlight w:val="none"/>
        </w:rPr>
        <w:t>投标无效</w:t>
      </w:r>
      <w:r>
        <w:rPr>
          <w:rFonts w:hint="eastAsia" w:ascii="仿宋_GB2312" w:hAnsi="宋体" w:eastAsia="仿宋_GB2312"/>
          <w:sz w:val="24"/>
          <w:highlight w:val="none"/>
        </w:rPr>
        <w:t>。</w:t>
      </w:r>
    </w:p>
    <w:p w14:paraId="240D61B9">
      <w:pPr>
        <w:spacing w:line="240" w:lineRule="atLeast"/>
        <w:ind w:left="840" w:hanging="840" w:hangingChars="350"/>
        <w:rPr>
          <w:rFonts w:hint="eastAsia" w:ascii="仿宋_GB2312" w:hAnsi="宋体" w:eastAsia="仿宋_GB2312"/>
          <w:sz w:val="24"/>
          <w:highlight w:val="none"/>
        </w:rPr>
      </w:pPr>
      <w:r>
        <w:rPr>
          <w:rFonts w:hint="eastAsia" w:ascii="仿宋_GB2312" w:hAnsi="宋体" w:eastAsia="仿宋_GB2312"/>
          <w:sz w:val="24"/>
          <w:highlight w:val="none"/>
        </w:rPr>
        <w:t>1.</w:t>
      </w:r>
      <w:r>
        <w:rPr>
          <w:rFonts w:ascii="仿宋_GB2312" w:hAnsi="宋体" w:eastAsia="仿宋_GB2312"/>
          <w:sz w:val="24"/>
          <w:highlight w:val="none"/>
        </w:rPr>
        <w:t>3</w:t>
      </w:r>
      <w:r>
        <w:rPr>
          <w:rFonts w:hint="eastAsia" w:ascii="仿宋_GB2312" w:hAnsi="宋体" w:eastAsia="仿宋_GB2312"/>
          <w:sz w:val="24"/>
          <w:highlight w:val="none"/>
        </w:rPr>
        <w:t>.6若</w:t>
      </w:r>
      <w:r>
        <w:rPr>
          <w:rFonts w:hint="eastAsia" w:ascii="仿宋_GB2312" w:hAnsi="宋体" w:eastAsia="仿宋_GB2312"/>
          <w:sz w:val="24"/>
          <w:highlight w:val="none"/>
          <w:u w:val="single"/>
        </w:rPr>
        <w:t>投标人须知资料表</w:t>
      </w:r>
      <w:r>
        <w:rPr>
          <w:rFonts w:hint="eastAsia" w:ascii="仿宋_GB2312" w:hAnsi="宋体" w:eastAsia="仿宋_GB2312"/>
          <w:sz w:val="24"/>
          <w:highlight w:val="none"/>
        </w:rPr>
        <w:t>中写明</w:t>
      </w:r>
      <w:r>
        <w:rPr>
          <w:rFonts w:ascii="仿宋_GB2312" w:hAnsi="宋体" w:eastAsia="仿宋_GB2312"/>
          <w:sz w:val="24"/>
          <w:highlight w:val="none"/>
        </w:rPr>
        <w:t>专门面向中小企业采购</w:t>
      </w:r>
      <w:r>
        <w:rPr>
          <w:rFonts w:hint="eastAsia" w:ascii="仿宋_GB2312" w:hAnsi="宋体" w:eastAsia="仿宋_GB2312"/>
          <w:sz w:val="24"/>
          <w:highlight w:val="none"/>
        </w:rPr>
        <w:t>的，如投标人为</w:t>
      </w:r>
      <w:r>
        <w:rPr>
          <w:rFonts w:ascii="仿宋_GB2312" w:hAnsi="宋体" w:eastAsia="仿宋_GB2312"/>
          <w:sz w:val="24"/>
          <w:highlight w:val="none"/>
        </w:rPr>
        <w:t>非中小企业</w:t>
      </w:r>
      <w:r>
        <w:rPr>
          <w:rFonts w:hint="eastAsia" w:ascii="仿宋_GB2312" w:hAnsi="宋体" w:eastAsia="仿宋_GB2312"/>
          <w:sz w:val="24"/>
          <w:highlight w:val="none"/>
        </w:rPr>
        <w:t>且所投产品为非中小企业产品，其投标将被认定为</w:t>
      </w:r>
      <w:r>
        <w:rPr>
          <w:rFonts w:hint="eastAsia" w:ascii="仿宋_GB2312" w:hAnsi="宋体" w:eastAsia="仿宋_GB2312"/>
          <w:b/>
          <w:bCs/>
          <w:sz w:val="24"/>
          <w:highlight w:val="none"/>
        </w:rPr>
        <w:t>投标无效</w:t>
      </w:r>
      <w:r>
        <w:rPr>
          <w:rFonts w:hint="eastAsia" w:ascii="仿宋_GB2312" w:hAnsi="宋体" w:eastAsia="仿宋_GB2312"/>
          <w:sz w:val="24"/>
          <w:highlight w:val="none"/>
        </w:rPr>
        <w:t>。</w:t>
      </w:r>
    </w:p>
    <w:p w14:paraId="5C415B89">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1.</w:t>
      </w:r>
      <w:r>
        <w:rPr>
          <w:rFonts w:ascii="仿宋_GB2312" w:hAnsi="宋体" w:eastAsia="仿宋_GB2312"/>
          <w:sz w:val="24"/>
          <w:highlight w:val="none"/>
        </w:rPr>
        <w:t>4</w:t>
      </w:r>
      <w:r>
        <w:rPr>
          <w:rFonts w:hint="eastAsia" w:ascii="仿宋_GB2312" w:hAnsi="宋体" w:eastAsia="仿宋_GB2312"/>
          <w:sz w:val="24"/>
          <w:highlight w:val="none"/>
        </w:rPr>
        <w:t>如</w:t>
      </w:r>
      <w:r>
        <w:rPr>
          <w:rFonts w:hint="eastAsia" w:ascii="仿宋_GB2312" w:hAnsi="宋体" w:eastAsia="仿宋_GB2312"/>
          <w:sz w:val="24"/>
          <w:highlight w:val="none"/>
          <w:u w:val="single"/>
        </w:rPr>
        <w:t>投标人须知资料表</w:t>
      </w:r>
      <w:r>
        <w:rPr>
          <w:rFonts w:hint="eastAsia" w:ascii="仿宋_GB2312" w:hAnsi="宋体" w:eastAsia="仿宋_GB2312"/>
          <w:sz w:val="24"/>
          <w:highlight w:val="none"/>
        </w:rPr>
        <w:t>中允许联合体投标，对联合体规定如下：</w:t>
      </w:r>
    </w:p>
    <w:p w14:paraId="6E0BC71F">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1.</w:t>
      </w:r>
      <w:r>
        <w:rPr>
          <w:rFonts w:ascii="仿宋_GB2312" w:hAnsi="宋体" w:eastAsia="仿宋_GB2312"/>
          <w:sz w:val="24"/>
          <w:highlight w:val="none"/>
        </w:rPr>
        <w:t>4</w:t>
      </w:r>
      <w:r>
        <w:rPr>
          <w:rFonts w:hint="eastAsia" w:ascii="仿宋_GB2312" w:hAnsi="宋体" w:eastAsia="仿宋_GB2312"/>
          <w:sz w:val="24"/>
          <w:highlight w:val="none"/>
        </w:rPr>
        <w:t>.1两个以上</w:t>
      </w:r>
      <w:r>
        <w:rPr>
          <w:rFonts w:hint="eastAsia" w:ascii="仿宋_GB2312" w:hAnsi="宋体" w:eastAsia="仿宋_GB2312"/>
          <w:sz w:val="24"/>
          <w:highlight w:val="none"/>
          <w:lang w:eastAsia="zh-CN"/>
        </w:rPr>
        <w:t>投标人</w:t>
      </w:r>
      <w:r>
        <w:rPr>
          <w:rFonts w:hint="eastAsia" w:ascii="仿宋_GB2312" w:hAnsi="宋体" w:eastAsia="仿宋_GB2312"/>
          <w:sz w:val="24"/>
          <w:highlight w:val="none"/>
        </w:rPr>
        <w:t>可以组成一个投标联合体，以一个投标人的身份投标。</w:t>
      </w:r>
    </w:p>
    <w:p w14:paraId="1972F27B">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1.</w:t>
      </w:r>
      <w:r>
        <w:rPr>
          <w:rFonts w:ascii="仿宋_GB2312" w:hAnsi="宋体" w:eastAsia="仿宋_GB2312"/>
          <w:sz w:val="24"/>
          <w:highlight w:val="none"/>
        </w:rPr>
        <w:t>4</w:t>
      </w:r>
      <w:r>
        <w:rPr>
          <w:rFonts w:hint="eastAsia" w:ascii="仿宋_GB2312" w:hAnsi="宋体" w:eastAsia="仿宋_GB2312"/>
          <w:sz w:val="24"/>
          <w:highlight w:val="none"/>
        </w:rPr>
        <w:t>.2联合体各方均应符合《中华人民共和国政府采购法》第二十二条规定的条件。</w:t>
      </w:r>
    </w:p>
    <w:p w14:paraId="5D9F8BF5">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1.</w:t>
      </w:r>
      <w:r>
        <w:rPr>
          <w:rFonts w:ascii="仿宋_GB2312" w:hAnsi="宋体" w:eastAsia="仿宋_GB2312"/>
          <w:sz w:val="24"/>
          <w:highlight w:val="none"/>
        </w:rPr>
        <w:t>4</w:t>
      </w:r>
      <w:r>
        <w:rPr>
          <w:rFonts w:hint="eastAsia" w:ascii="仿宋_GB2312" w:hAnsi="宋体" w:eastAsia="仿宋_GB2312"/>
          <w:sz w:val="24"/>
          <w:highlight w:val="none"/>
        </w:rPr>
        <w:t>.3采购人根据采购项目对投标人的特殊要求，联合体中至少应当有一方符合相关规定。</w:t>
      </w:r>
    </w:p>
    <w:p w14:paraId="63E55CEF">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1.</w:t>
      </w:r>
      <w:r>
        <w:rPr>
          <w:rFonts w:ascii="仿宋_GB2312" w:hAnsi="宋体" w:eastAsia="仿宋_GB2312"/>
          <w:sz w:val="24"/>
          <w:highlight w:val="none"/>
        </w:rPr>
        <w:t>4</w:t>
      </w:r>
      <w:r>
        <w:rPr>
          <w:rFonts w:hint="eastAsia" w:ascii="仿宋_GB2312" w:hAnsi="宋体" w:eastAsia="仿宋_GB2312"/>
          <w:sz w:val="24"/>
          <w:highlight w:val="none"/>
        </w:rPr>
        <w:t>.4联合体各方应签订共同投标协议，明确约定联合体各方承担的工作和相应的责任，并将共同投标协议连同作为投标文件第一部分的内容提交。</w:t>
      </w:r>
    </w:p>
    <w:p w14:paraId="0884047D">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1.</w:t>
      </w:r>
      <w:r>
        <w:rPr>
          <w:rFonts w:ascii="仿宋_GB2312" w:hAnsi="宋体" w:eastAsia="仿宋_GB2312"/>
          <w:sz w:val="24"/>
          <w:highlight w:val="none"/>
        </w:rPr>
        <w:t>4</w:t>
      </w:r>
      <w:r>
        <w:rPr>
          <w:rFonts w:hint="eastAsia" w:ascii="仿宋_GB2312" w:hAnsi="宋体" w:eastAsia="仿宋_GB2312"/>
          <w:sz w:val="24"/>
          <w:highlight w:val="none"/>
        </w:rPr>
        <w:t>.5</w:t>
      </w:r>
      <w:r>
        <w:rPr>
          <w:rFonts w:ascii="仿宋_GB2312" w:hAnsi="宋体" w:eastAsia="仿宋_GB2312"/>
          <w:sz w:val="24"/>
          <w:highlight w:val="none"/>
        </w:rPr>
        <w:t>大中型企业</w:t>
      </w:r>
      <w:r>
        <w:rPr>
          <w:rFonts w:hint="eastAsia" w:ascii="仿宋_GB2312" w:hAnsi="宋体" w:eastAsia="仿宋_GB2312"/>
          <w:sz w:val="24"/>
          <w:highlight w:val="none"/>
        </w:rPr>
        <w:t>、</w:t>
      </w:r>
      <w:r>
        <w:rPr>
          <w:rFonts w:ascii="仿宋_GB2312" w:hAnsi="宋体" w:eastAsia="仿宋_GB2312"/>
          <w:sz w:val="24"/>
          <w:highlight w:val="none"/>
        </w:rPr>
        <w:t>其他自然人、法人或者</w:t>
      </w:r>
      <w:r>
        <w:rPr>
          <w:rFonts w:hint="eastAsia" w:ascii="仿宋_GB2312" w:hAnsi="宋体" w:eastAsia="仿宋_GB2312"/>
          <w:sz w:val="24"/>
          <w:highlight w:val="none"/>
        </w:rPr>
        <w:t>非法人组织</w:t>
      </w:r>
      <w:r>
        <w:rPr>
          <w:rFonts w:ascii="仿宋_GB2312" w:hAnsi="宋体" w:eastAsia="仿宋_GB2312"/>
          <w:sz w:val="24"/>
          <w:highlight w:val="none"/>
        </w:rPr>
        <w:t>与小型、微型企业组成联合体共同参加</w:t>
      </w:r>
      <w:r>
        <w:rPr>
          <w:rFonts w:hint="eastAsia" w:ascii="仿宋_GB2312" w:hAnsi="宋体" w:eastAsia="仿宋_GB2312"/>
          <w:sz w:val="24"/>
          <w:highlight w:val="none"/>
        </w:rPr>
        <w:t>投标，共同投标</w:t>
      </w:r>
      <w:r>
        <w:rPr>
          <w:rFonts w:ascii="仿宋_GB2312" w:hAnsi="宋体" w:eastAsia="仿宋_GB2312"/>
          <w:sz w:val="24"/>
          <w:highlight w:val="none"/>
        </w:rPr>
        <w:t>协议中</w:t>
      </w:r>
      <w:r>
        <w:rPr>
          <w:rFonts w:hint="eastAsia" w:ascii="仿宋_GB2312" w:hAnsi="宋体" w:eastAsia="仿宋_GB2312"/>
          <w:sz w:val="24"/>
          <w:highlight w:val="none"/>
        </w:rPr>
        <w:t>应写明</w:t>
      </w:r>
      <w:r>
        <w:rPr>
          <w:rFonts w:ascii="仿宋_GB2312" w:hAnsi="宋体" w:eastAsia="仿宋_GB2312"/>
          <w:sz w:val="24"/>
          <w:highlight w:val="none"/>
        </w:rPr>
        <w:t>小型、微型企业的协议合同金额占到</w:t>
      </w:r>
      <w:r>
        <w:rPr>
          <w:rFonts w:hint="eastAsia" w:ascii="仿宋_GB2312" w:hAnsi="宋体" w:eastAsia="仿宋_GB2312"/>
          <w:sz w:val="24"/>
          <w:highlight w:val="none"/>
        </w:rPr>
        <w:t>共同投标</w:t>
      </w:r>
      <w:r>
        <w:rPr>
          <w:rFonts w:ascii="仿宋_GB2312" w:hAnsi="宋体" w:eastAsia="仿宋_GB2312"/>
          <w:sz w:val="24"/>
          <w:highlight w:val="none"/>
        </w:rPr>
        <w:t>协议</w:t>
      </w:r>
      <w:r>
        <w:rPr>
          <w:rFonts w:hint="eastAsia" w:ascii="仿宋_GB2312" w:hAnsi="宋体" w:eastAsia="仿宋_GB2312"/>
          <w:sz w:val="24"/>
          <w:highlight w:val="none"/>
        </w:rPr>
        <w:t>投标</w:t>
      </w:r>
      <w:r>
        <w:rPr>
          <w:rFonts w:ascii="仿宋_GB2312" w:hAnsi="宋体" w:eastAsia="仿宋_GB2312"/>
          <w:sz w:val="24"/>
          <w:highlight w:val="none"/>
        </w:rPr>
        <w:t>总金额</w:t>
      </w:r>
      <w:r>
        <w:rPr>
          <w:rFonts w:hint="eastAsia" w:ascii="仿宋_GB2312" w:hAnsi="宋体" w:eastAsia="仿宋_GB2312"/>
          <w:sz w:val="24"/>
          <w:highlight w:val="none"/>
        </w:rPr>
        <w:t>的比例。</w:t>
      </w:r>
    </w:p>
    <w:p w14:paraId="03B07ABD">
      <w:pPr>
        <w:spacing w:line="240" w:lineRule="atLeast"/>
        <w:ind w:left="900" w:hanging="900" w:hangingChars="375"/>
        <w:rPr>
          <w:rFonts w:ascii="仿宋_GB2312" w:hAnsi="宋体" w:eastAsia="仿宋_GB2312"/>
          <w:sz w:val="24"/>
          <w:highlight w:val="none"/>
        </w:rPr>
      </w:pPr>
      <w:r>
        <w:rPr>
          <w:rFonts w:hint="eastAsia" w:ascii="仿宋_GB2312" w:hAnsi="宋体" w:eastAsia="仿宋_GB2312"/>
          <w:sz w:val="24"/>
          <w:highlight w:val="none"/>
        </w:rPr>
        <w:t>1.</w:t>
      </w:r>
      <w:r>
        <w:rPr>
          <w:rFonts w:ascii="仿宋_GB2312" w:hAnsi="宋体" w:eastAsia="仿宋_GB2312"/>
          <w:sz w:val="24"/>
          <w:highlight w:val="none"/>
        </w:rPr>
        <w:t>4</w:t>
      </w:r>
      <w:r>
        <w:rPr>
          <w:rFonts w:hint="eastAsia" w:ascii="仿宋_GB2312" w:hAnsi="宋体" w:eastAsia="仿宋_GB2312"/>
          <w:sz w:val="24"/>
          <w:highlight w:val="none"/>
        </w:rPr>
        <w:t>.6联合</w:t>
      </w:r>
      <w:r>
        <w:rPr>
          <w:rFonts w:ascii="仿宋_GB2312" w:hAnsi="宋体" w:eastAsia="仿宋_GB2312"/>
          <w:sz w:val="24"/>
          <w:highlight w:val="none"/>
        </w:rPr>
        <w:t>体中有</w:t>
      </w:r>
      <w:r>
        <w:rPr>
          <w:rFonts w:hint="eastAsia" w:ascii="仿宋_GB2312" w:hAnsi="宋体" w:eastAsia="仿宋_GB2312"/>
          <w:sz w:val="24"/>
          <w:highlight w:val="none"/>
        </w:rPr>
        <w:t>同</w:t>
      </w:r>
      <w:r>
        <w:rPr>
          <w:rFonts w:ascii="仿宋_GB2312" w:hAnsi="宋体" w:eastAsia="仿宋_GB2312"/>
          <w:sz w:val="24"/>
          <w:highlight w:val="none"/>
        </w:rPr>
        <w:t>类资质的</w:t>
      </w:r>
      <w:r>
        <w:rPr>
          <w:rFonts w:hint="eastAsia" w:ascii="仿宋_GB2312" w:hAnsi="宋体" w:eastAsia="仿宋_GB2312"/>
          <w:sz w:val="24"/>
          <w:highlight w:val="none"/>
          <w:lang w:eastAsia="zh-CN"/>
        </w:rPr>
        <w:t>投标人</w:t>
      </w:r>
      <w:r>
        <w:rPr>
          <w:rFonts w:ascii="仿宋_GB2312" w:hAnsi="宋体" w:eastAsia="仿宋_GB2312"/>
          <w:sz w:val="24"/>
          <w:highlight w:val="none"/>
        </w:rPr>
        <w:t>按照联合体分</w:t>
      </w:r>
      <w:r>
        <w:rPr>
          <w:rFonts w:hint="eastAsia" w:ascii="仿宋_GB2312" w:hAnsi="宋体" w:eastAsia="仿宋_GB2312"/>
          <w:sz w:val="24"/>
          <w:highlight w:val="none"/>
        </w:rPr>
        <w:t>工</w:t>
      </w:r>
      <w:r>
        <w:rPr>
          <w:rFonts w:ascii="仿宋_GB2312" w:hAnsi="宋体" w:eastAsia="仿宋_GB2312"/>
          <w:sz w:val="24"/>
          <w:highlight w:val="none"/>
        </w:rPr>
        <w:t>承担</w:t>
      </w:r>
      <w:r>
        <w:rPr>
          <w:rFonts w:hint="eastAsia" w:ascii="仿宋_GB2312" w:hAnsi="宋体" w:eastAsia="仿宋_GB2312"/>
          <w:sz w:val="24"/>
          <w:highlight w:val="none"/>
        </w:rPr>
        <w:t>相</w:t>
      </w:r>
      <w:r>
        <w:rPr>
          <w:rFonts w:ascii="仿宋_GB2312" w:hAnsi="宋体" w:eastAsia="仿宋_GB2312"/>
          <w:sz w:val="24"/>
          <w:highlight w:val="none"/>
        </w:rPr>
        <w:t>同工作的，按照</w:t>
      </w:r>
      <w:r>
        <w:rPr>
          <w:rFonts w:hint="eastAsia" w:ascii="仿宋_GB2312" w:hAnsi="宋体" w:eastAsia="仿宋_GB2312"/>
          <w:sz w:val="24"/>
          <w:highlight w:val="none"/>
        </w:rPr>
        <w:t>较低的</w:t>
      </w:r>
      <w:r>
        <w:rPr>
          <w:rFonts w:ascii="仿宋_GB2312" w:hAnsi="宋体" w:eastAsia="仿宋_GB2312"/>
          <w:sz w:val="24"/>
          <w:highlight w:val="none"/>
        </w:rPr>
        <w:t>资质等级确定</w:t>
      </w:r>
      <w:r>
        <w:rPr>
          <w:rFonts w:hint="eastAsia" w:ascii="仿宋_GB2312" w:hAnsi="宋体" w:eastAsia="仿宋_GB2312"/>
          <w:sz w:val="24"/>
          <w:highlight w:val="none"/>
        </w:rPr>
        <w:t>联合体的</w:t>
      </w:r>
      <w:r>
        <w:rPr>
          <w:rFonts w:ascii="仿宋_GB2312" w:hAnsi="宋体" w:eastAsia="仿宋_GB2312"/>
          <w:sz w:val="24"/>
          <w:highlight w:val="none"/>
        </w:rPr>
        <w:t>资质等级。</w:t>
      </w:r>
    </w:p>
    <w:p w14:paraId="13AC8A21">
      <w:pPr>
        <w:spacing w:line="240" w:lineRule="atLeast"/>
        <w:ind w:left="900" w:hanging="900" w:hangingChars="375"/>
        <w:rPr>
          <w:rFonts w:hint="eastAsia" w:ascii="仿宋_GB2312" w:hAnsi="宋体" w:eastAsia="仿宋_GB2312"/>
          <w:sz w:val="24"/>
          <w:highlight w:val="none"/>
        </w:rPr>
      </w:pPr>
      <w:r>
        <w:rPr>
          <w:rFonts w:ascii="仿宋_GB2312" w:hAnsi="宋体" w:eastAsia="仿宋_GB2312"/>
          <w:sz w:val="24"/>
          <w:highlight w:val="none"/>
        </w:rPr>
        <w:t>1.4.7</w:t>
      </w:r>
      <w:r>
        <w:rPr>
          <w:rFonts w:hint="eastAsia" w:ascii="仿宋_GB2312" w:hAnsi="宋体" w:eastAsia="仿宋_GB2312"/>
          <w:sz w:val="24"/>
          <w:highlight w:val="none"/>
        </w:rPr>
        <w:t>以</w:t>
      </w:r>
      <w:r>
        <w:rPr>
          <w:rFonts w:ascii="仿宋_GB2312" w:hAnsi="宋体" w:eastAsia="仿宋_GB2312"/>
          <w:sz w:val="24"/>
          <w:highlight w:val="none"/>
        </w:rPr>
        <w:t>联合体形式参加政府采购活动的，联合体各方不得再</w:t>
      </w:r>
      <w:r>
        <w:rPr>
          <w:rFonts w:hint="eastAsia" w:ascii="仿宋_GB2312" w:hAnsi="宋体" w:eastAsia="仿宋_GB2312"/>
          <w:sz w:val="24"/>
          <w:highlight w:val="none"/>
        </w:rPr>
        <w:t>单独</w:t>
      </w:r>
      <w:r>
        <w:rPr>
          <w:rFonts w:ascii="仿宋_GB2312" w:hAnsi="宋体" w:eastAsia="仿宋_GB2312"/>
          <w:sz w:val="24"/>
          <w:highlight w:val="none"/>
        </w:rPr>
        <w:t>参加或者与其他</w:t>
      </w:r>
      <w:r>
        <w:rPr>
          <w:rFonts w:hint="eastAsia" w:ascii="仿宋_GB2312" w:hAnsi="宋体" w:eastAsia="仿宋_GB2312"/>
          <w:sz w:val="24"/>
          <w:highlight w:val="none"/>
          <w:lang w:eastAsia="zh-CN"/>
        </w:rPr>
        <w:t>投标人</w:t>
      </w:r>
      <w:r>
        <w:rPr>
          <w:rFonts w:ascii="仿宋_GB2312" w:hAnsi="宋体" w:eastAsia="仿宋_GB2312"/>
          <w:sz w:val="24"/>
          <w:highlight w:val="none"/>
        </w:rPr>
        <w:t>另外组成联合体参加</w:t>
      </w:r>
      <w:r>
        <w:rPr>
          <w:rFonts w:hint="eastAsia" w:ascii="仿宋_GB2312" w:hAnsi="宋体" w:eastAsia="仿宋_GB2312"/>
          <w:sz w:val="24"/>
          <w:highlight w:val="none"/>
        </w:rPr>
        <w:t>本项目投标，否则</w:t>
      </w:r>
      <w:r>
        <w:rPr>
          <w:rFonts w:ascii="仿宋_GB2312" w:hAnsi="宋体" w:eastAsia="仿宋_GB2312"/>
          <w:sz w:val="24"/>
          <w:highlight w:val="none"/>
        </w:rPr>
        <w:t>相关投标</w:t>
      </w:r>
      <w:r>
        <w:rPr>
          <w:rFonts w:hint="eastAsia" w:ascii="仿宋_GB2312" w:hAnsi="宋体" w:eastAsia="仿宋_GB2312"/>
          <w:sz w:val="24"/>
          <w:highlight w:val="none"/>
        </w:rPr>
        <w:t>将被认定为</w:t>
      </w:r>
      <w:r>
        <w:rPr>
          <w:rFonts w:hint="eastAsia" w:ascii="仿宋_GB2312" w:hAnsi="宋体" w:eastAsia="仿宋_GB2312"/>
          <w:b/>
          <w:bCs/>
          <w:sz w:val="24"/>
          <w:highlight w:val="none"/>
        </w:rPr>
        <w:t>投标无效</w:t>
      </w:r>
      <w:r>
        <w:rPr>
          <w:rFonts w:ascii="仿宋_GB2312" w:hAnsi="宋体" w:eastAsia="仿宋_GB2312"/>
          <w:sz w:val="24"/>
          <w:highlight w:val="none"/>
        </w:rPr>
        <w:t>。</w:t>
      </w:r>
    </w:p>
    <w:p w14:paraId="6CE82DCD">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1.</w:t>
      </w:r>
      <w:r>
        <w:rPr>
          <w:rFonts w:ascii="仿宋_GB2312" w:hAnsi="宋体" w:eastAsia="仿宋_GB2312"/>
          <w:sz w:val="24"/>
          <w:highlight w:val="none"/>
        </w:rPr>
        <w:t>4</w:t>
      </w:r>
      <w:r>
        <w:rPr>
          <w:rFonts w:hint="eastAsia" w:ascii="仿宋_GB2312" w:hAnsi="宋体" w:eastAsia="仿宋_GB2312"/>
          <w:sz w:val="24"/>
          <w:highlight w:val="none"/>
        </w:rPr>
        <w:t>.8对联合体投标的其他资格要求见</w:t>
      </w:r>
      <w:r>
        <w:rPr>
          <w:rFonts w:hint="eastAsia" w:ascii="仿宋_GB2312" w:hAnsi="宋体" w:eastAsia="仿宋_GB2312"/>
          <w:sz w:val="24"/>
          <w:highlight w:val="none"/>
          <w:u w:val="single"/>
        </w:rPr>
        <w:t>投标人须知资料表</w:t>
      </w:r>
      <w:r>
        <w:rPr>
          <w:rFonts w:hint="eastAsia" w:ascii="仿宋_GB2312" w:hAnsi="宋体" w:eastAsia="仿宋_GB2312"/>
          <w:sz w:val="24"/>
          <w:highlight w:val="none"/>
        </w:rPr>
        <w:t>。</w:t>
      </w:r>
    </w:p>
    <w:p w14:paraId="62A58529">
      <w:pPr>
        <w:spacing w:line="240" w:lineRule="atLeast"/>
        <w:ind w:left="900" w:hanging="900" w:hangingChars="375"/>
        <w:rPr>
          <w:rFonts w:ascii="仿宋_GB2312" w:hAnsi="宋体" w:eastAsia="仿宋_GB2312"/>
          <w:sz w:val="24"/>
          <w:highlight w:val="none"/>
        </w:rPr>
      </w:pPr>
      <w:r>
        <w:rPr>
          <w:rFonts w:hint="eastAsia" w:ascii="仿宋_GB2312" w:hAnsi="宋体" w:eastAsia="仿宋_GB2312"/>
          <w:sz w:val="24"/>
          <w:highlight w:val="none"/>
        </w:rPr>
        <w:t>1.5单位</w:t>
      </w:r>
      <w:r>
        <w:rPr>
          <w:rFonts w:ascii="仿宋_GB2312" w:hAnsi="宋体" w:eastAsia="仿宋_GB2312"/>
          <w:sz w:val="24"/>
          <w:highlight w:val="none"/>
        </w:rPr>
        <w:t>负责人为同一</w:t>
      </w:r>
      <w:r>
        <w:rPr>
          <w:rFonts w:hint="eastAsia" w:ascii="仿宋_GB2312" w:hAnsi="宋体" w:eastAsia="仿宋_GB2312"/>
          <w:sz w:val="24"/>
          <w:highlight w:val="none"/>
        </w:rPr>
        <w:t>人</w:t>
      </w:r>
      <w:r>
        <w:rPr>
          <w:rFonts w:ascii="仿宋_GB2312" w:hAnsi="宋体" w:eastAsia="仿宋_GB2312"/>
          <w:sz w:val="24"/>
          <w:highlight w:val="none"/>
        </w:rPr>
        <w:t>或者存在</w:t>
      </w:r>
      <w:r>
        <w:rPr>
          <w:rFonts w:hint="eastAsia" w:ascii="仿宋_GB2312" w:hAnsi="宋体" w:eastAsia="仿宋_GB2312"/>
          <w:sz w:val="24"/>
          <w:highlight w:val="none"/>
        </w:rPr>
        <w:t>直接</w:t>
      </w:r>
      <w:r>
        <w:rPr>
          <w:rFonts w:ascii="仿宋_GB2312" w:hAnsi="宋体" w:eastAsia="仿宋_GB2312"/>
          <w:sz w:val="24"/>
          <w:highlight w:val="none"/>
        </w:rPr>
        <w:t>控股、管理</w:t>
      </w:r>
      <w:r>
        <w:rPr>
          <w:rFonts w:hint="eastAsia" w:ascii="仿宋_GB2312" w:hAnsi="宋体" w:eastAsia="仿宋_GB2312"/>
          <w:sz w:val="24"/>
          <w:highlight w:val="none"/>
        </w:rPr>
        <w:t>关系</w:t>
      </w:r>
      <w:r>
        <w:rPr>
          <w:rFonts w:ascii="仿宋_GB2312" w:hAnsi="宋体" w:eastAsia="仿宋_GB2312"/>
          <w:sz w:val="24"/>
          <w:highlight w:val="none"/>
        </w:rPr>
        <w:t>的不同</w:t>
      </w:r>
      <w:r>
        <w:rPr>
          <w:rFonts w:hint="eastAsia" w:ascii="仿宋_GB2312" w:hAnsi="宋体" w:eastAsia="仿宋_GB2312"/>
          <w:sz w:val="24"/>
          <w:highlight w:val="none"/>
          <w:lang w:eastAsia="zh-CN"/>
        </w:rPr>
        <w:t>投标人</w:t>
      </w:r>
      <w:r>
        <w:rPr>
          <w:rFonts w:ascii="仿宋_GB2312" w:hAnsi="宋体" w:eastAsia="仿宋_GB2312"/>
          <w:sz w:val="24"/>
          <w:highlight w:val="none"/>
        </w:rPr>
        <w:t>，</w:t>
      </w:r>
      <w:r>
        <w:rPr>
          <w:rFonts w:hint="eastAsia" w:ascii="仿宋_GB2312" w:hAnsi="宋体" w:eastAsia="仿宋_GB2312"/>
          <w:sz w:val="24"/>
          <w:highlight w:val="none"/>
        </w:rPr>
        <w:t>其相关投标将被认定为</w:t>
      </w:r>
      <w:r>
        <w:rPr>
          <w:rFonts w:hint="eastAsia" w:ascii="仿宋_GB2312" w:hAnsi="宋体" w:eastAsia="仿宋_GB2312"/>
          <w:b/>
          <w:bCs/>
          <w:sz w:val="24"/>
          <w:highlight w:val="none"/>
        </w:rPr>
        <w:t>投标无效</w:t>
      </w:r>
      <w:r>
        <w:rPr>
          <w:rFonts w:ascii="仿宋_GB2312" w:hAnsi="宋体" w:eastAsia="仿宋_GB2312"/>
          <w:sz w:val="24"/>
          <w:highlight w:val="none"/>
        </w:rPr>
        <w:t>。</w:t>
      </w:r>
    </w:p>
    <w:p w14:paraId="2CAEC884">
      <w:pPr>
        <w:spacing w:line="240" w:lineRule="atLeast"/>
        <w:ind w:left="900" w:hanging="900" w:hangingChars="375"/>
        <w:rPr>
          <w:rFonts w:hint="eastAsia" w:ascii="仿宋_GB2312" w:hAnsi="宋体" w:eastAsia="仿宋_GB2312"/>
          <w:sz w:val="24"/>
          <w:highlight w:val="none"/>
        </w:rPr>
      </w:pPr>
      <w:r>
        <w:rPr>
          <w:rFonts w:ascii="仿宋_GB2312" w:hAnsi="宋体" w:eastAsia="仿宋_GB2312"/>
          <w:sz w:val="24"/>
          <w:highlight w:val="none"/>
        </w:rPr>
        <w:t>1.</w:t>
      </w:r>
      <w:r>
        <w:rPr>
          <w:rFonts w:hint="eastAsia" w:ascii="仿宋_GB2312" w:hAnsi="宋体" w:eastAsia="仿宋_GB2312"/>
          <w:sz w:val="24"/>
          <w:highlight w:val="none"/>
        </w:rPr>
        <w:t>6为本项目提供过整体设计、规范编制或者项目管理、监理、检测等服务的</w:t>
      </w:r>
      <w:r>
        <w:rPr>
          <w:rFonts w:hint="eastAsia" w:ascii="仿宋_GB2312" w:hAnsi="宋体" w:eastAsia="仿宋_GB2312"/>
          <w:sz w:val="24"/>
          <w:highlight w:val="none"/>
          <w:lang w:eastAsia="zh-CN"/>
        </w:rPr>
        <w:t>投标人</w:t>
      </w:r>
      <w:r>
        <w:rPr>
          <w:rFonts w:hint="eastAsia" w:ascii="仿宋_GB2312" w:hAnsi="宋体" w:eastAsia="仿宋_GB2312"/>
          <w:sz w:val="24"/>
          <w:highlight w:val="none"/>
        </w:rPr>
        <w:t>，不得再参加本项目上述</w:t>
      </w:r>
      <w:r>
        <w:rPr>
          <w:rFonts w:ascii="仿宋_GB2312" w:hAnsi="宋体" w:eastAsia="仿宋_GB2312"/>
          <w:sz w:val="24"/>
          <w:highlight w:val="none"/>
        </w:rPr>
        <w:t>服务以外</w:t>
      </w:r>
      <w:r>
        <w:rPr>
          <w:rFonts w:hint="eastAsia" w:ascii="仿宋_GB2312" w:hAnsi="宋体" w:eastAsia="仿宋_GB2312"/>
          <w:sz w:val="24"/>
          <w:highlight w:val="none"/>
        </w:rPr>
        <w:t>的其他采购活动。</w:t>
      </w:r>
      <w:r>
        <w:rPr>
          <w:rFonts w:ascii="仿宋_GB2312" w:hAnsi="宋体" w:eastAsia="仿宋_GB2312"/>
          <w:sz w:val="24"/>
          <w:highlight w:val="none"/>
        </w:rPr>
        <w:t>否则</w:t>
      </w:r>
      <w:r>
        <w:rPr>
          <w:rFonts w:hint="eastAsia" w:ascii="仿宋_GB2312" w:hAnsi="宋体" w:eastAsia="仿宋_GB2312"/>
          <w:sz w:val="24"/>
          <w:highlight w:val="none"/>
        </w:rPr>
        <w:t>其投标将被认定为</w:t>
      </w:r>
      <w:r>
        <w:rPr>
          <w:rFonts w:hint="eastAsia" w:ascii="仿宋_GB2312" w:hAnsi="宋体" w:eastAsia="仿宋_GB2312"/>
          <w:b/>
          <w:bCs/>
          <w:sz w:val="24"/>
          <w:highlight w:val="none"/>
        </w:rPr>
        <w:t>投标无效</w:t>
      </w:r>
      <w:r>
        <w:rPr>
          <w:rFonts w:hint="eastAsia" w:ascii="仿宋_GB2312" w:hAnsi="宋体" w:eastAsia="仿宋_GB2312"/>
          <w:sz w:val="24"/>
          <w:highlight w:val="none"/>
        </w:rPr>
        <w:t>。</w:t>
      </w:r>
    </w:p>
    <w:p w14:paraId="44A80C28">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1.7</w:t>
      </w:r>
      <w:r>
        <w:rPr>
          <w:rFonts w:hint="eastAsia" w:ascii="仿宋_GB2312" w:hAnsi="宋体" w:eastAsia="仿宋_GB2312"/>
          <w:sz w:val="24"/>
          <w:highlight w:val="none"/>
        </w:rPr>
        <w:tab/>
      </w:r>
      <w:r>
        <w:rPr>
          <w:rFonts w:hint="eastAsia" w:ascii="仿宋_GB2312" w:hAnsi="宋体" w:eastAsia="仿宋_GB2312"/>
          <w:sz w:val="24"/>
          <w:highlight w:val="none"/>
        </w:rPr>
        <w:t>投标人在投标过程中不得向采购人提供、给予任何有价值的物品，影响其正常决策行为。一经发现，其将被认定为</w:t>
      </w:r>
      <w:r>
        <w:rPr>
          <w:rFonts w:hint="eastAsia" w:ascii="仿宋_GB2312" w:hAnsi="宋体" w:eastAsia="仿宋_GB2312"/>
          <w:b/>
          <w:bCs/>
          <w:sz w:val="24"/>
          <w:highlight w:val="none"/>
        </w:rPr>
        <w:t>投标无效</w:t>
      </w:r>
      <w:r>
        <w:rPr>
          <w:rFonts w:ascii="仿宋_GB2312" w:hAnsi="宋体" w:eastAsia="仿宋_GB2312"/>
          <w:sz w:val="24"/>
          <w:highlight w:val="none"/>
        </w:rPr>
        <w:t>。</w:t>
      </w:r>
    </w:p>
    <w:p w14:paraId="36EF8043">
      <w:pPr>
        <w:pStyle w:val="5"/>
        <w:spacing w:before="0" w:after="0" w:line="240" w:lineRule="atLeast"/>
        <w:rPr>
          <w:rFonts w:hint="eastAsia" w:ascii="仿宋_GB2312" w:hAnsi="宋体" w:eastAsia="仿宋_GB2312"/>
          <w:highlight w:val="none"/>
          <w:u w:val="none"/>
        </w:rPr>
      </w:pPr>
      <w:bookmarkStart w:id="16" w:name="_Toc515647759"/>
      <w:bookmarkStart w:id="17" w:name="_Toc7918"/>
      <w:bookmarkStart w:id="18" w:name="_Toc5286"/>
      <w:bookmarkStart w:id="19" w:name="_Toc12139"/>
      <w:r>
        <w:rPr>
          <w:rFonts w:hint="eastAsia" w:ascii="仿宋_GB2312" w:hAnsi="宋体" w:eastAsia="仿宋_GB2312"/>
          <w:highlight w:val="none"/>
          <w:u w:val="none"/>
        </w:rPr>
        <w:t>2.资金来源</w:t>
      </w:r>
      <w:bookmarkEnd w:id="16"/>
      <w:bookmarkEnd w:id="17"/>
      <w:bookmarkEnd w:id="18"/>
      <w:bookmarkEnd w:id="19"/>
    </w:p>
    <w:p w14:paraId="51200B15">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2</w:t>
      </w:r>
      <w:r>
        <w:rPr>
          <w:rFonts w:ascii="仿宋_GB2312" w:hAnsi="宋体" w:eastAsia="仿宋_GB2312"/>
          <w:sz w:val="24"/>
          <w:highlight w:val="none"/>
        </w:rPr>
        <w:t>.1</w:t>
      </w:r>
      <w:r>
        <w:rPr>
          <w:rFonts w:hint="eastAsia" w:ascii="仿宋_GB2312" w:hAnsi="宋体" w:eastAsia="仿宋_GB2312"/>
          <w:sz w:val="24"/>
          <w:highlight w:val="none"/>
        </w:rPr>
        <w:tab/>
      </w:r>
      <w:r>
        <w:rPr>
          <w:rFonts w:hint="eastAsia" w:ascii="仿宋_GB2312" w:hAnsi="宋体" w:eastAsia="仿宋_GB2312"/>
          <w:sz w:val="24"/>
          <w:highlight w:val="none"/>
        </w:rPr>
        <w:t>本项目的采购人已获得足以支付本次招标后所签订的合同项下的资金</w:t>
      </w:r>
      <w:r>
        <w:rPr>
          <w:rFonts w:hint="eastAsia" w:ascii="仿宋_GB2312" w:hAnsi="宋体" w:eastAsia="仿宋_GB2312"/>
          <w:color w:val="auto"/>
          <w:sz w:val="24"/>
          <w:highlight w:val="none"/>
        </w:rPr>
        <w:t>（包括财政性资金和本项目采购</w:t>
      </w:r>
      <w:r>
        <w:rPr>
          <w:rFonts w:ascii="仿宋_GB2312" w:hAnsi="宋体" w:eastAsia="仿宋_GB2312"/>
          <w:color w:val="auto"/>
          <w:sz w:val="24"/>
          <w:highlight w:val="none"/>
        </w:rPr>
        <w:t>中无法</w:t>
      </w:r>
      <w:r>
        <w:rPr>
          <w:rFonts w:hint="eastAsia" w:ascii="仿宋_GB2312" w:hAnsi="宋体" w:eastAsia="仿宋_GB2312"/>
          <w:color w:val="auto"/>
          <w:sz w:val="24"/>
          <w:highlight w:val="none"/>
        </w:rPr>
        <w:t>与</w:t>
      </w:r>
      <w:r>
        <w:rPr>
          <w:rFonts w:ascii="仿宋_GB2312" w:hAnsi="宋体" w:eastAsia="仿宋_GB2312"/>
          <w:color w:val="auto"/>
          <w:sz w:val="24"/>
          <w:highlight w:val="none"/>
        </w:rPr>
        <w:t>财政性资金分割的非财政性资金</w:t>
      </w:r>
      <w:r>
        <w:rPr>
          <w:rFonts w:hint="eastAsia" w:ascii="仿宋_GB2312" w:hAnsi="宋体" w:eastAsia="仿宋_GB2312"/>
          <w:color w:val="auto"/>
          <w:sz w:val="24"/>
          <w:highlight w:val="none"/>
        </w:rPr>
        <w:t>）。</w:t>
      </w:r>
    </w:p>
    <w:p w14:paraId="18935E29">
      <w:pPr>
        <w:spacing w:line="240" w:lineRule="atLeast"/>
        <w:ind w:left="900" w:hanging="900" w:hangingChars="375"/>
        <w:rPr>
          <w:rFonts w:ascii="仿宋_GB2312" w:hAnsi="宋体" w:eastAsia="仿宋_GB2312"/>
          <w:sz w:val="24"/>
          <w:highlight w:val="none"/>
        </w:rPr>
      </w:pPr>
      <w:r>
        <w:rPr>
          <w:rFonts w:hint="eastAsia" w:ascii="仿宋_GB2312" w:hAnsi="宋体" w:eastAsia="仿宋_GB2312"/>
          <w:sz w:val="24"/>
          <w:highlight w:val="none"/>
        </w:rPr>
        <w:t>2.2项目预算金额和分项或分包最高限价</w:t>
      </w:r>
      <w:r>
        <w:rPr>
          <w:rFonts w:hint="eastAsia" w:ascii="仿宋_GB2312" w:hAnsi="宋体" w:eastAsia="仿宋_GB2312"/>
          <w:sz w:val="24"/>
          <w:highlight w:val="none"/>
          <w:u w:val="single"/>
        </w:rPr>
        <w:t>见投标人须知资料表</w:t>
      </w:r>
      <w:r>
        <w:rPr>
          <w:rFonts w:hint="eastAsia" w:ascii="仿宋_GB2312" w:hAnsi="宋体" w:eastAsia="仿宋_GB2312"/>
          <w:sz w:val="24"/>
          <w:highlight w:val="none"/>
        </w:rPr>
        <w:t>。</w:t>
      </w:r>
    </w:p>
    <w:p w14:paraId="41FB028E">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2.3投标人报价超过</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规定的预算金额或者分项、分包最高限价的，其投标将被认定为</w:t>
      </w:r>
      <w:r>
        <w:rPr>
          <w:rFonts w:hint="eastAsia" w:ascii="仿宋_GB2312" w:hAnsi="宋体" w:eastAsia="仿宋_GB2312"/>
          <w:b/>
          <w:bCs/>
          <w:sz w:val="24"/>
          <w:highlight w:val="none"/>
        </w:rPr>
        <w:t>投标无效</w:t>
      </w:r>
      <w:r>
        <w:rPr>
          <w:rFonts w:ascii="仿宋_GB2312" w:hAnsi="宋体" w:eastAsia="仿宋_GB2312"/>
          <w:sz w:val="24"/>
          <w:highlight w:val="none"/>
        </w:rPr>
        <w:t>。</w:t>
      </w:r>
    </w:p>
    <w:p w14:paraId="2CBC9DD1">
      <w:pPr>
        <w:pStyle w:val="5"/>
        <w:spacing w:before="0" w:after="0" w:line="240" w:lineRule="atLeast"/>
        <w:rPr>
          <w:rFonts w:hint="eastAsia" w:ascii="仿宋_GB2312" w:hAnsi="宋体" w:eastAsia="仿宋_GB2312"/>
          <w:highlight w:val="none"/>
          <w:u w:val="none"/>
        </w:rPr>
      </w:pPr>
      <w:bookmarkStart w:id="20" w:name="_Toc19744"/>
      <w:bookmarkStart w:id="21" w:name="_Toc15936"/>
      <w:bookmarkStart w:id="22" w:name="_Toc20526"/>
      <w:bookmarkStart w:id="23" w:name="_Toc515647760"/>
      <w:bookmarkStart w:id="24" w:name="_Toc520356145"/>
      <w:r>
        <w:rPr>
          <w:rFonts w:hint="eastAsia" w:ascii="仿宋_GB2312" w:hAnsi="宋体" w:eastAsia="仿宋_GB2312"/>
          <w:highlight w:val="none"/>
          <w:u w:val="none"/>
        </w:rPr>
        <w:t>3.投标费用</w:t>
      </w:r>
      <w:bookmarkEnd w:id="20"/>
      <w:bookmarkEnd w:id="21"/>
      <w:bookmarkEnd w:id="22"/>
      <w:bookmarkEnd w:id="23"/>
      <w:bookmarkEnd w:id="24"/>
    </w:p>
    <w:p w14:paraId="5CCFB0EB">
      <w:pPr>
        <w:spacing w:line="240" w:lineRule="atLeast"/>
        <w:ind w:left="900" w:hanging="900" w:hangingChars="375"/>
        <w:rPr>
          <w:rFonts w:hint="eastAsia" w:ascii="仿宋_GB2312" w:eastAsia="仿宋_GB2312"/>
          <w:sz w:val="24"/>
          <w:highlight w:val="none"/>
        </w:rPr>
      </w:pPr>
      <w:r>
        <w:rPr>
          <w:rFonts w:ascii="仿宋_GB2312" w:eastAsia="仿宋_GB2312"/>
          <w:sz w:val="24"/>
          <w:highlight w:val="none"/>
        </w:rPr>
        <w:tab/>
      </w:r>
      <w:r>
        <w:rPr>
          <w:rFonts w:hint="eastAsia" w:ascii="仿宋_GB2312" w:eastAsia="仿宋_GB2312"/>
          <w:sz w:val="24"/>
          <w:highlight w:val="none"/>
        </w:rPr>
        <w:t>不论投标的结果如何，投标人应承担所有与准备和参加投标有关的费用。</w:t>
      </w:r>
    </w:p>
    <w:p w14:paraId="5E1D93E6">
      <w:pPr>
        <w:pStyle w:val="5"/>
        <w:spacing w:before="0" w:after="0" w:line="240" w:lineRule="atLeast"/>
        <w:rPr>
          <w:rFonts w:hint="eastAsia" w:ascii="仿宋_GB2312" w:hAnsi="宋体" w:eastAsia="仿宋_GB2312"/>
          <w:highlight w:val="none"/>
          <w:u w:val="none"/>
        </w:rPr>
      </w:pPr>
      <w:bookmarkStart w:id="25" w:name="_Toc29669"/>
      <w:bookmarkStart w:id="26" w:name="_Toc515647761"/>
      <w:bookmarkStart w:id="27" w:name="_Toc4463"/>
      <w:bookmarkStart w:id="28" w:name="_Toc6116"/>
      <w:r>
        <w:rPr>
          <w:rFonts w:hint="eastAsia" w:ascii="仿宋_GB2312" w:hAnsi="宋体" w:eastAsia="仿宋_GB2312"/>
          <w:highlight w:val="none"/>
          <w:u w:val="none"/>
        </w:rPr>
        <w:t>4.适用法律</w:t>
      </w:r>
      <w:bookmarkEnd w:id="25"/>
      <w:bookmarkEnd w:id="26"/>
      <w:bookmarkEnd w:id="27"/>
      <w:bookmarkEnd w:id="28"/>
    </w:p>
    <w:p w14:paraId="53D6EF98">
      <w:pPr>
        <w:spacing w:line="240" w:lineRule="atLeast"/>
        <w:ind w:left="900" w:hanging="900" w:hangingChars="375"/>
        <w:rPr>
          <w:rFonts w:hint="eastAsia" w:ascii="仿宋_GB2312" w:hAnsi="宋体" w:eastAsia="仿宋_GB2312"/>
          <w:sz w:val="24"/>
          <w:highlight w:val="none"/>
        </w:rPr>
      </w:pPr>
      <w:r>
        <w:rPr>
          <w:rFonts w:hint="eastAsia" w:ascii="仿宋_GB2312" w:eastAsia="仿宋_GB2312"/>
          <w:sz w:val="24"/>
          <w:highlight w:val="none"/>
        </w:rPr>
        <w:t>本项目</w:t>
      </w:r>
      <w:r>
        <w:rPr>
          <w:rFonts w:hint="eastAsia" w:ascii="仿宋_GB2312" w:hAnsi="宋体" w:eastAsia="仿宋_GB2312"/>
          <w:sz w:val="24"/>
          <w:highlight w:val="none"/>
        </w:rPr>
        <w:t>采购人、</w:t>
      </w:r>
      <w:r>
        <w:rPr>
          <w:rFonts w:ascii="仿宋_GB2312" w:hAnsi="宋体" w:eastAsia="仿宋_GB2312"/>
          <w:sz w:val="24"/>
          <w:highlight w:val="none"/>
        </w:rPr>
        <w:t>采购代理机构</w:t>
      </w:r>
      <w:r>
        <w:rPr>
          <w:rFonts w:hint="eastAsia" w:ascii="仿宋_GB2312" w:eastAsia="仿宋_GB2312"/>
          <w:sz w:val="24"/>
          <w:highlight w:val="none"/>
        </w:rPr>
        <w:t>、投标人、评标委员会的相关行为均受《中华人民共和国政府采购法》、《</w:t>
      </w:r>
      <w:r>
        <w:rPr>
          <w:rFonts w:ascii="仿宋_GB2312" w:eastAsia="仿宋_GB2312"/>
          <w:sz w:val="24"/>
          <w:highlight w:val="none"/>
        </w:rPr>
        <w:t>中</w:t>
      </w:r>
      <w:r>
        <w:rPr>
          <w:rFonts w:hint="eastAsia" w:ascii="仿宋_GB2312" w:hAnsi="宋体" w:eastAsia="仿宋_GB2312"/>
          <w:sz w:val="24"/>
          <w:highlight w:val="none"/>
        </w:rPr>
        <w:t>华人民共和国政府采购法实施条例》、中华人民共和国财政部令第87号--政府采购货物和服务招标投标管理办法及本项目本级和上级财政部门政府采购有关规定的约束，其权利受到上述法律法规的保护。</w:t>
      </w:r>
    </w:p>
    <w:p w14:paraId="6C55415F">
      <w:pPr>
        <w:spacing w:line="240" w:lineRule="atLeast"/>
        <w:ind w:left="900" w:hanging="900" w:hangingChars="375"/>
        <w:rPr>
          <w:rFonts w:hint="eastAsia" w:ascii="仿宋_GB2312" w:hAnsi="宋体" w:eastAsia="仿宋_GB2312"/>
          <w:sz w:val="24"/>
          <w:highlight w:val="none"/>
        </w:rPr>
      </w:pPr>
    </w:p>
    <w:p w14:paraId="7670AD67">
      <w:pPr>
        <w:spacing w:line="240" w:lineRule="atLeast"/>
        <w:rPr>
          <w:rFonts w:hint="eastAsia" w:ascii="仿宋_GB2312" w:eastAsia="仿宋_GB2312"/>
          <w:sz w:val="24"/>
          <w:highlight w:val="none"/>
        </w:rPr>
      </w:pPr>
    </w:p>
    <w:p w14:paraId="3AFE231D">
      <w:pPr>
        <w:pStyle w:val="3"/>
        <w:spacing w:before="0" w:line="240" w:lineRule="atLeast"/>
        <w:ind w:left="1079" w:leftChars="257" w:hanging="540"/>
        <w:rPr>
          <w:rFonts w:hint="eastAsia" w:ascii="仿宋_GB2312" w:eastAsia="仿宋_GB2312"/>
          <w:sz w:val="28"/>
          <w:highlight w:val="none"/>
          <w:lang w:eastAsia="zh-CN"/>
        </w:rPr>
      </w:pPr>
      <w:bookmarkStart w:id="29" w:name="_Toc515647762"/>
      <w:bookmarkStart w:id="30" w:name="_Toc520356146"/>
      <w:bookmarkStart w:id="31" w:name="_Toc216582806"/>
      <w:bookmarkStart w:id="32" w:name="_Toc21566"/>
      <w:bookmarkStart w:id="33" w:name="_Toc4365"/>
      <w:bookmarkStart w:id="34" w:name="_Toc28087"/>
      <w:r>
        <w:rPr>
          <w:rFonts w:hint="eastAsia" w:ascii="仿宋_GB2312" w:eastAsia="仿宋_GB2312"/>
          <w:sz w:val="28"/>
          <w:highlight w:val="none"/>
        </w:rPr>
        <w:t>二</w:t>
      </w:r>
      <w:bookmarkEnd w:id="29"/>
      <w:bookmarkEnd w:id="30"/>
      <w:bookmarkEnd w:id="31"/>
      <w:bookmarkEnd w:id="32"/>
      <w:bookmarkEnd w:id="33"/>
      <w:r>
        <w:rPr>
          <w:rFonts w:hint="eastAsia" w:ascii="仿宋_GB2312" w:eastAsia="仿宋_GB2312"/>
          <w:sz w:val="28"/>
          <w:highlight w:val="none"/>
          <w:lang w:eastAsia="zh-CN"/>
        </w:rPr>
        <w:t>招标文件</w:t>
      </w:r>
      <w:bookmarkEnd w:id="34"/>
    </w:p>
    <w:p w14:paraId="69736287">
      <w:pPr>
        <w:pStyle w:val="4"/>
        <w:rPr>
          <w:rFonts w:hint="eastAsia"/>
          <w:highlight w:val="none"/>
        </w:rPr>
      </w:pPr>
    </w:p>
    <w:p w14:paraId="1A594D46">
      <w:pPr>
        <w:pStyle w:val="5"/>
        <w:spacing w:before="0" w:after="0" w:line="240" w:lineRule="atLeast"/>
        <w:rPr>
          <w:rFonts w:ascii="仿宋_GB2312" w:hAnsi="宋体" w:eastAsia="仿宋_GB2312"/>
          <w:highlight w:val="none"/>
          <w:u w:val="none"/>
        </w:rPr>
      </w:pPr>
      <w:bookmarkStart w:id="35" w:name="_Toc515647763"/>
      <w:bookmarkStart w:id="36" w:name="_Toc25743"/>
      <w:bookmarkStart w:id="37" w:name="_Toc28497"/>
      <w:bookmarkStart w:id="38" w:name="_Toc14084"/>
      <w:bookmarkStart w:id="39" w:name="_Toc520356147"/>
      <w:r>
        <w:rPr>
          <w:rFonts w:hint="eastAsia" w:ascii="仿宋_GB2312" w:hAnsi="宋体" w:eastAsia="仿宋_GB2312"/>
          <w:highlight w:val="none"/>
          <w:u w:val="none"/>
        </w:rPr>
        <w:t>5.</w:t>
      </w:r>
      <w:r>
        <w:rPr>
          <w:rFonts w:hint="eastAsia" w:ascii="仿宋_GB2312" w:hAnsi="宋体" w:eastAsia="仿宋_GB2312"/>
          <w:highlight w:val="none"/>
          <w:u w:val="none"/>
          <w:lang w:eastAsia="zh-CN"/>
        </w:rPr>
        <w:t>招标文件</w:t>
      </w:r>
      <w:r>
        <w:rPr>
          <w:rFonts w:hint="eastAsia" w:ascii="仿宋_GB2312" w:hAnsi="宋体" w:eastAsia="仿宋_GB2312"/>
          <w:highlight w:val="none"/>
          <w:u w:val="none"/>
        </w:rPr>
        <w:t>构成</w:t>
      </w:r>
      <w:bookmarkEnd w:id="35"/>
      <w:bookmarkEnd w:id="36"/>
      <w:bookmarkEnd w:id="37"/>
      <w:bookmarkEnd w:id="38"/>
      <w:bookmarkEnd w:id="39"/>
    </w:p>
    <w:p w14:paraId="6C0CB62A">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5.1</w:t>
      </w:r>
      <w:r>
        <w:rPr>
          <w:rFonts w:hint="eastAsia" w:ascii="仿宋_GB2312" w:hAnsi="宋体" w:eastAsia="仿宋_GB2312"/>
          <w:sz w:val="24"/>
          <w:highlight w:val="none"/>
        </w:rPr>
        <w:tab/>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分为</w:t>
      </w:r>
      <w:r>
        <w:rPr>
          <w:rFonts w:ascii="仿宋_GB2312" w:hAnsi="宋体" w:eastAsia="仿宋_GB2312"/>
          <w:sz w:val="24"/>
          <w:highlight w:val="none"/>
        </w:rPr>
        <w:t>三</w:t>
      </w:r>
      <w:r>
        <w:rPr>
          <w:rFonts w:hint="eastAsia" w:ascii="仿宋_GB2312" w:hAnsi="宋体" w:eastAsia="仿宋_GB2312"/>
          <w:sz w:val="24"/>
          <w:highlight w:val="none"/>
        </w:rPr>
        <w:t>册共7章，内容如下：</w:t>
      </w:r>
    </w:p>
    <w:p w14:paraId="5913A56B">
      <w:pPr>
        <w:spacing w:line="240" w:lineRule="atLeast"/>
        <w:ind w:left="1078" w:leftChars="428" w:hanging="180" w:hangingChars="75"/>
        <w:rPr>
          <w:rFonts w:hint="eastAsia" w:ascii="仿宋_GB2312" w:hAnsi="宋体" w:eastAsia="仿宋_GB2312"/>
          <w:sz w:val="24"/>
          <w:highlight w:val="none"/>
        </w:rPr>
      </w:pPr>
      <w:r>
        <w:rPr>
          <w:rFonts w:hint="eastAsia" w:ascii="仿宋_GB2312" w:hAnsi="宋体" w:eastAsia="仿宋_GB2312"/>
          <w:sz w:val="24"/>
          <w:highlight w:val="none"/>
        </w:rPr>
        <w:t>第一册</w:t>
      </w:r>
    </w:p>
    <w:p w14:paraId="59ACF48B">
      <w:pPr>
        <w:numPr>
          <w:ilvl w:val="0"/>
          <w:numId w:val="5"/>
        </w:numPr>
        <w:tabs>
          <w:tab w:val="left" w:pos="0"/>
        </w:tabs>
        <w:spacing w:line="240" w:lineRule="atLeast"/>
        <w:ind w:hanging="829"/>
        <w:rPr>
          <w:rFonts w:hint="eastAsia" w:ascii="仿宋_GB2312" w:hAnsi="宋体" w:eastAsia="仿宋_GB2312"/>
          <w:sz w:val="24"/>
          <w:highlight w:val="none"/>
        </w:rPr>
      </w:pPr>
      <w:r>
        <w:rPr>
          <w:rFonts w:hint="eastAsia" w:ascii="仿宋_GB2312" w:hAnsi="宋体" w:eastAsia="仿宋_GB2312"/>
          <w:sz w:val="24"/>
          <w:highlight w:val="none"/>
        </w:rPr>
        <w:t>投标人须知</w:t>
      </w:r>
    </w:p>
    <w:p w14:paraId="3B91D5F0">
      <w:pPr>
        <w:numPr>
          <w:ilvl w:val="0"/>
          <w:numId w:val="5"/>
        </w:numPr>
        <w:spacing w:line="240" w:lineRule="atLeast"/>
        <w:ind w:left="1080" w:leftChars="429" w:hanging="180"/>
        <w:rPr>
          <w:rFonts w:hint="eastAsia" w:ascii="仿宋_GB2312" w:hAnsi="宋体" w:eastAsia="仿宋_GB2312"/>
          <w:sz w:val="24"/>
          <w:highlight w:val="none"/>
        </w:rPr>
      </w:pPr>
      <w:r>
        <w:rPr>
          <w:rFonts w:hint="eastAsia" w:ascii="仿宋_GB2312" w:hAnsi="宋体" w:eastAsia="仿宋_GB2312"/>
          <w:sz w:val="24"/>
          <w:highlight w:val="none"/>
        </w:rPr>
        <w:t>投标文件格式</w:t>
      </w:r>
    </w:p>
    <w:p w14:paraId="19F80019">
      <w:pPr>
        <w:spacing w:line="240" w:lineRule="atLeast"/>
        <w:ind w:left="1080" w:leftChars="429" w:hanging="180"/>
        <w:rPr>
          <w:rFonts w:hint="eastAsia" w:ascii="仿宋_GB2312" w:hAnsi="宋体" w:eastAsia="仿宋_GB2312"/>
          <w:sz w:val="24"/>
          <w:highlight w:val="none"/>
        </w:rPr>
      </w:pPr>
      <w:r>
        <w:rPr>
          <w:rFonts w:hint="eastAsia" w:ascii="仿宋_GB2312" w:hAnsi="宋体" w:eastAsia="仿宋_GB2312"/>
          <w:sz w:val="24"/>
          <w:highlight w:val="none"/>
        </w:rPr>
        <w:t>第二册</w:t>
      </w:r>
    </w:p>
    <w:p w14:paraId="36619F27">
      <w:pPr>
        <w:numPr>
          <w:ilvl w:val="0"/>
          <w:numId w:val="5"/>
        </w:numPr>
        <w:spacing w:line="240" w:lineRule="atLeast"/>
        <w:ind w:left="1080" w:leftChars="429" w:hanging="180"/>
        <w:rPr>
          <w:rFonts w:hint="eastAsia" w:ascii="仿宋_GB2312" w:hAnsi="宋体" w:eastAsia="仿宋_GB2312"/>
          <w:sz w:val="24"/>
          <w:highlight w:val="none"/>
        </w:rPr>
      </w:pPr>
      <w:r>
        <w:rPr>
          <w:rFonts w:hint="eastAsia" w:ascii="仿宋_GB2312" w:hAnsi="宋体" w:eastAsia="仿宋_GB2312"/>
          <w:sz w:val="24"/>
          <w:highlight w:val="none"/>
        </w:rPr>
        <w:t>投标邀请</w:t>
      </w:r>
    </w:p>
    <w:p w14:paraId="539B1F11">
      <w:pPr>
        <w:numPr>
          <w:ilvl w:val="0"/>
          <w:numId w:val="5"/>
        </w:numPr>
        <w:spacing w:line="240" w:lineRule="atLeast"/>
        <w:ind w:left="1080" w:leftChars="429" w:hanging="180"/>
        <w:rPr>
          <w:rFonts w:hint="eastAsia" w:ascii="仿宋_GB2312" w:hAnsi="宋体" w:eastAsia="仿宋_GB2312"/>
          <w:sz w:val="24"/>
          <w:highlight w:val="none"/>
        </w:rPr>
      </w:pPr>
      <w:r>
        <w:rPr>
          <w:rFonts w:hint="eastAsia" w:ascii="仿宋_GB2312" w:hAnsi="宋体" w:eastAsia="仿宋_GB2312"/>
          <w:sz w:val="24"/>
          <w:highlight w:val="none"/>
        </w:rPr>
        <w:t>投标人须知资料表</w:t>
      </w:r>
    </w:p>
    <w:p w14:paraId="4A403AEA">
      <w:pPr>
        <w:numPr>
          <w:ilvl w:val="0"/>
          <w:numId w:val="5"/>
        </w:numPr>
        <w:spacing w:line="240" w:lineRule="atLeast"/>
        <w:ind w:left="1080" w:leftChars="429" w:hanging="180"/>
        <w:rPr>
          <w:rFonts w:ascii="仿宋_GB2312" w:hAnsi="宋体" w:eastAsia="仿宋_GB2312"/>
          <w:sz w:val="24"/>
          <w:highlight w:val="none"/>
        </w:rPr>
      </w:pPr>
      <w:r>
        <w:rPr>
          <w:rFonts w:hint="eastAsia" w:ascii="仿宋_GB2312" w:hAnsi="宋体" w:eastAsia="仿宋_GB2312"/>
          <w:sz w:val="24"/>
          <w:highlight w:val="none"/>
        </w:rPr>
        <w:t>货物需求一览表及技术规格</w:t>
      </w:r>
    </w:p>
    <w:p w14:paraId="724C124C">
      <w:pPr>
        <w:numPr>
          <w:ilvl w:val="0"/>
          <w:numId w:val="5"/>
        </w:numPr>
        <w:spacing w:line="240" w:lineRule="atLeast"/>
        <w:ind w:left="1080" w:leftChars="429" w:hanging="180"/>
        <w:rPr>
          <w:rFonts w:ascii="仿宋_GB2312" w:hAnsi="宋体" w:eastAsia="仿宋_GB2312"/>
          <w:sz w:val="24"/>
          <w:highlight w:val="none"/>
        </w:rPr>
      </w:pPr>
      <w:r>
        <w:rPr>
          <w:rFonts w:hint="eastAsia" w:ascii="仿宋_GB2312" w:hAnsi="宋体" w:eastAsia="仿宋_GB2312"/>
          <w:sz w:val="24"/>
          <w:highlight w:val="none"/>
        </w:rPr>
        <w:t>评标方法和标准</w:t>
      </w:r>
    </w:p>
    <w:p w14:paraId="6EE99FD3">
      <w:pPr>
        <w:spacing w:line="240" w:lineRule="atLeast"/>
        <w:ind w:left="901"/>
        <w:rPr>
          <w:rFonts w:hint="eastAsia" w:ascii="仿宋_GB2312" w:hAnsi="宋体" w:eastAsia="仿宋_GB2312"/>
          <w:sz w:val="24"/>
          <w:highlight w:val="none"/>
        </w:rPr>
      </w:pPr>
      <w:r>
        <w:rPr>
          <w:rFonts w:hint="eastAsia" w:ascii="仿宋_GB2312" w:hAnsi="宋体" w:eastAsia="仿宋_GB2312"/>
          <w:sz w:val="24"/>
          <w:highlight w:val="none"/>
        </w:rPr>
        <w:t>第三册</w:t>
      </w:r>
    </w:p>
    <w:p w14:paraId="535D4EC0">
      <w:pPr>
        <w:numPr>
          <w:ilvl w:val="0"/>
          <w:numId w:val="5"/>
        </w:numPr>
        <w:spacing w:line="240" w:lineRule="atLeast"/>
        <w:ind w:left="718" w:leftChars="342" w:firstLine="240" w:firstLineChars="100"/>
        <w:rPr>
          <w:rFonts w:hint="eastAsia" w:ascii="仿宋_GB2312" w:hAnsi="宋体" w:eastAsia="仿宋_GB2312"/>
          <w:sz w:val="24"/>
          <w:highlight w:val="none"/>
        </w:rPr>
      </w:pPr>
      <w:r>
        <w:rPr>
          <w:rFonts w:hint="eastAsia" w:ascii="仿宋_GB2312" w:hAnsi="宋体" w:eastAsia="仿宋_GB2312"/>
          <w:sz w:val="24"/>
          <w:highlight w:val="none"/>
        </w:rPr>
        <w:t>政府</w:t>
      </w:r>
      <w:r>
        <w:rPr>
          <w:rFonts w:ascii="仿宋_GB2312" w:hAnsi="宋体" w:eastAsia="仿宋_GB2312"/>
          <w:sz w:val="24"/>
          <w:highlight w:val="none"/>
        </w:rPr>
        <w:t>采购</w:t>
      </w:r>
      <w:r>
        <w:rPr>
          <w:rFonts w:hint="eastAsia" w:ascii="仿宋_GB2312" w:hAnsi="宋体" w:eastAsia="仿宋_GB2312"/>
          <w:sz w:val="24"/>
          <w:highlight w:val="none"/>
        </w:rPr>
        <w:t>合同格式</w:t>
      </w:r>
    </w:p>
    <w:p w14:paraId="0FF36441">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5</w:t>
      </w:r>
      <w:r>
        <w:rPr>
          <w:rFonts w:ascii="仿宋_GB2312" w:hAnsi="宋体" w:eastAsia="仿宋_GB2312"/>
          <w:sz w:val="24"/>
          <w:highlight w:val="none"/>
        </w:rPr>
        <w:t>.2</w:t>
      </w:r>
      <w:r>
        <w:rPr>
          <w:rFonts w:ascii="仿宋_GB2312" w:hAnsi="宋体" w:eastAsia="仿宋_GB2312"/>
          <w:sz w:val="24"/>
          <w:highlight w:val="none"/>
        </w:rPr>
        <w:tab/>
      </w:r>
      <w:r>
        <w:rPr>
          <w:rFonts w:hint="eastAsia" w:ascii="仿宋_GB2312" w:hAnsi="宋体" w:eastAsia="仿宋_GB2312"/>
          <w:sz w:val="24"/>
          <w:highlight w:val="none"/>
        </w:rPr>
        <w:t>如本文件的前后内容不一致，以最后描述为准。</w:t>
      </w:r>
    </w:p>
    <w:p w14:paraId="4F7ACBA5">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5.3投标人应认真阅读</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所有的事项、格式、条款和技术规范等。如投标人没有按照</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要求提交全部资料，或者投标文件没有对</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在各方面都做出实质性响应，可能导致其投标将被认定为</w:t>
      </w:r>
      <w:r>
        <w:rPr>
          <w:rFonts w:hint="eastAsia" w:ascii="仿宋_GB2312" w:hAnsi="宋体" w:eastAsia="仿宋_GB2312"/>
          <w:b/>
          <w:bCs/>
          <w:sz w:val="24"/>
          <w:highlight w:val="none"/>
        </w:rPr>
        <w:t>投标无效</w:t>
      </w:r>
      <w:r>
        <w:rPr>
          <w:rFonts w:hint="eastAsia" w:ascii="仿宋_GB2312" w:hAnsi="宋体" w:eastAsia="仿宋_GB2312"/>
          <w:sz w:val="24"/>
          <w:highlight w:val="none"/>
        </w:rPr>
        <w:t>。</w:t>
      </w:r>
    </w:p>
    <w:p w14:paraId="2703F036">
      <w:pPr>
        <w:pStyle w:val="5"/>
        <w:spacing w:before="0" w:after="0" w:line="240" w:lineRule="atLeast"/>
        <w:rPr>
          <w:rFonts w:hint="eastAsia" w:ascii="仿宋_GB2312" w:hAnsi="宋体" w:eastAsia="仿宋_GB2312"/>
          <w:highlight w:val="none"/>
          <w:u w:val="none"/>
        </w:rPr>
      </w:pPr>
      <w:bookmarkStart w:id="40" w:name="_Toc520356148"/>
      <w:bookmarkStart w:id="41" w:name="_Toc515904805"/>
      <w:bookmarkStart w:id="42" w:name="_Toc9232"/>
      <w:bookmarkStart w:id="43" w:name="_Toc26044"/>
      <w:bookmarkStart w:id="44" w:name="_Toc12543"/>
      <w:r>
        <w:rPr>
          <w:rFonts w:hint="eastAsia" w:ascii="仿宋_GB2312" w:hAnsi="宋体" w:eastAsia="仿宋_GB2312"/>
          <w:highlight w:val="none"/>
          <w:u w:val="none"/>
        </w:rPr>
        <w:t>6.</w:t>
      </w:r>
      <w:r>
        <w:rPr>
          <w:rFonts w:hint="eastAsia" w:ascii="仿宋_GB2312" w:hAnsi="宋体" w:eastAsia="仿宋_GB2312"/>
          <w:highlight w:val="none"/>
          <w:u w:val="none"/>
          <w:lang w:eastAsia="zh-CN"/>
        </w:rPr>
        <w:t>招标文件</w:t>
      </w:r>
      <w:r>
        <w:rPr>
          <w:rFonts w:hint="eastAsia" w:ascii="仿宋_GB2312" w:hAnsi="宋体" w:eastAsia="仿宋_GB2312"/>
          <w:highlight w:val="none"/>
          <w:u w:val="none"/>
        </w:rPr>
        <w:t>的澄清</w:t>
      </w:r>
      <w:bookmarkEnd w:id="40"/>
      <w:bookmarkEnd w:id="41"/>
      <w:r>
        <w:rPr>
          <w:rFonts w:hint="eastAsia" w:ascii="仿宋_GB2312" w:hAnsi="宋体" w:eastAsia="仿宋_GB2312"/>
          <w:highlight w:val="none"/>
          <w:u w:val="none"/>
        </w:rPr>
        <w:t>与</w:t>
      </w:r>
      <w:r>
        <w:rPr>
          <w:rFonts w:ascii="仿宋_GB2312" w:hAnsi="宋体" w:eastAsia="仿宋_GB2312"/>
          <w:highlight w:val="none"/>
          <w:u w:val="none"/>
        </w:rPr>
        <w:t>修改</w:t>
      </w:r>
      <w:bookmarkEnd w:id="42"/>
      <w:bookmarkEnd w:id="43"/>
      <w:bookmarkEnd w:id="44"/>
    </w:p>
    <w:p w14:paraId="0403297B">
      <w:pPr>
        <w:spacing w:line="240" w:lineRule="atLeast"/>
        <w:ind w:left="900" w:hanging="900" w:hangingChars="375"/>
        <w:rPr>
          <w:rFonts w:ascii="仿宋_GB2312" w:hAnsi="宋体" w:eastAsia="仿宋_GB2312"/>
          <w:sz w:val="24"/>
          <w:highlight w:val="none"/>
        </w:rPr>
      </w:pPr>
      <w:r>
        <w:rPr>
          <w:rFonts w:hint="eastAsia" w:ascii="仿宋_GB2312" w:hAnsi="宋体" w:eastAsia="仿宋_GB2312"/>
          <w:sz w:val="24"/>
          <w:highlight w:val="none"/>
        </w:rPr>
        <w:t>6.1</w:t>
      </w:r>
      <w:r>
        <w:rPr>
          <w:rFonts w:ascii="仿宋_GB2312" w:hAnsi="宋体" w:eastAsia="仿宋_GB2312"/>
          <w:sz w:val="24"/>
          <w:highlight w:val="none"/>
        </w:rPr>
        <w:t>提交首次</w:t>
      </w:r>
      <w:r>
        <w:rPr>
          <w:rFonts w:hint="eastAsia" w:ascii="仿宋_GB2312" w:hAnsi="宋体" w:eastAsia="仿宋_GB2312"/>
          <w:sz w:val="24"/>
          <w:highlight w:val="none"/>
          <w:lang w:eastAsia="zh-CN"/>
        </w:rPr>
        <w:t>投标文件截止</w:t>
      </w:r>
      <w:r>
        <w:rPr>
          <w:rFonts w:ascii="仿宋_GB2312" w:hAnsi="宋体" w:eastAsia="仿宋_GB2312"/>
          <w:sz w:val="24"/>
          <w:highlight w:val="none"/>
        </w:rPr>
        <w:t>之日前，</w:t>
      </w:r>
      <w:r>
        <w:rPr>
          <w:rFonts w:hint="eastAsia" w:ascii="仿宋_GB2312" w:hAnsi="宋体" w:eastAsia="仿宋_GB2312"/>
          <w:sz w:val="24"/>
          <w:highlight w:val="none"/>
          <w:lang w:eastAsia="zh-CN"/>
        </w:rPr>
        <w:t>采</w:t>
      </w:r>
      <w:r>
        <w:rPr>
          <w:rFonts w:ascii="仿宋_GB2312" w:hAnsi="宋体" w:eastAsia="仿宋_GB2312"/>
          <w:sz w:val="24"/>
          <w:highlight w:val="none"/>
        </w:rPr>
        <w:t>购人</w:t>
      </w:r>
      <w:r>
        <w:rPr>
          <w:rFonts w:hint="eastAsia" w:ascii="仿宋_GB2312" w:hAnsi="宋体" w:eastAsia="仿宋_GB2312"/>
          <w:sz w:val="24"/>
          <w:highlight w:val="none"/>
          <w:lang w:eastAsia="zh-CN"/>
        </w:rPr>
        <w:t>、</w:t>
      </w:r>
      <w:r>
        <w:rPr>
          <w:rFonts w:ascii="仿宋_GB2312" w:hAnsi="宋体" w:eastAsia="仿宋_GB2312"/>
          <w:sz w:val="24"/>
          <w:highlight w:val="none"/>
        </w:rPr>
        <w:t>采购代理机构或者</w:t>
      </w:r>
      <w:r>
        <w:rPr>
          <w:rFonts w:hint="eastAsia" w:ascii="仿宋_GB2312" w:hAnsi="宋体" w:eastAsia="仿宋_GB2312"/>
          <w:sz w:val="24"/>
          <w:highlight w:val="none"/>
          <w:lang w:eastAsia="zh-CN"/>
        </w:rPr>
        <w:t>评审</w:t>
      </w:r>
      <w:r>
        <w:rPr>
          <w:rFonts w:ascii="仿宋_GB2312" w:hAnsi="宋体" w:eastAsia="仿宋_GB2312"/>
          <w:sz w:val="24"/>
          <w:highlight w:val="none"/>
        </w:rPr>
        <w:t>小组可以对己发出的</w:t>
      </w:r>
      <w:r>
        <w:rPr>
          <w:rFonts w:hint="eastAsia" w:ascii="仿宋_GB2312" w:hAnsi="宋体" w:eastAsia="仿宋_GB2312"/>
          <w:sz w:val="24"/>
          <w:highlight w:val="none"/>
          <w:lang w:eastAsia="zh-CN"/>
        </w:rPr>
        <w:t>招标文件进行必要</w:t>
      </w:r>
      <w:r>
        <w:rPr>
          <w:rFonts w:ascii="仿宋_GB2312" w:hAnsi="宋体" w:eastAsia="仿宋_GB2312"/>
          <w:sz w:val="24"/>
          <w:highlight w:val="none"/>
        </w:rPr>
        <w:t>的</w:t>
      </w:r>
      <w:r>
        <w:rPr>
          <w:rFonts w:hint="eastAsia" w:ascii="仿宋_GB2312" w:hAnsi="宋体" w:eastAsia="仿宋_GB2312"/>
          <w:sz w:val="24"/>
          <w:highlight w:val="none"/>
          <w:lang w:eastAsia="zh-CN"/>
        </w:rPr>
        <w:t>澄清</w:t>
      </w:r>
      <w:r>
        <w:rPr>
          <w:rFonts w:ascii="仿宋_GB2312" w:hAnsi="宋体" w:eastAsia="仿宋_GB2312"/>
          <w:sz w:val="24"/>
          <w:highlight w:val="none"/>
        </w:rPr>
        <w:t>或者修改，澄清</w:t>
      </w:r>
      <w:r>
        <w:rPr>
          <w:rFonts w:hint="eastAsia" w:ascii="仿宋_GB2312" w:hAnsi="宋体" w:eastAsia="仿宋_GB2312"/>
          <w:sz w:val="24"/>
          <w:highlight w:val="none"/>
          <w:lang w:eastAsia="zh-CN"/>
        </w:rPr>
        <w:t>或</w:t>
      </w:r>
      <w:r>
        <w:rPr>
          <w:rFonts w:ascii="仿宋_GB2312" w:hAnsi="宋体" w:eastAsia="仿宋_GB2312"/>
          <w:sz w:val="24"/>
          <w:highlight w:val="none"/>
        </w:rPr>
        <w:t>者修改的内容作</w:t>
      </w:r>
      <w:r>
        <w:rPr>
          <w:rFonts w:hint="eastAsia" w:ascii="仿宋_GB2312" w:hAnsi="宋体" w:eastAsia="仿宋_GB2312"/>
          <w:sz w:val="24"/>
          <w:highlight w:val="none"/>
          <w:lang w:eastAsia="zh-CN"/>
        </w:rPr>
        <w:t>为招标文件</w:t>
      </w:r>
      <w:r>
        <w:rPr>
          <w:rFonts w:ascii="仿宋_GB2312" w:hAnsi="宋体" w:eastAsia="仿宋_GB2312"/>
          <w:sz w:val="24"/>
          <w:highlight w:val="none"/>
        </w:rPr>
        <w:t>的组成部分。澄清或者修改的内容可能影响</w:t>
      </w:r>
      <w:r>
        <w:rPr>
          <w:rFonts w:hint="eastAsia" w:ascii="仿宋_GB2312" w:hAnsi="宋体" w:eastAsia="仿宋_GB2312"/>
          <w:sz w:val="24"/>
          <w:highlight w:val="none"/>
          <w:lang w:eastAsia="zh-CN"/>
        </w:rPr>
        <w:t>投标文件</w:t>
      </w:r>
      <w:r>
        <w:rPr>
          <w:rFonts w:ascii="仿宋_GB2312" w:hAnsi="宋体" w:eastAsia="仿宋_GB2312"/>
          <w:sz w:val="24"/>
          <w:highlight w:val="none"/>
        </w:rPr>
        <w:t>编</w:t>
      </w:r>
      <w:r>
        <w:rPr>
          <w:rFonts w:hint="eastAsia" w:ascii="仿宋_GB2312" w:hAnsi="宋体" w:eastAsia="仿宋_GB2312"/>
          <w:sz w:val="24"/>
          <w:highlight w:val="none"/>
          <w:lang w:eastAsia="zh-CN"/>
        </w:rPr>
        <w:t>制的</w:t>
      </w:r>
      <w:r>
        <w:rPr>
          <w:rFonts w:ascii="仿宋_GB2312" w:hAnsi="宋体" w:eastAsia="仿宋_GB2312"/>
          <w:sz w:val="24"/>
          <w:highlight w:val="none"/>
        </w:rPr>
        <w:t>，采购人</w:t>
      </w:r>
      <w:r>
        <w:rPr>
          <w:rFonts w:hint="eastAsia" w:ascii="仿宋_GB2312" w:hAnsi="宋体" w:eastAsia="仿宋_GB2312"/>
          <w:sz w:val="24"/>
          <w:highlight w:val="none"/>
          <w:lang w:eastAsia="zh-CN"/>
        </w:rPr>
        <w:t>、采</w:t>
      </w:r>
      <w:r>
        <w:rPr>
          <w:rFonts w:ascii="仿宋_GB2312" w:hAnsi="宋体" w:eastAsia="仿宋_GB2312"/>
          <w:sz w:val="24"/>
          <w:highlight w:val="none"/>
        </w:rPr>
        <w:t>购代理机构应当在提交首次</w:t>
      </w:r>
      <w:r>
        <w:rPr>
          <w:rFonts w:hint="eastAsia" w:ascii="仿宋_GB2312" w:hAnsi="宋体" w:eastAsia="仿宋_GB2312"/>
          <w:sz w:val="24"/>
          <w:highlight w:val="none"/>
          <w:lang w:eastAsia="zh-CN"/>
        </w:rPr>
        <w:t>投标文件</w:t>
      </w:r>
      <w:r>
        <w:rPr>
          <w:rFonts w:ascii="仿宋_GB2312" w:hAnsi="宋体" w:eastAsia="仿宋_GB2312"/>
          <w:sz w:val="24"/>
          <w:highlight w:val="none"/>
        </w:rPr>
        <w:t>截止时问至</w:t>
      </w:r>
      <w:r>
        <w:rPr>
          <w:rFonts w:hint="eastAsia" w:ascii="仿宋_GB2312" w:hAnsi="宋体" w:eastAsia="仿宋_GB2312"/>
          <w:sz w:val="24"/>
          <w:highlight w:val="none"/>
          <w:lang w:eastAsia="zh-CN"/>
        </w:rPr>
        <w:t>少</w:t>
      </w:r>
      <w:r>
        <w:rPr>
          <w:rFonts w:ascii="仿宋_GB2312" w:hAnsi="宋体" w:eastAsia="仿宋_GB2312"/>
          <w:sz w:val="24"/>
          <w:highlight w:val="none"/>
        </w:rPr>
        <w:t>5日前，以书面形式通知所有获取</w:t>
      </w:r>
      <w:r>
        <w:rPr>
          <w:rFonts w:hint="eastAsia" w:ascii="仿宋_GB2312" w:hAnsi="宋体" w:eastAsia="仿宋_GB2312"/>
          <w:sz w:val="24"/>
          <w:highlight w:val="none"/>
          <w:lang w:eastAsia="zh-CN"/>
        </w:rPr>
        <w:t>招标文件</w:t>
      </w:r>
      <w:r>
        <w:rPr>
          <w:rFonts w:ascii="仿宋_GB2312" w:hAnsi="宋体" w:eastAsia="仿宋_GB2312"/>
          <w:sz w:val="24"/>
          <w:highlight w:val="none"/>
        </w:rPr>
        <w:t>的</w:t>
      </w:r>
      <w:r>
        <w:rPr>
          <w:rFonts w:hint="eastAsia" w:ascii="仿宋_GB2312" w:hAnsi="宋体" w:eastAsia="仿宋_GB2312"/>
          <w:sz w:val="24"/>
          <w:highlight w:val="none"/>
          <w:lang w:eastAsia="zh-CN"/>
        </w:rPr>
        <w:t>投标人</w:t>
      </w:r>
      <w:r>
        <w:rPr>
          <w:rFonts w:ascii="仿宋_GB2312" w:hAnsi="宋体" w:eastAsia="仿宋_GB2312"/>
          <w:sz w:val="24"/>
          <w:highlight w:val="none"/>
        </w:rPr>
        <w:t>；</w:t>
      </w:r>
      <w:r>
        <w:rPr>
          <w:rFonts w:hint="eastAsia" w:ascii="仿宋_GB2312" w:hAnsi="宋体" w:eastAsia="仿宋_GB2312"/>
          <w:sz w:val="24"/>
          <w:highlight w:val="none"/>
          <w:lang w:eastAsia="zh-CN"/>
        </w:rPr>
        <w:t>不</w:t>
      </w:r>
      <w:r>
        <w:rPr>
          <w:rFonts w:ascii="仿宋_GB2312" w:hAnsi="宋体" w:eastAsia="仿宋_GB2312"/>
          <w:sz w:val="24"/>
          <w:highlight w:val="none"/>
        </w:rPr>
        <w:t>足5日的，采购人。采购代理机构应当顺延提交首次</w:t>
      </w:r>
      <w:r>
        <w:rPr>
          <w:rFonts w:hint="eastAsia" w:ascii="仿宋_GB2312" w:hAnsi="宋体" w:eastAsia="仿宋_GB2312"/>
          <w:sz w:val="24"/>
          <w:highlight w:val="none"/>
          <w:lang w:eastAsia="zh-CN"/>
        </w:rPr>
        <w:t>投标文件截</w:t>
      </w:r>
      <w:r>
        <w:rPr>
          <w:rFonts w:ascii="仿宋_GB2312" w:hAnsi="宋体" w:eastAsia="仿宋_GB2312"/>
          <w:sz w:val="24"/>
          <w:highlight w:val="none"/>
        </w:rPr>
        <w:t>止</w:t>
      </w:r>
      <w:r>
        <w:rPr>
          <w:rFonts w:hint="eastAsia" w:ascii="仿宋_GB2312" w:hAnsi="宋体" w:eastAsia="仿宋_GB2312"/>
          <w:sz w:val="24"/>
          <w:highlight w:val="none"/>
          <w:lang w:eastAsia="zh-CN"/>
        </w:rPr>
        <w:t>时间</w:t>
      </w:r>
      <w:r>
        <w:rPr>
          <w:rFonts w:ascii="仿宋_GB2312" w:hAnsi="宋体" w:eastAsia="仿宋_GB2312"/>
          <w:sz w:val="24"/>
          <w:highlight w:val="none"/>
        </w:rPr>
        <w:t>。</w:t>
      </w:r>
    </w:p>
    <w:p w14:paraId="3D6E9D1B">
      <w:pPr>
        <w:spacing w:line="240" w:lineRule="atLeast"/>
        <w:ind w:left="900" w:hanging="900" w:hangingChars="375"/>
        <w:rPr>
          <w:rFonts w:hint="eastAsia" w:ascii="仿宋_GB2312" w:hAnsi="宋体" w:eastAsia="仿宋_GB2312"/>
          <w:sz w:val="24"/>
          <w:highlight w:val="none"/>
        </w:rPr>
      </w:pPr>
      <w:bookmarkStart w:id="45" w:name="_Toc520356149"/>
      <w:bookmarkStart w:id="46" w:name="_Ref467378678"/>
      <w:bookmarkStart w:id="47" w:name="_Toc515904806"/>
      <w:r>
        <w:rPr>
          <w:rFonts w:ascii="仿宋_GB2312" w:hAnsi="宋体" w:eastAsia="仿宋_GB2312"/>
          <w:sz w:val="24"/>
          <w:highlight w:val="none"/>
        </w:rPr>
        <w:t>6.2</w:t>
      </w:r>
      <w:r>
        <w:rPr>
          <w:rFonts w:ascii="仿宋_GB2312" w:hAnsi="宋体" w:eastAsia="仿宋_GB2312"/>
          <w:sz w:val="24"/>
          <w:highlight w:val="none"/>
        </w:rPr>
        <w:tab/>
      </w:r>
      <w:r>
        <w:rPr>
          <w:rFonts w:hint="eastAsia" w:ascii="仿宋_GB2312" w:hAnsi="宋体" w:eastAsia="仿宋_GB2312"/>
          <w:sz w:val="24"/>
          <w:highlight w:val="none"/>
        </w:rPr>
        <w:t>采购人、采购代理机构可主动地或在解答投标人提出的澄清问题时对</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进行澄清或修改。</w:t>
      </w:r>
      <w:r>
        <w:rPr>
          <w:rFonts w:ascii="仿宋_GB2312" w:hAnsi="宋体" w:eastAsia="仿宋_GB2312"/>
          <w:sz w:val="24"/>
          <w:highlight w:val="none"/>
        </w:rPr>
        <w:t>采购代理机构</w:t>
      </w:r>
      <w:r>
        <w:rPr>
          <w:rFonts w:hint="eastAsia" w:ascii="仿宋_GB2312" w:hAnsi="宋体" w:eastAsia="仿宋_GB2312"/>
          <w:sz w:val="24"/>
          <w:highlight w:val="none"/>
        </w:rPr>
        <w:t>将以发布澄清（更正）</w:t>
      </w:r>
      <w:r>
        <w:rPr>
          <w:rFonts w:ascii="仿宋_GB2312" w:hAnsi="宋体" w:eastAsia="仿宋_GB2312"/>
          <w:sz w:val="24"/>
          <w:highlight w:val="none"/>
        </w:rPr>
        <w:t>公告</w:t>
      </w:r>
      <w:r>
        <w:rPr>
          <w:rFonts w:hint="eastAsia" w:ascii="仿宋_GB2312" w:hAnsi="宋体" w:eastAsia="仿宋_GB2312"/>
          <w:sz w:val="24"/>
          <w:highlight w:val="none"/>
        </w:rPr>
        <w:t>的方式</w:t>
      </w:r>
      <w:r>
        <w:rPr>
          <w:rFonts w:ascii="仿宋_GB2312" w:hAnsi="宋体" w:eastAsia="仿宋_GB2312"/>
          <w:sz w:val="24"/>
          <w:highlight w:val="none"/>
        </w:rPr>
        <w:t>，</w:t>
      </w:r>
      <w:r>
        <w:rPr>
          <w:rFonts w:hint="eastAsia" w:ascii="仿宋_GB2312" w:hAnsi="宋体" w:eastAsia="仿宋_GB2312"/>
          <w:sz w:val="24"/>
          <w:highlight w:val="none"/>
        </w:rPr>
        <w:t>澄清或修改</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，澄清或修改</w:t>
      </w:r>
      <w:r>
        <w:rPr>
          <w:rFonts w:ascii="仿宋_GB2312" w:hAnsi="宋体" w:eastAsia="仿宋_GB2312"/>
          <w:sz w:val="24"/>
          <w:highlight w:val="none"/>
        </w:rPr>
        <w:t>内容</w:t>
      </w:r>
      <w:r>
        <w:rPr>
          <w:rFonts w:hint="eastAsia" w:ascii="仿宋_GB2312" w:hAnsi="宋体" w:eastAsia="仿宋_GB2312"/>
          <w:sz w:val="24"/>
          <w:highlight w:val="none"/>
        </w:rPr>
        <w:t>作</w:t>
      </w:r>
      <w:r>
        <w:rPr>
          <w:rFonts w:ascii="仿宋_GB2312" w:hAnsi="宋体" w:eastAsia="仿宋_GB2312"/>
          <w:sz w:val="24"/>
          <w:highlight w:val="none"/>
        </w:rPr>
        <w:t>为</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的</w:t>
      </w:r>
      <w:r>
        <w:rPr>
          <w:rFonts w:ascii="仿宋_GB2312" w:hAnsi="宋体" w:eastAsia="仿宋_GB2312"/>
          <w:sz w:val="24"/>
          <w:highlight w:val="none"/>
        </w:rPr>
        <w:t>组成部分</w:t>
      </w:r>
      <w:r>
        <w:rPr>
          <w:rFonts w:hint="eastAsia" w:ascii="仿宋_GB2312" w:hAnsi="宋体" w:eastAsia="仿宋_GB2312"/>
          <w:sz w:val="24"/>
          <w:highlight w:val="none"/>
        </w:rPr>
        <w:t>。</w:t>
      </w:r>
    </w:p>
    <w:p w14:paraId="618B6CA5">
      <w:pPr>
        <w:spacing w:line="240" w:lineRule="atLeast"/>
        <w:ind w:left="900" w:hanging="900" w:hangingChars="375"/>
        <w:rPr>
          <w:rFonts w:ascii="仿宋_GB2312" w:hAnsi="宋体" w:eastAsia="仿宋_GB2312"/>
          <w:sz w:val="24"/>
          <w:highlight w:val="none"/>
        </w:rPr>
      </w:pPr>
      <w:r>
        <w:rPr>
          <w:rFonts w:ascii="仿宋_GB2312" w:hAnsi="宋体" w:eastAsia="仿宋_GB2312"/>
          <w:sz w:val="24"/>
          <w:highlight w:val="none"/>
        </w:rPr>
        <w:t>6.3</w:t>
      </w:r>
      <w:r>
        <w:rPr>
          <w:rFonts w:ascii="仿宋_GB2312" w:hAnsi="宋体" w:eastAsia="仿宋_GB2312"/>
          <w:sz w:val="24"/>
          <w:highlight w:val="none"/>
        </w:rPr>
        <w:tab/>
      </w:r>
      <w:r>
        <w:rPr>
          <w:rFonts w:hint="eastAsia" w:ascii="仿宋_GB2312" w:hAnsi="宋体" w:eastAsia="仿宋_GB2312"/>
          <w:sz w:val="24"/>
          <w:highlight w:val="none"/>
        </w:rPr>
        <w:t>澄清</w:t>
      </w:r>
      <w:r>
        <w:rPr>
          <w:rFonts w:ascii="仿宋_GB2312" w:hAnsi="宋体" w:eastAsia="仿宋_GB2312"/>
          <w:sz w:val="24"/>
          <w:highlight w:val="none"/>
        </w:rPr>
        <w:t>或者修改的内容可能影响投标文件编制的，</w:t>
      </w:r>
      <w:r>
        <w:rPr>
          <w:rFonts w:hint="eastAsia" w:ascii="仿宋_GB2312" w:hAnsi="宋体" w:eastAsia="仿宋_GB2312"/>
          <w:sz w:val="24"/>
          <w:highlight w:val="none"/>
        </w:rPr>
        <w:t>采购</w:t>
      </w:r>
      <w:r>
        <w:rPr>
          <w:rFonts w:ascii="仿宋_GB2312" w:hAnsi="宋体" w:eastAsia="仿宋_GB2312"/>
          <w:sz w:val="24"/>
          <w:highlight w:val="none"/>
        </w:rPr>
        <w:t>代理机构</w:t>
      </w:r>
      <w:r>
        <w:rPr>
          <w:rFonts w:hint="eastAsia" w:ascii="仿宋_GB2312" w:hAnsi="宋体" w:eastAsia="仿宋_GB2312"/>
          <w:sz w:val="24"/>
          <w:highlight w:val="none"/>
        </w:rPr>
        <w:t>将</w:t>
      </w:r>
      <w:r>
        <w:rPr>
          <w:rFonts w:ascii="仿宋_GB2312" w:hAnsi="宋体" w:eastAsia="仿宋_GB2312"/>
          <w:sz w:val="24"/>
          <w:highlight w:val="none"/>
        </w:rPr>
        <w:t>以</w:t>
      </w:r>
      <w:r>
        <w:rPr>
          <w:rFonts w:hint="eastAsia" w:ascii="仿宋_GB2312" w:hAnsi="宋体" w:eastAsia="仿宋_GB2312"/>
          <w:sz w:val="24"/>
          <w:highlight w:val="none"/>
        </w:rPr>
        <w:t>书面形式通知所有购买</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的潜在投标人，并对其具有约束力。投标人在收到上述通知后，应及时向</w:t>
      </w:r>
      <w:r>
        <w:rPr>
          <w:rFonts w:ascii="仿宋_GB2312" w:hAnsi="宋体" w:eastAsia="仿宋_GB2312"/>
          <w:sz w:val="24"/>
          <w:highlight w:val="none"/>
        </w:rPr>
        <w:t>采购代理机构</w:t>
      </w:r>
      <w:r>
        <w:rPr>
          <w:rFonts w:hint="eastAsia" w:ascii="仿宋_GB2312" w:hAnsi="宋体" w:eastAsia="仿宋_GB2312"/>
          <w:sz w:val="24"/>
          <w:highlight w:val="none"/>
        </w:rPr>
        <w:t>回函确认。</w:t>
      </w:r>
    </w:p>
    <w:p w14:paraId="7B1062F3">
      <w:pPr>
        <w:spacing w:line="240" w:lineRule="atLeast"/>
        <w:ind w:left="900" w:hanging="900" w:hangingChars="375"/>
        <w:rPr>
          <w:rFonts w:hint="eastAsia" w:ascii="仿宋_GB2312" w:hAnsi="宋体" w:eastAsia="仿宋_GB2312"/>
          <w:sz w:val="24"/>
          <w:highlight w:val="none"/>
        </w:rPr>
      </w:pPr>
      <w:bookmarkStart w:id="48" w:name="_Toc14569"/>
      <w:bookmarkStart w:id="49" w:name="_Toc25635"/>
      <w:r>
        <w:rPr>
          <w:rFonts w:hint="eastAsia" w:ascii="仿宋_GB2312" w:hAnsi="宋体" w:eastAsia="仿宋_GB2312"/>
          <w:sz w:val="24"/>
          <w:highlight w:val="none"/>
        </w:rPr>
        <w:t>7</w:t>
      </w:r>
      <w:bookmarkEnd w:id="45"/>
      <w:bookmarkEnd w:id="46"/>
      <w:bookmarkEnd w:id="47"/>
      <w:r>
        <w:rPr>
          <w:rFonts w:hint="eastAsia" w:ascii="仿宋_GB2312" w:hAnsi="宋体" w:eastAsia="仿宋_GB2312"/>
          <w:sz w:val="24"/>
          <w:highlight w:val="none"/>
        </w:rPr>
        <w:t>.投标截止</w:t>
      </w:r>
      <w:r>
        <w:rPr>
          <w:rFonts w:ascii="仿宋_GB2312" w:hAnsi="宋体" w:eastAsia="仿宋_GB2312"/>
          <w:sz w:val="24"/>
          <w:highlight w:val="none"/>
        </w:rPr>
        <w:t>时间的顺延</w:t>
      </w:r>
      <w:bookmarkEnd w:id="48"/>
      <w:bookmarkEnd w:id="49"/>
    </w:p>
    <w:p w14:paraId="326FE8FC">
      <w:pPr>
        <w:spacing w:line="240" w:lineRule="atLeast"/>
        <w:ind w:left="900" w:hanging="900" w:hangingChars="375"/>
        <w:rPr>
          <w:rFonts w:hint="eastAsia" w:ascii="仿宋_GB2312" w:hAnsi="宋体" w:eastAsia="仿宋_GB2312"/>
          <w:sz w:val="24"/>
          <w:highlight w:val="none"/>
        </w:rPr>
      </w:pPr>
      <w:r>
        <w:rPr>
          <w:rFonts w:ascii="仿宋_GB2312" w:hAnsi="宋体" w:eastAsia="仿宋_GB2312"/>
          <w:sz w:val="24"/>
          <w:highlight w:val="none"/>
        </w:rPr>
        <w:tab/>
      </w:r>
      <w:r>
        <w:rPr>
          <w:rFonts w:hint="eastAsia" w:ascii="仿宋_GB2312" w:hAnsi="宋体" w:eastAsia="仿宋_GB2312"/>
          <w:sz w:val="24"/>
          <w:highlight w:val="none"/>
        </w:rPr>
        <w:t>为使投标人准备投标时有足够的时间对</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的澄清</w:t>
      </w:r>
      <w:r>
        <w:rPr>
          <w:rFonts w:ascii="仿宋_GB2312" w:hAnsi="宋体" w:eastAsia="仿宋_GB2312"/>
          <w:sz w:val="24"/>
          <w:highlight w:val="none"/>
        </w:rPr>
        <w:t>或者</w:t>
      </w:r>
      <w:r>
        <w:rPr>
          <w:rFonts w:hint="eastAsia" w:ascii="仿宋_GB2312" w:hAnsi="宋体" w:eastAsia="仿宋_GB2312"/>
          <w:sz w:val="24"/>
          <w:highlight w:val="none"/>
        </w:rPr>
        <w:t>修改部分进行研究，采购人将依法决定是否顺延投标截止时间。</w:t>
      </w:r>
    </w:p>
    <w:p w14:paraId="0B681851">
      <w:pPr>
        <w:pStyle w:val="3"/>
        <w:tabs>
          <w:tab w:val="left" w:pos="900"/>
        </w:tabs>
        <w:spacing w:before="0" w:line="240" w:lineRule="atLeast"/>
        <w:ind w:left="1079" w:leftChars="257" w:hanging="540"/>
        <w:rPr>
          <w:rFonts w:hint="eastAsia" w:ascii="仿宋_GB2312" w:hAnsi="宋体" w:eastAsia="仿宋_GB2312"/>
          <w:sz w:val="28"/>
          <w:highlight w:val="none"/>
        </w:rPr>
      </w:pPr>
      <w:bookmarkStart w:id="50" w:name="_Toc516367020"/>
      <w:bookmarkStart w:id="51" w:name="_Toc7636"/>
      <w:bookmarkStart w:id="52" w:name="_Toc7536"/>
      <w:bookmarkStart w:id="53" w:name="_Toc216582807"/>
      <w:bookmarkStart w:id="54" w:name="_Toc520356150"/>
      <w:bookmarkStart w:id="55" w:name="_Toc30808"/>
      <w:bookmarkStart w:id="56" w:name="_Toc515647766"/>
      <w:r>
        <w:rPr>
          <w:rFonts w:hint="eastAsia" w:ascii="仿宋_GB2312" w:hAnsi="宋体" w:eastAsia="仿宋_GB2312"/>
          <w:sz w:val="28"/>
          <w:highlight w:val="none"/>
        </w:rPr>
        <w:t>三投标文件</w:t>
      </w:r>
      <w:bookmarkEnd w:id="50"/>
      <w:r>
        <w:rPr>
          <w:rFonts w:hint="eastAsia" w:ascii="仿宋_GB2312" w:hAnsi="宋体" w:eastAsia="仿宋_GB2312"/>
          <w:sz w:val="28"/>
          <w:highlight w:val="none"/>
        </w:rPr>
        <w:t>的编制</w:t>
      </w:r>
      <w:bookmarkEnd w:id="51"/>
      <w:bookmarkEnd w:id="52"/>
      <w:bookmarkEnd w:id="53"/>
      <w:bookmarkEnd w:id="54"/>
      <w:bookmarkEnd w:id="55"/>
      <w:bookmarkEnd w:id="56"/>
    </w:p>
    <w:p w14:paraId="3ED9A3B5">
      <w:pPr>
        <w:pStyle w:val="4"/>
        <w:rPr>
          <w:rFonts w:hint="eastAsia"/>
          <w:highlight w:val="none"/>
        </w:rPr>
      </w:pPr>
    </w:p>
    <w:p w14:paraId="574BE100">
      <w:pPr>
        <w:pStyle w:val="5"/>
        <w:tabs>
          <w:tab w:val="left" w:pos="900"/>
        </w:tabs>
        <w:spacing w:before="0" w:after="0" w:line="240" w:lineRule="atLeast"/>
        <w:rPr>
          <w:rFonts w:ascii="仿宋_GB2312" w:hAnsi="宋体" w:eastAsia="仿宋_GB2312"/>
          <w:highlight w:val="none"/>
          <w:u w:val="none"/>
        </w:rPr>
      </w:pPr>
      <w:bookmarkStart w:id="57" w:name="_Toc29920"/>
      <w:bookmarkStart w:id="58" w:name="_Toc520356151"/>
      <w:bookmarkStart w:id="59" w:name="_Toc7786"/>
      <w:bookmarkStart w:id="60" w:name="_Toc515647767"/>
      <w:bookmarkStart w:id="61" w:name="_Toc516367021"/>
      <w:bookmarkStart w:id="62" w:name="_Toc3553"/>
      <w:r>
        <w:rPr>
          <w:rFonts w:hint="eastAsia" w:ascii="仿宋_GB2312" w:hAnsi="宋体" w:eastAsia="仿宋_GB2312"/>
          <w:highlight w:val="none"/>
          <w:u w:val="none"/>
        </w:rPr>
        <w:t>8</w:t>
      </w:r>
      <w:r>
        <w:rPr>
          <w:rFonts w:ascii="仿宋_GB2312" w:hAnsi="宋体" w:eastAsia="仿宋_GB2312"/>
          <w:highlight w:val="none"/>
          <w:u w:val="none"/>
        </w:rPr>
        <w:t>.</w:t>
      </w:r>
      <w:r>
        <w:rPr>
          <w:rFonts w:ascii="仿宋_GB2312" w:hAnsi="宋体" w:eastAsia="仿宋_GB2312"/>
          <w:highlight w:val="none"/>
          <w:u w:val="none"/>
        </w:rPr>
        <w:tab/>
      </w:r>
      <w:r>
        <w:rPr>
          <w:rFonts w:hint="eastAsia" w:ascii="仿宋_GB2312" w:hAnsi="宋体" w:eastAsia="仿宋_GB2312"/>
          <w:highlight w:val="none"/>
          <w:u w:val="none"/>
        </w:rPr>
        <w:t>投标范围及投标文件中标准和计量单位的使用</w:t>
      </w:r>
      <w:bookmarkEnd w:id="57"/>
      <w:bookmarkEnd w:id="58"/>
      <w:bookmarkEnd w:id="59"/>
      <w:bookmarkEnd w:id="60"/>
      <w:bookmarkEnd w:id="61"/>
      <w:bookmarkEnd w:id="62"/>
    </w:p>
    <w:p w14:paraId="37244B4B">
      <w:pPr>
        <w:spacing w:line="240" w:lineRule="atLeast"/>
        <w:ind w:left="900" w:hanging="900" w:hangingChars="375"/>
        <w:rPr>
          <w:rFonts w:ascii="仿宋_GB2312" w:hAnsi="宋体" w:eastAsia="仿宋_GB2312"/>
          <w:sz w:val="24"/>
          <w:highlight w:val="none"/>
        </w:rPr>
      </w:pPr>
      <w:r>
        <w:rPr>
          <w:rFonts w:hint="eastAsia" w:ascii="仿宋_GB2312" w:hAnsi="宋体" w:eastAsia="仿宋_GB2312"/>
          <w:sz w:val="24"/>
          <w:highlight w:val="none"/>
        </w:rPr>
        <w:t>8</w:t>
      </w:r>
      <w:r>
        <w:rPr>
          <w:rFonts w:ascii="仿宋_GB2312" w:hAnsi="宋体" w:eastAsia="仿宋_GB2312"/>
          <w:sz w:val="24"/>
          <w:highlight w:val="none"/>
        </w:rPr>
        <w:t>.1</w:t>
      </w:r>
      <w:r>
        <w:rPr>
          <w:rFonts w:ascii="仿宋_GB2312" w:hAnsi="宋体" w:eastAsia="仿宋_GB2312"/>
          <w:sz w:val="24"/>
          <w:highlight w:val="none"/>
        </w:rPr>
        <w:tab/>
      </w:r>
      <w:r>
        <w:rPr>
          <w:rFonts w:hint="eastAsia" w:ascii="仿宋_GB2312" w:hAnsi="宋体" w:eastAsia="仿宋_GB2312"/>
          <w:sz w:val="24"/>
          <w:highlight w:val="none"/>
        </w:rPr>
        <w:t>项目</w:t>
      </w:r>
      <w:r>
        <w:rPr>
          <w:rFonts w:ascii="仿宋_GB2312" w:hAnsi="宋体" w:eastAsia="仿宋_GB2312"/>
          <w:sz w:val="24"/>
          <w:highlight w:val="none"/>
        </w:rPr>
        <w:t>有分包的，</w:t>
      </w:r>
      <w:r>
        <w:rPr>
          <w:rFonts w:hint="eastAsia" w:ascii="仿宋_GB2312" w:hAnsi="宋体" w:eastAsia="仿宋_GB2312"/>
          <w:sz w:val="24"/>
          <w:highlight w:val="none"/>
        </w:rPr>
        <w:t>投标人可对</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其中某一个或几个分包货物进行投标，除非在</w:t>
      </w:r>
      <w:r>
        <w:rPr>
          <w:rFonts w:hint="eastAsia" w:ascii="仿宋_GB2312" w:hAnsi="宋体" w:eastAsia="仿宋_GB2312"/>
          <w:sz w:val="24"/>
          <w:highlight w:val="none"/>
          <w:u w:val="single"/>
        </w:rPr>
        <w:t>投标人须知资料表</w:t>
      </w:r>
      <w:r>
        <w:rPr>
          <w:rFonts w:hint="eastAsia" w:ascii="仿宋_GB2312" w:hAnsi="宋体" w:eastAsia="仿宋_GB2312"/>
          <w:sz w:val="24"/>
          <w:highlight w:val="none"/>
        </w:rPr>
        <w:t>中另有规定。</w:t>
      </w:r>
    </w:p>
    <w:p w14:paraId="269BA1AA">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8.2投标人应当</w:t>
      </w:r>
      <w:r>
        <w:rPr>
          <w:rFonts w:ascii="仿宋_GB2312" w:hAnsi="宋体" w:eastAsia="仿宋_GB2312"/>
          <w:sz w:val="24"/>
          <w:highlight w:val="none"/>
        </w:rPr>
        <w:t>对所投分包</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中“需求”所列的所有内容进行投标，</w:t>
      </w:r>
      <w:r>
        <w:rPr>
          <w:rFonts w:ascii="仿宋_GB2312" w:hAnsi="宋体" w:eastAsia="仿宋_GB2312"/>
          <w:sz w:val="24"/>
          <w:highlight w:val="none"/>
        </w:rPr>
        <w:t>如</w:t>
      </w:r>
      <w:r>
        <w:rPr>
          <w:rFonts w:hint="eastAsia" w:ascii="仿宋_GB2312" w:hAnsi="宋体" w:eastAsia="仿宋_GB2312"/>
          <w:sz w:val="24"/>
          <w:highlight w:val="none"/>
        </w:rPr>
        <w:t>仅</w:t>
      </w:r>
      <w:r>
        <w:rPr>
          <w:rFonts w:ascii="仿宋_GB2312" w:hAnsi="宋体" w:eastAsia="仿宋_GB2312"/>
          <w:sz w:val="24"/>
          <w:highlight w:val="none"/>
        </w:rPr>
        <w:t>响应</w:t>
      </w:r>
      <w:r>
        <w:rPr>
          <w:rFonts w:hint="eastAsia" w:ascii="仿宋_GB2312" w:hAnsi="宋体" w:eastAsia="仿宋_GB2312"/>
          <w:sz w:val="24"/>
          <w:highlight w:val="none"/>
        </w:rPr>
        <w:t>某一包中的部分内容</w:t>
      </w:r>
      <w:r>
        <w:rPr>
          <w:rFonts w:ascii="仿宋_GB2312" w:hAnsi="宋体" w:eastAsia="仿宋_GB2312"/>
          <w:sz w:val="24"/>
          <w:highlight w:val="none"/>
        </w:rPr>
        <w:t>，其</w:t>
      </w:r>
      <w:r>
        <w:rPr>
          <w:rFonts w:hint="eastAsia" w:ascii="仿宋_GB2312" w:hAnsi="宋体" w:eastAsia="仿宋_GB2312"/>
          <w:sz w:val="24"/>
          <w:highlight w:val="none"/>
        </w:rPr>
        <w:t>该包</w:t>
      </w:r>
      <w:r>
        <w:rPr>
          <w:rFonts w:ascii="仿宋_GB2312" w:hAnsi="宋体" w:eastAsia="仿宋_GB2312"/>
          <w:sz w:val="24"/>
          <w:highlight w:val="none"/>
        </w:rPr>
        <w:t>投标</w:t>
      </w:r>
      <w:r>
        <w:rPr>
          <w:rFonts w:hint="eastAsia" w:ascii="仿宋_GB2312" w:hAnsi="宋体" w:eastAsia="仿宋_GB2312"/>
          <w:sz w:val="24"/>
          <w:highlight w:val="none"/>
        </w:rPr>
        <w:t>将被认定为</w:t>
      </w:r>
      <w:r>
        <w:rPr>
          <w:rFonts w:hint="eastAsia" w:ascii="仿宋_GB2312" w:hAnsi="宋体" w:eastAsia="仿宋_GB2312"/>
          <w:b/>
          <w:bCs/>
          <w:sz w:val="24"/>
          <w:highlight w:val="none"/>
        </w:rPr>
        <w:t>投标无效</w:t>
      </w:r>
      <w:r>
        <w:rPr>
          <w:rFonts w:hint="eastAsia" w:ascii="仿宋_GB2312" w:hAnsi="宋体" w:eastAsia="仿宋_GB2312"/>
          <w:sz w:val="24"/>
          <w:highlight w:val="none"/>
        </w:rPr>
        <w:t>。</w:t>
      </w:r>
    </w:p>
    <w:p w14:paraId="1520686D">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8.3无论</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第5章货物需求一览表及技术规格中是否要求，投标人所投货物均应符合国家强制性标准。</w:t>
      </w:r>
    </w:p>
    <w:p w14:paraId="24B8B532">
      <w:pPr>
        <w:spacing w:line="240" w:lineRule="atLeast"/>
        <w:ind w:left="900" w:hanging="900" w:hangingChars="375"/>
        <w:rPr>
          <w:rFonts w:ascii="仿宋_GB2312" w:hAnsi="宋体" w:eastAsia="仿宋_GB2312"/>
          <w:sz w:val="24"/>
          <w:highlight w:val="none"/>
        </w:rPr>
      </w:pPr>
      <w:r>
        <w:rPr>
          <w:rFonts w:hint="eastAsia" w:ascii="仿宋_GB2312" w:hAnsi="宋体" w:eastAsia="仿宋_GB2312"/>
          <w:sz w:val="24"/>
          <w:highlight w:val="none"/>
        </w:rPr>
        <w:t>8.4除</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中有特殊要求外，投标文件中所使用的计量单位，应采用中华人民共和国法定计量单位。</w:t>
      </w:r>
    </w:p>
    <w:p w14:paraId="3DB0AFAD">
      <w:pPr>
        <w:pStyle w:val="5"/>
        <w:tabs>
          <w:tab w:val="left" w:pos="900"/>
        </w:tabs>
        <w:spacing w:before="0" w:after="0" w:line="240" w:lineRule="atLeast"/>
        <w:rPr>
          <w:rFonts w:ascii="仿宋_GB2312" w:hAnsi="宋体" w:eastAsia="仿宋_GB2312"/>
          <w:highlight w:val="none"/>
          <w:u w:val="none"/>
        </w:rPr>
      </w:pPr>
      <w:bookmarkStart w:id="63" w:name="_Toc516367022"/>
      <w:bookmarkStart w:id="64" w:name="_Ref467306195"/>
      <w:bookmarkStart w:id="65" w:name="_Ref467306676"/>
      <w:bookmarkStart w:id="66" w:name="_Toc28307"/>
      <w:bookmarkStart w:id="67" w:name="_Toc10364"/>
      <w:bookmarkStart w:id="68" w:name="_Toc520356152"/>
      <w:bookmarkStart w:id="69" w:name="_Toc515647768"/>
      <w:bookmarkStart w:id="70" w:name="_Toc17598"/>
      <w:r>
        <w:rPr>
          <w:rFonts w:hint="eastAsia" w:ascii="仿宋_GB2312" w:hAnsi="宋体" w:eastAsia="仿宋_GB2312"/>
          <w:highlight w:val="none"/>
          <w:u w:val="none"/>
        </w:rPr>
        <w:t>9</w:t>
      </w:r>
      <w:r>
        <w:rPr>
          <w:rFonts w:ascii="仿宋_GB2312" w:hAnsi="宋体" w:eastAsia="仿宋_GB2312"/>
          <w:highlight w:val="none"/>
          <w:u w:val="none"/>
        </w:rPr>
        <w:t>.</w:t>
      </w:r>
      <w:r>
        <w:rPr>
          <w:rFonts w:hint="eastAsia" w:ascii="仿宋_GB2312" w:hAnsi="宋体" w:eastAsia="仿宋_GB2312"/>
          <w:highlight w:val="none"/>
          <w:u w:val="none"/>
        </w:rPr>
        <w:t>投标文件</w:t>
      </w:r>
      <w:bookmarkEnd w:id="63"/>
      <w:bookmarkEnd w:id="64"/>
      <w:bookmarkEnd w:id="65"/>
      <w:r>
        <w:rPr>
          <w:rFonts w:hint="eastAsia" w:ascii="仿宋_GB2312" w:hAnsi="宋体" w:eastAsia="仿宋_GB2312"/>
          <w:highlight w:val="none"/>
          <w:u w:val="none"/>
        </w:rPr>
        <w:t>构成</w:t>
      </w:r>
      <w:bookmarkEnd w:id="66"/>
      <w:bookmarkEnd w:id="67"/>
      <w:bookmarkEnd w:id="68"/>
      <w:bookmarkEnd w:id="69"/>
      <w:bookmarkEnd w:id="70"/>
    </w:p>
    <w:p w14:paraId="479F1861">
      <w:pPr>
        <w:tabs>
          <w:tab w:val="left" w:pos="900"/>
          <w:tab w:val="left" w:pos="5580"/>
        </w:tabs>
        <w:spacing w:line="240" w:lineRule="atLeast"/>
        <w:ind w:left="960" w:hanging="960" w:hangingChars="400"/>
        <w:jc w:val="left"/>
        <w:rPr>
          <w:rFonts w:hint="eastAsia" w:ascii="仿宋_GB2312" w:hAnsi="宋体" w:eastAsia="仿宋_GB2312" w:cs="Times New Roman"/>
          <w:sz w:val="24"/>
          <w:highlight w:val="none"/>
        </w:rPr>
      </w:pPr>
      <w:bookmarkStart w:id="71" w:name="_Ref467052588"/>
      <w:r>
        <w:rPr>
          <w:rFonts w:hint="eastAsia" w:ascii="仿宋_GB2312" w:hAnsi="宋体" w:eastAsia="仿宋_GB2312"/>
          <w:sz w:val="24"/>
          <w:highlight w:val="none"/>
        </w:rPr>
        <w:t>9</w:t>
      </w:r>
      <w:r>
        <w:rPr>
          <w:rFonts w:ascii="仿宋_GB2312" w:hAnsi="宋体" w:eastAsia="仿宋_GB2312"/>
          <w:sz w:val="24"/>
          <w:highlight w:val="none"/>
        </w:rPr>
        <w:t>.1</w:t>
      </w:r>
      <w:r>
        <w:rPr>
          <w:rFonts w:hint="eastAsia" w:ascii="仿宋_GB2312" w:hAnsi="宋体" w:eastAsia="仿宋_GB2312" w:cs="Times New Roman"/>
          <w:b/>
          <w:bCs/>
          <w:sz w:val="24"/>
          <w:highlight w:val="none"/>
          <w:lang w:val="en-US" w:eastAsia="zh-CN"/>
        </w:rPr>
        <w:t>投标人</w:t>
      </w:r>
      <w:r>
        <w:rPr>
          <w:rFonts w:hint="eastAsia" w:ascii="仿宋_GB2312" w:hAnsi="宋体" w:eastAsia="仿宋_GB2312" w:cs="Times New Roman"/>
          <w:b/>
          <w:bCs/>
          <w:sz w:val="24"/>
          <w:highlight w:val="none"/>
        </w:rPr>
        <w:t>应完整地按</w:t>
      </w:r>
      <w:r>
        <w:rPr>
          <w:rFonts w:hint="eastAsia" w:ascii="仿宋_GB2312" w:hAnsi="宋体" w:eastAsia="仿宋_GB2312" w:cs="Times New Roman"/>
          <w:b/>
          <w:bCs/>
          <w:sz w:val="24"/>
          <w:highlight w:val="none"/>
          <w:lang w:val="en-US" w:eastAsia="zh-CN"/>
        </w:rPr>
        <w:t>招标</w:t>
      </w:r>
      <w:r>
        <w:rPr>
          <w:rFonts w:hint="eastAsia" w:ascii="仿宋_GB2312" w:hAnsi="宋体" w:eastAsia="仿宋_GB2312" w:cs="Times New Roman"/>
          <w:b/>
          <w:bCs/>
          <w:sz w:val="24"/>
          <w:highlight w:val="none"/>
          <w:lang w:eastAsia="zh-CN"/>
        </w:rPr>
        <w:t>文件</w:t>
      </w:r>
      <w:r>
        <w:rPr>
          <w:rFonts w:hint="eastAsia" w:ascii="仿宋_GB2312" w:hAnsi="宋体" w:eastAsia="仿宋_GB2312" w:cs="Times New Roman"/>
          <w:b/>
          <w:bCs/>
          <w:sz w:val="24"/>
          <w:highlight w:val="none"/>
        </w:rPr>
        <w:t>提供的</w:t>
      </w:r>
      <w:r>
        <w:rPr>
          <w:rFonts w:hint="eastAsia" w:ascii="仿宋_GB2312" w:hAnsi="宋体" w:eastAsia="仿宋_GB2312" w:cs="Times New Roman"/>
          <w:b/>
          <w:bCs/>
          <w:sz w:val="24"/>
          <w:highlight w:val="none"/>
          <w:lang w:val="en-US" w:eastAsia="zh-CN"/>
        </w:rPr>
        <w:t>投标文件</w:t>
      </w:r>
      <w:r>
        <w:rPr>
          <w:rFonts w:hint="eastAsia" w:ascii="仿宋_GB2312" w:hAnsi="宋体" w:eastAsia="仿宋_GB2312" w:cs="Times New Roman"/>
          <w:b/>
          <w:bCs/>
          <w:sz w:val="24"/>
          <w:highlight w:val="none"/>
          <w:lang w:eastAsia="zh-CN"/>
        </w:rPr>
        <w:t>文件</w:t>
      </w:r>
      <w:r>
        <w:rPr>
          <w:rFonts w:hint="eastAsia" w:ascii="仿宋_GB2312" w:hAnsi="宋体" w:eastAsia="仿宋_GB2312" w:cs="Times New Roman"/>
          <w:b/>
          <w:bCs/>
          <w:sz w:val="24"/>
          <w:highlight w:val="none"/>
        </w:rPr>
        <w:t>格式及要求编写</w:t>
      </w:r>
      <w:r>
        <w:rPr>
          <w:rFonts w:hint="eastAsia" w:ascii="仿宋_GB2312" w:hAnsi="宋体" w:eastAsia="仿宋_GB2312" w:cs="Times New Roman"/>
          <w:b/>
          <w:bCs/>
          <w:sz w:val="24"/>
          <w:highlight w:val="none"/>
          <w:lang w:val="en-US" w:eastAsia="zh-CN"/>
        </w:rPr>
        <w:t>投标文件</w:t>
      </w:r>
      <w:r>
        <w:rPr>
          <w:rFonts w:hint="eastAsia" w:ascii="仿宋_GB2312" w:hAnsi="宋体" w:eastAsia="仿宋_GB2312" w:cs="Times New Roman"/>
          <w:b/>
          <w:bCs/>
          <w:sz w:val="24"/>
          <w:highlight w:val="none"/>
          <w:lang w:eastAsia="zh-CN"/>
        </w:rPr>
        <w:t>，</w:t>
      </w:r>
      <w:r>
        <w:rPr>
          <w:rFonts w:hint="eastAsia" w:ascii="仿宋_GB2312" w:hAnsi="宋体" w:eastAsia="仿宋_GB2312" w:cs="Times New Roman"/>
          <w:b/>
          <w:bCs/>
          <w:sz w:val="24"/>
          <w:highlight w:val="none"/>
          <w:lang w:val="en-US" w:eastAsia="zh-CN"/>
        </w:rPr>
        <w:t>投标人须在投标截止时间前完成在系统上递交电子投标文件。投标人的电子投标文件是经过CA证书加密后上传提交的，任何单位或个人均无法在投标截止时间(即开标时间)之前查看或篡改，不存在泄密风险。（严格按照政采云电子投标流程制作并上传电子投标文件）</w:t>
      </w:r>
    </w:p>
    <w:p w14:paraId="2CB93AB2">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9.</w:t>
      </w:r>
      <w:r>
        <w:rPr>
          <w:rFonts w:ascii="仿宋_GB2312" w:hAnsi="宋体" w:eastAsia="仿宋_GB2312"/>
          <w:sz w:val="24"/>
          <w:highlight w:val="none"/>
        </w:rPr>
        <w:t>2</w:t>
      </w:r>
      <w:r>
        <w:rPr>
          <w:rFonts w:hint="eastAsia" w:ascii="仿宋_GB2312" w:hAnsi="宋体" w:eastAsia="仿宋_GB2312"/>
          <w:sz w:val="24"/>
          <w:highlight w:val="none"/>
        </w:rPr>
        <w:t>上述文件应按照</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规定的格式填写、签署和盖章。</w:t>
      </w:r>
    </w:p>
    <w:bookmarkEnd w:id="71"/>
    <w:p w14:paraId="57D93B31">
      <w:pPr>
        <w:pStyle w:val="5"/>
        <w:tabs>
          <w:tab w:val="left" w:pos="900"/>
        </w:tabs>
        <w:spacing w:before="0" w:after="0" w:line="240" w:lineRule="atLeast"/>
        <w:rPr>
          <w:rFonts w:ascii="仿宋_GB2312" w:hAnsi="宋体" w:eastAsia="仿宋_GB2312"/>
          <w:highlight w:val="none"/>
          <w:u w:val="none"/>
        </w:rPr>
      </w:pPr>
      <w:bookmarkStart w:id="72" w:name="_Toc516367023"/>
      <w:bookmarkStart w:id="73" w:name="_Toc4601"/>
      <w:bookmarkStart w:id="74" w:name="_Toc520356153"/>
      <w:bookmarkStart w:id="75" w:name="_Toc10379"/>
      <w:bookmarkStart w:id="76" w:name="_Toc3397"/>
      <w:bookmarkStart w:id="77" w:name="_Toc515647769"/>
      <w:r>
        <w:rPr>
          <w:rFonts w:hint="eastAsia" w:ascii="仿宋_GB2312" w:hAnsi="宋体" w:eastAsia="仿宋_GB2312"/>
          <w:highlight w:val="none"/>
          <w:u w:val="none"/>
        </w:rPr>
        <w:t>10</w:t>
      </w:r>
      <w:r>
        <w:rPr>
          <w:rFonts w:ascii="仿宋_GB2312" w:hAnsi="宋体" w:eastAsia="仿宋_GB2312"/>
          <w:highlight w:val="none"/>
          <w:u w:val="none"/>
        </w:rPr>
        <w:t>.</w:t>
      </w:r>
      <w:r>
        <w:rPr>
          <w:rFonts w:ascii="仿宋_GB2312" w:hAnsi="宋体" w:eastAsia="仿宋_GB2312"/>
          <w:highlight w:val="none"/>
          <w:u w:val="none"/>
        </w:rPr>
        <w:tab/>
      </w:r>
      <w:r>
        <w:rPr>
          <w:rFonts w:hint="eastAsia" w:ascii="仿宋_GB2312" w:hAnsi="宋体" w:eastAsia="仿宋_GB2312"/>
          <w:highlight w:val="none"/>
          <w:u w:val="none"/>
        </w:rPr>
        <w:t>证明投标标的的合格性和符合</w:t>
      </w:r>
      <w:r>
        <w:rPr>
          <w:rFonts w:hint="eastAsia" w:ascii="仿宋_GB2312" w:hAnsi="宋体" w:eastAsia="仿宋_GB2312"/>
          <w:highlight w:val="none"/>
          <w:u w:val="none"/>
          <w:lang w:eastAsia="zh-CN"/>
        </w:rPr>
        <w:t>招标文件</w:t>
      </w:r>
      <w:r>
        <w:rPr>
          <w:rFonts w:hint="eastAsia" w:ascii="仿宋_GB2312" w:hAnsi="宋体" w:eastAsia="仿宋_GB2312"/>
          <w:highlight w:val="none"/>
          <w:u w:val="none"/>
        </w:rPr>
        <w:t>规定的技术文件</w:t>
      </w:r>
      <w:bookmarkEnd w:id="72"/>
      <w:bookmarkEnd w:id="73"/>
      <w:bookmarkEnd w:id="74"/>
      <w:bookmarkEnd w:id="75"/>
      <w:bookmarkEnd w:id="76"/>
      <w:bookmarkEnd w:id="77"/>
    </w:p>
    <w:p w14:paraId="4F702247">
      <w:pPr>
        <w:spacing w:line="240" w:lineRule="atLeast"/>
        <w:ind w:left="900" w:hanging="900" w:hangingChars="375"/>
        <w:rPr>
          <w:rFonts w:ascii="仿宋_GB2312" w:hAnsi="宋体" w:eastAsia="仿宋_GB2312"/>
          <w:sz w:val="24"/>
          <w:highlight w:val="none"/>
        </w:rPr>
      </w:pPr>
      <w:r>
        <w:rPr>
          <w:rFonts w:hint="eastAsia" w:ascii="仿宋_GB2312" w:hAnsi="宋体" w:eastAsia="仿宋_GB2312"/>
          <w:sz w:val="24"/>
          <w:highlight w:val="none"/>
        </w:rPr>
        <w:t>10</w:t>
      </w:r>
      <w:r>
        <w:rPr>
          <w:rFonts w:ascii="仿宋_GB2312" w:hAnsi="宋体" w:eastAsia="仿宋_GB2312"/>
          <w:sz w:val="24"/>
          <w:highlight w:val="none"/>
        </w:rPr>
        <w:t>.1</w:t>
      </w:r>
      <w:r>
        <w:rPr>
          <w:rFonts w:ascii="仿宋_GB2312" w:hAnsi="宋体" w:eastAsia="仿宋_GB2312"/>
          <w:sz w:val="24"/>
          <w:highlight w:val="none"/>
        </w:rPr>
        <w:tab/>
      </w:r>
      <w:r>
        <w:rPr>
          <w:rFonts w:hint="eastAsia" w:ascii="仿宋_GB2312" w:hAnsi="宋体" w:eastAsia="仿宋_GB2312"/>
          <w:sz w:val="24"/>
          <w:highlight w:val="none"/>
        </w:rPr>
        <w:t>投标人应提交证明文件，证明其投标内容符合</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规定。该证明文件是投标文件的一部分。</w:t>
      </w:r>
    </w:p>
    <w:p w14:paraId="31BFF254">
      <w:pPr>
        <w:spacing w:line="240" w:lineRule="atLeast"/>
        <w:ind w:left="900" w:hanging="900" w:hangingChars="375"/>
        <w:rPr>
          <w:rFonts w:hint="eastAsia" w:ascii="仿宋_GB2312" w:hAnsi="宋体" w:eastAsia="仿宋_GB2312"/>
          <w:sz w:val="24"/>
          <w:highlight w:val="none"/>
          <w:lang w:eastAsia="zh-CN"/>
        </w:rPr>
      </w:pPr>
      <w:bookmarkStart w:id="78" w:name="_Ref467306244"/>
      <w:r>
        <w:rPr>
          <w:rFonts w:hint="eastAsia" w:ascii="仿宋_GB2312" w:hAnsi="宋体" w:eastAsia="仿宋_GB2312"/>
          <w:sz w:val="24"/>
          <w:highlight w:val="none"/>
        </w:rPr>
        <w:t>10</w:t>
      </w:r>
      <w:r>
        <w:rPr>
          <w:rFonts w:ascii="仿宋_GB2312" w:hAnsi="宋体" w:eastAsia="仿宋_GB2312"/>
          <w:sz w:val="24"/>
          <w:highlight w:val="none"/>
        </w:rPr>
        <w:t>.2</w:t>
      </w:r>
      <w:r>
        <w:rPr>
          <w:rFonts w:ascii="仿宋_GB2312" w:hAnsi="宋体" w:eastAsia="仿宋_GB2312"/>
          <w:sz w:val="24"/>
          <w:highlight w:val="none"/>
        </w:rPr>
        <w:tab/>
      </w:r>
      <w:r>
        <w:rPr>
          <w:rFonts w:hint="eastAsia" w:ascii="仿宋_GB2312" w:hAnsi="宋体" w:eastAsia="仿宋_GB2312"/>
          <w:sz w:val="24"/>
          <w:highlight w:val="none"/>
        </w:rPr>
        <w:t>上款所述的证明文件，可以是文字资料、图纸和数据</w:t>
      </w:r>
      <w:bookmarkEnd w:id="78"/>
      <w:r>
        <w:rPr>
          <w:rFonts w:hint="eastAsia" w:ascii="仿宋_GB2312" w:hAnsi="宋体" w:eastAsia="仿宋_GB2312"/>
          <w:sz w:val="24"/>
          <w:highlight w:val="none"/>
          <w:lang w:eastAsia="zh-CN"/>
        </w:rPr>
        <w:t>。</w:t>
      </w:r>
    </w:p>
    <w:p w14:paraId="223368F4">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10</w:t>
      </w:r>
      <w:r>
        <w:rPr>
          <w:rFonts w:ascii="仿宋_GB2312" w:hAnsi="宋体" w:eastAsia="仿宋_GB2312"/>
          <w:sz w:val="24"/>
          <w:highlight w:val="none"/>
        </w:rPr>
        <w:t>.2.1</w:t>
      </w:r>
      <w:r>
        <w:rPr>
          <w:rFonts w:ascii="仿宋_GB2312" w:hAnsi="宋体" w:eastAsia="仿宋_GB2312"/>
          <w:sz w:val="24"/>
          <w:highlight w:val="none"/>
        </w:rPr>
        <w:tab/>
      </w:r>
      <w:r>
        <w:rPr>
          <w:rFonts w:hint="eastAsia" w:ascii="仿宋_GB2312" w:hAnsi="宋体" w:eastAsia="仿宋_GB2312"/>
          <w:sz w:val="24"/>
          <w:highlight w:val="none"/>
        </w:rPr>
        <w:t>货物主要技术指标和性能的详细说明；</w:t>
      </w:r>
    </w:p>
    <w:p w14:paraId="5994F6D8">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10</w:t>
      </w:r>
      <w:r>
        <w:rPr>
          <w:rFonts w:ascii="仿宋_GB2312" w:hAnsi="宋体" w:eastAsia="仿宋_GB2312"/>
          <w:sz w:val="24"/>
          <w:highlight w:val="none"/>
        </w:rPr>
        <w:t>.2.2</w:t>
      </w:r>
      <w:r>
        <w:rPr>
          <w:rFonts w:ascii="仿宋_GB2312" w:hAnsi="宋体" w:eastAsia="仿宋_GB2312"/>
          <w:sz w:val="24"/>
          <w:highlight w:val="none"/>
        </w:rPr>
        <w:tab/>
      </w:r>
      <w:r>
        <w:rPr>
          <w:rFonts w:hint="eastAsia" w:ascii="仿宋_GB2312" w:hAnsi="宋体" w:eastAsia="仿宋_GB2312"/>
          <w:sz w:val="24"/>
          <w:highlight w:val="none"/>
        </w:rPr>
        <w:t>货物从买方开始使用至</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规定的保质期内正常、连续地使用所必须的备件和专用工具清单，包括备件和专用工具的货源及现行价格；</w:t>
      </w:r>
    </w:p>
    <w:p w14:paraId="5872C3DC">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10</w:t>
      </w:r>
      <w:r>
        <w:rPr>
          <w:rFonts w:ascii="仿宋_GB2312" w:hAnsi="宋体" w:eastAsia="仿宋_GB2312"/>
          <w:sz w:val="24"/>
          <w:highlight w:val="none"/>
        </w:rPr>
        <w:t>.2.3</w:t>
      </w:r>
      <w:r>
        <w:rPr>
          <w:rFonts w:ascii="仿宋_GB2312" w:hAnsi="宋体" w:eastAsia="仿宋_GB2312"/>
          <w:sz w:val="24"/>
          <w:highlight w:val="none"/>
        </w:rPr>
        <w:tab/>
      </w:r>
      <w:r>
        <w:rPr>
          <w:rFonts w:hint="eastAsia" w:ascii="仿宋_GB2312" w:hAnsi="宋体" w:eastAsia="仿宋_GB2312"/>
          <w:sz w:val="24"/>
          <w:highlight w:val="none"/>
        </w:rPr>
        <w:t>对照</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技术规格，逐条说明所提供货物及伴随的工程和服务已对</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的技术规格做出了实质性的响应，或申明与技术规格条文的偏差和例外。</w:t>
      </w:r>
    </w:p>
    <w:p w14:paraId="4400085E">
      <w:pPr>
        <w:pStyle w:val="5"/>
        <w:spacing w:before="0" w:after="0" w:line="240" w:lineRule="atLeast"/>
        <w:rPr>
          <w:rFonts w:hint="eastAsia" w:ascii="仿宋_GB2312" w:hAnsi="宋体" w:eastAsia="仿宋_GB2312"/>
          <w:highlight w:val="none"/>
          <w:u w:val="none"/>
        </w:rPr>
      </w:pPr>
      <w:bookmarkStart w:id="79" w:name="_Toc2248"/>
      <w:bookmarkStart w:id="80" w:name="_Toc520356155"/>
      <w:bookmarkStart w:id="81" w:name="_Toc515647770"/>
      <w:bookmarkStart w:id="82" w:name="_Toc23231"/>
      <w:bookmarkStart w:id="83" w:name="_Toc6967"/>
      <w:r>
        <w:rPr>
          <w:rFonts w:ascii="仿宋_GB2312" w:hAnsi="宋体" w:eastAsia="仿宋_GB2312"/>
          <w:highlight w:val="none"/>
          <w:u w:val="none"/>
        </w:rPr>
        <w:t>1</w:t>
      </w:r>
      <w:r>
        <w:rPr>
          <w:rFonts w:hint="eastAsia" w:ascii="仿宋_GB2312" w:hAnsi="宋体" w:eastAsia="仿宋_GB2312"/>
          <w:highlight w:val="none"/>
          <w:u w:val="none"/>
        </w:rPr>
        <w:t>1.投标报价</w:t>
      </w:r>
      <w:bookmarkEnd w:id="79"/>
      <w:bookmarkEnd w:id="80"/>
      <w:bookmarkEnd w:id="81"/>
      <w:bookmarkEnd w:id="82"/>
      <w:bookmarkEnd w:id="83"/>
    </w:p>
    <w:p w14:paraId="29F09B85">
      <w:pPr>
        <w:spacing w:line="240" w:lineRule="atLeast"/>
        <w:ind w:left="900" w:hanging="900" w:hangingChars="375"/>
        <w:rPr>
          <w:rFonts w:hint="eastAsia" w:ascii="仿宋_GB2312" w:hAnsi="宋体" w:eastAsia="仿宋_GB2312"/>
          <w:sz w:val="24"/>
          <w:highlight w:val="none"/>
        </w:rPr>
      </w:pPr>
      <w:r>
        <w:rPr>
          <w:rFonts w:ascii="仿宋_GB2312" w:hAnsi="宋体" w:eastAsia="仿宋_GB2312"/>
          <w:sz w:val="24"/>
          <w:highlight w:val="none"/>
        </w:rPr>
        <w:t>1</w:t>
      </w:r>
      <w:r>
        <w:rPr>
          <w:rFonts w:hint="eastAsia" w:ascii="仿宋_GB2312" w:hAnsi="宋体" w:eastAsia="仿宋_GB2312"/>
          <w:sz w:val="24"/>
          <w:highlight w:val="none"/>
        </w:rPr>
        <w:t>1</w:t>
      </w:r>
      <w:r>
        <w:rPr>
          <w:rFonts w:ascii="仿宋_GB2312" w:hAnsi="宋体" w:eastAsia="仿宋_GB2312"/>
          <w:sz w:val="24"/>
          <w:highlight w:val="none"/>
        </w:rPr>
        <w:t>.1</w:t>
      </w:r>
      <w:r>
        <w:rPr>
          <w:rFonts w:ascii="仿宋_GB2312" w:hAnsi="宋体" w:eastAsia="仿宋_GB2312"/>
          <w:sz w:val="24"/>
          <w:highlight w:val="none"/>
        </w:rPr>
        <w:tab/>
      </w:r>
      <w:r>
        <w:rPr>
          <w:rFonts w:hint="eastAsia" w:ascii="仿宋_GB2312" w:hAnsi="宋体" w:eastAsia="仿宋_GB2312"/>
          <w:sz w:val="24"/>
          <w:highlight w:val="none"/>
        </w:rPr>
        <w:t>所有投标均以人民币报价。投标人的投标报价应遵守《中华人民共和国价格法</w:t>
      </w:r>
      <w:r>
        <w:rPr>
          <w:rFonts w:hint="eastAsia" w:ascii="仿宋_GB2312" w:eastAsia="仿宋_GB2312"/>
          <w:sz w:val="24"/>
          <w:highlight w:val="none"/>
        </w:rPr>
        <w:t>》</w:t>
      </w:r>
      <w:r>
        <w:rPr>
          <w:rFonts w:hint="eastAsia" w:ascii="仿宋_GB2312" w:hAnsi="宋体" w:eastAsia="仿宋_GB2312"/>
          <w:sz w:val="24"/>
          <w:highlight w:val="none"/>
        </w:rPr>
        <w:t>。同时，根据</w:t>
      </w:r>
      <w:r>
        <w:rPr>
          <w:rFonts w:hint="eastAsia" w:ascii="仿宋_GB2312" w:eastAsia="仿宋_GB2312"/>
          <w:sz w:val="24"/>
          <w:highlight w:val="none"/>
        </w:rPr>
        <w:t>《</w:t>
      </w:r>
      <w:r>
        <w:rPr>
          <w:rFonts w:hint="eastAsia" w:ascii="仿宋_GB2312" w:hAnsi="宋体" w:eastAsia="仿宋_GB2312"/>
          <w:sz w:val="24"/>
          <w:highlight w:val="none"/>
        </w:rPr>
        <w:t>中华人民共和国政府采购法</w:t>
      </w:r>
      <w:r>
        <w:rPr>
          <w:rFonts w:hint="eastAsia" w:ascii="仿宋_GB2312" w:eastAsia="仿宋_GB2312"/>
          <w:sz w:val="24"/>
          <w:highlight w:val="none"/>
        </w:rPr>
        <w:t>》第二条的规定，为保证公平竞争，如有货物主体部分的赠与行为，其投标</w:t>
      </w:r>
      <w:r>
        <w:rPr>
          <w:rFonts w:hint="eastAsia" w:ascii="仿宋_GB2312" w:hAnsi="宋体" w:eastAsia="仿宋_GB2312"/>
          <w:sz w:val="24"/>
          <w:highlight w:val="none"/>
        </w:rPr>
        <w:t>将被认定为</w:t>
      </w:r>
      <w:r>
        <w:rPr>
          <w:rFonts w:hint="eastAsia" w:ascii="仿宋_GB2312" w:hAnsi="宋体" w:eastAsia="仿宋_GB2312"/>
          <w:b/>
          <w:bCs/>
          <w:sz w:val="24"/>
          <w:highlight w:val="none"/>
        </w:rPr>
        <w:t>投标无效</w:t>
      </w:r>
      <w:r>
        <w:rPr>
          <w:rFonts w:hint="eastAsia" w:ascii="仿宋_GB2312" w:hAnsi="宋体" w:eastAsia="仿宋_GB2312"/>
          <w:sz w:val="24"/>
          <w:highlight w:val="none"/>
        </w:rPr>
        <w:t>。</w:t>
      </w:r>
    </w:p>
    <w:p w14:paraId="195903C3">
      <w:pPr>
        <w:spacing w:line="240" w:lineRule="atLeast"/>
        <w:ind w:left="900" w:hanging="900" w:hangingChars="375"/>
        <w:rPr>
          <w:rFonts w:hint="eastAsia" w:ascii="仿宋_GB2312" w:hAnsi="宋体" w:eastAsia="仿宋_GB2312"/>
          <w:sz w:val="24"/>
          <w:highlight w:val="none"/>
        </w:rPr>
      </w:pPr>
      <w:r>
        <w:rPr>
          <w:rFonts w:ascii="仿宋_GB2312" w:hAnsi="宋体" w:eastAsia="仿宋_GB2312"/>
          <w:sz w:val="24"/>
          <w:highlight w:val="none"/>
        </w:rPr>
        <w:t>1</w:t>
      </w:r>
      <w:r>
        <w:rPr>
          <w:rFonts w:hint="eastAsia" w:ascii="仿宋_GB2312" w:hAnsi="宋体" w:eastAsia="仿宋_GB2312"/>
          <w:sz w:val="24"/>
          <w:highlight w:val="none"/>
        </w:rPr>
        <w:t>1</w:t>
      </w:r>
      <w:r>
        <w:rPr>
          <w:rFonts w:ascii="仿宋_GB2312" w:hAnsi="宋体" w:eastAsia="仿宋_GB2312"/>
          <w:sz w:val="24"/>
          <w:highlight w:val="none"/>
        </w:rPr>
        <w:t>.2</w:t>
      </w:r>
      <w:r>
        <w:rPr>
          <w:rFonts w:ascii="仿宋_GB2312" w:hAnsi="宋体" w:eastAsia="仿宋_GB2312"/>
          <w:sz w:val="24"/>
          <w:highlight w:val="none"/>
        </w:rPr>
        <w:tab/>
      </w:r>
      <w:r>
        <w:rPr>
          <w:rFonts w:hint="eastAsia" w:ascii="仿宋_GB2312" w:hAnsi="宋体" w:eastAsia="仿宋_GB2312"/>
          <w:sz w:val="24"/>
          <w:highlight w:val="none"/>
        </w:rPr>
        <w:t>投标人应在投标分项报价表上标明投标货物及相关服务的单价（如适用）和总价，并由法定代表人或其授权代表签署。</w:t>
      </w:r>
    </w:p>
    <w:p w14:paraId="7B30DD1B">
      <w:pPr>
        <w:spacing w:line="240" w:lineRule="atLeast"/>
        <w:ind w:left="900" w:hanging="900" w:hangingChars="375"/>
        <w:rPr>
          <w:rFonts w:hint="eastAsia" w:ascii="仿宋_GB2312" w:hAnsi="宋体" w:eastAsia="仿宋_GB2312"/>
          <w:sz w:val="24"/>
          <w:highlight w:val="none"/>
        </w:rPr>
      </w:pPr>
      <w:r>
        <w:rPr>
          <w:rFonts w:ascii="仿宋_GB2312" w:hAnsi="宋体" w:eastAsia="仿宋_GB2312"/>
          <w:sz w:val="24"/>
          <w:highlight w:val="none"/>
        </w:rPr>
        <w:t>1</w:t>
      </w:r>
      <w:r>
        <w:rPr>
          <w:rFonts w:hint="eastAsia" w:ascii="仿宋_GB2312" w:hAnsi="宋体" w:eastAsia="仿宋_GB2312"/>
          <w:sz w:val="24"/>
          <w:highlight w:val="none"/>
        </w:rPr>
        <w:t>1</w:t>
      </w:r>
      <w:r>
        <w:rPr>
          <w:rFonts w:ascii="仿宋_GB2312" w:hAnsi="宋体" w:eastAsia="仿宋_GB2312"/>
          <w:sz w:val="24"/>
          <w:highlight w:val="none"/>
        </w:rPr>
        <w:t>.3</w:t>
      </w:r>
      <w:r>
        <w:rPr>
          <w:rFonts w:ascii="仿宋_GB2312" w:hAnsi="宋体" w:eastAsia="仿宋_GB2312"/>
          <w:sz w:val="24"/>
          <w:highlight w:val="none"/>
        </w:rPr>
        <w:tab/>
      </w:r>
      <w:r>
        <w:rPr>
          <w:rFonts w:hint="eastAsia" w:ascii="仿宋_GB2312" w:hAnsi="宋体" w:eastAsia="仿宋_GB2312"/>
          <w:sz w:val="24"/>
          <w:highlight w:val="none"/>
        </w:rPr>
        <w:t>投标分项报价表上的价格应按下列方式填写：</w:t>
      </w:r>
    </w:p>
    <w:p w14:paraId="3B1F7AD4">
      <w:pPr>
        <w:spacing w:line="240" w:lineRule="atLeast"/>
        <w:ind w:left="900" w:hanging="900" w:hangingChars="375"/>
        <w:rPr>
          <w:rFonts w:hint="eastAsia" w:ascii="仿宋_GB2312" w:hAnsi="宋体" w:eastAsia="仿宋_GB2312"/>
          <w:color w:val="FF0000"/>
          <w:sz w:val="24"/>
          <w:highlight w:val="none"/>
        </w:rPr>
      </w:pPr>
      <w:r>
        <w:rPr>
          <w:rFonts w:hint="eastAsia" w:ascii="仿宋_GB2312" w:hAnsi="宋体" w:eastAsia="仿宋_GB2312"/>
          <w:sz w:val="24"/>
          <w:highlight w:val="none"/>
        </w:rPr>
        <w:t>11.3.1投标货物（包括备品备件、专用工具等）的出厂价（包括已在中国国内的进口货物完税后的仓库交货价、展室交货价或货架交货价），投标货物安装、调试、检验、技术服务和培训等费用；</w:t>
      </w:r>
    </w:p>
    <w:p w14:paraId="1C7E7AEA">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11.3.2货物运至最终目的地的运输费和保险费用。</w:t>
      </w:r>
    </w:p>
    <w:p w14:paraId="38F573C7">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11</w:t>
      </w:r>
      <w:r>
        <w:rPr>
          <w:rFonts w:ascii="仿宋_GB2312" w:hAnsi="宋体" w:eastAsia="仿宋_GB2312"/>
          <w:sz w:val="24"/>
          <w:highlight w:val="none"/>
        </w:rPr>
        <w:t>.4</w:t>
      </w:r>
      <w:r>
        <w:rPr>
          <w:rFonts w:hint="eastAsia" w:ascii="仿宋_GB2312" w:hAnsi="宋体" w:eastAsia="仿宋_GB2312"/>
          <w:sz w:val="24"/>
          <w:highlight w:val="none"/>
        </w:rPr>
        <w:tab/>
      </w:r>
      <w:r>
        <w:rPr>
          <w:rFonts w:hint="eastAsia" w:ascii="仿宋_GB2312" w:hAnsi="宋体" w:eastAsia="仿宋_GB2312"/>
          <w:sz w:val="24"/>
          <w:highlight w:val="none"/>
        </w:rPr>
        <w:t>投标人所报的各分项投标单价在合同履行过程中是固定不变的，不得以任何理由予以变更。任何包含价格调整要求的投标，</w:t>
      </w:r>
      <w:r>
        <w:rPr>
          <w:rFonts w:hint="eastAsia" w:ascii="仿宋_GB2312" w:eastAsia="仿宋_GB2312"/>
          <w:sz w:val="24"/>
          <w:highlight w:val="none"/>
        </w:rPr>
        <w:t>其投标</w:t>
      </w:r>
      <w:r>
        <w:rPr>
          <w:rFonts w:hint="eastAsia" w:ascii="仿宋_GB2312" w:hAnsi="宋体" w:eastAsia="仿宋_GB2312"/>
          <w:sz w:val="24"/>
          <w:highlight w:val="none"/>
        </w:rPr>
        <w:t>将被认定为</w:t>
      </w:r>
      <w:r>
        <w:rPr>
          <w:rFonts w:hint="eastAsia" w:ascii="仿宋_GB2312" w:hAnsi="宋体" w:eastAsia="仿宋_GB2312"/>
          <w:b/>
          <w:bCs/>
          <w:sz w:val="24"/>
          <w:highlight w:val="none"/>
        </w:rPr>
        <w:t>投标无效</w:t>
      </w:r>
      <w:r>
        <w:rPr>
          <w:rFonts w:hint="eastAsia" w:ascii="仿宋_GB2312" w:hAnsi="宋体" w:eastAsia="仿宋_GB2312"/>
          <w:sz w:val="24"/>
          <w:highlight w:val="none"/>
        </w:rPr>
        <w:t>。</w:t>
      </w:r>
    </w:p>
    <w:p w14:paraId="12189612">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11.</w:t>
      </w:r>
      <w:r>
        <w:rPr>
          <w:rFonts w:ascii="仿宋_GB2312" w:hAnsi="宋体" w:eastAsia="仿宋_GB2312"/>
          <w:sz w:val="24"/>
          <w:highlight w:val="none"/>
        </w:rPr>
        <w:t>5</w:t>
      </w:r>
      <w:r>
        <w:rPr>
          <w:rFonts w:hint="eastAsia" w:ascii="仿宋_GB2312" w:hAnsi="宋体" w:eastAsia="仿宋_GB2312"/>
          <w:sz w:val="24"/>
          <w:highlight w:val="none"/>
        </w:rPr>
        <w:tab/>
      </w:r>
      <w:r>
        <w:rPr>
          <w:rFonts w:hint="eastAsia" w:ascii="仿宋_GB2312" w:hAnsi="宋体" w:eastAsia="仿宋_GB2312"/>
          <w:sz w:val="24"/>
          <w:highlight w:val="none"/>
        </w:rPr>
        <w:t>每种货物只能有一个投标报价。采购人不接受具有附加条件的报价。</w:t>
      </w:r>
    </w:p>
    <w:p w14:paraId="1CAB80E0">
      <w:pPr>
        <w:pStyle w:val="11"/>
        <w:rPr>
          <w:rFonts w:hint="eastAsia" w:ascii="仿宋_GB2312" w:eastAsia="仿宋_GB2312"/>
          <w:b/>
          <w:bCs/>
          <w:iCs/>
          <w:color w:val="auto"/>
          <w:highlight w:val="none"/>
          <w:u w:val="single"/>
        </w:rPr>
      </w:pPr>
      <w:r>
        <w:rPr>
          <w:rFonts w:hint="eastAsia" w:ascii="仿宋_GB2312" w:eastAsia="仿宋_GB2312"/>
          <w:highlight w:val="none"/>
        </w:rPr>
        <w:t>11.6</w:t>
      </w:r>
      <w:r>
        <w:rPr>
          <w:rFonts w:hint="eastAsia" w:ascii="仿宋_GB2312" w:eastAsia="仿宋_GB2312"/>
          <w:b/>
          <w:bCs/>
          <w:iCs/>
          <w:color w:val="auto"/>
          <w:highlight w:val="none"/>
          <w:u w:val="single"/>
        </w:rPr>
        <w:t>采用</w:t>
      </w:r>
      <w:r>
        <w:rPr>
          <w:rFonts w:hint="eastAsia" w:ascii="仿宋_GB2312" w:eastAsia="仿宋_GB2312"/>
          <w:b/>
          <w:bCs/>
          <w:iCs/>
          <w:color w:val="auto"/>
          <w:highlight w:val="none"/>
          <w:u w:val="single"/>
          <w:lang w:eastAsia="zh-CN"/>
        </w:rPr>
        <w:t>一</w:t>
      </w:r>
      <w:r>
        <w:rPr>
          <w:rFonts w:hint="eastAsia" w:ascii="仿宋_GB2312" w:eastAsia="仿宋_GB2312"/>
          <w:b/>
          <w:bCs/>
          <w:iCs/>
          <w:color w:val="auto"/>
          <w:highlight w:val="none"/>
          <w:u w:val="single"/>
        </w:rPr>
        <w:t>次报价的方式。</w:t>
      </w:r>
    </w:p>
    <w:p w14:paraId="677F7744">
      <w:pPr>
        <w:pStyle w:val="11"/>
        <w:ind w:left="936" w:leftChars="446"/>
        <w:rPr>
          <w:rFonts w:hint="eastAsia" w:ascii="仿宋_GB2312" w:eastAsia="仿宋_GB2312"/>
          <w:b/>
          <w:bCs/>
          <w:iCs/>
          <w:color w:val="auto"/>
          <w:highlight w:val="none"/>
          <w:u w:val="single"/>
        </w:rPr>
      </w:pPr>
      <w:r>
        <w:rPr>
          <w:rFonts w:hint="eastAsia" w:ascii="仿宋_GB2312" w:eastAsia="仿宋_GB2312"/>
          <w:b/>
          <w:bCs/>
          <w:iCs/>
          <w:color w:val="auto"/>
          <w:highlight w:val="none"/>
          <w:u w:val="single"/>
          <w:lang w:val="en-US" w:eastAsia="zh-CN"/>
        </w:rPr>
        <w:t>投标人</w:t>
      </w:r>
      <w:r>
        <w:rPr>
          <w:rFonts w:hint="eastAsia" w:ascii="仿宋_GB2312" w:eastAsia="仿宋_GB2312"/>
          <w:b/>
          <w:bCs/>
          <w:iCs/>
          <w:color w:val="auto"/>
          <w:highlight w:val="none"/>
          <w:u w:val="single"/>
        </w:rPr>
        <w:t>在提交的投标文件中的报价以公开的方式，当场公布。该报价只允许有一个报价，任何有选择性的报价将不予接受。</w:t>
      </w:r>
    </w:p>
    <w:p w14:paraId="70B2A18A">
      <w:pPr>
        <w:pStyle w:val="5"/>
        <w:spacing w:before="0" w:after="0" w:line="240" w:lineRule="atLeast"/>
        <w:rPr>
          <w:rFonts w:ascii="仿宋_GB2312" w:hAnsi="宋体" w:eastAsia="仿宋_GB2312"/>
          <w:highlight w:val="none"/>
          <w:u w:val="none"/>
        </w:rPr>
      </w:pPr>
      <w:bookmarkStart w:id="84" w:name="_Toc11514"/>
      <w:bookmarkStart w:id="85" w:name="_Ref467306513"/>
      <w:bookmarkStart w:id="86" w:name="_Toc17788"/>
      <w:bookmarkStart w:id="87" w:name="_Toc515647771"/>
      <w:bookmarkStart w:id="88" w:name="_Toc520356156"/>
      <w:bookmarkStart w:id="89" w:name="_Toc19198"/>
      <w:bookmarkStart w:id="90" w:name="_Toc520356165"/>
      <w:bookmarkStart w:id="91" w:name="_Toc515647780"/>
      <w:bookmarkStart w:id="92" w:name="_Toc19296"/>
      <w:bookmarkStart w:id="93" w:name="_Toc21372"/>
      <w:r>
        <w:rPr>
          <w:rFonts w:ascii="仿宋_GB2312" w:hAnsi="宋体" w:eastAsia="仿宋_GB2312"/>
          <w:highlight w:val="none"/>
          <w:u w:val="none"/>
        </w:rPr>
        <w:t>1</w:t>
      </w:r>
      <w:r>
        <w:rPr>
          <w:rFonts w:hint="eastAsia" w:ascii="仿宋_GB2312" w:hAnsi="宋体" w:eastAsia="仿宋_GB2312"/>
          <w:highlight w:val="none"/>
          <w:u w:val="none"/>
        </w:rPr>
        <w:t>2.投标保证金</w:t>
      </w:r>
      <w:bookmarkEnd w:id="84"/>
      <w:bookmarkEnd w:id="85"/>
      <w:bookmarkEnd w:id="86"/>
      <w:bookmarkEnd w:id="87"/>
      <w:bookmarkEnd w:id="88"/>
      <w:bookmarkEnd w:id="89"/>
    </w:p>
    <w:p w14:paraId="5AB7EAB8">
      <w:pPr>
        <w:spacing w:line="240" w:lineRule="atLeast"/>
        <w:ind w:left="900" w:hanging="900" w:hangingChars="375"/>
        <w:rPr>
          <w:rFonts w:hint="eastAsia" w:ascii="仿宋_GB2312" w:hAnsi="宋体" w:eastAsia="仿宋_GB2312"/>
          <w:sz w:val="24"/>
          <w:highlight w:val="none"/>
        </w:rPr>
      </w:pPr>
      <w:bookmarkStart w:id="94" w:name="_Ref467306302"/>
      <w:r>
        <w:rPr>
          <w:rFonts w:ascii="仿宋_GB2312" w:hAnsi="宋体" w:eastAsia="仿宋_GB2312"/>
          <w:sz w:val="24"/>
          <w:highlight w:val="none"/>
        </w:rPr>
        <w:t>1</w:t>
      </w:r>
      <w:r>
        <w:rPr>
          <w:rFonts w:hint="eastAsia" w:ascii="仿宋_GB2312" w:hAnsi="宋体" w:eastAsia="仿宋_GB2312"/>
          <w:sz w:val="24"/>
          <w:highlight w:val="none"/>
        </w:rPr>
        <w:t>2</w:t>
      </w:r>
      <w:r>
        <w:rPr>
          <w:rFonts w:ascii="仿宋_GB2312" w:hAnsi="宋体" w:eastAsia="仿宋_GB2312"/>
          <w:sz w:val="24"/>
          <w:highlight w:val="none"/>
        </w:rPr>
        <w:t>.1</w:t>
      </w:r>
      <w:r>
        <w:rPr>
          <w:rFonts w:ascii="仿宋_GB2312" w:hAnsi="宋体" w:eastAsia="仿宋_GB2312"/>
          <w:sz w:val="24"/>
          <w:highlight w:val="none"/>
        </w:rPr>
        <w:tab/>
      </w:r>
      <w:r>
        <w:rPr>
          <w:rFonts w:hint="eastAsia" w:ascii="仿宋_GB2312" w:hAnsi="宋体" w:eastAsia="仿宋_GB2312"/>
          <w:sz w:val="24"/>
          <w:highlight w:val="none"/>
        </w:rPr>
        <w:t>投标人应提交</w:t>
      </w:r>
      <w:r>
        <w:rPr>
          <w:rFonts w:hint="eastAsia" w:ascii="仿宋_GB2312" w:hAnsi="宋体" w:eastAsia="仿宋_GB2312"/>
          <w:sz w:val="24"/>
          <w:highlight w:val="none"/>
          <w:u w:val="single"/>
        </w:rPr>
        <w:t>投标人须知资料表</w:t>
      </w:r>
      <w:r>
        <w:rPr>
          <w:rFonts w:hint="eastAsia" w:ascii="仿宋_GB2312" w:hAnsi="宋体" w:eastAsia="仿宋_GB2312"/>
          <w:sz w:val="24"/>
          <w:highlight w:val="none"/>
        </w:rPr>
        <w:t>中规定的投标保证金</w:t>
      </w:r>
      <w:bookmarkEnd w:id="94"/>
      <w:r>
        <w:rPr>
          <w:rFonts w:hint="eastAsia" w:ascii="仿宋_GB2312" w:hAnsi="宋体" w:eastAsia="仿宋_GB2312"/>
          <w:sz w:val="24"/>
          <w:highlight w:val="none"/>
        </w:rPr>
        <w:t>，并作为其投标的一部分。</w:t>
      </w:r>
    </w:p>
    <w:p w14:paraId="27D7721C">
      <w:pPr>
        <w:spacing w:line="240" w:lineRule="atLeast"/>
        <w:ind w:left="900" w:hanging="900" w:hangingChars="375"/>
        <w:rPr>
          <w:rFonts w:hint="eastAsia" w:ascii="仿宋_GB2312" w:hAnsi="宋体" w:eastAsia="仿宋_GB2312"/>
          <w:sz w:val="24"/>
          <w:highlight w:val="none"/>
        </w:rPr>
      </w:pPr>
      <w:r>
        <w:rPr>
          <w:rFonts w:ascii="仿宋_GB2312" w:hAnsi="宋体" w:eastAsia="仿宋_GB2312"/>
          <w:sz w:val="24"/>
          <w:highlight w:val="none"/>
        </w:rPr>
        <w:t>1</w:t>
      </w:r>
      <w:r>
        <w:rPr>
          <w:rFonts w:hint="eastAsia" w:ascii="仿宋_GB2312" w:hAnsi="宋体" w:eastAsia="仿宋_GB2312"/>
          <w:sz w:val="24"/>
          <w:highlight w:val="none"/>
        </w:rPr>
        <w:t>2</w:t>
      </w:r>
      <w:r>
        <w:rPr>
          <w:rFonts w:ascii="仿宋_GB2312" w:hAnsi="宋体" w:eastAsia="仿宋_GB2312"/>
          <w:sz w:val="24"/>
          <w:highlight w:val="none"/>
        </w:rPr>
        <w:t>.2</w:t>
      </w:r>
      <w:r>
        <w:rPr>
          <w:rFonts w:ascii="仿宋_GB2312" w:hAnsi="宋体" w:eastAsia="仿宋_GB2312"/>
          <w:sz w:val="24"/>
          <w:highlight w:val="none"/>
        </w:rPr>
        <w:tab/>
      </w:r>
      <w:r>
        <w:rPr>
          <w:rFonts w:hint="eastAsia" w:ascii="仿宋_GB2312" w:hAnsi="宋体" w:eastAsia="仿宋_GB2312"/>
          <w:sz w:val="24"/>
          <w:highlight w:val="none"/>
        </w:rPr>
        <w:t>投标人存在下列情形的，投标保证金不予退还：</w:t>
      </w:r>
    </w:p>
    <w:p w14:paraId="1486AFB5">
      <w:pPr>
        <w:pStyle w:val="15"/>
        <w:tabs>
          <w:tab w:val="left" w:pos="2240"/>
        </w:tabs>
        <w:spacing w:line="240" w:lineRule="atLeast"/>
        <w:ind w:left="1079" w:leftChars="371" w:hanging="300" w:hangingChars="125"/>
        <w:rPr>
          <w:rFonts w:hint="eastAsia" w:ascii="仿宋_GB2312" w:hAnsi="宋体" w:eastAsia="仿宋_GB2312"/>
          <w:sz w:val="24"/>
          <w:highlight w:val="none"/>
        </w:rPr>
      </w:pPr>
      <w:r>
        <w:rPr>
          <w:rFonts w:hint="eastAsia" w:ascii="仿宋_GB2312" w:hAnsi="宋体" w:eastAsia="仿宋_GB2312"/>
          <w:sz w:val="24"/>
          <w:highlight w:val="none"/>
        </w:rPr>
        <w:t>（1）在投标有效期内，撤销投标的；</w:t>
      </w:r>
    </w:p>
    <w:p w14:paraId="0FF93D60">
      <w:pPr>
        <w:pStyle w:val="15"/>
        <w:tabs>
          <w:tab w:val="left" w:pos="2240"/>
        </w:tabs>
        <w:spacing w:line="240" w:lineRule="atLeast"/>
        <w:ind w:left="1079" w:leftChars="371" w:hanging="300" w:hangingChars="125"/>
        <w:rPr>
          <w:rFonts w:hint="eastAsia" w:ascii="仿宋_GB2312" w:hAnsi="宋体" w:eastAsia="仿宋_GB2312"/>
          <w:sz w:val="24"/>
          <w:highlight w:val="none"/>
        </w:rPr>
      </w:pPr>
      <w:r>
        <w:rPr>
          <w:rFonts w:hint="eastAsia" w:ascii="仿宋_GB2312" w:hAnsi="宋体" w:eastAsia="仿宋_GB2312"/>
          <w:sz w:val="24"/>
          <w:highlight w:val="none"/>
        </w:rPr>
        <w:t>（2）中标后不按本须知第30条的规定与采购人签订合同的；</w:t>
      </w:r>
    </w:p>
    <w:p w14:paraId="06B8B2D9">
      <w:pPr>
        <w:pStyle w:val="15"/>
        <w:tabs>
          <w:tab w:val="left" w:pos="2240"/>
        </w:tabs>
        <w:spacing w:line="240" w:lineRule="atLeast"/>
        <w:ind w:left="1079" w:leftChars="371" w:hanging="300" w:hangingChars="125"/>
        <w:rPr>
          <w:rFonts w:hint="eastAsia" w:ascii="仿宋_GB2312" w:hAnsi="宋体" w:eastAsia="仿宋_GB2312"/>
          <w:sz w:val="24"/>
          <w:highlight w:val="none"/>
        </w:rPr>
      </w:pPr>
      <w:r>
        <w:rPr>
          <w:rFonts w:hint="eastAsia" w:ascii="仿宋_GB2312" w:hAnsi="宋体" w:eastAsia="仿宋_GB2312"/>
          <w:sz w:val="24"/>
          <w:highlight w:val="none"/>
        </w:rPr>
        <w:t>（3）中标后不按本须知第31条的规定提交履约保证金的；</w:t>
      </w:r>
    </w:p>
    <w:p w14:paraId="46C125A8">
      <w:pPr>
        <w:pStyle w:val="15"/>
        <w:tabs>
          <w:tab w:val="left" w:pos="2240"/>
        </w:tabs>
        <w:spacing w:line="240" w:lineRule="atLeast"/>
        <w:ind w:left="1079" w:leftChars="371" w:hanging="300" w:hangingChars="125"/>
        <w:rPr>
          <w:rFonts w:ascii="仿宋_GB2312" w:hAnsi="宋体" w:eastAsia="仿宋_GB2312"/>
          <w:sz w:val="24"/>
          <w:highlight w:val="none"/>
        </w:rPr>
      </w:pPr>
      <w:r>
        <w:rPr>
          <w:rFonts w:hint="eastAsia" w:ascii="仿宋_GB2312" w:hAnsi="宋体" w:eastAsia="仿宋_GB2312"/>
          <w:sz w:val="24"/>
          <w:highlight w:val="none"/>
        </w:rPr>
        <w:t>（4）中标后不按本须知第32条的规定缴纳中标服务费的；</w:t>
      </w:r>
    </w:p>
    <w:p w14:paraId="324BCE75">
      <w:pPr>
        <w:pStyle w:val="15"/>
        <w:tabs>
          <w:tab w:val="left" w:pos="2240"/>
        </w:tabs>
        <w:spacing w:line="240" w:lineRule="atLeast"/>
        <w:ind w:left="1079" w:leftChars="371" w:hanging="300" w:hangingChars="125"/>
        <w:rPr>
          <w:rFonts w:hint="eastAsia" w:ascii="仿宋_GB2312" w:hAnsi="宋体" w:eastAsia="仿宋_GB2312"/>
          <w:sz w:val="24"/>
          <w:highlight w:val="none"/>
        </w:rPr>
      </w:pPr>
      <w:r>
        <w:rPr>
          <w:rFonts w:hint="eastAsia" w:ascii="仿宋_GB2312" w:hAnsi="宋体" w:eastAsia="仿宋_GB2312"/>
          <w:sz w:val="24"/>
          <w:highlight w:val="none"/>
        </w:rPr>
        <w:t>（5）存在其他违法</w:t>
      </w:r>
      <w:r>
        <w:rPr>
          <w:rFonts w:ascii="仿宋_GB2312" w:hAnsi="宋体" w:eastAsia="仿宋_GB2312"/>
          <w:sz w:val="24"/>
          <w:highlight w:val="none"/>
        </w:rPr>
        <w:t>违规行为的</w:t>
      </w:r>
      <w:r>
        <w:rPr>
          <w:rFonts w:hint="eastAsia" w:ascii="仿宋_GB2312" w:hAnsi="宋体" w:eastAsia="仿宋_GB2312"/>
          <w:sz w:val="24"/>
          <w:highlight w:val="none"/>
        </w:rPr>
        <w:t>。</w:t>
      </w:r>
    </w:p>
    <w:p w14:paraId="43D60FA8">
      <w:pPr>
        <w:spacing w:line="240" w:lineRule="atLeast"/>
        <w:ind w:left="900" w:hanging="900" w:hangingChars="375"/>
        <w:rPr>
          <w:rFonts w:hint="eastAsia" w:ascii="仿宋_GB2312" w:hAnsi="宋体" w:eastAsia="仿宋_GB2312"/>
          <w:sz w:val="24"/>
          <w:highlight w:val="none"/>
        </w:rPr>
      </w:pPr>
      <w:bookmarkStart w:id="95" w:name="_Ref467306336"/>
      <w:r>
        <w:rPr>
          <w:rFonts w:hint="eastAsia" w:ascii="仿宋_GB2312" w:hAnsi="宋体" w:eastAsia="仿宋_GB2312"/>
          <w:sz w:val="24"/>
          <w:highlight w:val="none"/>
        </w:rPr>
        <w:t>12.3</w:t>
      </w:r>
      <w:r>
        <w:rPr>
          <w:rFonts w:hint="eastAsia" w:ascii="仿宋_GB2312" w:hAnsi="宋体" w:eastAsia="仿宋_GB2312"/>
          <w:sz w:val="24"/>
          <w:highlight w:val="none"/>
        </w:rPr>
        <w:tab/>
      </w:r>
      <w:bookmarkEnd w:id="95"/>
      <w:r>
        <w:rPr>
          <w:rFonts w:hint="eastAsia" w:ascii="仿宋_GB2312" w:hAnsi="宋体" w:eastAsia="仿宋_GB2312"/>
          <w:sz w:val="24"/>
          <w:highlight w:val="none"/>
        </w:rPr>
        <w:t>政府采购信用担保试点范围内的项目，接受符合财政部门规定的政府采购投标担保函原件。</w:t>
      </w:r>
    </w:p>
    <w:p w14:paraId="0064156E">
      <w:pPr>
        <w:spacing w:line="240" w:lineRule="atLeast"/>
        <w:ind w:left="900" w:hanging="900" w:hangingChars="375"/>
        <w:rPr>
          <w:rFonts w:ascii="仿宋_GB2312" w:hAnsi="宋体" w:eastAsia="仿宋_GB2312"/>
          <w:sz w:val="24"/>
          <w:highlight w:val="none"/>
        </w:rPr>
      </w:pPr>
      <w:r>
        <w:rPr>
          <w:rFonts w:hint="eastAsia" w:ascii="仿宋_GB2312" w:hAnsi="宋体" w:eastAsia="仿宋_GB2312"/>
          <w:sz w:val="24"/>
          <w:highlight w:val="none"/>
        </w:rPr>
        <w:t>12.4</w:t>
      </w:r>
      <w:r>
        <w:rPr>
          <w:rFonts w:hint="eastAsia" w:ascii="仿宋_GB2312" w:hAnsi="宋体" w:eastAsia="仿宋_GB2312"/>
          <w:sz w:val="24"/>
          <w:highlight w:val="none"/>
        </w:rPr>
        <w:tab/>
      </w:r>
      <w:r>
        <w:rPr>
          <w:rFonts w:hint="eastAsia" w:ascii="仿宋_GB2312" w:hAnsi="宋体" w:eastAsia="仿宋_GB2312"/>
          <w:sz w:val="24"/>
          <w:highlight w:val="none"/>
        </w:rPr>
        <w:t>投标人未按本须知第12</w:t>
      </w:r>
      <w:r>
        <w:rPr>
          <w:rFonts w:ascii="仿宋_GB2312" w:hAnsi="宋体" w:eastAsia="仿宋_GB2312"/>
          <w:sz w:val="24"/>
          <w:highlight w:val="none"/>
        </w:rPr>
        <w:t>.1</w:t>
      </w:r>
      <w:r>
        <w:rPr>
          <w:rFonts w:hint="eastAsia" w:ascii="仿宋_GB2312" w:hAnsi="宋体" w:eastAsia="仿宋_GB2312"/>
          <w:sz w:val="24"/>
          <w:highlight w:val="none"/>
        </w:rPr>
        <w:t>和</w:t>
      </w:r>
      <w:r>
        <w:rPr>
          <w:rFonts w:ascii="仿宋_GB2312" w:hAnsi="宋体" w:eastAsia="仿宋_GB2312"/>
          <w:sz w:val="24"/>
          <w:highlight w:val="none"/>
        </w:rPr>
        <w:t>1</w:t>
      </w:r>
      <w:r>
        <w:rPr>
          <w:rFonts w:hint="eastAsia" w:ascii="仿宋_GB2312" w:hAnsi="宋体" w:eastAsia="仿宋_GB2312"/>
          <w:sz w:val="24"/>
          <w:highlight w:val="none"/>
        </w:rPr>
        <w:t>2</w:t>
      </w:r>
      <w:r>
        <w:rPr>
          <w:rFonts w:ascii="仿宋_GB2312" w:hAnsi="宋体" w:eastAsia="仿宋_GB2312"/>
          <w:sz w:val="24"/>
          <w:highlight w:val="none"/>
        </w:rPr>
        <w:t>.3</w:t>
      </w:r>
      <w:r>
        <w:rPr>
          <w:rFonts w:hint="eastAsia" w:ascii="仿宋_GB2312" w:hAnsi="宋体" w:eastAsia="仿宋_GB2312"/>
          <w:sz w:val="24"/>
          <w:highlight w:val="none"/>
        </w:rPr>
        <w:t>条规定提交投标保证金的，其投标将被认定为</w:t>
      </w:r>
      <w:r>
        <w:rPr>
          <w:rFonts w:hint="eastAsia" w:ascii="仿宋_GB2312" w:hAnsi="宋体" w:eastAsia="仿宋_GB2312"/>
          <w:b/>
          <w:bCs/>
          <w:sz w:val="24"/>
          <w:highlight w:val="none"/>
        </w:rPr>
        <w:t>投标无效</w:t>
      </w:r>
      <w:r>
        <w:rPr>
          <w:rFonts w:hint="eastAsia" w:ascii="仿宋_GB2312" w:hAnsi="宋体" w:eastAsia="仿宋_GB2312"/>
          <w:sz w:val="24"/>
          <w:highlight w:val="none"/>
        </w:rPr>
        <w:t>。</w:t>
      </w:r>
    </w:p>
    <w:p w14:paraId="05BF8112">
      <w:pPr>
        <w:spacing w:line="240" w:lineRule="atLeast"/>
        <w:rPr>
          <w:rFonts w:hint="eastAsia" w:ascii="仿宋_GB2312" w:hAnsi="宋体" w:eastAsia="仿宋_GB2312"/>
          <w:sz w:val="24"/>
          <w:highlight w:val="none"/>
        </w:rPr>
      </w:pPr>
      <w:r>
        <w:rPr>
          <w:rFonts w:hint="eastAsia" w:ascii="仿宋_GB2312" w:hAnsi="宋体" w:eastAsia="仿宋_GB2312"/>
          <w:sz w:val="24"/>
          <w:highlight w:val="none"/>
        </w:rPr>
        <w:t>12.4.1</w:t>
      </w:r>
      <w:r>
        <w:rPr>
          <w:rFonts w:ascii="仿宋_GB2312" w:hAnsi="宋体" w:eastAsia="仿宋_GB2312"/>
          <w:sz w:val="24"/>
          <w:highlight w:val="none"/>
        </w:rPr>
        <w:t>采用电汇形式的</w:t>
      </w:r>
      <w:r>
        <w:rPr>
          <w:rFonts w:hint="eastAsia" w:ascii="仿宋_GB2312" w:hAnsi="宋体" w:eastAsia="仿宋_GB2312"/>
          <w:sz w:val="24"/>
          <w:highlight w:val="none"/>
        </w:rPr>
        <w:t>，</w:t>
      </w:r>
      <w:r>
        <w:rPr>
          <w:rFonts w:ascii="仿宋_GB2312" w:hAnsi="宋体" w:eastAsia="仿宋_GB2312"/>
          <w:sz w:val="24"/>
          <w:highlight w:val="none"/>
        </w:rPr>
        <w:t>一般可以实时入账</w:t>
      </w:r>
      <w:r>
        <w:rPr>
          <w:rFonts w:hint="eastAsia" w:ascii="仿宋_GB2312" w:hAnsi="宋体" w:eastAsia="仿宋_GB2312"/>
          <w:sz w:val="24"/>
          <w:highlight w:val="none"/>
        </w:rPr>
        <w:t>。</w:t>
      </w:r>
    </w:p>
    <w:p w14:paraId="66932658">
      <w:pPr>
        <w:spacing w:line="240" w:lineRule="atLeast"/>
        <w:ind w:left="960" w:hanging="960" w:hangingChars="400"/>
        <w:jc w:val="left"/>
        <w:rPr>
          <w:rFonts w:ascii="仿宋_GB2312" w:hAnsi="宋体" w:eastAsia="仿宋_GB2312"/>
          <w:sz w:val="24"/>
          <w:highlight w:val="none"/>
        </w:rPr>
      </w:pPr>
      <w:r>
        <w:rPr>
          <w:rFonts w:hint="eastAsia" w:ascii="仿宋_GB2312" w:hAnsi="宋体" w:eastAsia="仿宋_GB2312"/>
          <w:sz w:val="24"/>
          <w:highlight w:val="none"/>
        </w:rPr>
        <w:t>12.4.2</w:t>
      </w:r>
      <w:r>
        <w:rPr>
          <w:rFonts w:ascii="仿宋_GB2312" w:hAnsi="宋体" w:eastAsia="仿宋_GB2312"/>
          <w:sz w:val="24"/>
          <w:highlight w:val="none"/>
        </w:rPr>
        <w:t>采用支票形式的</w:t>
      </w:r>
      <w:r>
        <w:rPr>
          <w:rFonts w:hint="eastAsia" w:ascii="仿宋_GB2312" w:hAnsi="宋体" w:eastAsia="仿宋_GB2312"/>
          <w:sz w:val="24"/>
          <w:highlight w:val="none"/>
        </w:rPr>
        <w:t>，投标人则</w:t>
      </w:r>
      <w:r>
        <w:rPr>
          <w:rFonts w:ascii="仿宋_GB2312" w:hAnsi="宋体" w:eastAsia="仿宋_GB2312"/>
          <w:sz w:val="24"/>
          <w:highlight w:val="none"/>
        </w:rPr>
        <w:t>应</w:t>
      </w:r>
      <w:r>
        <w:rPr>
          <w:rFonts w:hint="eastAsia" w:ascii="仿宋_GB2312" w:hAnsi="宋体" w:eastAsia="仿宋_GB2312"/>
          <w:sz w:val="24"/>
          <w:highlight w:val="none"/>
        </w:rPr>
        <w:t>充分考虑支票入账时间，以</w:t>
      </w:r>
      <w:r>
        <w:rPr>
          <w:rFonts w:ascii="仿宋_GB2312" w:hAnsi="宋体" w:eastAsia="仿宋_GB2312"/>
          <w:sz w:val="24"/>
          <w:highlight w:val="none"/>
        </w:rPr>
        <w:t>确保</w:t>
      </w:r>
      <w:r>
        <w:rPr>
          <w:rFonts w:hint="eastAsia" w:ascii="仿宋_GB2312" w:hAnsi="宋体" w:eastAsia="仿宋_GB2312"/>
          <w:sz w:val="24"/>
          <w:highlight w:val="none"/>
        </w:rPr>
        <w:t>投标保证金能按时进入指定账户。根据</w:t>
      </w:r>
      <w:r>
        <w:rPr>
          <w:rFonts w:ascii="仿宋_GB2312" w:hAnsi="宋体" w:eastAsia="仿宋_GB2312"/>
          <w:sz w:val="24"/>
          <w:highlight w:val="none"/>
        </w:rPr>
        <w:t>银行信息交换和付款时间</w:t>
      </w:r>
      <w:r>
        <w:rPr>
          <w:rFonts w:hint="eastAsia" w:ascii="仿宋_GB2312" w:hAnsi="宋体" w:eastAsia="仿宋_GB2312"/>
          <w:sz w:val="24"/>
          <w:highlight w:val="none"/>
        </w:rPr>
        <w:t>，支票从递交至实际入账一般需要4-</w:t>
      </w:r>
      <w:r>
        <w:rPr>
          <w:rFonts w:ascii="仿宋_GB2312" w:hAnsi="宋体" w:eastAsia="仿宋_GB2312"/>
          <w:sz w:val="24"/>
          <w:highlight w:val="none"/>
        </w:rPr>
        <w:t>5个工作日</w:t>
      </w:r>
      <w:r>
        <w:rPr>
          <w:rFonts w:hint="eastAsia" w:ascii="仿宋_GB2312" w:hAnsi="宋体" w:eastAsia="仿宋_GB2312"/>
          <w:sz w:val="24"/>
          <w:highlight w:val="none"/>
        </w:rPr>
        <w:t>。如投标人未及时提交支票或支票不符合银行委托收款要求（如污损、折叠、胶装等），导致投标保证金不能按时进入指定账户的，将按照</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的第22.2条相关规定处理。</w:t>
      </w:r>
    </w:p>
    <w:p w14:paraId="1BD51507">
      <w:pPr>
        <w:spacing w:line="240" w:lineRule="atLeast"/>
        <w:ind w:left="900" w:hanging="900" w:hangingChars="375"/>
        <w:rPr>
          <w:rFonts w:ascii="仿宋_GB2312" w:hAnsi="宋体" w:eastAsia="仿宋_GB2312"/>
          <w:sz w:val="24"/>
          <w:highlight w:val="none"/>
        </w:rPr>
      </w:pPr>
      <w:r>
        <w:rPr>
          <w:rFonts w:hint="eastAsia" w:ascii="仿宋_GB2312" w:hAnsi="宋体" w:eastAsia="仿宋_GB2312"/>
          <w:sz w:val="24"/>
          <w:highlight w:val="none"/>
        </w:rPr>
        <w:t>12.5联合体投标的，可以由联合体中的一方或者共同提交投标保证金。以一方名义提交投标保证金的，对联合体各方均具有约束力。</w:t>
      </w:r>
    </w:p>
    <w:p w14:paraId="6575B71A">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12.6</w:t>
      </w:r>
      <w:r>
        <w:rPr>
          <w:rFonts w:hint="eastAsia" w:ascii="仿宋_GB2312" w:hAnsi="宋体" w:eastAsia="仿宋_GB2312"/>
          <w:sz w:val="24"/>
          <w:highlight w:val="none"/>
        </w:rPr>
        <w:tab/>
      </w:r>
      <w:r>
        <w:rPr>
          <w:rFonts w:hint="eastAsia" w:ascii="仿宋_GB2312" w:hAnsi="宋体" w:eastAsia="仿宋_GB2312"/>
          <w:sz w:val="24"/>
          <w:highlight w:val="none"/>
        </w:rPr>
        <w:t>投标保证金的退还</w:t>
      </w:r>
    </w:p>
    <w:p w14:paraId="1D73B4B4">
      <w:pPr>
        <w:spacing w:line="240" w:lineRule="atLeast"/>
        <w:ind w:left="900" w:hanging="900" w:hangingChars="375"/>
        <w:rPr>
          <w:rFonts w:ascii="仿宋_GB2312" w:hAnsi="宋体" w:eastAsia="仿宋_GB2312"/>
          <w:sz w:val="24"/>
          <w:highlight w:val="none"/>
        </w:rPr>
      </w:pPr>
      <w:r>
        <w:rPr>
          <w:rFonts w:hint="eastAsia" w:ascii="仿宋_GB2312" w:hAnsi="宋体" w:eastAsia="仿宋_GB2312"/>
          <w:sz w:val="24"/>
          <w:highlight w:val="none"/>
        </w:rPr>
        <w:t>12.6.1中标人应在与采购人签订合同之日</w:t>
      </w:r>
      <w:r>
        <w:rPr>
          <w:rFonts w:ascii="仿宋_GB2312" w:hAnsi="宋体" w:eastAsia="仿宋_GB2312"/>
          <w:sz w:val="24"/>
          <w:highlight w:val="none"/>
        </w:rPr>
        <w:t>起</w:t>
      </w:r>
      <w:r>
        <w:rPr>
          <w:rFonts w:hint="eastAsia" w:ascii="仿宋_GB2312" w:hAnsi="宋体" w:eastAsia="仿宋_GB2312"/>
          <w:sz w:val="24"/>
          <w:highlight w:val="none"/>
        </w:rPr>
        <w:t>5个工作日内，及时</w:t>
      </w:r>
      <w:r>
        <w:rPr>
          <w:rFonts w:ascii="仿宋_GB2312" w:hAnsi="宋体" w:eastAsia="仿宋_GB2312"/>
          <w:sz w:val="24"/>
          <w:highlight w:val="none"/>
        </w:rPr>
        <w:t>联系</w:t>
      </w:r>
      <w:r>
        <w:rPr>
          <w:rFonts w:hint="eastAsia" w:ascii="仿宋_GB2312" w:hAnsi="宋体" w:eastAsia="仿宋_GB2312"/>
          <w:sz w:val="24"/>
          <w:highlight w:val="none"/>
        </w:rPr>
        <w:t>保证金收受</w:t>
      </w:r>
      <w:r>
        <w:rPr>
          <w:rFonts w:ascii="仿宋_GB2312" w:hAnsi="宋体" w:eastAsia="仿宋_GB2312"/>
          <w:sz w:val="24"/>
          <w:highlight w:val="none"/>
        </w:rPr>
        <w:t>机构</w:t>
      </w:r>
      <w:r>
        <w:rPr>
          <w:rFonts w:hint="eastAsia" w:ascii="仿宋_GB2312" w:hAnsi="宋体" w:eastAsia="仿宋_GB2312"/>
          <w:sz w:val="24"/>
          <w:highlight w:val="none"/>
        </w:rPr>
        <w:t>办理投标保证金无息退还手续。</w:t>
      </w:r>
    </w:p>
    <w:p w14:paraId="080A82E9">
      <w:pPr>
        <w:spacing w:line="240" w:lineRule="atLeast"/>
        <w:ind w:left="960" w:hanging="960" w:hangingChars="400"/>
        <w:rPr>
          <w:rFonts w:hint="eastAsia" w:ascii="仿宋_GB2312" w:hAnsi="宋体" w:eastAsia="仿宋_GB2312"/>
          <w:sz w:val="24"/>
          <w:highlight w:val="none"/>
        </w:rPr>
      </w:pPr>
      <w:r>
        <w:rPr>
          <w:rFonts w:hint="eastAsia" w:ascii="仿宋_GB2312" w:hAnsi="宋体" w:eastAsia="仿宋_GB2312"/>
          <w:sz w:val="24"/>
          <w:highlight w:val="none"/>
        </w:rPr>
        <w:t>12.6.2未中标投标人的投标保证金将在中标通知书发出之日暨中标结果公告公布之日起5个工作日内无息退还。投标人应</w:t>
      </w:r>
      <w:r>
        <w:rPr>
          <w:rFonts w:ascii="仿宋_GB2312" w:hAnsi="宋体" w:eastAsia="仿宋_GB2312"/>
          <w:sz w:val="24"/>
          <w:highlight w:val="none"/>
        </w:rPr>
        <w:t>及时联系</w:t>
      </w:r>
      <w:r>
        <w:rPr>
          <w:rFonts w:hint="eastAsia" w:ascii="仿宋_GB2312" w:hAnsi="宋体" w:eastAsia="仿宋_GB2312"/>
          <w:sz w:val="24"/>
          <w:highlight w:val="none"/>
        </w:rPr>
        <w:t>保证金收受</w:t>
      </w:r>
      <w:r>
        <w:rPr>
          <w:rFonts w:ascii="仿宋_GB2312" w:hAnsi="宋体" w:eastAsia="仿宋_GB2312"/>
          <w:sz w:val="24"/>
          <w:highlight w:val="none"/>
        </w:rPr>
        <w:t>机构</w:t>
      </w:r>
      <w:r>
        <w:rPr>
          <w:rFonts w:hint="eastAsia" w:ascii="仿宋_GB2312" w:hAnsi="宋体" w:eastAsia="仿宋_GB2312"/>
          <w:sz w:val="24"/>
          <w:highlight w:val="none"/>
        </w:rPr>
        <w:t>办理退还投标保证金手续。</w:t>
      </w:r>
    </w:p>
    <w:p w14:paraId="75FC50AE">
      <w:pPr>
        <w:spacing w:line="240" w:lineRule="atLeast"/>
        <w:rPr>
          <w:rFonts w:hint="eastAsia" w:ascii="仿宋_GB2312" w:hAnsi="宋体" w:eastAsia="仿宋_GB2312"/>
          <w:sz w:val="24"/>
          <w:highlight w:val="none"/>
        </w:rPr>
      </w:pPr>
      <w:r>
        <w:rPr>
          <w:rFonts w:hint="eastAsia" w:ascii="仿宋_GB2312" w:hAnsi="宋体" w:eastAsia="仿宋_GB2312"/>
          <w:sz w:val="24"/>
          <w:highlight w:val="none"/>
        </w:rPr>
        <w:t>12.6.3政府采购投标担保函不予退回。</w:t>
      </w:r>
    </w:p>
    <w:p w14:paraId="08F1A5E2">
      <w:pPr>
        <w:spacing w:line="240" w:lineRule="atLeast"/>
        <w:ind w:left="960" w:hanging="960" w:hangingChars="400"/>
        <w:rPr>
          <w:rFonts w:hint="eastAsia" w:ascii="仿宋_GB2312" w:hAnsi="宋体" w:eastAsia="仿宋_GB2312"/>
          <w:sz w:val="24"/>
          <w:highlight w:val="none"/>
        </w:rPr>
      </w:pPr>
      <w:r>
        <w:rPr>
          <w:rFonts w:hint="eastAsia" w:ascii="仿宋_GB2312" w:hAnsi="宋体" w:eastAsia="仿宋_GB2312"/>
          <w:sz w:val="24"/>
          <w:highlight w:val="none"/>
        </w:rPr>
        <w:t>12.7</w:t>
      </w:r>
      <w:r>
        <w:rPr>
          <w:rFonts w:ascii="仿宋_GB2312" w:hAnsi="宋体" w:eastAsia="仿宋_GB2312"/>
          <w:sz w:val="24"/>
          <w:highlight w:val="none"/>
        </w:rPr>
        <w:t>因投标人自身原因导致无法及时退还的</w:t>
      </w:r>
      <w:r>
        <w:rPr>
          <w:rFonts w:hint="eastAsia" w:ascii="仿宋_GB2312" w:hAnsi="宋体" w:eastAsia="仿宋_GB2312"/>
          <w:sz w:val="24"/>
          <w:highlight w:val="none"/>
        </w:rPr>
        <w:t>，</w:t>
      </w:r>
      <w:r>
        <w:rPr>
          <w:rFonts w:ascii="仿宋_GB2312" w:hAnsi="宋体" w:eastAsia="仿宋_GB2312"/>
          <w:sz w:val="24"/>
          <w:highlight w:val="none"/>
        </w:rPr>
        <w:t>采购人或采购代理机构</w:t>
      </w:r>
      <w:r>
        <w:rPr>
          <w:rFonts w:hint="eastAsia" w:ascii="仿宋_GB2312" w:hAnsi="宋体" w:eastAsia="仿宋_GB2312"/>
          <w:sz w:val="24"/>
          <w:highlight w:val="none"/>
        </w:rPr>
        <w:t>将</w:t>
      </w:r>
      <w:r>
        <w:rPr>
          <w:rFonts w:ascii="仿宋_GB2312" w:hAnsi="宋体" w:eastAsia="仿宋_GB2312"/>
          <w:sz w:val="24"/>
          <w:highlight w:val="none"/>
        </w:rPr>
        <w:t>不承担</w:t>
      </w:r>
      <w:r>
        <w:rPr>
          <w:rFonts w:hint="eastAsia" w:ascii="仿宋_GB2312" w:hAnsi="宋体" w:eastAsia="仿宋_GB2312"/>
          <w:sz w:val="24"/>
          <w:highlight w:val="none"/>
        </w:rPr>
        <w:t>相应责任</w:t>
      </w:r>
      <w:r>
        <w:rPr>
          <w:rFonts w:ascii="仿宋_GB2312" w:hAnsi="宋体" w:eastAsia="仿宋_GB2312"/>
          <w:sz w:val="24"/>
          <w:highlight w:val="none"/>
        </w:rPr>
        <w:t>。</w:t>
      </w:r>
    </w:p>
    <w:p w14:paraId="0971632D">
      <w:pPr>
        <w:pStyle w:val="5"/>
        <w:spacing w:before="0" w:after="0" w:line="240" w:lineRule="atLeast"/>
        <w:rPr>
          <w:rFonts w:ascii="仿宋_GB2312" w:hAnsi="宋体" w:eastAsia="仿宋_GB2312"/>
          <w:highlight w:val="none"/>
          <w:u w:val="none"/>
        </w:rPr>
      </w:pPr>
      <w:bookmarkStart w:id="96" w:name="_Toc32569"/>
      <w:bookmarkStart w:id="97" w:name="_Toc520356157"/>
      <w:bookmarkStart w:id="98" w:name="_Toc23590"/>
      <w:bookmarkStart w:id="99" w:name="_Toc15939"/>
      <w:bookmarkStart w:id="100" w:name="_Toc515647772"/>
      <w:r>
        <w:rPr>
          <w:rFonts w:hint="eastAsia" w:ascii="仿宋_GB2312" w:hAnsi="宋体" w:eastAsia="仿宋_GB2312"/>
          <w:highlight w:val="none"/>
          <w:u w:val="none"/>
        </w:rPr>
        <w:t>13.投标有效期</w:t>
      </w:r>
      <w:bookmarkEnd w:id="96"/>
      <w:bookmarkEnd w:id="97"/>
      <w:bookmarkEnd w:id="98"/>
      <w:bookmarkEnd w:id="99"/>
      <w:bookmarkEnd w:id="100"/>
    </w:p>
    <w:p w14:paraId="5B36E1E3">
      <w:pPr>
        <w:spacing w:line="240" w:lineRule="atLeast"/>
        <w:ind w:left="900" w:hanging="900" w:hangingChars="375"/>
        <w:rPr>
          <w:rFonts w:ascii="仿宋_GB2312" w:hAnsi="宋体" w:eastAsia="仿宋_GB2312"/>
          <w:sz w:val="24"/>
          <w:highlight w:val="none"/>
        </w:rPr>
      </w:pPr>
      <w:r>
        <w:rPr>
          <w:rFonts w:hint="eastAsia" w:ascii="仿宋_GB2312" w:hAnsi="宋体" w:eastAsia="仿宋_GB2312"/>
          <w:sz w:val="24"/>
          <w:highlight w:val="none"/>
        </w:rPr>
        <w:t>13.1</w:t>
      </w:r>
      <w:r>
        <w:rPr>
          <w:rFonts w:hint="eastAsia" w:ascii="仿宋_GB2312" w:hAnsi="宋体" w:eastAsia="仿宋_GB2312"/>
          <w:sz w:val="24"/>
          <w:highlight w:val="none"/>
        </w:rPr>
        <w:tab/>
      </w:r>
      <w:r>
        <w:rPr>
          <w:rFonts w:hint="eastAsia" w:ascii="仿宋_GB2312" w:hAnsi="宋体" w:eastAsia="仿宋_GB2312"/>
          <w:sz w:val="24"/>
          <w:highlight w:val="none"/>
        </w:rPr>
        <w:t>投标应在</w:t>
      </w:r>
      <w:r>
        <w:rPr>
          <w:rFonts w:hint="eastAsia" w:ascii="仿宋_GB2312" w:hAnsi="宋体" w:eastAsia="仿宋_GB2312"/>
          <w:sz w:val="24"/>
          <w:highlight w:val="none"/>
          <w:u w:val="single"/>
        </w:rPr>
        <w:t>投标人须知资料表</w:t>
      </w:r>
      <w:r>
        <w:rPr>
          <w:rFonts w:hint="eastAsia" w:ascii="仿宋_GB2312" w:hAnsi="宋体" w:eastAsia="仿宋_GB2312"/>
          <w:sz w:val="24"/>
          <w:highlight w:val="none"/>
        </w:rPr>
        <w:t>中规定时间内保持有效。投标有效期不满足要求的投标，其投标将被认定为</w:t>
      </w:r>
      <w:r>
        <w:rPr>
          <w:rFonts w:hint="eastAsia" w:ascii="仿宋_GB2312" w:hAnsi="宋体" w:eastAsia="仿宋_GB2312"/>
          <w:b/>
          <w:bCs/>
          <w:sz w:val="24"/>
          <w:highlight w:val="none"/>
        </w:rPr>
        <w:t>投标无效</w:t>
      </w:r>
      <w:r>
        <w:rPr>
          <w:rFonts w:hint="eastAsia" w:ascii="仿宋_GB2312" w:hAnsi="宋体" w:eastAsia="仿宋_GB2312"/>
          <w:sz w:val="24"/>
          <w:highlight w:val="none"/>
        </w:rPr>
        <w:t>。</w:t>
      </w:r>
    </w:p>
    <w:p w14:paraId="0BEB90E5">
      <w:pPr>
        <w:spacing w:line="240" w:lineRule="atLeast"/>
        <w:ind w:left="900" w:hanging="900" w:hangingChars="375"/>
        <w:rPr>
          <w:rFonts w:ascii="仿宋_GB2312" w:hAnsi="宋体" w:eastAsia="仿宋_GB2312"/>
          <w:sz w:val="24"/>
          <w:highlight w:val="none"/>
        </w:rPr>
      </w:pPr>
      <w:r>
        <w:rPr>
          <w:rFonts w:hint="eastAsia" w:ascii="仿宋_GB2312" w:hAnsi="宋体" w:eastAsia="仿宋_GB2312"/>
          <w:sz w:val="24"/>
          <w:highlight w:val="none"/>
        </w:rPr>
        <w:t>13.2</w:t>
      </w:r>
      <w:r>
        <w:rPr>
          <w:rFonts w:hint="eastAsia" w:ascii="仿宋_GB2312" w:hAnsi="宋体" w:eastAsia="仿宋_GB2312"/>
          <w:sz w:val="24"/>
          <w:highlight w:val="none"/>
        </w:rPr>
        <w:tab/>
      </w:r>
      <w:r>
        <w:rPr>
          <w:rFonts w:hint="eastAsia" w:ascii="仿宋_GB2312" w:hAnsi="宋体" w:eastAsia="仿宋_GB2312"/>
          <w:sz w:val="24"/>
          <w:highlight w:val="none"/>
        </w:rPr>
        <w:t>为</w:t>
      </w:r>
      <w:r>
        <w:rPr>
          <w:rFonts w:ascii="仿宋_GB2312" w:hAnsi="宋体" w:eastAsia="仿宋_GB2312"/>
          <w:sz w:val="24"/>
          <w:highlight w:val="none"/>
        </w:rPr>
        <w:t>保证有充分时间签订合同，</w:t>
      </w:r>
      <w:r>
        <w:rPr>
          <w:rFonts w:hint="eastAsia" w:ascii="仿宋_GB2312" w:hAnsi="宋体" w:eastAsia="仿宋_GB2312"/>
          <w:sz w:val="24"/>
          <w:highlight w:val="none"/>
        </w:rPr>
        <w:t>采购人或</w:t>
      </w:r>
      <w:r>
        <w:rPr>
          <w:rFonts w:ascii="仿宋_GB2312" w:hAnsi="宋体" w:eastAsia="仿宋_GB2312"/>
          <w:sz w:val="24"/>
          <w:highlight w:val="none"/>
        </w:rPr>
        <w:t>采购代理机构</w:t>
      </w:r>
      <w:r>
        <w:rPr>
          <w:rFonts w:hint="eastAsia" w:ascii="仿宋_GB2312" w:hAnsi="宋体" w:eastAsia="仿宋_GB2312"/>
          <w:sz w:val="24"/>
          <w:highlight w:val="none"/>
        </w:rPr>
        <w:t>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w:t>
      </w:r>
      <w:r>
        <w:rPr>
          <w:rFonts w:ascii="仿宋_GB2312" w:hAnsi="宋体" w:eastAsia="仿宋_GB2312"/>
          <w:sz w:val="24"/>
          <w:highlight w:val="none"/>
        </w:rPr>
        <w:t>有效期的</w:t>
      </w:r>
      <w:r>
        <w:rPr>
          <w:rFonts w:hint="eastAsia" w:ascii="仿宋_GB2312" w:hAnsi="宋体" w:eastAsia="仿宋_GB2312"/>
          <w:sz w:val="24"/>
          <w:highlight w:val="none"/>
        </w:rPr>
        <w:t>要求，其投标保证金将及时无息</w:t>
      </w:r>
      <w:r>
        <w:rPr>
          <w:rFonts w:ascii="仿宋_GB2312" w:hAnsi="宋体" w:eastAsia="仿宋_GB2312"/>
          <w:sz w:val="24"/>
          <w:highlight w:val="none"/>
        </w:rPr>
        <w:t>退还</w:t>
      </w:r>
      <w:r>
        <w:rPr>
          <w:rFonts w:hint="eastAsia" w:ascii="仿宋_GB2312" w:hAnsi="宋体" w:eastAsia="仿宋_GB2312"/>
          <w:sz w:val="24"/>
          <w:highlight w:val="none"/>
        </w:rPr>
        <w:t>。上述要求和答复都应以书面形式提交。</w:t>
      </w:r>
    </w:p>
    <w:p w14:paraId="0944B608">
      <w:pPr>
        <w:spacing w:line="240" w:lineRule="atLeast"/>
        <w:ind w:left="900" w:hanging="900" w:hangingChars="375"/>
        <w:rPr>
          <w:rFonts w:hint="eastAsia" w:ascii="仿宋_GB2312" w:hAnsi="宋体" w:eastAsia="仿宋_GB2312"/>
          <w:b/>
          <w:bCs/>
          <w:sz w:val="24"/>
          <w:highlight w:val="none"/>
        </w:rPr>
      </w:pPr>
      <w:r>
        <w:rPr>
          <w:rFonts w:hint="eastAsia" w:ascii="仿宋_GB2312" w:hAnsi="宋体" w:eastAsia="仿宋_GB2312"/>
          <w:b/>
          <w:bCs/>
          <w:sz w:val="24"/>
          <w:highlight w:val="none"/>
        </w:rPr>
        <w:t>14.</w:t>
      </w:r>
      <w:r>
        <w:rPr>
          <w:rFonts w:hint="eastAsia" w:ascii="仿宋_GB2312" w:hAnsi="宋体" w:eastAsia="仿宋_GB2312"/>
          <w:b/>
          <w:bCs/>
          <w:sz w:val="24"/>
          <w:highlight w:val="none"/>
          <w:lang w:eastAsia="zh-CN"/>
        </w:rPr>
        <w:t>投标文件</w:t>
      </w:r>
      <w:r>
        <w:rPr>
          <w:rFonts w:hint="eastAsia" w:ascii="仿宋_GB2312" w:hAnsi="宋体" w:eastAsia="仿宋_GB2312"/>
          <w:b/>
          <w:bCs/>
          <w:sz w:val="24"/>
          <w:highlight w:val="none"/>
        </w:rPr>
        <w:t>的签署及规定</w:t>
      </w:r>
    </w:p>
    <w:p w14:paraId="0027CB69">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14.1</w:t>
      </w:r>
      <w:r>
        <w:rPr>
          <w:rFonts w:hint="eastAsia" w:ascii="仿宋_GB2312" w:hAnsi="宋体" w:eastAsia="仿宋_GB2312"/>
          <w:sz w:val="24"/>
          <w:highlight w:val="none"/>
        </w:rPr>
        <w:tab/>
      </w:r>
      <w:r>
        <w:rPr>
          <w:rFonts w:hint="eastAsia" w:ascii="仿宋_GB2312" w:hAnsi="宋体" w:eastAsia="仿宋_GB2312"/>
          <w:sz w:val="24"/>
          <w:highlight w:val="none"/>
          <w:lang w:eastAsia="zh-CN"/>
        </w:rPr>
        <w:t>投标人</w:t>
      </w:r>
      <w:r>
        <w:rPr>
          <w:rFonts w:hint="eastAsia" w:ascii="仿宋_GB2312" w:hAnsi="宋体" w:eastAsia="仿宋_GB2312"/>
          <w:sz w:val="24"/>
          <w:highlight w:val="none"/>
        </w:rPr>
        <w:t>应按</w:t>
      </w:r>
      <w:r>
        <w:rPr>
          <w:rFonts w:hint="eastAsia" w:ascii="仿宋_GB2312" w:hAnsi="宋体" w:eastAsia="仿宋_GB2312"/>
          <w:sz w:val="24"/>
          <w:highlight w:val="none"/>
          <w:lang w:eastAsia="zh-CN"/>
        </w:rPr>
        <w:t>投标人</w:t>
      </w:r>
      <w:r>
        <w:rPr>
          <w:rFonts w:hint="eastAsia" w:ascii="仿宋_GB2312" w:hAnsi="宋体" w:eastAsia="仿宋_GB2312"/>
          <w:sz w:val="24"/>
          <w:highlight w:val="none"/>
        </w:rPr>
        <w:t>须知资料表中的规定，准备和递交（加密上传）电子</w:t>
      </w:r>
      <w:r>
        <w:rPr>
          <w:rFonts w:hint="eastAsia" w:ascii="仿宋_GB2312" w:hAnsi="宋体" w:eastAsia="仿宋_GB2312"/>
          <w:sz w:val="24"/>
          <w:highlight w:val="none"/>
          <w:lang w:eastAsia="zh-CN"/>
        </w:rPr>
        <w:t>投标文件</w:t>
      </w:r>
      <w:r>
        <w:rPr>
          <w:rFonts w:hint="eastAsia" w:ascii="仿宋_GB2312" w:hAnsi="宋体" w:eastAsia="仿宋_GB2312"/>
          <w:sz w:val="24"/>
          <w:highlight w:val="none"/>
        </w:rPr>
        <w:t>。</w:t>
      </w:r>
    </w:p>
    <w:p w14:paraId="697F0DD4">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14.2所有</w:t>
      </w:r>
      <w:r>
        <w:rPr>
          <w:rFonts w:hint="eastAsia" w:ascii="仿宋_GB2312" w:hAnsi="宋体" w:eastAsia="仿宋_GB2312"/>
          <w:sz w:val="24"/>
          <w:highlight w:val="none"/>
          <w:lang w:eastAsia="zh-CN"/>
        </w:rPr>
        <w:t>投标文件</w:t>
      </w:r>
      <w:r>
        <w:rPr>
          <w:rFonts w:hint="eastAsia" w:ascii="仿宋_GB2312" w:hAnsi="宋体" w:eastAsia="仿宋_GB2312"/>
          <w:sz w:val="24"/>
          <w:highlight w:val="none"/>
        </w:rPr>
        <w:t>应按照</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规定的格式填写、签署和盖章。</w:t>
      </w:r>
    </w:p>
    <w:p w14:paraId="3376CDAA">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14.3</w:t>
      </w:r>
      <w:r>
        <w:rPr>
          <w:rFonts w:hint="eastAsia" w:ascii="仿宋_GB2312" w:hAnsi="宋体" w:eastAsia="仿宋_GB2312"/>
          <w:sz w:val="24"/>
          <w:highlight w:val="none"/>
        </w:rPr>
        <w:tab/>
      </w:r>
      <w:r>
        <w:rPr>
          <w:rFonts w:hint="eastAsia" w:ascii="仿宋_GB2312" w:hAnsi="宋体" w:eastAsia="仿宋_GB2312"/>
          <w:sz w:val="24"/>
          <w:highlight w:val="none"/>
          <w:lang w:eastAsia="zh-CN"/>
        </w:rPr>
        <w:t>投标文件</w:t>
      </w:r>
      <w:r>
        <w:rPr>
          <w:rFonts w:hint="eastAsia" w:ascii="仿宋_GB2312" w:hAnsi="宋体" w:eastAsia="仿宋_GB2312"/>
          <w:sz w:val="24"/>
          <w:highlight w:val="none"/>
        </w:rPr>
        <w:t>因字迹潦草、表达不清或未按照</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规定的格式填写、签署和盖章所引起的后果由</w:t>
      </w:r>
      <w:r>
        <w:rPr>
          <w:rFonts w:hint="eastAsia" w:ascii="仿宋_GB2312" w:hAnsi="宋体" w:eastAsia="仿宋_GB2312"/>
          <w:sz w:val="24"/>
          <w:highlight w:val="none"/>
          <w:lang w:eastAsia="zh-CN"/>
        </w:rPr>
        <w:t>投标人</w:t>
      </w:r>
      <w:r>
        <w:rPr>
          <w:rFonts w:hint="eastAsia" w:ascii="仿宋_GB2312" w:hAnsi="宋体" w:eastAsia="仿宋_GB2312"/>
          <w:sz w:val="24"/>
          <w:highlight w:val="none"/>
        </w:rPr>
        <w:t>负责。</w:t>
      </w:r>
    </w:p>
    <w:p w14:paraId="2AA28EC3">
      <w:pPr>
        <w:spacing w:line="240" w:lineRule="atLeast"/>
        <w:ind w:left="900" w:hanging="900" w:hangingChars="375"/>
        <w:rPr>
          <w:rFonts w:ascii="仿宋_GB2312" w:hAnsi="宋体" w:eastAsia="仿宋_GB2312"/>
          <w:sz w:val="24"/>
          <w:highlight w:val="none"/>
        </w:rPr>
      </w:pPr>
    </w:p>
    <w:p w14:paraId="30232390">
      <w:pPr>
        <w:pStyle w:val="3"/>
        <w:spacing w:before="0" w:line="240" w:lineRule="atLeast"/>
        <w:ind w:left="1079" w:leftChars="257" w:hanging="540"/>
        <w:rPr>
          <w:rFonts w:hint="eastAsia" w:ascii="仿宋_GB2312" w:hAnsi="宋体" w:eastAsia="仿宋_GB2312"/>
          <w:sz w:val="24"/>
          <w:highlight w:val="none"/>
        </w:rPr>
      </w:pPr>
      <w:bookmarkStart w:id="101" w:name="_Toc28250"/>
      <w:bookmarkStart w:id="102" w:name="_Toc16865"/>
      <w:bookmarkStart w:id="103" w:name="_Toc216582808"/>
      <w:bookmarkStart w:id="104" w:name="_Toc515647774"/>
      <w:bookmarkStart w:id="105" w:name="_Toc520356159"/>
      <w:bookmarkStart w:id="106" w:name="_Toc11179"/>
      <w:r>
        <w:rPr>
          <w:rFonts w:hint="eastAsia" w:ascii="仿宋_GB2312" w:hAnsi="宋体" w:eastAsia="仿宋_GB2312"/>
          <w:sz w:val="24"/>
          <w:highlight w:val="none"/>
        </w:rPr>
        <w:t>四投标文件的递交</w:t>
      </w:r>
      <w:bookmarkEnd w:id="101"/>
      <w:bookmarkEnd w:id="102"/>
      <w:bookmarkEnd w:id="103"/>
      <w:bookmarkEnd w:id="104"/>
      <w:bookmarkEnd w:id="105"/>
      <w:bookmarkEnd w:id="106"/>
    </w:p>
    <w:p w14:paraId="2B74449D">
      <w:pPr>
        <w:spacing w:line="240" w:lineRule="atLeast"/>
        <w:ind w:left="900" w:hanging="900" w:hangingChars="375"/>
        <w:rPr>
          <w:rFonts w:hint="eastAsia" w:ascii="仿宋_GB2312" w:hAnsi="宋体" w:eastAsia="仿宋_GB2312" w:cs="Times New Roman"/>
          <w:b/>
          <w:bCs/>
          <w:sz w:val="24"/>
          <w:highlight w:val="none"/>
          <w:lang w:eastAsia="zh-CN"/>
        </w:rPr>
      </w:pPr>
      <w:bookmarkStart w:id="107" w:name="_Toc520356161"/>
      <w:bookmarkStart w:id="108" w:name="_Toc9840"/>
      <w:bookmarkStart w:id="109" w:name="_Toc515647776"/>
      <w:bookmarkStart w:id="110" w:name="_Toc12751"/>
      <w:r>
        <w:rPr>
          <w:rFonts w:hint="eastAsia" w:ascii="仿宋_GB2312" w:hAnsi="宋体" w:eastAsia="仿宋_GB2312" w:cs="Times New Roman"/>
          <w:b/>
          <w:bCs/>
          <w:sz w:val="24"/>
          <w:highlight w:val="none"/>
          <w:lang w:eastAsia="zh-CN"/>
        </w:rPr>
        <w:t>15.投标文件的密封和标记</w:t>
      </w:r>
    </w:p>
    <w:p w14:paraId="73B96203">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15.1为方便评审及进行资格审查，投标人应完整地按招标文件提供的投标文件格式及要求编写投标文件，投标人须在投标截止时间前完成在系统上递交电子投标文件。投标人的电子投标文件是经过CA证书加密后上传提交的，任何单位或个人均无法在投标截止时间(即</w:t>
      </w:r>
      <w:r>
        <w:rPr>
          <w:rFonts w:hint="eastAsia" w:ascii="仿宋_GB2312" w:hAnsi="宋体" w:eastAsia="仿宋_GB2312" w:cs="Times New Roman"/>
          <w:sz w:val="24"/>
          <w:highlight w:val="none"/>
          <w:lang w:val="en-US" w:eastAsia="zh-CN"/>
        </w:rPr>
        <w:t>开标</w:t>
      </w:r>
      <w:r>
        <w:rPr>
          <w:rFonts w:hint="eastAsia" w:ascii="仿宋_GB2312" w:hAnsi="宋体" w:eastAsia="仿宋_GB2312" w:cs="Times New Roman"/>
          <w:sz w:val="24"/>
          <w:highlight w:val="none"/>
          <w:lang w:eastAsia="zh-CN"/>
        </w:rPr>
        <w:t>时间)之前查看或篡改，不存在泄密风险。（严格按照政采云电子投标流程制作并上传电子投标文件）</w:t>
      </w:r>
    </w:p>
    <w:p w14:paraId="5C524652">
      <w:pPr>
        <w:spacing w:line="240" w:lineRule="atLeast"/>
        <w:ind w:left="900" w:hanging="900" w:hangingChars="375"/>
        <w:rPr>
          <w:rFonts w:hint="eastAsia" w:ascii="仿宋_GB2312" w:hAnsi="宋体" w:eastAsia="仿宋_GB2312" w:cs="Times New Roman"/>
          <w:b/>
          <w:bCs/>
          <w:sz w:val="24"/>
          <w:highlight w:val="none"/>
          <w:lang w:eastAsia="zh-CN"/>
        </w:rPr>
      </w:pPr>
      <w:r>
        <w:rPr>
          <w:rFonts w:hint="eastAsia" w:ascii="仿宋_GB2312" w:hAnsi="宋体" w:eastAsia="仿宋_GB2312" w:cs="Times New Roman"/>
          <w:b/>
          <w:bCs/>
          <w:sz w:val="24"/>
          <w:highlight w:val="none"/>
          <w:lang w:eastAsia="zh-CN"/>
        </w:rPr>
        <w:t>16.投标截止</w:t>
      </w:r>
    </w:p>
    <w:p w14:paraId="7CFEFE11">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16.1</w:t>
      </w:r>
      <w:r>
        <w:rPr>
          <w:rFonts w:hint="eastAsia" w:ascii="仿宋_GB2312" w:hAnsi="宋体" w:eastAsia="仿宋_GB2312" w:cs="Times New Roman"/>
          <w:sz w:val="24"/>
          <w:highlight w:val="none"/>
          <w:lang w:eastAsia="zh-CN"/>
        </w:rPr>
        <w:tab/>
      </w:r>
      <w:r>
        <w:rPr>
          <w:rFonts w:hint="eastAsia" w:ascii="仿宋_GB2312" w:hAnsi="宋体" w:eastAsia="仿宋_GB2312" w:cs="Times New Roman"/>
          <w:sz w:val="24"/>
          <w:highlight w:val="none"/>
          <w:lang w:eastAsia="zh-CN"/>
        </w:rPr>
        <w:t>投标人应在投标邀请书中规定的截止时间前，将投标文件递交到投标邀请书中规定的地点。</w:t>
      </w:r>
    </w:p>
    <w:p w14:paraId="1668CD4E">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16.2</w:t>
      </w:r>
      <w:r>
        <w:rPr>
          <w:rFonts w:hint="eastAsia" w:ascii="仿宋_GB2312" w:hAnsi="宋体" w:eastAsia="仿宋_GB2312" w:cs="Times New Roman"/>
          <w:sz w:val="24"/>
          <w:highlight w:val="none"/>
          <w:lang w:eastAsia="zh-CN"/>
        </w:rPr>
        <w:tab/>
      </w:r>
      <w:r>
        <w:rPr>
          <w:rFonts w:hint="eastAsia" w:ascii="仿宋_GB2312" w:hAnsi="宋体" w:eastAsia="仿宋_GB2312" w:cs="Times New Roman"/>
          <w:sz w:val="24"/>
          <w:highlight w:val="none"/>
          <w:lang w:eastAsia="zh-CN"/>
        </w:rPr>
        <w:t>采购人和采购代理机构有权按本须知的规定，延迟投标截止时间。在此情况下，采购人、采购代理机构和投标人受投标截止时间制约的所有权利和义务均应延长至新的截止时间。</w:t>
      </w:r>
    </w:p>
    <w:p w14:paraId="1EB46740">
      <w:pPr>
        <w:spacing w:line="240" w:lineRule="atLeast"/>
        <w:ind w:left="900" w:hanging="900" w:hangingChars="375"/>
        <w:rPr>
          <w:rFonts w:hint="eastAsia" w:ascii="仿宋_GB2312" w:hAnsi="宋体" w:eastAsia="仿宋_GB2312" w:cs="Times New Roman"/>
          <w:b/>
          <w:bCs/>
          <w:sz w:val="24"/>
          <w:highlight w:val="none"/>
          <w:lang w:eastAsia="zh-CN"/>
        </w:rPr>
      </w:pPr>
      <w:r>
        <w:rPr>
          <w:rFonts w:hint="eastAsia" w:ascii="仿宋_GB2312" w:hAnsi="宋体" w:eastAsia="仿宋_GB2312" w:cs="Times New Roman"/>
          <w:b/>
          <w:bCs/>
          <w:sz w:val="24"/>
          <w:highlight w:val="none"/>
          <w:lang w:eastAsia="zh-CN"/>
        </w:rPr>
        <w:t>17.投标文件的接收、修改与撤回</w:t>
      </w:r>
    </w:p>
    <w:p w14:paraId="387E5BDB">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17.1在投标截止时间后送达投标文件的，采购人和采购代理机构将拒绝接收。</w:t>
      </w:r>
    </w:p>
    <w:p w14:paraId="35823146">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17.</w:t>
      </w:r>
      <w:r>
        <w:rPr>
          <w:rFonts w:hint="eastAsia" w:ascii="仿宋_GB2312" w:hAnsi="宋体" w:eastAsia="仿宋_GB2312" w:cs="Times New Roman"/>
          <w:sz w:val="24"/>
          <w:highlight w:val="none"/>
          <w:lang w:val="en-US" w:eastAsia="zh-CN"/>
        </w:rPr>
        <w:t>2</w:t>
      </w:r>
      <w:r>
        <w:rPr>
          <w:rFonts w:hint="eastAsia" w:ascii="仿宋_GB2312" w:hAnsi="宋体" w:eastAsia="仿宋_GB2312" w:cs="Times New Roman"/>
          <w:sz w:val="24"/>
          <w:highlight w:val="none"/>
          <w:lang w:eastAsia="zh-CN"/>
        </w:rPr>
        <w:t>递交投标文件以后，如果投标人要进行修改或撤回投标，须提出书面申请并在投标截止时间前送达开标地点，投标人对投标文件的修改或撤回通知应按本须知规定编制、密封、标记。</w:t>
      </w:r>
    </w:p>
    <w:p w14:paraId="19B4CFD7">
      <w:pPr>
        <w:spacing w:line="240" w:lineRule="atLeast"/>
        <w:ind w:left="957" w:leftChars="456" w:firstLine="60" w:firstLineChars="2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采购人和采购代理机构将予以接收，并视为投标文件的组成部分。</w:t>
      </w:r>
    </w:p>
    <w:p w14:paraId="71DEE7A8">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17.</w:t>
      </w:r>
      <w:r>
        <w:rPr>
          <w:rFonts w:hint="eastAsia" w:ascii="仿宋_GB2312" w:hAnsi="宋体" w:eastAsia="仿宋_GB2312" w:cs="Times New Roman"/>
          <w:sz w:val="24"/>
          <w:highlight w:val="none"/>
          <w:lang w:val="en-US" w:eastAsia="zh-CN"/>
        </w:rPr>
        <w:t>3</w:t>
      </w:r>
      <w:r>
        <w:rPr>
          <w:rFonts w:hint="eastAsia" w:ascii="仿宋_GB2312" w:hAnsi="宋体" w:eastAsia="仿宋_GB2312" w:cs="Times New Roman"/>
          <w:sz w:val="24"/>
          <w:highlight w:val="none"/>
          <w:lang w:eastAsia="zh-CN"/>
        </w:rPr>
        <w:tab/>
      </w:r>
      <w:r>
        <w:rPr>
          <w:rFonts w:hint="eastAsia" w:ascii="仿宋_GB2312" w:hAnsi="宋体" w:eastAsia="仿宋_GB2312" w:cs="Times New Roman"/>
          <w:sz w:val="24"/>
          <w:highlight w:val="none"/>
          <w:lang w:eastAsia="zh-CN"/>
        </w:rPr>
        <w:t>在投标截止期之后，采购人和采购代理机构不接受投标人主动对其投标文件做任何修改。</w:t>
      </w:r>
    </w:p>
    <w:bookmarkEnd w:id="107"/>
    <w:bookmarkEnd w:id="108"/>
    <w:bookmarkEnd w:id="109"/>
    <w:bookmarkEnd w:id="110"/>
    <w:p w14:paraId="72B202A1">
      <w:pPr>
        <w:spacing w:line="240" w:lineRule="atLeast"/>
        <w:rPr>
          <w:rFonts w:hint="eastAsia" w:ascii="仿宋_GB2312" w:hAnsi="宋体" w:eastAsia="仿宋_GB2312"/>
          <w:sz w:val="24"/>
          <w:highlight w:val="none"/>
        </w:rPr>
      </w:pPr>
    </w:p>
    <w:p w14:paraId="712247CD">
      <w:pPr>
        <w:pStyle w:val="3"/>
        <w:spacing w:before="0" w:line="240" w:lineRule="atLeast"/>
        <w:ind w:left="1079" w:leftChars="257" w:hanging="540"/>
        <w:rPr>
          <w:rFonts w:hint="eastAsia" w:ascii="仿宋_GB2312" w:hAnsi="宋体" w:eastAsia="仿宋_GB2312"/>
          <w:sz w:val="24"/>
          <w:highlight w:val="none"/>
        </w:rPr>
      </w:pPr>
      <w:bookmarkStart w:id="111" w:name="_Toc216582809"/>
      <w:bookmarkStart w:id="112" w:name="_Toc515647778"/>
      <w:bookmarkStart w:id="113" w:name="_Toc28398"/>
      <w:bookmarkStart w:id="114" w:name="_Toc12436"/>
      <w:bookmarkStart w:id="115" w:name="_Toc520356163"/>
      <w:bookmarkStart w:id="116" w:name="_Toc19282"/>
      <w:r>
        <w:rPr>
          <w:rFonts w:hint="eastAsia" w:ascii="仿宋_GB2312" w:hAnsi="宋体" w:eastAsia="仿宋_GB2312"/>
          <w:sz w:val="24"/>
          <w:highlight w:val="none"/>
        </w:rPr>
        <w:t>五开标及评标</w:t>
      </w:r>
      <w:bookmarkEnd w:id="111"/>
      <w:bookmarkEnd w:id="112"/>
      <w:bookmarkEnd w:id="113"/>
      <w:bookmarkEnd w:id="114"/>
      <w:bookmarkEnd w:id="115"/>
      <w:bookmarkEnd w:id="116"/>
    </w:p>
    <w:bookmarkEnd w:id="90"/>
    <w:bookmarkEnd w:id="91"/>
    <w:bookmarkEnd w:id="92"/>
    <w:bookmarkEnd w:id="93"/>
    <w:p w14:paraId="07076179">
      <w:pPr>
        <w:spacing w:line="240" w:lineRule="atLeast"/>
        <w:ind w:left="900" w:hanging="900" w:hangingChars="375"/>
        <w:rPr>
          <w:rFonts w:hint="eastAsia" w:ascii="仿宋_GB2312" w:hAnsi="宋体" w:eastAsia="仿宋_GB2312" w:cs="Times New Roman"/>
          <w:sz w:val="24"/>
          <w:highlight w:val="none"/>
          <w:lang w:eastAsia="zh-CN"/>
        </w:rPr>
      </w:pPr>
      <w:bookmarkStart w:id="117" w:name="_Toc417"/>
      <w:bookmarkStart w:id="118" w:name="_Toc520356164"/>
      <w:bookmarkStart w:id="119" w:name="_Toc518923083"/>
      <w:bookmarkStart w:id="120" w:name="_Toc16186"/>
      <w:bookmarkStart w:id="121" w:name="_Toc515647799"/>
      <w:bookmarkStart w:id="122" w:name="_Toc21748"/>
      <w:r>
        <w:rPr>
          <w:rFonts w:hint="eastAsia" w:ascii="仿宋_GB2312" w:hAnsi="宋体" w:eastAsia="仿宋_GB2312" w:cs="Times New Roman"/>
          <w:sz w:val="24"/>
          <w:highlight w:val="none"/>
          <w:lang w:eastAsia="zh-CN"/>
        </w:rPr>
        <w:t>18.开标</w:t>
      </w:r>
      <w:bookmarkEnd w:id="117"/>
      <w:bookmarkEnd w:id="118"/>
      <w:bookmarkEnd w:id="119"/>
    </w:p>
    <w:p w14:paraId="389D0FE4">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18.1</w:t>
      </w:r>
      <w:r>
        <w:rPr>
          <w:rFonts w:hint="eastAsia" w:ascii="仿宋_GB2312" w:hAnsi="宋体" w:eastAsia="仿宋_GB2312" w:cs="Times New Roman"/>
          <w:sz w:val="24"/>
          <w:highlight w:val="none"/>
          <w:lang w:eastAsia="zh-CN"/>
        </w:rPr>
        <w:tab/>
      </w:r>
      <w:r>
        <w:rPr>
          <w:rFonts w:hint="eastAsia" w:ascii="仿宋_GB2312" w:hAnsi="宋体" w:eastAsia="仿宋_GB2312" w:cs="Times New Roman"/>
          <w:sz w:val="24"/>
          <w:highlight w:val="none"/>
          <w:lang w:eastAsia="zh-CN"/>
        </w:rPr>
        <w:t>采购人和采购代理机构将按投标人须知资料表中规定的开标时间和地点组织</w:t>
      </w:r>
      <w:r>
        <w:rPr>
          <w:rFonts w:hint="eastAsia" w:ascii="仿宋_GB2312" w:hAnsi="宋体" w:eastAsia="仿宋_GB2312" w:cs="Times New Roman"/>
          <w:sz w:val="24"/>
          <w:highlight w:val="none"/>
          <w:lang w:val="en-US" w:eastAsia="zh-CN"/>
        </w:rPr>
        <w:t>采购活动</w:t>
      </w:r>
      <w:r>
        <w:rPr>
          <w:rFonts w:hint="eastAsia" w:ascii="仿宋_GB2312" w:hAnsi="宋体" w:eastAsia="仿宋_GB2312" w:cs="Times New Roman"/>
          <w:sz w:val="24"/>
          <w:highlight w:val="none"/>
          <w:lang w:eastAsia="zh-CN"/>
        </w:rPr>
        <w:t>并邀请所有投标人代表</w:t>
      </w:r>
      <w:r>
        <w:rPr>
          <w:rFonts w:hint="eastAsia" w:ascii="仿宋_GB2312" w:hAnsi="宋体" w:eastAsia="仿宋_GB2312" w:cs="Times New Roman"/>
          <w:sz w:val="24"/>
          <w:highlight w:val="none"/>
          <w:lang w:val="en-US" w:eastAsia="zh-CN"/>
        </w:rPr>
        <w:t>线上</w:t>
      </w:r>
      <w:r>
        <w:rPr>
          <w:rFonts w:hint="eastAsia" w:ascii="仿宋_GB2312" w:hAnsi="宋体" w:eastAsia="仿宋_GB2312" w:cs="Times New Roman"/>
          <w:sz w:val="24"/>
          <w:highlight w:val="none"/>
          <w:lang w:eastAsia="zh-CN"/>
        </w:rPr>
        <w:t>参加。</w:t>
      </w:r>
    </w:p>
    <w:p w14:paraId="13F4454F">
      <w:pPr>
        <w:spacing w:line="240" w:lineRule="atLeast"/>
        <w:ind w:left="957" w:leftChars="456" w:firstLine="60" w:firstLineChars="2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投标人不足3家的，不得开标。</w:t>
      </w:r>
    </w:p>
    <w:p w14:paraId="26364AED">
      <w:pPr>
        <w:spacing w:line="240" w:lineRule="atLeast"/>
        <w:ind w:left="900" w:hanging="900" w:hangingChars="375"/>
        <w:rPr>
          <w:rFonts w:hint="eastAsia" w:ascii="仿宋_GB2312" w:hAnsi="宋体" w:eastAsia="仿宋_GB2312" w:cs="Times New Roman"/>
          <w:b/>
          <w:bCs/>
          <w:sz w:val="24"/>
          <w:highlight w:val="none"/>
          <w:lang w:eastAsia="zh-CN"/>
        </w:rPr>
      </w:pPr>
      <w:r>
        <w:rPr>
          <w:rFonts w:hint="eastAsia" w:ascii="仿宋_GB2312" w:hAnsi="宋体" w:eastAsia="仿宋_GB2312" w:cs="Times New Roman"/>
          <w:sz w:val="24"/>
          <w:highlight w:val="none"/>
          <w:lang w:eastAsia="zh-CN"/>
        </w:rPr>
        <w:t>18.</w:t>
      </w:r>
      <w:r>
        <w:rPr>
          <w:rFonts w:hint="eastAsia" w:ascii="仿宋_GB2312" w:hAnsi="宋体" w:eastAsia="仿宋_GB2312" w:cs="Times New Roman"/>
          <w:sz w:val="24"/>
          <w:highlight w:val="none"/>
          <w:lang w:val="en-US" w:eastAsia="zh-CN"/>
        </w:rPr>
        <w:t>2</w:t>
      </w:r>
      <w:r>
        <w:rPr>
          <w:rFonts w:hint="eastAsia" w:ascii="仿宋_GB2312" w:hAnsi="宋体" w:eastAsia="仿宋_GB2312" w:cs="Times New Roman"/>
          <w:b/>
          <w:bCs/>
          <w:sz w:val="24"/>
          <w:highlight w:val="none"/>
          <w:lang w:eastAsia="zh-CN"/>
        </w:rPr>
        <w:t>投标人按照须知资料表中规定的开启时间和地点，在规定时间内上传投标文件。本项目实行电子投标文件，电子投标文件的有关要求按投标人须知资料表要求，投标人应该使用投标人CA锁对电子投标文件加密，否则，其投标文件将被拒绝评审。开标时，投标人必须使用加密该文件的CA锁，以便开标时对其电子投标文件进行解密，由于投标人自身原因未能成功导入评标系统的，均视为不响应招标文件，其投标文件将被拒绝评审。未按规定时间在招标文件要求的开评标系统解密成功的电子投标文件无效。</w:t>
      </w:r>
    </w:p>
    <w:p w14:paraId="5FC9FB9F">
      <w:pPr>
        <w:spacing w:line="240" w:lineRule="atLeast"/>
        <w:ind w:left="900" w:hanging="900" w:hangingChars="375"/>
        <w:rPr>
          <w:rFonts w:hint="eastAsia" w:ascii="仿宋_GB2312" w:hAnsi="宋体" w:eastAsia="仿宋_GB2312" w:cs="Times New Roman"/>
          <w:sz w:val="24"/>
          <w:highlight w:val="none"/>
          <w:lang w:eastAsia="zh-CN"/>
        </w:rPr>
      </w:pPr>
    </w:p>
    <w:p w14:paraId="3E2935C9">
      <w:pPr>
        <w:spacing w:line="240" w:lineRule="atLeast"/>
        <w:ind w:left="900" w:hanging="900" w:hangingChars="375"/>
        <w:rPr>
          <w:rFonts w:hint="eastAsia" w:ascii="仿宋_GB2312" w:hAnsi="宋体" w:eastAsia="仿宋_GB2312" w:cs="Times New Roman"/>
          <w:b w:val="0"/>
          <w:bCs w:val="0"/>
          <w:sz w:val="24"/>
          <w:highlight w:val="none"/>
          <w:lang w:val="en-US" w:eastAsia="zh-CN"/>
        </w:rPr>
      </w:pPr>
      <w:r>
        <w:rPr>
          <w:rFonts w:hint="eastAsia" w:ascii="仿宋_GB2312" w:hAnsi="宋体" w:eastAsia="仿宋_GB2312" w:cs="Times New Roman"/>
          <w:sz w:val="24"/>
          <w:highlight w:val="none"/>
          <w:lang w:val="en-US" w:eastAsia="zh-CN"/>
        </w:rPr>
        <w:t>18.2.1</w:t>
      </w:r>
      <w:r>
        <w:rPr>
          <w:rFonts w:hint="eastAsia" w:ascii="仿宋_GB2312" w:hAnsi="宋体" w:eastAsia="仿宋_GB2312" w:cs="Times New Roman"/>
          <w:b w:val="0"/>
          <w:bCs w:val="0"/>
          <w:sz w:val="24"/>
          <w:highlight w:val="none"/>
          <w:lang w:val="en-US" w:eastAsia="zh-CN"/>
        </w:rPr>
        <w:t>采购代理机构在规定时间内对投标文件进行解密，时长为30分钟。</w:t>
      </w:r>
    </w:p>
    <w:p w14:paraId="7B4C1150">
      <w:pPr>
        <w:spacing w:line="240" w:lineRule="atLeast"/>
        <w:ind w:left="900" w:hanging="900" w:hangingChars="375"/>
        <w:rPr>
          <w:rFonts w:hint="eastAsia" w:ascii="仿宋_GB2312" w:hAnsi="宋体" w:eastAsia="仿宋_GB2312" w:cs="Times New Roman"/>
          <w:sz w:val="24"/>
          <w:highlight w:val="none"/>
          <w:lang w:val="en-US" w:eastAsia="zh-CN"/>
        </w:rPr>
      </w:pPr>
      <w:r>
        <w:rPr>
          <w:rFonts w:hint="eastAsia" w:ascii="仿宋_GB2312" w:hAnsi="宋体" w:eastAsia="仿宋_GB2312" w:cs="Times New Roman"/>
          <w:sz w:val="24"/>
          <w:highlight w:val="none"/>
          <w:lang w:val="en-US" w:eastAsia="zh-CN"/>
        </w:rPr>
        <w:t>18.2.2由采购代理机构开启开标记录，须投标人在政采云平台对报价进行签字或盖章确认。</w:t>
      </w:r>
    </w:p>
    <w:p w14:paraId="69576E5E">
      <w:pPr>
        <w:spacing w:line="240" w:lineRule="atLeast"/>
        <w:ind w:left="900" w:hanging="900" w:hangingChars="375"/>
        <w:rPr>
          <w:rFonts w:hint="eastAsia" w:ascii="仿宋_GB2312" w:hAnsi="宋体" w:eastAsia="仿宋_GB2312" w:cs="Times New Roman"/>
          <w:sz w:val="24"/>
          <w:highlight w:val="none"/>
          <w:lang w:val="en-US" w:eastAsia="zh-CN"/>
        </w:rPr>
      </w:pPr>
      <w:r>
        <w:rPr>
          <w:rFonts w:hint="eastAsia" w:ascii="仿宋_GB2312" w:hAnsi="宋体" w:eastAsia="仿宋_GB2312" w:cs="Times New Roman"/>
          <w:sz w:val="24"/>
          <w:highlight w:val="none"/>
          <w:lang w:val="en-US" w:eastAsia="zh-CN"/>
        </w:rPr>
        <w:t>18.3采购人或采购代理机构将对开标过程进行记录，由参加开标的相关工作人员签字或盖章确认，并存档备查。</w:t>
      </w:r>
    </w:p>
    <w:p w14:paraId="13553504">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18.</w:t>
      </w:r>
      <w:r>
        <w:rPr>
          <w:rFonts w:hint="eastAsia" w:ascii="仿宋_GB2312" w:hAnsi="宋体" w:eastAsia="仿宋_GB2312" w:cs="Times New Roman"/>
          <w:sz w:val="24"/>
          <w:highlight w:val="none"/>
          <w:lang w:val="en-US" w:eastAsia="zh-CN"/>
        </w:rPr>
        <w:t>4</w:t>
      </w:r>
      <w:r>
        <w:rPr>
          <w:rFonts w:hint="eastAsia" w:ascii="仿宋_GB2312" w:hAnsi="宋体" w:eastAsia="仿宋_GB2312" w:cs="Times New Roman"/>
          <w:sz w:val="24"/>
          <w:highlight w:val="none"/>
          <w:lang w:eastAsia="zh-CN"/>
        </w:rPr>
        <w:t>投标人代表对开标过程和开标记录有疑义，以及认为采购人、采购代理机构相关工作人员有需要回避的情形的，应当场提出询问或者回避申请。</w:t>
      </w:r>
    </w:p>
    <w:p w14:paraId="39F9469D">
      <w:pPr>
        <w:spacing w:line="240" w:lineRule="atLeast"/>
        <w:ind w:left="900" w:hanging="900" w:hangingChars="375"/>
        <w:rPr>
          <w:rFonts w:hint="eastAsia" w:ascii="仿宋_GB2312" w:hAnsi="宋体" w:eastAsia="仿宋_GB2312" w:cs="Times New Roman"/>
          <w:b/>
          <w:bCs/>
          <w:sz w:val="24"/>
          <w:highlight w:val="none"/>
          <w:lang w:eastAsia="zh-CN"/>
        </w:rPr>
      </w:pPr>
      <w:bookmarkStart w:id="123" w:name="_Toc518923084"/>
      <w:bookmarkStart w:id="124" w:name="_Toc15154"/>
      <w:r>
        <w:rPr>
          <w:rFonts w:hint="eastAsia" w:ascii="仿宋_GB2312" w:hAnsi="宋体" w:eastAsia="仿宋_GB2312" w:cs="Times New Roman"/>
          <w:b/>
          <w:bCs/>
          <w:sz w:val="24"/>
          <w:highlight w:val="none"/>
          <w:lang w:eastAsia="zh-CN"/>
        </w:rPr>
        <w:t>19.资格审查及组建</w:t>
      </w:r>
      <w:bookmarkEnd w:id="123"/>
      <w:r>
        <w:rPr>
          <w:rFonts w:hint="eastAsia" w:ascii="仿宋_GB2312" w:hAnsi="宋体" w:eastAsia="仿宋_GB2312" w:cs="Times New Roman"/>
          <w:b/>
          <w:bCs/>
          <w:sz w:val="24"/>
          <w:highlight w:val="none"/>
          <w:lang w:val="en-US" w:eastAsia="zh-CN"/>
        </w:rPr>
        <w:t>评审</w:t>
      </w:r>
      <w:r>
        <w:rPr>
          <w:rFonts w:hint="eastAsia" w:ascii="仿宋_GB2312" w:hAnsi="宋体" w:eastAsia="仿宋_GB2312" w:cs="Times New Roman"/>
          <w:b/>
          <w:bCs/>
          <w:sz w:val="24"/>
          <w:highlight w:val="none"/>
          <w:lang w:eastAsia="zh-CN"/>
        </w:rPr>
        <w:t>小组</w:t>
      </w:r>
      <w:bookmarkEnd w:id="124"/>
    </w:p>
    <w:p w14:paraId="799F9550">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19.1采购人依据法律法规和招标文件中规定的内容，对投标人的资格进行审查，投标文件未按要求提供资格审查资料的投标人或其中一项未通过的投标人，将视为资格审查不合格，未能通过资格审查的投标人不进入下一轮评审。</w:t>
      </w:r>
    </w:p>
    <w:p w14:paraId="4C393244">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19.2采购人或采购代理机构将在投标截止后查询投标人的信用记录。投标人存在不良信用记录的，其投标将被认定为投标无效。</w:t>
      </w:r>
    </w:p>
    <w:p w14:paraId="1D4D257A">
      <w:pPr>
        <w:spacing w:line="240" w:lineRule="atLeast"/>
        <w:ind w:left="900" w:hanging="900" w:hangingChars="375"/>
        <w:rPr>
          <w:rFonts w:hint="eastAsia" w:ascii="仿宋_GB2312" w:hAnsi="宋体" w:eastAsia="仿宋_GB2312" w:cs="Times New Roman"/>
          <w:b w:val="0"/>
          <w:bCs w:val="0"/>
          <w:sz w:val="24"/>
          <w:highlight w:val="none"/>
          <w:lang w:eastAsia="zh-CN"/>
        </w:rPr>
      </w:pPr>
      <w:r>
        <w:rPr>
          <w:rFonts w:hint="eastAsia" w:ascii="仿宋_GB2312" w:hAnsi="宋体" w:eastAsia="仿宋_GB2312" w:cs="Times New Roman"/>
          <w:sz w:val="24"/>
          <w:highlight w:val="none"/>
          <w:lang w:eastAsia="zh-CN"/>
        </w:rPr>
        <w:t>19.2.1不良信用记录指：投标人在中国政府采购网（www.ccgp.gov.cn）被列入政府采购严重违法失信行为记录名单，或在“信用中国”网站（www.creditchina.gov.cn）被列入失信被执行人、重大税收违法案件当事人名单，以及存在《中华人民共和国政府采购法实施条例》第</w:t>
      </w:r>
      <w:r>
        <w:rPr>
          <w:rFonts w:hint="eastAsia" w:ascii="仿宋_GB2312" w:hAnsi="宋体" w:eastAsia="仿宋_GB2312" w:cs="Times New Roman"/>
          <w:b w:val="0"/>
          <w:bCs w:val="0"/>
          <w:sz w:val="24"/>
          <w:highlight w:val="none"/>
          <w:lang w:eastAsia="zh-CN"/>
        </w:rPr>
        <w:t>十九条规定的行政处罚记录。</w:t>
      </w:r>
    </w:p>
    <w:p w14:paraId="31373A8A">
      <w:pPr>
        <w:spacing w:line="240" w:lineRule="atLeast"/>
        <w:ind w:left="957" w:leftChars="456" w:firstLine="0" w:firstLineChars="0"/>
        <w:rPr>
          <w:rFonts w:hint="eastAsia" w:ascii="仿宋" w:hAnsi="仿宋" w:eastAsia="仿宋" w:cs="仿宋"/>
          <w:b w:val="0"/>
          <w:bCs w:val="0"/>
          <w:color w:val="000000"/>
          <w:kern w:val="0"/>
          <w:sz w:val="24"/>
          <w:szCs w:val="20"/>
          <w:highlight w:val="none"/>
          <w:u w:val="none"/>
          <w:lang w:val="zh-CN" w:eastAsia="zh-CN" w:bidi="ar-SA"/>
        </w:rPr>
      </w:pPr>
      <w:r>
        <w:rPr>
          <w:rFonts w:hint="eastAsia" w:ascii="仿宋" w:hAnsi="仿宋" w:eastAsia="仿宋" w:cs="仿宋"/>
          <w:b w:val="0"/>
          <w:bCs w:val="0"/>
          <w:color w:val="000000"/>
          <w:kern w:val="0"/>
          <w:sz w:val="24"/>
          <w:szCs w:val="20"/>
          <w:highlight w:val="none"/>
          <w:u w:val="none"/>
          <w:lang w:val="zh-CN" w:eastAsia="zh-CN" w:bidi="ar-SA"/>
        </w:rPr>
        <w:t>以联合体形式参加投标的，联合体任何成员存在以上不良信用记录的，联合体投标将被认定为投标无效。</w:t>
      </w:r>
    </w:p>
    <w:p w14:paraId="134AFCBD">
      <w:pPr>
        <w:spacing w:line="240" w:lineRule="atLeast"/>
        <w:ind w:left="900" w:hanging="900" w:hangingChars="375"/>
        <w:rPr>
          <w:rFonts w:hint="eastAsia" w:ascii="仿宋_GB2312" w:hAnsi="宋体" w:eastAsia="仿宋_GB2312" w:cs="Times New Roman"/>
          <w:b w:val="0"/>
          <w:bCs w:val="0"/>
          <w:sz w:val="24"/>
          <w:highlight w:val="none"/>
          <w:lang w:eastAsia="zh-CN"/>
        </w:rPr>
      </w:pPr>
      <w:r>
        <w:rPr>
          <w:rFonts w:hint="eastAsia" w:ascii="仿宋_GB2312" w:hAnsi="宋体" w:eastAsia="仿宋_GB2312" w:cs="Times New Roman"/>
          <w:sz w:val="24"/>
          <w:highlight w:val="none"/>
          <w:lang w:eastAsia="zh-CN"/>
        </w:rPr>
        <w:t>19.2.2查询及记录方式：采购人或采购代理机构经办人将查询网页</w:t>
      </w:r>
      <w:r>
        <w:rPr>
          <w:rFonts w:hint="eastAsia" w:ascii="仿宋_GB2312" w:hAnsi="宋体" w:eastAsia="仿宋_GB2312" w:cs="Times New Roman"/>
          <w:sz w:val="24"/>
          <w:highlight w:val="none"/>
          <w:lang w:val="en-US" w:eastAsia="zh-CN"/>
        </w:rPr>
        <w:t>截图通过开标系统上传至政采云平台</w:t>
      </w:r>
      <w:r>
        <w:rPr>
          <w:rFonts w:hint="eastAsia" w:ascii="仿宋_GB2312" w:hAnsi="宋体" w:eastAsia="仿宋_GB2312" w:cs="Times New Roman"/>
          <w:sz w:val="24"/>
          <w:highlight w:val="none"/>
          <w:lang w:eastAsia="zh-CN"/>
        </w:rPr>
        <w:t>并存档备查。投标人不良信用记录以采购人</w:t>
      </w:r>
      <w:r>
        <w:rPr>
          <w:rFonts w:hint="eastAsia" w:ascii="仿宋_GB2312" w:hAnsi="宋体" w:eastAsia="仿宋_GB2312" w:cs="Times New Roman"/>
          <w:b w:val="0"/>
          <w:bCs w:val="0"/>
          <w:sz w:val="24"/>
          <w:highlight w:val="none"/>
          <w:lang w:eastAsia="zh-CN"/>
        </w:rPr>
        <w:t>或采购代理机构查询结果为准。</w:t>
      </w:r>
    </w:p>
    <w:p w14:paraId="51A6D97B">
      <w:pPr>
        <w:spacing w:line="240" w:lineRule="atLeast"/>
        <w:ind w:left="957" w:leftChars="456" w:firstLine="0" w:firstLineChars="0"/>
        <w:rPr>
          <w:rFonts w:hint="eastAsia" w:ascii="仿宋" w:hAnsi="仿宋" w:eastAsia="仿宋" w:cs="仿宋"/>
          <w:b w:val="0"/>
          <w:bCs w:val="0"/>
          <w:color w:val="000000"/>
          <w:kern w:val="0"/>
          <w:sz w:val="24"/>
          <w:szCs w:val="20"/>
          <w:highlight w:val="none"/>
          <w:u w:val="none"/>
          <w:lang w:val="zh-CN" w:eastAsia="zh-CN" w:bidi="ar-SA"/>
        </w:rPr>
      </w:pPr>
      <w:r>
        <w:rPr>
          <w:rFonts w:hint="eastAsia" w:ascii="仿宋" w:hAnsi="仿宋" w:eastAsia="仿宋" w:cs="仿宋"/>
          <w:b w:val="0"/>
          <w:bCs w:val="0"/>
          <w:color w:val="000000"/>
          <w:kern w:val="0"/>
          <w:sz w:val="24"/>
          <w:szCs w:val="20"/>
          <w:highlight w:val="none"/>
          <w:u w:val="none"/>
          <w:lang w:val="en-US" w:eastAsia="zh-CN" w:bidi="ar-SA"/>
        </w:rPr>
        <w:t>在本招标文件规定的查询时间之后，网站信息发生的任何变更均不再作为评标依据。</w:t>
      </w:r>
    </w:p>
    <w:p w14:paraId="0C95293F">
      <w:pPr>
        <w:spacing w:line="240" w:lineRule="atLeast"/>
        <w:ind w:left="957" w:leftChars="456" w:firstLine="0" w:firstLineChars="0"/>
        <w:rPr>
          <w:rFonts w:hint="eastAsia" w:ascii="仿宋" w:hAnsi="仿宋" w:eastAsia="仿宋" w:cs="仿宋"/>
          <w:b w:val="0"/>
          <w:bCs w:val="0"/>
          <w:color w:val="000000"/>
          <w:kern w:val="0"/>
          <w:sz w:val="24"/>
          <w:szCs w:val="20"/>
          <w:highlight w:val="none"/>
          <w:u w:val="none"/>
          <w:lang w:val="zh-CN" w:eastAsia="zh-CN" w:bidi="ar-SA"/>
        </w:rPr>
      </w:pPr>
      <w:r>
        <w:rPr>
          <w:rFonts w:hint="eastAsia" w:ascii="仿宋" w:hAnsi="仿宋" w:eastAsia="仿宋" w:cs="仿宋"/>
          <w:b w:val="0"/>
          <w:bCs w:val="0"/>
          <w:color w:val="000000"/>
          <w:kern w:val="0"/>
          <w:sz w:val="24"/>
          <w:szCs w:val="20"/>
          <w:highlight w:val="none"/>
          <w:u w:val="none"/>
          <w:lang w:val="zh-CN" w:eastAsia="zh-CN" w:bidi="ar-SA"/>
        </w:rPr>
        <w:t>投标人自行提供的与网站信息不一致的其他证明材料亦不作为资格审查的依据。</w:t>
      </w:r>
    </w:p>
    <w:p w14:paraId="65D9C74E">
      <w:pPr>
        <w:spacing w:line="240" w:lineRule="atLeast"/>
        <w:ind w:left="900" w:hanging="900" w:hangingChars="375"/>
        <w:rPr>
          <w:rFonts w:hint="eastAsia" w:ascii="仿宋_GB2312" w:hAnsi="宋体" w:eastAsia="仿宋_GB2312" w:cs="Times New Roman"/>
          <w:b/>
          <w:bCs/>
          <w:color w:val="000000"/>
          <w:sz w:val="24"/>
          <w:highlight w:val="yellow"/>
          <w:lang w:eastAsia="zh-CN"/>
        </w:rPr>
      </w:pPr>
      <w:r>
        <w:rPr>
          <w:rFonts w:hint="eastAsia" w:ascii="仿宋_GB2312" w:hAnsi="宋体" w:eastAsia="仿宋_GB2312" w:cs="Times New Roman"/>
          <w:sz w:val="24"/>
          <w:highlight w:val="none"/>
          <w:lang w:eastAsia="zh-CN"/>
        </w:rPr>
        <w:t>19.3</w:t>
      </w:r>
      <w:r>
        <w:rPr>
          <w:rFonts w:hint="eastAsia" w:ascii="仿宋_GB2312" w:hAnsi="宋体" w:eastAsia="仿宋_GB2312" w:cs="Times New Roman"/>
          <w:b/>
          <w:bCs/>
          <w:sz w:val="24"/>
          <w:highlight w:val="none"/>
          <w:lang w:eastAsia="zh-CN"/>
        </w:rPr>
        <w:t>按照《中华人民共和国政府采购法》、《中华人民共和国政府采购法实施条例》及本项目本级和上级财政部门的有关规定依法组建的评审小组，</w:t>
      </w:r>
      <w:r>
        <w:rPr>
          <w:rFonts w:hint="eastAsia" w:ascii="仿宋_GB2312" w:hAnsi="宋体" w:eastAsia="仿宋_GB2312" w:cs="Times New Roman"/>
          <w:b/>
          <w:bCs/>
          <w:color w:val="000000"/>
          <w:sz w:val="24"/>
          <w:highlight w:val="yellow"/>
          <w:lang w:eastAsia="zh-CN"/>
        </w:rPr>
        <w:t>本项目评标委员会由</w:t>
      </w:r>
      <w:r>
        <w:rPr>
          <w:rFonts w:hint="eastAsia" w:ascii="仿宋_GB2312" w:hAnsi="宋体" w:eastAsia="仿宋_GB2312" w:cs="Times New Roman"/>
          <w:b/>
          <w:bCs/>
          <w:color w:val="000000"/>
          <w:sz w:val="24"/>
          <w:highlight w:val="yellow"/>
          <w:lang w:val="en-US" w:eastAsia="zh-CN"/>
        </w:rPr>
        <w:t>7</w:t>
      </w:r>
      <w:r>
        <w:rPr>
          <w:rFonts w:hint="eastAsia" w:ascii="仿宋_GB2312" w:hAnsi="宋体" w:eastAsia="仿宋_GB2312" w:cs="Times New Roman"/>
          <w:b/>
          <w:bCs/>
          <w:color w:val="000000"/>
          <w:sz w:val="24"/>
          <w:highlight w:val="yellow"/>
          <w:lang w:eastAsia="zh-CN"/>
        </w:rPr>
        <w:t>人组成。（</w:t>
      </w:r>
      <w:r>
        <w:rPr>
          <w:rFonts w:hint="eastAsia" w:ascii="仿宋_GB2312" w:hAnsi="宋体" w:eastAsia="仿宋_GB2312" w:cs="Times New Roman"/>
          <w:b/>
          <w:bCs/>
          <w:color w:val="000000"/>
          <w:sz w:val="24"/>
          <w:highlight w:val="yellow"/>
          <w:lang w:val="en-US" w:eastAsia="zh-CN"/>
        </w:rPr>
        <w:t>7</w:t>
      </w:r>
      <w:r>
        <w:rPr>
          <w:rFonts w:hint="eastAsia" w:ascii="仿宋_GB2312" w:hAnsi="宋体" w:eastAsia="仿宋_GB2312" w:cs="Times New Roman"/>
          <w:b/>
          <w:bCs/>
          <w:color w:val="000000"/>
          <w:sz w:val="24"/>
          <w:highlight w:val="yellow"/>
          <w:lang w:eastAsia="zh-CN"/>
        </w:rPr>
        <w:t>人从</w:t>
      </w:r>
      <w:r>
        <w:rPr>
          <w:rFonts w:hint="eastAsia" w:ascii="仿宋_GB2312" w:hAnsi="宋体" w:eastAsia="仿宋_GB2312" w:cs="Times New Roman"/>
          <w:b/>
          <w:bCs/>
          <w:color w:val="000000"/>
          <w:sz w:val="24"/>
          <w:highlight w:val="yellow"/>
          <w:lang w:val="en-US" w:eastAsia="zh-CN"/>
        </w:rPr>
        <w:t>由新疆政府采购网政采云平台专家库（项目相关专业）随机抽取</w:t>
      </w:r>
      <w:r>
        <w:rPr>
          <w:rFonts w:hint="eastAsia" w:ascii="仿宋_GB2312" w:hAnsi="宋体" w:eastAsia="仿宋_GB2312" w:cs="Times New Roman"/>
          <w:b/>
          <w:bCs/>
          <w:color w:val="000000"/>
          <w:sz w:val="24"/>
          <w:highlight w:val="yellow"/>
          <w:lang w:eastAsia="zh-CN"/>
        </w:rPr>
        <w:t>）。</w:t>
      </w:r>
      <w:bookmarkStart w:id="125" w:name="_Toc520356166"/>
    </w:p>
    <w:p w14:paraId="3F0E0715">
      <w:pPr>
        <w:spacing w:line="240" w:lineRule="atLeast"/>
        <w:ind w:left="900" w:hanging="900" w:hangingChars="375"/>
        <w:rPr>
          <w:rFonts w:hint="eastAsia" w:ascii="仿宋_GB2312" w:hAnsi="宋体" w:eastAsia="仿宋_GB2312" w:cs="Times New Roman"/>
          <w:b/>
          <w:bCs/>
          <w:sz w:val="24"/>
          <w:highlight w:val="none"/>
          <w:lang w:eastAsia="zh-CN"/>
        </w:rPr>
      </w:pPr>
      <w:bookmarkStart w:id="126" w:name="_Toc518923085"/>
      <w:bookmarkStart w:id="127" w:name="_Toc2311"/>
      <w:r>
        <w:rPr>
          <w:rFonts w:hint="eastAsia" w:ascii="仿宋_GB2312" w:hAnsi="宋体" w:eastAsia="仿宋_GB2312" w:cs="Times New Roman"/>
          <w:b/>
          <w:bCs/>
          <w:sz w:val="24"/>
          <w:highlight w:val="none"/>
          <w:lang w:eastAsia="zh-CN"/>
        </w:rPr>
        <w:t>20.投标文件的</w:t>
      </w:r>
      <w:bookmarkEnd w:id="125"/>
      <w:r>
        <w:rPr>
          <w:rFonts w:hint="eastAsia" w:ascii="仿宋_GB2312" w:hAnsi="宋体" w:eastAsia="仿宋_GB2312" w:cs="Times New Roman"/>
          <w:b/>
          <w:bCs/>
          <w:sz w:val="24"/>
          <w:highlight w:val="none"/>
          <w:lang w:eastAsia="zh-CN"/>
        </w:rPr>
        <w:t>符合性审查与澄清</w:t>
      </w:r>
      <w:bookmarkEnd w:id="126"/>
      <w:bookmarkEnd w:id="127"/>
    </w:p>
    <w:p w14:paraId="54C305FD">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20.1符合性审查是指依据招标文件的规定，从投标文件的有效性和完整性对招标文件的响应程度进行审查，以确定是否对招标文件的实质性要求做出响应。</w:t>
      </w:r>
      <w:bookmarkStart w:id="128" w:name="_Hlt522424701"/>
      <w:bookmarkEnd w:id="128"/>
      <w:bookmarkStart w:id="129" w:name="_Toc520356167"/>
    </w:p>
    <w:p w14:paraId="177A9045">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20.2</w:t>
      </w:r>
      <w:r>
        <w:rPr>
          <w:rFonts w:hint="eastAsia" w:ascii="仿宋_GB2312" w:hAnsi="宋体" w:eastAsia="仿宋_GB2312" w:cs="Times New Roman"/>
          <w:sz w:val="24"/>
          <w:highlight w:val="none"/>
          <w:lang w:eastAsia="zh-CN"/>
        </w:rPr>
        <w:tab/>
      </w:r>
      <w:r>
        <w:rPr>
          <w:rFonts w:hint="eastAsia" w:ascii="仿宋_GB2312" w:hAnsi="宋体" w:eastAsia="仿宋_GB2312" w:cs="Times New Roman"/>
          <w:sz w:val="24"/>
          <w:highlight w:val="none"/>
          <w:lang w:eastAsia="zh-CN"/>
        </w:rPr>
        <w:t>投标文件的澄清</w:t>
      </w:r>
    </w:p>
    <w:p w14:paraId="03D521C2">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20.2.1在评标期间，评审小组将以书面方式要求投标人对其投标文件中含义不明确、对同类问题表述不一致或者有明显文字和计算错误的内容，以及评审小组认为投标人的报价明显低于其他通过符合性检查投标人的报价，有可能影响履约的情况作必要的澄清、说明或补正。投标人澄清、说明或补正。应在评审小组规定的时间内以书面方式进行，并不得超出投标文件范围或者改变投标文件的实质性内容。</w:t>
      </w:r>
    </w:p>
    <w:p w14:paraId="3043E4BC">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20.2.2投标人的澄清、说明或补正将作为投标文件的一部分。</w:t>
      </w:r>
    </w:p>
    <w:p w14:paraId="0C0F430A">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20.3投标文件报价出现前后不一致的，按照下列规定修正：</w:t>
      </w:r>
    </w:p>
    <w:p w14:paraId="6861E0DC">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　　（一）投标文件中开标一览表（报价表）内容与投标文件中相应内容不一致的，以开标一览表（报价表）为准；</w:t>
      </w:r>
    </w:p>
    <w:p w14:paraId="2B9B8BEC">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　　（二）大写金额和小写金额不一致的，以大写金额为准；</w:t>
      </w:r>
    </w:p>
    <w:p w14:paraId="1932E872">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　　（三）单价金额小数点或者百分比有明显错位的，以开标一览表的总价为准，并修改单价；</w:t>
      </w:r>
    </w:p>
    <w:p w14:paraId="255371D8">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　　（四）总价金额与按单价汇总金额不一致的，以单价金额计算结果为准。</w:t>
      </w:r>
    </w:p>
    <w:p w14:paraId="1FF039C4">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　　同时出现两种以上不一致的，按照前款规定的顺序修正。修正后的报价按照第20.2条的规定经投标人确认后产生约束力，投标人不确认的，将被认定为投标无效。</w:t>
      </w:r>
    </w:p>
    <w:p w14:paraId="5F02863E">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color w:val="000000"/>
          <w:kern w:val="0"/>
          <w:sz w:val="24"/>
          <w:szCs w:val="20"/>
          <w:highlight w:val="none"/>
          <w:u w:val="none"/>
          <w:lang w:val="zh-CN" w:eastAsia="zh-CN" w:bidi="ar-SA"/>
        </w:rPr>
        <w:t>对不同文字文本投标文件的解释发生异议的，以中文文本为准。</w:t>
      </w:r>
    </w:p>
    <w:p w14:paraId="25009B40">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20.4投标人为提供服务所伴随投标的产品如被列入财政部与国家主管部门颁发的节能产品目录或环境标志产品目录或无线局域网产品目录，应提供相关证明，在评标时予以优先采购，具体优先采购办法见第6章评标方法和标准。</w:t>
      </w:r>
    </w:p>
    <w:p w14:paraId="5FA10EBE">
      <w:pPr>
        <w:spacing w:line="240" w:lineRule="atLeast"/>
        <w:ind w:left="900" w:hanging="900" w:hangingChars="375"/>
        <w:rPr>
          <w:rFonts w:hint="eastAsia" w:ascii="仿宋_GB2312" w:hAnsi="宋体" w:eastAsia="仿宋_GB2312" w:cs="Times New Roman"/>
          <w:b/>
          <w:bCs/>
          <w:sz w:val="24"/>
          <w:highlight w:val="none"/>
          <w:lang w:eastAsia="zh-CN"/>
        </w:rPr>
      </w:pPr>
      <w:bookmarkStart w:id="130" w:name="_Toc518923086"/>
      <w:bookmarkStart w:id="131" w:name="_Toc15825"/>
      <w:r>
        <w:rPr>
          <w:rFonts w:hint="eastAsia" w:ascii="仿宋_GB2312" w:hAnsi="宋体" w:eastAsia="仿宋_GB2312" w:cs="Times New Roman"/>
          <w:b/>
          <w:bCs/>
          <w:sz w:val="24"/>
          <w:highlight w:val="none"/>
          <w:lang w:eastAsia="zh-CN"/>
        </w:rPr>
        <w:t>21.投标偏离</w:t>
      </w:r>
      <w:bookmarkEnd w:id="130"/>
      <w:bookmarkEnd w:id="131"/>
    </w:p>
    <w:p w14:paraId="538C6EAB">
      <w:pPr>
        <w:spacing w:line="240" w:lineRule="atLeast"/>
        <w:ind w:left="900" w:hanging="900" w:hangingChars="375"/>
        <w:rPr>
          <w:rFonts w:hint="eastAsia" w:ascii="仿宋" w:hAnsi="仿宋" w:eastAsia="仿宋" w:cs="仿宋"/>
          <w:b/>
          <w:color w:val="000000"/>
          <w:kern w:val="0"/>
          <w:sz w:val="24"/>
          <w:szCs w:val="20"/>
          <w:highlight w:val="none"/>
          <w:u w:val="none"/>
          <w:lang w:val="zh-CN" w:eastAsia="zh-CN" w:bidi="ar-SA"/>
        </w:rPr>
      </w:pPr>
      <w:r>
        <w:rPr>
          <w:rFonts w:hint="eastAsia" w:ascii="仿宋" w:hAnsi="仿宋" w:eastAsia="仿宋" w:cs="仿宋"/>
          <w:b/>
          <w:color w:val="000000"/>
          <w:kern w:val="0"/>
          <w:sz w:val="24"/>
          <w:szCs w:val="20"/>
          <w:highlight w:val="none"/>
          <w:u w:val="none"/>
          <w:lang w:val="zh-CN" w:eastAsia="zh-CN" w:bidi="ar-SA"/>
        </w:rPr>
        <w:t>评审小组可以接受投标文件中不构成实质性偏离的不正规或不一致。</w:t>
      </w:r>
      <w:bookmarkStart w:id="132" w:name="_Toc518923087"/>
    </w:p>
    <w:p w14:paraId="3166EFA5">
      <w:pPr>
        <w:spacing w:line="240" w:lineRule="atLeast"/>
        <w:ind w:left="900" w:hanging="900" w:hangingChars="375"/>
        <w:rPr>
          <w:rFonts w:hint="eastAsia" w:ascii="仿宋_GB2312" w:hAnsi="宋体" w:eastAsia="仿宋_GB2312" w:cs="Times New Roman"/>
          <w:b/>
          <w:bCs/>
          <w:sz w:val="24"/>
          <w:highlight w:val="none"/>
          <w:lang w:eastAsia="zh-CN"/>
        </w:rPr>
      </w:pPr>
      <w:bookmarkStart w:id="133" w:name="_Toc27970"/>
      <w:r>
        <w:rPr>
          <w:rFonts w:hint="eastAsia" w:ascii="仿宋_GB2312" w:hAnsi="宋体" w:eastAsia="仿宋_GB2312" w:cs="Times New Roman"/>
          <w:b/>
          <w:bCs/>
          <w:sz w:val="24"/>
          <w:highlight w:val="none"/>
          <w:lang w:eastAsia="zh-CN"/>
        </w:rPr>
        <w:t>22.投标无效</w:t>
      </w:r>
      <w:bookmarkEnd w:id="132"/>
      <w:bookmarkEnd w:id="133"/>
    </w:p>
    <w:p w14:paraId="3B9865FE">
      <w:pPr>
        <w:spacing w:line="240" w:lineRule="atLeast"/>
        <w:rPr>
          <w:rFonts w:hint="eastAsia" w:ascii="仿宋" w:hAnsi="仿宋" w:eastAsia="仿宋" w:cs="仿宋"/>
          <w:b w:val="0"/>
          <w:bCs w:val="0"/>
          <w:color w:val="000000"/>
          <w:kern w:val="0"/>
          <w:sz w:val="24"/>
          <w:szCs w:val="20"/>
          <w:highlight w:val="none"/>
          <w:u w:val="none"/>
          <w:lang w:val="zh-CN" w:eastAsia="zh-CN" w:bidi="ar-SA"/>
        </w:rPr>
      </w:pPr>
      <w:r>
        <w:rPr>
          <w:rFonts w:hint="eastAsia" w:ascii="仿宋_GB2312" w:hAnsi="宋体" w:eastAsia="仿宋_GB2312" w:cs="Times New Roman"/>
          <w:sz w:val="24"/>
          <w:highlight w:val="none"/>
          <w:lang w:eastAsia="zh-CN"/>
        </w:rPr>
        <w:t>22.1在比较与评价之前，根据本须知的规定，评审小组要审查每份投标文件是否实质上响应了招标文件的要求。实质上响应的投标应该</w:t>
      </w:r>
      <w:r>
        <w:rPr>
          <w:rFonts w:hint="eastAsia" w:ascii="仿宋_GB2312" w:hAnsi="宋体" w:eastAsia="仿宋_GB2312" w:cs="Times New Roman"/>
          <w:b w:val="0"/>
          <w:bCs w:val="0"/>
          <w:sz w:val="24"/>
          <w:highlight w:val="none"/>
          <w:lang w:eastAsia="zh-CN"/>
        </w:rPr>
        <w:t>是与招标文件要求的全部条款、条件和规格相符，没有重大偏离的投标。对关键条款的偏离，将被认定为投标无效。投标人不得通过修正或撤销不</w:t>
      </w:r>
      <w:r>
        <w:rPr>
          <w:rFonts w:hint="eastAsia" w:ascii="仿宋" w:hAnsi="仿宋" w:eastAsia="仿宋" w:cs="仿宋"/>
          <w:b w:val="0"/>
          <w:bCs w:val="0"/>
          <w:color w:val="000000"/>
          <w:kern w:val="0"/>
          <w:sz w:val="24"/>
          <w:szCs w:val="20"/>
          <w:highlight w:val="none"/>
          <w:u w:val="none"/>
          <w:lang w:val="zh-CN" w:eastAsia="zh-CN" w:bidi="ar-SA"/>
        </w:rPr>
        <w:t>符合要求的偏离从而使其投标成为实质上响应的投标。</w:t>
      </w:r>
    </w:p>
    <w:p w14:paraId="7ACF177C">
      <w:pPr>
        <w:spacing w:line="240" w:lineRule="atLeast"/>
        <w:ind w:left="957" w:leftChars="456" w:firstLine="0" w:firstLineChars="0"/>
        <w:rPr>
          <w:rFonts w:hint="eastAsia" w:ascii="仿宋" w:hAnsi="仿宋" w:eastAsia="仿宋" w:cs="仿宋"/>
          <w:b w:val="0"/>
          <w:bCs w:val="0"/>
          <w:color w:val="000000"/>
          <w:kern w:val="0"/>
          <w:sz w:val="24"/>
          <w:szCs w:val="20"/>
          <w:highlight w:val="none"/>
          <w:u w:val="none"/>
          <w:lang w:val="zh-CN" w:eastAsia="zh-CN" w:bidi="ar-SA"/>
        </w:rPr>
      </w:pPr>
      <w:r>
        <w:rPr>
          <w:rFonts w:hint="eastAsia" w:ascii="仿宋" w:hAnsi="仿宋" w:eastAsia="仿宋" w:cs="仿宋"/>
          <w:b w:val="0"/>
          <w:bCs w:val="0"/>
          <w:color w:val="000000"/>
          <w:kern w:val="0"/>
          <w:sz w:val="24"/>
          <w:szCs w:val="20"/>
          <w:highlight w:val="none"/>
          <w:u w:val="none"/>
          <w:lang w:val="zh-CN" w:eastAsia="zh-CN" w:bidi="ar-SA"/>
        </w:rPr>
        <w:t>评审小组决定投标的响应性只根据招标文件要求、投标文件内容及财政主管部门指定相关信息发布媒体。</w:t>
      </w:r>
    </w:p>
    <w:p w14:paraId="7EE55706">
      <w:pPr>
        <w:spacing w:line="240" w:lineRule="atLeast"/>
        <w:ind w:left="900" w:hanging="900" w:hangingChars="375"/>
        <w:rPr>
          <w:rFonts w:hint="eastAsia" w:ascii="仿宋_GB2312" w:hAnsi="宋体" w:eastAsia="仿宋_GB2312" w:cs="Times New Roman"/>
          <w:b w:val="0"/>
          <w:bCs w:val="0"/>
          <w:sz w:val="24"/>
          <w:highlight w:val="none"/>
          <w:lang w:eastAsia="zh-CN"/>
        </w:rPr>
      </w:pPr>
      <w:r>
        <w:rPr>
          <w:rFonts w:hint="eastAsia" w:ascii="仿宋_GB2312" w:hAnsi="宋体" w:eastAsia="仿宋_GB2312" w:cs="Times New Roman"/>
          <w:sz w:val="24"/>
          <w:highlight w:val="none"/>
          <w:lang w:eastAsia="zh-CN"/>
        </w:rPr>
        <w:t>22.2</w:t>
      </w:r>
      <w:r>
        <w:rPr>
          <w:rFonts w:hint="eastAsia" w:ascii="仿宋_GB2312" w:hAnsi="宋体" w:eastAsia="仿宋_GB2312" w:cs="Times New Roman"/>
          <w:sz w:val="24"/>
          <w:highlight w:val="none"/>
          <w:lang w:eastAsia="zh-CN"/>
        </w:rPr>
        <w:tab/>
      </w:r>
      <w:r>
        <w:rPr>
          <w:rFonts w:hint="eastAsia" w:ascii="仿宋_GB2312" w:hAnsi="宋体" w:eastAsia="仿宋_GB2312" w:cs="Times New Roman"/>
          <w:sz w:val="24"/>
          <w:highlight w:val="none"/>
          <w:lang w:eastAsia="zh-CN"/>
        </w:rPr>
        <w:t>如发现下列情况之一的，其投标将被认定为投标无效：（以下情形应</w:t>
      </w:r>
      <w:r>
        <w:rPr>
          <w:rFonts w:hint="eastAsia" w:ascii="仿宋_GB2312" w:hAnsi="宋体" w:eastAsia="仿宋_GB2312" w:cs="Times New Roman"/>
          <w:b w:val="0"/>
          <w:bCs w:val="0"/>
          <w:sz w:val="24"/>
          <w:highlight w:val="none"/>
          <w:lang w:eastAsia="zh-CN"/>
        </w:rPr>
        <w:t>当在招标文件中规定，并以醒目的方式标明）</w:t>
      </w:r>
    </w:p>
    <w:p w14:paraId="59383552">
      <w:pPr>
        <w:spacing w:line="240" w:lineRule="atLeast"/>
        <w:ind w:left="957" w:leftChars="456" w:firstLine="0" w:firstLineChars="0"/>
        <w:rPr>
          <w:rFonts w:hint="eastAsia" w:ascii="仿宋" w:hAnsi="仿宋" w:eastAsia="仿宋" w:cs="仿宋"/>
          <w:b w:val="0"/>
          <w:bCs w:val="0"/>
          <w:color w:val="000000"/>
          <w:kern w:val="0"/>
          <w:sz w:val="24"/>
          <w:szCs w:val="20"/>
          <w:highlight w:val="none"/>
          <w:u w:val="none"/>
          <w:lang w:val="zh-CN" w:eastAsia="zh-CN" w:bidi="ar-SA"/>
        </w:rPr>
      </w:pPr>
      <w:r>
        <w:rPr>
          <w:rFonts w:hint="eastAsia" w:ascii="仿宋" w:hAnsi="仿宋" w:eastAsia="仿宋" w:cs="仿宋"/>
          <w:b w:val="0"/>
          <w:bCs w:val="0"/>
          <w:color w:val="000000"/>
          <w:kern w:val="0"/>
          <w:sz w:val="24"/>
          <w:szCs w:val="20"/>
          <w:highlight w:val="none"/>
          <w:u w:val="none"/>
          <w:lang w:val="zh-CN" w:eastAsia="zh-CN" w:bidi="ar-SA"/>
        </w:rPr>
        <w:t>未按招标文件规定的形式和金额提交保证金的；</w:t>
      </w:r>
    </w:p>
    <w:p w14:paraId="4EB2430B">
      <w:pPr>
        <w:spacing w:line="240" w:lineRule="atLeast"/>
        <w:ind w:left="957" w:leftChars="456" w:firstLine="0" w:firstLineChars="0"/>
        <w:rPr>
          <w:rFonts w:hint="eastAsia" w:ascii="仿宋" w:hAnsi="仿宋" w:eastAsia="仿宋" w:cs="仿宋"/>
          <w:b w:val="0"/>
          <w:bCs w:val="0"/>
          <w:color w:val="000000"/>
          <w:kern w:val="0"/>
          <w:sz w:val="24"/>
          <w:szCs w:val="20"/>
          <w:highlight w:val="none"/>
          <w:u w:val="none"/>
          <w:lang w:val="zh-CN" w:eastAsia="zh-CN" w:bidi="ar-SA"/>
        </w:rPr>
      </w:pPr>
      <w:r>
        <w:rPr>
          <w:rFonts w:hint="eastAsia" w:ascii="仿宋" w:hAnsi="仿宋" w:eastAsia="仿宋" w:cs="仿宋"/>
          <w:b w:val="0"/>
          <w:bCs w:val="0"/>
          <w:color w:val="000000"/>
          <w:kern w:val="0"/>
          <w:sz w:val="24"/>
          <w:szCs w:val="20"/>
          <w:highlight w:val="none"/>
          <w:u w:val="none"/>
          <w:lang w:val="zh-CN" w:eastAsia="zh-CN" w:bidi="ar-SA"/>
        </w:rPr>
        <w:t>未按照招标文件规定要求签署、盖章的；</w:t>
      </w:r>
    </w:p>
    <w:p w14:paraId="49C11F21">
      <w:pPr>
        <w:spacing w:line="240" w:lineRule="atLeast"/>
        <w:ind w:left="957" w:leftChars="456" w:firstLine="0" w:firstLineChars="0"/>
        <w:rPr>
          <w:rFonts w:hint="eastAsia" w:ascii="仿宋" w:hAnsi="仿宋" w:eastAsia="仿宋" w:cs="仿宋"/>
          <w:b w:val="0"/>
          <w:bCs w:val="0"/>
          <w:color w:val="000000"/>
          <w:kern w:val="0"/>
          <w:sz w:val="24"/>
          <w:szCs w:val="20"/>
          <w:highlight w:val="none"/>
          <w:u w:val="none"/>
          <w:lang w:val="zh-CN" w:eastAsia="zh-CN" w:bidi="ar-SA"/>
        </w:rPr>
      </w:pPr>
      <w:r>
        <w:rPr>
          <w:rFonts w:hint="eastAsia" w:ascii="仿宋" w:hAnsi="仿宋" w:eastAsia="仿宋" w:cs="仿宋"/>
          <w:b w:val="0"/>
          <w:bCs w:val="0"/>
          <w:color w:val="000000"/>
          <w:kern w:val="0"/>
          <w:sz w:val="24"/>
          <w:szCs w:val="20"/>
          <w:highlight w:val="none"/>
          <w:u w:val="none"/>
          <w:lang w:val="zh-CN" w:eastAsia="zh-CN" w:bidi="ar-SA"/>
        </w:rPr>
        <w:t>未满足招标文件中技术条款的实质性要求；</w:t>
      </w:r>
    </w:p>
    <w:p w14:paraId="29DFD030">
      <w:pPr>
        <w:spacing w:line="240" w:lineRule="atLeast"/>
        <w:ind w:left="957" w:leftChars="456" w:firstLine="0" w:firstLineChars="0"/>
        <w:rPr>
          <w:rFonts w:hint="eastAsia" w:ascii="仿宋" w:hAnsi="仿宋" w:eastAsia="仿宋" w:cs="仿宋"/>
          <w:b w:val="0"/>
          <w:bCs w:val="0"/>
          <w:color w:val="000000"/>
          <w:kern w:val="0"/>
          <w:sz w:val="24"/>
          <w:szCs w:val="20"/>
          <w:highlight w:val="none"/>
          <w:u w:val="none"/>
          <w:lang w:val="zh-CN" w:eastAsia="zh-CN" w:bidi="ar-SA"/>
        </w:rPr>
      </w:pPr>
      <w:r>
        <w:rPr>
          <w:rFonts w:hint="eastAsia" w:ascii="仿宋" w:hAnsi="仿宋" w:eastAsia="仿宋" w:cs="仿宋"/>
          <w:b w:val="0"/>
          <w:bCs w:val="0"/>
          <w:color w:val="000000"/>
          <w:kern w:val="0"/>
          <w:sz w:val="24"/>
          <w:szCs w:val="20"/>
          <w:highlight w:val="none"/>
          <w:u w:val="none"/>
          <w:lang w:val="zh-CN" w:eastAsia="zh-CN" w:bidi="ar-SA"/>
        </w:rPr>
        <w:t>与其他投标人串通投标，或者与采购人串通投标；</w:t>
      </w:r>
    </w:p>
    <w:p w14:paraId="1517D604">
      <w:pPr>
        <w:spacing w:line="240" w:lineRule="atLeast"/>
        <w:ind w:left="957" w:leftChars="456" w:firstLine="0" w:firstLineChars="0"/>
        <w:rPr>
          <w:rFonts w:hint="eastAsia" w:ascii="仿宋" w:hAnsi="仿宋" w:eastAsia="仿宋" w:cs="仿宋"/>
          <w:b w:val="0"/>
          <w:bCs w:val="0"/>
          <w:color w:val="000000"/>
          <w:kern w:val="0"/>
          <w:sz w:val="24"/>
          <w:szCs w:val="20"/>
          <w:highlight w:val="none"/>
          <w:u w:val="none"/>
          <w:lang w:val="zh-CN" w:eastAsia="zh-CN" w:bidi="ar-SA"/>
        </w:rPr>
      </w:pPr>
      <w:r>
        <w:rPr>
          <w:rFonts w:hint="eastAsia" w:ascii="仿宋" w:hAnsi="仿宋" w:eastAsia="仿宋" w:cs="仿宋"/>
          <w:b w:val="0"/>
          <w:bCs w:val="0"/>
          <w:color w:val="000000"/>
          <w:kern w:val="0"/>
          <w:sz w:val="24"/>
          <w:szCs w:val="20"/>
          <w:highlight w:val="none"/>
          <w:u w:val="none"/>
          <w:lang w:val="zh-CN" w:eastAsia="zh-CN" w:bidi="ar-SA"/>
        </w:rPr>
        <w:t>属于招标文件规定的其他投标无效情形；</w:t>
      </w:r>
    </w:p>
    <w:p w14:paraId="30253B3E">
      <w:pPr>
        <w:spacing w:line="240" w:lineRule="atLeast"/>
        <w:ind w:left="957" w:leftChars="456" w:firstLine="0" w:firstLineChars="0"/>
        <w:rPr>
          <w:rFonts w:hint="eastAsia" w:ascii="仿宋" w:hAnsi="仿宋" w:eastAsia="仿宋" w:cs="仿宋"/>
          <w:b w:val="0"/>
          <w:bCs w:val="0"/>
          <w:color w:val="000000"/>
          <w:kern w:val="0"/>
          <w:sz w:val="24"/>
          <w:szCs w:val="20"/>
          <w:highlight w:val="none"/>
          <w:u w:val="none"/>
          <w:lang w:val="zh-CN" w:eastAsia="zh-CN" w:bidi="ar-SA"/>
        </w:rPr>
      </w:pPr>
      <w:r>
        <w:rPr>
          <w:rFonts w:hint="eastAsia" w:ascii="仿宋" w:hAnsi="仿宋" w:eastAsia="仿宋" w:cs="仿宋"/>
          <w:b w:val="0"/>
          <w:bCs w:val="0"/>
          <w:color w:val="000000"/>
          <w:kern w:val="0"/>
          <w:sz w:val="24"/>
          <w:szCs w:val="20"/>
          <w:highlight w:val="none"/>
          <w:u w:val="none"/>
          <w:lang w:val="zh-CN" w:eastAsia="zh-CN" w:bidi="ar-SA"/>
        </w:rPr>
        <w:t>评审小组认为投标人的报价明显低于其他通过符合性检查投标人的报价，有可能影响履约的，且投标人未按照规定证明其报价合理性的；</w:t>
      </w:r>
    </w:p>
    <w:p w14:paraId="58C06850">
      <w:pPr>
        <w:spacing w:line="240" w:lineRule="atLeast"/>
        <w:ind w:left="957" w:leftChars="456" w:firstLine="0" w:firstLineChars="0"/>
        <w:rPr>
          <w:rFonts w:hint="eastAsia" w:ascii="仿宋" w:hAnsi="仿宋" w:eastAsia="仿宋" w:cs="仿宋"/>
          <w:b w:val="0"/>
          <w:bCs w:val="0"/>
          <w:color w:val="000000"/>
          <w:kern w:val="0"/>
          <w:sz w:val="24"/>
          <w:szCs w:val="20"/>
          <w:highlight w:val="none"/>
          <w:u w:val="none"/>
          <w:lang w:val="zh-CN" w:eastAsia="zh-CN" w:bidi="ar-SA"/>
        </w:rPr>
      </w:pPr>
      <w:r>
        <w:rPr>
          <w:rFonts w:hint="eastAsia" w:ascii="仿宋" w:hAnsi="仿宋" w:eastAsia="仿宋" w:cs="仿宋"/>
          <w:b w:val="0"/>
          <w:bCs w:val="0"/>
          <w:color w:val="000000"/>
          <w:kern w:val="0"/>
          <w:sz w:val="24"/>
          <w:szCs w:val="20"/>
          <w:highlight w:val="none"/>
          <w:u w:val="none"/>
          <w:lang w:val="zh-CN" w:eastAsia="zh-CN" w:bidi="ar-SA"/>
        </w:rPr>
        <w:t>投标文件含有采购人不能接受的附加条件的；</w:t>
      </w:r>
    </w:p>
    <w:p w14:paraId="3379D65F">
      <w:pPr>
        <w:spacing w:line="240" w:lineRule="atLeast"/>
        <w:ind w:left="957" w:leftChars="456" w:firstLine="0" w:firstLineChars="0"/>
        <w:rPr>
          <w:rFonts w:hint="eastAsia" w:ascii="仿宋" w:hAnsi="仿宋" w:eastAsia="仿宋" w:cs="仿宋"/>
          <w:b w:val="0"/>
          <w:bCs w:val="0"/>
          <w:color w:val="000000"/>
          <w:kern w:val="0"/>
          <w:sz w:val="24"/>
          <w:szCs w:val="20"/>
          <w:highlight w:val="none"/>
          <w:u w:val="none"/>
          <w:lang w:val="zh-CN" w:eastAsia="zh-CN" w:bidi="ar-SA"/>
        </w:rPr>
      </w:pPr>
      <w:r>
        <w:rPr>
          <w:rFonts w:hint="eastAsia" w:ascii="仿宋" w:hAnsi="仿宋" w:eastAsia="仿宋" w:cs="仿宋"/>
          <w:b w:val="0"/>
          <w:bCs w:val="0"/>
          <w:color w:val="000000"/>
          <w:kern w:val="0"/>
          <w:sz w:val="24"/>
          <w:szCs w:val="20"/>
          <w:highlight w:val="none"/>
          <w:u w:val="none"/>
          <w:lang w:val="zh-CN" w:eastAsia="zh-CN" w:bidi="ar-SA"/>
        </w:rPr>
        <w:t>不符合法规和招标文件中规定的其他实质性要求的。</w:t>
      </w:r>
    </w:p>
    <w:p w14:paraId="321AE04D">
      <w:pPr>
        <w:spacing w:line="240" w:lineRule="atLeast"/>
        <w:ind w:left="900" w:hanging="900" w:hangingChars="375"/>
        <w:rPr>
          <w:rFonts w:hint="eastAsia" w:ascii="仿宋_GB2312" w:hAnsi="宋体" w:eastAsia="仿宋_GB2312" w:cs="Times New Roman"/>
          <w:sz w:val="24"/>
          <w:highlight w:val="none"/>
          <w:lang w:eastAsia="zh-CN"/>
        </w:rPr>
      </w:pPr>
      <w:bookmarkStart w:id="134" w:name="_Toc5678"/>
      <w:bookmarkStart w:id="135" w:name="_Toc518923088"/>
      <w:r>
        <w:rPr>
          <w:rFonts w:hint="eastAsia" w:ascii="仿宋_GB2312" w:hAnsi="宋体" w:eastAsia="仿宋_GB2312" w:cs="Times New Roman"/>
          <w:sz w:val="24"/>
          <w:highlight w:val="none"/>
          <w:lang w:eastAsia="zh-CN"/>
        </w:rPr>
        <w:t>23</w:t>
      </w:r>
      <w:bookmarkEnd w:id="129"/>
      <w:r>
        <w:rPr>
          <w:rFonts w:hint="eastAsia" w:ascii="仿宋_GB2312" w:hAnsi="宋体" w:eastAsia="仿宋_GB2312" w:cs="Times New Roman"/>
          <w:sz w:val="24"/>
          <w:highlight w:val="none"/>
          <w:lang w:eastAsia="zh-CN"/>
        </w:rPr>
        <w:t>.比较与评价</w:t>
      </w:r>
      <w:bookmarkEnd w:id="134"/>
      <w:bookmarkEnd w:id="135"/>
    </w:p>
    <w:p w14:paraId="311C6EB9">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23.1</w:t>
      </w:r>
      <w:r>
        <w:rPr>
          <w:rFonts w:hint="eastAsia" w:ascii="仿宋_GB2312" w:hAnsi="宋体" w:eastAsia="仿宋_GB2312" w:cs="Times New Roman"/>
          <w:sz w:val="24"/>
          <w:highlight w:val="none"/>
          <w:lang w:eastAsia="zh-CN"/>
        </w:rPr>
        <w:tab/>
      </w:r>
      <w:r>
        <w:rPr>
          <w:rFonts w:hint="eastAsia" w:ascii="仿宋_GB2312" w:hAnsi="宋体" w:eastAsia="仿宋_GB2312" w:cs="Times New Roman"/>
          <w:sz w:val="24"/>
          <w:highlight w:val="none"/>
          <w:lang w:eastAsia="zh-CN"/>
        </w:rPr>
        <w:t>经符合性审查合格的投标文件，评审小组将根据招标文件确定的评标方法和标准，对其技术部分和商务部分作进一步的比较和评价。</w:t>
      </w:r>
    </w:p>
    <w:p w14:paraId="2C64DD51">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23.2</w:t>
      </w:r>
      <w:r>
        <w:rPr>
          <w:rFonts w:hint="eastAsia" w:ascii="仿宋_GB2312" w:hAnsi="宋体" w:eastAsia="仿宋_GB2312" w:cs="Times New Roman"/>
          <w:sz w:val="24"/>
          <w:highlight w:val="none"/>
          <w:lang w:eastAsia="zh-CN"/>
        </w:rPr>
        <w:tab/>
      </w:r>
      <w:r>
        <w:rPr>
          <w:rFonts w:hint="eastAsia" w:ascii="仿宋_GB2312" w:hAnsi="宋体" w:eastAsia="仿宋_GB2312" w:cs="Times New Roman"/>
          <w:sz w:val="24"/>
          <w:highlight w:val="none"/>
          <w:lang w:eastAsia="zh-CN"/>
        </w:rPr>
        <w:t>评标严格按照招标文件的要求和条件进行。根据实际情况，在投标人须知资料表中规定采用下列一种评标方法，详细评标标准见招标文件第六章：</w:t>
      </w:r>
    </w:p>
    <w:p w14:paraId="3B7930E1">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（1）最低评标价法，是指投标文件满足招标文件全部实质性要求，且投标报价最低的投标人为中标候选人的评标方法。</w:t>
      </w:r>
    </w:p>
    <w:p w14:paraId="105F8819">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（2）综合评分法，是指投标文件满足招标文件全部实质性要求，且按照评审因素的量化指标评审得分最高的投标人为中标候选人的评标方法。</w:t>
      </w:r>
    </w:p>
    <w:p w14:paraId="55E9141E">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23.3根据《政府采购促进中小企业发展暂行办法》（财库[20</w:t>
      </w:r>
      <w:r>
        <w:rPr>
          <w:rFonts w:hint="eastAsia" w:ascii="仿宋_GB2312" w:hAnsi="宋体" w:eastAsia="仿宋_GB2312" w:cs="Times New Roman"/>
          <w:sz w:val="24"/>
          <w:highlight w:val="none"/>
          <w:lang w:val="en-US" w:eastAsia="zh-CN"/>
        </w:rPr>
        <w:t>20</w:t>
      </w:r>
      <w:r>
        <w:rPr>
          <w:rFonts w:hint="eastAsia" w:ascii="仿宋_GB2312" w:hAnsi="宋体" w:eastAsia="仿宋_GB2312" w:cs="Times New Roman"/>
          <w:sz w:val="24"/>
          <w:highlight w:val="none"/>
          <w:lang w:eastAsia="zh-CN"/>
        </w:rPr>
        <w:t>]</w:t>
      </w:r>
      <w:r>
        <w:rPr>
          <w:rFonts w:hint="eastAsia" w:ascii="仿宋_GB2312" w:hAnsi="宋体" w:eastAsia="仿宋_GB2312" w:cs="Times New Roman"/>
          <w:sz w:val="24"/>
          <w:highlight w:val="none"/>
          <w:lang w:val="en-US" w:eastAsia="zh-CN"/>
        </w:rPr>
        <w:t>46</w:t>
      </w:r>
      <w:r>
        <w:rPr>
          <w:rFonts w:hint="eastAsia" w:ascii="仿宋_GB2312" w:hAnsi="宋体" w:eastAsia="仿宋_GB2312" w:cs="Times New Roman"/>
          <w:sz w:val="24"/>
          <w:highlight w:val="none"/>
          <w:lang w:eastAsia="zh-CN"/>
        </w:rPr>
        <w:t>号）、《财政部关于进一步加大政府采购支持中小企业力度的通知》（财库〔2022〕19号）的规定，对满足价格扣除条件且在响应文件中提交了《供应商企业类型声明函》或省级以上监狱管理局、戒毒管理局（含新疆生产建设兵团）出具的属于监狱企业的证明文件及中小企业出具的证明文件的供应商实行10%-20%价格扣除制度，用扣除后的价格参与价格因素评审，《三部门联合发布关于促进残疾人就业政府采购政策的通知》（</w:t>
      </w:r>
      <w:bookmarkStart w:id="136" w:name="sendNo"/>
      <w:r>
        <w:rPr>
          <w:rFonts w:hint="eastAsia" w:ascii="仿宋_GB2312" w:hAnsi="宋体" w:eastAsia="仿宋_GB2312" w:cs="Times New Roman"/>
          <w:sz w:val="24"/>
          <w:highlight w:val="none"/>
          <w:lang w:eastAsia="zh-CN"/>
        </w:rPr>
        <w:t>财库〔</w:t>
      </w:r>
      <w:bookmarkEnd w:id="136"/>
      <w:r>
        <w:rPr>
          <w:rFonts w:hint="eastAsia" w:ascii="仿宋_GB2312" w:hAnsi="宋体" w:eastAsia="仿宋_GB2312" w:cs="Times New Roman"/>
          <w:sz w:val="24"/>
          <w:highlight w:val="none"/>
          <w:lang w:eastAsia="zh-CN"/>
        </w:rPr>
        <w:t>2017〕141号）的规定，对满足价格扣除条件且在投标文件中提交了《投标人企业类型声明函》或省级以上监狱管理局、戒毒管理局（含新疆生产建设兵团）出具的属于监狱企业的证明文件的投标人，具体办法详见招标文件第6章。</w:t>
      </w:r>
    </w:p>
    <w:p w14:paraId="1428574F">
      <w:pPr>
        <w:spacing w:line="240" w:lineRule="atLeast"/>
        <w:ind w:left="900" w:hanging="900" w:hangingChars="375"/>
        <w:rPr>
          <w:rFonts w:hint="eastAsia" w:ascii="仿宋_GB2312" w:hAnsi="宋体" w:eastAsia="仿宋_GB2312" w:cs="Times New Roman"/>
          <w:b/>
          <w:bCs/>
          <w:sz w:val="24"/>
          <w:highlight w:val="none"/>
          <w:lang w:eastAsia="zh-CN"/>
        </w:rPr>
      </w:pPr>
      <w:bookmarkStart w:id="137" w:name="_Toc520356168"/>
      <w:bookmarkStart w:id="138" w:name="_Toc518923089"/>
      <w:bookmarkStart w:id="139" w:name="_Toc21406"/>
      <w:r>
        <w:rPr>
          <w:rFonts w:hint="eastAsia" w:ascii="仿宋_GB2312" w:hAnsi="宋体" w:eastAsia="仿宋_GB2312" w:cs="Times New Roman"/>
          <w:b/>
          <w:bCs/>
          <w:sz w:val="24"/>
          <w:highlight w:val="none"/>
          <w:lang w:eastAsia="zh-CN"/>
        </w:rPr>
        <w:t>24</w:t>
      </w:r>
      <w:bookmarkEnd w:id="137"/>
      <w:r>
        <w:rPr>
          <w:rFonts w:hint="eastAsia" w:ascii="仿宋_GB2312" w:hAnsi="宋体" w:eastAsia="仿宋_GB2312" w:cs="Times New Roman"/>
          <w:b/>
          <w:bCs/>
          <w:sz w:val="24"/>
          <w:highlight w:val="none"/>
          <w:lang w:eastAsia="zh-CN"/>
        </w:rPr>
        <w:t>.废标</w:t>
      </w:r>
      <w:bookmarkEnd w:id="138"/>
      <w:bookmarkEnd w:id="139"/>
    </w:p>
    <w:p w14:paraId="35CA9AD4">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出现下列情形之一，将导致项目废标：</w:t>
      </w:r>
    </w:p>
    <w:p w14:paraId="0A0DCA67">
      <w:pPr>
        <w:spacing w:line="240" w:lineRule="atLeast"/>
        <w:ind w:left="957" w:leftChars="456" w:firstLine="0" w:firstLineChars="0"/>
        <w:rPr>
          <w:rFonts w:hint="eastAsia" w:ascii="仿宋" w:hAnsi="仿宋" w:eastAsia="仿宋" w:cs="仿宋"/>
          <w:b/>
          <w:color w:val="000000"/>
          <w:kern w:val="0"/>
          <w:sz w:val="24"/>
          <w:szCs w:val="20"/>
          <w:highlight w:val="none"/>
          <w:u w:val="none"/>
          <w:lang w:val="zh-CN" w:eastAsia="zh-CN" w:bidi="ar-SA"/>
        </w:rPr>
      </w:pPr>
      <w:r>
        <w:rPr>
          <w:rFonts w:hint="eastAsia" w:ascii="仿宋" w:hAnsi="仿宋" w:eastAsia="仿宋" w:cs="仿宋"/>
          <w:b/>
          <w:color w:val="000000"/>
          <w:kern w:val="0"/>
          <w:sz w:val="24"/>
          <w:szCs w:val="20"/>
          <w:highlight w:val="none"/>
          <w:u w:val="none"/>
          <w:lang w:val="zh-CN" w:eastAsia="zh-CN" w:bidi="ar-SA"/>
        </w:rPr>
        <w:t>（1）符合专业条件的投标人或者对招标文件做实质性响应的投标人不足三家；</w:t>
      </w:r>
    </w:p>
    <w:p w14:paraId="305D2ECF">
      <w:pPr>
        <w:spacing w:line="240" w:lineRule="atLeast"/>
        <w:ind w:left="957" w:leftChars="456" w:firstLine="0" w:firstLineChars="0"/>
        <w:rPr>
          <w:rFonts w:hint="eastAsia" w:ascii="仿宋" w:hAnsi="仿宋" w:eastAsia="仿宋" w:cs="仿宋"/>
          <w:b/>
          <w:color w:val="000000"/>
          <w:kern w:val="0"/>
          <w:sz w:val="24"/>
          <w:szCs w:val="20"/>
          <w:highlight w:val="none"/>
          <w:u w:val="none"/>
          <w:lang w:val="zh-CN" w:eastAsia="zh-CN" w:bidi="ar-SA"/>
        </w:rPr>
      </w:pPr>
      <w:r>
        <w:rPr>
          <w:rFonts w:hint="eastAsia" w:ascii="仿宋" w:hAnsi="仿宋" w:eastAsia="仿宋" w:cs="仿宋"/>
          <w:b/>
          <w:color w:val="000000"/>
          <w:kern w:val="0"/>
          <w:sz w:val="24"/>
          <w:szCs w:val="20"/>
          <w:highlight w:val="none"/>
          <w:u w:val="none"/>
          <w:lang w:val="zh-CN" w:eastAsia="zh-CN" w:bidi="ar-SA"/>
        </w:rPr>
        <w:t>（2）出现影响采购公正的违法、违规行为的；</w:t>
      </w:r>
    </w:p>
    <w:p w14:paraId="4B743629">
      <w:pPr>
        <w:spacing w:line="240" w:lineRule="atLeast"/>
        <w:ind w:left="957" w:leftChars="456" w:firstLine="0" w:firstLineChars="0"/>
        <w:rPr>
          <w:rFonts w:hint="eastAsia" w:ascii="仿宋" w:hAnsi="仿宋" w:eastAsia="仿宋" w:cs="仿宋"/>
          <w:b/>
          <w:color w:val="000000"/>
          <w:kern w:val="0"/>
          <w:sz w:val="24"/>
          <w:szCs w:val="20"/>
          <w:highlight w:val="none"/>
          <w:u w:val="none"/>
          <w:lang w:val="zh-CN" w:eastAsia="zh-CN" w:bidi="ar-SA"/>
        </w:rPr>
      </w:pPr>
      <w:r>
        <w:rPr>
          <w:rFonts w:hint="eastAsia" w:ascii="仿宋" w:hAnsi="仿宋" w:eastAsia="仿宋" w:cs="仿宋"/>
          <w:b/>
          <w:color w:val="000000"/>
          <w:kern w:val="0"/>
          <w:sz w:val="24"/>
          <w:szCs w:val="20"/>
          <w:highlight w:val="none"/>
          <w:u w:val="none"/>
          <w:lang w:val="zh-CN" w:eastAsia="zh-CN" w:bidi="ar-SA"/>
        </w:rPr>
        <w:t>（3）投标人的报价均超过了采购预算，采购人不能支付的；</w:t>
      </w:r>
    </w:p>
    <w:p w14:paraId="4DA1F4D5">
      <w:pPr>
        <w:spacing w:line="240" w:lineRule="atLeast"/>
        <w:ind w:left="957" w:leftChars="456" w:firstLine="0" w:firstLineChars="0"/>
        <w:rPr>
          <w:rFonts w:hint="eastAsia" w:ascii="仿宋" w:hAnsi="仿宋" w:eastAsia="仿宋" w:cs="仿宋"/>
          <w:b/>
          <w:color w:val="000000"/>
          <w:kern w:val="0"/>
          <w:sz w:val="24"/>
          <w:szCs w:val="20"/>
          <w:highlight w:val="none"/>
          <w:u w:val="none"/>
          <w:lang w:val="zh-CN" w:eastAsia="zh-CN" w:bidi="ar-SA"/>
        </w:rPr>
      </w:pPr>
      <w:r>
        <w:rPr>
          <w:rFonts w:hint="eastAsia" w:ascii="仿宋" w:hAnsi="仿宋" w:eastAsia="仿宋" w:cs="仿宋"/>
          <w:b/>
          <w:color w:val="000000"/>
          <w:kern w:val="0"/>
          <w:sz w:val="24"/>
          <w:szCs w:val="20"/>
          <w:highlight w:val="none"/>
          <w:u w:val="none"/>
          <w:lang w:val="zh-CN" w:eastAsia="zh-CN" w:bidi="ar-SA"/>
        </w:rPr>
        <w:t>（4）因重大变故，采购任务取消的。</w:t>
      </w:r>
    </w:p>
    <w:p w14:paraId="287710A2">
      <w:pPr>
        <w:spacing w:line="240" w:lineRule="atLeast"/>
        <w:ind w:left="900" w:hanging="900" w:hangingChars="375"/>
        <w:rPr>
          <w:rFonts w:hint="eastAsia" w:ascii="仿宋_GB2312" w:hAnsi="宋体" w:eastAsia="仿宋_GB2312" w:cs="Times New Roman"/>
          <w:b/>
          <w:bCs/>
          <w:sz w:val="24"/>
          <w:highlight w:val="none"/>
          <w:lang w:eastAsia="zh-CN"/>
        </w:rPr>
      </w:pPr>
      <w:bookmarkStart w:id="140" w:name="_Toc6371"/>
      <w:bookmarkStart w:id="141" w:name="_Toc518923090"/>
      <w:bookmarkStart w:id="142" w:name="_Toc520356169"/>
      <w:r>
        <w:rPr>
          <w:rFonts w:hint="eastAsia" w:ascii="仿宋_GB2312" w:hAnsi="宋体" w:eastAsia="仿宋_GB2312" w:cs="Times New Roman"/>
          <w:b/>
          <w:bCs/>
          <w:sz w:val="24"/>
          <w:highlight w:val="none"/>
          <w:lang w:eastAsia="zh-CN"/>
        </w:rPr>
        <w:t>25.保密原则</w:t>
      </w:r>
      <w:bookmarkEnd w:id="140"/>
      <w:bookmarkEnd w:id="141"/>
    </w:p>
    <w:p w14:paraId="0824A93C">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25.1</w:t>
      </w:r>
      <w:r>
        <w:rPr>
          <w:rFonts w:hint="eastAsia" w:ascii="仿宋_GB2312" w:hAnsi="宋体" w:eastAsia="仿宋_GB2312" w:cs="Times New Roman"/>
          <w:sz w:val="24"/>
          <w:highlight w:val="none"/>
          <w:lang w:eastAsia="zh-CN"/>
        </w:rPr>
        <w:tab/>
      </w:r>
      <w:r>
        <w:rPr>
          <w:rFonts w:hint="eastAsia" w:ascii="仿宋_GB2312" w:hAnsi="宋体" w:eastAsia="仿宋_GB2312" w:cs="Times New Roman"/>
          <w:sz w:val="24"/>
          <w:highlight w:val="none"/>
          <w:lang w:eastAsia="zh-CN"/>
        </w:rPr>
        <w:t>评标将在严格保密的情况下进行。</w:t>
      </w:r>
    </w:p>
    <w:p w14:paraId="10395AF7">
      <w:pPr>
        <w:spacing w:line="240" w:lineRule="atLeast"/>
        <w:ind w:left="957" w:leftChars="456" w:firstLine="0" w:firstLineChars="0"/>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25.2</w:t>
      </w:r>
      <w:r>
        <w:rPr>
          <w:rFonts w:hint="eastAsia" w:ascii="仿宋_GB2312" w:hAnsi="宋体" w:eastAsia="仿宋_GB2312" w:cs="Times New Roman"/>
          <w:sz w:val="24"/>
          <w:highlight w:val="none"/>
          <w:lang w:eastAsia="zh-CN"/>
        </w:rPr>
        <w:tab/>
      </w:r>
      <w:r>
        <w:rPr>
          <w:rFonts w:hint="eastAsia" w:ascii="仿宋_GB2312" w:hAnsi="宋体" w:eastAsia="仿宋_GB2312" w:cs="Times New Roman"/>
          <w:sz w:val="24"/>
          <w:highlight w:val="none"/>
          <w:lang w:eastAsia="zh-CN"/>
        </w:rPr>
        <w:t>政府采购评审专家应当遵守评审工作纪律，不得泄露评审文件、评审情况和评审中获悉的商业秘密。</w:t>
      </w:r>
    </w:p>
    <w:p w14:paraId="5D425183">
      <w:pPr>
        <w:spacing w:line="240" w:lineRule="atLeast"/>
        <w:ind w:left="900" w:hanging="900" w:hangingChars="375"/>
        <w:rPr>
          <w:rFonts w:hint="eastAsia" w:ascii="仿宋_GB2312" w:hAnsi="宋体" w:eastAsia="仿宋_GB2312" w:cs="Times New Roman"/>
          <w:sz w:val="24"/>
          <w:highlight w:val="none"/>
          <w:lang w:eastAsia="zh-CN"/>
        </w:rPr>
      </w:pPr>
    </w:p>
    <w:p w14:paraId="075F2641">
      <w:pPr>
        <w:spacing w:line="240" w:lineRule="atLeast"/>
        <w:ind w:left="900" w:hanging="900" w:hangingChars="375"/>
        <w:jc w:val="center"/>
        <w:rPr>
          <w:rFonts w:hint="eastAsia" w:ascii="仿宋_GB2312" w:hAnsi="宋体" w:eastAsia="仿宋_GB2312" w:cs="Times New Roman"/>
          <w:b/>
          <w:bCs/>
          <w:sz w:val="24"/>
          <w:highlight w:val="none"/>
          <w:lang w:eastAsia="zh-CN"/>
        </w:rPr>
      </w:pPr>
      <w:bookmarkStart w:id="143" w:name="_Toc518923091"/>
      <w:bookmarkStart w:id="144" w:name="_Toc216582810"/>
      <w:bookmarkStart w:id="145" w:name="_Toc7622"/>
      <w:r>
        <w:rPr>
          <w:rFonts w:hint="eastAsia" w:ascii="仿宋_GB2312" w:hAnsi="宋体" w:eastAsia="仿宋_GB2312" w:cs="Times New Roman"/>
          <w:b/>
          <w:bCs/>
          <w:sz w:val="24"/>
          <w:highlight w:val="none"/>
          <w:lang w:eastAsia="zh-CN"/>
        </w:rPr>
        <w:t>六</w:t>
      </w:r>
      <w:bookmarkEnd w:id="142"/>
      <w:r>
        <w:rPr>
          <w:rFonts w:hint="eastAsia" w:ascii="仿宋_GB2312" w:hAnsi="宋体" w:eastAsia="仿宋_GB2312" w:cs="Times New Roman"/>
          <w:b/>
          <w:bCs/>
          <w:sz w:val="24"/>
          <w:highlight w:val="none"/>
          <w:lang w:eastAsia="zh-CN"/>
        </w:rPr>
        <w:t>确定中标</w:t>
      </w:r>
      <w:bookmarkEnd w:id="143"/>
      <w:bookmarkEnd w:id="144"/>
      <w:bookmarkEnd w:id="145"/>
    </w:p>
    <w:p w14:paraId="71317059">
      <w:pPr>
        <w:spacing w:line="240" w:lineRule="atLeast"/>
        <w:ind w:left="900" w:hanging="900" w:hangingChars="375"/>
        <w:rPr>
          <w:rFonts w:hint="eastAsia" w:ascii="仿宋_GB2312" w:hAnsi="宋体" w:eastAsia="仿宋_GB2312" w:cs="Times New Roman"/>
          <w:sz w:val="24"/>
          <w:highlight w:val="none"/>
          <w:lang w:eastAsia="zh-CN"/>
        </w:rPr>
      </w:pPr>
    </w:p>
    <w:p w14:paraId="6CE0CA48">
      <w:pPr>
        <w:spacing w:line="240" w:lineRule="atLeast"/>
        <w:ind w:left="900" w:hanging="900" w:hangingChars="375"/>
        <w:rPr>
          <w:rFonts w:hint="eastAsia" w:ascii="仿宋_GB2312" w:hAnsi="宋体" w:eastAsia="仿宋_GB2312" w:cs="Times New Roman"/>
          <w:b/>
          <w:bCs/>
          <w:sz w:val="24"/>
          <w:highlight w:val="none"/>
          <w:lang w:eastAsia="zh-CN"/>
        </w:rPr>
      </w:pPr>
      <w:bookmarkStart w:id="146" w:name="_Toc520356170"/>
      <w:bookmarkStart w:id="147" w:name="_Toc518923092"/>
      <w:bookmarkStart w:id="148" w:name="_Ref467307010"/>
      <w:bookmarkStart w:id="149" w:name="_Toc26808"/>
      <w:r>
        <w:rPr>
          <w:rFonts w:hint="eastAsia" w:ascii="仿宋_GB2312" w:hAnsi="宋体" w:eastAsia="仿宋_GB2312" w:cs="Times New Roman"/>
          <w:b/>
          <w:bCs/>
          <w:sz w:val="24"/>
          <w:highlight w:val="none"/>
          <w:lang w:eastAsia="zh-CN"/>
        </w:rPr>
        <w:t>26.中标候选人的确定原则及标准</w:t>
      </w:r>
      <w:bookmarkEnd w:id="146"/>
      <w:bookmarkEnd w:id="147"/>
      <w:bookmarkEnd w:id="148"/>
      <w:bookmarkEnd w:id="149"/>
    </w:p>
    <w:p w14:paraId="396CD19B">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ab/>
      </w:r>
      <w:r>
        <w:rPr>
          <w:rFonts w:hint="eastAsia" w:ascii="仿宋_GB2312" w:hAnsi="宋体" w:eastAsia="仿宋_GB2312" w:cs="Times New Roman"/>
          <w:sz w:val="24"/>
          <w:highlight w:val="none"/>
          <w:lang w:eastAsia="zh-CN"/>
        </w:rPr>
        <w:t>除第28条规定外，对实质上响应招标文件的投标人按下列方法进行排序，确定中标候选人：</w:t>
      </w:r>
    </w:p>
    <w:p w14:paraId="64B6918A">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1）采用最低评标价法的，除了算术修正和落实政府采购政策需进行的价格扣除外，不对投标人的投标价格进行任何调整。评标结果按修正和扣除后的投标报价由低到高顺序排列。报价相同的处理方式详见招标文件第6章。</w:t>
      </w:r>
    </w:p>
    <w:p w14:paraId="124F4B5C">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（2）采用综合评分法的，评标结果按评审后得分由高到低顺序排列。得分相同的，按修正和扣除后的投标报价由低到高顺序排列。得分与投标报价均相同的处理方式详见招标文件第6章。</w:t>
      </w:r>
    </w:p>
    <w:p w14:paraId="4117690D">
      <w:pPr>
        <w:spacing w:line="240" w:lineRule="atLeast"/>
        <w:ind w:left="900" w:hanging="900" w:hangingChars="375"/>
        <w:rPr>
          <w:rFonts w:hint="eastAsia" w:ascii="仿宋_GB2312" w:hAnsi="宋体" w:eastAsia="仿宋_GB2312" w:cs="Times New Roman"/>
          <w:b/>
          <w:bCs/>
          <w:sz w:val="24"/>
          <w:highlight w:val="none"/>
          <w:lang w:eastAsia="zh-CN"/>
        </w:rPr>
      </w:pPr>
      <w:bookmarkStart w:id="150" w:name="_Toc520356171"/>
      <w:bookmarkStart w:id="151" w:name="_Toc518923093"/>
      <w:bookmarkStart w:id="152" w:name="_Toc13316"/>
      <w:r>
        <w:rPr>
          <w:rFonts w:hint="eastAsia" w:ascii="仿宋_GB2312" w:hAnsi="宋体" w:eastAsia="仿宋_GB2312" w:cs="Times New Roman"/>
          <w:b/>
          <w:bCs/>
          <w:sz w:val="24"/>
          <w:highlight w:val="none"/>
          <w:lang w:eastAsia="zh-CN"/>
        </w:rPr>
        <w:t>27</w:t>
      </w:r>
      <w:bookmarkEnd w:id="150"/>
      <w:r>
        <w:rPr>
          <w:rFonts w:hint="eastAsia" w:ascii="仿宋_GB2312" w:hAnsi="宋体" w:eastAsia="仿宋_GB2312" w:cs="Times New Roman"/>
          <w:b/>
          <w:bCs/>
          <w:sz w:val="24"/>
          <w:highlight w:val="none"/>
          <w:lang w:eastAsia="zh-CN"/>
        </w:rPr>
        <w:t>.确定中标候选人和中标人</w:t>
      </w:r>
      <w:bookmarkEnd w:id="151"/>
      <w:bookmarkEnd w:id="152"/>
    </w:p>
    <w:p w14:paraId="2E2D92D9">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ab/>
      </w:r>
      <w:r>
        <w:rPr>
          <w:rFonts w:hint="eastAsia" w:ascii="仿宋_GB2312" w:hAnsi="宋体" w:eastAsia="仿宋_GB2312" w:cs="Times New Roman"/>
          <w:sz w:val="24"/>
          <w:highlight w:val="none"/>
          <w:lang w:eastAsia="zh-CN"/>
        </w:rPr>
        <w:t>评审小组将根据评标标准，按投标人须知资料表中规定数量推荐中标候选人；或根据采购人的委托，直接确定中标人。</w:t>
      </w:r>
    </w:p>
    <w:p w14:paraId="15FE9177">
      <w:pPr>
        <w:spacing w:line="240" w:lineRule="atLeast"/>
        <w:ind w:left="900" w:hanging="900" w:hangingChars="375"/>
        <w:rPr>
          <w:rFonts w:hint="eastAsia" w:ascii="仿宋_GB2312" w:hAnsi="宋体" w:eastAsia="仿宋_GB2312" w:cs="Times New Roman"/>
          <w:b/>
          <w:bCs/>
          <w:sz w:val="24"/>
          <w:highlight w:val="none"/>
          <w:lang w:eastAsia="zh-CN"/>
        </w:rPr>
      </w:pPr>
      <w:bookmarkStart w:id="153" w:name="_Ref467306874"/>
      <w:bookmarkStart w:id="154" w:name="_Toc520356173"/>
      <w:bookmarkStart w:id="155" w:name="_Toc518923094"/>
      <w:bookmarkStart w:id="156" w:name="_Toc25319"/>
      <w:r>
        <w:rPr>
          <w:rFonts w:hint="eastAsia" w:ascii="仿宋_GB2312" w:hAnsi="宋体" w:eastAsia="仿宋_GB2312" w:cs="Times New Roman"/>
          <w:b/>
          <w:bCs/>
          <w:sz w:val="24"/>
          <w:highlight w:val="none"/>
          <w:lang w:eastAsia="zh-CN"/>
        </w:rPr>
        <w:t>28</w:t>
      </w:r>
      <w:bookmarkEnd w:id="153"/>
      <w:bookmarkEnd w:id="154"/>
      <w:r>
        <w:rPr>
          <w:rFonts w:hint="eastAsia" w:ascii="仿宋_GB2312" w:hAnsi="宋体" w:eastAsia="仿宋_GB2312" w:cs="Times New Roman"/>
          <w:b/>
          <w:bCs/>
          <w:sz w:val="24"/>
          <w:highlight w:val="none"/>
          <w:lang w:eastAsia="zh-CN"/>
        </w:rPr>
        <w:t>.采购任务取消</w:t>
      </w:r>
      <w:bookmarkEnd w:id="155"/>
      <w:bookmarkEnd w:id="156"/>
    </w:p>
    <w:p w14:paraId="09CFF54F">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ab/>
      </w:r>
      <w:r>
        <w:rPr>
          <w:rFonts w:hint="eastAsia" w:ascii="仿宋_GB2312" w:hAnsi="宋体" w:eastAsia="仿宋_GB2312" w:cs="Times New Roman"/>
          <w:sz w:val="24"/>
          <w:highlight w:val="none"/>
          <w:lang w:eastAsia="zh-CN"/>
        </w:rPr>
        <w:t>因重大变故采购任务取消时，采购人有权拒绝任何投标人中标，且对受影响的投标人不承担任何责任。</w:t>
      </w:r>
      <w:bookmarkStart w:id="157" w:name="_Toc520356174"/>
    </w:p>
    <w:p w14:paraId="64AEF54A">
      <w:pPr>
        <w:spacing w:line="240" w:lineRule="atLeast"/>
        <w:ind w:left="900" w:hanging="900" w:hangingChars="375"/>
        <w:rPr>
          <w:rFonts w:hint="eastAsia" w:ascii="仿宋_GB2312" w:hAnsi="宋体" w:eastAsia="仿宋_GB2312" w:cs="Times New Roman"/>
          <w:b/>
          <w:bCs/>
          <w:sz w:val="24"/>
          <w:highlight w:val="none"/>
          <w:lang w:eastAsia="zh-CN"/>
        </w:rPr>
      </w:pPr>
      <w:bookmarkStart w:id="158" w:name="_Toc518923095"/>
      <w:bookmarkStart w:id="159" w:name="_Toc9309"/>
      <w:r>
        <w:rPr>
          <w:rFonts w:hint="eastAsia" w:ascii="仿宋_GB2312" w:hAnsi="宋体" w:eastAsia="仿宋_GB2312" w:cs="Times New Roman"/>
          <w:b/>
          <w:bCs/>
          <w:sz w:val="24"/>
          <w:highlight w:val="none"/>
          <w:lang w:eastAsia="zh-CN"/>
        </w:rPr>
        <w:t>29.中标通知书</w:t>
      </w:r>
      <w:bookmarkEnd w:id="157"/>
      <w:r>
        <w:rPr>
          <w:rFonts w:hint="eastAsia" w:ascii="仿宋_GB2312" w:hAnsi="宋体" w:eastAsia="仿宋_GB2312" w:cs="Times New Roman"/>
          <w:b/>
          <w:bCs/>
          <w:sz w:val="24"/>
          <w:highlight w:val="none"/>
          <w:lang w:eastAsia="zh-CN"/>
        </w:rPr>
        <w:t>和</w:t>
      </w:r>
      <w:r>
        <w:rPr>
          <w:rFonts w:hint="eastAsia" w:ascii="仿宋_GB2312" w:hAnsi="宋体" w:eastAsia="仿宋_GB2312" w:cs="Times New Roman"/>
          <w:b/>
          <w:bCs/>
          <w:sz w:val="24"/>
          <w:highlight w:val="none"/>
          <w:lang w:val="en-US" w:eastAsia="zh-CN"/>
        </w:rPr>
        <w:t>中</w:t>
      </w:r>
      <w:r>
        <w:rPr>
          <w:rFonts w:hint="eastAsia" w:ascii="仿宋_GB2312" w:hAnsi="宋体" w:eastAsia="仿宋_GB2312" w:cs="Times New Roman"/>
          <w:b/>
          <w:bCs/>
          <w:sz w:val="24"/>
          <w:highlight w:val="none"/>
          <w:lang w:eastAsia="zh-CN"/>
        </w:rPr>
        <w:t>标结果通知书</w:t>
      </w:r>
      <w:bookmarkEnd w:id="158"/>
      <w:bookmarkEnd w:id="159"/>
    </w:p>
    <w:p w14:paraId="6722A9C8">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29.1</w:t>
      </w:r>
      <w:r>
        <w:rPr>
          <w:rFonts w:hint="eastAsia" w:ascii="仿宋_GB2312" w:hAnsi="宋体" w:eastAsia="仿宋_GB2312" w:cs="Times New Roman"/>
          <w:sz w:val="24"/>
          <w:highlight w:val="none"/>
          <w:lang w:eastAsia="zh-CN"/>
        </w:rPr>
        <w:tab/>
      </w:r>
      <w:r>
        <w:rPr>
          <w:rFonts w:hint="eastAsia" w:ascii="仿宋_GB2312" w:hAnsi="宋体" w:eastAsia="仿宋_GB2312" w:cs="Times New Roman"/>
          <w:sz w:val="24"/>
          <w:highlight w:val="none"/>
          <w:lang w:eastAsia="zh-CN"/>
        </w:rPr>
        <w:t>在投标有效期内，中标人确定后，采购人或者采购代理机构发布中标公告，同时以书面形式向中标人发出中标通知书；</w:t>
      </w:r>
    </w:p>
    <w:p w14:paraId="1E4A66D6">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29.2</w:t>
      </w:r>
      <w:r>
        <w:rPr>
          <w:rFonts w:hint="eastAsia" w:ascii="仿宋_GB2312" w:hAnsi="宋体" w:eastAsia="仿宋_GB2312" w:cs="Times New Roman"/>
          <w:sz w:val="24"/>
          <w:highlight w:val="none"/>
          <w:lang w:eastAsia="zh-CN"/>
        </w:rPr>
        <w:tab/>
      </w:r>
      <w:r>
        <w:rPr>
          <w:rFonts w:hint="eastAsia" w:ascii="仿宋_GB2312" w:hAnsi="宋体" w:eastAsia="仿宋_GB2312" w:cs="Times New Roman"/>
          <w:sz w:val="24"/>
          <w:highlight w:val="none"/>
          <w:lang w:eastAsia="zh-CN"/>
        </w:rPr>
        <w:t>中标通知书是合同的组成部分；</w:t>
      </w:r>
    </w:p>
    <w:p w14:paraId="247F847A">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29.3</w:t>
      </w:r>
      <w:r>
        <w:rPr>
          <w:rFonts w:hint="eastAsia" w:ascii="仿宋_GB2312" w:hAnsi="宋体" w:eastAsia="仿宋_GB2312" w:cs="Times New Roman"/>
          <w:sz w:val="24"/>
          <w:highlight w:val="none"/>
          <w:lang w:val="en-US" w:eastAsia="zh-CN"/>
        </w:rPr>
        <w:t>中</w:t>
      </w:r>
      <w:r>
        <w:rPr>
          <w:rFonts w:hint="eastAsia" w:ascii="仿宋_GB2312" w:hAnsi="宋体" w:eastAsia="仿宋_GB2312" w:cs="Times New Roman"/>
          <w:sz w:val="24"/>
          <w:highlight w:val="none"/>
          <w:lang w:eastAsia="zh-CN"/>
        </w:rPr>
        <w:t>标结果通知书和中标通知书同时发出。</w:t>
      </w:r>
      <w:r>
        <w:rPr>
          <w:rFonts w:hint="eastAsia" w:ascii="仿宋_GB2312" w:hAnsi="宋体" w:eastAsia="仿宋_GB2312" w:cs="Times New Roman"/>
          <w:sz w:val="24"/>
          <w:highlight w:val="none"/>
          <w:lang w:val="en-US" w:eastAsia="zh-CN"/>
        </w:rPr>
        <w:t>中</w:t>
      </w:r>
      <w:r>
        <w:rPr>
          <w:rFonts w:hint="eastAsia" w:ascii="仿宋_GB2312" w:hAnsi="宋体" w:eastAsia="仿宋_GB2312" w:cs="Times New Roman"/>
          <w:sz w:val="24"/>
          <w:highlight w:val="none"/>
          <w:lang w:eastAsia="zh-CN"/>
        </w:rPr>
        <w:t>标结果通知书中将告知未通过资格审查的投标人未通过的原因；采用综合评分法评审的，还将告知未中标人本人的评审得分和排序。</w:t>
      </w:r>
    </w:p>
    <w:p w14:paraId="6AF20A54">
      <w:pPr>
        <w:spacing w:line="240" w:lineRule="atLeast"/>
        <w:ind w:left="900" w:hanging="900" w:hangingChars="375"/>
        <w:rPr>
          <w:rFonts w:hint="eastAsia" w:ascii="仿宋_GB2312" w:hAnsi="宋体" w:eastAsia="仿宋_GB2312" w:cs="Times New Roman"/>
          <w:b/>
          <w:bCs/>
          <w:sz w:val="24"/>
          <w:highlight w:val="none"/>
          <w:lang w:eastAsia="zh-CN"/>
        </w:rPr>
      </w:pPr>
      <w:bookmarkStart w:id="160" w:name="_Toc518923096"/>
      <w:bookmarkStart w:id="161" w:name="_Ref467307062"/>
      <w:bookmarkStart w:id="162" w:name="_Ref467306377"/>
      <w:bookmarkStart w:id="163" w:name="_Toc13387"/>
      <w:bookmarkStart w:id="164" w:name="_Ref467306978"/>
      <w:bookmarkStart w:id="165" w:name="_Toc520356175"/>
      <w:bookmarkStart w:id="166" w:name="_Ref467307204"/>
      <w:r>
        <w:rPr>
          <w:rFonts w:hint="eastAsia" w:ascii="仿宋_GB2312" w:hAnsi="宋体" w:eastAsia="仿宋_GB2312" w:cs="Times New Roman"/>
          <w:b/>
          <w:bCs/>
          <w:sz w:val="24"/>
          <w:highlight w:val="none"/>
          <w:lang w:eastAsia="zh-CN"/>
        </w:rPr>
        <w:t>30.签订合同</w:t>
      </w:r>
      <w:bookmarkEnd w:id="160"/>
      <w:bookmarkEnd w:id="161"/>
      <w:bookmarkEnd w:id="162"/>
      <w:bookmarkEnd w:id="163"/>
      <w:bookmarkEnd w:id="164"/>
      <w:bookmarkEnd w:id="165"/>
      <w:bookmarkEnd w:id="166"/>
    </w:p>
    <w:p w14:paraId="6A92D78E">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30.1</w:t>
      </w:r>
      <w:r>
        <w:rPr>
          <w:rFonts w:hint="eastAsia" w:ascii="仿宋_GB2312" w:hAnsi="宋体" w:eastAsia="仿宋_GB2312" w:cs="Times New Roman"/>
          <w:sz w:val="24"/>
          <w:highlight w:val="none"/>
          <w:lang w:eastAsia="zh-CN"/>
        </w:rPr>
        <w:tab/>
      </w:r>
      <w:r>
        <w:rPr>
          <w:rFonts w:hint="eastAsia" w:ascii="仿宋_GB2312" w:hAnsi="宋体" w:eastAsia="仿宋_GB2312" w:cs="Times New Roman"/>
          <w:sz w:val="24"/>
          <w:highlight w:val="none"/>
          <w:lang w:eastAsia="zh-CN"/>
        </w:rPr>
        <w:t>中标人应当自发出中标通知书之日起30日内，与采购人签订合同。</w:t>
      </w:r>
    </w:p>
    <w:p w14:paraId="0E641C62">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30.2</w:t>
      </w:r>
      <w:r>
        <w:rPr>
          <w:rFonts w:hint="eastAsia" w:ascii="仿宋_GB2312" w:hAnsi="宋体" w:eastAsia="仿宋_GB2312" w:cs="Times New Roman"/>
          <w:sz w:val="24"/>
          <w:highlight w:val="none"/>
          <w:lang w:eastAsia="zh-CN"/>
        </w:rPr>
        <w:tab/>
      </w:r>
      <w:bookmarkStart w:id="167" w:name="_Ref467307090"/>
      <w:bookmarkStart w:id="168" w:name="_Ref467306425"/>
      <w:bookmarkStart w:id="169" w:name="_Toc520356176"/>
      <w:r>
        <w:rPr>
          <w:rFonts w:hint="eastAsia" w:ascii="仿宋_GB2312" w:hAnsi="宋体" w:eastAsia="仿宋_GB2312" w:cs="Times New Roman"/>
          <w:sz w:val="24"/>
          <w:highlight w:val="none"/>
          <w:lang w:eastAsia="zh-CN"/>
        </w:rPr>
        <w:t>招标文件、中标人的投标文件及其澄清文件等，均为签订合同的依据。</w:t>
      </w:r>
    </w:p>
    <w:p w14:paraId="4A741C52">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30.3中标人拒绝与采购人签订合同的，采购人可以按照评审报告推荐的中标候选人名单排序，确定下一中标候选人为中标人，也可以重新开展政府采购活动。</w:t>
      </w:r>
    </w:p>
    <w:p w14:paraId="2E45D5D1">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30.4当出现法规规定的中标无效或中标结果无效情形时，采购人可与排名下一位的中标候选人另行签订合同，或依法重新开展采购活动。</w:t>
      </w:r>
    </w:p>
    <w:p w14:paraId="39661869">
      <w:pPr>
        <w:spacing w:line="240" w:lineRule="atLeast"/>
        <w:ind w:left="900" w:hanging="900" w:hangingChars="375"/>
        <w:rPr>
          <w:rFonts w:hint="eastAsia" w:ascii="仿宋_GB2312" w:hAnsi="宋体" w:eastAsia="仿宋_GB2312" w:cs="Times New Roman"/>
          <w:b/>
          <w:bCs/>
          <w:sz w:val="24"/>
          <w:highlight w:val="none"/>
          <w:lang w:eastAsia="zh-CN"/>
        </w:rPr>
      </w:pPr>
      <w:bookmarkStart w:id="170" w:name="_Toc2944"/>
      <w:bookmarkStart w:id="171" w:name="_Toc518923097"/>
      <w:r>
        <w:rPr>
          <w:rFonts w:hint="eastAsia" w:ascii="仿宋_GB2312" w:hAnsi="宋体" w:eastAsia="仿宋_GB2312" w:cs="Times New Roman"/>
          <w:b/>
          <w:bCs/>
          <w:sz w:val="24"/>
          <w:highlight w:val="none"/>
          <w:lang w:eastAsia="zh-CN"/>
        </w:rPr>
        <w:t>31.履约保证金</w:t>
      </w:r>
      <w:bookmarkEnd w:id="167"/>
      <w:bookmarkEnd w:id="168"/>
      <w:bookmarkEnd w:id="169"/>
      <w:bookmarkEnd w:id="170"/>
      <w:bookmarkEnd w:id="171"/>
    </w:p>
    <w:p w14:paraId="7F124C0B">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31.1</w:t>
      </w:r>
      <w:r>
        <w:rPr>
          <w:rFonts w:hint="eastAsia" w:ascii="仿宋_GB2312" w:hAnsi="宋体" w:eastAsia="仿宋_GB2312" w:cs="Times New Roman"/>
          <w:sz w:val="24"/>
          <w:highlight w:val="none"/>
          <w:lang w:eastAsia="zh-CN"/>
        </w:rPr>
        <w:tab/>
      </w:r>
      <w:r>
        <w:rPr>
          <w:rFonts w:hint="eastAsia" w:ascii="仿宋_GB2312" w:hAnsi="宋体" w:eastAsia="仿宋_GB2312" w:cs="Times New Roman"/>
          <w:sz w:val="24"/>
          <w:highlight w:val="none"/>
          <w:lang w:eastAsia="zh-CN"/>
        </w:rPr>
        <w:t>中标人应按照投标人须知资料表规定向采购人缴纳履约保证金（如采用保函形式，格式见本章附件1）。</w:t>
      </w:r>
    </w:p>
    <w:p w14:paraId="55D87A15">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31.2</w:t>
      </w:r>
      <w:r>
        <w:rPr>
          <w:rFonts w:hint="eastAsia" w:ascii="仿宋_GB2312" w:hAnsi="宋体" w:eastAsia="仿宋_GB2312" w:cs="Times New Roman"/>
          <w:sz w:val="24"/>
          <w:highlight w:val="none"/>
          <w:lang w:eastAsia="zh-CN"/>
        </w:rPr>
        <w:tab/>
      </w:r>
      <w:r>
        <w:rPr>
          <w:rFonts w:hint="eastAsia" w:ascii="仿宋_GB2312" w:hAnsi="宋体" w:eastAsia="仿宋_GB2312" w:cs="Times New Roman"/>
          <w:sz w:val="24"/>
          <w:highlight w:val="none"/>
          <w:lang w:eastAsia="zh-CN"/>
        </w:rPr>
        <w:t>政府采购利用担保试点范围内的项目，除31.1规定的情形外，中标人也可以按照财政部门的规定，向采购人提供合格的履约担保函（格式见本章附件2）。</w:t>
      </w:r>
    </w:p>
    <w:p w14:paraId="3C7D7FF4">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31.3如果中标人没有按照上述履约保证金的规定执行，将视为放弃中标资格，中标人的保证金将不予退还。在此情况下，采购人可确定下一候选人为中标人，也可以重新开展采购活动。</w:t>
      </w:r>
    </w:p>
    <w:p w14:paraId="40879382">
      <w:pPr>
        <w:spacing w:line="240" w:lineRule="atLeast"/>
        <w:ind w:left="900" w:hanging="900" w:hangingChars="375"/>
        <w:rPr>
          <w:rFonts w:hint="eastAsia" w:ascii="仿宋_GB2312" w:hAnsi="宋体" w:eastAsia="仿宋_GB2312" w:cs="Times New Roman"/>
          <w:b/>
          <w:bCs/>
          <w:sz w:val="24"/>
          <w:highlight w:val="none"/>
          <w:lang w:eastAsia="zh-CN"/>
        </w:rPr>
      </w:pPr>
      <w:bookmarkStart w:id="172" w:name="_Toc9492"/>
      <w:bookmarkStart w:id="173" w:name="_Toc518923098"/>
      <w:r>
        <w:rPr>
          <w:rFonts w:hint="eastAsia" w:ascii="仿宋_GB2312" w:hAnsi="宋体" w:eastAsia="仿宋_GB2312" w:cs="Times New Roman"/>
          <w:b/>
          <w:bCs/>
          <w:sz w:val="24"/>
          <w:highlight w:val="none"/>
          <w:lang w:eastAsia="zh-CN"/>
        </w:rPr>
        <w:t>32.中标服务费</w:t>
      </w:r>
      <w:bookmarkEnd w:id="172"/>
      <w:bookmarkEnd w:id="173"/>
    </w:p>
    <w:p w14:paraId="28FE49AB">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中标人须按照投标须知资料表规定，向采购代理机构支付中标服务费。</w:t>
      </w:r>
    </w:p>
    <w:p w14:paraId="1065DB0F">
      <w:pPr>
        <w:spacing w:line="240" w:lineRule="atLeast"/>
        <w:ind w:left="900" w:hanging="900" w:hangingChars="375"/>
        <w:rPr>
          <w:rFonts w:hint="eastAsia" w:ascii="仿宋_GB2312" w:hAnsi="宋体" w:eastAsia="仿宋_GB2312" w:cs="Times New Roman"/>
          <w:b/>
          <w:bCs/>
          <w:sz w:val="24"/>
          <w:highlight w:val="none"/>
          <w:lang w:eastAsia="zh-CN"/>
        </w:rPr>
      </w:pPr>
      <w:bookmarkStart w:id="174" w:name="_Toc518923099"/>
      <w:bookmarkStart w:id="175" w:name="_Toc7729"/>
      <w:r>
        <w:rPr>
          <w:rFonts w:hint="eastAsia" w:ascii="仿宋_GB2312" w:hAnsi="宋体" w:eastAsia="仿宋_GB2312" w:cs="Times New Roman"/>
          <w:b/>
          <w:bCs/>
          <w:sz w:val="24"/>
          <w:highlight w:val="none"/>
          <w:lang w:eastAsia="zh-CN"/>
        </w:rPr>
        <w:t>33.政府采购信用担保</w:t>
      </w:r>
      <w:bookmarkEnd w:id="174"/>
      <w:bookmarkEnd w:id="175"/>
    </w:p>
    <w:p w14:paraId="42A046BE">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33.1本项目是否属于信用担保试点范围见投标人须知资料表。</w:t>
      </w:r>
    </w:p>
    <w:p w14:paraId="3122A2DF">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33.2如属于政府采购信用担保试点范围内，中小型企业投标人可以自由按照财政部门的规定，采用投标担保、履约担保和融资担保。</w:t>
      </w:r>
    </w:p>
    <w:p w14:paraId="57DA3F5C">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33.2.1投标人递交的投标担保函和履约担保函应符合本招标文件的规定。</w:t>
      </w:r>
    </w:p>
    <w:p w14:paraId="4D609D71">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33.2.2中标人可以采取融资担保的形式为政府采购项目履约进行融资。</w:t>
      </w:r>
    </w:p>
    <w:p w14:paraId="0F2382CD">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33.2.3合格的政府采购专业信用担保机构见投标人须知资料表。</w:t>
      </w:r>
    </w:p>
    <w:p w14:paraId="3B73203E">
      <w:pPr>
        <w:spacing w:line="240" w:lineRule="atLeast"/>
        <w:ind w:left="900" w:hanging="900" w:hangingChars="375"/>
        <w:rPr>
          <w:rFonts w:hint="eastAsia" w:ascii="仿宋_GB2312" w:hAnsi="宋体" w:eastAsia="仿宋_GB2312" w:cs="Times New Roman"/>
          <w:b/>
          <w:bCs/>
          <w:sz w:val="24"/>
          <w:highlight w:val="none"/>
          <w:lang w:eastAsia="zh-CN"/>
        </w:rPr>
      </w:pPr>
      <w:bookmarkStart w:id="176" w:name="_Toc518923100"/>
      <w:bookmarkStart w:id="177" w:name="_Toc14079"/>
      <w:r>
        <w:rPr>
          <w:rFonts w:hint="eastAsia" w:ascii="仿宋_GB2312" w:hAnsi="宋体" w:eastAsia="仿宋_GB2312" w:cs="Times New Roman"/>
          <w:b/>
          <w:bCs/>
          <w:sz w:val="24"/>
          <w:highlight w:val="none"/>
          <w:lang w:eastAsia="zh-CN"/>
        </w:rPr>
        <w:t>34.廉洁自律规定</w:t>
      </w:r>
      <w:bookmarkEnd w:id="176"/>
      <w:bookmarkEnd w:id="177"/>
    </w:p>
    <w:p w14:paraId="49A44AD3">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34.1采购代理机构工作人员不得以不正当手段获取政府采购代理业务，不得与采购人、投标人恶意串通操纵政府采购活动。</w:t>
      </w:r>
    </w:p>
    <w:p w14:paraId="153B0B38">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34.2采购代理机构工作人员不得接受采购人或者投标人组织的宴请、旅游、娱乐，不得收受礼品、现金、有价证券等，不得向采购人或者投标人报销应当由个人承担的费用。</w:t>
      </w:r>
    </w:p>
    <w:p w14:paraId="61F42743">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34.3为强化采购代理机构内部监督机制，投标人可按投标人须知资料表中的监督电话和信箱，反映采购代理机构的廉洁自律等问题。</w:t>
      </w:r>
    </w:p>
    <w:p w14:paraId="595512BC">
      <w:pPr>
        <w:spacing w:line="240" w:lineRule="atLeast"/>
        <w:ind w:left="900" w:hanging="900" w:hangingChars="375"/>
        <w:rPr>
          <w:rFonts w:hint="eastAsia" w:ascii="仿宋_GB2312" w:hAnsi="宋体" w:eastAsia="仿宋_GB2312" w:cs="Times New Roman"/>
          <w:b/>
          <w:bCs/>
          <w:sz w:val="24"/>
          <w:highlight w:val="none"/>
          <w:lang w:eastAsia="zh-CN"/>
        </w:rPr>
      </w:pPr>
      <w:bookmarkStart w:id="178" w:name="_Toc518923101"/>
      <w:bookmarkStart w:id="179" w:name="_Toc7964"/>
      <w:r>
        <w:rPr>
          <w:rFonts w:hint="eastAsia" w:ascii="仿宋_GB2312" w:hAnsi="宋体" w:eastAsia="仿宋_GB2312" w:cs="Times New Roman"/>
          <w:b/>
          <w:bCs/>
          <w:sz w:val="24"/>
          <w:highlight w:val="none"/>
          <w:lang w:eastAsia="zh-CN"/>
        </w:rPr>
        <w:t>35.人员回避</w:t>
      </w:r>
      <w:bookmarkEnd w:id="178"/>
      <w:bookmarkEnd w:id="179"/>
    </w:p>
    <w:p w14:paraId="6BB1B3AB">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投标人认为采购人员及其相关人员有法律法规所列与其他投标人有利害关系的，可以向采购人或采购代理机构书面提出回避申请，并说明理由。</w:t>
      </w:r>
    </w:p>
    <w:p w14:paraId="65973ABC">
      <w:pPr>
        <w:spacing w:line="240" w:lineRule="atLeast"/>
        <w:ind w:left="900" w:hanging="900" w:hangingChars="375"/>
        <w:rPr>
          <w:rFonts w:hint="eastAsia" w:ascii="仿宋_GB2312" w:hAnsi="宋体" w:eastAsia="仿宋_GB2312" w:cs="Times New Roman"/>
          <w:b/>
          <w:bCs/>
          <w:sz w:val="24"/>
          <w:highlight w:val="none"/>
          <w:lang w:eastAsia="zh-CN"/>
        </w:rPr>
      </w:pPr>
      <w:bookmarkStart w:id="180" w:name="_Toc21087"/>
      <w:bookmarkStart w:id="181" w:name="_Toc518923102"/>
      <w:r>
        <w:rPr>
          <w:rFonts w:hint="eastAsia" w:ascii="仿宋_GB2312" w:hAnsi="宋体" w:eastAsia="仿宋_GB2312" w:cs="Times New Roman"/>
          <w:b/>
          <w:bCs/>
          <w:sz w:val="24"/>
          <w:highlight w:val="none"/>
          <w:lang w:eastAsia="zh-CN"/>
        </w:rPr>
        <w:t>36.质疑与接收</w:t>
      </w:r>
      <w:bookmarkEnd w:id="180"/>
      <w:bookmarkEnd w:id="181"/>
    </w:p>
    <w:p w14:paraId="37A3DB46">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36.1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14:paraId="4EAEAA88">
      <w:pPr>
        <w:spacing w:line="240" w:lineRule="atLeast"/>
        <w:ind w:left="900" w:hanging="900" w:hangingChars="375"/>
        <w:rPr>
          <w:rFonts w:hint="eastAsia" w:ascii="仿宋_GB2312" w:hAnsi="宋体" w:eastAsia="仿宋_GB2312" w:cs="Times New Roman"/>
          <w:b w:val="0"/>
          <w:bCs w:val="0"/>
          <w:sz w:val="24"/>
          <w:highlight w:val="none"/>
          <w:lang w:eastAsia="zh-CN"/>
        </w:rPr>
      </w:pPr>
      <w:r>
        <w:rPr>
          <w:rFonts w:hint="eastAsia" w:ascii="仿宋_GB2312" w:hAnsi="宋体" w:eastAsia="仿宋_GB2312" w:cs="Times New Roman"/>
          <w:sz w:val="24"/>
          <w:highlight w:val="none"/>
          <w:lang w:eastAsia="zh-CN"/>
        </w:rPr>
        <w:t>36.2质疑投标人应按照财政部制定的《政府采购质疑函范本》格式（可从财政部官方网站下载）和《政府采购质疑和投诉办法》的要求，在法定</w:t>
      </w:r>
      <w:r>
        <w:rPr>
          <w:rFonts w:hint="eastAsia" w:ascii="仿宋_GB2312" w:hAnsi="宋体" w:eastAsia="仿宋_GB2312" w:cs="Times New Roman"/>
          <w:b w:val="0"/>
          <w:bCs w:val="0"/>
          <w:sz w:val="24"/>
          <w:highlight w:val="none"/>
          <w:lang w:eastAsia="zh-CN"/>
        </w:rPr>
        <w:t>质疑期内以纸质形式提出质疑，针对同一采购程序环节的质疑应一次性提出。</w:t>
      </w:r>
    </w:p>
    <w:p w14:paraId="7B1FA9FF">
      <w:pPr>
        <w:spacing w:line="240" w:lineRule="atLeast"/>
        <w:ind w:left="957" w:leftChars="456" w:firstLine="0" w:firstLineChars="0"/>
        <w:rPr>
          <w:rFonts w:hint="eastAsia" w:ascii="仿宋" w:hAnsi="仿宋" w:eastAsia="仿宋" w:cs="仿宋"/>
          <w:b w:val="0"/>
          <w:bCs w:val="0"/>
          <w:color w:val="000000"/>
          <w:kern w:val="0"/>
          <w:sz w:val="24"/>
          <w:szCs w:val="20"/>
          <w:highlight w:val="none"/>
          <w:u w:val="none"/>
          <w:lang w:val="zh-CN" w:eastAsia="zh-CN" w:bidi="ar-SA"/>
        </w:rPr>
      </w:pPr>
      <w:r>
        <w:rPr>
          <w:rFonts w:hint="eastAsia" w:ascii="仿宋" w:hAnsi="仿宋" w:eastAsia="仿宋" w:cs="仿宋"/>
          <w:b w:val="0"/>
          <w:bCs w:val="0"/>
          <w:color w:val="000000"/>
          <w:kern w:val="0"/>
          <w:sz w:val="24"/>
          <w:szCs w:val="20"/>
          <w:highlight w:val="none"/>
          <w:u w:val="none"/>
          <w:lang w:val="zh-CN" w:eastAsia="zh-CN" w:bidi="ar-SA"/>
        </w:rPr>
        <w:t>超出法定质疑期的、重复提出的、分次提出的或内容、形式不符合《政府采购质疑和投诉办法》的，质疑投标人将依法承担不利后果。</w:t>
      </w:r>
    </w:p>
    <w:p w14:paraId="0F1F955B">
      <w:pPr>
        <w:spacing w:line="240" w:lineRule="atLeast"/>
        <w:ind w:left="900" w:hanging="900" w:hangingChars="375"/>
        <w:rPr>
          <w:rFonts w:hint="eastAsia" w:ascii="仿宋_GB2312" w:hAnsi="宋体" w:eastAsia="仿宋_GB2312" w:cs="Times New Roman"/>
          <w:b w:val="0"/>
          <w:bCs w:val="0"/>
          <w:sz w:val="24"/>
          <w:highlight w:val="none"/>
          <w:lang w:eastAsia="zh-CN"/>
        </w:rPr>
      </w:pPr>
      <w:r>
        <w:rPr>
          <w:rFonts w:hint="eastAsia" w:ascii="仿宋_GB2312" w:hAnsi="宋体" w:eastAsia="仿宋_GB2312" w:cs="Times New Roman"/>
          <w:b w:val="0"/>
          <w:bCs w:val="0"/>
          <w:sz w:val="24"/>
          <w:highlight w:val="none"/>
          <w:lang w:eastAsia="zh-CN"/>
        </w:rPr>
        <w:t>36.3采购代理机构质疑函接收部门、联系电话和通讯地址,见投标人须知资料表。</w:t>
      </w:r>
    </w:p>
    <w:p w14:paraId="3FBEABA5">
      <w:pPr>
        <w:spacing w:line="240" w:lineRule="atLeast"/>
        <w:ind w:left="900" w:hanging="900" w:hangingChars="375"/>
        <w:rPr>
          <w:rFonts w:hint="eastAsia" w:ascii="仿宋_GB2312" w:hAnsi="宋体" w:eastAsia="仿宋_GB2312" w:cs="Times New Roman"/>
          <w:b w:val="0"/>
          <w:bCs w:val="0"/>
          <w:sz w:val="24"/>
          <w:highlight w:val="none"/>
          <w:lang w:eastAsia="zh-CN"/>
        </w:rPr>
      </w:pPr>
      <w:r>
        <w:rPr>
          <w:rFonts w:hint="eastAsia" w:ascii="仿宋_GB2312" w:hAnsi="宋体" w:eastAsia="仿宋_GB2312" w:cs="Times New Roman"/>
          <w:b w:val="0"/>
          <w:bCs w:val="0"/>
          <w:sz w:val="24"/>
          <w:highlight w:val="none"/>
          <w:lang w:eastAsia="zh-CN"/>
        </w:rPr>
        <w:t>36.4质疑的提出</w:t>
      </w:r>
    </w:p>
    <w:p w14:paraId="1BDEEDB0">
      <w:pPr>
        <w:spacing w:line="240" w:lineRule="atLeast"/>
        <w:ind w:left="900" w:hanging="900" w:hangingChars="375"/>
        <w:rPr>
          <w:rFonts w:hint="eastAsia" w:ascii="仿宋_GB2312" w:hAnsi="宋体" w:eastAsia="仿宋_GB2312" w:cs="Times New Roman"/>
          <w:b w:val="0"/>
          <w:bCs w:val="0"/>
          <w:sz w:val="24"/>
          <w:highlight w:val="none"/>
          <w:lang w:eastAsia="zh-CN"/>
        </w:rPr>
      </w:pPr>
      <w:r>
        <w:rPr>
          <w:rFonts w:hint="eastAsia" w:ascii="仿宋_GB2312" w:hAnsi="宋体" w:eastAsia="仿宋_GB2312" w:cs="Times New Roman"/>
          <w:b w:val="0"/>
          <w:bCs w:val="0"/>
          <w:sz w:val="24"/>
          <w:highlight w:val="none"/>
          <w:lang w:eastAsia="zh-CN"/>
        </w:rPr>
        <w:t>36.5本采购文件中所称质疑及答复，是指参加本次采购活动的投标人对政府采购活动中的采购文件、采购过程和成交结果向采购人提出质疑，采购人答复质疑的行为。</w:t>
      </w:r>
    </w:p>
    <w:p w14:paraId="6198115F">
      <w:pPr>
        <w:spacing w:line="240" w:lineRule="atLeast"/>
        <w:ind w:left="900" w:hanging="900" w:hangingChars="375"/>
        <w:rPr>
          <w:rFonts w:hint="eastAsia" w:ascii="仿宋_GB2312" w:hAnsi="宋体" w:eastAsia="仿宋_GB2312" w:cs="Times New Roman"/>
          <w:b w:val="0"/>
          <w:bCs w:val="0"/>
          <w:sz w:val="24"/>
          <w:highlight w:val="none"/>
          <w:lang w:eastAsia="zh-CN"/>
        </w:rPr>
      </w:pPr>
      <w:r>
        <w:rPr>
          <w:rFonts w:hint="eastAsia" w:ascii="仿宋_GB2312" w:hAnsi="宋体" w:eastAsia="仿宋_GB2312" w:cs="Times New Roman"/>
          <w:b w:val="0"/>
          <w:bCs w:val="0"/>
          <w:sz w:val="24"/>
          <w:highlight w:val="none"/>
          <w:lang w:eastAsia="zh-CN"/>
        </w:rPr>
        <w:t>36.6投标人认为招标文件、采购过程和成交结果使自己的权益受到损害的，可以在知道或者应知其权益受到损害之日起7个工作日内，以书面形式向采购人提出质疑。投标人应知其权益受到损害之日，是指：</w:t>
      </w:r>
    </w:p>
    <w:p w14:paraId="32A53164">
      <w:pPr>
        <w:spacing w:line="240" w:lineRule="atLeast"/>
        <w:ind w:left="957" w:leftChars="456" w:firstLine="0" w:firstLineChars="0"/>
        <w:rPr>
          <w:rFonts w:hint="eastAsia" w:ascii="仿宋" w:hAnsi="仿宋" w:eastAsia="仿宋" w:cs="仿宋"/>
          <w:b w:val="0"/>
          <w:bCs w:val="0"/>
          <w:color w:val="000000"/>
          <w:kern w:val="0"/>
          <w:sz w:val="24"/>
          <w:szCs w:val="20"/>
          <w:highlight w:val="none"/>
          <w:u w:val="none"/>
          <w:lang w:val="zh-CN" w:eastAsia="zh-CN" w:bidi="ar-SA"/>
        </w:rPr>
      </w:pPr>
      <w:r>
        <w:rPr>
          <w:rFonts w:hint="eastAsia" w:ascii="仿宋" w:hAnsi="仿宋" w:eastAsia="仿宋" w:cs="仿宋"/>
          <w:b w:val="0"/>
          <w:bCs w:val="0"/>
          <w:color w:val="000000"/>
          <w:kern w:val="0"/>
          <w:sz w:val="24"/>
          <w:szCs w:val="20"/>
          <w:highlight w:val="none"/>
          <w:u w:val="none"/>
          <w:lang w:val="zh-CN" w:eastAsia="zh-CN" w:bidi="ar-SA"/>
        </w:rPr>
        <w:t>（一）对可以质疑的招标文件提出质疑的，为收到招标文件之日或者</w:t>
      </w:r>
      <w:r>
        <w:rPr>
          <w:rFonts w:hint="eastAsia" w:ascii="仿宋" w:hAnsi="仿宋" w:eastAsia="仿宋" w:cs="仿宋"/>
          <w:b w:val="0"/>
          <w:bCs w:val="0"/>
          <w:color w:val="000000"/>
          <w:kern w:val="0"/>
          <w:sz w:val="24"/>
          <w:szCs w:val="20"/>
          <w:highlight w:val="none"/>
          <w:u w:val="none"/>
          <w:lang w:val="en-US" w:eastAsia="zh-CN" w:bidi="ar-SA"/>
        </w:rPr>
        <w:t>招标</w:t>
      </w:r>
      <w:r>
        <w:rPr>
          <w:rFonts w:hint="eastAsia" w:ascii="仿宋" w:hAnsi="仿宋" w:eastAsia="仿宋" w:cs="仿宋"/>
          <w:b w:val="0"/>
          <w:bCs w:val="0"/>
          <w:color w:val="000000"/>
          <w:kern w:val="0"/>
          <w:sz w:val="24"/>
          <w:szCs w:val="20"/>
          <w:highlight w:val="none"/>
          <w:u w:val="none"/>
          <w:lang w:val="zh-CN" w:eastAsia="zh-CN" w:bidi="ar-SA"/>
        </w:rPr>
        <w:t>文件公告期限届满之日；</w:t>
      </w:r>
    </w:p>
    <w:p w14:paraId="532981FC">
      <w:pPr>
        <w:spacing w:line="240" w:lineRule="atLeast"/>
        <w:ind w:left="957" w:leftChars="456" w:firstLine="0" w:firstLineChars="0"/>
        <w:rPr>
          <w:rFonts w:hint="eastAsia" w:ascii="仿宋" w:hAnsi="仿宋" w:eastAsia="仿宋" w:cs="仿宋"/>
          <w:b w:val="0"/>
          <w:bCs w:val="0"/>
          <w:color w:val="000000"/>
          <w:kern w:val="0"/>
          <w:sz w:val="24"/>
          <w:szCs w:val="20"/>
          <w:highlight w:val="none"/>
          <w:u w:val="none"/>
          <w:lang w:val="zh-CN" w:eastAsia="zh-CN" w:bidi="ar-SA"/>
        </w:rPr>
      </w:pPr>
      <w:r>
        <w:rPr>
          <w:rFonts w:hint="eastAsia" w:ascii="仿宋" w:hAnsi="仿宋" w:eastAsia="仿宋" w:cs="仿宋"/>
          <w:b w:val="0"/>
          <w:bCs w:val="0"/>
          <w:color w:val="000000"/>
          <w:kern w:val="0"/>
          <w:sz w:val="24"/>
          <w:szCs w:val="20"/>
          <w:highlight w:val="none"/>
          <w:u w:val="none"/>
          <w:lang w:val="zh-CN" w:eastAsia="zh-CN" w:bidi="ar-SA"/>
        </w:rPr>
        <w:t>（二）对采购过程提出质疑的，为各采购程序环节结束之日；</w:t>
      </w:r>
    </w:p>
    <w:p w14:paraId="7111D5B9">
      <w:pPr>
        <w:spacing w:line="240" w:lineRule="atLeast"/>
        <w:ind w:left="957" w:leftChars="456" w:firstLine="0" w:firstLineChars="0"/>
        <w:rPr>
          <w:rFonts w:hint="eastAsia" w:ascii="仿宋" w:hAnsi="仿宋" w:eastAsia="仿宋" w:cs="仿宋"/>
          <w:b w:val="0"/>
          <w:bCs w:val="0"/>
          <w:color w:val="000000"/>
          <w:kern w:val="0"/>
          <w:sz w:val="24"/>
          <w:szCs w:val="20"/>
          <w:highlight w:val="none"/>
          <w:u w:val="none"/>
          <w:lang w:val="zh-CN" w:eastAsia="zh-CN" w:bidi="ar-SA"/>
        </w:rPr>
      </w:pPr>
      <w:r>
        <w:rPr>
          <w:rFonts w:hint="eastAsia" w:ascii="仿宋" w:hAnsi="仿宋" w:eastAsia="仿宋" w:cs="仿宋"/>
          <w:b w:val="0"/>
          <w:bCs w:val="0"/>
          <w:color w:val="000000"/>
          <w:kern w:val="0"/>
          <w:sz w:val="24"/>
          <w:szCs w:val="20"/>
          <w:highlight w:val="none"/>
          <w:u w:val="none"/>
          <w:lang w:val="zh-CN" w:eastAsia="zh-CN" w:bidi="ar-SA"/>
        </w:rPr>
        <w:t>（三）对成交结果提出质疑的，为成交结果公告期限届满之日。</w:t>
      </w:r>
    </w:p>
    <w:p w14:paraId="06220961">
      <w:pPr>
        <w:spacing w:line="240" w:lineRule="atLeast"/>
        <w:ind w:left="900" w:hanging="900" w:hangingChars="375"/>
        <w:rPr>
          <w:rFonts w:hint="eastAsia" w:ascii="仿宋_GB2312" w:hAnsi="宋体" w:eastAsia="仿宋_GB2312" w:cs="Times New Roman"/>
          <w:b w:val="0"/>
          <w:bCs w:val="0"/>
          <w:sz w:val="24"/>
          <w:highlight w:val="none"/>
          <w:lang w:eastAsia="zh-CN"/>
        </w:rPr>
      </w:pPr>
      <w:r>
        <w:rPr>
          <w:rFonts w:hint="eastAsia" w:ascii="仿宋_GB2312" w:hAnsi="宋体" w:eastAsia="仿宋_GB2312" w:cs="Times New Roman"/>
          <w:b w:val="0"/>
          <w:bCs w:val="0"/>
          <w:sz w:val="24"/>
          <w:highlight w:val="none"/>
          <w:lang w:eastAsia="zh-CN"/>
        </w:rPr>
        <w:t>36.7对可以质疑的采购文件提出质疑的，质疑人为参与本项目的报价方或潜在报价方。可质疑的文件为</w:t>
      </w:r>
      <w:r>
        <w:rPr>
          <w:rFonts w:hint="eastAsia" w:ascii="仿宋_GB2312" w:hAnsi="宋体" w:eastAsia="仿宋_GB2312" w:cs="Times New Roman"/>
          <w:b w:val="0"/>
          <w:bCs w:val="0"/>
          <w:sz w:val="24"/>
          <w:highlight w:val="none"/>
          <w:lang w:val="en-US" w:eastAsia="zh-CN"/>
        </w:rPr>
        <w:t>招标</w:t>
      </w:r>
      <w:r>
        <w:rPr>
          <w:rFonts w:hint="eastAsia" w:ascii="仿宋_GB2312" w:hAnsi="宋体" w:eastAsia="仿宋_GB2312" w:cs="Times New Roman"/>
          <w:b w:val="0"/>
          <w:bCs w:val="0"/>
          <w:sz w:val="24"/>
          <w:highlight w:val="none"/>
          <w:lang w:eastAsia="zh-CN"/>
        </w:rPr>
        <w:t>公告以及招标文件（包括属于其组成部分的澄清、修改、补充文件和评审标准、合同文本等）。</w:t>
      </w:r>
    </w:p>
    <w:p w14:paraId="32CA3B27">
      <w:pPr>
        <w:spacing w:line="240" w:lineRule="atLeast"/>
        <w:ind w:left="900" w:hanging="900" w:hangingChars="375"/>
        <w:rPr>
          <w:rFonts w:hint="eastAsia" w:ascii="仿宋_GB2312" w:hAnsi="宋体" w:eastAsia="仿宋_GB2312" w:cs="Times New Roman"/>
          <w:b w:val="0"/>
          <w:bCs w:val="0"/>
          <w:sz w:val="24"/>
          <w:highlight w:val="none"/>
          <w:lang w:eastAsia="zh-CN"/>
        </w:rPr>
      </w:pPr>
      <w:r>
        <w:rPr>
          <w:rFonts w:hint="eastAsia" w:ascii="仿宋_GB2312" w:hAnsi="宋体" w:eastAsia="仿宋_GB2312" w:cs="Times New Roman"/>
          <w:b w:val="0"/>
          <w:bCs w:val="0"/>
          <w:sz w:val="24"/>
          <w:highlight w:val="none"/>
          <w:lang w:eastAsia="zh-CN"/>
        </w:rPr>
        <w:t>36.8对采购过程和成交结果提出质疑的，质疑人为直接参与本项目的报价方。采购过程,即从采购项目信息公告发布起到成交结果公告止，包括招标文件的发出、提交投标文件、投标文件开启、评审等各个程序环节。</w:t>
      </w:r>
    </w:p>
    <w:p w14:paraId="41B1E13D">
      <w:pPr>
        <w:spacing w:line="240" w:lineRule="atLeast"/>
        <w:ind w:left="900" w:hanging="900" w:hangingChars="375"/>
        <w:rPr>
          <w:rFonts w:hint="eastAsia" w:ascii="仿宋_GB2312" w:hAnsi="宋体" w:eastAsia="仿宋_GB2312" w:cs="Times New Roman"/>
          <w:b w:val="0"/>
          <w:bCs w:val="0"/>
          <w:sz w:val="24"/>
          <w:highlight w:val="none"/>
          <w:lang w:eastAsia="zh-CN"/>
        </w:rPr>
      </w:pPr>
      <w:r>
        <w:rPr>
          <w:rFonts w:hint="eastAsia" w:ascii="仿宋_GB2312" w:hAnsi="宋体" w:eastAsia="仿宋_GB2312" w:cs="Times New Roman"/>
          <w:b w:val="0"/>
          <w:bCs w:val="0"/>
          <w:sz w:val="24"/>
          <w:highlight w:val="none"/>
          <w:lang w:eastAsia="zh-CN"/>
        </w:rPr>
        <w:t>36.9提出质疑应当符合下列条件：</w:t>
      </w:r>
    </w:p>
    <w:p w14:paraId="5C283DF1">
      <w:pPr>
        <w:spacing w:line="240" w:lineRule="atLeast"/>
        <w:ind w:left="957" w:leftChars="456" w:firstLine="0" w:firstLineChars="0"/>
        <w:rPr>
          <w:rFonts w:hint="eastAsia" w:ascii="仿宋" w:hAnsi="仿宋" w:eastAsia="仿宋" w:cs="仿宋"/>
          <w:b w:val="0"/>
          <w:bCs w:val="0"/>
          <w:color w:val="000000"/>
          <w:kern w:val="0"/>
          <w:sz w:val="24"/>
          <w:szCs w:val="20"/>
          <w:highlight w:val="none"/>
          <w:u w:val="none"/>
          <w:lang w:val="zh-CN" w:eastAsia="zh-CN" w:bidi="ar-SA"/>
        </w:rPr>
      </w:pPr>
      <w:r>
        <w:rPr>
          <w:rFonts w:hint="eastAsia" w:ascii="仿宋" w:hAnsi="仿宋" w:eastAsia="仿宋" w:cs="仿宋"/>
          <w:b w:val="0"/>
          <w:bCs w:val="0"/>
          <w:color w:val="000000"/>
          <w:kern w:val="0"/>
          <w:sz w:val="24"/>
          <w:szCs w:val="20"/>
          <w:highlight w:val="none"/>
          <w:u w:val="none"/>
          <w:lang w:val="zh-CN" w:eastAsia="zh-CN" w:bidi="ar-SA"/>
        </w:rPr>
        <w:t>（一）质疑主体应当符合有关规定；</w:t>
      </w:r>
    </w:p>
    <w:p w14:paraId="7E337945">
      <w:pPr>
        <w:spacing w:line="240" w:lineRule="atLeast"/>
        <w:ind w:left="957" w:leftChars="456" w:firstLine="0" w:firstLineChars="0"/>
        <w:rPr>
          <w:rFonts w:hint="eastAsia" w:ascii="仿宋" w:hAnsi="仿宋" w:eastAsia="仿宋" w:cs="仿宋"/>
          <w:b w:val="0"/>
          <w:bCs w:val="0"/>
          <w:color w:val="000000"/>
          <w:kern w:val="0"/>
          <w:sz w:val="24"/>
          <w:szCs w:val="20"/>
          <w:highlight w:val="none"/>
          <w:u w:val="none"/>
          <w:lang w:val="zh-CN" w:eastAsia="zh-CN" w:bidi="ar-SA"/>
        </w:rPr>
      </w:pPr>
      <w:r>
        <w:rPr>
          <w:rFonts w:hint="eastAsia" w:ascii="仿宋" w:hAnsi="仿宋" w:eastAsia="仿宋" w:cs="仿宋"/>
          <w:b w:val="0"/>
          <w:bCs w:val="0"/>
          <w:color w:val="000000"/>
          <w:kern w:val="0"/>
          <w:sz w:val="24"/>
          <w:szCs w:val="20"/>
          <w:highlight w:val="none"/>
          <w:u w:val="none"/>
          <w:lang w:val="zh-CN" w:eastAsia="zh-CN" w:bidi="ar-SA"/>
        </w:rPr>
        <w:t>（二）在质疑法定期限内提出；</w:t>
      </w:r>
    </w:p>
    <w:p w14:paraId="5E4C8612">
      <w:pPr>
        <w:spacing w:line="240" w:lineRule="atLeast"/>
        <w:ind w:left="957" w:leftChars="456" w:firstLine="0" w:firstLineChars="0"/>
        <w:rPr>
          <w:rFonts w:hint="eastAsia" w:ascii="仿宋" w:hAnsi="仿宋" w:eastAsia="仿宋" w:cs="仿宋"/>
          <w:b w:val="0"/>
          <w:bCs w:val="0"/>
          <w:color w:val="000000"/>
          <w:kern w:val="0"/>
          <w:sz w:val="24"/>
          <w:szCs w:val="20"/>
          <w:highlight w:val="none"/>
          <w:u w:val="none"/>
          <w:lang w:val="zh-CN" w:eastAsia="zh-CN" w:bidi="ar-SA"/>
        </w:rPr>
      </w:pPr>
      <w:r>
        <w:rPr>
          <w:rFonts w:hint="eastAsia" w:ascii="仿宋" w:hAnsi="仿宋" w:eastAsia="仿宋" w:cs="仿宋"/>
          <w:b w:val="0"/>
          <w:bCs w:val="0"/>
          <w:color w:val="000000"/>
          <w:kern w:val="0"/>
          <w:sz w:val="24"/>
          <w:szCs w:val="20"/>
          <w:highlight w:val="none"/>
          <w:u w:val="none"/>
          <w:lang w:val="zh-CN" w:eastAsia="zh-CN" w:bidi="ar-SA"/>
        </w:rPr>
        <w:t>（三）属于可以提出质疑的政府采购事项受理范围和本项目采购人的管辖权范围；</w:t>
      </w:r>
    </w:p>
    <w:p w14:paraId="776DAC9D">
      <w:pPr>
        <w:spacing w:line="240" w:lineRule="atLeast"/>
        <w:ind w:left="957" w:leftChars="456" w:firstLine="0" w:firstLineChars="0"/>
        <w:rPr>
          <w:rFonts w:hint="eastAsia" w:ascii="仿宋" w:hAnsi="仿宋" w:eastAsia="仿宋" w:cs="仿宋"/>
          <w:b w:val="0"/>
          <w:bCs w:val="0"/>
          <w:color w:val="000000"/>
          <w:kern w:val="0"/>
          <w:sz w:val="24"/>
          <w:szCs w:val="20"/>
          <w:highlight w:val="none"/>
          <w:u w:val="none"/>
          <w:lang w:val="zh-CN" w:eastAsia="zh-CN" w:bidi="ar-SA"/>
        </w:rPr>
      </w:pPr>
      <w:r>
        <w:rPr>
          <w:rFonts w:hint="eastAsia" w:ascii="仿宋" w:hAnsi="仿宋" w:eastAsia="仿宋" w:cs="仿宋"/>
          <w:b w:val="0"/>
          <w:bCs w:val="0"/>
          <w:color w:val="000000"/>
          <w:kern w:val="0"/>
          <w:sz w:val="24"/>
          <w:szCs w:val="20"/>
          <w:highlight w:val="none"/>
          <w:u w:val="none"/>
          <w:lang w:val="zh-CN" w:eastAsia="zh-CN" w:bidi="ar-SA"/>
        </w:rPr>
        <w:t>（四）政府采购法律、法规、规章规定的其他条件。</w:t>
      </w:r>
    </w:p>
    <w:p w14:paraId="79047333">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b/>
          <w:bCs/>
          <w:sz w:val="24"/>
          <w:highlight w:val="none"/>
          <w:lang w:eastAsia="zh-CN"/>
        </w:rPr>
        <w:t>37.提出质疑应当具有明确的请求和提供必要的证明材料</w:t>
      </w:r>
    </w:p>
    <w:p w14:paraId="5CB56D6D">
      <w:pPr>
        <w:spacing w:line="240" w:lineRule="atLeast"/>
        <w:ind w:left="957" w:leftChars="456" w:firstLine="0" w:firstLineChars="0"/>
        <w:rPr>
          <w:rFonts w:hint="eastAsia" w:ascii="仿宋" w:hAnsi="仿宋" w:eastAsia="仿宋" w:cs="仿宋"/>
          <w:b w:val="0"/>
          <w:bCs w:val="0"/>
          <w:color w:val="000000"/>
          <w:kern w:val="0"/>
          <w:sz w:val="24"/>
          <w:szCs w:val="20"/>
          <w:highlight w:val="none"/>
          <w:u w:val="none"/>
          <w:lang w:val="zh-CN" w:eastAsia="zh-CN" w:bidi="ar-SA"/>
        </w:rPr>
      </w:pPr>
      <w:r>
        <w:rPr>
          <w:rFonts w:hint="eastAsia" w:ascii="仿宋" w:hAnsi="仿宋" w:eastAsia="仿宋" w:cs="仿宋"/>
          <w:b w:val="0"/>
          <w:bCs w:val="0"/>
          <w:color w:val="000000"/>
          <w:kern w:val="0"/>
          <w:sz w:val="24"/>
          <w:szCs w:val="20"/>
          <w:highlight w:val="none"/>
          <w:u w:val="none"/>
          <w:lang w:val="zh-CN" w:eastAsia="zh-CN" w:bidi="ar-SA"/>
        </w:rPr>
        <w:t>明确的请求,即质疑人在质疑函中提出的，要求采购人对其予以支持的主张。必要的证明材料,即能够证明质疑人的质疑请求成立的必要材料，包括相关证据、依据和其他有关材料。</w:t>
      </w:r>
    </w:p>
    <w:p w14:paraId="70F06EF8">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37.1质疑人所提供的证明材料应当具有真实性、合法性以及与质疑事项的关联性和证明力，否则不能作为认定该质疑事项成立的依据。</w:t>
      </w:r>
    </w:p>
    <w:p w14:paraId="0498A7ED">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37.2质疑人提出质疑时应当提交质疑函。质疑函包括下列内容：</w:t>
      </w:r>
    </w:p>
    <w:p w14:paraId="28B32264">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color w:val="000000"/>
          <w:kern w:val="0"/>
          <w:sz w:val="24"/>
          <w:szCs w:val="20"/>
          <w:highlight w:val="none"/>
          <w:u w:val="none"/>
          <w:lang w:val="zh-CN" w:eastAsia="zh-CN" w:bidi="ar-SA"/>
        </w:rPr>
        <w:t>（一）提出质疑的质疑人的名称、地址、邮编、联系人及联系电话等；</w:t>
      </w:r>
    </w:p>
    <w:p w14:paraId="0EDF7EE6">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color w:val="000000"/>
          <w:kern w:val="0"/>
          <w:sz w:val="24"/>
          <w:szCs w:val="20"/>
          <w:highlight w:val="none"/>
          <w:u w:val="none"/>
          <w:lang w:val="zh-CN" w:eastAsia="zh-CN" w:bidi="ar-SA"/>
        </w:rPr>
        <w:t>（二）质疑项目的名称、编号；</w:t>
      </w:r>
    </w:p>
    <w:p w14:paraId="338E3C84">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color w:val="000000"/>
          <w:kern w:val="0"/>
          <w:sz w:val="24"/>
          <w:szCs w:val="20"/>
          <w:highlight w:val="none"/>
          <w:u w:val="none"/>
          <w:lang w:val="zh-CN" w:eastAsia="zh-CN" w:bidi="ar-SA"/>
        </w:rPr>
        <w:t>（三）质疑事项；</w:t>
      </w:r>
    </w:p>
    <w:p w14:paraId="3670F806">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color w:val="000000"/>
          <w:kern w:val="0"/>
          <w:sz w:val="24"/>
          <w:szCs w:val="20"/>
          <w:highlight w:val="none"/>
          <w:u w:val="none"/>
          <w:lang w:val="zh-CN" w:eastAsia="zh-CN" w:bidi="ar-SA"/>
        </w:rPr>
        <w:t>（四）事实依据和证明材料；</w:t>
      </w:r>
    </w:p>
    <w:p w14:paraId="3DC8AFB8">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color w:val="000000"/>
          <w:kern w:val="0"/>
          <w:sz w:val="24"/>
          <w:szCs w:val="20"/>
          <w:highlight w:val="none"/>
          <w:u w:val="none"/>
          <w:lang w:val="zh-CN" w:eastAsia="zh-CN" w:bidi="ar-SA"/>
        </w:rPr>
        <w:t>（五）法律依据；</w:t>
      </w:r>
    </w:p>
    <w:p w14:paraId="5041C4F2">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color w:val="000000"/>
          <w:kern w:val="0"/>
          <w:sz w:val="24"/>
          <w:szCs w:val="20"/>
          <w:highlight w:val="none"/>
          <w:u w:val="none"/>
          <w:lang w:val="zh-CN" w:eastAsia="zh-CN" w:bidi="ar-SA"/>
        </w:rPr>
        <w:t>（六）提出质疑的日期。</w:t>
      </w:r>
    </w:p>
    <w:p w14:paraId="20ABD107">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color w:val="000000"/>
          <w:kern w:val="0"/>
          <w:sz w:val="24"/>
          <w:szCs w:val="20"/>
          <w:highlight w:val="none"/>
          <w:u w:val="none"/>
          <w:lang w:val="zh-CN" w:eastAsia="zh-CN" w:bidi="ar-SA"/>
        </w:rPr>
        <w:t>质疑函采用实名制。质疑人为自然人的应当由本人签字或盖章，并附有效身份证明文件；质疑人为法人或者非法人组织的应当由法定代表人或者负责人签字或盖章并加盖公章，并附有效身份证明文件。</w:t>
      </w:r>
    </w:p>
    <w:p w14:paraId="4EEFA19E">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37.3质疑人可以委托代理人进行质疑。代理人应当提交授权委托书。授权委托书应当载明委托代理的具体权限、期限和相关事项。</w:t>
      </w:r>
    </w:p>
    <w:p w14:paraId="32B9153B">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37.4质疑的审查和受理</w:t>
      </w:r>
    </w:p>
    <w:p w14:paraId="292996EB">
      <w:pPr>
        <w:spacing w:line="240" w:lineRule="atLeast"/>
        <w:ind w:left="898" w:leftChars="342" w:hanging="180" w:hangingChars="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采购人在收到质疑函后应当及时审查是否符合质疑受理条件，对符合质疑受理条件的，及时予以受理。</w:t>
      </w:r>
    </w:p>
    <w:p w14:paraId="3E654044">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37.5对不符合质疑受理条件的，分别按照下列不同情形予以处理：</w:t>
      </w:r>
    </w:p>
    <w:p w14:paraId="43B54285">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color w:val="000000"/>
          <w:kern w:val="0"/>
          <w:sz w:val="24"/>
          <w:szCs w:val="20"/>
          <w:highlight w:val="none"/>
          <w:u w:val="none"/>
          <w:lang w:val="zh-CN" w:eastAsia="zh-CN" w:bidi="ar-SA"/>
        </w:rPr>
        <w:t>（一）质疑函内容不符合规定的，告知质疑人进行修改并重新提出质疑。修改后质疑事项仍不具体、不明确或者最终递交质疑函的时间超过质疑法定期限的，不予受理；</w:t>
      </w:r>
    </w:p>
    <w:p w14:paraId="41A44EA1">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color w:val="000000"/>
          <w:kern w:val="0"/>
          <w:sz w:val="24"/>
          <w:szCs w:val="20"/>
          <w:highlight w:val="none"/>
          <w:u w:val="none"/>
          <w:lang w:val="zh-CN" w:eastAsia="zh-CN" w:bidi="ar-SA"/>
        </w:rPr>
        <w:t>（二）质疑主体不符合有关规定的，告知质疑人不予受理；</w:t>
      </w:r>
    </w:p>
    <w:p w14:paraId="55CB7F71">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color w:val="000000"/>
          <w:kern w:val="0"/>
          <w:sz w:val="24"/>
          <w:szCs w:val="20"/>
          <w:highlight w:val="none"/>
          <w:u w:val="none"/>
          <w:lang w:val="zh-CN" w:eastAsia="zh-CN" w:bidi="ar-SA"/>
        </w:rPr>
        <w:t>（三）超过质疑法定期限提出质疑的，告知质疑人不予受理；</w:t>
      </w:r>
    </w:p>
    <w:p w14:paraId="3F815D79">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color w:val="000000"/>
          <w:kern w:val="0"/>
          <w:sz w:val="24"/>
          <w:szCs w:val="20"/>
          <w:highlight w:val="none"/>
          <w:u w:val="none"/>
          <w:lang w:val="zh-CN" w:eastAsia="zh-CN" w:bidi="ar-SA"/>
        </w:rPr>
        <w:t>（四）对不属于可以提出质疑的政府采购事项提出质疑的，告知质疑人不予受理；</w:t>
      </w:r>
    </w:p>
    <w:p w14:paraId="06C2DBA7">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color w:val="000000"/>
          <w:kern w:val="0"/>
          <w:sz w:val="24"/>
          <w:szCs w:val="20"/>
          <w:highlight w:val="none"/>
          <w:u w:val="none"/>
          <w:lang w:val="zh-CN" w:eastAsia="zh-CN" w:bidi="ar-SA"/>
        </w:rPr>
        <w:t>（五）质疑不属于本项目采购人管辖的，告知质疑人向有管辖权的采购人提出质疑；</w:t>
      </w:r>
    </w:p>
    <w:p w14:paraId="52E6CD13">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color w:val="000000"/>
          <w:kern w:val="0"/>
          <w:sz w:val="24"/>
          <w:szCs w:val="20"/>
          <w:highlight w:val="none"/>
          <w:u w:val="none"/>
          <w:lang w:val="zh-CN" w:eastAsia="zh-CN" w:bidi="ar-SA"/>
        </w:rPr>
        <w:t>（六）质疑不符合其他条件的，告知质疑人不予受理。</w:t>
      </w:r>
    </w:p>
    <w:p w14:paraId="41F19409">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37.6</w:t>
      </w:r>
      <w:r>
        <w:rPr>
          <w:rFonts w:hint="eastAsia" w:ascii="仿宋_GB2312" w:hAnsi="宋体" w:eastAsia="仿宋_GB2312" w:cs="Times New Roman"/>
          <w:sz w:val="24"/>
          <w:highlight w:val="none"/>
          <w:lang w:val="en-US" w:eastAsia="zh-CN"/>
        </w:rPr>
        <w:t>.</w:t>
      </w:r>
      <w:r>
        <w:rPr>
          <w:rFonts w:hint="eastAsia" w:ascii="仿宋_GB2312" w:hAnsi="宋体" w:eastAsia="仿宋_GB2312" w:cs="Times New Roman"/>
          <w:sz w:val="24"/>
          <w:highlight w:val="none"/>
          <w:lang w:eastAsia="zh-CN"/>
        </w:rPr>
        <w:t>质疑的处理和答复</w:t>
      </w:r>
    </w:p>
    <w:p w14:paraId="74191F1B">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37.7采购人受理质疑后，将及时把质疑函发送给被质疑人，并要求其在一定限期内提交书面答复，同时提供有关证据、依据和相关材料。</w:t>
      </w:r>
    </w:p>
    <w:p w14:paraId="210EC11A">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37.8对于质疑事项中涉及的问题较多、情况比较复杂的，为了全面查清事实、取得充分的证据，采购人认为有必要时，可以进行调查取证或者组织质证。</w:t>
      </w:r>
    </w:p>
    <w:p w14:paraId="10CC8BB1">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37.9对评审过程、成交结果提出质疑的，采购人可以组织原评审委员会协助答复质疑。</w:t>
      </w:r>
    </w:p>
    <w:p w14:paraId="0C94BD8A">
      <w:pPr>
        <w:spacing w:line="240" w:lineRule="atLeast"/>
        <w:ind w:left="900" w:hanging="900" w:hangingChars="375"/>
        <w:rPr>
          <w:rFonts w:hint="eastAsia" w:ascii="仿宋_GB2312" w:hAnsi="宋体" w:eastAsia="仿宋_GB2312" w:cs="Times New Roman"/>
          <w:b/>
          <w:bCs/>
          <w:sz w:val="24"/>
          <w:highlight w:val="none"/>
          <w:lang w:eastAsia="zh-CN"/>
        </w:rPr>
      </w:pPr>
      <w:r>
        <w:rPr>
          <w:rFonts w:hint="eastAsia" w:ascii="仿宋_GB2312" w:hAnsi="宋体" w:eastAsia="仿宋_GB2312" w:cs="Times New Roman"/>
          <w:b/>
          <w:bCs/>
          <w:sz w:val="24"/>
          <w:highlight w:val="none"/>
          <w:lang w:eastAsia="zh-CN"/>
        </w:rPr>
        <w:t>38.质疑处理过程中，质疑人书面申请撤回质疑的，将终止质疑处理程序。</w:t>
      </w:r>
    </w:p>
    <w:p w14:paraId="0AA26A13">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38.1质疑人拒绝配合采购人依法对质疑进行调查处理的，采购人将按质疑人自动撤回质疑处理；被质疑人拒绝配合采购人依法对质疑进行调查处理的，采购人将视同其认可质疑事项。</w:t>
      </w:r>
    </w:p>
    <w:p w14:paraId="4D6C3911">
      <w:pPr>
        <w:spacing w:line="240" w:lineRule="atLeast"/>
        <w:ind w:left="900" w:hanging="900" w:hangingChars="375"/>
        <w:rPr>
          <w:rFonts w:hint="eastAsia" w:ascii="仿宋_GB2312" w:hAnsi="宋体" w:eastAsia="仿宋_GB2312" w:cs="Times New Roman"/>
          <w:sz w:val="24"/>
          <w:highlight w:val="none"/>
          <w:lang w:eastAsia="zh-CN"/>
        </w:rPr>
      </w:pPr>
      <w:r>
        <w:rPr>
          <w:rFonts w:hint="eastAsia" w:ascii="仿宋_GB2312" w:hAnsi="宋体" w:eastAsia="仿宋_GB2312" w:cs="Times New Roman"/>
          <w:sz w:val="24"/>
          <w:highlight w:val="none"/>
          <w:lang w:eastAsia="zh-CN"/>
        </w:rPr>
        <w:t>38.2采购人将在正式受理质疑后7个工作日内作出答复，但处理质疑需要进行调查取证、组织专家评审、质疑人及被质疑人提交或补正材料等所需时间，不计算在质疑处理期限内。</w:t>
      </w:r>
    </w:p>
    <w:p w14:paraId="603D406D">
      <w:pPr>
        <w:spacing w:line="240" w:lineRule="atLeast"/>
        <w:ind w:left="900" w:hanging="900" w:hangingChars="375"/>
        <w:rPr>
          <w:rFonts w:hint="eastAsia" w:ascii="仿宋_GB2312" w:hAnsi="宋体" w:eastAsia="仿宋_GB2312" w:cs="Times New Roman"/>
          <w:b w:val="0"/>
          <w:bCs w:val="0"/>
          <w:sz w:val="24"/>
          <w:highlight w:val="none"/>
          <w:lang w:eastAsia="zh-CN"/>
        </w:rPr>
      </w:pPr>
      <w:r>
        <w:rPr>
          <w:rFonts w:hint="eastAsia" w:ascii="仿宋_GB2312" w:hAnsi="宋体" w:eastAsia="仿宋_GB2312" w:cs="Times New Roman"/>
          <w:sz w:val="24"/>
          <w:highlight w:val="none"/>
          <w:lang w:eastAsia="zh-CN"/>
        </w:rPr>
        <w:t>38.3采购人经调查、论证、核实，认定质疑不能成立的，继续开展采购活动；</w:t>
      </w:r>
      <w:r>
        <w:rPr>
          <w:rFonts w:hint="eastAsia" w:ascii="仿宋_GB2312" w:hAnsi="宋体" w:eastAsia="仿宋_GB2312" w:cs="Times New Roman"/>
          <w:b w:val="0"/>
          <w:bCs w:val="0"/>
          <w:sz w:val="24"/>
          <w:highlight w:val="none"/>
          <w:lang w:eastAsia="zh-CN"/>
        </w:rPr>
        <w:t>认定质疑成立的，按照以下情况处理：</w:t>
      </w:r>
    </w:p>
    <w:p w14:paraId="6D6B5A32">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val="0"/>
          <w:color w:val="000000"/>
          <w:kern w:val="0"/>
          <w:sz w:val="24"/>
          <w:szCs w:val="20"/>
          <w:highlight w:val="none"/>
          <w:u w:val="none"/>
          <w:lang w:val="zh-CN" w:eastAsia="zh-CN" w:bidi="ar-SA"/>
        </w:rPr>
        <w:t>（一）对采购文件提出的质疑未对成交结果构成影响的，继续开展采购活动；对成交结果构成影响但依法通过澄清或者修改可以继续开展</w:t>
      </w:r>
      <w:r>
        <w:rPr>
          <w:rFonts w:hint="eastAsia" w:ascii="仿宋" w:hAnsi="仿宋" w:eastAsia="仿宋" w:cs="仿宋"/>
          <w:b w:val="0"/>
          <w:bCs/>
          <w:color w:val="000000"/>
          <w:kern w:val="0"/>
          <w:sz w:val="24"/>
          <w:szCs w:val="20"/>
          <w:highlight w:val="none"/>
          <w:u w:val="none"/>
          <w:lang w:val="zh-CN" w:eastAsia="zh-CN" w:bidi="ar-SA"/>
        </w:rPr>
        <w:t>采购活动的，澄清或者修改采购文件后继续开展采购活动，否则应当修改采购文件后重新开展采购活动。</w:t>
      </w:r>
    </w:p>
    <w:p w14:paraId="62211C24">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color w:val="000000"/>
          <w:kern w:val="0"/>
          <w:sz w:val="24"/>
          <w:szCs w:val="20"/>
          <w:highlight w:val="none"/>
          <w:u w:val="none"/>
          <w:lang w:val="zh-CN" w:eastAsia="zh-CN" w:bidi="ar-SA"/>
        </w:rPr>
        <w:t>（二）对采购过程、成交结果提出的质疑未对成交结果构成影响的，继续开展采购活动；对成交结果构成影响但合格报价方仍不少于3家时，依法从合格的中标候选人中另行确定成交报价方，否则将重新开展采购活动。</w:t>
      </w:r>
    </w:p>
    <w:p w14:paraId="477CBB93">
      <w:pPr>
        <w:spacing w:line="240" w:lineRule="atLeast"/>
        <w:ind w:left="900" w:hanging="900" w:hangingChars="375"/>
        <w:rPr>
          <w:rFonts w:hint="eastAsia" w:ascii="仿宋_GB2312" w:hAnsi="宋体" w:eastAsia="仿宋_GB2312" w:cs="Times New Roman"/>
          <w:b w:val="0"/>
          <w:bCs/>
          <w:sz w:val="24"/>
          <w:highlight w:val="none"/>
          <w:lang w:eastAsia="zh-CN"/>
        </w:rPr>
      </w:pPr>
      <w:r>
        <w:rPr>
          <w:rFonts w:hint="eastAsia" w:ascii="仿宋_GB2312" w:hAnsi="宋体" w:eastAsia="仿宋_GB2312" w:cs="Times New Roman"/>
          <w:b w:val="0"/>
          <w:bCs/>
          <w:sz w:val="24"/>
          <w:highlight w:val="none"/>
          <w:lang w:eastAsia="zh-CN"/>
        </w:rPr>
        <w:t>38.4采购人将书面答复质疑，质疑答复包括下列内容：</w:t>
      </w:r>
    </w:p>
    <w:p w14:paraId="32A31BF3">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color w:val="000000"/>
          <w:kern w:val="0"/>
          <w:sz w:val="24"/>
          <w:szCs w:val="20"/>
          <w:highlight w:val="none"/>
          <w:u w:val="none"/>
          <w:lang w:val="zh-CN" w:eastAsia="zh-CN" w:bidi="ar-SA"/>
        </w:rPr>
        <w:t>（一）质疑人名称；</w:t>
      </w:r>
    </w:p>
    <w:p w14:paraId="5F315BA8">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color w:val="000000"/>
          <w:kern w:val="0"/>
          <w:sz w:val="24"/>
          <w:szCs w:val="20"/>
          <w:highlight w:val="none"/>
          <w:u w:val="none"/>
          <w:lang w:val="zh-CN" w:eastAsia="zh-CN" w:bidi="ar-SA"/>
        </w:rPr>
        <w:t>（二）收到质疑函的日期、质疑项目名称及编号;</w:t>
      </w:r>
    </w:p>
    <w:p w14:paraId="50B6AA5D">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color w:val="000000"/>
          <w:kern w:val="0"/>
          <w:sz w:val="24"/>
          <w:szCs w:val="20"/>
          <w:highlight w:val="none"/>
          <w:u w:val="none"/>
          <w:lang w:val="zh-CN" w:eastAsia="zh-CN" w:bidi="ar-SA"/>
        </w:rPr>
        <w:t>（三）质疑事项、质疑答复的具体内容、事实依据和法律依据；</w:t>
      </w:r>
    </w:p>
    <w:p w14:paraId="7F3AF00D">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color w:val="000000"/>
          <w:kern w:val="0"/>
          <w:sz w:val="24"/>
          <w:szCs w:val="20"/>
          <w:highlight w:val="none"/>
          <w:u w:val="none"/>
          <w:lang w:val="zh-CN" w:eastAsia="zh-CN" w:bidi="ar-SA"/>
        </w:rPr>
        <w:t>（四）告知质疑人依法投诉的权利；</w:t>
      </w:r>
    </w:p>
    <w:p w14:paraId="68FF3DA4">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color w:val="000000"/>
          <w:kern w:val="0"/>
          <w:sz w:val="24"/>
          <w:szCs w:val="20"/>
          <w:highlight w:val="none"/>
          <w:u w:val="none"/>
          <w:lang w:val="zh-CN" w:eastAsia="zh-CN" w:bidi="ar-SA"/>
        </w:rPr>
        <w:t>（五）质疑答复日期。</w:t>
      </w:r>
    </w:p>
    <w:p w14:paraId="3AA5BA29">
      <w:pPr>
        <w:spacing w:line="240" w:lineRule="atLeast"/>
        <w:ind w:left="900" w:hanging="900" w:hangingChars="375"/>
        <w:rPr>
          <w:rFonts w:hint="eastAsia" w:ascii="仿宋_GB2312" w:hAnsi="宋体" w:eastAsia="仿宋_GB2312" w:cs="Times New Roman"/>
          <w:b w:val="0"/>
          <w:bCs/>
          <w:sz w:val="24"/>
          <w:highlight w:val="none"/>
          <w:lang w:eastAsia="zh-CN"/>
        </w:rPr>
      </w:pPr>
      <w:r>
        <w:rPr>
          <w:rFonts w:hint="eastAsia" w:ascii="仿宋_GB2312" w:hAnsi="宋体" w:eastAsia="仿宋_GB2312" w:cs="Times New Roman"/>
          <w:b w:val="0"/>
          <w:bCs/>
          <w:sz w:val="24"/>
          <w:highlight w:val="none"/>
          <w:lang w:eastAsia="zh-CN"/>
        </w:rPr>
        <w:t>38.5质疑人有下列行为之一的，属于虚假、恶意质疑，将由采购人建议财政部门将其列入不良行为记录名单，禁止其1至3年内参加政府采购活动：</w:t>
      </w:r>
    </w:p>
    <w:p w14:paraId="5C14BF22">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color w:val="000000"/>
          <w:kern w:val="0"/>
          <w:sz w:val="24"/>
          <w:szCs w:val="20"/>
          <w:highlight w:val="none"/>
          <w:u w:val="none"/>
          <w:lang w:val="zh-CN" w:eastAsia="zh-CN" w:bidi="ar-SA"/>
        </w:rPr>
        <w:t>（一）捏造事实；</w:t>
      </w:r>
    </w:p>
    <w:p w14:paraId="5B0CCAFD">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color w:val="000000"/>
          <w:kern w:val="0"/>
          <w:sz w:val="24"/>
          <w:szCs w:val="20"/>
          <w:highlight w:val="none"/>
          <w:u w:val="none"/>
          <w:lang w:val="zh-CN" w:eastAsia="zh-CN" w:bidi="ar-SA"/>
        </w:rPr>
        <w:t>（二）提供虚假材料；</w:t>
      </w:r>
    </w:p>
    <w:p w14:paraId="1A722CD3">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color w:val="000000"/>
          <w:kern w:val="0"/>
          <w:sz w:val="24"/>
          <w:szCs w:val="20"/>
          <w:highlight w:val="none"/>
          <w:u w:val="none"/>
          <w:lang w:val="zh-CN" w:eastAsia="zh-CN" w:bidi="ar-SA"/>
        </w:rPr>
        <w:t>（三）以非法手段取得证明材料或者无法提供证据的合法来源；</w:t>
      </w:r>
    </w:p>
    <w:p w14:paraId="585ADC77">
      <w:pPr>
        <w:spacing w:line="240" w:lineRule="atLeast"/>
        <w:ind w:left="957" w:leftChars="456" w:firstLine="0" w:firstLineChars="0"/>
        <w:rPr>
          <w:rFonts w:hint="eastAsia" w:ascii="仿宋" w:hAnsi="仿宋" w:eastAsia="仿宋" w:cs="仿宋"/>
          <w:b w:val="0"/>
          <w:bCs/>
          <w:color w:val="000000"/>
          <w:kern w:val="0"/>
          <w:sz w:val="24"/>
          <w:szCs w:val="20"/>
          <w:highlight w:val="none"/>
          <w:u w:val="none"/>
          <w:lang w:val="zh-CN" w:eastAsia="zh-CN" w:bidi="ar-SA"/>
        </w:rPr>
      </w:pPr>
      <w:r>
        <w:rPr>
          <w:rFonts w:hint="eastAsia" w:ascii="仿宋" w:hAnsi="仿宋" w:eastAsia="仿宋" w:cs="仿宋"/>
          <w:b w:val="0"/>
          <w:bCs/>
          <w:color w:val="000000"/>
          <w:kern w:val="0"/>
          <w:sz w:val="24"/>
          <w:szCs w:val="20"/>
          <w:highlight w:val="none"/>
          <w:u w:val="none"/>
          <w:lang w:val="zh-CN" w:eastAsia="zh-CN" w:bidi="ar-SA"/>
        </w:rPr>
        <w:t>（四）法律法规规定的其他违法情形。</w:t>
      </w:r>
    </w:p>
    <w:p w14:paraId="7792F59B">
      <w:pPr>
        <w:rPr>
          <w:rFonts w:hint="eastAsia" w:ascii="仿宋_GB2312" w:eastAsia="仿宋_GB2312"/>
          <w:szCs w:val="24"/>
          <w:highlight w:val="none"/>
        </w:rPr>
      </w:pPr>
      <w:r>
        <w:rPr>
          <w:rFonts w:hint="eastAsia" w:ascii="仿宋_GB2312" w:eastAsia="仿宋_GB2312"/>
          <w:szCs w:val="24"/>
          <w:highlight w:val="none"/>
        </w:rPr>
        <w:br w:type="page"/>
      </w:r>
      <w:r>
        <w:rPr>
          <w:rFonts w:hint="eastAsia" w:ascii="仿宋_GB2312" w:eastAsia="仿宋_GB2312"/>
          <w:szCs w:val="24"/>
          <w:highlight w:val="none"/>
        </w:rPr>
        <w:t>附件</w:t>
      </w:r>
      <w:r>
        <w:rPr>
          <w:rFonts w:ascii="仿宋_GB2312" w:eastAsia="仿宋_GB2312"/>
          <w:szCs w:val="24"/>
          <w:highlight w:val="none"/>
        </w:rPr>
        <w:t>1</w:t>
      </w:r>
      <w:r>
        <w:rPr>
          <w:rFonts w:hint="eastAsia" w:ascii="仿宋_GB2312" w:eastAsia="仿宋_GB2312"/>
          <w:szCs w:val="24"/>
          <w:highlight w:val="none"/>
        </w:rPr>
        <w:t>：履约保证金保函（格式）</w:t>
      </w:r>
      <w:bookmarkEnd w:id="120"/>
      <w:bookmarkEnd w:id="121"/>
      <w:bookmarkEnd w:id="122"/>
    </w:p>
    <w:p w14:paraId="14C9249E">
      <w:pPr>
        <w:pStyle w:val="15"/>
        <w:spacing w:line="240" w:lineRule="atLeast"/>
        <w:ind w:left="1079" w:leftChars="257" w:hanging="540"/>
        <w:rPr>
          <w:rFonts w:hint="eastAsia" w:ascii="仿宋_GB2312" w:hAnsi="宋体" w:eastAsia="仿宋_GB2312"/>
          <w:b/>
          <w:sz w:val="24"/>
          <w:highlight w:val="none"/>
        </w:rPr>
      </w:pPr>
      <w:r>
        <w:rPr>
          <w:rFonts w:hint="eastAsia" w:ascii="仿宋_GB2312" w:hAnsi="宋体" w:eastAsia="仿宋_GB2312"/>
          <w:b/>
          <w:sz w:val="24"/>
          <w:highlight w:val="none"/>
        </w:rPr>
        <w:t>（中标后开具）</w:t>
      </w:r>
    </w:p>
    <w:p w14:paraId="1EAA21AF">
      <w:pPr>
        <w:pStyle w:val="15"/>
        <w:spacing w:line="240" w:lineRule="atLeast"/>
        <w:ind w:left="1079" w:leftChars="257" w:hanging="540"/>
        <w:rPr>
          <w:rFonts w:hint="eastAsia" w:ascii="仿宋_GB2312" w:hAnsi="宋体" w:eastAsia="仿宋_GB2312"/>
          <w:b/>
          <w:sz w:val="24"/>
          <w:highlight w:val="none"/>
        </w:rPr>
      </w:pPr>
    </w:p>
    <w:p w14:paraId="3A01A0E1">
      <w:pPr>
        <w:pStyle w:val="15"/>
        <w:spacing w:line="240" w:lineRule="atLeast"/>
        <w:ind w:left="1079" w:leftChars="257" w:hanging="540"/>
        <w:rPr>
          <w:rFonts w:hint="eastAsia" w:ascii="仿宋_GB2312" w:hAnsi="宋体" w:eastAsia="仿宋_GB2312"/>
          <w:b/>
          <w:sz w:val="24"/>
          <w:highlight w:val="none"/>
        </w:rPr>
      </w:pPr>
    </w:p>
    <w:p w14:paraId="0B2F8275">
      <w:pPr>
        <w:pStyle w:val="15"/>
        <w:spacing w:line="240" w:lineRule="atLeast"/>
        <w:rPr>
          <w:rFonts w:hint="eastAsia" w:ascii="仿宋_GB2312" w:hAnsi="宋体" w:eastAsia="仿宋_GB2312"/>
          <w:sz w:val="24"/>
          <w:highlight w:val="none"/>
        </w:rPr>
      </w:pPr>
      <w:r>
        <w:rPr>
          <w:rFonts w:hint="eastAsia" w:ascii="仿宋_GB2312" w:hAnsi="宋体" w:eastAsia="仿宋_GB2312"/>
          <w:sz w:val="24"/>
          <w:highlight w:val="none"/>
        </w:rPr>
        <w:t>致:(</w:t>
      </w:r>
      <w:r>
        <w:rPr>
          <w:rFonts w:hint="eastAsia" w:ascii="仿宋_GB2312" w:hAnsi="宋体" w:eastAsia="仿宋_GB2312"/>
          <w:i/>
          <w:sz w:val="24"/>
          <w:highlight w:val="none"/>
          <w:u w:val="single"/>
        </w:rPr>
        <w:t>买方名称</w:t>
      </w:r>
      <w:r>
        <w:rPr>
          <w:rFonts w:hint="eastAsia" w:ascii="仿宋_GB2312" w:hAnsi="宋体" w:eastAsia="仿宋_GB2312"/>
          <w:sz w:val="24"/>
          <w:highlight w:val="none"/>
        </w:rPr>
        <w:t>)</w:t>
      </w:r>
    </w:p>
    <w:p w14:paraId="4885EC68">
      <w:pPr>
        <w:pStyle w:val="15"/>
        <w:spacing w:line="240" w:lineRule="atLeast"/>
        <w:ind w:left="1079" w:leftChars="257" w:hanging="540"/>
        <w:jc w:val="center"/>
        <w:rPr>
          <w:rFonts w:hint="eastAsia" w:ascii="仿宋_GB2312" w:hAnsi="宋体" w:eastAsia="仿宋_GB2312"/>
          <w:sz w:val="24"/>
          <w:highlight w:val="none"/>
        </w:rPr>
      </w:pPr>
      <w:r>
        <w:rPr>
          <w:rFonts w:hint="eastAsia" w:ascii="仿宋_GB2312" w:hAnsi="宋体" w:eastAsia="仿宋_GB2312"/>
          <w:sz w:val="24"/>
          <w:highlight w:val="none"/>
        </w:rPr>
        <w:t>合同履约保函</w:t>
      </w:r>
    </w:p>
    <w:p w14:paraId="22F636A3">
      <w:pPr>
        <w:pStyle w:val="15"/>
        <w:spacing w:line="240" w:lineRule="atLeast"/>
        <w:ind w:left="1079" w:leftChars="257" w:hanging="540"/>
        <w:jc w:val="center"/>
        <w:rPr>
          <w:rFonts w:hint="eastAsia" w:ascii="仿宋_GB2312" w:hAnsi="宋体" w:eastAsia="仿宋_GB2312"/>
          <w:sz w:val="24"/>
          <w:highlight w:val="none"/>
        </w:rPr>
      </w:pPr>
    </w:p>
    <w:p w14:paraId="57AE2200">
      <w:pPr>
        <w:pStyle w:val="15"/>
        <w:spacing w:line="240" w:lineRule="atLeast"/>
        <w:ind w:firstLine="600" w:firstLineChars="250"/>
        <w:rPr>
          <w:rFonts w:hint="eastAsia" w:ascii="仿宋_GB2312" w:hAnsi="宋体" w:eastAsia="仿宋_GB2312"/>
          <w:sz w:val="24"/>
          <w:highlight w:val="none"/>
        </w:rPr>
      </w:pPr>
      <w:r>
        <w:rPr>
          <w:rFonts w:hint="eastAsia" w:ascii="仿宋_GB2312" w:hAnsi="宋体" w:eastAsia="仿宋_GB2312"/>
          <w:sz w:val="24"/>
          <w:highlight w:val="none"/>
        </w:rPr>
        <w:t>本保函作为贵方与(</w:t>
      </w:r>
      <w:r>
        <w:rPr>
          <w:rFonts w:hint="eastAsia" w:ascii="仿宋_GB2312" w:hAnsi="宋体" w:eastAsia="仿宋_GB2312"/>
          <w:i/>
          <w:sz w:val="24"/>
          <w:highlight w:val="none"/>
          <w:u w:val="single"/>
        </w:rPr>
        <w:t>卖方名称</w:t>
      </w:r>
      <w:r>
        <w:rPr>
          <w:rFonts w:hint="eastAsia" w:ascii="仿宋_GB2312" w:hAnsi="宋体" w:eastAsia="仿宋_GB2312"/>
          <w:sz w:val="24"/>
          <w:highlight w:val="none"/>
        </w:rPr>
        <w:t>)(以下简称卖方)于年月日就项目(以下简称项目)项下提供(</w:t>
      </w:r>
      <w:r>
        <w:rPr>
          <w:rFonts w:hint="eastAsia" w:ascii="仿宋_GB2312" w:hAnsi="宋体" w:eastAsia="仿宋_GB2312"/>
          <w:i/>
          <w:sz w:val="24"/>
          <w:highlight w:val="none"/>
          <w:u w:val="single"/>
        </w:rPr>
        <w:t>货物名称</w:t>
      </w:r>
      <w:r>
        <w:rPr>
          <w:rFonts w:hint="eastAsia" w:ascii="仿宋_GB2312" w:hAnsi="宋体" w:eastAsia="仿宋_GB2312"/>
          <w:sz w:val="24"/>
          <w:highlight w:val="none"/>
        </w:rPr>
        <w:t>)(以下简称货物)签订的(</w:t>
      </w:r>
      <w:r>
        <w:rPr>
          <w:rFonts w:hint="eastAsia" w:ascii="仿宋_GB2312" w:hAnsi="宋体" w:eastAsia="仿宋_GB2312"/>
          <w:i/>
          <w:sz w:val="24"/>
          <w:highlight w:val="none"/>
          <w:u w:val="single"/>
        </w:rPr>
        <w:t>合同号</w:t>
      </w:r>
      <w:r>
        <w:rPr>
          <w:rFonts w:hint="eastAsia" w:ascii="仿宋_GB2312" w:hAnsi="宋体" w:eastAsia="仿宋_GB2312"/>
          <w:sz w:val="24"/>
          <w:highlight w:val="none"/>
        </w:rPr>
        <w:t>)号合同的履约保函。</w:t>
      </w:r>
    </w:p>
    <w:p w14:paraId="22FE9C13">
      <w:pPr>
        <w:pStyle w:val="15"/>
        <w:spacing w:line="240" w:lineRule="atLeast"/>
        <w:ind w:firstLine="540" w:firstLineChars="225"/>
        <w:rPr>
          <w:rFonts w:hint="eastAsia" w:ascii="仿宋_GB2312" w:hAnsi="宋体" w:eastAsia="仿宋_GB2312"/>
          <w:sz w:val="24"/>
          <w:highlight w:val="none"/>
        </w:rPr>
      </w:pPr>
      <w:r>
        <w:rPr>
          <w:rFonts w:hint="eastAsia" w:ascii="仿宋_GB2312" w:hAnsi="宋体" w:eastAsia="仿宋_GB2312"/>
          <w:sz w:val="24"/>
          <w:highlight w:val="none"/>
        </w:rPr>
        <w:t>(</w:t>
      </w:r>
      <w:r>
        <w:rPr>
          <w:rFonts w:hint="eastAsia" w:ascii="仿宋_GB2312" w:hAnsi="宋体" w:eastAsia="仿宋_GB2312"/>
          <w:i/>
          <w:sz w:val="24"/>
          <w:highlight w:val="none"/>
          <w:u w:val="single"/>
        </w:rPr>
        <w:t>出具保函的银行名称</w:t>
      </w:r>
      <w:r>
        <w:rPr>
          <w:rFonts w:hint="eastAsia" w:ascii="仿宋_GB2312" w:hAnsi="宋体" w:eastAsia="仿宋_GB2312"/>
          <w:sz w:val="24"/>
          <w:highlight w:val="none"/>
        </w:rPr>
        <w:t>)(以下简称银行)无条件地、不可撤销地具结保证本行、其继承人和受让人无追索地向贵方以(</w:t>
      </w:r>
      <w:r>
        <w:rPr>
          <w:rFonts w:hint="eastAsia" w:ascii="仿宋_GB2312" w:hAnsi="宋体" w:eastAsia="仿宋_GB2312"/>
          <w:i/>
          <w:sz w:val="24"/>
          <w:highlight w:val="none"/>
          <w:u w:val="single"/>
        </w:rPr>
        <w:t>货币名称</w:t>
      </w:r>
      <w:r>
        <w:rPr>
          <w:rFonts w:hint="eastAsia" w:ascii="仿宋_GB2312" w:hAnsi="宋体" w:eastAsia="仿宋_GB2312"/>
          <w:sz w:val="24"/>
          <w:highlight w:val="none"/>
        </w:rPr>
        <w:t>)支付总额不超过(</w:t>
      </w:r>
      <w:r>
        <w:rPr>
          <w:rFonts w:hint="eastAsia" w:ascii="仿宋_GB2312" w:hAnsi="宋体" w:eastAsia="仿宋_GB2312"/>
          <w:i/>
          <w:sz w:val="24"/>
          <w:highlight w:val="none"/>
          <w:u w:val="single"/>
        </w:rPr>
        <w:t>货币数量</w:t>
      </w:r>
      <w:r>
        <w:rPr>
          <w:rFonts w:hint="eastAsia" w:ascii="仿宋_GB2312" w:hAnsi="宋体" w:eastAsia="仿宋_GB2312"/>
          <w:sz w:val="24"/>
          <w:highlight w:val="none"/>
        </w:rPr>
        <w:t>),即相当于合同价格的%,并以此约定如下:</w:t>
      </w:r>
    </w:p>
    <w:p w14:paraId="172EF9AE">
      <w:pPr>
        <w:pStyle w:val="15"/>
        <w:spacing w:line="240" w:lineRule="atLeast"/>
        <w:ind w:left="539" w:leftChars="257"/>
        <w:rPr>
          <w:rFonts w:hint="eastAsia" w:ascii="仿宋_GB2312" w:hAnsi="宋体" w:eastAsia="仿宋_GB2312"/>
          <w:sz w:val="24"/>
          <w:highlight w:val="none"/>
        </w:rPr>
      </w:pPr>
      <w:r>
        <w:rPr>
          <w:rFonts w:hint="eastAsia" w:ascii="仿宋_GB2312" w:hAnsi="宋体" w:eastAsia="仿宋_GB2312"/>
          <w:sz w:val="24"/>
          <w:highlight w:val="none"/>
        </w:rPr>
        <w:t>1.只要贵方确定卖方未能忠实地履行所有合同文件的规定和双方此后一致同意的修改、补充和变动,包括更改和/或修补贵方认为有缺陷的货物(以下简称违约),无论卖方有任何反对,本行将凭贵方关于卖方违约说明的书面通知,立即按贵方提出的累计总额不超过上述金额的款项和按贵方通知规定的方式付给贵方。</w:t>
      </w:r>
    </w:p>
    <w:p w14:paraId="6B701901">
      <w:pPr>
        <w:pStyle w:val="15"/>
        <w:spacing w:line="240" w:lineRule="atLeast"/>
        <w:ind w:left="540"/>
        <w:rPr>
          <w:rFonts w:hint="eastAsia" w:ascii="仿宋_GB2312" w:hAnsi="宋体" w:eastAsia="仿宋_GB2312"/>
          <w:sz w:val="24"/>
          <w:highlight w:val="none"/>
        </w:rPr>
      </w:pPr>
      <w:r>
        <w:rPr>
          <w:rFonts w:hint="eastAsia" w:ascii="仿宋_GB2312" w:hAnsi="宋体" w:eastAsia="仿宋_GB2312"/>
          <w:sz w:val="24"/>
          <w:highlight w:val="none"/>
        </w:rPr>
        <w:t>2.本保函项下的任何支付应为免税和净值。对于现有或将来的税收、关税、收费、费用扣减或预提税款，不论这些款项是何种性质和由谁征收，都不应从本保函项下的支付中扣除。</w:t>
      </w:r>
    </w:p>
    <w:p w14:paraId="61007DDA">
      <w:pPr>
        <w:pStyle w:val="15"/>
        <w:spacing w:line="240" w:lineRule="atLeast"/>
        <w:ind w:left="540"/>
        <w:rPr>
          <w:rFonts w:hint="eastAsia" w:ascii="仿宋_GB2312" w:hAnsi="宋体" w:eastAsia="仿宋_GB2312"/>
          <w:sz w:val="24"/>
          <w:highlight w:val="none"/>
        </w:rPr>
      </w:pPr>
      <w:r>
        <w:rPr>
          <w:rFonts w:hint="eastAsia" w:ascii="仿宋_GB2312" w:hAnsi="宋体" w:eastAsia="仿宋_GB2312"/>
          <w:sz w:val="24"/>
          <w:highlight w:val="none"/>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14:paraId="7582422E">
      <w:pPr>
        <w:pStyle w:val="15"/>
        <w:spacing w:line="240" w:lineRule="atLeast"/>
        <w:ind w:left="1079" w:leftChars="257" w:hanging="540"/>
        <w:rPr>
          <w:rFonts w:hint="eastAsia" w:ascii="仿宋_GB2312" w:hAnsi="宋体" w:eastAsia="仿宋_GB2312"/>
          <w:sz w:val="24"/>
          <w:highlight w:val="none"/>
        </w:rPr>
      </w:pPr>
      <w:r>
        <w:rPr>
          <w:rFonts w:hint="eastAsia" w:ascii="仿宋_GB2312" w:hAnsi="宋体" w:eastAsia="仿宋_GB2312"/>
          <w:sz w:val="24"/>
          <w:highlight w:val="none"/>
        </w:rPr>
        <w:t>4.本保函在本合同规定的保证期期满前完全有效。</w:t>
      </w:r>
    </w:p>
    <w:p w14:paraId="6154648E">
      <w:pPr>
        <w:pStyle w:val="15"/>
        <w:spacing w:line="240" w:lineRule="atLeast"/>
        <w:ind w:left="1079" w:leftChars="257" w:hanging="540"/>
        <w:rPr>
          <w:rFonts w:hint="eastAsia" w:ascii="仿宋_GB2312" w:hAnsi="宋体" w:eastAsia="仿宋_GB2312"/>
          <w:sz w:val="24"/>
          <w:highlight w:val="none"/>
        </w:rPr>
      </w:pPr>
    </w:p>
    <w:p w14:paraId="769BC2E1">
      <w:pPr>
        <w:pStyle w:val="15"/>
        <w:spacing w:line="240" w:lineRule="atLeast"/>
        <w:ind w:left="1079" w:leftChars="257" w:hanging="540"/>
        <w:rPr>
          <w:rFonts w:hint="eastAsia" w:ascii="仿宋_GB2312" w:hAnsi="宋体" w:eastAsia="仿宋_GB2312"/>
          <w:sz w:val="24"/>
          <w:highlight w:val="none"/>
        </w:rPr>
      </w:pPr>
      <w:r>
        <w:rPr>
          <w:rFonts w:hint="eastAsia" w:ascii="仿宋_GB2312" w:hAnsi="宋体" w:eastAsia="仿宋_GB2312"/>
          <w:sz w:val="24"/>
          <w:highlight w:val="none"/>
        </w:rPr>
        <w:t>谨启</w:t>
      </w:r>
    </w:p>
    <w:p w14:paraId="5A308D86">
      <w:pPr>
        <w:pStyle w:val="15"/>
        <w:spacing w:line="240" w:lineRule="atLeast"/>
        <w:ind w:left="1079" w:leftChars="257" w:hanging="540"/>
        <w:rPr>
          <w:rFonts w:hint="eastAsia" w:ascii="仿宋_GB2312" w:hAnsi="宋体" w:eastAsia="仿宋_GB2312"/>
          <w:sz w:val="24"/>
          <w:highlight w:val="none"/>
          <w:lang w:eastAsia="zh-CN"/>
        </w:rPr>
      </w:pPr>
      <w:r>
        <w:rPr>
          <w:rFonts w:hint="eastAsia" w:ascii="仿宋_GB2312" w:hAnsi="宋体" w:eastAsia="仿宋_GB2312"/>
          <w:sz w:val="24"/>
          <w:highlight w:val="none"/>
        </w:rPr>
        <w:t>出具保函银行名称：</w:t>
      </w:r>
    </w:p>
    <w:p w14:paraId="63DABAE4">
      <w:pPr>
        <w:pStyle w:val="15"/>
        <w:spacing w:line="240" w:lineRule="atLeast"/>
        <w:ind w:left="1079" w:leftChars="257" w:hanging="540"/>
        <w:rPr>
          <w:rFonts w:hint="eastAsia" w:ascii="仿宋_GB2312" w:hAnsi="宋体" w:eastAsia="仿宋_GB2312"/>
          <w:sz w:val="24"/>
          <w:highlight w:val="none"/>
          <w:u w:val="single"/>
          <w:lang w:eastAsia="zh-CN"/>
        </w:rPr>
      </w:pPr>
      <w:r>
        <w:rPr>
          <w:rFonts w:hint="eastAsia" w:ascii="仿宋_GB2312" w:hAnsi="宋体" w:eastAsia="仿宋_GB2312"/>
          <w:sz w:val="24"/>
          <w:highlight w:val="none"/>
        </w:rPr>
        <w:t>签字人姓名和职务：</w:t>
      </w:r>
    </w:p>
    <w:p w14:paraId="049937F6">
      <w:pPr>
        <w:pStyle w:val="15"/>
        <w:spacing w:line="240" w:lineRule="atLeast"/>
        <w:ind w:left="1079" w:leftChars="257" w:hanging="540"/>
        <w:rPr>
          <w:rFonts w:hint="eastAsia" w:ascii="仿宋_GB2312" w:hAnsi="宋体" w:eastAsia="仿宋_GB2312"/>
          <w:sz w:val="24"/>
          <w:highlight w:val="none"/>
          <w:lang w:eastAsia="zh-CN"/>
        </w:rPr>
      </w:pPr>
      <w:r>
        <w:rPr>
          <w:rFonts w:hint="eastAsia" w:ascii="仿宋_GB2312" w:hAnsi="宋体" w:eastAsia="仿宋_GB2312"/>
          <w:sz w:val="24"/>
          <w:highlight w:val="none"/>
        </w:rPr>
        <w:t>签字人签名：</w:t>
      </w:r>
    </w:p>
    <w:p w14:paraId="61F4A9EA">
      <w:pPr>
        <w:pStyle w:val="15"/>
        <w:spacing w:line="240" w:lineRule="atLeast"/>
        <w:ind w:left="1079" w:leftChars="257" w:hanging="540"/>
        <w:rPr>
          <w:rFonts w:hint="eastAsia" w:ascii="仿宋_GB2312" w:eastAsia="仿宋_GB2312"/>
          <w:sz w:val="24"/>
          <w:highlight w:val="none"/>
          <w:u w:val="single"/>
          <w:lang w:eastAsia="zh-CN"/>
        </w:rPr>
      </w:pPr>
      <w:r>
        <w:rPr>
          <w:rFonts w:hint="eastAsia" w:ascii="仿宋_GB2312" w:eastAsia="仿宋_GB2312"/>
          <w:sz w:val="24"/>
          <w:highlight w:val="none"/>
        </w:rPr>
        <w:t>公章：</w:t>
      </w:r>
    </w:p>
    <w:p w14:paraId="091EC254">
      <w:pPr>
        <w:pStyle w:val="3"/>
        <w:spacing w:before="0" w:line="240" w:lineRule="atLeast"/>
        <w:ind w:left="1079" w:leftChars="257" w:hanging="540"/>
        <w:rPr>
          <w:rFonts w:ascii="仿宋_GB2312" w:eastAsia="仿宋_GB2312"/>
          <w:szCs w:val="24"/>
          <w:highlight w:val="none"/>
        </w:rPr>
      </w:pPr>
      <w:r>
        <w:rPr>
          <w:rFonts w:ascii="仿宋_GB2312" w:eastAsia="仿宋_GB2312"/>
          <w:highlight w:val="none"/>
        </w:rPr>
        <w:br w:type="page"/>
      </w:r>
      <w:bookmarkStart w:id="182" w:name="_Toc10951"/>
      <w:bookmarkStart w:id="183" w:name="_Toc515647800"/>
      <w:bookmarkStart w:id="184" w:name="_Toc3039"/>
      <w:bookmarkStart w:id="185" w:name="_Toc6548"/>
      <w:r>
        <w:rPr>
          <w:rFonts w:hint="eastAsia" w:ascii="仿宋_GB2312" w:eastAsia="仿宋_GB2312"/>
          <w:szCs w:val="24"/>
          <w:highlight w:val="none"/>
        </w:rPr>
        <w:t>附件</w:t>
      </w:r>
      <w:r>
        <w:rPr>
          <w:rFonts w:ascii="仿宋_GB2312" w:eastAsia="仿宋_GB2312"/>
          <w:szCs w:val="24"/>
          <w:highlight w:val="none"/>
        </w:rPr>
        <w:t>2</w:t>
      </w:r>
      <w:r>
        <w:rPr>
          <w:rFonts w:hint="eastAsia" w:ascii="仿宋_GB2312" w:eastAsia="仿宋_GB2312"/>
          <w:szCs w:val="24"/>
          <w:highlight w:val="none"/>
        </w:rPr>
        <w:t>：履约担保函格式</w:t>
      </w:r>
      <w:bookmarkEnd w:id="182"/>
      <w:bookmarkEnd w:id="183"/>
      <w:bookmarkEnd w:id="184"/>
      <w:bookmarkEnd w:id="185"/>
    </w:p>
    <w:p w14:paraId="2BA39FCE">
      <w:pPr>
        <w:pStyle w:val="3"/>
        <w:spacing w:before="0" w:line="240" w:lineRule="atLeast"/>
        <w:ind w:left="1079" w:leftChars="257" w:hanging="540"/>
        <w:rPr>
          <w:rFonts w:hint="eastAsia" w:ascii="仿宋_GB2312" w:eastAsia="仿宋_GB2312"/>
          <w:b w:val="0"/>
          <w:highlight w:val="none"/>
        </w:rPr>
      </w:pPr>
      <w:bookmarkStart w:id="186" w:name="_Toc515647801"/>
      <w:bookmarkStart w:id="187" w:name="_Toc162"/>
      <w:bookmarkStart w:id="188" w:name="_Toc9799"/>
      <w:bookmarkStart w:id="189" w:name="_Toc13962"/>
      <w:r>
        <w:rPr>
          <w:rFonts w:hint="eastAsia" w:ascii="仿宋_GB2312" w:eastAsia="仿宋_GB2312"/>
          <w:szCs w:val="24"/>
          <w:highlight w:val="none"/>
        </w:rPr>
        <w:t>（采用政府采购信用担保形式时</w:t>
      </w:r>
      <w:r>
        <w:rPr>
          <w:rFonts w:ascii="仿宋_GB2312" w:eastAsia="仿宋_GB2312"/>
          <w:szCs w:val="24"/>
          <w:highlight w:val="none"/>
        </w:rPr>
        <w:t>使用）</w:t>
      </w:r>
      <w:bookmarkEnd w:id="186"/>
      <w:bookmarkEnd w:id="187"/>
      <w:bookmarkEnd w:id="188"/>
      <w:bookmarkEnd w:id="189"/>
    </w:p>
    <w:p w14:paraId="7376AB27">
      <w:pPr>
        <w:spacing w:line="240" w:lineRule="atLeast"/>
        <w:ind w:left="1079" w:leftChars="257" w:hanging="540"/>
        <w:rPr>
          <w:rFonts w:hint="eastAsia" w:ascii="仿宋_GB2312" w:hAnsi="Arial" w:eastAsia="仿宋_GB2312"/>
          <w:b/>
          <w:kern w:val="0"/>
          <w:sz w:val="24"/>
          <w:szCs w:val="20"/>
          <w:highlight w:val="none"/>
        </w:rPr>
      </w:pPr>
    </w:p>
    <w:p w14:paraId="498D960F">
      <w:pPr>
        <w:jc w:val="center"/>
        <w:rPr>
          <w:rFonts w:hint="eastAsia" w:ascii="仿宋" w:hAnsi="仿宋" w:eastAsia="仿宋"/>
          <w:sz w:val="24"/>
          <w:highlight w:val="none"/>
        </w:rPr>
      </w:pPr>
      <w:r>
        <w:rPr>
          <w:rFonts w:hint="eastAsia" w:ascii="仿宋" w:hAnsi="仿宋" w:eastAsia="仿宋"/>
          <w:sz w:val="24"/>
          <w:highlight w:val="none"/>
        </w:rPr>
        <w:t>政府采购履约担保函（项目用）</w:t>
      </w:r>
    </w:p>
    <w:p w14:paraId="5475BA24">
      <w:pPr>
        <w:rPr>
          <w:rFonts w:hint="eastAsia" w:ascii="仿宋" w:hAnsi="仿宋" w:eastAsia="仿宋"/>
          <w:sz w:val="24"/>
          <w:highlight w:val="none"/>
        </w:rPr>
      </w:pPr>
      <w:r>
        <w:rPr>
          <w:rFonts w:hint="eastAsia" w:ascii="仿宋" w:hAnsi="仿宋" w:eastAsia="仿宋"/>
          <w:sz w:val="24"/>
          <w:highlight w:val="none"/>
        </w:rPr>
        <w:t>编号：</w:t>
      </w:r>
    </w:p>
    <w:p w14:paraId="14862EF4">
      <w:pPr>
        <w:rPr>
          <w:rFonts w:ascii="仿宋" w:hAnsi="仿宋" w:eastAsia="仿宋"/>
          <w:sz w:val="24"/>
          <w:highlight w:val="none"/>
        </w:rPr>
      </w:pPr>
    </w:p>
    <w:p w14:paraId="532CD193">
      <w:pPr>
        <w:rPr>
          <w:rFonts w:hint="eastAsia" w:ascii="仿宋" w:hAnsi="仿宋" w:eastAsia="仿宋"/>
          <w:sz w:val="24"/>
          <w:highlight w:val="none"/>
        </w:rPr>
      </w:pPr>
      <w:r>
        <w:rPr>
          <w:rFonts w:hint="eastAsia" w:ascii="仿宋" w:hAnsi="仿宋" w:eastAsia="仿宋"/>
          <w:sz w:val="24"/>
          <w:highlight w:val="none"/>
        </w:rPr>
        <w:t>（采购人）：</w:t>
      </w:r>
    </w:p>
    <w:p w14:paraId="45217C04">
      <w:pPr>
        <w:rPr>
          <w:rFonts w:ascii="仿宋" w:hAnsi="仿宋" w:eastAsia="仿宋"/>
          <w:sz w:val="24"/>
          <w:highlight w:val="none"/>
        </w:rPr>
      </w:pPr>
    </w:p>
    <w:p w14:paraId="5414D49B">
      <w:pPr>
        <w:ind w:firstLine="480" w:firstLineChars="200"/>
        <w:rPr>
          <w:rFonts w:hint="eastAsia" w:ascii="仿宋" w:hAnsi="仿宋" w:eastAsia="仿宋"/>
          <w:sz w:val="24"/>
          <w:highlight w:val="none"/>
        </w:rPr>
      </w:pPr>
      <w:r>
        <w:rPr>
          <w:rFonts w:hint="eastAsia" w:ascii="仿宋" w:hAnsi="仿宋" w:eastAsia="仿宋"/>
          <w:sz w:val="24"/>
          <w:highlight w:val="none"/>
        </w:rPr>
        <w:t>鉴于你方与（以下简称</w:t>
      </w:r>
      <w:r>
        <w:rPr>
          <w:rFonts w:hint="eastAsia" w:ascii="仿宋" w:hAnsi="仿宋" w:eastAsia="仿宋"/>
          <w:sz w:val="24"/>
          <w:highlight w:val="none"/>
          <w:lang w:eastAsia="zh-CN"/>
        </w:rPr>
        <w:t>投标人</w:t>
      </w:r>
      <w:r>
        <w:rPr>
          <w:rFonts w:hint="eastAsia" w:ascii="仿宋" w:hAnsi="仿宋" w:eastAsia="仿宋"/>
          <w:sz w:val="24"/>
          <w:highlight w:val="none"/>
        </w:rPr>
        <w:t>）于年月日签定编号为的《政府采购合同》（以下简称主合同），且依据该合同的约定，</w:t>
      </w:r>
      <w:r>
        <w:rPr>
          <w:rFonts w:hint="eastAsia" w:ascii="仿宋" w:hAnsi="仿宋" w:eastAsia="仿宋"/>
          <w:sz w:val="24"/>
          <w:highlight w:val="none"/>
          <w:lang w:eastAsia="zh-CN"/>
        </w:rPr>
        <w:t>投标人</w:t>
      </w:r>
      <w:r>
        <w:rPr>
          <w:rFonts w:hint="eastAsia" w:ascii="仿宋" w:hAnsi="仿宋" w:eastAsia="仿宋"/>
          <w:sz w:val="24"/>
          <w:highlight w:val="none"/>
        </w:rPr>
        <w:t>应在年</w:t>
      </w:r>
    </w:p>
    <w:p w14:paraId="38154A52">
      <w:pPr>
        <w:rPr>
          <w:rFonts w:hint="eastAsia" w:ascii="仿宋" w:hAnsi="仿宋" w:eastAsia="仿宋"/>
          <w:sz w:val="24"/>
          <w:highlight w:val="none"/>
        </w:rPr>
      </w:pPr>
      <w:r>
        <w:rPr>
          <w:rFonts w:hint="eastAsia" w:ascii="仿宋" w:hAnsi="仿宋" w:eastAsia="仿宋"/>
          <w:sz w:val="24"/>
          <w:highlight w:val="none"/>
        </w:rPr>
        <w:t>月日前向你方交纳履约保证金，且可以履约担保函的形式交纳履约保证金。应</w:t>
      </w:r>
      <w:r>
        <w:rPr>
          <w:rFonts w:hint="eastAsia" w:ascii="仿宋" w:hAnsi="仿宋" w:eastAsia="仿宋"/>
          <w:sz w:val="24"/>
          <w:highlight w:val="none"/>
          <w:lang w:eastAsia="zh-CN"/>
        </w:rPr>
        <w:t>投标人</w:t>
      </w:r>
      <w:r>
        <w:rPr>
          <w:rFonts w:hint="eastAsia" w:ascii="仿宋" w:hAnsi="仿宋" w:eastAsia="仿宋"/>
          <w:sz w:val="24"/>
          <w:highlight w:val="none"/>
        </w:rPr>
        <w:t>的申请，我方以保证的方式向你方提供如下履约保证金担保：</w:t>
      </w:r>
    </w:p>
    <w:p w14:paraId="33D5A274">
      <w:pPr>
        <w:ind w:firstLine="480" w:firstLineChars="200"/>
        <w:rPr>
          <w:rFonts w:hint="eastAsia" w:ascii="仿宋" w:hAnsi="仿宋" w:eastAsia="仿宋"/>
          <w:sz w:val="24"/>
          <w:highlight w:val="none"/>
        </w:rPr>
      </w:pPr>
      <w:r>
        <w:rPr>
          <w:rFonts w:hint="eastAsia" w:ascii="仿宋" w:hAnsi="仿宋" w:eastAsia="仿宋"/>
          <w:sz w:val="24"/>
          <w:highlight w:val="none"/>
        </w:rPr>
        <w:t>一、保证责任的情形及保证金额</w:t>
      </w:r>
    </w:p>
    <w:p w14:paraId="5DAFC709">
      <w:pPr>
        <w:ind w:firstLine="480" w:firstLineChars="200"/>
        <w:rPr>
          <w:rFonts w:hint="eastAsia" w:ascii="仿宋" w:hAnsi="仿宋" w:eastAsia="仿宋"/>
          <w:sz w:val="24"/>
          <w:highlight w:val="none"/>
        </w:rPr>
      </w:pPr>
      <w:r>
        <w:rPr>
          <w:rFonts w:hint="eastAsia" w:ascii="仿宋" w:hAnsi="仿宋" w:eastAsia="仿宋"/>
          <w:sz w:val="24"/>
          <w:highlight w:val="none"/>
        </w:rPr>
        <w:t>（一）在</w:t>
      </w:r>
      <w:r>
        <w:rPr>
          <w:rFonts w:hint="eastAsia" w:ascii="仿宋" w:hAnsi="仿宋" w:eastAsia="仿宋"/>
          <w:sz w:val="24"/>
          <w:highlight w:val="none"/>
          <w:lang w:eastAsia="zh-CN"/>
        </w:rPr>
        <w:t>投标人</w:t>
      </w:r>
      <w:r>
        <w:rPr>
          <w:rFonts w:hint="eastAsia" w:ascii="仿宋" w:hAnsi="仿宋" w:eastAsia="仿宋"/>
          <w:sz w:val="24"/>
          <w:highlight w:val="none"/>
        </w:rPr>
        <w:t>出现下列情形之一时，我方承担保证责任：</w:t>
      </w:r>
    </w:p>
    <w:p w14:paraId="4CEED7B6">
      <w:pPr>
        <w:ind w:firstLine="480" w:firstLineChars="200"/>
        <w:rPr>
          <w:rFonts w:hint="eastAsia" w:ascii="仿宋" w:hAnsi="仿宋" w:eastAsia="仿宋"/>
          <w:sz w:val="24"/>
          <w:highlight w:val="none"/>
        </w:rPr>
      </w:pPr>
      <w:r>
        <w:rPr>
          <w:rFonts w:hint="eastAsia" w:ascii="仿宋" w:hAnsi="仿宋" w:eastAsia="仿宋"/>
          <w:sz w:val="24"/>
          <w:highlight w:val="none"/>
        </w:rPr>
        <w:t>1．将中标项目转让给他人，或者在投标文件中未说明，且未经采购招标机构人同意，将中标项目分包给他人的；</w:t>
      </w:r>
    </w:p>
    <w:p w14:paraId="463E2922">
      <w:pPr>
        <w:rPr>
          <w:rFonts w:hint="eastAsia" w:ascii="仿宋" w:hAnsi="仿宋" w:eastAsia="仿宋"/>
          <w:sz w:val="24"/>
          <w:highlight w:val="none"/>
          <w:lang w:eastAsia="zh-CN"/>
        </w:rPr>
      </w:pPr>
      <w:r>
        <w:rPr>
          <w:rFonts w:hint="eastAsia" w:ascii="仿宋" w:hAnsi="仿宋" w:eastAsia="仿宋"/>
          <w:sz w:val="24"/>
          <w:highlight w:val="none"/>
        </w:rPr>
        <w:t>　　2．主合同约定的应当缴纳履约保证金的情形:</w:t>
      </w:r>
    </w:p>
    <w:p w14:paraId="66504F78">
      <w:pPr>
        <w:ind w:firstLine="480" w:firstLineChars="200"/>
        <w:rPr>
          <w:rFonts w:hint="eastAsia" w:ascii="仿宋" w:hAnsi="仿宋" w:eastAsia="仿宋"/>
          <w:sz w:val="24"/>
          <w:highlight w:val="none"/>
        </w:rPr>
      </w:pPr>
      <w:r>
        <w:rPr>
          <w:rFonts w:hint="eastAsia" w:ascii="仿宋" w:hAnsi="仿宋" w:eastAsia="仿宋"/>
          <w:sz w:val="24"/>
          <w:highlight w:val="none"/>
        </w:rPr>
        <w:t>（1）未按主合同约定的质量、数量和期限供应货物/提供服务/完成工程的；</w:t>
      </w:r>
    </w:p>
    <w:p w14:paraId="68915FE9">
      <w:pPr>
        <w:ind w:firstLine="480" w:firstLineChars="200"/>
        <w:rPr>
          <w:rFonts w:hint="eastAsia" w:ascii="仿宋" w:hAnsi="仿宋" w:eastAsia="仿宋"/>
          <w:sz w:val="24"/>
          <w:highlight w:val="none"/>
        </w:rPr>
      </w:pPr>
      <w:r>
        <w:rPr>
          <w:rFonts w:hint="eastAsia" w:ascii="仿宋" w:hAnsi="仿宋" w:eastAsia="仿宋"/>
          <w:sz w:val="24"/>
          <w:highlight w:val="none"/>
        </w:rPr>
        <w:t>（2）。</w:t>
      </w:r>
    </w:p>
    <w:p w14:paraId="4321B65E">
      <w:pPr>
        <w:ind w:firstLine="480" w:firstLineChars="200"/>
        <w:rPr>
          <w:rFonts w:hint="eastAsia" w:ascii="仿宋" w:hAnsi="仿宋" w:eastAsia="仿宋"/>
          <w:sz w:val="24"/>
          <w:highlight w:val="none"/>
        </w:rPr>
      </w:pPr>
      <w:r>
        <w:rPr>
          <w:rFonts w:hint="eastAsia" w:ascii="仿宋" w:hAnsi="仿宋" w:eastAsia="仿宋"/>
          <w:sz w:val="24"/>
          <w:highlight w:val="none"/>
        </w:rPr>
        <w:t>（二）我方的保证范围是主合同约定的合同价款总额的%数额为元（大写），币种为。（即主合同履约保证金金额）</w:t>
      </w:r>
    </w:p>
    <w:p w14:paraId="6E12F746">
      <w:pPr>
        <w:ind w:firstLine="480" w:firstLineChars="200"/>
        <w:rPr>
          <w:rFonts w:hint="eastAsia" w:ascii="仿宋" w:hAnsi="仿宋" w:eastAsia="仿宋"/>
          <w:sz w:val="24"/>
          <w:highlight w:val="none"/>
        </w:rPr>
      </w:pPr>
      <w:r>
        <w:rPr>
          <w:rFonts w:hint="eastAsia" w:ascii="仿宋" w:hAnsi="仿宋" w:eastAsia="仿宋"/>
          <w:sz w:val="24"/>
          <w:highlight w:val="none"/>
        </w:rPr>
        <w:t>二、保证的方式及保证期间</w:t>
      </w:r>
    </w:p>
    <w:p w14:paraId="60B425CD">
      <w:pPr>
        <w:ind w:firstLine="480" w:firstLineChars="200"/>
        <w:rPr>
          <w:rFonts w:hint="eastAsia" w:ascii="仿宋" w:hAnsi="仿宋" w:eastAsia="仿宋"/>
          <w:sz w:val="24"/>
          <w:highlight w:val="none"/>
        </w:rPr>
      </w:pPr>
      <w:r>
        <w:rPr>
          <w:rFonts w:hint="eastAsia" w:ascii="仿宋" w:hAnsi="仿宋" w:eastAsia="仿宋"/>
          <w:sz w:val="24"/>
          <w:highlight w:val="none"/>
        </w:rPr>
        <w:t>我方保证的方式为：连带责任保证。</w:t>
      </w:r>
    </w:p>
    <w:p w14:paraId="432FD463">
      <w:pPr>
        <w:ind w:firstLine="480" w:firstLineChars="200"/>
        <w:rPr>
          <w:rFonts w:hint="eastAsia" w:ascii="仿宋" w:hAnsi="仿宋" w:eastAsia="仿宋"/>
          <w:sz w:val="24"/>
          <w:highlight w:val="none"/>
        </w:rPr>
      </w:pPr>
      <w:r>
        <w:rPr>
          <w:rFonts w:hint="eastAsia" w:ascii="仿宋" w:hAnsi="仿宋" w:eastAsia="仿宋"/>
          <w:sz w:val="24"/>
          <w:highlight w:val="none"/>
        </w:rPr>
        <w:t>我方保证的期间为：自本合同生效之日起至</w:t>
      </w:r>
      <w:r>
        <w:rPr>
          <w:rFonts w:hint="eastAsia" w:ascii="仿宋" w:hAnsi="仿宋" w:eastAsia="仿宋"/>
          <w:sz w:val="24"/>
          <w:highlight w:val="none"/>
          <w:lang w:eastAsia="zh-CN"/>
        </w:rPr>
        <w:t>投标人</w:t>
      </w:r>
      <w:r>
        <w:rPr>
          <w:rFonts w:hint="eastAsia" w:ascii="仿宋" w:hAnsi="仿宋" w:eastAsia="仿宋"/>
          <w:sz w:val="24"/>
          <w:highlight w:val="none"/>
        </w:rPr>
        <w:t>按照主合同约定的供货/完工期限届满后日内。</w:t>
      </w:r>
    </w:p>
    <w:p w14:paraId="3B355B6B">
      <w:pPr>
        <w:ind w:firstLine="480" w:firstLineChars="200"/>
        <w:rPr>
          <w:rFonts w:hint="eastAsia" w:ascii="仿宋" w:hAnsi="仿宋" w:eastAsia="仿宋"/>
          <w:sz w:val="24"/>
          <w:highlight w:val="none"/>
        </w:rPr>
      </w:pPr>
      <w:r>
        <w:rPr>
          <w:rFonts w:hint="eastAsia" w:ascii="仿宋" w:hAnsi="仿宋" w:eastAsia="仿宋"/>
          <w:sz w:val="24"/>
          <w:highlight w:val="none"/>
        </w:rPr>
        <w:t>如果</w:t>
      </w:r>
      <w:r>
        <w:rPr>
          <w:rFonts w:hint="eastAsia" w:ascii="仿宋" w:hAnsi="仿宋" w:eastAsia="仿宋"/>
          <w:sz w:val="24"/>
          <w:highlight w:val="none"/>
          <w:lang w:eastAsia="zh-CN"/>
        </w:rPr>
        <w:t>投标人</w:t>
      </w:r>
      <w:r>
        <w:rPr>
          <w:rFonts w:hint="eastAsia" w:ascii="仿宋" w:hAnsi="仿宋" w:eastAsia="仿宋"/>
          <w:sz w:val="24"/>
          <w:highlight w:val="none"/>
        </w:rPr>
        <w:t>未按主合同约定向贵方供应货物/提供服务/完成工程的，由我方在保证金额内向你方支付上述款项。</w:t>
      </w:r>
    </w:p>
    <w:p w14:paraId="7351571F">
      <w:pPr>
        <w:ind w:firstLine="480" w:firstLineChars="200"/>
        <w:rPr>
          <w:rFonts w:hint="eastAsia" w:ascii="仿宋" w:hAnsi="仿宋" w:eastAsia="仿宋"/>
          <w:sz w:val="24"/>
          <w:highlight w:val="none"/>
        </w:rPr>
      </w:pPr>
      <w:r>
        <w:rPr>
          <w:rFonts w:hint="eastAsia" w:ascii="仿宋" w:hAnsi="仿宋" w:eastAsia="仿宋"/>
          <w:sz w:val="24"/>
          <w:highlight w:val="none"/>
        </w:rPr>
        <w:t>三、承担保证责任的程序</w:t>
      </w:r>
    </w:p>
    <w:p w14:paraId="657A7049">
      <w:pPr>
        <w:ind w:firstLine="480" w:firstLineChars="200"/>
        <w:rPr>
          <w:rFonts w:hint="eastAsia" w:ascii="仿宋" w:hAnsi="仿宋" w:eastAsia="仿宋"/>
          <w:sz w:val="24"/>
          <w:highlight w:val="none"/>
        </w:rPr>
      </w:pPr>
      <w:r>
        <w:rPr>
          <w:rFonts w:hint="eastAsia" w:ascii="仿宋" w:hAnsi="仿宋" w:eastAsia="仿宋"/>
          <w:sz w:val="24"/>
          <w:highlight w:val="none"/>
        </w:rPr>
        <w:t>1．你方要求我方承担保证责任的，应在本保函保证期间内向我方发出书面索赔通知。索赔通知应写明要求索赔的金额，支付款项应到达的帐号。并附有证明</w:t>
      </w:r>
      <w:r>
        <w:rPr>
          <w:rFonts w:hint="eastAsia" w:ascii="仿宋" w:hAnsi="仿宋" w:eastAsia="仿宋"/>
          <w:sz w:val="24"/>
          <w:highlight w:val="none"/>
          <w:lang w:eastAsia="zh-CN"/>
        </w:rPr>
        <w:t>投标人</w:t>
      </w:r>
      <w:r>
        <w:rPr>
          <w:rFonts w:hint="eastAsia" w:ascii="仿宋" w:hAnsi="仿宋" w:eastAsia="仿宋"/>
          <w:sz w:val="24"/>
          <w:highlight w:val="none"/>
        </w:rPr>
        <w:t>违约事实的证明材料。</w:t>
      </w:r>
    </w:p>
    <w:p w14:paraId="4D9E6A90">
      <w:pPr>
        <w:ind w:firstLine="480" w:firstLineChars="200"/>
        <w:rPr>
          <w:rFonts w:hint="eastAsia" w:ascii="仿宋" w:hAnsi="仿宋" w:eastAsia="仿宋"/>
          <w:sz w:val="24"/>
          <w:highlight w:val="none"/>
        </w:rPr>
      </w:pPr>
      <w:r>
        <w:rPr>
          <w:rFonts w:hint="eastAsia" w:ascii="仿宋" w:hAnsi="仿宋" w:eastAsia="仿宋"/>
          <w:sz w:val="24"/>
          <w:highlight w:val="none"/>
        </w:rPr>
        <w:t>如果你方与</w:t>
      </w:r>
      <w:r>
        <w:rPr>
          <w:rFonts w:hint="eastAsia" w:ascii="仿宋" w:hAnsi="仿宋" w:eastAsia="仿宋"/>
          <w:sz w:val="24"/>
          <w:highlight w:val="none"/>
          <w:lang w:eastAsia="zh-CN"/>
        </w:rPr>
        <w:t>投标人</w:t>
      </w:r>
      <w:r>
        <w:rPr>
          <w:rFonts w:hint="eastAsia" w:ascii="仿宋" w:hAnsi="仿宋" w:eastAsia="仿宋"/>
          <w:sz w:val="24"/>
          <w:highlight w:val="none"/>
        </w:rPr>
        <w:t>因货物质量问题产生争议，你方还需同时提供部门出具的质量检测报告，或经诉讼（仲裁）程序裁决后的裁决书、调解书，本保证人即按照检测结果或裁决书、调解书决定是否承担保证责任。</w:t>
      </w:r>
    </w:p>
    <w:p w14:paraId="3A06AF14">
      <w:pPr>
        <w:ind w:firstLine="480" w:firstLineChars="200"/>
        <w:rPr>
          <w:rFonts w:hint="eastAsia" w:ascii="仿宋" w:hAnsi="仿宋" w:eastAsia="仿宋"/>
          <w:sz w:val="24"/>
          <w:highlight w:val="none"/>
        </w:rPr>
      </w:pPr>
      <w:r>
        <w:rPr>
          <w:rFonts w:hint="eastAsia" w:ascii="仿宋" w:hAnsi="仿宋" w:eastAsia="仿宋"/>
          <w:sz w:val="24"/>
          <w:highlight w:val="none"/>
        </w:rPr>
        <w:t>2．我方收到你方的书面索赔通知及相应证明材料，在工作日内进行核定后按照本保函的承诺承担保证责任。</w:t>
      </w:r>
    </w:p>
    <w:p w14:paraId="0E6FF789">
      <w:pPr>
        <w:ind w:firstLine="480" w:firstLineChars="200"/>
        <w:rPr>
          <w:rFonts w:hint="eastAsia" w:ascii="仿宋" w:hAnsi="仿宋" w:eastAsia="仿宋"/>
          <w:sz w:val="24"/>
          <w:highlight w:val="none"/>
        </w:rPr>
      </w:pPr>
      <w:r>
        <w:rPr>
          <w:rFonts w:hint="eastAsia" w:ascii="仿宋" w:hAnsi="仿宋" w:eastAsia="仿宋"/>
          <w:sz w:val="24"/>
          <w:highlight w:val="none"/>
        </w:rPr>
        <w:t>四、保证责任的终止</w:t>
      </w:r>
    </w:p>
    <w:p w14:paraId="6903FEE5">
      <w:pPr>
        <w:ind w:firstLine="480" w:firstLineChars="200"/>
        <w:rPr>
          <w:rFonts w:hint="eastAsia" w:ascii="仿宋" w:hAnsi="仿宋" w:eastAsia="仿宋"/>
          <w:sz w:val="24"/>
          <w:highlight w:val="none"/>
        </w:rPr>
      </w:pPr>
      <w:r>
        <w:rPr>
          <w:rFonts w:hint="eastAsia" w:ascii="仿宋" w:hAnsi="仿宋" w:eastAsia="仿宋"/>
          <w:sz w:val="24"/>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0E50735F">
      <w:pPr>
        <w:ind w:firstLine="480" w:firstLineChars="200"/>
        <w:rPr>
          <w:rFonts w:hint="eastAsia" w:ascii="仿宋" w:hAnsi="仿宋" w:eastAsia="仿宋"/>
          <w:sz w:val="24"/>
          <w:highlight w:val="none"/>
        </w:rPr>
      </w:pPr>
      <w:r>
        <w:rPr>
          <w:rFonts w:hint="eastAsia" w:ascii="仿宋" w:hAnsi="仿宋" w:eastAsia="仿宋"/>
          <w:sz w:val="24"/>
          <w:highlight w:val="none"/>
        </w:rPr>
        <w:t>2．我方按照本保函向你方履行了保证责任后，自我方向你方支付款项（支付款项从我方账户划出）之日起，保证责任即终止。</w:t>
      </w:r>
    </w:p>
    <w:p w14:paraId="786CA85D">
      <w:pPr>
        <w:ind w:firstLine="480" w:firstLineChars="200"/>
        <w:rPr>
          <w:rFonts w:hint="eastAsia" w:ascii="仿宋" w:hAnsi="仿宋" w:eastAsia="仿宋"/>
          <w:sz w:val="24"/>
          <w:highlight w:val="none"/>
        </w:rPr>
      </w:pPr>
      <w:r>
        <w:rPr>
          <w:rFonts w:hint="eastAsia" w:ascii="仿宋" w:hAnsi="仿宋" w:eastAsia="仿宋"/>
          <w:sz w:val="24"/>
          <w:highlight w:val="none"/>
        </w:rPr>
        <w:t>3．按照法律法规的规定或出现应终止我方保证责任的其它情形的，我方在本保函项下的保证责任亦终止。</w:t>
      </w:r>
    </w:p>
    <w:p w14:paraId="564822B1">
      <w:pPr>
        <w:ind w:firstLine="480" w:firstLineChars="200"/>
        <w:rPr>
          <w:rFonts w:hint="eastAsia" w:ascii="仿宋" w:hAnsi="仿宋" w:eastAsia="仿宋"/>
          <w:sz w:val="24"/>
          <w:highlight w:val="none"/>
        </w:rPr>
      </w:pPr>
      <w:r>
        <w:rPr>
          <w:rFonts w:hint="eastAsia" w:ascii="仿宋" w:hAnsi="仿宋" w:eastAsia="仿宋"/>
          <w:sz w:val="24"/>
          <w:highlight w:val="none"/>
        </w:rPr>
        <w:t>4．你方与</w:t>
      </w:r>
      <w:r>
        <w:rPr>
          <w:rFonts w:hint="eastAsia" w:ascii="仿宋" w:hAnsi="仿宋" w:eastAsia="仿宋"/>
          <w:sz w:val="24"/>
          <w:highlight w:val="none"/>
          <w:lang w:eastAsia="zh-CN"/>
        </w:rPr>
        <w:t>投标人</w:t>
      </w:r>
      <w:r>
        <w:rPr>
          <w:rFonts w:hint="eastAsia" w:ascii="仿宋" w:hAnsi="仿宋" w:eastAsia="仿宋"/>
          <w:sz w:val="24"/>
          <w:highlight w:val="none"/>
        </w:rPr>
        <w:t>修改主合同，加重我方保证责任的，我方对加重部分不承担保证责任，但该等修改事先经我方书面同意的除外；你方与</w:t>
      </w:r>
      <w:r>
        <w:rPr>
          <w:rFonts w:hint="eastAsia" w:ascii="仿宋" w:hAnsi="仿宋" w:eastAsia="仿宋"/>
          <w:sz w:val="24"/>
          <w:highlight w:val="none"/>
          <w:lang w:eastAsia="zh-CN"/>
        </w:rPr>
        <w:t>投标人</w:t>
      </w:r>
      <w:r>
        <w:rPr>
          <w:rFonts w:hint="eastAsia" w:ascii="仿宋" w:hAnsi="仿宋" w:eastAsia="仿宋"/>
          <w:sz w:val="24"/>
          <w:highlight w:val="none"/>
        </w:rPr>
        <w:t>修改主合同履行期限，我方保证期间仍依修改前的履行期限计算，但该等修改事先经我方书面同意的除外。</w:t>
      </w:r>
    </w:p>
    <w:p w14:paraId="29553357">
      <w:pPr>
        <w:ind w:firstLine="480" w:firstLineChars="200"/>
        <w:rPr>
          <w:rFonts w:hint="eastAsia" w:ascii="仿宋" w:hAnsi="仿宋" w:eastAsia="仿宋"/>
          <w:sz w:val="24"/>
          <w:highlight w:val="none"/>
        </w:rPr>
      </w:pPr>
      <w:r>
        <w:rPr>
          <w:rFonts w:hint="eastAsia" w:ascii="仿宋" w:hAnsi="仿宋" w:eastAsia="仿宋"/>
          <w:sz w:val="24"/>
          <w:highlight w:val="none"/>
        </w:rPr>
        <w:t>五、免责条款</w:t>
      </w:r>
    </w:p>
    <w:p w14:paraId="770B0002">
      <w:pPr>
        <w:ind w:firstLine="480" w:firstLineChars="200"/>
        <w:rPr>
          <w:rFonts w:hint="eastAsia" w:ascii="仿宋" w:hAnsi="仿宋" w:eastAsia="仿宋"/>
          <w:sz w:val="24"/>
          <w:highlight w:val="none"/>
        </w:rPr>
      </w:pPr>
      <w:r>
        <w:rPr>
          <w:rFonts w:hint="eastAsia" w:ascii="仿宋" w:hAnsi="仿宋" w:eastAsia="仿宋"/>
          <w:sz w:val="24"/>
          <w:highlight w:val="none"/>
        </w:rPr>
        <w:t>1．因你方违反主合同约定致使</w:t>
      </w:r>
      <w:r>
        <w:rPr>
          <w:rFonts w:hint="eastAsia" w:ascii="仿宋" w:hAnsi="仿宋" w:eastAsia="仿宋"/>
          <w:sz w:val="24"/>
          <w:highlight w:val="none"/>
          <w:lang w:eastAsia="zh-CN"/>
        </w:rPr>
        <w:t>投标人</w:t>
      </w:r>
      <w:r>
        <w:rPr>
          <w:rFonts w:hint="eastAsia" w:ascii="仿宋" w:hAnsi="仿宋" w:eastAsia="仿宋"/>
          <w:sz w:val="24"/>
          <w:highlight w:val="none"/>
        </w:rPr>
        <w:t>不能履行义务的，我方不承担保证责任。</w:t>
      </w:r>
    </w:p>
    <w:p w14:paraId="48A8FADE">
      <w:pPr>
        <w:ind w:firstLine="480" w:firstLineChars="200"/>
        <w:rPr>
          <w:rFonts w:hint="eastAsia" w:ascii="仿宋" w:hAnsi="仿宋" w:eastAsia="仿宋"/>
          <w:sz w:val="24"/>
          <w:highlight w:val="none"/>
        </w:rPr>
      </w:pPr>
      <w:r>
        <w:rPr>
          <w:rFonts w:hint="eastAsia" w:ascii="仿宋" w:hAnsi="仿宋" w:eastAsia="仿宋"/>
          <w:sz w:val="24"/>
          <w:highlight w:val="none"/>
        </w:rPr>
        <w:t>2．依照法律法规的规定或你方与</w:t>
      </w:r>
      <w:r>
        <w:rPr>
          <w:rFonts w:hint="eastAsia" w:ascii="仿宋" w:hAnsi="仿宋" w:eastAsia="仿宋"/>
          <w:sz w:val="24"/>
          <w:highlight w:val="none"/>
          <w:lang w:eastAsia="zh-CN"/>
        </w:rPr>
        <w:t>投标人</w:t>
      </w:r>
      <w:r>
        <w:rPr>
          <w:rFonts w:hint="eastAsia" w:ascii="仿宋" w:hAnsi="仿宋" w:eastAsia="仿宋"/>
          <w:sz w:val="24"/>
          <w:highlight w:val="none"/>
        </w:rPr>
        <w:t>的另行约定，全部或者部分免除</w:t>
      </w:r>
      <w:r>
        <w:rPr>
          <w:rFonts w:hint="eastAsia" w:ascii="仿宋" w:hAnsi="仿宋" w:eastAsia="仿宋"/>
          <w:sz w:val="24"/>
          <w:highlight w:val="none"/>
          <w:lang w:eastAsia="zh-CN"/>
        </w:rPr>
        <w:t>投标人</w:t>
      </w:r>
      <w:r>
        <w:rPr>
          <w:rFonts w:hint="eastAsia" w:ascii="仿宋" w:hAnsi="仿宋" w:eastAsia="仿宋"/>
          <w:sz w:val="24"/>
          <w:highlight w:val="none"/>
        </w:rPr>
        <w:t>应缴纳的保证金义务的，我方亦免除相应的保证责任。</w:t>
      </w:r>
    </w:p>
    <w:p w14:paraId="6FA998E9">
      <w:pPr>
        <w:ind w:firstLine="480" w:firstLineChars="200"/>
        <w:rPr>
          <w:rFonts w:hint="eastAsia" w:ascii="仿宋" w:hAnsi="仿宋" w:eastAsia="仿宋"/>
          <w:sz w:val="24"/>
          <w:highlight w:val="none"/>
        </w:rPr>
      </w:pPr>
      <w:r>
        <w:rPr>
          <w:rFonts w:hint="eastAsia" w:ascii="仿宋" w:hAnsi="仿宋" w:eastAsia="仿宋"/>
          <w:sz w:val="24"/>
          <w:highlight w:val="none"/>
        </w:rPr>
        <w:t>3．因不可抗力造成</w:t>
      </w:r>
      <w:r>
        <w:rPr>
          <w:rFonts w:hint="eastAsia" w:ascii="仿宋" w:hAnsi="仿宋" w:eastAsia="仿宋"/>
          <w:sz w:val="24"/>
          <w:highlight w:val="none"/>
          <w:lang w:eastAsia="zh-CN"/>
        </w:rPr>
        <w:t>投标人</w:t>
      </w:r>
      <w:r>
        <w:rPr>
          <w:rFonts w:hint="eastAsia" w:ascii="仿宋" w:hAnsi="仿宋" w:eastAsia="仿宋"/>
          <w:sz w:val="24"/>
          <w:highlight w:val="none"/>
        </w:rPr>
        <w:t>不能履行供货义务的，我方不承担保证责任。</w:t>
      </w:r>
    </w:p>
    <w:p w14:paraId="11D95461">
      <w:pPr>
        <w:ind w:firstLine="480" w:firstLineChars="200"/>
        <w:rPr>
          <w:rFonts w:hint="eastAsia" w:ascii="仿宋" w:hAnsi="仿宋" w:eastAsia="仿宋"/>
          <w:sz w:val="24"/>
          <w:highlight w:val="none"/>
        </w:rPr>
      </w:pPr>
      <w:r>
        <w:rPr>
          <w:rFonts w:hint="eastAsia" w:ascii="仿宋" w:hAnsi="仿宋" w:eastAsia="仿宋"/>
          <w:sz w:val="24"/>
          <w:highlight w:val="none"/>
        </w:rPr>
        <w:t>六、争议的解决</w:t>
      </w:r>
    </w:p>
    <w:p w14:paraId="25A49E14">
      <w:pPr>
        <w:ind w:firstLine="480" w:firstLineChars="200"/>
        <w:rPr>
          <w:rFonts w:hint="eastAsia" w:ascii="仿宋" w:hAnsi="仿宋" w:eastAsia="仿宋"/>
          <w:sz w:val="24"/>
          <w:highlight w:val="none"/>
        </w:rPr>
      </w:pPr>
      <w:r>
        <w:rPr>
          <w:rFonts w:hint="eastAsia" w:ascii="仿宋" w:hAnsi="仿宋" w:eastAsia="仿宋"/>
          <w:sz w:val="24"/>
          <w:highlight w:val="none"/>
        </w:rPr>
        <w:t>因本保函发生的纠纷，由你我双方协商解决，协商不成的，通过诉讼程序解决，诉讼管辖地法院为法院。</w:t>
      </w:r>
    </w:p>
    <w:p w14:paraId="7E444CD7">
      <w:pPr>
        <w:ind w:firstLine="480" w:firstLineChars="200"/>
        <w:rPr>
          <w:rFonts w:hint="eastAsia" w:ascii="仿宋" w:hAnsi="仿宋" w:eastAsia="仿宋"/>
          <w:sz w:val="24"/>
          <w:highlight w:val="none"/>
        </w:rPr>
      </w:pPr>
      <w:r>
        <w:rPr>
          <w:rFonts w:hint="eastAsia" w:ascii="仿宋" w:hAnsi="仿宋" w:eastAsia="仿宋"/>
          <w:sz w:val="24"/>
          <w:highlight w:val="none"/>
        </w:rPr>
        <w:t>七、保函的生效</w:t>
      </w:r>
    </w:p>
    <w:p w14:paraId="04B54EA4">
      <w:pPr>
        <w:ind w:firstLine="480" w:firstLineChars="200"/>
        <w:rPr>
          <w:rFonts w:hint="eastAsia" w:ascii="仿宋" w:hAnsi="仿宋" w:eastAsia="仿宋"/>
          <w:sz w:val="24"/>
          <w:highlight w:val="none"/>
        </w:rPr>
      </w:pPr>
      <w:r>
        <w:rPr>
          <w:rFonts w:hint="eastAsia" w:ascii="仿宋" w:hAnsi="仿宋" w:eastAsia="仿宋"/>
          <w:sz w:val="24"/>
          <w:highlight w:val="none"/>
        </w:rPr>
        <w:t>本保函自我方加盖公章之日起生效。</w:t>
      </w:r>
    </w:p>
    <w:p w14:paraId="457406D8">
      <w:pPr>
        <w:rPr>
          <w:rFonts w:ascii="仿宋" w:hAnsi="仿宋" w:eastAsia="仿宋"/>
          <w:sz w:val="24"/>
          <w:highlight w:val="none"/>
        </w:rPr>
      </w:pPr>
    </w:p>
    <w:p w14:paraId="328F6140">
      <w:pPr>
        <w:rPr>
          <w:rFonts w:hint="eastAsia" w:ascii="仿宋" w:hAnsi="仿宋" w:eastAsia="仿宋"/>
          <w:sz w:val="24"/>
          <w:highlight w:val="none"/>
          <w:lang w:eastAsia="zh-CN"/>
        </w:rPr>
      </w:pPr>
    </w:p>
    <w:p w14:paraId="60646222">
      <w:pPr>
        <w:ind w:firstLine="5400" w:firstLineChars="2250"/>
        <w:rPr>
          <w:rFonts w:hint="eastAsia" w:ascii="仿宋" w:hAnsi="仿宋" w:eastAsia="仿宋"/>
          <w:sz w:val="24"/>
          <w:highlight w:val="none"/>
        </w:rPr>
      </w:pPr>
      <w:r>
        <w:rPr>
          <w:rFonts w:hint="eastAsia" w:ascii="仿宋" w:hAnsi="仿宋" w:eastAsia="仿宋"/>
          <w:sz w:val="24"/>
          <w:highlight w:val="none"/>
        </w:rPr>
        <w:t>保证人：（公章）</w:t>
      </w:r>
    </w:p>
    <w:p w14:paraId="4948079C">
      <w:pPr>
        <w:rPr>
          <w:rFonts w:hint="eastAsia" w:ascii="仿宋" w:hAnsi="仿宋" w:eastAsia="仿宋"/>
          <w:sz w:val="24"/>
          <w:highlight w:val="none"/>
          <w:lang w:eastAsia="zh-CN"/>
        </w:rPr>
      </w:pPr>
    </w:p>
    <w:p w14:paraId="18C69F19">
      <w:pPr>
        <w:rPr>
          <w:rFonts w:hint="eastAsia" w:ascii="仿宋" w:hAnsi="仿宋" w:eastAsia="仿宋"/>
          <w:sz w:val="24"/>
          <w:highlight w:val="none"/>
        </w:rPr>
      </w:pPr>
      <w:r>
        <w:rPr>
          <w:rFonts w:hint="eastAsia" w:ascii="仿宋" w:hAnsi="仿宋" w:eastAsia="仿宋"/>
          <w:sz w:val="24"/>
          <w:highlight w:val="none"/>
        </w:rPr>
        <w:t>年月日</w:t>
      </w:r>
    </w:p>
    <w:p w14:paraId="0573F9AB">
      <w:pPr>
        <w:pStyle w:val="4"/>
        <w:spacing w:line="240" w:lineRule="atLeast"/>
        <w:ind w:firstLine="0"/>
        <w:rPr>
          <w:rFonts w:hint="eastAsia" w:ascii="仿宋_GB2312" w:hAnsi="Arial" w:eastAsia="仿宋_GB2312"/>
          <w:b/>
          <w:highlight w:val="none"/>
        </w:rPr>
      </w:pPr>
      <w:r>
        <w:rPr>
          <w:rFonts w:ascii="仿宋_GB2312" w:hAnsi="Arial" w:eastAsia="仿宋_GB2312"/>
          <w:b/>
          <w:highlight w:val="none"/>
        </w:rPr>
        <w:br w:type="page"/>
      </w:r>
    </w:p>
    <w:p w14:paraId="4049EFFD">
      <w:pPr>
        <w:pStyle w:val="2"/>
        <w:numPr>
          <w:ilvl w:val="0"/>
          <w:numId w:val="0"/>
        </w:numPr>
        <w:spacing w:before="0" w:after="0" w:line="240" w:lineRule="atLeast"/>
        <w:ind w:firstLine="2240" w:firstLineChars="700"/>
        <w:jc w:val="both"/>
        <w:rPr>
          <w:rFonts w:hint="eastAsia" w:ascii="仿宋_GB2312" w:eastAsia="仿宋_GB2312"/>
          <w:highlight w:val="none"/>
        </w:rPr>
      </w:pPr>
      <w:bookmarkStart w:id="190" w:name="_Toc515647802"/>
      <w:bookmarkStart w:id="191" w:name="_Toc702"/>
      <w:bookmarkStart w:id="192" w:name="_Toc23445"/>
      <w:bookmarkStart w:id="193" w:name="_Toc728"/>
      <w:bookmarkStart w:id="194" w:name="_Toc216582812"/>
      <w:r>
        <w:rPr>
          <w:rFonts w:hint="eastAsia" w:ascii="仿宋_GB2312" w:eastAsia="仿宋_GB2312"/>
          <w:highlight w:val="none"/>
          <w:lang w:eastAsia="zh-CN"/>
        </w:rPr>
        <w:t>第二章</w:t>
      </w:r>
      <w:r>
        <w:rPr>
          <w:rFonts w:hint="eastAsia" w:ascii="仿宋_GB2312" w:eastAsia="仿宋_GB2312"/>
          <w:highlight w:val="none"/>
        </w:rPr>
        <w:t>投标文件格式</w:t>
      </w:r>
      <w:bookmarkEnd w:id="190"/>
      <w:bookmarkEnd w:id="191"/>
      <w:bookmarkEnd w:id="192"/>
      <w:bookmarkEnd w:id="193"/>
      <w:bookmarkEnd w:id="194"/>
    </w:p>
    <w:p w14:paraId="22B096A1">
      <w:pPr>
        <w:spacing w:line="240" w:lineRule="atLeast"/>
        <w:ind w:left="735" w:leftChars="350" w:firstLine="120" w:firstLineChars="50"/>
        <w:rPr>
          <w:rFonts w:ascii="仿宋_GB2312" w:hAnsi="宋体" w:eastAsia="仿宋_GB2312"/>
          <w:sz w:val="24"/>
          <w:highlight w:val="none"/>
        </w:rPr>
      </w:pPr>
    </w:p>
    <w:p w14:paraId="1832C495">
      <w:pPr>
        <w:pStyle w:val="3"/>
        <w:spacing w:before="0" w:line="240" w:lineRule="atLeast"/>
        <w:ind w:left="1079" w:leftChars="257" w:hanging="540"/>
        <w:rPr>
          <w:rFonts w:ascii="仿宋_GB2312" w:hAnsi="宋体" w:eastAsia="仿宋_GB2312"/>
          <w:sz w:val="28"/>
          <w:szCs w:val="28"/>
          <w:highlight w:val="none"/>
        </w:rPr>
      </w:pPr>
      <w:bookmarkStart w:id="195" w:name="_Toc515647803"/>
      <w:bookmarkStart w:id="196" w:name="_Toc9228"/>
      <w:bookmarkStart w:id="197" w:name="_Toc18694"/>
      <w:bookmarkStart w:id="198" w:name="_Toc18974"/>
      <w:bookmarkStart w:id="199" w:name="_Toc1857"/>
      <w:r>
        <w:rPr>
          <w:rFonts w:ascii="仿宋_GB2312" w:hAnsi="宋体" w:eastAsia="仿宋_GB2312"/>
          <w:sz w:val="28"/>
          <w:szCs w:val="28"/>
          <w:highlight w:val="none"/>
        </w:rPr>
        <w:t>第一部分</w:t>
      </w:r>
      <w:r>
        <w:rPr>
          <w:rFonts w:hint="eastAsia" w:ascii="仿宋_GB2312" w:hAnsi="宋体" w:eastAsia="仿宋_GB2312"/>
          <w:sz w:val="28"/>
          <w:szCs w:val="28"/>
          <w:highlight w:val="none"/>
        </w:rPr>
        <w:t>开标一览表及资格证明文件</w:t>
      </w:r>
      <w:bookmarkEnd w:id="195"/>
      <w:bookmarkEnd w:id="196"/>
      <w:bookmarkEnd w:id="197"/>
      <w:bookmarkEnd w:id="198"/>
      <w:bookmarkEnd w:id="199"/>
    </w:p>
    <w:p w14:paraId="24CD6A05">
      <w:pPr>
        <w:tabs>
          <w:tab w:val="left" w:pos="5580"/>
        </w:tabs>
        <w:spacing w:line="240" w:lineRule="atLeast"/>
        <w:rPr>
          <w:rFonts w:hint="eastAsia" w:ascii="仿宋_GB2312" w:hAnsi="宋体" w:eastAsia="仿宋_GB2312"/>
          <w:sz w:val="24"/>
          <w:highlight w:val="none"/>
        </w:rPr>
      </w:pPr>
      <w:r>
        <w:rPr>
          <w:rFonts w:ascii="仿宋_GB2312" w:hAnsi="宋体" w:eastAsia="仿宋_GB2312"/>
          <w:sz w:val="24"/>
          <w:highlight w:val="none"/>
        </w:rPr>
        <w:t>1</w:t>
      </w:r>
      <w:r>
        <w:rPr>
          <w:rFonts w:hint="eastAsia" w:ascii="仿宋_GB2312" w:hAnsi="宋体" w:eastAsia="仿宋_GB2312"/>
          <w:sz w:val="24"/>
          <w:highlight w:val="none"/>
        </w:rPr>
        <w:t>、开标一览表（见</w:t>
      </w:r>
      <w:r>
        <w:rPr>
          <w:rFonts w:ascii="仿宋_GB2312" w:hAnsi="宋体" w:eastAsia="仿宋_GB2312"/>
          <w:sz w:val="24"/>
          <w:highlight w:val="none"/>
        </w:rPr>
        <w:t>投标文件</w:t>
      </w:r>
      <w:r>
        <w:rPr>
          <w:rFonts w:hint="eastAsia" w:ascii="仿宋_GB2312" w:hAnsi="宋体" w:eastAsia="仿宋_GB2312"/>
          <w:sz w:val="24"/>
          <w:highlight w:val="none"/>
        </w:rPr>
        <w:t>格式一）</w:t>
      </w:r>
      <w:r>
        <w:rPr>
          <w:rFonts w:ascii="仿宋_GB2312" w:hAnsi="宋体" w:eastAsia="仿宋_GB2312"/>
          <w:sz w:val="24"/>
          <w:highlight w:val="none"/>
        </w:rPr>
        <w:t>;</w:t>
      </w:r>
    </w:p>
    <w:p w14:paraId="452E29A9">
      <w:pPr>
        <w:pageBreakBefore w:val="0"/>
        <w:kinsoku/>
        <w:wordWrap/>
        <w:overflowPunct/>
        <w:topLinePunct w:val="0"/>
        <w:bidi w:val="0"/>
        <w:snapToGrid/>
        <w:spacing w:line="38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法人或者其他组织的营业执照等证明文件；</w:t>
      </w:r>
    </w:p>
    <w:p w14:paraId="55019ACB">
      <w:pPr>
        <w:pageBreakBefore w:val="0"/>
        <w:kinsoku/>
        <w:wordWrap/>
        <w:overflowPunct/>
        <w:topLinePunct w:val="0"/>
        <w:bidi w:val="0"/>
        <w:snapToGrid/>
        <w:spacing w:line="38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法定代表人授权书及被委托人身份证扫描件(法定代表人投标提供法定代表人身份证明及身份证扫描件)；</w:t>
      </w:r>
    </w:p>
    <w:p w14:paraId="547ED656">
      <w:pPr>
        <w:pageBreakBefore w:val="0"/>
        <w:kinsoku/>
        <w:wordWrap/>
        <w:overflowPunct/>
        <w:topLinePunct w:val="0"/>
        <w:bidi w:val="0"/>
        <w:snapToGrid/>
        <w:spacing w:line="380" w:lineRule="exact"/>
        <w:textAlignment w:val="auto"/>
        <w:rPr>
          <w:rFonts w:hint="eastAsia" w:ascii="仿宋_GB2312" w:hAnsi="Calibri" w:eastAsia="仿宋_GB2312" w:cs="Times New Roman"/>
          <w:color w:val="000000"/>
          <w:sz w:val="24"/>
          <w:highlight w:val="none"/>
          <w:lang w:val="zh-CN" w:eastAsia="zh-CN"/>
        </w:rPr>
      </w:pPr>
      <w:r>
        <w:rPr>
          <w:rFonts w:hint="eastAsia" w:ascii="仿宋" w:hAnsi="仿宋" w:eastAsia="仿宋" w:cs="仿宋"/>
          <w:sz w:val="24"/>
          <w:szCs w:val="24"/>
          <w:highlight w:val="none"/>
          <w:lang w:val="en-US" w:eastAsia="zh-CN"/>
        </w:rPr>
        <w:t>4、</w:t>
      </w:r>
      <w:r>
        <w:rPr>
          <w:rFonts w:hint="eastAsia" w:ascii="仿宋_GB2312" w:hAnsi="Calibri" w:eastAsia="仿宋_GB2312" w:cs="Times New Roman"/>
          <w:color w:val="000000"/>
          <w:sz w:val="24"/>
          <w:highlight w:val="none"/>
          <w:lang w:val="zh-CN" w:eastAsia="zh-CN"/>
        </w:rPr>
        <w:t>投标人提供依法缴纳的近三个月的社保缴纳记录</w:t>
      </w:r>
    </w:p>
    <w:p w14:paraId="36247581">
      <w:pPr>
        <w:pageBreakBefore w:val="0"/>
        <w:kinsoku/>
        <w:wordWrap/>
        <w:overflowPunct/>
        <w:topLinePunct w:val="0"/>
        <w:bidi w:val="0"/>
        <w:snapToGrid/>
        <w:spacing w:line="380" w:lineRule="exact"/>
        <w:textAlignment w:val="auto"/>
        <w:rPr>
          <w:rFonts w:hint="eastAsia" w:ascii="仿宋" w:hAnsi="仿宋" w:eastAsia="仿宋" w:cs="仿宋"/>
          <w:sz w:val="24"/>
          <w:szCs w:val="24"/>
          <w:highlight w:val="none"/>
          <w:lang w:eastAsia="zh-CN"/>
        </w:rPr>
      </w:pPr>
      <w:r>
        <w:rPr>
          <w:rFonts w:hint="eastAsia" w:ascii="仿宋_GB2312" w:hAnsi="Calibri" w:eastAsia="仿宋_GB2312" w:cs="Times New Roman"/>
          <w:color w:val="000000"/>
          <w:sz w:val="24"/>
          <w:highlight w:val="none"/>
          <w:lang w:val="en-US" w:eastAsia="zh-CN"/>
        </w:rPr>
        <w:t>5、投标人提供近三个月的税收良好记录证明(完税证明或税务部门出具的其他证明，非社会保险类)；</w:t>
      </w:r>
    </w:p>
    <w:p w14:paraId="6924694B">
      <w:pPr>
        <w:pageBreakBefore w:val="0"/>
        <w:kinsoku/>
        <w:wordWrap/>
        <w:overflowPunct/>
        <w:topLinePunct w:val="0"/>
        <w:bidi w:val="0"/>
        <w:snapToGrid/>
        <w:spacing w:line="38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lang w:eastAsia="zh-CN"/>
        </w:rPr>
        <w:t>具有2024年度财务审计报告(新成立公司提供开标前六个月内任意一个月有效银行资信证明)；</w:t>
      </w:r>
    </w:p>
    <w:p w14:paraId="132E1D72">
      <w:pPr>
        <w:pageBreakBefore w:val="0"/>
        <w:kinsoku/>
        <w:wordWrap/>
        <w:overflowPunct/>
        <w:topLinePunct w:val="0"/>
        <w:bidi w:val="0"/>
        <w:snapToGrid/>
        <w:spacing w:line="38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lang w:eastAsia="zh-CN"/>
        </w:rPr>
        <w:t>投标单位在“信用中国”(www.creditchina.gov.cn)网站上未列入重大税收违法失信主体、严重失信主体名单查询，在中国政府采购网(www.ccgp.gov.cn)网站上未列入政府采购严重违法失信行为记录名单;(以资格审查小组于递交投标文件截至当天在“信用中国”(www.creditchina.gov.cn)和中国政府采购网(www.ccgp.gov.cn)网站查询结果为准)。</w:t>
      </w:r>
    </w:p>
    <w:p w14:paraId="44151E08">
      <w:pPr>
        <w:pageBreakBefore w:val="0"/>
        <w:kinsoku/>
        <w:wordWrap/>
        <w:overflowPunct/>
        <w:topLinePunct w:val="0"/>
        <w:bidi w:val="0"/>
        <w:snapToGrid/>
        <w:spacing w:line="38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lang w:eastAsia="zh-CN"/>
        </w:rPr>
        <w:t>投标人提供针对本次项目《反商业贿赂承诺书》；</w:t>
      </w:r>
    </w:p>
    <w:p w14:paraId="5FE8FBE2">
      <w:pPr>
        <w:pageBreakBefore w:val="0"/>
        <w:kinsoku/>
        <w:wordWrap/>
        <w:overflowPunct/>
        <w:topLinePunct w:val="0"/>
        <w:bidi w:val="0"/>
        <w:snapToGrid/>
        <w:spacing w:line="38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lang w:eastAsia="zh-CN"/>
        </w:rPr>
        <w:t>投标人参加政府采购活动前3年内在经营活动中没有重大违法违规记录的书面声明；</w:t>
      </w:r>
    </w:p>
    <w:p w14:paraId="147B6483">
      <w:pPr>
        <w:pageBreakBefore w:val="0"/>
        <w:kinsoku/>
        <w:wordWrap/>
        <w:overflowPunct/>
        <w:topLinePunct w:val="0"/>
        <w:bidi w:val="0"/>
        <w:snapToGrid/>
        <w:spacing w:line="38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lang w:eastAsia="zh-CN"/>
        </w:rPr>
        <w:t>保证金缴纳的有效凭证；</w:t>
      </w:r>
    </w:p>
    <w:p w14:paraId="506A228A">
      <w:pPr>
        <w:pageBreakBefore w:val="0"/>
        <w:kinsoku/>
        <w:wordWrap/>
        <w:overflowPunct/>
        <w:topLinePunct w:val="0"/>
        <w:bidi w:val="0"/>
        <w:snapToGrid/>
        <w:spacing w:line="38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11、</w:t>
      </w:r>
      <w:r>
        <w:rPr>
          <w:rFonts w:hint="eastAsia" w:ascii="仿宋" w:hAnsi="仿宋" w:eastAsia="仿宋" w:cs="仿宋"/>
          <w:sz w:val="24"/>
          <w:szCs w:val="24"/>
          <w:highlight w:val="none"/>
          <w:lang w:eastAsia="zh-CN"/>
        </w:rPr>
        <w:t>《中小企业声明函》</w:t>
      </w:r>
    </w:p>
    <w:p w14:paraId="31A81BD9">
      <w:pPr>
        <w:pageBreakBefore w:val="0"/>
        <w:kinsoku/>
        <w:wordWrap/>
        <w:overflowPunct/>
        <w:topLinePunct w:val="0"/>
        <w:bidi w:val="0"/>
        <w:snapToGrid/>
        <w:spacing w:line="380" w:lineRule="exact"/>
        <w:textAlignment w:val="auto"/>
        <w:rPr>
          <w:rFonts w:hint="default" w:ascii="仿宋" w:hAnsi="仿宋" w:eastAsia="仿宋" w:cs="仿宋"/>
          <w:b w:val="0"/>
          <w:bCs w:val="0"/>
          <w:sz w:val="24"/>
          <w:szCs w:val="24"/>
          <w:highlight w:val="none"/>
          <w:lang w:val="en-US" w:eastAsia="zh-CN"/>
        </w:rPr>
      </w:pPr>
      <w:r>
        <w:rPr>
          <w:rFonts w:hint="eastAsia" w:ascii="仿宋" w:hAnsi="仿宋" w:eastAsia="仿宋" w:cs="仿宋"/>
          <w:sz w:val="24"/>
          <w:szCs w:val="24"/>
          <w:highlight w:val="none"/>
          <w:lang w:val="en-US" w:eastAsia="zh-CN"/>
        </w:rPr>
        <w:t>12、</w:t>
      </w:r>
      <w:r>
        <w:rPr>
          <w:rFonts w:hint="eastAsia" w:ascii="仿宋" w:hAnsi="仿宋" w:eastAsia="仿宋" w:cs="仿宋"/>
          <w:b w:val="0"/>
          <w:bCs w:val="0"/>
          <w:color w:val="000000"/>
          <w:sz w:val="24"/>
          <w:szCs w:val="24"/>
          <w:highlight w:val="none"/>
          <w:lang w:val="en-US" w:eastAsia="zh-CN"/>
        </w:rPr>
        <w:t>提供有效的《食品经营许可证》或《食品生产许可证》</w:t>
      </w:r>
    </w:p>
    <w:p w14:paraId="3F6E2D16">
      <w:pPr>
        <w:tabs>
          <w:tab w:val="left" w:pos="5580"/>
        </w:tabs>
        <w:spacing w:line="240" w:lineRule="atLeast"/>
        <w:rPr>
          <w:rFonts w:hint="default" w:ascii="仿宋_GB2312" w:hAnsi="宋体" w:eastAsia="仿宋_GB2312"/>
          <w:sz w:val="24"/>
          <w:highlight w:val="none"/>
          <w:lang w:val="en-US" w:eastAsia="zh-CN"/>
        </w:rPr>
      </w:pPr>
      <w:r>
        <w:rPr>
          <w:rFonts w:hint="eastAsia" w:ascii="仿宋_GB2312" w:hAnsi="宋体" w:eastAsia="仿宋_GB2312"/>
          <w:sz w:val="24"/>
          <w:highlight w:val="none"/>
          <w:lang w:val="en-US" w:eastAsia="zh-CN"/>
        </w:rPr>
        <w:t>13、</w:t>
      </w:r>
      <w:r>
        <w:rPr>
          <w:rFonts w:hint="eastAsia" w:ascii="仿宋_GB2312" w:hAnsi="宋体" w:eastAsia="仿宋_GB2312"/>
          <w:sz w:val="24"/>
          <w:highlight w:val="none"/>
        </w:rPr>
        <w:t>投标人须知资料表要求的其他资格证明文件</w:t>
      </w:r>
    </w:p>
    <w:p w14:paraId="0B64849B">
      <w:pPr>
        <w:tabs>
          <w:tab w:val="left" w:pos="5580"/>
        </w:tabs>
        <w:spacing w:line="240" w:lineRule="atLeast"/>
        <w:rPr>
          <w:rFonts w:ascii="仿宋_GB2312" w:hAnsi="宋体" w:eastAsia="仿宋_GB2312"/>
          <w:sz w:val="24"/>
          <w:highlight w:val="none"/>
        </w:rPr>
      </w:pPr>
    </w:p>
    <w:p w14:paraId="0F9576DD">
      <w:pPr>
        <w:tabs>
          <w:tab w:val="left" w:pos="5580"/>
        </w:tabs>
        <w:spacing w:line="240" w:lineRule="atLeast"/>
        <w:ind w:left="1" w:firstLine="564" w:firstLineChars="235"/>
        <w:rPr>
          <w:rFonts w:ascii="仿宋_GB2312" w:hAnsi="宋体" w:eastAsia="仿宋_GB2312"/>
          <w:sz w:val="24"/>
          <w:highlight w:val="none"/>
        </w:rPr>
      </w:pPr>
    </w:p>
    <w:p w14:paraId="08A19DFC">
      <w:pPr>
        <w:tabs>
          <w:tab w:val="left" w:pos="5580"/>
        </w:tabs>
        <w:spacing w:line="240" w:lineRule="atLeast"/>
        <w:ind w:left="1" w:firstLine="564" w:firstLineChars="235"/>
        <w:rPr>
          <w:rFonts w:ascii="仿宋_GB2312" w:hAnsi="宋体" w:eastAsia="仿宋_GB2312"/>
          <w:sz w:val="24"/>
          <w:highlight w:val="none"/>
        </w:rPr>
      </w:pPr>
    </w:p>
    <w:p w14:paraId="42B88E48">
      <w:pPr>
        <w:tabs>
          <w:tab w:val="left" w:pos="5580"/>
        </w:tabs>
        <w:spacing w:line="240" w:lineRule="atLeast"/>
        <w:ind w:left="1" w:firstLine="564" w:firstLineChars="235"/>
        <w:rPr>
          <w:rFonts w:ascii="仿宋_GB2312" w:hAnsi="宋体" w:eastAsia="仿宋_GB2312"/>
          <w:sz w:val="24"/>
          <w:highlight w:val="none"/>
        </w:rPr>
      </w:pPr>
    </w:p>
    <w:p w14:paraId="226EFE42">
      <w:pPr>
        <w:tabs>
          <w:tab w:val="left" w:pos="5580"/>
        </w:tabs>
        <w:spacing w:line="240" w:lineRule="atLeast"/>
        <w:ind w:left="1" w:firstLine="564" w:firstLineChars="235"/>
        <w:rPr>
          <w:rFonts w:hint="eastAsia" w:ascii="仿宋_GB2312" w:hAnsi="宋体" w:eastAsia="仿宋_GB2312"/>
          <w:sz w:val="24"/>
          <w:highlight w:val="none"/>
        </w:rPr>
      </w:pPr>
    </w:p>
    <w:p w14:paraId="3D45D90E">
      <w:pPr>
        <w:tabs>
          <w:tab w:val="left" w:pos="5580"/>
        </w:tabs>
        <w:spacing w:line="240" w:lineRule="atLeast"/>
        <w:ind w:left="1" w:firstLine="564" w:firstLineChars="235"/>
        <w:rPr>
          <w:rFonts w:ascii="仿宋_GB2312" w:hAnsi="宋体" w:eastAsia="仿宋_GB2312"/>
          <w:sz w:val="24"/>
          <w:highlight w:val="none"/>
        </w:rPr>
      </w:pPr>
    </w:p>
    <w:p w14:paraId="192A179F">
      <w:pPr>
        <w:tabs>
          <w:tab w:val="left" w:pos="5580"/>
        </w:tabs>
        <w:spacing w:line="240" w:lineRule="atLeast"/>
        <w:ind w:left="1" w:firstLine="564" w:firstLineChars="235"/>
        <w:rPr>
          <w:rFonts w:ascii="仿宋_GB2312" w:hAnsi="宋体" w:eastAsia="仿宋_GB2312"/>
          <w:sz w:val="24"/>
          <w:highlight w:val="none"/>
        </w:rPr>
      </w:pPr>
    </w:p>
    <w:p w14:paraId="266F197C">
      <w:pPr>
        <w:tabs>
          <w:tab w:val="left" w:pos="5580"/>
        </w:tabs>
        <w:spacing w:line="240" w:lineRule="atLeast"/>
        <w:ind w:left="1" w:firstLine="564" w:firstLineChars="235"/>
        <w:rPr>
          <w:rFonts w:ascii="仿宋_GB2312" w:hAnsi="宋体" w:eastAsia="仿宋_GB2312"/>
          <w:sz w:val="24"/>
          <w:highlight w:val="none"/>
        </w:rPr>
      </w:pPr>
    </w:p>
    <w:p w14:paraId="3C155859">
      <w:pPr>
        <w:tabs>
          <w:tab w:val="left" w:pos="5580"/>
        </w:tabs>
        <w:spacing w:line="240" w:lineRule="atLeast"/>
        <w:ind w:left="1" w:firstLine="564" w:firstLineChars="235"/>
        <w:rPr>
          <w:rFonts w:ascii="仿宋_GB2312" w:hAnsi="宋体" w:eastAsia="仿宋_GB2312"/>
          <w:sz w:val="24"/>
          <w:highlight w:val="none"/>
        </w:rPr>
      </w:pPr>
    </w:p>
    <w:p w14:paraId="0BF20E77">
      <w:pPr>
        <w:tabs>
          <w:tab w:val="left" w:pos="5580"/>
        </w:tabs>
        <w:spacing w:line="240" w:lineRule="atLeast"/>
        <w:ind w:left="1" w:firstLine="564" w:firstLineChars="235"/>
        <w:rPr>
          <w:rFonts w:ascii="仿宋_GB2312" w:hAnsi="宋体" w:eastAsia="仿宋_GB2312"/>
          <w:sz w:val="24"/>
          <w:highlight w:val="none"/>
        </w:rPr>
      </w:pPr>
    </w:p>
    <w:p w14:paraId="5023EF40">
      <w:pPr>
        <w:tabs>
          <w:tab w:val="left" w:pos="5580"/>
        </w:tabs>
        <w:spacing w:line="240" w:lineRule="atLeast"/>
        <w:ind w:left="1" w:firstLine="564" w:firstLineChars="235"/>
        <w:rPr>
          <w:rFonts w:ascii="仿宋_GB2312" w:hAnsi="宋体" w:eastAsia="仿宋_GB2312"/>
          <w:sz w:val="24"/>
          <w:highlight w:val="none"/>
        </w:rPr>
      </w:pPr>
    </w:p>
    <w:p w14:paraId="2A18BEE6">
      <w:pPr>
        <w:tabs>
          <w:tab w:val="left" w:pos="5580"/>
        </w:tabs>
        <w:spacing w:line="240" w:lineRule="atLeast"/>
        <w:ind w:left="1" w:firstLine="564" w:firstLineChars="235"/>
        <w:rPr>
          <w:rFonts w:ascii="仿宋_GB2312" w:hAnsi="宋体" w:eastAsia="仿宋_GB2312"/>
          <w:sz w:val="24"/>
          <w:highlight w:val="none"/>
        </w:rPr>
      </w:pPr>
    </w:p>
    <w:p w14:paraId="44868BE9">
      <w:pPr>
        <w:tabs>
          <w:tab w:val="left" w:pos="5580"/>
        </w:tabs>
        <w:spacing w:line="240" w:lineRule="atLeast"/>
        <w:ind w:left="1" w:firstLine="564" w:firstLineChars="235"/>
        <w:rPr>
          <w:rFonts w:hint="eastAsia" w:ascii="仿宋_GB2312" w:hAnsi="宋体" w:eastAsia="仿宋_GB2312"/>
          <w:sz w:val="24"/>
          <w:highlight w:val="none"/>
        </w:rPr>
      </w:pPr>
    </w:p>
    <w:p w14:paraId="7E882E54">
      <w:pPr>
        <w:pStyle w:val="3"/>
        <w:spacing w:before="0" w:line="240" w:lineRule="atLeast"/>
        <w:ind w:left="1079" w:leftChars="257" w:hanging="540"/>
        <w:rPr>
          <w:rFonts w:hint="eastAsia" w:ascii="仿宋" w:hAnsi="仿宋" w:eastAsia="仿宋" w:cs="仿宋"/>
          <w:sz w:val="24"/>
          <w:highlight w:val="none"/>
        </w:rPr>
      </w:pPr>
      <w:bookmarkStart w:id="200" w:name="_Toc30524"/>
      <w:bookmarkStart w:id="201" w:name="_Toc29195"/>
      <w:bookmarkStart w:id="202" w:name="_Toc16568"/>
      <w:bookmarkStart w:id="203" w:name="_Toc515647804"/>
      <w:bookmarkStart w:id="204" w:name="_Toc28593"/>
      <w:r>
        <w:rPr>
          <w:rFonts w:hint="eastAsia" w:ascii="仿宋" w:hAnsi="仿宋" w:eastAsia="仿宋" w:cs="仿宋"/>
          <w:sz w:val="24"/>
          <w:highlight w:val="none"/>
        </w:rPr>
        <w:t>1</w:t>
      </w:r>
      <w:r>
        <w:rPr>
          <w:rFonts w:hint="eastAsia" w:ascii="仿宋" w:hAnsi="仿宋" w:eastAsia="仿宋" w:cs="仿宋"/>
          <w:sz w:val="24"/>
          <w:highlight w:val="none"/>
          <w:lang w:eastAsia="zh-CN"/>
        </w:rPr>
        <w:t>、</w:t>
      </w:r>
      <w:r>
        <w:rPr>
          <w:rFonts w:hint="eastAsia" w:ascii="仿宋" w:hAnsi="仿宋" w:eastAsia="仿宋" w:cs="仿宋"/>
          <w:sz w:val="24"/>
          <w:highlight w:val="none"/>
        </w:rPr>
        <w:t>开标一览表（投标文件格式一）</w:t>
      </w:r>
      <w:bookmarkEnd w:id="200"/>
      <w:bookmarkEnd w:id="201"/>
      <w:bookmarkEnd w:id="202"/>
      <w:bookmarkEnd w:id="203"/>
      <w:bookmarkEnd w:id="204"/>
    </w:p>
    <w:p w14:paraId="3DFAE1A5">
      <w:pPr>
        <w:pStyle w:val="15"/>
        <w:tabs>
          <w:tab w:val="left" w:pos="5580"/>
        </w:tabs>
        <w:spacing w:line="240" w:lineRule="atLeast"/>
        <w:ind w:left="268" w:leftChars="128"/>
        <w:rPr>
          <w:rFonts w:ascii="仿宋_GB2312" w:hAnsi="宋体" w:eastAsia="仿宋_GB2312"/>
          <w:sz w:val="24"/>
          <w:highlight w:val="none"/>
        </w:rPr>
      </w:pPr>
    </w:p>
    <w:p w14:paraId="75EF078D">
      <w:pPr>
        <w:pStyle w:val="15"/>
        <w:tabs>
          <w:tab w:val="left" w:pos="5580"/>
        </w:tabs>
        <w:spacing w:line="240" w:lineRule="atLeast"/>
        <w:ind w:left="268" w:leftChars="128"/>
        <w:rPr>
          <w:rFonts w:hint="eastAsia" w:ascii="仿宋_GB2312" w:hAnsi="宋体" w:eastAsia="仿宋_GB2312"/>
          <w:sz w:val="24"/>
          <w:szCs w:val="24"/>
          <w:highlight w:val="none"/>
        </w:rPr>
      </w:pPr>
    </w:p>
    <w:p w14:paraId="32DF93A7">
      <w:pPr>
        <w:pStyle w:val="4"/>
        <w:tabs>
          <w:tab w:val="left" w:pos="5580"/>
        </w:tabs>
        <w:spacing w:line="240" w:lineRule="atLeast"/>
        <w:ind w:left="1079" w:leftChars="257" w:hanging="540"/>
        <w:jc w:val="center"/>
        <w:rPr>
          <w:rFonts w:ascii="仿宋_GB2312" w:hAnsi="宋体" w:eastAsia="仿宋_GB2312"/>
          <w:b/>
          <w:highlight w:val="none"/>
        </w:rPr>
      </w:pPr>
      <w:bookmarkStart w:id="205" w:name="_Hlt520356241"/>
      <w:bookmarkEnd w:id="205"/>
      <w:bookmarkStart w:id="206" w:name="_Toc494296984"/>
      <w:bookmarkStart w:id="207" w:name="_Toc480942349"/>
      <w:bookmarkStart w:id="208" w:name="_Ref467988698"/>
      <w:bookmarkStart w:id="209" w:name="_Toc520356217"/>
      <w:bookmarkStart w:id="210" w:name="_Toc216582813"/>
      <w:r>
        <w:rPr>
          <w:rFonts w:hint="eastAsia" w:ascii="仿宋_GB2312" w:hAnsi="宋体" w:eastAsia="仿宋_GB2312"/>
          <w:b/>
          <w:highlight w:val="none"/>
        </w:rPr>
        <w:t>开标一览表</w:t>
      </w:r>
      <w:bookmarkEnd w:id="206"/>
    </w:p>
    <w:p w14:paraId="01DDE19A">
      <w:pPr>
        <w:pStyle w:val="4"/>
        <w:tabs>
          <w:tab w:val="left" w:pos="5580"/>
        </w:tabs>
        <w:spacing w:line="240" w:lineRule="atLeast"/>
        <w:ind w:left="1079" w:leftChars="257" w:hanging="540"/>
        <w:rPr>
          <w:rFonts w:hint="eastAsia" w:ascii="仿宋_GB2312" w:hAnsi="宋体" w:eastAsia="仿宋_GB2312"/>
          <w:highlight w:val="none"/>
        </w:rPr>
      </w:pPr>
    </w:p>
    <w:p w14:paraId="032922DA">
      <w:pPr>
        <w:pStyle w:val="10"/>
        <w:rPr>
          <w:rFonts w:hint="default" w:ascii="仿宋_GB2312" w:hAnsi="宋体" w:eastAsia="仿宋_GB2312"/>
          <w:color w:val="000000"/>
          <w:sz w:val="24"/>
          <w:highlight w:val="none"/>
          <w:lang w:val="en-US" w:eastAsia="zh-CN"/>
        </w:rPr>
      </w:pPr>
      <w:r>
        <w:rPr>
          <w:rFonts w:hint="eastAsia" w:ascii="仿宋_GB2312" w:hAnsi="宋体" w:eastAsia="仿宋_GB2312"/>
          <w:sz w:val="24"/>
          <w:highlight w:val="none"/>
        </w:rPr>
        <w:t>项目名称：　</w:t>
      </w:r>
      <w:r>
        <w:rPr>
          <w:rFonts w:hint="eastAsia" w:ascii="仿宋_GB2312" w:hAnsi="宋体" w:eastAsia="仿宋_GB2312"/>
          <w:sz w:val="24"/>
          <w:highlight w:val="none"/>
          <w:lang w:val="en-US" w:eastAsia="zh-CN"/>
        </w:rPr>
        <w:t xml:space="preserve">      </w:t>
      </w:r>
      <w:r>
        <w:rPr>
          <w:rFonts w:hint="eastAsia" w:ascii="仿宋_GB2312" w:hAnsi="宋体" w:eastAsia="仿宋_GB2312"/>
          <w:sz w:val="24"/>
          <w:highlight w:val="none"/>
        </w:rPr>
        <w:t>招标编号：</w:t>
      </w:r>
      <w:r>
        <w:rPr>
          <w:rFonts w:hint="eastAsia" w:ascii="仿宋_GB2312" w:hAnsi="宋体" w:eastAsia="仿宋_GB2312"/>
          <w:sz w:val="24"/>
          <w:highlight w:val="none"/>
          <w:lang w:val="en-US" w:eastAsia="zh-CN"/>
        </w:rPr>
        <w:t xml:space="preserve">      </w:t>
      </w:r>
      <w:r>
        <w:rPr>
          <w:rFonts w:hint="eastAsia" w:ascii="仿宋_GB2312" w:hAnsi="宋体" w:eastAsia="仿宋_GB2312"/>
          <w:sz w:val="24"/>
          <w:highlight w:val="none"/>
        </w:rPr>
        <w:t>报价单位</w:t>
      </w:r>
      <w:r>
        <w:rPr>
          <w:rFonts w:hint="eastAsia" w:ascii="仿宋_GB2312" w:hAnsi="宋体" w:eastAsia="仿宋_GB2312" w:cs="Times New Roman"/>
          <w:sz w:val="24"/>
          <w:highlight w:val="none"/>
        </w:rPr>
        <w:t>：</w:t>
      </w:r>
      <w:r>
        <w:rPr>
          <w:rFonts w:hint="eastAsia" w:ascii="仿宋_GB2312" w:hAnsi="宋体" w:eastAsia="仿宋_GB2312" w:cs="Times New Roman"/>
          <w:sz w:val="24"/>
          <w:highlight w:val="none"/>
          <w:lang w:val="en-US" w:eastAsia="zh-CN"/>
        </w:rPr>
        <w:t>元/下浮率（%）     包号：</w:t>
      </w:r>
    </w:p>
    <w:p w14:paraId="1A3B1A7A">
      <w:pPr>
        <w:tabs>
          <w:tab w:val="left" w:pos="1800"/>
          <w:tab w:val="left" w:pos="5580"/>
        </w:tabs>
        <w:spacing w:line="240" w:lineRule="atLeast"/>
        <w:ind w:left="1079" w:leftChars="257" w:right="-867" w:rightChars="-413" w:hanging="540"/>
        <w:rPr>
          <w:rFonts w:hint="eastAsia" w:ascii="仿宋_GB2312" w:hAnsi="宋体" w:eastAsia="仿宋_GB2312"/>
          <w:sz w:val="24"/>
          <w:highlight w:val="none"/>
          <w:lang w:eastAsia="zh-CN"/>
        </w:rPr>
      </w:pPr>
    </w:p>
    <w:tbl>
      <w:tblPr>
        <w:tblStyle w:val="37"/>
        <w:tblW w:w="9375" w:type="dxa"/>
        <w:tblInd w:w="39" w:type="dxa"/>
        <w:tblLayout w:type="fixed"/>
        <w:tblCellMar>
          <w:top w:w="0" w:type="dxa"/>
          <w:left w:w="0" w:type="dxa"/>
          <w:bottom w:w="0" w:type="dxa"/>
          <w:right w:w="0" w:type="dxa"/>
        </w:tblCellMar>
      </w:tblPr>
      <w:tblGrid>
        <w:gridCol w:w="2040"/>
        <w:gridCol w:w="3190"/>
        <w:gridCol w:w="2322"/>
        <w:gridCol w:w="1823"/>
      </w:tblGrid>
      <w:tr w14:paraId="3F2B4942">
        <w:tblPrEx>
          <w:tblCellMar>
            <w:top w:w="0" w:type="dxa"/>
            <w:left w:w="0" w:type="dxa"/>
            <w:bottom w:w="0" w:type="dxa"/>
            <w:right w:w="0" w:type="dxa"/>
          </w:tblCellMar>
        </w:tblPrEx>
        <w:trPr>
          <w:trHeight w:val="887" w:hRule="atLeast"/>
        </w:trPr>
        <w:tc>
          <w:tcPr>
            <w:tcW w:w="2040" w:type="dxa"/>
            <w:tcBorders>
              <w:top w:val="single" w:color="auto" w:sz="4" w:space="0"/>
              <w:left w:val="single" w:color="auto" w:sz="4" w:space="0"/>
              <w:bottom w:val="single" w:color="auto" w:sz="8" w:space="0"/>
              <w:right w:val="single" w:color="auto" w:sz="4" w:space="0"/>
            </w:tcBorders>
            <w:noWrap w:val="0"/>
            <w:vAlign w:val="center"/>
          </w:tcPr>
          <w:p w14:paraId="51BCBB54">
            <w:pPr>
              <w:tabs>
                <w:tab w:val="left" w:pos="5580"/>
              </w:tabs>
              <w:spacing w:line="240" w:lineRule="atLeast"/>
              <w:ind w:right="-199"/>
              <w:jc w:val="center"/>
              <w:rPr>
                <w:rFonts w:ascii="仿宋" w:hAnsi="仿宋" w:eastAsia="仿宋" w:cs="仿宋"/>
                <w:sz w:val="24"/>
                <w:highlight w:val="none"/>
              </w:rPr>
            </w:pPr>
            <w:r>
              <w:rPr>
                <w:rFonts w:hint="eastAsia" w:ascii="仿宋" w:hAnsi="仿宋" w:eastAsia="仿宋" w:cs="仿宋"/>
                <w:spacing w:val="-1"/>
                <w:sz w:val="24"/>
                <w:szCs w:val="24"/>
              </w:rPr>
              <w:t>项目名称</w:t>
            </w:r>
          </w:p>
        </w:tc>
        <w:tc>
          <w:tcPr>
            <w:tcW w:w="3190" w:type="dxa"/>
            <w:tcBorders>
              <w:top w:val="single" w:color="auto" w:sz="4" w:space="0"/>
              <w:left w:val="single" w:color="auto" w:sz="8" w:space="0"/>
              <w:bottom w:val="single" w:color="auto" w:sz="8" w:space="0"/>
              <w:right w:val="single" w:color="auto" w:sz="4" w:space="0"/>
            </w:tcBorders>
            <w:noWrap w:val="0"/>
            <w:vAlign w:val="center"/>
          </w:tcPr>
          <w:p w14:paraId="12D1F13C">
            <w:pPr>
              <w:tabs>
                <w:tab w:val="left" w:pos="5580"/>
              </w:tabs>
              <w:spacing w:line="240" w:lineRule="atLeast"/>
              <w:jc w:val="center"/>
              <w:rPr>
                <w:rFonts w:hint="eastAsia" w:ascii="仿宋" w:hAnsi="仿宋" w:eastAsia="仿宋" w:cs="仿宋"/>
                <w:sz w:val="24"/>
                <w:highlight w:val="none"/>
                <w:lang w:eastAsia="zh-CN"/>
              </w:rPr>
            </w:pPr>
            <w:r>
              <w:rPr>
                <w:rFonts w:hint="eastAsia" w:ascii="仿宋" w:hAnsi="仿宋" w:eastAsia="仿宋" w:cs="仿宋"/>
                <w:sz w:val="24"/>
                <w:highlight w:val="none"/>
              </w:rPr>
              <w:t>投标</w:t>
            </w:r>
            <w:r>
              <w:rPr>
                <w:rFonts w:hint="eastAsia" w:ascii="仿宋" w:hAnsi="仿宋" w:eastAsia="仿宋" w:cs="仿宋"/>
                <w:sz w:val="24"/>
                <w:highlight w:val="none"/>
                <w:lang w:eastAsia="zh-CN"/>
              </w:rPr>
              <w:t>报价（</w:t>
            </w:r>
            <w:r>
              <w:rPr>
                <w:rFonts w:hint="eastAsia" w:ascii="仿宋" w:hAnsi="仿宋" w:eastAsia="仿宋" w:cs="仿宋"/>
                <w:sz w:val="24"/>
                <w:highlight w:val="none"/>
                <w:lang w:val="en-US" w:eastAsia="zh-CN"/>
              </w:rPr>
              <w:t>元/下浮率</w:t>
            </w:r>
            <w:r>
              <w:rPr>
                <w:rFonts w:hint="eastAsia" w:ascii="仿宋" w:hAnsi="仿宋" w:eastAsia="仿宋" w:cs="仿宋"/>
                <w:sz w:val="24"/>
                <w:highlight w:val="none"/>
                <w:lang w:eastAsia="zh-CN"/>
              </w:rPr>
              <w:t>）</w:t>
            </w:r>
          </w:p>
        </w:tc>
        <w:tc>
          <w:tcPr>
            <w:tcW w:w="2322" w:type="dxa"/>
            <w:tcBorders>
              <w:top w:val="single" w:color="auto" w:sz="8" w:space="0"/>
              <w:left w:val="nil"/>
              <w:bottom w:val="single" w:color="auto" w:sz="8" w:space="0"/>
              <w:right w:val="single" w:color="auto" w:sz="4" w:space="0"/>
            </w:tcBorders>
            <w:noWrap w:val="0"/>
            <w:vAlign w:val="center"/>
          </w:tcPr>
          <w:p w14:paraId="0251515E">
            <w:pPr>
              <w:tabs>
                <w:tab w:val="left" w:pos="5580"/>
              </w:tabs>
              <w:spacing w:line="240" w:lineRule="atLeast"/>
              <w:jc w:val="center"/>
              <w:rPr>
                <w:rFonts w:ascii="仿宋" w:hAnsi="仿宋" w:eastAsia="仿宋" w:cs="仿宋"/>
                <w:sz w:val="24"/>
                <w:highlight w:val="none"/>
              </w:rPr>
            </w:pPr>
            <w:r>
              <w:rPr>
                <w:rFonts w:hint="eastAsia" w:ascii="仿宋" w:hAnsi="仿宋" w:eastAsia="仿宋" w:cs="仿宋"/>
                <w:sz w:val="24"/>
                <w:highlight w:val="none"/>
                <w:lang w:eastAsia="zh-CN"/>
              </w:rPr>
              <w:t>供</w:t>
            </w:r>
            <w:r>
              <w:rPr>
                <w:rFonts w:hint="eastAsia" w:ascii="仿宋" w:hAnsi="仿宋" w:eastAsia="仿宋" w:cs="仿宋"/>
                <w:sz w:val="24"/>
                <w:highlight w:val="none"/>
              </w:rPr>
              <w:t>货期</w:t>
            </w:r>
          </w:p>
        </w:tc>
        <w:tc>
          <w:tcPr>
            <w:tcW w:w="1823" w:type="dxa"/>
            <w:tcBorders>
              <w:top w:val="single" w:color="auto" w:sz="8" w:space="0"/>
              <w:left w:val="single" w:color="auto" w:sz="4" w:space="0"/>
              <w:bottom w:val="single" w:color="auto" w:sz="8" w:space="0"/>
              <w:right w:val="single" w:color="auto" w:sz="8" w:space="0"/>
            </w:tcBorders>
            <w:noWrap w:val="0"/>
            <w:vAlign w:val="center"/>
          </w:tcPr>
          <w:p w14:paraId="75973E7D">
            <w:pPr>
              <w:tabs>
                <w:tab w:val="left" w:pos="5580"/>
              </w:tabs>
              <w:spacing w:line="240" w:lineRule="atLeast"/>
              <w:jc w:val="center"/>
              <w:rPr>
                <w:rFonts w:ascii="仿宋" w:hAnsi="仿宋" w:eastAsia="仿宋" w:cs="仿宋"/>
                <w:sz w:val="24"/>
                <w:highlight w:val="none"/>
              </w:rPr>
            </w:pPr>
            <w:r>
              <w:rPr>
                <w:rFonts w:hint="eastAsia" w:ascii="仿宋" w:hAnsi="仿宋" w:eastAsia="仿宋" w:cs="仿宋"/>
                <w:sz w:val="24"/>
                <w:highlight w:val="none"/>
              </w:rPr>
              <w:t>备注</w:t>
            </w:r>
          </w:p>
        </w:tc>
      </w:tr>
      <w:tr w14:paraId="2EA0540E">
        <w:tblPrEx>
          <w:tblCellMar>
            <w:top w:w="0" w:type="dxa"/>
            <w:left w:w="0" w:type="dxa"/>
            <w:bottom w:w="0" w:type="dxa"/>
            <w:right w:w="0" w:type="dxa"/>
          </w:tblCellMar>
        </w:tblPrEx>
        <w:trPr>
          <w:cantSplit/>
          <w:trHeight w:val="1887" w:hRule="atLeast"/>
        </w:trPr>
        <w:tc>
          <w:tcPr>
            <w:tcW w:w="2040" w:type="dxa"/>
            <w:tcBorders>
              <w:top w:val="single" w:color="auto" w:sz="8" w:space="0"/>
              <w:left w:val="single" w:color="auto" w:sz="4" w:space="0"/>
              <w:bottom w:val="single" w:color="auto" w:sz="8" w:space="0"/>
              <w:right w:val="single" w:color="auto" w:sz="4" w:space="0"/>
            </w:tcBorders>
            <w:noWrap w:val="0"/>
            <w:vAlign w:val="center"/>
          </w:tcPr>
          <w:p w14:paraId="3DDC3937">
            <w:pPr>
              <w:tabs>
                <w:tab w:val="left" w:pos="5580"/>
              </w:tabs>
              <w:spacing w:line="240" w:lineRule="atLeast"/>
              <w:jc w:val="both"/>
              <w:rPr>
                <w:rFonts w:hint="eastAsia" w:ascii="仿宋" w:hAnsi="仿宋" w:eastAsia="仿宋" w:cs="仿宋"/>
                <w:sz w:val="24"/>
                <w:highlight w:val="none"/>
                <w:lang w:eastAsia="zh-CN"/>
              </w:rPr>
            </w:pPr>
          </w:p>
        </w:tc>
        <w:tc>
          <w:tcPr>
            <w:tcW w:w="3190" w:type="dxa"/>
            <w:tcBorders>
              <w:top w:val="single" w:color="auto" w:sz="8" w:space="0"/>
              <w:left w:val="single" w:color="auto" w:sz="8" w:space="0"/>
              <w:bottom w:val="single" w:color="auto" w:sz="8" w:space="0"/>
              <w:right w:val="single" w:color="auto" w:sz="4" w:space="0"/>
            </w:tcBorders>
            <w:noWrap w:val="0"/>
            <w:vAlign w:val="center"/>
          </w:tcPr>
          <w:p w14:paraId="20FD88E1">
            <w:pPr>
              <w:pStyle w:val="89"/>
              <w:spacing w:before="78" w:line="465" w:lineRule="exact"/>
              <w:ind w:left="19"/>
              <w:rPr>
                <w:rFonts w:hint="eastAsia" w:cs="仿宋"/>
                <w:spacing w:val="-7"/>
                <w:position w:val="16"/>
                <w:lang w:val="en-US" w:eastAsia="zh-CN"/>
              </w:rPr>
            </w:pPr>
            <w:r>
              <w:rPr>
                <w:rFonts w:hint="eastAsia" w:cs="仿宋"/>
                <w:spacing w:val="-7"/>
                <w:position w:val="16"/>
                <w:lang w:val="en-US" w:eastAsia="zh-CN"/>
              </w:rPr>
              <w:t>小写：</w:t>
            </w:r>
          </w:p>
          <w:p w14:paraId="0F16A4B5">
            <w:pPr>
              <w:tabs>
                <w:tab w:val="left" w:pos="5580"/>
              </w:tabs>
              <w:spacing w:line="240" w:lineRule="atLeast"/>
              <w:jc w:val="left"/>
              <w:rPr>
                <w:rFonts w:hint="eastAsia" w:ascii="仿宋" w:hAnsi="仿宋" w:eastAsia="仿宋" w:cs="仿宋"/>
                <w:sz w:val="24"/>
                <w:highlight w:val="none"/>
              </w:rPr>
            </w:pPr>
            <w:r>
              <w:rPr>
                <w:rFonts w:hint="eastAsia" w:ascii="仿宋" w:hAnsi="仿宋" w:eastAsia="仿宋" w:cs="仿宋"/>
                <w:spacing w:val="-7"/>
                <w:kern w:val="2"/>
                <w:position w:val="16"/>
                <w:sz w:val="24"/>
                <w:szCs w:val="24"/>
                <w:lang w:val="en-US" w:eastAsia="zh-CN" w:bidi="ar-SA"/>
              </w:rPr>
              <w:t>大写：</w:t>
            </w:r>
          </w:p>
        </w:tc>
        <w:tc>
          <w:tcPr>
            <w:tcW w:w="2322" w:type="dxa"/>
            <w:tcBorders>
              <w:top w:val="single" w:color="auto" w:sz="8" w:space="0"/>
              <w:left w:val="nil"/>
              <w:bottom w:val="single" w:color="auto" w:sz="8" w:space="0"/>
              <w:right w:val="single" w:color="auto" w:sz="4" w:space="0"/>
            </w:tcBorders>
            <w:noWrap w:val="0"/>
            <w:vAlign w:val="center"/>
          </w:tcPr>
          <w:p w14:paraId="536AD9DE">
            <w:pPr>
              <w:tabs>
                <w:tab w:val="left" w:pos="5580"/>
              </w:tabs>
              <w:spacing w:line="240" w:lineRule="atLeast"/>
              <w:ind w:left="1079" w:leftChars="257" w:hanging="540"/>
              <w:jc w:val="center"/>
              <w:rPr>
                <w:rFonts w:ascii="仿宋" w:hAnsi="仿宋" w:eastAsia="仿宋" w:cs="仿宋"/>
                <w:sz w:val="24"/>
                <w:highlight w:val="none"/>
              </w:rPr>
            </w:pPr>
          </w:p>
        </w:tc>
        <w:tc>
          <w:tcPr>
            <w:tcW w:w="1823" w:type="dxa"/>
            <w:tcBorders>
              <w:top w:val="single" w:color="auto" w:sz="8" w:space="0"/>
              <w:left w:val="single" w:color="auto" w:sz="4" w:space="0"/>
              <w:bottom w:val="single" w:color="auto" w:sz="8" w:space="0"/>
              <w:right w:val="single" w:color="auto" w:sz="8" w:space="0"/>
            </w:tcBorders>
            <w:noWrap w:val="0"/>
            <w:vAlign w:val="center"/>
          </w:tcPr>
          <w:p w14:paraId="26D0B49F">
            <w:pPr>
              <w:tabs>
                <w:tab w:val="left" w:pos="5580"/>
              </w:tabs>
              <w:spacing w:line="240" w:lineRule="atLeast"/>
              <w:ind w:left="1079" w:leftChars="257" w:hanging="540"/>
              <w:jc w:val="center"/>
              <w:rPr>
                <w:rFonts w:ascii="仿宋" w:hAnsi="仿宋" w:eastAsia="仿宋" w:cs="仿宋"/>
                <w:sz w:val="24"/>
                <w:highlight w:val="none"/>
              </w:rPr>
            </w:pPr>
          </w:p>
        </w:tc>
      </w:tr>
    </w:tbl>
    <w:p w14:paraId="2B1253FE">
      <w:pPr>
        <w:pStyle w:val="15"/>
        <w:tabs>
          <w:tab w:val="left" w:pos="5580"/>
        </w:tabs>
        <w:spacing w:line="240" w:lineRule="atLeast"/>
        <w:ind w:left="1079" w:leftChars="257" w:hanging="540"/>
        <w:rPr>
          <w:rFonts w:hint="eastAsia" w:ascii="仿宋_GB2312" w:hAnsi="宋体" w:eastAsia="仿宋_GB2312"/>
          <w:sz w:val="24"/>
          <w:highlight w:val="none"/>
          <w:u w:val="single"/>
        </w:rPr>
      </w:pPr>
    </w:p>
    <w:p w14:paraId="0A42AFE7">
      <w:pPr>
        <w:pStyle w:val="15"/>
        <w:tabs>
          <w:tab w:val="left" w:pos="5580"/>
        </w:tabs>
        <w:spacing w:line="240" w:lineRule="atLeast"/>
        <w:ind w:left="1079" w:leftChars="257" w:hanging="540"/>
        <w:rPr>
          <w:rFonts w:ascii="仿宋" w:hAnsi="仿宋" w:eastAsia="仿宋" w:cs="仿宋"/>
          <w:sz w:val="24"/>
          <w:highlight w:val="none"/>
          <w:u w:val="single"/>
        </w:rPr>
      </w:pPr>
    </w:p>
    <w:p w14:paraId="003DF6AA">
      <w:pPr>
        <w:pStyle w:val="15"/>
        <w:tabs>
          <w:tab w:val="left" w:pos="5580"/>
        </w:tabs>
        <w:spacing w:line="600" w:lineRule="auto"/>
        <w:ind w:left="1079" w:leftChars="257" w:hanging="540"/>
        <w:rPr>
          <w:rFonts w:hint="eastAsia" w:ascii="仿宋" w:hAnsi="仿宋" w:eastAsia="仿宋" w:cs="仿宋"/>
          <w:sz w:val="24"/>
          <w:highlight w:val="none"/>
          <w:u w:val="single"/>
          <w:lang w:val="en-US" w:eastAsia="zh-CN"/>
        </w:rPr>
      </w:pPr>
      <w:r>
        <w:rPr>
          <w:rFonts w:hint="eastAsia" w:ascii="仿宋" w:hAnsi="仿宋" w:eastAsia="仿宋" w:cs="仿宋"/>
          <w:sz w:val="24"/>
          <w:highlight w:val="none"/>
        </w:rPr>
        <w:t>投标人名称（单位盖章）：</w:t>
      </w:r>
    </w:p>
    <w:p w14:paraId="19B1E774">
      <w:pPr>
        <w:pStyle w:val="15"/>
        <w:tabs>
          <w:tab w:val="left" w:pos="5580"/>
        </w:tabs>
        <w:spacing w:line="600" w:lineRule="auto"/>
        <w:ind w:left="1079" w:leftChars="257" w:hanging="540"/>
        <w:rPr>
          <w:rFonts w:ascii="仿宋" w:hAnsi="仿宋" w:eastAsia="仿宋" w:cs="仿宋"/>
          <w:sz w:val="24"/>
          <w:highlight w:val="none"/>
          <w:u w:val="single"/>
        </w:rPr>
      </w:pPr>
      <w:r>
        <w:rPr>
          <w:rFonts w:hint="eastAsia" w:ascii="仿宋" w:hAnsi="仿宋" w:eastAsia="仿宋" w:cs="仿宋"/>
          <w:sz w:val="24"/>
          <w:highlight w:val="none"/>
        </w:rPr>
        <w:t>法定代表人或委托代理(签字</w:t>
      </w:r>
      <w:r>
        <w:rPr>
          <w:rFonts w:hint="eastAsia" w:ascii="仿宋" w:hAnsi="仿宋" w:eastAsia="仿宋" w:cs="仿宋"/>
          <w:sz w:val="24"/>
          <w:highlight w:val="none"/>
          <w:lang w:val="en-US" w:eastAsia="zh-CN"/>
        </w:rPr>
        <w:t>或盖章</w:t>
      </w:r>
      <w:r>
        <w:rPr>
          <w:rFonts w:hint="eastAsia" w:ascii="仿宋" w:hAnsi="仿宋" w:eastAsia="仿宋" w:cs="仿宋"/>
          <w:sz w:val="24"/>
          <w:highlight w:val="none"/>
        </w:rPr>
        <w:t>):</w:t>
      </w:r>
      <w:r>
        <w:rPr>
          <w:rFonts w:hint="eastAsia" w:ascii="仿宋" w:hAnsi="仿宋" w:eastAsia="仿宋" w:cs="仿宋"/>
          <w:sz w:val="24"/>
          <w:highlight w:val="none"/>
          <w:u w:val="single"/>
        </w:rPr>
        <w:tab/>
      </w:r>
    </w:p>
    <w:p w14:paraId="72CD3F8D">
      <w:pPr>
        <w:numPr>
          <w:ilvl w:val="0"/>
          <w:numId w:val="6"/>
        </w:numPr>
        <w:spacing w:before="192" w:line="360" w:lineRule="auto"/>
        <w:rPr>
          <w:rFonts w:hint="eastAsia" w:ascii="仿宋" w:hAnsi="仿宋" w:eastAsia="仿宋" w:cs="仿宋"/>
          <w:spacing w:val="-1"/>
          <w:sz w:val="24"/>
          <w:szCs w:val="24"/>
        </w:rPr>
      </w:pPr>
      <w:r>
        <w:rPr>
          <w:rFonts w:hint="eastAsia" w:ascii="仿宋" w:hAnsi="仿宋" w:eastAsia="仿宋" w:cs="仿宋"/>
          <w:b/>
          <w:bCs/>
          <w:color w:val="auto"/>
          <w:sz w:val="24"/>
          <w:szCs w:val="24"/>
        </w:rPr>
        <w:t>注：</w:t>
      </w:r>
      <w:r>
        <w:rPr>
          <w:rFonts w:hint="eastAsia" w:ascii="仿宋" w:hAnsi="仿宋" w:eastAsia="仿宋" w:cs="仿宋"/>
          <w:spacing w:val="-1"/>
          <w:sz w:val="24"/>
          <w:szCs w:val="24"/>
          <w:lang w:eastAsia="zh-CN"/>
        </w:rPr>
        <w:t>“开标一览表”中的报价包含招标文件中规定的所有采购货物且数量一致，投标报价应包含货物购置成本税、管理费、仓储、运杂费、保险、第三方检测机构产品质量检测费、装卸费、配送费、食品责任保险费、食品检验费、售后服务等一切与本次项目相关的费用</w:t>
      </w:r>
      <w:r>
        <w:rPr>
          <w:rFonts w:hint="eastAsia" w:ascii="仿宋" w:hAnsi="仿宋" w:eastAsia="仿宋" w:cs="仿宋"/>
          <w:spacing w:val="-1"/>
          <w:sz w:val="24"/>
          <w:szCs w:val="24"/>
        </w:rPr>
        <w:t>。</w:t>
      </w:r>
    </w:p>
    <w:p w14:paraId="283F451A">
      <w:pPr>
        <w:numPr>
          <w:ilvl w:val="0"/>
          <w:numId w:val="6"/>
        </w:numPr>
        <w:spacing w:before="192" w:line="360" w:lineRule="auto"/>
        <w:rPr>
          <w:rFonts w:hint="eastAsia" w:ascii="仿宋" w:hAnsi="仿宋" w:eastAsia="仿宋" w:cs="仿宋"/>
          <w:sz w:val="24"/>
          <w:szCs w:val="24"/>
        </w:rPr>
      </w:pPr>
      <w:r>
        <w:rPr>
          <w:rFonts w:hint="eastAsia" w:ascii="仿宋" w:hAnsi="仿宋" w:eastAsia="仿宋" w:cs="仿宋"/>
          <w:spacing w:val="2"/>
          <w:sz w:val="24"/>
          <w:szCs w:val="24"/>
        </w:rPr>
        <w:t>如评标委员会认为投标人的报价明显低于其他通过符合性检查投标人的</w:t>
      </w:r>
      <w:r>
        <w:rPr>
          <w:rFonts w:hint="eastAsia" w:ascii="仿宋" w:hAnsi="仿宋" w:eastAsia="仿宋" w:cs="仿宋"/>
          <w:spacing w:val="-1"/>
          <w:sz w:val="24"/>
          <w:szCs w:val="24"/>
        </w:rPr>
        <w:t>报价，有可能影响履约的，且投标人未按照规</w:t>
      </w:r>
      <w:r>
        <w:rPr>
          <w:rFonts w:hint="eastAsia" w:ascii="仿宋" w:hAnsi="仿宋" w:eastAsia="仿宋" w:cs="仿宋"/>
          <w:spacing w:val="-2"/>
          <w:sz w:val="24"/>
          <w:szCs w:val="24"/>
        </w:rPr>
        <w:t>定证明其报价合理性的；必须</w:t>
      </w:r>
      <w:r>
        <w:rPr>
          <w:rFonts w:hint="eastAsia" w:ascii="仿宋" w:hAnsi="仿宋" w:eastAsia="仿宋" w:cs="仿宋"/>
          <w:spacing w:val="-1"/>
          <w:sz w:val="24"/>
          <w:szCs w:val="24"/>
        </w:rPr>
        <w:t>提供报价成本及合理利润分析说明，否则投标无效。</w:t>
      </w:r>
    </w:p>
    <w:p w14:paraId="63B85959">
      <w:pPr>
        <w:numPr>
          <w:ilvl w:val="0"/>
          <w:numId w:val="6"/>
        </w:numPr>
        <w:spacing w:before="192" w:line="360" w:lineRule="auto"/>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投标人根据所投标段自行填写货物单价或下浮率。第一包投标人需报所投货物单价（</w:t>
      </w:r>
      <w:r>
        <w:rPr>
          <w:rFonts w:hint="eastAsia" w:ascii="仿宋" w:hAnsi="仿宋" w:eastAsia="仿宋" w:cs="仿宋"/>
          <w:b/>
          <w:bCs/>
          <w:spacing w:val="-1"/>
          <w:sz w:val="24"/>
          <w:szCs w:val="24"/>
          <w:lang w:val="en-US" w:eastAsia="zh-CN"/>
        </w:rPr>
        <w:t>投标报价为所有货物单价合计</w:t>
      </w:r>
      <w:r>
        <w:rPr>
          <w:rFonts w:hint="eastAsia" w:ascii="仿宋" w:hAnsi="仿宋" w:eastAsia="仿宋" w:cs="仿宋"/>
          <w:b/>
          <w:bCs/>
          <w:color w:val="auto"/>
          <w:sz w:val="24"/>
          <w:szCs w:val="24"/>
          <w:lang w:val="en-US" w:eastAsia="zh-CN"/>
        </w:rPr>
        <w:t>）；第二包、第三包投标人需报所投货物下浮率（同一包所有货物只能有一个下浮率）</w:t>
      </w:r>
      <w:r>
        <w:rPr>
          <w:rFonts w:hint="eastAsia" w:ascii="仿宋" w:hAnsi="仿宋" w:eastAsia="仿宋" w:cs="仿宋"/>
          <w:b/>
          <w:bCs/>
          <w:spacing w:val="-1"/>
          <w:sz w:val="24"/>
          <w:szCs w:val="24"/>
          <w:lang w:val="en-US" w:eastAsia="zh-CN"/>
        </w:rPr>
        <w:t>。</w:t>
      </w:r>
    </w:p>
    <w:p w14:paraId="494AA7EE">
      <w:pPr>
        <w:numPr>
          <w:ilvl w:val="0"/>
          <w:numId w:val="0"/>
        </w:numPr>
        <w:spacing w:before="192" w:line="360" w:lineRule="auto"/>
        <w:rPr>
          <w:rFonts w:hint="eastAsia" w:ascii="仿宋" w:hAnsi="仿宋" w:eastAsia="仿宋" w:cs="仿宋"/>
          <w:b/>
          <w:bCs/>
          <w:color w:val="auto"/>
          <w:sz w:val="24"/>
          <w:szCs w:val="24"/>
        </w:rPr>
      </w:pPr>
    </w:p>
    <w:p w14:paraId="70F51D1E">
      <w:pPr>
        <w:pStyle w:val="15"/>
        <w:tabs>
          <w:tab w:val="left" w:pos="5580"/>
        </w:tabs>
        <w:spacing w:line="240" w:lineRule="atLeast"/>
        <w:ind w:left="1079" w:leftChars="257" w:hanging="540"/>
        <w:jc w:val="center"/>
        <w:rPr>
          <w:rFonts w:hint="eastAsia" w:ascii="仿宋_GB2312" w:hAnsi="宋体" w:eastAsia="仿宋_GB2312"/>
          <w:b/>
          <w:sz w:val="24"/>
          <w:highlight w:val="none"/>
        </w:rPr>
      </w:pPr>
    </w:p>
    <w:p w14:paraId="081A98AB">
      <w:pPr>
        <w:pStyle w:val="15"/>
        <w:tabs>
          <w:tab w:val="left" w:pos="5580"/>
        </w:tabs>
        <w:spacing w:line="240" w:lineRule="atLeast"/>
        <w:ind w:left="1079" w:leftChars="257" w:hanging="540"/>
        <w:jc w:val="center"/>
        <w:rPr>
          <w:rFonts w:hint="eastAsia" w:ascii="仿宋" w:hAnsi="仿宋" w:eastAsia="仿宋" w:cs="仿宋"/>
          <w:b/>
          <w:bCs/>
          <w:sz w:val="24"/>
          <w:highlight w:val="none"/>
        </w:rPr>
      </w:pPr>
      <w:bookmarkStart w:id="211" w:name="_Toc223"/>
      <w:bookmarkStart w:id="212" w:name="_Toc518923109"/>
    </w:p>
    <w:p w14:paraId="21E46247">
      <w:pPr>
        <w:pStyle w:val="15"/>
        <w:tabs>
          <w:tab w:val="left" w:pos="5580"/>
        </w:tabs>
        <w:spacing w:line="240" w:lineRule="atLeast"/>
        <w:ind w:left="1079" w:leftChars="257" w:hanging="540"/>
        <w:jc w:val="center"/>
        <w:rPr>
          <w:rFonts w:hint="eastAsia" w:ascii="仿宋" w:hAnsi="仿宋" w:eastAsia="仿宋" w:cs="仿宋"/>
          <w:b/>
          <w:bCs/>
          <w:sz w:val="24"/>
          <w:highlight w:val="none"/>
          <w:lang w:val="zh-CN" w:eastAsia="zh-CN"/>
        </w:rPr>
      </w:pPr>
      <w:r>
        <w:rPr>
          <w:rFonts w:hint="eastAsia" w:ascii="仿宋" w:hAnsi="仿宋" w:eastAsia="仿宋" w:cs="仿宋"/>
          <w:b/>
          <w:bCs/>
          <w:sz w:val="24"/>
          <w:highlight w:val="none"/>
        </w:rPr>
        <w:t>2</w:t>
      </w:r>
      <w:bookmarkEnd w:id="211"/>
      <w:bookmarkEnd w:id="212"/>
      <w:r>
        <w:rPr>
          <w:rFonts w:hint="eastAsia" w:ascii="仿宋" w:hAnsi="仿宋" w:eastAsia="仿宋" w:cs="仿宋"/>
          <w:b/>
          <w:bCs/>
          <w:sz w:val="24"/>
          <w:highlight w:val="none"/>
          <w:lang w:eastAsia="zh-CN"/>
        </w:rPr>
        <w:t>、</w:t>
      </w:r>
      <w:r>
        <w:rPr>
          <w:rFonts w:hint="eastAsia" w:ascii="仿宋" w:hAnsi="仿宋" w:eastAsia="仿宋" w:cs="仿宋"/>
          <w:b/>
          <w:color w:val="000000"/>
          <w:kern w:val="0"/>
          <w:sz w:val="24"/>
          <w:szCs w:val="20"/>
          <w:highlight w:val="none"/>
          <w:u w:val="none"/>
          <w:lang w:val="zh-CN" w:eastAsia="zh-CN" w:bidi="ar-SA"/>
        </w:rPr>
        <w:t>法人或者其他组织的营业执照等证明文件</w:t>
      </w:r>
      <w:r>
        <w:rPr>
          <w:rFonts w:hint="eastAsia" w:ascii="仿宋" w:hAnsi="仿宋" w:eastAsia="仿宋" w:cs="仿宋"/>
          <w:b/>
          <w:bCs/>
          <w:sz w:val="24"/>
          <w:highlight w:val="none"/>
          <w:lang w:val="en-US" w:eastAsia="zh-CN"/>
        </w:rPr>
        <w:t>;</w:t>
      </w:r>
    </w:p>
    <w:p w14:paraId="21EB105E">
      <w:pPr>
        <w:pStyle w:val="15"/>
        <w:tabs>
          <w:tab w:val="left" w:pos="5580"/>
        </w:tabs>
        <w:spacing w:line="240" w:lineRule="atLeast"/>
        <w:ind w:left="1079" w:leftChars="257" w:hanging="540"/>
        <w:rPr>
          <w:rFonts w:hint="eastAsia" w:ascii="仿宋_GB2312" w:hAnsi="宋体" w:eastAsia="仿宋_GB2312"/>
          <w:b/>
          <w:bCs/>
          <w:sz w:val="24"/>
          <w:highlight w:val="none"/>
          <w:lang w:val="en-US" w:eastAsia="zh-CN"/>
        </w:rPr>
      </w:pPr>
    </w:p>
    <w:p w14:paraId="3AFB317D">
      <w:pPr>
        <w:pStyle w:val="15"/>
        <w:tabs>
          <w:tab w:val="left" w:pos="5580"/>
        </w:tabs>
        <w:spacing w:line="240" w:lineRule="atLeast"/>
        <w:ind w:left="1079" w:leftChars="257" w:hanging="540"/>
        <w:rPr>
          <w:rFonts w:hint="eastAsia" w:ascii="仿宋_GB2312" w:hAnsi="宋体" w:eastAsia="仿宋_GB2312"/>
          <w:sz w:val="24"/>
          <w:highlight w:val="none"/>
        </w:rPr>
      </w:pPr>
    </w:p>
    <w:p w14:paraId="0312D6D3">
      <w:pPr>
        <w:pStyle w:val="15"/>
        <w:tabs>
          <w:tab w:val="left" w:pos="5580"/>
        </w:tabs>
        <w:spacing w:line="240" w:lineRule="atLeast"/>
        <w:ind w:left="1079" w:leftChars="257" w:hanging="540"/>
        <w:rPr>
          <w:rFonts w:hint="eastAsia" w:ascii="仿宋_GB2312" w:hAnsi="宋体" w:eastAsia="仿宋_GB2312"/>
          <w:sz w:val="24"/>
          <w:highlight w:val="none"/>
        </w:rPr>
      </w:pPr>
    </w:p>
    <w:p w14:paraId="60B49D48">
      <w:pPr>
        <w:pStyle w:val="15"/>
        <w:tabs>
          <w:tab w:val="left" w:pos="5580"/>
        </w:tabs>
        <w:spacing w:line="240" w:lineRule="atLeast"/>
        <w:ind w:left="1079" w:leftChars="257" w:hanging="540"/>
        <w:jc w:val="center"/>
        <w:rPr>
          <w:rFonts w:hint="eastAsia" w:ascii="仿宋_GB2312" w:hAnsi="宋体" w:eastAsia="仿宋_GB2312"/>
          <w:sz w:val="24"/>
          <w:highlight w:val="none"/>
        </w:rPr>
      </w:pPr>
      <w:r>
        <w:rPr>
          <w:rFonts w:hint="eastAsia" w:ascii="仿宋_GB2312" w:hAnsi="宋体" w:eastAsia="仿宋_GB2312"/>
          <w:sz w:val="24"/>
          <w:highlight w:val="none"/>
          <w:lang w:val="en-US" w:eastAsia="zh-CN"/>
        </w:rPr>
        <w:t>说明：提供有效的营业执照等证明文件并加盖本单位公章</w:t>
      </w:r>
    </w:p>
    <w:p w14:paraId="79C5DC8D">
      <w:pPr>
        <w:pStyle w:val="15"/>
        <w:tabs>
          <w:tab w:val="left" w:pos="5580"/>
        </w:tabs>
        <w:spacing w:line="240" w:lineRule="atLeast"/>
        <w:ind w:left="1079" w:leftChars="257" w:hanging="540"/>
        <w:rPr>
          <w:rFonts w:hint="eastAsia" w:ascii="仿宋_GB2312" w:hAnsi="宋体" w:eastAsia="仿宋_GB2312"/>
          <w:sz w:val="24"/>
          <w:highlight w:val="none"/>
        </w:rPr>
      </w:pPr>
    </w:p>
    <w:p w14:paraId="428E7B9A">
      <w:pPr>
        <w:pStyle w:val="15"/>
        <w:tabs>
          <w:tab w:val="left" w:pos="5580"/>
        </w:tabs>
        <w:spacing w:line="240" w:lineRule="atLeast"/>
        <w:ind w:left="1079" w:leftChars="257" w:hanging="540"/>
        <w:jc w:val="center"/>
        <w:rPr>
          <w:rFonts w:hint="eastAsia" w:ascii="仿宋_GB2312" w:hAnsi="宋体" w:eastAsia="仿宋_GB2312"/>
          <w:sz w:val="24"/>
          <w:highlight w:val="none"/>
        </w:rPr>
      </w:pPr>
      <w:r>
        <w:rPr>
          <w:rFonts w:ascii="仿宋_GB2312" w:hAnsi="宋体" w:eastAsia="仿宋_GB2312"/>
          <w:sz w:val="24"/>
          <w:highlight w:val="none"/>
        </w:rPr>
        <w:br w:type="page"/>
      </w:r>
    </w:p>
    <w:p w14:paraId="690D5060">
      <w:pPr>
        <w:pStyle w:val="15"/>
        <w:tabs>
          <w:tab w:val="left" w:pos="5580"/>
        </w:tabs>
        <w:spacing w:line="240" w:lineRule="atLeast"/>
        <w:ind w:left="1079" w:leftChars="257" w:hanging="540"/>
        <w:jc w:val="center"/>
        <w:rPr>
          <w:rFonts w:hint="eastAsia" w:ascii="仿宋_GB2312" w:hAnsi="宋体" w:eastAsia="仿宋_GB2312"/>
          <w:sz w:val="24"/>
          <w:highlight w:val="none"/>
        </w:rPr>
      </w:pPr>
      <w:bookmarkStart w:id="213" w:name="_Toc32520"/>
      <w:bookmarkStart w:id="214" w:name="_Toc515647808"/>
      <w:bookmarkStart w:id="215" w:name="_Toc7039"/>
    </w:p>
    <w:p w14:paraId="3D5F4701">
      <w:pPr>
        <w:pStyle w:val="3"/>
        <w:spacing w:before="0" w:line="240" w:lineRule="atLeast"/>
        <w:jc w:val="center"/>
        <w:rPr>
          <w:rFonts w:hint="eastAsia" w:ascii="仿宋" w:hAnsi="仿宋" w:eastAsia="仿宋" w:cs="仿宋"/>
          <w:b w:val="0"/>
          <w:sz w:val="24"/>
          <w:highlight w:val="none"/>
          <w:u w:val="single"/>
        </w:rPr>
      </w:pPr>
      <w:bookmarkStart w:id="216" w:name="_Toc17170"/>
      <w:bookmarkStart w:id="217" w:name="_Toc23503"/>
      <w:bookmarkStart w:id="218" w:name="_Toc22472"/>
      <w:bookmarkStart w:id="219" w:name="_Toc515647807"/>
      <w:bookmarkStart w:id="220" w:name="_Toc24231"/>
      <w:bookmarkStart w:id="221" w:name="_Toc1083"/>
      <w:r>
        <w:rPr>
          <w:rFonts w:hint="eastAsia" w:ascii="仿宋" w:hAnsi="仿宋" w:eastAsia="仿宋" w:cs="仿宋"/>
          <w:sz w:val="24"/>
          <w:highlight w:val="none"/>
        </w:rPr>
        <w:t>3</w:t>
      </w:r>
      <w:r>
        <w:rPr>
          <w:rFonts w:hint="eastAsia" w:ascii="仿宋" w:hAnsi="仿宋" w:eastAsia="仿宋" w:cs="仿宋"/>
          <w:sz w:val="24"/>
          <w:highlight w:val="none"/>
          <w:lang w:eastAsia="zh-CN"/>
        </w:rPr>
        <w:t>、</w:t>
      </w:r>
      <w:r>
        <w:rPr>
          <w:rFonts w:hint="eastAsia" w:ascii="仿宋" w:hAnsi="仿宋" w:eastAsia="仿宋" w:cs="仿宋"/>
          <w:sz w:val="24"/>
          <w:highlight w:val="none"/>
        </w:rPr>
        <w:t>法定代表人授权委托书(投标文件格式二，自然人投标的无需提供)</w:t>
      </w:r>
      <w:bookmarkEnd w:id="216"/>
      <w:bookmarkEnd w:id="217"/>
      <w:bookmarkEnd w:id="218"/>
      <w:bookmarkEnd w:id="219"/>
      <w:bookmarkEnd w:id="220"/>
      <w:bookmarkEnd w:id="221"/>
    </w:p>
    <w:p w14:paraId="181CE75D">
      <w:pPr>
        <w:pStyle w:val="15"/>
        <w:spacing w:line="240" w:lineRule="atLeast"/>
        <w:ind w:left="1079" w:leftChars="257" w:hanging="540"/>
        <w:rPr>
          <w:rFonts w:hint="eastAsia" w:ascii="仿宋_GB2312" w:hAnsi="宋体" w:eastAsia="仿宋_GB2312"/>
          <w:sz w:val="24"/>
          <w:highlight w:val="none"/>
        </w:rPr>
      </w:pPr>
      <w:r>
        <w:rPr>
          <w:rFonts w:hint="eastAsia" w:ascii="仿宋_GB2312" w:hAnsi="宋体" w:eastAsia="仿宋_GB2312"/>
          <w:sz w:val="24"/>
          <w:highlight w:val="none"/>
          <w:u w:val="single"/>
        </w:rPr>
        <w:cr/>
      </w:r>
    </w:p>
    <w:p w14:paraId="63915FC6">
      <w:pPr>
        <w:pStyle w:val="15"/>
        <w:tabs>
          <w:tab w:val="left" w:pos="5580"/>
        </w:tabs>
        <w:spacing w:line="360" w:lineRule="auto"/>
        <w:rPr>
          <w:rFonts w:hint="eastAsia" w:hAnsi="宋体" w:cs="宋体"/>
          <w:sz w:val="24"/>
          <w:highlight w:val="none"/>
        </w:rPr>
      </w:pPr>
      <w:r>
        <w:rPr>
          <w:rFonts w:hint="eastAsia" w:ascii="仿宋_GB2312" w:hAnsi="宋体" w:eastAsia="仿宋_GB2312"/>
          <w:sz w:val="24"/>
          <w:highlight w:val="none"/>
        </w:rPr>
        <w:t>本授权书声明：注册于</w:t>
      </w:r>
      <w:r>
        <w:rPr>
          <w:rFonts w:hint="eastAsia" w:ascii="仿宋_GB2312" w:hAnsi="宋体" w:eastAsia="仿宋_GB2312"/>
          <w:sz w:val="24"/>
          <w:highlight w:val="none"/>
          <w:u w:val="single"/>
        </w:rPr>
        <w:t>（国家或地区的名称）</w:t>
      </w:r>
      <w:r>
        <w:rPr>
          <w:rFonts w:hint="eastAsia" w:ascii="仿宋_GB2312" w:hAnsi="宋体" w:eastAsia="仿宋_GB2312"/>
          <w:sz w:val="24"/>
          <w:highlight w:val="none"/>
        </w:rPr>
        <w:t>的（</w:t>
      </w:r>
      <w:r>
        <w:rPr>
          <w:rFonts w:hint="eastAsia" w:ascii="仿宋_GB2312" w:hAnsi="宋体" w:eastAsia="仿宋_GB2312"/>
          <w:i/>
          <w:sz w:val="24"/>
          <w:highlight w:val="none"/>
          <w:u w:val="single"/>
        </w:rPr>
        <w:t>投标人</w:t>
      </w:r>
      <w:r>
        <w:rPr>
          <w:rFonts w:hint="eastAsia" w:ascii="仿宋_GB2312" w:hAnsi="宋体" w:eastAsia="仿宋_GB2312"/>
          <w:sz w:val="24"/>
          <w:highlight w:val="none"/>
        </w:rPr>
        <w:t>）的在下面签字的（</w:t>
      </w:r>
      <w:r>
        <w:rPr>
          <w:rFonts w:hint="eastAsia" w:ascii="仿宋_GB2312" w:hAnsi="宋体" w:eastAsia="仿宋_GB2312"/>
          <w:i/>
          <w:sz w:val="24"/>
          <w:highlight w:val="none"/>
          <w:u w:val="single"/>
        </w:rPr>
        <w:t>法人代表姓名、职务</w:t>
      </w:r>
      <w:r>
        <w:rPr>
          <w:rFonts w:hint="eastAsia" w:ascii="仿宋_GB2312" w:hAnsi="宋体" w:eastAsia="仿宋_GB2312"/>
          <w:sz w:val="24"/>
          <w:highlight w:val="none"/>
        </w:rPr>
        <w:t>）代表我单位授权（</w:t>
      </w:r>
      <w:r>
        <w:rPr>
          <w:rFonts w:hint="eastAsia" w:ascii="仿宋_GB2312" w:hAnsi="宋体" w:eastAsia="仿宋_GB2312"/>
          <w:i/>
          <w:sz w:val="24"/>
          <w:highlight w:val="none"/>
          <w:u w:val="single"/>
        </w:rPr>
        <w:t>单位名称</w:t>
      </w:r>
      <w:r>
        <w:rPr>
          <w:rFonts w:hint="eastAsia" w:ascii="仿宋_GB2312" w:hAnsi="宋体" w:eastAsia="仿宋_GB2312"/>
          <w:sz w:val="24"/>
          <w:highlight w:val="none"/>
        </w:rPr>
        <w:t>）的在下面签字的（</w:t>
      </w:r>
      <w:r>
        <w:rPr>
          <w:rFonts w:hint="eastAsia" w:ascii="仿宋_GB2312" w:hAnsi="宋体" w:eastAsia="仿宋_GB2312"/>
          <w:i/>
          <w:sz w:val="24"/>
          <w:highlight w:val="none"/>
          <w:u w:val="single"/>
        </w:rPr>
        <w:t>被授权人的姓名、职务</w:t>
      </w:r>
      <w:r>
        <w:rPr>
          <w:rFonts w:hint="eastAsia" w:ascii="仿宋_GB2312" w:hAnsi="宋体" w:eastAsia="仿宋_GB2312"/>
          <w:sz w:val="24"/>
          <w:highlight w:val="none"/>
        </w:rPr>
        <w:t>）为我单位的合法代理人，就（</w:t>
      </w:r>
      <w:r>
        <w:rPr>
          <w:rFonts w:hint="eastAsia" w:ascii="仿宋_GB2312" w:hAnsi="宋体" w:eastAsia="仿宋_GB2312"/>
          <w:i/>
          <w:sz w:val="24"/>
          <w:highlight w:val="none"/>
          <w:u w:val="single"/>
        </w:rPr>
        <w:t>项目名称</w:t>
      </w:r>
      <w:r>
        <w:rPr>
          <w:rFonts w:hint="eastAsia" w:ascii="仿宋_GB2312" w:hAnsi="宋体" w:eastAsia="仿宋_GB2312"/>
          <w:sz w:val="24"/>
          <w:highlight w:val="none"/>
        </w:rPr>
        <w:t>）的（</w:t>
      </w:r>
      <w:r>
        <w:rPr>
          <w:rFonts w:hint="eastAsia" w:ascii="仿宋_GB2312" w:hAnsi="宋体" w:eastAsia="仿宋_GB2312"/>
          <w:i/>
          <w:sz w:val="24"/>
          <w:highlight w:val="none"/>
          <w:u w:val="single"/>
        </w:rPr>
        <w:t>合同名称</w:t>
      </w:r>
      <w:r>
        <w:rPr>
          <w:rFonts w:hint="eastAsia" w:ascii="仿宋_GB2312" w:hAnsi="宋体" w:eastAsia="仿宋_GB2312"/>
          <w:sz w:val="24"/>
          <w:highlight w:val="none"/>
        </w:rPr>
        <w:t>）投标，以我单位名义处理一切与之有关的事务。</w:t>
      </w:r>
      <w:r>
        <w:rPr>
          <w:rFonts w:hint="eastAsia" w:ascii="仿宋_GB2312" w:hAnsi="宋体" w:eastAsia="仿宋_GB2312"/>
          <w:sz w:val="24"/>
          <w:highlight w:val="none"/>
        </w:rPr>
        <w:cr/>
      </w:r>
      <w:r>
        <w:rPr>
          <w:rFonts w:hint="eastAsia" w:ascii="仿宋_GB2312" w:hAnsi="宋体" w:eastAsia="仿宋_GB2312"/>
          <w:sz w:val="24"/>
          <w:highlight w:val="none"/>
        </w:rPr>
        <w:t>　　本授权书于年月日签字生效,特此声明。</w:t>
      </w:r>
      <w:r>
        <w:rPr>
          <w:rFonts w:hint="eastAsia" w:ascii="仿宋_GB2312" w:hAnsi="宋体" w:eastAsia="仿宋_GB2312"/>
          <w:sz w:val="24"/>
          <w:highlight w:val="none"/>
        </w:rPr>
        <w:cr/>
      </w:r>
    </w:p>
    <w:p w14:paraId="6DF31FE1">
      <w:pPr>
        <w:pStyle w:val="15"/>
        <w:tabs>
          <w:tab w:val="left" w:pos="5580"/>
        </w:tabs>
        <w:spacing w:line="240" w:lineRule="atLeast"/>
        <w:ind w:left="-539" w:leftChars="-257" w:firstLine="900" w:firstLineChars="375"/>
        <w:rPr>
          <w:rFonts w:hint="eastAsia" w:hAnsi="宋体" w:cs="宋体"/>
          <w:sz w:val="24"/>
          <w:highlight w:val="none"/>
        </w:rPr>
      </w:pPr>
      <w:r>
        <w:rPr>
          <w:rFonts w:hint="eastAsia" w:hAnsi="宋体" w:cs="宋体"/>
          <w:sz w:val="24"/>
          <w:highlight w:val="none"/>
        </w:rPr>
        <mc:AlternateContent>
          <mc:Choice Requires="wps">
            <w:drawing>
              <wp:anchor distT="0" distB="0" distL="114300" distR="114300" simplePos="0" relativeHeight="251660288" behindDoc="0" locked="0" layoutInCell="1" allowOverlap="1">
                <wp:simplePos x="0" y="0"/>
                <wp:positionH relativeFrom="column">
                  <wp:posOffset>3039110</wp:posOffset>
                </wp:positionH>
                <wp:positionV relativeFrom="paragraph">
                  <wp:posOffset>167640</wp:posOffset>
                </wp:positionV>
                <wp:extent cx="2478405" cy="1125220"/>
                <wp:effectExtent l="7620" t="7620" r="9525" b="10160"/>
                <wp:wrapNone/>
                <wp:docPr id="2" name="自选图形 4"/>
                <wp:cNvGraphicFramePr/>
                <a:graphic xmlns:a="http://schemas.openxmlformats.org/drawingml/2006/main">
                  <a:graphicData uri="http://schemas.microsoft.com/office/word/2010/wordprocessingShape">
                    <wps:wsp>
                      <wps:cNvSpPr/>
                      <wps:spPr>
                        <a:xfrm>
                          <a:off x="0" y="0"/>
                          <a:ext cx="2478405" cy="1125220"/>
                        </a:xfrm>
                        <a:prstGeom prst="roundRect">
                          <a:avLst>
                            <a:gd name="adj" fmla="val 16667"/>
                          </a:avLst>
                        </a:prstGeom>
                        <a:solidFill>
                          <a:srgbClr val="FFFFFF"/>
                        </a:solidFill>
                        <a:ln w="15875" cap="flat" cmpd="sng">
                          <a:solidFill>
                            <a:srgbClr val="808080"/>
                          </a:solidFill>
                          <a:prstDash val="solid"/>
                          <a:headEnd type="none" w="med" len="med"/>
                          <a:tailEnd type="none" w="med" len="med"/>
                        </a:ln>
                      </wps:spPr>
                      <wps:txbx>
                        <w:txbxContent>
                          <w:p w14:paraId="1CBD9056">
                            <w:pPr>
                              <w:rPr>
                                <w:rFonts w:hint="eastAsia" w:hAnsi="宋体"/>
                              </w:rPr>
                            </w:pPr>
                          </w:p>
                          <w:p w14:paraId="3AAC3CCF">
                            <w:pPr>
                              <w:rPr>
                                <w:rFonts w:hint="eastAsia" w:hAnsi="宋体"/>
                              </w:rPr>
                            </w:pPr>
                          </w:p>
                          <w:p w14:paraId="2A03B38F">
                            <w:pPr>
                              <w:rPr>
                                <w:rFonts w:hint="eastAsia" w:hAnsi="宋体"/>
                              </w:rPr>
                            </w:pPr>
                          </w:p>
                          <w:p w14:paraId="40FAA35B">
                            <w:r>
                              <w:rPr>
                                <w:rFonts w:hint="eastAsia" w:hAnsi="宋体"/>
                              </w:rPr>
                              <w:t>授权委托人身份证复印件反面</w:t>
                            </w:r>
                          </w:p>
                          <w:p w14:paraId="54C2260D"/>
                        </w:txbxContent>
                      </wps:txbx>
                      <wps:bodyPr wrap="square" upright="1"/>
                    </wps:wsp>
                  </a:graphicData>
                </a:graphic>
              </wp:anchor>
            </w:drawing>
          </mc:Choice>
          <mc:Fallback>
            <w:pict>
              <v:roundrect id="自选图形 4" o:spid="_x0000_s1026" o:spt="2" style="position:absolute;left:0pt;margin-left:239.3pt;margin-top:13.2pt;height:88.6pt;width:195.15pt;z-index:251660288;mso-width-relative:page;mso-height-relative:page;" fillcolor="#FFFFFF" filled="t" stroked="t" coordsize="21600,21600" arcsize="0.166666666666667" o:gfxdata="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mhcki2wAAAAoBAAAPAAAAAAAAAAEAIAAAACIAAABkcnMvZG93bnJldi54bWxQ&#10;SwECFAAUAAAACACHTuJAyan3PS0CAABmBAAADgAAAAAAAAABACAAAAAqAQAAZHJzL2Uyb0RvYy54&#10;bWxQSwUGAAAAAAYABgBZAQAAyQUAAAAA&#10;">
                <v:fill on="t" focussize="0,0"/>
                <v:stroke weight="1.25pt" color="#808080" joinstyle="round"/>
                <v:imagedata o:title=""/>
                <o:lock v:ext="edit" aspectratio="f"/>
                <v:textbox>
                  <w:txbxContent>
                    <w:p w14:paraId="1CBD9056">
                      <w:pPr>
                        <w:rPr>
                          <w:rFonts w:hint="eastAsia" w:hAnsi="宋体"/>
                        </w:rPr>
                      </w:pPr>
                    </w:p>
                    <w:p w14:paraId="3AAC3CCF">
                      <w:pPr>
                        <w:rPr>
                          <w:rFonts w:hint="eastAsia" w:hAnsi="宋体"/>
                        </w:rPr>
                      </w:pPr>
                    </w:p>
                    <w:p w14:paraId="2A03B38F">
                      <w:pPr>
                        <w:rPr>
                          <w:rFonts w:hint="eastAsia" w:hAnsi="宋体"/>
                        </w:rPr>
                      </w:pPr>
                    </w:p>
                    <w:p w14:paraId="40FAA35B">
                      <w:r>
                        <w:rPr>
                          <w:rFonts w:hint="eastAsia" w:hAnsi="宋体"/>
                        </w:rPr>
                        <w:t>授权委托人身份证复印件反面</w:t>
                      </w:r>
                    </w:p>
                    <w:p w14:paraId="54C2260D"/>
                  </w:txbxContent>
                </v:textbox>
              </v:roundrect>
            </w:pict>
          </mc:Fallback>
        </mc:AlternateContent>
      </w:r>
      <w:r>
        <w:rPr>
          <w:rFonts w:hint="eastAsia" w:hAnsi="宋体" w:cs="宋体"/>
          <w:sz w:val="24"/>
          <w:highlight w:val="none"/>
        </w:rPr>
        <mc:AlternateContent>
          <mc:Choice Requires="wps">
            <w:drawing>
              <wp:anchor distT="0" distB="0" distL="114300" distR="114300" simplePos="0" relativeHeight="251659264" behindDoc="0" locked="0" layoutInCell="1" allowOverlap="1">
                <wp:simplePos x="0" y="0"/>
                <wp:positionH relativeFrom="column">
                  <wp:posOffset>20955</wp:posOffset>
                </wp:positionH>
                <wp:positionV relativeFrom="paragraph">
                  <wp:posOffset>135890</wp:posOffset>
                </wp:positionV>
                <wp:extent cx="2507615" cy="1143000"/>
                <wp:effectExtent l="4445" t="4445" r="21590" b="14605"/>
                <wp:wrapNone/>
                <wp:docPr id="1" name="自选图形 5"/>
                <wp:cNvGraphicFramePr/>
                <a:graphic xmlns:a="http://schemas.openxmlformats.org/drawingml/2006/main">
                  <a:graphicData uri="http://schemas.microsoft.com/office/word/2010/wordprocessingShape">
                    <wps:wsp>
                      <wps:cNvSpPr/>
                      <wps:spPr>
                        <a:xfrm>
                          <a:off x="0" y="0"/>
                          <a:ext cx="2507615" cy="11430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FAB7DE8">
                            <w:pPr>
                              <w:jc w:val="center"/>
                              <w:rPr>
                                <w:rFonts w:hint="eastAsia" w:hAnsi="宋体"/>
                              </w:rPr>
                            </w:pPr>
                          </w:p>
                          <w:p w14:paraId="2CAB1F32">
                            <w:pPr>
                              <w:jc w:val="center"/>
                              <w:rPr>
                                <w:rFonts w:hint="eastAsia" w:hAnsi="宋体"/>
                              </w:rPr>
                            </w:pPr>
                          </w:p>
                          <w:p w14:paraId="71218784">
                            <w:pPr>
                              <w:jc w:val="center"/>
                              <w:rPr>
                                <w:rFonts w:hint="eastAsia" w:hAnsi="宋体"/>
                              </w:rPr>
                            </w:pPr>
                          </w:p>
                          <w:p w14:paraId="107AF107">
                            <w:pPr>
                              <w:jc w:val="center"/>
                            </w:pPr>
                            <w:r>
                              <w:rPr>
                                <w:rFonts w:hint="eastAsia" w:hAnsi="宋体"/>
                              </w:rPr>
                              <w:t>授权委托人身份证复印件正面</w:t>
                            </w:r>
                          </w:p>
                        </w:txbxContent>
                      </wps:txbx>
                      <wps:bodyPr wrap="square" upright="1"/>
                    </wps:wsp>
                  </a:graphicData>
                </a:graphic>
              </wp:anchor>
            </w:drawing>
          </mc:Choice>
          <mc:Fallback>
            <w:pict>
              <v:shape id="自选图形 5" o:spid="_x0000_s1026" o:spt="176" type="#_x0000_t176" style="position:absolute;left:0pt;margin-left:1.65pt;margin-top:10.7pt;height:90pt;width:197.45pt;z-index:251659264;mso-width-relative:page;mso-height-relative:page;" fillcolor="#FFFFFF" filled="t" stroked="t" coordsize="21600,21600" o:gfxdata="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JgSMjDWAAAACAEAAA8AAAAAAAAAAQAgAAAAIgAAAGRycy9kb3ducmV2LnhtbFBLAQIUABQAAAAI&#10;AIdO4kDB99kNKAIAAFMEAAAOAAAAAAAAAAEAIAAAACUBAABkcnMvZTJvRG9jLnhtbFBLBQYAAAAA&#10;BgAGAFkBAAC/BQAAAAA=&#10;">
                <v:fill on="t" focussize="0,0"/>
                <v:stroke color="#000000" joinstyle="miter"/>
                <v:imagedata o:title=""/>
                <o:lock v:ext="edit" aspectratio="f"/>
                <v:textbox>
                  <w:txbxContent>
                    <w:p w14:paraId="1FAB7DE8">
                      <w:pPr>
                        <w:jc w:val="center"/>
                        <w:rPr>
                          <w:rFonts w:hint="eastAsia" w:hAnsi="宋体"/>
                        </w:rPr>
                      </w:pPr>
                    </w:p>
                    <w:p w14:paraId="2CAB1F32">
                      <w:pPr>
                        <w:jc w:val="center"/>
                        <w:rPr>
                          <w:rFonts w:hint="eastAsia" w:hAnsi="宋体"/>
                        </w:rPr>
                      </w:pPr>
                    </w:p>
                    <w:p w14:paraId="71218784">
                      <w:pPr>
                        <w:jc w:val="center"/>
                        <w:rPr>
                          <w:rFonts w:hint="eastAsia" w:hAnsi="宋体"/>
                        </w:rPr>
                      </w:pPr>
                    </w:p>
                    <w:p w14:paraId="107AF107">
                      <w:pPr>
                        <w:jc w:val="center"/>
                      </w:pPr>
                      <w:r>
                        <w:rPr>
                          <w:rFonts w:hint="eastAsia" w:hAnsi="宋体"/>
                        </w:rPr>
                        <w:t>授权委托人身份证复印件正面</w:t>
                      </w:r>
                    </w:p>
                  </w:txbxContent>
                </v:textbox>
              </v:shape>
            </w:pict>
          </mc:Fallback>
        </mc:AlternateContent>
      </w:r>
    </w:p>
    <w:p w14:paraId="548229C8">
      <w:pPr>
        <w:spacing w:line="360" w:lineRule="auto"/>
        <w:ind w:firstLine="240" w:firstLineChars="100"/>
        <w:rPr>
          <w:rFonts w:hint="eastAsia" w:ascii="宋体" w:hAnsi="宋体" w:cs="宋体"/>
          <w:sz w:val="24"/>
          <w:highlight w:val="none"/>
        </w:rPr>
      </w:pPr>
    </w:p>
    <w:p w14:paraId="12EA3D4F">
      <w:pPr>
        <w:spacing w:line="360" w:lineRule="auto"/>
        <w:ind w:firstLine="240" w:firstLineChars="100"/>
        <w:rPr>
          <w:rFonts w:hint="eastAsia" w:ascii="宋体" w:hAnsi="宋体" w:cs="宋体"/>
          <w:sz w:val="24"/>
          <w:highlight w:val="none"/>
        </w:rPr>
      </w:pPr>
    </w:p>
    <w:p w14:paraId="0DB1B490">
      <w:pPr>
        <w:spacing w:line="360" w:lineRule="auto"/>
        <w:ind w:firstLine="240" w:firstLineChars="100"/>
        <w:rPr>
          <w:rFonts w:hint="eastAsia" w:ascii="宋体" w:hAnsi="宋体" w:cs="宋体"/>
          <w:sz w:val="24"/>
          <w:highlight w:val="none"/>
        </w:rPr>
      </w:pPr>
    </w:p>
    <w:p w14:paraId="281C7446">
      <w:pPr>
        <w:spacing w:line="360" w:lineRule="auto"/>
        <w:ind w:firstLine="240" w:firstLineChars="100"/>
        <w:rPr>
          <w:rFonts w:hint="eastAsia" w:ascii="宋体" w:hAnsi="宋体" w:cs="宋体"/>
          <w:sz w:val="24"/>
          <w:highlight w:val="none"/>
        </w:rPr>
      </w:pPr>
    </w:p>
    <w:p w14:paraId="08432DE3">
      <w:pPr>
        <w:spacing w:line="360" w:lineRule="auto"/>
        <w:ind w:firstLine="240" w:firstLineChars="100"/>
        <w:rPr>
          <w:rFonts w:hint="eastAsia" w:ascii="宋体" w:hAnsi="宋体" w:cs="宋体"/>
          <w:sz w:val="24"/>
          <w:highlight w:val="none"/>
        </w:rPr>
      </w:pPr>
      <w:r>
        <w:rPr>
          <w:rFonts w:hint="eastAsia" w:ascii="宋体" w:hAnsi="宋体" w:cs="宋体"/>
          <w:sz w:val="24"/>
          <w:highlight w:val="none"/>
        </w:rPr>
        <mc:AlternateContent>
          <mc:Choice Requires="wps">
            <w:drawing>
              <wp:anchor distT="0" distB="0" distL="114300" distR="114300" simplePos="0" relativeHeight="251662336" behindDoc="0" locked="0" layoutInCell="1" allowOverlap="1">
                <wp:simplePos x="0" y="0"/>
                <wp:positionH relativeFrom="column">
                  <wp:posOffset>3018155</wp:posOffset>
                </wp:positionH>
                <wp:positionV relativeFrom="paragraph">
                  <wp:posOffset>15875</wp:posOffset>
                </wp:positionV>
                <wp:extent cx="2591435" cy="1171575"/>
                <wp:effectExtent l="7620" t="7620" r="10795" b="20955"/>
                <wp:wrapNone/>
                <wp:docPr id="4" name="自选图形 6"/>
                <wp:cNvGraphicFramePr/>
                <a:graphic xmlns:a="http://schemas.openxmlformats.org/drawingml/2006/main">
                  <a:graphicData uri="http://schemas.microsoft.com/office/word/2010/wordprocessingShape">
                    <wps:wsp>
                      <wps:cNvSpPr/>
                      <wps:spPr>
                        <a:xfrm>
                          <a:off x="0" y="0"/>
                          <a:ext cx="2591435" cy="1171575"/>
                        </a:xfrm>
                        <a:prstGeom prst="roundRect">
                          <a:avLst>
                            <a:gd name="adj" fmla="val 16667"/>
                          </a:avLst>
                        </a:prstGeom>
                        <a:solidFill>
                          <a:srgbClr val="FFFFFF"/>
                        </a:solidFill>
                        <a:ln w="15875" cap="flat" cmpd="sng">
                          <a:solidFill>
                            <a:srgbClr val="808080"/>
                          </a:solidFill>
                          <a:prstDash val="solid"/>
                          <a:headEnd type="none" w="med" len="med"/>
                          <a:tailEnd type="none" w="med" len="med"/>
                        </a:ln>
                      </wps:spPr>
                      <wps:txbx>
                        <w:txbxContent>
                          <w:p w14:paraId="7E34ED47">
                            <w:pPr>
                              <w:jc w:val="center"/>
                              <w:rPr>
                                <w:rFonts w:hint="eastAsia" w:hAnsi="宋体" w:eastAsia="宋体"/>
                                <w:lang w:eastAsia="zh-CN"/>
                              </w:rPr>
                            </w:pPr>
                          </w:p>
                          <w:p w14:paraId="6D139D44">
                            <w:pPr>
                              <w:jc w:val="center"/>
                              <w:rPr>
                                <w:rFonts w:hint="eastAsia" w:hAnsi="宋体"/>
                              </w:rPr>
                            </w:pPr>
                          </w:p>
                          <w:p w14:paraId="52394669">
                            <w:pPr>
                              <w:jc w:val="center"/>
                              <w:rPr>
                                <w:rFonts w:hint="eastAsia" w:hAnsi="宋体"/>
                              </w:rPr>
                            </w:pPr>
                          </w:p>
                          <w:p w14:paraId="2DB957E4">
                            <w:pPr>
                              <w:jc w:val="both"/>
                            </w:pPr>
                            <w:r>
                              <w:rPr>
                                <w:rFonts w:hint="eastAsia" w:hAnsi="宋体"/>
                              </w:rPr>
                              <w:t>法人身份证复印件反面</w:t>
                            </w:r>
                          </w:p>
                          <w:p w14:paraId="39B1FAD8"/>
                        </w:txbxContent>
                      </wps:txbx>
                      <wps:bodyPr vert="horz" wrap="square" anchor="t" anchorCtr="0" upright="1"/>
                    </wps:wsp>
                  </a:graphicData>
                </a:graphic>
              </wp:anchor>
            </w:drawing>
          </mc:Choice>
          <mc:Fallback>
            <w:pict>
              <v:roundrect id="自选图形 6" o:spid="_x0000_s1026" o:spt="2" style="position:absolute;left:0pt;margin-left:237.65pt;margin-top:1.25pt;height:92.25pt;width:204.05pt;z-index:251662336;mso-width-relative:page;mso-height-relative:page;" fillcolor="#FFFFFF" filled="t" stroked="t" coordsize="21600,21600" arcsize="0.166666666666667" o:gfxdata="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XfQcw2gAAAAkBAAAPAAAAAAAAAAEAIAAA&#10;ACIAAABkcnMvZG93bnJldi54bWxQSwECFAAUAAAACACHTuJA3jo0LUMCAACLBAAADgAAAAAAAAAB&#10;ACAAAAApAQAAZHJzL2Uyb0RvYy54bWxQSwUGAAAAAAYABgBZAQAA3gUAAAAA&#10;">
                <v:fill on="t" focussize="0,0"/>
                <v:stroke weight="1.25pt" color="#808080" joinstyle="round"/>
                <v:imagedata o:title=""/>
                <o:lock v:ext="edit" aspectratio="f"/>
                <v:textbox>
                  <w:txbxContent>
                    <w:p w14:paraId="7E34ED47">
                      <w:pPr>
                        <w:jc w:val="center"/>
                        <w:rPr>
                          <w:rFonts w:hint="eastAsia" w:hAnsi="宋体" w:eastAsia="宋体"/>
                          <w:lang w:eastAsia="zh-CN"/>
                        </w:rPr>
                      </w:pPr>
                    </w:p>
                    <w:p w14:paraId="6D139D44">
                      <w:pPr>
                        <w:jc w:val="center"/>
                        <w:rPr>
                          <w:rFonts w:hint="eastAsia" w:hAnsi="宋体"/>
                        </w:rPr>
                      </w:pPr>
                    </w:p>
                    <w:p w14:paraId="52394669">
                      <w:pPr>
                        <w:jc w:val="center"/>
                        <w:rPr>
                          <w:rFonts w:hint="eastAsia" w:hAnsi="宋体"/>
                        </w:rPr>
                      </w:pPr>
                    </w:p>
                    <w:p w14:paraId="2DB957E4">
                      <w:pPr>
                        <w:jc w:val="both"/>
                      </w:pPr>
                      <w:r>
                        <w:rPr>
                          <w:rFonts w:hint="eastAsia" w:hAnsi="宋体"/>
                        </w:rPr>
                        <w:t>法人身份证复印件反面</w:t>
                      </w:r>
                    </w:p>
                    <w:p w14:paraId="39B1FAD8"/>
                  </w:txbxContent>
                </v:textbox>
              </v:roundrect>
            </w:pict>
          </mc:Fallback>
        </mc:AlternateContent>
      </w:r>
      <w:r>
        <w:rPr>
          <w:rFonts w:hint="eastAsia" w:ascii="宋体" w:hAnsi="宋体" w:cs="宋体"/>
          <w:sz w:val="24"/>
          <w:highlight w:val="none"/>
        </w:rPr>
        <mc:AlternateContent>
          <mc:Choice Requires="wps">
            <w:drawing>
              <wp:anchor distT="0" distB="0" distL="114300" distR="114300" simplePos="0" relativeHeight="251661312" behindDoc="0" locked="0" layoutInCell="1" allowOverlap="1">
                <wp:simplePos x="0" y="0"/>
                <wp:positionH relativeFrom="column">
                  <wp:posOffset>-10795</wp:posOffset>
                </wp:positionH>
                <wp:positionV relativeFrom="paragraph">
                  <wp:posOffset>29845</wp:posOffset>
                </wp:positionV>
                <wp:extent cx="2555240" cy="1082040"/>
                <wp:effectExtent l="7620" t="7620" r="8890" b="15240"/>
                <wp:wrapNone/>
                <wp:docPr id="3" name="自选图形 7"/>
                <wp:cNvGraphicFramePr/>
                <a:graphic xmlns:a="http://schemas.openxmlformats.org/drawingml/2006/main">
                  <a:graphicData uri="http://schemas.microsoft.com/office/word/2010/wordprocessingShape">
                    <wps:wsp>
                      <wps:cNvSpPr/>
                      <wps:spPr>
                        <a:xfrm>
                          <a:off x="0" y="0"/>
                          <a:ext cx="2555240" cy="1082040"/>
                        </a:xfrm>
                        <a:prstGeom prst="roundRect">
                          <a:avLst>
                            <a:gd name="adj" fmla="val 16667"/>
                          </a:avLst>
                        </a:prstGeom>
                        <a:solidFill>
                          <a:srgbClr val="FFFFFF"/>
                        </a:solidFill>
                        <a:ln w="15875" cap="flat" cmpd="sng">
                          <a:solidFill>
                            <a:srgbClr val="808080"/>
                          </a:solidFill>
                          <a:prstDash val="solid"/>
                          <a:headEnd type="none" w="med" len="med"/>
                          <a:tailEnd type="none" w="med" len="med"/>
                        </a:ln>
                      </wps:spPr>
                      <wps:txbx>
                        <w:txbxContent>
                          <w:p w14:paraId="4F077E56">
                            <w:pPr>
                              <w:jc w:val="center"/>
                              <w:rPr>
                                <w:rFonts w:hint="eastAsia" w:hAnsi="宋体"/>
                              </w:rPr>
                            </w:pPr>
                          </w:p>
                          <w:p w14:paraId="6143CA5E">
                            <w:pPr>
                              <w:jc w:val="center"/>
                              <w:rPr>
                                <w:rFonts w:hint="eastAsia" w:hAnsi="宋体"/>
                              </w:rPr>
                            </w:pPr>
                          </w:p>
                          <w:p w14:paraId="4414476C">
                            <w:pPr>
                              <w:jc w:val="center"/>
                              <w:rPr>
                                <w:rFonts w:hint="eastAsia" w:hAnsi="宋体"/>
                              </w:rPr>
                            </w:pPr>
                          </w:p>
                          <w:p w14:paraId="515BC5F1">
                            <w:pPr>
                              <w:jc w:val="center"/>
                            </w:pPr>
                            <w:r>
                              <w:rPr>
                                <w:rFonts w:hint="eastAsia" w:hAnsi="宋体"/>
                              </w:rPr>
                              <w:t>法人身份证复印件正面</w:t>
                            </w:r>
                          </w:p>
                          <w:p w14:paraId="30EAB479"/>
                        </w:txbxContent>
                      </wps:txbx>
                      <wps:bodyPr vert="horz" wrap="square" anchor="t" anchorCtr="0" upright="1"/>
                    </wps:wsp>
                  </a:graphicData>
                </a:graphic>
              </wp:anchor>
            </w:drawing>
          </mc:Choice>
          <mc:Fallback>
            <w:pict>
              <v:roundrect id="自选图形 7" o:spid="_x0000_s1026" o:spt="2" style="position:absolute;left:0pt;margin-left:-0.85pt;margin-top:2.35pt;height:85.2pt;width:201.2pt;z-index:251661312;mso-width-relative:page;mso-height-relative:page;" fillcolor="#FFFFFF" filled="t" stroked="t" coordsize="21600,21600" arcsize="0.166666666666667" o:gfxdata="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B3B4S9kAAAAIAQAADwAAAAAAAAABACAAAAAi&#10;AAAAZHJzL2Rvd25yZXYueG1sUEsBAhQAFAAAAAgAh07iQAKh80dCAgAAiwQAAA4AAAAAAAAAAQAg&#10;AAAAKAEAAGRycy9lMm9Eb2MueG1sUEsFBgAAAAAGAAYAWQEAANwFAAAAAA==&#10;">
                <v:fill on="t" focussize="0,0"/>
                <v:stroke weight="1.25pt" color="#808080" joinstyle="round"/>
                <v:imagedata o:title=""/>
                <o:lock v:ext="edit" aspectratio="f"/>
                <v:textbox>
                  <w:txbxContent>
                    <w:p w14:paraId="4F077E56">
                      <w:pPr>
                        <w:jc w:val="center"/>
                        <w:rPr>
                          <w:rFonts w:hint="eastAsia" w:hAnsi="宋体"/>
                        </w:rPr>
                      </w:pPr>
                    </w:p>
                    <w:p w14:paraId="6143CA5E">
                      <w:pPr>
                        <w:jc w:val="center"/>
                        <w:rPr>
                          <w:rFonts w:hint="eastAsia" w:hAnsi="宋体"/>
                        </w:rPr>
                      </w:pPr>
                    </w:p>
                    <w:p w14:paraId="4414476C">
                      <w:pPr>
                        <w:jc w:val="center"/>
                        <w:rPr>
                          <w:rFonts w:hint="eastAsia" w:hAnsi="宋体"/>
                        </w:rPr>
                      </w:pPr>
                    </w:p>
                    <w:p w14:paraId="515BC5F1">
                      <w:pPr>
                        <w:jc w:val="center"/>
                      </w:pPr>
                      <w:r>
                        <w:rPr>
                          <w:rFonts w:hint="eastAsia" w:hAnsi="宋体"/>
                        </w:rPr>
                        <w:t>法人身份证复印件正面</w:t>
                      </w:r>
                    </w:p>
                    <w:p w14:paraId="30EAB479"/>
                  </w:txbxContent>
                </v:textbox>
              </v:roundrect>
            </w:pict>
          </mc:Fallback>
        </mc:AlternateContent>
      </w:r>
    </w:p>
    <w:p w14:paraId="0557B6F7">
      <w:pPr>
        <w:spacing w:line="360" w:lineRule="auto"/>
        <w:ind w:firstLine="240" w:firstLineChars="100"/>
        <w:rPr>
          <w:rFonts w:hint="eastAsia" w:ascii="宋体" w:hAnsi="宋体" w:cs="宋体"/>
          <w:sz w:val="24"/>
          <w:highlight w:val="none"/>
        </w:rPr>
      </w:pPr>
    </w:p>
    <w:p w14:paraId="4C31CAC9">
      <w:pPr>
        <w:spacing w:line="360" w:lineRule="auto"/>
        <w:ind w:firstLine="240" w:firstLineChars="100"/>
        <w:rPr>
          <w:rFonts w:hint="eastAsia" w:ascii="宋体" w:hAnsi="宋体" w:cs="宋体"/>
          <w:sz w:val="24"/>
          <w:highlight w:val="none"/>
        </w:rPr>
      </w:pPr>
    </w:p>
    <w:p w14:paraId="597F6FBD">
      <w:pPr>
        <w:spacing w:line="360" w:lineRule="auto"/>
        <w:ind w:firstLine="240" w:firstLineChars="100"/>
        <w:rPr>
          <w:rFonts w:hint="eastAsia" w:ascii="宋体" w:hAnsi="宋体" w:cs="宋体"/>
          <w:sz w:val="24"/>
          <w:highlight w:val="none"/>
        </w:rPr>
      </w:pPr>
    </w:p>
    <w:p w14:paraId="58FFFF5C">
      <w:pPr>
        <w:spacing w:line="360" w:lineRule="auto"/>
        <w:ind w:firstLine="240" w:firstLineChars="100"/>
        <w:rPr>
          <w:rFonts w:hint="eastAsia" w:ascii="宋体" w:hAnsi="宋体" w:cs="宋体"/>
          <w:sz w:val="24"/>
          <w:highlight w:val="none"/>
        </w:rPr>
      </w:pPr>
    </w:p>
    <w:p w14:paraId="09FD6374">
      <w:pPr>
        <w:pStyle w:val="15"/>
        <w:tabs>
          <w:tab w:val="left" w:pos="5580"/>
        </w:tabs>
        <w:spacing w:line="240" w:lineRule="atLeast"/>
        <w:ind w:left="-539" w:leftChars="-257" w:firstLine="900" w:firstLineChars="375"/>
        <w:rPr>
          <w:rFonts w:hint="eastAsia" w:ascii="仿宋_GB2312" w:hAnsi="宋体" w:eastAsia="仿宋_GB2312"/>
          <w:sz w:val="24"/>
          <w:highlight w:val="none"/>
        </w:rPr>
      </w:pPr>
    </w:p>
    <w:p w14:paraId="606C7795">
      <w:pPr>
        <w:pStyle w:val="15"/>
        <w:tabs>
          <w:tab w:val="left" w:pos="5580"/>
        </w:tabs>
        <w:spacing w:line="240" w:lineRule="atLeast"/>
        <w:ind w:left="-539" w:leftChars="-257" w:firstLine="900" w:firstLineChars="375"/>
        <w:rPr>
          <w:rFonts w:hint="eastAsia" w:ascii="仿宋_GB2312" w:hAnsi="宋体" w:eastAsia="仿宋_GB2312"/>
          <w:sz w:val="24"/>
          <w:highlight w:val="none"/>
        </w:rPr>
      </w:pPr>
    </w:p>
    <w:p w14:paraId="5761742E">
      <w:pPr>
        <w:pStyle w:val="15"/>
        <w:tabs>
          <w:tab w:val="left" w:pos="5580"/>
        </w:tabs>
        <w:spacing w:line="240" w:lineRule="atLeast"/>
        <w:ind w:firstLine="480" w:firstLineChars="200"/>
        <w:rPr>
          <w:rFonts w:hint="eastAsia" w:ascii="仿宋_GB2312" w:hAnsi="宋体" w:eastAsia="仿宋_GB2312"/>
          <w:sz w:val="24"/>
          <w:highlight w:val="none"/>
          <w:u w:val="single"/>
          <w:lang w:eastAsia="zh-CN"/>
        </w:rPr>
      </w:pPr>
      <w:r>
        <w:rPr>
          <w:rFonts w:hint="eastAsia" w:ascii="仿宋_GB2312" w:hAnsi="宋体" w:eastAsia="仿宋_GB2312"/>
          <w:sz w:val="24"/>
          <w:highlight w:val="none"/>
        </w:rPr>
        <w:t>投标人（盖单位章）;</w:t>
      </w:r>
    </w:p>
    <w:p w14:paraId="381AF168">
      <w:pPr>
        <w:pStyle w:val="15"/>
        <w:tabs>
          <w:tab w:val="left" w:pos="5580"/>
        </w:tabs>
        <w:spacing w:line="240" w:lineRule="atLeast"/>
        <w:ind w:firstLine="480" w:firstLineChars="200"/>
        <w:rPr>
          <w:rFonts w:hint="eastAsia" w:ascii="仿宋_GB2312" w:hAnsi="宋体" w:eastAsia="仿宋_GB2312"/>
          <w:sz w:val="24"/>
          <w:highlight w:val="none"/>
          <w:lang w:eastAsia="zh-CN"/>
        </w:rPr>
      </w:pPr>
      <w:r>
        <w:rPr>
          <w:rFonts w:hint="eastAsia" w:ascii="仿宋_GB2312" w:hAnsi="宋体" w:eastAsia="仿宋_GB2312"/>
          <w:sz w:val="24"/>
          <w:highlight w:val="none"/>
        </w:rPr>
        <w:t>法定代表人（签字或签章）：</w:t>
      </w:r>
    </w:p>
    <w:p w14:paraId="7A2AEA16">
      <w:pPr>
        <w:pStyle w:val="15"/>
        <w:tabs>
          <w:tab w:val="left" w:pos="5580"/>
        </w:tabs>
        <w:spacing w:line="240" w:lineRule="atLeast"/>
        <w:ind w:firstLine="480" w:firstLineChars="200"/>
        <w:rPr>
          <w:rFonts w:hint="eastAsia" w:ascii="仿宋_GB2312" w:hAnsi="宋体" w:eastAsia="仿宋_GB2312"/>
          <w:sz w:val="24"/>
          <w:highlight w:val="none"/>
          <w:u w:val="single"/>
          <w:lang w:eastAsia="zh-CN"/>
        </w:rPr>
      </w:pPr>
      <w:r>
        <w:rPr>
          <w:rFonts w:hint="eastAsia" w:ascii="仿宋_GB2312" w:hAnsi="宋体" w:eastAsia="仿宋_GB2312"/>
          <w:sz w:val="24"/>
          <w:highlight w:val="none"/>
        </w:rPr>
        <w:t>身份证号码：__________________________________</w:t>
      </w:r>
    </w:p>
    <w:p w14:paraId="3D337D55">
      <w:pPr>
        <w:pStyle w:val="15"/>
        <w:tabs>
          <w:tab w:val="left" w:pos="5580"/>
        </w:tabs>
        <w:spacing w:line="240" w:lineRule="atLeast"/>
        <w:ind w:firstLine="480" w:firstLineChars="200"/>
        <w:rPr>
          <w:rFonts w:hint="eastAsia" w:ascii="仿宋_GB2312" w:hAnsi="宋体" w:eastAsia="仿宋_GB2312"/>
          <w:sz w:val="24"/>
          <w:highlight w:val="none"/>
          <w:u w:val="single"/>
          <w:lang w:eastAsia="zh-CN"/>
        </w:rPr>
      </w:pPr>
      <w:r>
        <w:rPr>
          <w:rFonts w:hint="eastAsia" w:ascii="仿宋_GB2312" w:hAnsi="宋体" w:eastAsia="仿宋_GB2312"/>
          <w:sz w:val="24"/>
          <w:highlight w:val="none"/>
        </w:rPr>
        <w:t>委托代理人：</w:t>
      </w:r>
    </w:p>
    <w:p w14:paraId="3BC70D5F">
      <w:pPr>
        <w:pStyle w:val="15"/>
        <w:tabs>
          <w:tab w:val="left" w:pos="5580"/>
        </w:tabs>
        <w:spacing w:line="240" w:lineRule="atLeast"/>
        <w:ind w:firstLine="480" w:firstLineChars="200"/>
        <w:rPr>
          <w:rFonts w:hint="eastAsia" w:ascii="仿宋_GB2312" w:hAnsi="宋体" w:eastAsia="仿宋_GB2312"/>
          <w:sz w:val="24"/>
          <w:highlight w:val="none"/>
          <w:u w:val="single"/>
          <w:lang w:eastAsia="zh-CN"/>
        </w:rPr>
      </w:pPr>
      <w:r>
        <w:rPr>
          <w:rFonts w:hint="eastAsia" w:ascii="仿宋_GB2312" w:hAnsi="宋体" w:eastAsia="仿宋_GB2312"/>
          <w:sz w:val="24"/>
          <w:highlight w:val="none"/>
        </w:rPr>
        <w:t>身份证号码：</w:t>
      </w:r>
    </w:p>
    <w:p w14:paraId="7FAFFAA8">
      <w:pPr>
        <w:pStyle w:val="15"/>
        <w:tabs>
          <w:tab w:val="left" w:pos="5580"/>
        </w:tabs>
        <w:spacing w:line="240" w:lineRule="atLeast"/>
        <w:ind w:firstLine="480" w:firstLineChars="200"/>
        <w:rPr>
          <w:rFonts w:hint="eastAsia" w:ascii="仿宋_GB2312" w:eastAsia="仿宋_GB2312"/>
          <w:sz w:val="24"/>
          <w:highlight w:val="none"/>
          <w:lang w:eastAsia="zh-CN"/>
        </w:rPr>
      </w:pPr>
      <w:r>
        <w:rPr>
          <w:rFonts w:hint="eastAsia" w:ascii="仿宋_GB2312" w:eastAsia="仿宋_GB2312"/>
          <w:sz w:val="24"/>
          <w:highlight w:val="none"/>
        </w:rPr>
        <w:t>详细通讯地址：</w:t>
      </w:r>
    </w:p>
    <w:p w14:paraId="31B49FAD">
      <w:pPr>
        <w:pStyle w:val="15"/>
        <w:tabs>
          <w:tab w:val="left" w:pos="5580"/>
        </w:tabs>
        <w:spacing w:line="240" w:lineRule="atLeast"/>
        <w:ind w:firstLine="480" w:firstLineChars="200"/>
        <w:rPr>
          <w:rFonts w:hint="eastAsia" w:ascii="仿宋_GB2312" w:eastAsia="仿宋_GB2312"/>
          <w:sz w:val="24"/>
          <w:highlight w:val="none"/>
          <w:lang w:eastAsia="zh-CN"/>
        </w:rPr>
      </w:pPr>
      <w:r>
        <w:rPr>
          <w:rFonts w:hint="eastAsia" w:ascii="仿宋_GB2312" w:eastAsia="仿宋_GB2312"/>
          <w:sz w:val="24"/>
          <w:highlight w:val="none"/>
        </w:rPr>
        <w:t>邮政编码：</w:t>
      </w:r>
    </w:p>
    <w:p w14:paraId="427BFCC9">
      <w:pPr>
        <w:pStyle w:val="15"/>
        <w:tabs>
          <w:tab w:val="left" w:pos="5580"/>
        </w:tabs>
        <w:spacing w:line="240" w:lineRule="atLeast"/>
        <w:ind w:firstLine="480" w:firstLineChars="200"/>
        <w:rPr>
          <w:rFonts w:hint="eastAsia" w:ascii="仿宋_GB2312" w:eastAsia="仿宋_GB2312"/>
          <w:sz w:val="24"/>
          <w:highlight w:val="none"/>
          <w:lang w:eastAsia="zh-CN"/>
        </w:rPr>
      </w:pPr>
      <w:r>
        <w:rPr>
          <w:rFonts w:hint="eastAsia" w:ascii="仿宋_GB2312" w:eastAsia="仿宋_GB2312"/>
          <w:sz w:val="24"/>
          <w:highlight w:val="none"/>
        </w:rPr>
        <w:t>传　　　　真：</w:t>
      </w:r>
    </w:p>
    <w:p w14:paraId="36FBCFEE">
      <w:pPr>
        <w:pStyle w:val="15"/>
        <w:tabs>
          <w:tab w:val="left" w:pos="5580"/>
        </w:tabs>
        <w:spacing w:line="240" w:lineRule="atLeast"/>
        <w:ind w:firstLine="480" w:firstLineChars="200"/>
        <w:rPr>
          <w:rFonts w:hint="eastAsia" w:ascii="仿宋_GB2312" w:eastAsia="仿宋_GB2312"/>
          <w:sz w:val="24"/>
          <w:highlight w:val="none"/>
          <w:lang w:eastAsia="zh-CN"/>
        </w:rPr>
      </w:pPr>
      <w:r>
        <w:rPr>
          <w:rFonts w:hint="eastAsia" w:ascii="仿宋_GB2312" w:eastAsia="仿宋_GB2312"/>
          <w:sz w:val="24"/>
          <w:highlight w:val="none"/>
        </w:rPr>
        <w:t>电　　　　话：</w:t>
      </w:r>
    </w:p>
    <w:p w14:paraId="4560C7B1">
      <w:pPr>
        <w:spacing w:line="360" w:lineRule="auto"/>
        <w:ind w:firstLine="420" w:firstLineChars="200"/>
        <w:jc w:val="right"/>
        <w:rPr>
          <w:rFonts w:hint="eastAsia" w:ascii="宋体" w:hAnsi="宋体" w:eastAsia="宋体" w:cs="宋体"/>
          <w:szCs w:val="21"/>
          <w:highlight w:val="none"/>
          <w:lang w:eastAsia="zh-CN"/>
        </w:rPr>
      </w:pPr>
      <w:r>
        <w:rPr>
          <w:rFonts w:hint="eastAsia" w:ascii="宋体" w:hAnsi="宋体" w:cs="宋体"/>
          <w:szCs w:val="21"/>
          <w:highlight w:val="none"/>
        </w:rPr>
        <w:t>年月日</w:t>
      </w:r>
    </w:p>
    <w:p w14:paraId="0733262F">
      <w:pPr>
        <w:pStyle w:val="4"/>
        <w:ind w:left="0" w:leftChars="0" w:firstLine="0" w:firstLineChars="0"/>
        <w:jc w:val="center"/>
        <w:rPr>
          <w:rFonts w:ascii="仿宋_GB2312" w:hAnsi="宋体" w:eastAsia="仿宋_GB2312"/>
          <w:sz w:val="24"/>
          <w:highlight w:val="none"/>
        </w:rPr>
      </w:pPr>
      <w:r>
        <w:rPr>
          <w:rFonts w:ascii="仿宋_GB2312" w:hAnsi="宋体" w:eastAsia="仿宋_GB2312"/>
          <w:sz w:val="24"/>
          <w:highlight w:val="none"/>
        </w:rPr>
        <w:br w:type="page"/>
      </w:r>
      <w:bookmarkEnd w:id="213"/>
      <w:bookmarkEnd w:id="214"/>
      <w:bookmarkEnd w:id="215"/>
    </w:p>
    <w:p w14:paraId="08ADADEE">
      <w:pPr>
        <w:pStyle w:val="4"/>
        <w:ind w:left="0" w:leftChars="0" w:firstLine="0" w:firstLineChars="0"/>
        <w:jc w:val="center"/>
        <w:rPr>
          <w:rFonts w:ascii="仿宋_GB2312" w:hAnsi="宋体" w:eastAsia="仿宋_GB2312"/>
          <w:sz w:val="24"/>
          <w:highlight w:val="none"/>
        </w:rPr>
      </w:pPr>
    </w:p>
    <w:p w14:paraId="7D9840CE">
      <w:pPr>
        <w:pStyle w:val="4"/>
        <w:numPr>
          <w:ilvl w:val="0"/>
          <w:numId w:val="0"/>
        </w:numPr>
        <w:spacing w:line="480" w:lineRule="auto"/>
        <w:ind w:left="0" w:leftChars="0" w:firstLine="0" w:firstLineChars="0"/>
        <w:jc w:val="center"/>
        <w:rPr>
          <w:rFonts w:hint="eastAsia" w:ascii="仿宋" w:hAnsi="仿宋" w:eastAsia="仿宋" w:cs="仿宋"/>
          <w:b/>
          <w:bCs/>
          <w:sz w:val="24"/>
          <w:highlight w:val="none"/>
          <w:lang w:val="en-US" w:eastAsia="zh-CN"/>
        </w:rPr>
      </w:pPr>
      <w:r>
        <w:rPr>
          <w:rFonts w:hint="eastAsia" w:ascii="仿宋" w:hAnsi="仿宋" w:eastAsia="仿宋" w:cs="仿宋"/>
          <w:b/>
          <w:bCs/>
          <w:kern w:val="0"/>
          <w:sz w:val="24"/>
          <w:szCs w:val="20"/>
          <w:lang w:val="en-US" w:eastAsia="zh-CN" w:bidi="ar-SA"/>
        </w:rPr>
        <w:t>4、</w:t>
      </w:r>
      <w:r>
        <w:rPr>
          <w:rFonts w:hint="eastAsia" w:ascii="仿宋" w:hAnsi="仿宋" w:eastAsia="仿宋" w:cs="仿宋"/>
          <w:b/>
          <w:bCs/>
          <w:sz w:val="24"/>
          <w:highlight w:val="none"/>
          <w:lang w:val="en-US" w:eastAsia="zh-CN"/>
        </w:rPr>
        <w:t>投标人提供依法缴纳的近三个月的社保缴纳记录</w:t>
      </w:r>
    </w:p>
    <w:p w14:paraId="74B4FAAA">
      <w:pPr>
        <w:pStyle w:val="4"/>
        <w:numPr>
          <w:ilvl w:val="0"/>
          <w:numId w:val="0"/>
        </w:numPr>
        <w:spacing w:line="480" w:lineRule="auto"/>
        <w:ind w:left="0" w:leftChars="0" w:firstLine="0" w:firstLineChars="0"/>
        <w:jc w:val="both"/>
        <w:rPr>
          <w:rFonts w:hint="eastAsia" w:ascii="仿宋" w:hAnsi="仿宋" w:eastAsia="仿宋" w:cs="仿宋"/>
          <w:b/>
          <w:bCs/>
          <w:sz w:val="24"/>
          <w:highlight w:val="none"/>
          <w:lang w:val="en-US" w:eastAsia="zh-CN"/>
        </w:rPr>
      </w:pPr>
    </w:p>
    <w:p w14:paraId="4C962905">
      <w:pPr>
        <w:pStyle w:val="4"/>
        <w:numPr>
          <w:ilvl w:val="0"/>
          <w:numId w:val="0"/>
        </w:numPr>
        <w:spacing w:line="480" w:lineRule="auto"/>
        <w:ind w:left="0" w:leftChars="0" w:firstLine="0" w:firstLineChars="0"/>
        <w:jc w:val="both"/>
        <w:rPr>
          <w:rFonts w:hint="eastAsia" w:ascii="仿宋" w:hAnsi="仿宋" w:eastAsia="仿宋" w:cs="仿宋"/>
          <w:b/>
          <w:bCs/>
          <w:sz w:val="24"/>
          <w:highlight w:val="none"/>
          <w:lang w:val="en-US" w:eastAsia="zh-CN"/>
        </w:rPr>
      </w:pPr>
    </w:p>
    <w:p w14:paraId="7CE205EE">
      <w:pPr>
        <w:pStyle w:val="4"/>
        <w:numPr>
          <w:ilvl w:val="0"/>
          <w:numId w:val="0"/>
        </w:numPr>
        <w:spacing w:line="480" w:lineRule="auto"/>
        <w:ind w:left="0" w:leftChars="0" w:firstLine="0" w:firstLineChars="0"/>
        <w:jc w:val="both"/>
        <w:rPr>
          <w:rFonts w:hint="eastAsia" w:ascii="仿宋" w:hAnsi="仿宋" w:eastAsia="仿宋" w:cs="仿宋"/>
          <w:b/>
          <w:bCs/>
          <w:highlight w:val="none"/>
        </w:rPr>
      </w:pPr>
      <w:r>
        <w:rPr>
          <w:rFonts w:hint="eastAsia" w:ascii="仿宋" w:hAnsi="仿宋" w:eastAsia="仿宋" w:cs="仿宋"/>
          <w:b/>
          <w:bCs/>
          <w:sz w:val="24"/>
          <w:highlight w:val="none"/>
          <w:lang w:val="en-US" w:eastAsia="zh-CN"/>
        </w:rPr>
        <w:t>5、投标人提供近三个月的税收良好记录证明(完税证明或税务部门出具的其他证明，非社会保险类)</w:t>
      </w:r>
    </w:p>
    <w:p w14:paraId="61A5FEC0">
      <w:pPr>
        <w:pStyle w:val="4"/>
        <w:jc w:val="center"/>
        <w:rPr>
          <w:rFonts w:hint="eastAsia"/>
          <w:b/>
          <w:bCs/>
          <w:highlight w:val="none"/>
        </w:rPr>
      </w:pPr>
    </w:p>
    <w:p w14:paraId="7E60C9F8">
      <w:pPr>
        <w:pStyle w:val="4"/>
        <w:rPr>
          <w:rFonts w:hint="eastAsia"/>
          <w:highlight w:val="none"/>
        </w:rPr>
      </w:pPr>
    </w:p>
    <w:p w14:paraId="36D4F172">
      <w:pPr>
        <w:pStyle w:val="4"/>
        <w:ind w:left="0" w:leftChars="0" w:firstLine="0" w:firstLineChars="0"/>
        <w:rPr>
          <w:rFonts w:hint="eastAsia"/>
          <w:highlight w:val="none"/>
        </w:rPr>
      </w:pPr>
    </w:p>
    <w:p w14:paraId="0F599FF4">
      <w:pPr>
        <w:bidi w:val="0"/>
        <w:rPr>
          <w:highlight w:val="none"/>
          <w:lang w:val="en-US" w:eastAsia="zh-CN"/>
        </w:rPr>
      </w:pPr>
    </w:p>
    <w:p w14:paraId="2A828D9F">
      <w:pPr>
        <w:bidi w:val="0"/>
        <w:rPr>
          <w:highlight w:val="none"/>
          <w:lang w:val="en-US" w:eastAsia="zh-CN"/>
        </w:rPr>
      </w:pPr>
    </w:p>
    <w:p w14:paraId="7F943613">
      <w:pPr>
        <w:bidi w:val="0"/>
        <w:rPr>
          <w:highlight w:val="none"/>
          <w:lang w:val="en-US" w:eastAsia="zh-CN"/>
        </w:rPr>
      </w:pPr>
    </w:p>
    <w:p w14:paraId="31489D7A">
      <w:pPr>
        <w:bidi w:val="0"/>
        <w:rPr>
          <w:highlight w:val="none"/>
          <w:lang w:val="en-US" w:eastAsia="zh-CN"/>
        </w:rPr>
      </w:pPr>
    </w:p>
    <w:p w14:paraId="48CBF518">
      <w:pPr>
        <w:bidi w:val="0"/>
        <w:rPr>
          <w:highlight w:val="none"/>
          <w:lang w:val="en-US" w:eastAsia="zh-CN"/>
        </w:rPr>
      </w:pPr>
    </w:p>
    <w:p w14:paraId="6C6CC71E">
      <w:pPr>
        <w:bidi w:val="0"/>
        <w:rPr>
          <w:highlight w:val="none"/>
          <w:lang w:val="en-US" w:eastAsia="zh-CN"/>
        </w:rPr>
      </w:pPr>
    </w:p>
    <w:p w14:paraId="11597EF9">
      <w:pPr>
        <w:bidi w:val="0"/>
        <w:rPr>
          <w:highlight w:val="none"/>
          <w:lang w:val="en-US" w:eastAsia="zh-CN"/>
        </w:rPr>
      </w:pPr>
    </w:p>
    <w:p w14:paraId="6077553F">
      <w:pPr>
        <w:bidi w:val="0"/>
        <w:rPr>
          <w:highlight w:val="none"/>
          <w:lang w:val="en-US" w:eastAsia="zh-CN"/>
        </w:rPr>
      </w:pPr>
    </w:p>
    <w:p w14:paraId="3871C4BF">
      <w:pPr>
        <w:bidi w:val="0"/>
        <w:rPr>
          <w:highlight w:val="none"/>
          <w:lang w:val="en-US" w:eastAsia="zh-CN"/>
        </w:rPr>
      </w:pPr>
    </w:p>
    <w:p w14:paraId="32F445F6">
      <w:pPr>
        <w:bidi w:val="0"/>
        <w:rPr>
          <w:highlight w:val="none"/>
          <w:lang w:val="en-US" w:eastAsia="zh-CN"/>
        </w:rPr>
      </w:pPr>
    </w:p>
    <w:p w14:paraId="426EBD1A">
      <w:pPr>
        <w:bidi w:val="0"/>
        <w:rPr>
          <w:highlight w:val="none"/>
          <w:lang w:val="en-US" w:eastAsia="zh-CN"/>
        </w:rPr>
      </w:pPr>
    </w:p>
    <w:p w14:paraId="3A0DFE0B">
      <w:pPr>
        <w:bidi w:val="0"/>
        <w:rPr>
          <w:highlight w:val="none"/>
          <w:lang w:val="en-US" w:eastAsia="zh-CN"/>
        </w:rPr>
      </w:pPr>
    </w:p>
    <w:p w14:paraId="64F93E83">
      <w:pPr>
        <w:bidi w:val="0"/>
        <w:rPr>
          <w:highlight w:val="none"/>
          <w:lang w:val="en-US" w:eastAsia="zh-CN"/>
        </w:rPr>
      </w:pPr>
    </w:p>
    <w:p w14:paraId="0345038A">
      <w:pPr>
        <w:bidi w:val="0"/>
        <w:rPr>
          <w:highlight w:val="none"/>
          <w:lang w:val="en-US" w:eastAsia="zh-CN"/>
        </w:rPr>
      </w:pPr>
    </w:p>
    <w:p w14:paraId="78F0A4A0">
      <w:pPr>
        <w:bidi w:val="0"/>
        <w:rPr>
          <w:highlight w:val="none"/>
          <w:lang w:val="en-US" w:eastAsia="zh-CN"/>
        </w:rPr>
      </w:pPr>
    </w:p>
    <w:p w14:paraId="5352F508">
      <w:pPr>
        <w:bidi w:val="0"/>
        <w:rPr>
          <w:highlight w:val="none"/>
          <w:lang w:val="en-US" w:eastAsia="zh-CN"/>
        </w:rPr>
      </w:pPr>
    </w:p>
    <w:p w14:paraId="1E52FEC6">
      <w:pPr>
        <w:bidi w:val="0"/>
        <w:rPr>
          <w:highlight w:val="none"/>
          <w:lang w:val="en-US" w:eastAsia="zh-CN"/>
        </w:rPr>
      </w:pPr>
    </w:p>
    <w:p w14:paraId="5969E4AF">
      <w:pPr>
        <w:bidi w:val="0"/>
        <w:rPr>
          <w:highlight w:val="none"/>
          <w:lang w:val="en-US" w:eastAsia="zh-CN"/>
        </w:rPr>
      </w:pPr>
    </w:p>
    <w:p w14:paraId="7CCA27C3">
      <w:pPr>
        <w:rPr>
          <w:rFonts w:hint="eastAsia" w:ascii="仿宋_GB2312" w:hAnsi="宋体" w:eastAsia="仿宋_GB2312"/>
          <w:sz w:val="24"/>
          <w:highlight w:val="none"/>
        </w:rPr>
      </w:pPr>
      <w:r>
        <w:rPr>
          <w:rFonts w:hint="eastAsia"/>
          <w:highlight w:val="none"/>
          <w:lang w:val="en-US" w:eastAsia="zh-CN"/>
        </w:rPr>
        <w:tab/>
      </w:r>
    </w:p>
    <w:p w14:paraId="5234D7BD">
      <w:pPr>
        <w:pStyle w:val="3"/>
        <w:spacing w:before="0" w:line="240" w:lineRule="atLeast"/>
        <w:jc w:val="center"/>
        <w:rPr>
          <w:rFonts w:hint="eastAsia" w:ascii="仿宋_GB2312" w:hAnsi="宋体" w:eastAsia="仿宋_GB2312"/>
          <w:b/>
          <w:bCs w:val="0"/>
          <w:color w:val="auto"/>
          <w:sz w:val="24"/>
          <w:highlight w:val="none"/>
          <w:lang w:val="en-US" w:eastAsia="zh-CN"/>
        </w:rPr>
      </w:pPr>
      <w:bookmarkStart w:id="222" w:name="_Toc27676"/>
      <w:bookmarkStart w:id="223" w:name="_Toc8291"/>
    </w:p>
    <w:p w14:paraId="75DA4E50">
      <w:pPr>
        <w:pStyle w:val="3"/>
        <w:spacing w:before="0" w:line="240" w:lineRule="atLeast"/>
        <w:jc w:val="center"/>
        <w:rPr>
          <w:rFonts w:hint="eastAsia" w:ascii="仿宋_GB2312" w:hAnsi="宋体" w:eastAsia="仿宋_GB2312"/>
          <w:b/>
          <w:bCs w:val="0"/>
          <w:color w:val="auto"/>
          <w:sz w:val="24"/>
          <w:highlight w:val="none"/>
          <w:lang w:val="en-US" w:eastAsia="zh-CN"/>
        </w:rPr>
      </w:pPr>
    </w:p>
    <w:p w14:paraId="7C08D975">
      <w:pPr>
        <w:pStyle w:val="3"/>
        <w:spacing w:before="0" w:line="240" w:lineRule="atLeast"/>
        <w:jc w:val="center"/>
        <w:rPr>
          <w:rFonts w:hint="eastAsia" w:ascii="仿宋_GB2312" w:hAnsi="宋体" w:eastAsia="仿宋_GB2312"/>
          <w:b/>
          <w:bCs w:val="0"/>
          <w:color w:val="auto"/>
          <w:sz w:val="24"/>
          <w:highlight w:val="none"/>
          <w:lang w:val="en-US" w:eastAsia="zh-CN"/>
        </w:rPr>
      </w:pPr>
    </w:p>
    <w:p w14:paraId="2926EBBF">
      <w:pPr>
        <w:pStyle w:val="3"/>
        <w:spacing w:before="0" w:line="240" w:lineRule="atLeast"/>
        <w:jc w:val="center"/>
        <w:rPr>
          <w:rFonts w:hint="eastAsia" w:ascii="仿宋_GB2312" w:hAnsi="宋体" w:eastAsia="仿宋_GB2312"/>
          <w:b/>
          <w:bCs w:val="0"/>
          <w:color w:val="auto"/>
          <w:sz w:val="24"/>
          <w:highlight w:val="none"/>
          <w:lang w:val="en-US" w:eastAsia="zh-CN"/>
        </w:rPr>
      </w:pPr>
    </w:p>
    <w:p w14:paraId="318CD6DC">
      <w:pPr>
        <w:pStyle w:val="3"/>
        <w:spacing w:before="0" w:line="240" w:lineRule="atLeast"/>
        <w:jc w:val="center"/>
        <w:rPr>
          <w:rFonts w:hint="eastAsia" w:ascii="仿宋_GB2312" w:hAnsi="宋体" w:eastAsia="仿宋_GB2312"/>
          <w:b/>
          <w:bCs w:val="0"/>
          <w:color w:val="auto"/>
          <w:sz w:val="24"/>
          <w:highlight w:val="none"/>
          <w:lang w:val="en-US" w:eastAsia="zh-CN"/>
        </w:rPr>
      </w:pPr>
      <w:r>
        <w:rPr>
          <w:rFonts w:hint="eastAsia" w:ascii="仿宋_GB2312" w:hAnsi="宋体" w:eastAsia="仿宋_GB2312"/>
          <w:b/>
          <w:bCs w:val="0"/>
          <w:color w:val="auto"/>
          <w:sz w:val="24"/>
          <w:highlight w:val="none"/>
          <w:lang w:val="en-US" w:eastAsia="zh-CN"/>
        </w:rPr>
        <w:br w:type="page"/>
      </w:r>
    </w:p>
    <w:bookmarkEnd w:id="222"/>
    <w:bookmarkEnd w:id="223"/>
    <w:p w14:paraId="74A76B40">
      <w:pPr>
        <w:spacing w:line="600" w:lineRule="auto"/>
        <w:ind w:left="1079" w:leftChars="257" w:hanging="540"/>
        <w:jc w:val="center"/>
        <w:rPr>
          <w:rFonts w:hint="eastAsia" w:ascii="仿宋" w:hAnsi="仿宋" w:eastAsia="仿宋" w:cs="仿宋"/>
          <w:b/>
          <w:bCs/>
          <w:color w:val="FF0000"/>
          <w:sz w:val="24"/>
          <w:highlight w:val="none"/>
          <w:lang w:val="en-US" w:eastAsia="zh-CN"/>
        </w:rPr>
      </w:pPr>
      <w:r>
        <w:rPr>
          <w:rFonts w:hint="eastAsia" w:ascii="仿宋" w:hAnsi="仿宋" w:eastAsia="仿宋" w:cs="仿宋"/>
          <w:b/>
          <w:bCs/>
          <w:color w:val="000000"/>
          <w:sz w:val="24"/>
          <w:highlight w:val="none"/>
          <w:lang w:val="en-US" w:eastAsia="zh-CN"/>
        </w:rPr>
        <w:t>6、</w:t>
      </w:r>
      <w:r>
        <w:rPr>
          <w:rFonts w:hint="eastAsia" w:ascii="仿宋" w:hAnsi="仿宋" w:eastAsia="仿宋" w:cs="仿宋"/>
          <w:b/>
          <w:color w:val="000000"/>
          <w:kern w:val="0"/>
          <w:sz w:val="24"/>
          <w:szCs w:val="20"/>
          <w:highlight w:val="none"/>
          <w:u w:val="none"/>
          <w:lang w:val="zh-CN" w:eastAsia="zh-CN" w:bidi="ar-SA"/>
        </w:rPr>
        <w:t>具有2024年度财务审计报告(新成立公司提供开标前六个月内任意一个月有效银行资信证明)</w:t>
      </w:r>
    </w:p>
    <w:p w14:paraId="337BD22C">
      <w:pPr>
        <w:spacing w:line="600" w:lineRule="auto"/>
        <w:ind w:left="1079" w:leftChars="257" w:hanging="540"/>
        <w:jc w:val="center"/>
        <w:rPr>
          <w:rFonts w:hint="eastAsia" w:ascii="仿宋" w:hAnsi="仿宋" w:eastAsia="仿宋" w:cs="仿宋"/>
          <w:b/>
          <w:bCs/>
          <w:sz w:val="24"/>
          <w:highlight w:val="none"/>
        </w:rPr>
      </w:pPr>
    </w:p>
    <w:p w14:paraId="02FEFF34">
      <w:pPr>
        <w:spacing w:line="240" w:lineRule="atLeast"/>
        <w:ind w:left="1079" w:leftChars="257" w:hanging="540"/>
        <w:jc w:val="center"/>
        <w:rPr>
          <w:rFonts w:hint="eastAsia" w:ascii="仿宋_GB2312" w:hAnsi="宋体" w:eastAsia="仿宋_GB2312"/>
          <w:b/>
          <w:bCs/>
          <w:sz w:val="24"/>
          <w:highlight w:val="none"/>
        </w:rPr>
      </w:pPr>
    </w:p>
    <w:p w14:paraId="76F8D4C9">
      <w:pPr>
        <w:pStyle w:val="15"/>
        <w:tabs>
          <w:tab w:val="left" w:pos="5580"/>
        </w:tabs>
        <w:spacing w:line="240" w:lineRule="atLeast"/>
        <w:ind w:left="1079" w:leftChars="257" w:hanging="540"/>
        <w:rPr>
          <w:rFonts w:hint="eastAsia" w:ascii="仿宋_GB2312" w:hAnsi="宋体" w:eastAsia="仿宋_GB2312"/>
          <w:sz w:val="24"/>
          <w:highlight w:val="none"/>
        </w:rPr>
      </w:pPr>
      <w:r>
        <w:rPr>
          <w:rFonts w:hint="eastAsia" w:ascii="仿宋_GB2312" w:hAnsi="宋体" w:eastAsia="仿宋_GB2312"/>
          <w:sz w:val="24"/>
          <w:highlight w:val="none"/>
        </w:rPr>
        <w:t>说明：应提供</w:t>
      </w:r>
      <w:r>
        <w:rPr>
          <w:rFonts w:hint="eastAsia" w:ascii="仿宋_GB2312" w:hAnsi="宋体" w:eastAsia="仿宋_GB2312"/>
          <w:sz w:val="24"/>
          <w:highlight w:val="none"/>
          <w:u w:val="single"/>
        </w:rPr>
        <w:t>投标人须知资料表</w:t>
      </w:r>
      <w:r>
        <w:rPr>
          <w:rFonts w:hint="eastAsia" w:ascii="仿宋_GB2312" w:hAnsi="宋体" w:eastAsia="仿宋_GB2312"/>
          <w:sz w:val="24"/>
          <w:highlight w:val="none"/>
        </w:rPr>
        <w:t>要求的</w:t>
      </w:r>
      <w:r>
        <w:rPr>
          <w:rFonts w:hint="eastAsia" w:ascii="仿宋_GB2312" w:hAnsi="宋体" w:eastAsia="仿宋_GB2312"/>
          <w:sz w:val="24"/>
          <w:highlight w:val="none"/>
          <w:lang w:val="en-US" w:eastAsia="zh-CN"/>
        </w:rPr>
        <w:t>2024</w:t>
      </w:r>
      <w:r>
        <w:rPr>
          <w:rFonts w:hint="eastAsia" w:ascii="仿宋_GB2312" w:hAnsi="宋体" w:eastAsia="仿宋_GB2312"/>
          <w:sz w:val="24"/>
          <w:highlight w:val="none"/>
        </w:rPr>
        <w:t>年财务审计报告（新成立未满一年的公司提供有效的银行资信证明）或财务报表（利润表、资产负债表、现金流量表）证明文件。</w:t>
      </w:r>
    </w:p>
    <w:p w14:paraId="2BC47C01">
      <w:pPr>
        <w:pStyle w:val="15"/>
        <w:tabs>
          <w:tab w:val="left" w:pos="5580"/>
        </w:tabs>
        <w:spacing w:line="240" w:lineRule="atLeast"/>
        <w:ind w:left="1079" w:leftChars="257" w:hanging="540"/>
        <w:rPr>
          <w:rFonts w:ascii="仿宋_GB2312" w:eastAsia="仿宋_GB2312"/>
          <w:sz w:val="24"/>
          <w:highlight w:val="none"/>
        </w:rPr>
      </w:pPr>
    </w:p>
    <w:p w14:paraId="21EE156B">
      <w:pPr>
        <w:pStyle w:val="15"/>
        <w:tabs>
          <w:tab w:val="left" w:pos="5580"/>
        </w:tabs>
        <w:spacing w:line="240" w:lineRule="atLeast"/>
        <w:ind w:left="1079" w:leftChars="257" w:hanging="540"/>
        <w:rPr>
          <w:rFonts w:ascii="仿宋_GB2312" w:eastAsia="仿宋_GB2312"/>
          <w:sz w:val="24"/>
          <w:highlight w:val="none"/>
        </w:rPr>
      </w:pPr>
    </w:p>
    <w:p w14:paraId="21FA998A">
      <w:pPr>
        <w:pStyle w:val="15"/>
        <w:tabs>
          <w:tab w:val="left" w:pos="5580"/>
        </w:tabs>
        <w:spacing w:line="240" w:lineRule="atLeast"/>
        <w:ind w:left="1079" w:leftChars="257" w:hanging="540"/>
        <w:rPr>
          <w:rFonts w:ascii="仿宋_GB2312" w:eastAsia="仿宋_GB2312"/>
          <w:sz w:val="24"/>
          <w:highlight w:val="none"/>
        </w:rPr>
      </w:pPr>
    </w:p>
    <w:p w14:paraId="335D15EC">
      <w:pPr>
        <w:pStyle w:val="15"/>
        <w:tabs>
          <w:tab w:val="left" w:pos="5580"/>
        </w:tabs>
        <w:spacing w:line="240" w:lineRule="atLeast"/>
        <w:ind w:left="1079" w:leftChars="257" w:hanging="540"/>
        <w:rPr>
          <w:rFonts w:ascii="仿宋_GB2312" w:eastAsia="仿宋_GB2312"/>
          <w:sz w:val="24"/>
          <w:highlight w:val="none"/>
        </w:rPr>
      </w:pPr>
    </w:p>
    <w:p w14:paraId="198EEE3E">
      <w:pPr>
        <w:tabs>
          <w:tab w:val="left" w:pos="2063"/>
        </w:tabs>
        <w:bidi w:val="0"/>
        <w:jc w:val="left"/>
        <w:rPr>
          <w:highlight w:val="none"/>
          <w:lang w:val="en-US" w:eastAsia="zh-CN"/>
        </w:rPr>
        <w:sectPr>
          <w:headerReference r:id="rId3" w:type="default"/>
          <w:footerReference r:id="rId4" w:type="default"/>
          <w:pgSz w:w="11906" w:h="16838"/>
          <w:pgMar w:top="1440" w:right="1797" w:bottom="1440" w:left="1797" w:header="851" w:footer="992" w:gutter="0"/>
          <w:pgNumType w:fmt="decimal" w:start="1"/>
          <w:cols w:space="720" w:num="1"/>
          <w:docGrid w:type="linesAndChars" w:linePitch="312" w:charSpace="0"/>
        </w:sectPr>
      </w:pPr>
    </w:p>
    <w:p w14:paraId="6BD7DE96">
      <w:pPr>
        <w:rPr>
          <w:rFonts w:hint="eastAsia" w:ascii="仿宋_GB2312" w:hAnsi="宋体" w:eastAsia="仿宋_GB2312"/>
          <w:sz w:val="24"/>
          <w:highlight w:val="none"/>
        </w:rPr>
      </w:pPr>
    </w:p>
    <w:p w14:paraId="076233DE">
      <w:pPr>
        <w:spacing w:line="600" w:lineRule="auto"/>
        <w:ind w:left="1079" w:leftChars="257" w:hanging="540"/>
        <w:jc w:val="center"/>
        <w:rPr>
          <w:rFonts w:hint="eastAsia" w:ascii="仿宋_GB2312" w:hAnsi="宋体" w:eastAsia="仿宋_GB2312"/>
          <w:b/>
          <w:bCs/>
          <w:sz w:val="24"/>
          <w:highlight w:val="none"/>
          <w:lang w:val="en-US" w:eastAsia="zh-CN"/>
        </w:rPr>
      </w:pPr>
      <w:r>
        <w:rPr>
          <w:rFonts w:hint="eastAsia" w:ascii="仿宋_GB2312" w:hAnsi="宋体" w:eastAsia="仿宋_GB2312"/>
          <w:b/>
          <w:bCs/>
          <w:sz w:val="24"/>
          <w:highlight w:val="none"/>
          <w:lang w:val="en-US" w:eastAsia="zh-CN"/>
        </w:rPr>
        <w:t>7、</w:t>
      </w:r>
      <w:r>
        <w:rPr>
          <w:rFonts w:hint="eastAsia" w:ascii="仿宋" w:hAnsi="仿宋" w:eastAsia="仿宋" w:cs="仿宋"/>
          <w:b/>
          <w:color w:val="000000"/>
          <w:kern w:val="0"/>
          <w:sz w:val="24"/>
          <w:szCs w:val="20"/>
          <w:highlight w:val="none"/>
          <w:u w:val="none"/>
          <w:lang w:val="zh-CN" w:eastAsia="zh-CN" w:bidi="ar-SA"/>
        </w:rPr>
        <w:t>投标单位在“信用中国”(www.creditchina.gov.cn)网站上未列入重大税收违法失信主体、严重失信主体名单查询，在中国政府采购网(www.ccgp.gov.cn)网站上未列入政府采购严重违法失信行为记录名单;(以资格审查小组于递交投标文件截至当天在“信用中国”(www.creditchina.gov.cn)和中国政府采购网(www.ccgp.gov.cn)网站查询结果为准)</w:t>
      </w:r>
    </w:p>
    <w:p w14:paraId="6738418E">
      <w:pPr>
        <w:spacing w:line="240" w:lineRule="atLeast"/>
        <w:ind w:left="1079" w:leftChars="257" w:hanging="540"/>
        <w:jc w:val="center"/>
        <w:rPr>
          <w:rFonts w:hint="eastAsia" w:ascii="仿宋_GB2312" w:hAnsi="宋体" w:eastAsia="仿宋_GB2312"/>
          <w:b/>
          <w:bCs/>
          <w:sz w:val="24"/>
          <w:highlight w:val="none"/>
        </w:rPr>
      </w:pPr>
    </w:p>
    <w:p w14:paraId="51CDA043">
      <w:pPr>
        <w:pStyle w:val="15"/>
        <w:tabs>
          <w:tab w:val="left" w:pos="1260"/>
          <w:tab w:val="left" w:pos="5580"/>
        </w:tabs>
        <w:spacing w:line="240" w:lineRule="atLeast"/>
        <w:ind w:left="1478" w:leftChars="361" w:hanging="720" w:firstLineChars="0"/>
        <w:jc w:val="center"/>
        <w:rPr>
          <w:rFonts w:hint="eastAsia" w:ascii="仿宋_GB2312" w:hAnsi="宋体" w:eastAsia="仿宋_GB2312" w:cs="Times New Roman"/>
          <w:b/>
          <w:bCs/>
          <w:sz w:val="24"/>
          <w:highlight w:val="none"/>
          <w:lang w:val="en-US" w:eastAsia="zh-CN"/>
        </w:rPr>
        <w:sectPr>
          <w:footerReference r:id="rId5" w:type="default"/>
          <w:pgSz w:w="11906" w:h="16838"/>
          <w:pgMar w:top="1440" w:right="1797" w:bottom="1440" w:left="1797" w:header="851" w:footer="992" w:gutter="0"/>
          <w:pgNumType w:fmt="decimal"/>
          <w:cols w:space="720" w:num="1"/>
          <w:docGrid w:type="linesAndChars" w:linePitch="312" w:charSpace="0"/>
        </w:sectPr>
      </w:pPr>
      <w:bookmarkStart w:id="224" w:name="_Toc515647816"/>
      <w:bookmarkStart w:id="225" w:name="_Toc22967"/>
      <w:bookmarkStart w:id="226" w:name="_Toc11180"/>
    </w:p>
    <w:p w14:paraId="53FF5B95">
      <w:pPr>
        <w:spacing w:line="600" w:lineRule="auto"/>
        <w:ind w:left="1079" w:leftChars="257" w:hanging="540"/>
        <w:jc w:val="center"/>
        <w:rPr>
          <w:rFonts w:hint="default" w:ascii="仿宋_GB2312" w:hAnsi="宋体" w:eastAsia="仿宋_GB2312" w:cs="Times New Roman"/>
          <w:b/>
          <w:bCs/>
          <w:sz w:val="24"/>
          <w:highlight w:val="none"/>
          <w:lang w:val="en-US" w:eastAsia="zh-CN"/>
        </w:rPr>
      </w:pPr>
      <w:r>
        <w:rPr>
          <w:rFonts w:hint="eastAsia" w:ascii="仿宋_GB2312" w:hAnsi="宋体" w:eastAsia="仿宋_GB2312" w:cs="Times New Roman"/>
          <w:b/>
          <w:bCs/>
          <w:sz w:val="24"/>
          <w:highlight w:val="none"/>
          <w:lang w:val="en-US" w:eastAsia="zh-CN"/>
        </w:rPr>
        <w:t>8、</w:t>
      </w:r>
      <w:r>
        <w:rPr>
          <w:rFonts w:hint="eastAsia" w:ascii="仿宋_GB2312" w:hAnsi="宋体" w:eastAsia="仿宋_GB2312" w:cs="Times New Roman"/>
          <w:b/>
          <w:bCs/>
          <w:sz w:val="24"/>
          <w:highlight w:val="none"/>
          <w:lang w:val="zh-CN" w:eastAsia="zh-CN"/>
        </w:rPr>
        <w:t>投标人提供针对本次项目《反商业贿赂承诺书》</w:t>
      </w:r>
    </w:p>
    <w:p w14:paraId="2FE9DA44">
      <w:pPr>
        <w:spacing w:line="600" w:lineRule="auto"/>
        <w:ind w:left="1079" w:leftChars="257" w:hanging="540"/>
        <w:jc w:val="center"/>
        <w:rPr>
          <w:rFonts w:hint="eastAsia" w:ascii="仿宋_GB2312" w:hAnsi="宋体" w:eastAsia="仿宋_GB2312" w:cs="Times New Roman"/>
          <w:b/>
          <w:bCs/>
          <w:sz w:val="24"/>
          <w:highlight w:val="none"/>
          <w:lang w:val="en-US" w:eastAsia="zh-CN"/>
        </w:rPr>
      </w:pPr>
    </w:p>
    <w:p w14:paraId="7FCD2752">
      <w:pPr>
        <w:spacing w:line="600" w:lineRule="auto"/>
        <w:ind w:left="1079" w:leftChars="257" w:hanging="540"/>
        <w:jc w:val="center"/>
        <w:rPr>
          <w:rFonts w:hint="eastAsia" w:ascii="仿宋_GB2312" w:hAnsi="宋体" w:eastAsia="仿宋_GB2312" w:cs="Times New Roman"/>
          <w:b/>
          <w:bCs/>
          <w:sz w:val="24"/>
          <w:highlight w:val="none"/>
          <w:lang w:val="en-US" w:eastAsia="zh-CN"/>
        </w:rPr>
      </w:pPr>
      <w:r>
        <w:rPr>
          <w:rFonts w:hint="eastAsia" w:ascii="仿宋_GB2312" w:hAnsi="宋体" w:eastAsia="仿宋_GB2312" w:cs="Times New Roman"/>
          <w:b/>
          <w:bCs/>
          <w:sz w:val="24"/>
          <w:highlight w:val="none"/>
          <w:lang w:val="en-US" w:eastAsia="zh-CN"/>
        </w:rPr>
        <w:t>说明：格式自拟</w:t>
      </w:r>
    </w:p>
    <w:p w14:paraId="4DEC5607">
      <w:pPr>
        <w:spacing w:line="600" w:lineRule="auto"/>
        <w:ind w:left="1079" w:leftChars="257" w:hanging="540"/>
        <w:jc w:val="center"/>
        <w:rPr>
          <w:rFonts w:hint="eastAsia" w:ascii="仿宋_GB2312" w:hAnsi="宋体" w:eastAsia="仿宋_GB2312" w:cs="Times New Roman"/>
          <w:b/>
          <w:bCs/>
          <w:sz w:val="24"/>
          <w:highlight w:val="none"/>
          <w:lang w:val="en-US" w:eastAsia="zh-CN"/>
        </w:rPr>
      </w:pPr>
    </w:p>
    <w:p w14:paraId="70F4B50D">
      <w:pPr>
        <w:spacing w:line="600" w:lineRule="auto"/>
        <w:ind w:left="1079" w:leftChars="257" w:hanging="540"/>
        <w:jc w:val="center"/>
        <w:rPr>
          <w:rFonts w:hint="eastAsia" w:ascii="仿宋_GB2312" w:hAnsi="宋体" w:eastAsia="仿宋_GB2312" w:cs="Times New Roman"/>
          <w:b/>
          <w:bCs/>
          <w:sz w:val="24"/>
          <w:highlight w:val="none"/>
          <w:lang w:val="en-US" w:eastAsia="zh-CN"/>
        </w:rPr>
      </w:pPr>
    </w:p>
    <w:p w14:paraId="4D902032">
      <w:pPr>
        <w:spacing w:line="600" w:lineRule="auto"/>
        <w:ind w:left="1079" w:leftChars="257" w:hanging="540"/>
        <w:jc w:val="center"/>
        <w:rPr>
          <w:rFonts w:hint="eastAsia" w:ascii="仿宋_GB2312" w:hAnsi="宋体" w:eastAsia="仿宋_GB2312" w:cs="Times New Roman"/>
          <w:b/>
          <w:bCs/>
          <w:sz w:val="24"/>
          <w:highlight w:val="none"/>
          <w:lang w:val="en-US" w:eastAsia="zh-CN"/>
        </w:rPr>
      </w:pPr>
    </w:p>
    <w:p w14:paraId="3AD01070">
      <w:pPr>
        <w:spacing w:line="600" w:lineRule="auto"/>
        <w:ind w:left="1079" w:leftChars="257" w:hanging="540"/>
        <w:jc w:val="center"/>
        <w:rPr>
          <w:rFonts w:hint="eastAsia" w:ascii="仿宋_GB2312" w:hAnsi="宋体" w:eastAsia="仿宋_GB2312" w:cs="Times New Roman"/>
          <w:b/>
          <w:bCs/>
          <w:sz w:val="24"/>
          <w:highlight w:val="none"/>
          <w:lang w:val="en-US" w:eastAsia="zh-CN"/>
        </w:rPr>
      </w:pPr>
      <w:r>
        <w:rPr>
          <w:rFonts w:hint="eastAsia" w:ascii="仿宋_GB2312" w:hAnsi="宋体" w:eastAsia="仿宋_GB2312" w:cs="Times New Roman"/>
          <w:b/>
          <w:bCs/>
          <w:sz w:val="24"/>
          <w:highlight w:val="none"/>
          <w:lang w:val="en-US" w:eastAsia="zh-CN"/>
        </w:rPr>
        <w:t>9、投标人参加政府采购活动前3年内在经营活动中没有重大违法违规记录的书面声明</w:t>
      </w:r>
    </w:p>
    <w:p w14:paraId="2F3B9EC9">
      <w:pPr>
        <w:spacing w:line="600" w:lineRule="auto"/>
        <w:ind w:left="1079" w:leftChars="257" w:hanging="540"/>
        <w:jc w:val="center"/>
        <w:rPr>
          <w:rFonts w:hint="eastAsia" w:ascii="仿宋_GB2312" w:hAnsi="宋体" w:eastAsia="仿宋_GB2312" w:cs="Times New Roman"/>
          <w:b/>
          <w:bCs/>
          <w:sz w:val="24"/>
          <w:highlight w:val="none"/>
          <w:lang w:val="en-US" w:eastAsia="zh-CN"/>
        </w:rPr>
      </w:pPr>
    </w:p>
    <w:p w14:paraId="08482BFA">
      <w:pPr>
        <w:spacing w:line="600" w:lineRule="auto"/>
        <w:ind w:left="1079" w:leftChars="257" w:hanging="540"/>
        <w:jc w:val="center"/>
        <w:rPr>
          <w:rFonts w:hint="eastAsia" w:ascii="仿宋_GB2312" w:hAnsi="宋体" w:eastAsia="仿宋_GB2312" w:cs="Times New Roman"/>
          <w:b/>
          <w:bCs/>
          <w:sz w:val="24"/>
          <w:highlight w:val="none"/>
          <w:lang w:val="en-US" w:eastAsia="zh-CN"/>
        </w:rPr>
      </w:pPr>
    </w:p>
    <w:p w14:paraId="3331D1D6">
      <w:pPr>
        <w:pStyle w:val="3"/>
        <w:numPr>
          <w:ilvl w:val="0"/>
          <w:numId w:val="0"/>
        </w:numPr>
        <w:spacing w:before="0" w:line="240" w:lineRule="atLeast"/>
        <w:jc w:val="center"/>
        <w:rPr>
          <w:rFonts w:hint="eastAsia" w:ascii="仿宋" w:hAnsi="仿宋" w:eastAsia="仿宋" w:cs="仿宋"/>
          <w:b/>
          <w:color w:val="auto"/>
          <w:sz w:val="24"/>
          <w:highlight w:val="none"/>
          <w:lang w:val="en-US" w:eastAsia="zh-CN"/>
        </w:rPr>
      </w:pPr>
      <w:bookmarkStart w:id="227" w:name="_Toc10228"/>
      <w:bookmarkStart w:id="228" w:name="_Toc5130"/>
      <w:bookmarkStart w:id="229" w:name="_Toc9018"/>
      <w:bookmarkStart w:id="230" w:name="_Toc30127"/>
      <w:r>
        <w:rPr>
          <w:rFonts w:hint="eastAsia" w:ascii="仿宋_GB2312" w:hAnsi="宋体" w:eastAsia="仿宋_GB2312" w:cs="Times New Roman"/>
          <w:b/>
          <w:bCs/>
          <w:sz w:val="24"/>
          <w:highlight w:val="none"/>
          <w:lang w:val="en-US" w:eastAsia="zh-CN"/>
        </w:rPr>
        <w:t>说明：格式自拟</w:t>
      </w:r>
      <w:r>
        <w:rPr>
          <w:rFonts w:hint="eastAsia" w:ascii="宋体" w:hAnsi="宋体" w:eastAsia="宋体" w:cs="宋体"/>
          <w:b/>
          <w:color w:val="auto"/>
          <w:sz w:val="24"/>
          <w:highlight w:val="none"/>
          <w:lang w:val="en-US" w:eastAsia="zh-CN"/>
        </w:rPr>
        <w:br w:type="page"/>
      </w:r>
      <w:r>
        <w:rPr>
          <w:rFonts w:hint="eastAsia" w:ascii="仿宋" w:hAnsi="仿宋" w:eastAsia="仿宋" w:cs="仿宋"/>
          <w:b/>
          <w:color w:val="auto"/>
          <w:sz w:val="24"/>
          <w:highlight w:val="none"/>
          <w:lang w:val="en-US" w:eastAsia="zh-CN"/>
        </w:rPr>
        <w:t>10、</w:t>
      </w:r>
      <w:r>
        <w:rPr>
          <w:rFonts w:hint="eastAsia" w:ascii="仿宋" w:hAnsi="仿宋" w:eastAsia="仿宋" w:cs="仿宋"/>
          <w:b/>
          <w:color w:val="000000"/>
          <w:kern w:val="0"/>
          <w:sz w:val="24"/>
          <w:szCs w:val="20"/>
          <w:highlight w:val="none"/>
          <w:u w:val="none"/>
          <w:lang w:val="zh-CN" w:eastAsia="zh-CN" w:bidi="ar-SA"/>
        </w:rPr>
        <w:t>保证金</w:t>
      </w:r>
      <w:r>
        <w:rPr>
          <w:rFonts w:hint="eastAsia" w:ascii="仿宋" w:hAnsi="仿宋" w:eastAsia="仿宋" w:cs="仿宋"/>
          <w:b/>
          <w:color w:val="000000"/>
          <w:kern w:val="0"/>
          <w:sz w:val="24"/>
          <w:szCs w:val="20"/>
          <w:highlight w:val="none"/>
          <w:u w:val="none"/>
          <w:lang w:val="en-US" w:eastAsia="zh-CN" w:bidi="ar-SA"/>
        </w:rPr>
        <w:t>缴纳的</w:t>
      </w:r>
      <w:r>
        <w:rPr>
          <w:rFonts w:hint="eastAsia" w:ascii="仿宋" w:hAnsi="仿宋" w:eastAsia="仿宋" w:cs="仿宋"/>
          <w:b/>
          <w:color w:val="000000"/>
          <w:kern w:val="0"/>
          <w:sz w:val="24"/>
          <w:szCs w:val="20"/>
          <w:highlight w:val="none"/>
          <w:u w:val="none"/>
          <w:lang w:val="zh-CN" w:eastAsia="zh-CN" w:bidi="ar-SA"/>
        </w:rPr>
        <w:t>有效凭证</w:t>
      </w:r>
      <w:r>
        <w:rPr>
          <w:rFonts w:hint="eastAsia" w:ascii="仿宋" w:hAnsi="仿宋" w:eastAsia="仿宋" w:cs="仿宋"/>
          <w:b/>
          <w:color w:val="auto"/>
          <w:sz w:val="24"/>
          <w:highlight w:val="none"/>
          <w:lang w:val="en-US" w:eastAsia="zh-CN"/>
        </w:rPr>
        <w:t>;</w:t>
      </w:r>
      <w:bookmarkEnd w:id="227"/>
      <w:bookmarkEnd w:id="228"/>
      <w:bookmarkEnd w:id="229"/>
      <w:bookmarkEnd w:id="230"/>
    </w:p>
    <w:p w14:paraId="63320EDE">
      <w:pPr>
        <w:pStyle w:val="15"/>
        <w:keepNext w:val="0"/>
        <w:keepLines w:val="0"/>
        <w:pageBreakBefore w:val="0"/>
        <w:widowControl w:val="0"/>
        <w:tabs>
          <w:tab w:val="left" w:pos="5580"/>
        </w:tabs>
        <w:kinsoku/>
        <w:wordWrap/>
        <w:overflowPunct/>
        <w:topLinePunct w:val="0"/>
        <w:bidi w:val="0"/>
        <w:snapToGrid/>
        <w:spacing w:line="360" w:lineRule="auto"/>
        <w:ind w:firstLine="720" w:firstLineChars="300"/>
        <w:jc w:val="both"/>
        <w:textAlignment w:val="auto"/>
        <w:rPr>
          <w:rFonts w:hint="eastAsia" w:ascii="宋体" w:hAnsi="宋体" w:eastAsia="宋体" w:cs="宋体"/>
          <w:color w:val="auto"/>
          <w:sz w:val="24"/>
          <w:szCs w:val="24"/>
        </w:rPr>
      </w:pPr>
    </w:p>
    <w:p w14:paraId="01A3091F">
      <w:pPr>
        <w:pStyle w:val="15"/>
        <w:keepNext w:val="0"/>
        <w:keepLines w:val="0"/>
        <w:pageBreakBefore w:val="0"/>
        <w:widowControl w:val="0"/>
        <w:tabs>
          <w:tab w:val="left" w:pos="5580"/>
        </w:tabs>
        <w:kinsoku/>
        <w:wordWrap/>
        <w:overflowPunct/>
        <w:topLinePunct w:val="0"/>
        <w:bidi w:val="0"/>
        <w:snapToGrid/>
        <w:spacing w:line="360" w:lineRule="auto"/>
        <w:ind w:firstLine="720" w:firstLineChars="300"/>
        <w:jc w:val="both"/>
        <w:textAlignment w:val="auto"/>
        <w:rPr>
          <w:rFonts w:hint="eastAsia" w:ascii="宋体" w:hAnsi="宋体" w:eastAsia="宋体" w:cs="宋体"/>
          <w:color w:val="auto"/>
          <w:sz w:val="24"/>
          <w:szCs w:val="24"/>
        </w:rPr>
      </w:pPr>
    </w:p>
    <w:tbl>
      <w:tblPr>
        <w:tblStyle w:val="37"/>
        <w:tblpPr w:leftFromText="180" w:rightFromText="180" w:vertAnchor="text" w:horzAnchor="page" w:tblpX="2090" w:tblpY="7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14:paraId="358F6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noWrap/>
            <w:vAlign w:val="top"/>
          </w:tcPr>
          <w:p w14:paraId="613470C8">
            <w:pPr>
              <w:rPr>
                <w:rFonts w:hint="eastAsia" w:ascii="宋体" w:hAnsi="宋体" w:eastAsia="宋体" w:cs="宋体"/>
                <w:b/>
                <w:bCs/>
                <w:color w:val="auto"/>
                <w:sz w:val="30"/>
                <w:szCs w:val="30"/>
              </w:rPr>
            </w:pPr>
          </w:p>
          <w:p w14:paraId="14E5705B">
            <w:pPr>
              <w:jc w:val="both"/>
              <w:rPr>
                <w:rFonts w:hint="eastAsia" w:ascii="宋体" w:hAnsi="宋体" w:eastAsia="宋体" w:cs="宋体"/>
                <w:b/>
                <w:bCs/>
                <w:color w:val="auto"/>
                <w:sz w:val="30"/>
                <w:szCs w:val="30"/>
              </w:rPr>
            </w:pPr>
          </w:p>
          <w:p w14:paraId="3E238E67">
            <w:pPr>
              <w:jc w:val="center"/>
              <w:rPr>
                <w:rFonts w:hint="eastAsia" w:ascii="宋体" w:hAnsi="宋体" w:eastAsia="宋体" w:cs="宋体"/>
                <w:b/>
                <w:bCs/>
                <w:color w:val="auto"/>
                <w:sz w:val="30"/>
                <w:szCs w:val="30"/>
                <w:lang w:eastAsia="zh-CN"/>
              </w:rPr>
            </w:pPr>
            <w:r>
              <w:rPr>
                <w:rFonts w:hint="eastAsia" w:ascii="宋体" w:hAnsi="宋体" w:eastAsia="宋体" w:cs="宋体"/>
                <w:b/>
                <w:bCs/>
                <w:color w:val="auto"/>
                <w:sz w:val="30"/>
                <w:szCs w:val="30"/>
                <w:lang w:eastAsia="zh-CN"/>
              </w:rPr>
              <w:t>保证金有效凭证</w:t>
            </w:r>
          </w:p>
        </w:tc>
      </w:tr>
    </w:tbl>
    <w:p w14:paraId="4621961E">
      <w:pPr>
        <w:pStyle w:val="4"/>
        <w:rPr>
          <w:rFonts w:hint="eastAsia" w:ascii="宋体" w:hAnsi="宋体" w:eastAsia="宋体" w:cs="宋体"/>
          <w:color w:val="auto"/>
        </w:rPr>
      </w:pPr>
    </w:p>
    <w:p w14:paraId="5C261578">
      <w:pPr>
        <w:spacing w:line="240" w:lineRule="atLeast"/>
        <w:ind w:left="1079" w:leftChars="257" w:hanging="540"/>
        <w:jc w:val="center"/>
        <w:rPr>
          <w:rFonts w:hint="eastAsia" w:ascii="宋体" w:hAnsi="宋体" w:eastAsia="宋体" w:cs="宋体"/>
          <w:color w:val="auto"/>
          <w:sz w:val="24"/>
        </w:rPr>
      </w:pPr>
    </w:p>
    <w:p w14:paraId="2E8A0BAB">
      <w:pPr>
        <w:rPr>
          <w:rFonts w:hint="eastAsia" w:ascii="宋体" w:hAnsi="宋体" w:eastAsia="宋体" w:cs="宋体"/>
          <w:color w:val="auto"/>
          <w:sz w:val="28"/>
          <w:szCs w:val="28"/>
        </w:rPr>
      </w:pPr>
    </w:p>
    <w:p w14:paraId="54E89A8E">
      <w:pPr>
        <w:pStyle w:val="4"/>
        <w:rPr>
          <w:rFonts w:hint="eastAsia" w:ascii="宋体" w:hAnsi="宋体" w:eastAsia="宋体" w:cs="宋体"/>
          <w:color w:val="auto"/>
        </w:rPr>
      </w:pPr>
    </w:p>
    <w:p w14:paraId="632ABCED">
      <w:pPr>
        <w:pStyle w:val="4"/>
        <w:rPr>
          <w:rFonts w:hint="eastAsia" w:ascii="宋体" w:hAnsi="宋体" w:eastAsia="宋体" w:cs="宋体"/>
          <w:color w:val="auto"/>
        </w:rPr>
      </w:pPr>
    </w:p>
    <w:p w14:paraId="6BAD3B99">
      <w:pPr>
        <w:pStyle w:val="4"/>
        <w:ind w:left="0" w:leftChars="0" w:firstLine="0" w:firstLineChars="0"/>
        <w:rPr>
          <w:rFonts w:hint="eastAsia" w:ascii="宋体" w:hAnsi="宋体" w:eastAsia="宋体" w:cs="宋体"/>
          <w:color w:val="auto"/>
        </w:rPr>
      </w:pPr>
    </w:p>
    <w:p w14:paraId="17951EED">
      <w:pPr>
        <w:rPr>
          <w:rFonts w:hint="eastAsia" w:ascii="宋体" w:hAnsi="宋体" w:eastAsia="宋体" w:cs="宋体"/>
          <w:color w:val="auto"/>
        </w:rPr>
      </w:pPr>
    </w:p>
    <w:p w14:paraId="3D1F8911">
      <w:pPr>
        <w:rPr>
          <w:rFonts w:hint="eastAsia" w:ascii="宋体" w:hAnsi="宋体" w:eastAsia="宋体" w:cs="宋体"/>
          <w:color w:val="auto"/>
        </w:rPr>
      </w:pPr>
    </w:p>
    <w:p w14:paraId="2AF16C30">
      <w:pPr>
        <w:rPr>
          <w:rFonts w:hint="eastAsia" w:ascii="宋体" w:hAnsi="宋体" w:eastAsia="宋体" w:cs="宋体"/>
          <w:color w:val="auto"/>
        </w:rPr>
      </w:pPr>
    </w:p>
    <w:p w14:paraId="13543178">
      <w:pPr>
        <w:rPr>
          <w:rFonts w:hint="eastAsia" w:ascii="宋体" w:hAnsi="宋体" w:eastAsia="宋体" w:cs="宋体"/>
          <w:color w:val="auto"/>
        </w:rPr>
      </w:pPr>
    </w:p>
    <w:p w14:paraId="19C0DA8C">
      <w:pPr>
        <w:jc w:val="center"/>
        <w:rPr>
          <w:rFonts w:hint="eastAsia" w:ascii="仿宋" w:hAnsi="仿宋" w:eastAsia="仿宋" w:cs="仿宋"/>
          <w:color w:val="auto"/>
          <w:sz w:val="21"/>
          <w:szCs w:val="21"/>
          <w:highlight w:val="none"/>
        </w:rPr>
      </w:pPr>
      <w:r>
        <w:rPr>
          <w:rFonts w:hint="eastAsia" w:ascii="宋体" w:hAnsi="宋体" w:eastAsia="宋体" w:cs="宋体"/>
          <w:color w:val="auto"/>
          <w:sz w:val="28"/>
          <w:szCs w:val="28"/>
          <w:highlight w:val="none"/>
        </w:rPr>
        <w:br w:type="page"/>
      </w:r>
      <w:r>
        <w:rPr>
          <w:rFonts w:hint="eastAsia" w:ascii="仿宋" w:hAnsi="仿宋" w:eastAsia="仿宋" w:cs="仿宋"/>
          <w:color w:val="auto"/>
          <w:sz w:val="21"/>
          <w:szCs w:val="21"/>
          <w:highlight w:val="none"/>
        </w:rPr>
        <w:t>政府采购投标担保函（项目用）（</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文件格式三）</w:t>
      </w:r>
    </w:p>
    <w:p w14:paraId="2BD805F4">
      <w:pPr>
        <w:ind w:firstLine="6720" w:firstLineChars="3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编号：</w:t>
      </w:r>
    </w:p>
    <w:p w14:paraId="000BC504">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（采购人或采购代理机构）：</w:t>
      </w:r>
    </w:p>
    <w:p w14:paraId="5A8FBD3C">
      <w:pPr>
        <w:ind w:firstLine="420" w:firstLineChars="20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鉴于（以下简称“供应商”）拟参加编号为的</w:t>
      </w:r>
    </w:p>
    <w:p w14:paraId="622484D9">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项目（以下简称“本项目”）投标，根据本项目</w:t>
      </w:r>
      <w:r>
        <w:rPr>
          <w:rFonts w:hint="eastAsia" w:ascii="仿宋" w:hAnsi="仿宋" w:eastAsia="仿宋" w:cs="仿宋"/>
          <w:color w:val="auto"/>
          <w:sz w:val="21"/>
          <w:szCs w:val="21"/>
          <w:highlight w:val="none"/>
          <w:lang w:eastAsia="zh-CN"/>
        </w:rPr>
        <w:t>招标文件</w:t>
      </w:r>
      <w:r>
        <w:rPr>
          <w:rFonts w:hint="eastAsia" w:ascii="仿宋" w:hAnsi="仿宋" w:eastAsia="仿宋" w:cs="仿宋"/>
          <w:color w:val="auto"/>
          <w:sz w:val="21"/>
          <w:szCs w:val="21"/>
          <w:highlight w:val="none"/>
        </w:rPr>
        <w:t>，供应商参加投标时应向你方交纳保证金，且可以投标担保函的形式交纳保证金。应供应商的申请，我方以保证的方式向你方提供如下保证金担保：</w:t>
      </w:r>
    </w:p>
    <w:p w14:paraId="1F3EE03B">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一、保证责任的情形及保证金额</w:t>
      </w:r>
    </w:p>
    <w:p w14:paraId="1DC1B9A2">
      <w:pPr>
        <w:ind w:firstLine="210" w:firstLineChars="1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（一）在供应商出现下列情形之一时，我方承担保证责任：</w:t>
      </w:r>
    </w:p>
    <w:p w14:paraId="01CA5ACF">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1．成交后供应商无正当理由不与采购人或者采购代理机构签订《政府采购合同》；</w:t>
      </w:r>
    </w:p>
    <w:p w14:paraId="6F7A5C02">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eastAsia="zh-CN"/>
        </w:rPr>
        <w:t>招标文件</w:t>
      </w:r>
      <w:r>
        <w:rPr>
          <w:rFonts w:hint="eastAsia" w:ascii="仿宋" w:hAnsi="仿宋" w:eastAsia="仿宋" w:cs="仿宋"/>
          <w:color w:val="auto"/>
          <w:sz w:val="21"/>
          <w:szCs w:val="21"/>
          <w:highlight w:val="none"/>
        </w:rPr>
        <w:t>规定的供应商应当缴纳保证金的其他情形。</w:t>
      </w:r>
    </w:p>
    <w:p w14:paraId="4D6F63E4">
      <w:pPr>
        <w:ind w:firstLine="210" w:firstLineChars="1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（二）我方承担保证责任的最高金额为人民币元（大写），即本项目的保证金金额。</w:t>
      </w:r>
    </w:p>
    <w:p w14:paraId="3A190A8D">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二、保证的方式及保证期间</w:t>
      </w:r>
    </w:p>
    <w:p w14:paraId="428101CF">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我方保证的方式为：连带责任保证。</w:t>
      </w:r>
    </w:p>
    <w:p w14:paraId="02E2E5FB">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我方的保证期间为：自本保函生效之日起个月止。</w:t>
      </w:r>
    </w:p>
    <w:p w14:paraId="0DFC6A61">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三、承担保证责任的程序</w:t>
      </w:r>
    </w:p>
    <w:p w14:paraId="032FADEF">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1．你方要求我方承担保证责任的，应在本保函保证期间内向我方发出书面索赔通知。索赔通知应写明要求索赔的金额，支付款项应到达的账号，并附有证明供应商发生我方应承担保证责任情形的事实材料。</w:t>
      </w:r>
    </w:p>
    <w:p w14:paraId="5A1B9EC3">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2．我方在收到索赔通知及相关证明材料后，在</w:t>
      </w:r>
      <w:r>
        <w:rPr>
          <w:rFonts w:hint="eastAsia" w:ascii="仿宋" w:hAnsi="仿宋" w:eastAsia="仿宋" w:cs="仿宋"/>
          <w:color w:val="auto"/>
          <w:sz w:val="21"/>
          <w:szCs w:val="21"/>
          <w:highlight w:val="none"/>
          <w:u w:val="single"/>
        </w:rPr>
        <w:t>　　　</w:t>
      </w:r>
      <w:r>
        <w:rPr>
          <w:rFonts w:hint="eastAsia" w:ascii="仿宋" w:hAnsi="仿宋" w:eastAsia="仿宋" w:cs="仿宋"/>
          <w:color w:val="auto"/>
          <w:sz w:val="21"/>
          <w:szCs w:val="21"/>
          <w:highlight w:val="none"/>
        </w:rPr>
        <w:t>个工作日内进行审查，符合应承担保证责任情形的，我方应按照你方的要求代供应商向你方支付保证金。</w:t>
      </w:r>
    </w:p>
    <w:p w14:paraId="2138C701">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四、保证责任的终止</w:t>
      </w:r>
    </w:p>
    <w:p w14:paraId="007FEB71">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1．保证期间届满你方未向我方书面主张保证责任的，自保证期间届满次日起，我方保证责任自动终止。</w:t>
      </w:r>
    </w:p>
    <w:p w14:paraId="401578E6">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2．我方按照本保函向你贵方履行了保证责任后，自我方向你方支付款项（支付款项从我方账户划出）之日起，保证责任终止。</w:t>
      </w:r>
    </w:p>
    <w:p w14:paraId="329B3F03">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3．按照法律法规的规定或出现我方保证责任终止的其它情形的，我方在本保函项下的保证责任亦终止。</w:t>
      </w:r>
    </w:p>
    <w:p w14:paraId="1F0303FC">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五、免责条款</w:t>
      </w:r>
    </w:p>
    <w:p w14:paraId="095CA94B">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1．依照法律规定或你方与供应商的另行约定，全部或者部分免除供应商保证金义务时，我方亦免除相应的保证责任。</w:t>
      </w:r>
    </w:p>
    <w:p w14:paraId="08988E63">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2．因你方原因致使供应商发生本保函第一条第（一）款约定情形的，我方不承担保证责任。</w:t>
      </w:r>
    </w:p>
    <w:p w14:paraId="0EDA74AF">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3．因不可抗力造成供应商发生本保函第一条约定情形的，我方不承担保证责任。</w:t>
      </w:r>
    </w:p>
    <w:p w14:paraId="01302C65">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4．你方或其他有权机关对</w:t>
      </w:r>
      <w:r>
        <w:rPr>
          <w:rFonts w:hint="eastAsia" w:ascii="仿宋" w:hAnsi="仿宋" w:eastAsia="仿宋" w:cs="仿宋"/>
          <w:color w:val="auto"/>
          <w:sz w:val="21"/>
          <w:szCs w:val="21"/>
          <w:highlight w:val="none"/>
          <w:lang w:eastAsia="zh-CN"/>
        </w:rPr>
        <w:t>招标文件</w:t>
      </w:r>
      <w:r>
        <w:rPr>
          <w:rFonts w:hint="eastAsia" w:ascii="仿宋" w:hAnsi="仿宋" w:eastAsia="仿宋" w:cs="仿宋"/>
          <w:color w:val="auto"/>
          <w:sz w:val="21"/>
          <w:szCs w:val="21"/>
          <w:highlight w:val="none"/>
        </w:rPr>
        <w:t>进行任何澄清或修改，加重我方保证责任的，我方对加重部分不承担保证责任，但该澄清或修改经我方事先书面同意的除外。</w:t>
      </w:r>
    </w:p>
    <w:p w14:paraId="4BF5174C">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六、争议的解决</w:t>
      </w:r>
    </w:p>
    <w:p w14:paraId="772F4005">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因本保函发生的纠纷，由你我双方协商解决，协商不成的，通过诉讼程序解决，诉讼管辖地法院为法院。</w:t>
      </w:r>
    </w:p>
    <w:p w14:paraId="1A63AA17">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七、保函的生效</w:t>
      </w:r>
    </w:p>
    <w:p w14:paraId="5151914B">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本保函自我方加盖公章之日起生效。</w:t>
      </w:r>
    </w:p>
    <w:p w14:paraId="7F1F7B94">
      <w:pPr>
        <w:spacing w:line="600" w:lineRule="auto"/>
        <w:ind w:left="1079" w:leftChars="257" w:hanging="540"/>
        <w:jc w:val="center"/>
        <w:rPr>
          <w:rFonts w:hint="eastAsia" w:ascii="仿宋_GB2312" w:hAnsi="宋体" w:eastAsia="仿宋_GB2312" w:cs="Times New Roman"/>
          <w:b/>
          <w:bCs/>
          <w:sz w:val="24"/>
          <w:highlight w:val="none"/>
          <w:lang w:val="en-US" w:eastAsia="zh-CN"/>
        </w:rPr>
        <w:sectPr>
          <w:pgSz w:w="11906" w:h="16838"/>
          <w:pgMar w:top="1440" w:right="1797" w:bottom="1440" w:left="1797" w:header="851" w:footer="992" w:gutter="0"/>
          <w:pgNumType w:fmt="decimal"/>
          <w:cols w:space="720" w:num="1"/>
          <w:docGrid w:type="linesAndChars" w:linePitch="312" w:charSpace="0"/>
        </w:sectPr>
      </w:pPr>
      <w:r>
        <w:rPr>
          <w:rFonts w:hint="eastAsia" w:ascii="仿宋" w:hAnsi="仿宋" w:eastAsia="仿宋" w:cs="仿宋"/>
          <w:color w:val="auto"/>
          <w:sz w:val="21"/>
          <w:szCs w:val="21"/>
          <w:highlight w:val="none"/>
        </w:rPr>
        <w:t>保证人：（公章）年月日</w:t>
      </w:r>
    </w:p>
    <w:p w14:paraId="3FBA8800">
      <w:pPr>
        <w:numPr>
          <w:ilvl w:val="0"/>
          <w:numId w:val="0"/>
        </w:numPr>
        <w:spacing w:line="600" w:lineRule="auto"/>
        <w:ind w:leftChars="257"/>
        <w:jc w:val="center"/>
        <w:rPr>
          <w:rFonts w:hint="eastAsia" w:ascii="仿宋_GB2312" w:hAnsi="宋体" w:eastAsia="仿宋_GB2312" w:cs="Times New Roman"/>
          <w:b/>
          <w:bCs/>
          <w:sz w:val="24"/>
          <w:highlight w:val="none"/>
          <w:lang w:val="en-US" w:eastAsia="zh-CN"/>
        </w:rPr>
      </w:pPr>
      <w:r>
        <w:rPr>
          <w:rFonts w:hint="eastAsia" w:ascii="仿宋_GB2312" w:hAnsi="宋体" w:eastAsia="仿宋_GB2312" w:cs="Times New Roman"/>
          <w:b/>
          <w:bCs/>
          <w:sz w:val="24"/>
          <w:highlight w:val="none"/>
          <w:lang w:val="en-US" w:eastAsia="zh-CN"/>
        </w:rPr>
        <w:t>11、《中小企业声明函》</w:t>
      </w:r>
    </w:p>
    <w:p w14:paraId="5C23CD68">
      <w:pPr>
        <w:autoSpaceDE w:val="0"/>
        <w:autoSpaceDN w:val="0"/>
        <w:spacing w:line="360" w:lineRule="auto"/>
        <w:ind w:left="220" w:right="415" w:firstLine="640"/>
        <w:jc w:val="left"/>
        <w:rPr>
          <w:rFonts w:hint="eastAsia" w:ascii="仿宋" w:hAnsi="仿宋" w:eastAsia="仿宋" w:cs="仿宋"/>
          <w:color w:val="auto"/>
          <w:kern w:val="0"/>
          <w:sz w:val="24"/>
        </w:rPr>
      </w:pPr>
      <w:r>
        <w:rPr>
          <w:rFonts w:hint="eastAsia" w:ascii="仿宋" w:hAnsi="仿宋" w:eastAsia="仿宋" w:cs="仿宋"/>
          <w:color w:val="auto"/>
          <w:kern w:val="0"/>
          <w:sz w:val="24"/>
        </w:rPr>
        <w:t>本公司（联合体）郑重声明，根据《政府采购促进中小企业发展管理办法》（财库﹝2020﹞46号）的规定，本公司（联合体）参加</w:t>
      </w:r>
      <w:r>
        <w:rPr>
          <w:rFonts w:hint="eastAsia" w:ascii="仿宋" w:hAnsi="仿宋" w:eastAsia="仿宋" w:cs="仿宋"/>
          <w:i/>
          <w:color w:val="auto"/>
          <w:kern w:val="0"/>
          <w:sz w:val="24"/>
          <w:u w:val="single"/>
        </w:rPr>
        <w:t>（单位名称）</w:t>
      </w:r>
      <w:r>
        <w:rPr>
          <w:rFonts w:hint="eastAsia" w:ascii="仿宋" w:hAnsi="仿宋" w:eastAsia="仿宋" w:cs="仿宋"/>
          <w:color w:val="auto"/>
          <w:kern w:val="0"/>
          <w:sz w:val="24"/>
        </w:rPr>
        <w:t>的</w:t>
      </w:r>
      <w:r>
        <w:rPr>
          <w:rFonts w:hint="eastAsia" w:ascii="仿宋" w:hAnsi="仿宋" w:eastAsia="仿宋" w:cs="仿宋"/>
          <w:i/>
          <w:color w:val="auto"/>
          <w:kern w:val="0"/>
          <w:sz w:val="24"/>
          <w:u w:val="single"/>
        </w:rPr>
        <w:t>（项目名称）</w:t>
      </w:r>
      <w:r>
        <w:rPr>
          <w:rFonts w:hint="eastAsia" w:ascii="仿宋" w:hAnsi="仿宋" w:eastAsia="仿宋" w:cs="仿宋"/>
          <w:color w:val="auto"/>
          <w:kern w:val="0"/>
          <w:sz w:val="24"/>
        </w:rPr>
        <w:t>采购活动，提供的货物全部由符合政策要求的中小企业制造。相关企业（含联合体中的中小企业、签订分包意向协议的中小企业）的具体情况如下：</w:t>
      </w:r>
    </w:p>
    <w:p w14:paraId="5708A9FD">
      <w:pPr>
        <w:numPr>
          <w:ilvl w:val="0"/>
          <w:numId w:val="7"/>
        </w:numPr>
        <w:tabs>
          <w:tab w:val="left" w:pos="1183"/>
          <w:tab w:val="left" w:pos="1484"/>
          <w:tab w:val="left" w:pos="4662"/>
          <w:tab w:val="left" w:pos="6903"/>
        </w:tabs>
        <w:autoSpaceDE w:val="0"/>
        <w:autoSpaceDN w:val="0"/>
        <w:spacing w:line="360" w:lineRule="auto"/>
        <w:ind w:right="169" w:firstLine="646"/>
        <w:jc w:val="left"/>
        <w:rPr>
          <w:rFonts w:hint="eastAsia" w:ascii="仿宋" w:hAnsi="仿宋" w:eastAsia="仿宋" w:cs="仿宋"/>
          <w:color w:val="auto"/>
          <w:kern w:val="0"/>
          <w:sz w:val="24"/>
        </w:rPr>
      </w:pPr>
      <w:r>
        <w:rPr>
          <w:rFonts w:hint="eastAsia" w:ascii="仿宋" w:hAnsi="仿宋" w:eastAsia="仿宋" w:cs="仿宋"/>
          <w:i/>
          <w:color w:val="auto"/>
          <w:kern w:val="0"/>
          <w:sz w:val="24"/>
          <w:u w:val="single" w:color="000000"/>
        </w:rPr>
        <w:t>（</w:t>
      </w:r>
      <w:r>
        <w:rPr>
          <w:rFonts w:hint="eastAsia" w:ascii="仿宋" w:hAnsi="仿宋" w:eastAsia="仿宋" w:cs="仿宋"/>
          <w:i/>
          <w:color w:val="auto"/>
          <w:kern w:val="0"/>
          <w:sz w:val="24"/>
          <w:u w:val="single" w:color="000000"/>
          <w:lang w:val="en-US" w:eastAsia="zh-CN"/>
        </w:rPr>
        <w:t>货物名称</w:t>
      </w:r>
      <w:r>
        <w:rPr>
          <w:rFonts w:hint="eastAsia" w:ascii="仿宋" w:hAnsi="仿宋" w:eastAsia="仿宋" w:cs="仿宋"/>
          <w:i/>
          <w:color w:val="auto"/>
          <w:kern w:val="0"/>
          <w:sz w:val="24"/>
          <w:u w:val="single" w:color="000000"/>
        </w:rPr>
        <w:t>）</w:t>
      </w:r>
      <w:r>
        <w:rPr>
          <w:rFonts w:hint="eastAsia" w:ascii="仿宋" w:hAnsi="仿宋" w:eastAsia="仿宋" w:cs="仿宋"/>
          <w:color w:val="auto"/>
          <w:kern w:val="0"/>
          <w:sz w:val="24"/>
        </w:rPr>
        <w:t>，属于</w:t>
      </w:r>
      <w:r>
        <w:rPr>
          <w:rFonts w:hint="eastAsia" w:ascii="仿宋" w:hAnsi="仿宋" w:eastAsia="仿宋" w:cs="仿宋"/>
          <w:i/>
          <w:color w:val="auto"/>
          <w:kern w:val="0"/>
          <w:sz w:val="24"/>
        </w:rPr>
        <w:t>（</w:t>
      </w:r>
      <w:r>
        <w:rPr>
          <w:rFonts w:hint="eastAsia" w:ascii="仿宋" w:hAnsi="仿宋" w:eastAsia="仿宋" w:cs="仿宋"/>
          <w:i/>
          <w:color w:val="auto"/>
          <w:kern w:val="0"/>
          <w:sz w:val="24"/>
          <w:u w:val="single" w:color="000000"/>
        </w:rPr>
        <w:t>采购文件中明确的所属行业）行业</w:t>
      </w:r>
      <w:r>
        <w:rPr>
          <w:rFonts w:hint="eastAsia" w:ascii="仿宋" w:hAnsi="仿宋" w:eastAsia="仿宋" w:cs="仿宋"/>
          <w:color w:val="auto"/>
          <w:kern w:val="0"/>
          <w:sz w:val="24"/>
        </w:rPr>
        <w:t>；制造商为</w:t>
      </w:r>
      <w:r>
        <w:rPr>
          <w:rFonts w:hint="eastAsia" w:ascii="仿宋" w:hAnsi="仿宋" w:eastAsia="仿宋" w:cs="仿宋"/>
          <w:i/>
          <w:color w:val="auto"/>
          <w:kern w:val="0"/>
          <w:sz w:val="24"/>
          <w:u w:val="single" w:color="000000"/>
        </w:rPr>
        <w:t>（企业名称）</w:t>
      </w:r>
      <w:r>
        <w:rPr>
          <w:rFonts w:hint="eastAsia" w:ascii="仿宋" w:hAnsi="仿宋" w:eastAsia="仿宋" w:cs="仿宋"/>
          <w:color w:val="auto"/>
          <w:kern w:val="0"/>
          <w:sz w:val="24"/>
        </w:rPr>
        <w:t>，从业人员</w:t>
      </w:r>
      <w:r>
        <w:rPr>
          <w:rFonts w:hint="eastAsia" w:ascii="仿宋" w:hAnsi="仿宋" w:eastAsia="仿宋" w:cs="仿宋"/>
          <w:color w:val="auto"/>
          <w:kern w:val="0"/>
          <w:sz w:val="24"/>
          <w:u w:val="single" w:color="000000"/>
        </w:rPr>
        <w:tab/>
      </w:r>
      <w:r>
        <w:rPr>
          <w:rFonts w:hint="eastAsia" w:ascii="仿宋" w:hAnsi="仿宋" w:eastAsia="仿宋" w:cs="仿宋"/>
          <w:color w:val="auto"/>
          <w:kern w:val="0"/>
          <w:sz w:val="24"/>
        </w:rPr>
        <w:t>人，营业收入为</w:t>
      </w:r>
      <w:r>
        <w:rPr>
          <w:rFonts w:hint="eastAsia" w:ascii="仿宋" w:hAnsi="仿宋" w:eastAsia="仿宋" w:cs="仿宋"/>
          <w:color w:val="auto"/>
          <w:kern w:val="0"/>
          <w:sz w:val="24"/>
          <w:u w:val="single" w:color="000000"/>
        </w:rPr>
        <w:tab/>
      </w:r>
      <w:r>
        <w:rPr>
          <w:rFonts w:hint="eastAsia" w:ascii="仿宋" w:hAnsi="仿宋" w:eastAsia="仿宋" w:cs="仿宋"/>
          <w:color w:val="auto"/>
          <w:kern w:val="0"/>
          <w:sz w:val="24"/>
        </w:rPr>
        <w:t>万元，资产总额为</w:t>
      </w:r>
      <w:r>
        <w:rPr>
          <w:rFonts w:hint="eastAsia" w:ascii="仿宋" w:hAnsi="仿宋" w:eastAsia="仿宋" w:cs="仿宋"/>
          <w:color w:val="auto"/>
          <w:kern w:val="0"/>
          <w:sz w:val="24"/>
          <w:u w:val="single" w:color="000000"/>
        </w:rPr>
        <w:tab/>
      </w:r>
      <w:r>
        <w:rPr>
          <w:rFonts w:hint="eastAsia" w:ascii="仿宋" w:hAnsi="仿宋" w:eastAsia="仿宋" w:cs="仿宋"/>
          <w:color w:val="auto"/>
          <w:kern w:val="0"/>
          <w:sz w:val="24"/>
        </w:rPr>
        <w:t>万元</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\l "_bookmark0" </w:instrText>
      </w:r>
      <w:r>
        <w:rPr>
          <w:rFonts w:hint="eastAsia" w:ascii="仿宋" w:hAnsi="仿宋" w:eastAsia="仿宋" w:cs="仿宋"/>
          <w:color w:val="auto"/>
        </w:rPr>
        <w:fldChar w:fldCharType="separate"/>
      </w:r>
      <w:r>
        <w:rPr>
          <w:rFonts w:hint="eastAsia" w:ascii="仿宋" w:hAnsi="仿宋" w:eastAsia="仿宋" w:cs="仿宋"/>
          <w:color w:val="auto"/>
          <w:kern w:val="0"/>
          <w:position w:val="16"/>
          <w:sz w:val="24"/>
        </w:rPr>
        <w:t>1</w:t>
      </w:r>
      <w:r>
        <w:rPr>
          <w:rFonts w:hint="eastAsia" w:ascii="仿宋" w:hAnsi="仿宋" w:eastAsia="仿宋" w:cs="仿宋"/>
          <w:color w:val="auto"/>
          <w:kern w:val="0"/>
          <w:position w:val="16"/>
          <w:sz w:val="24"/>
        </w:rPr>
        <w:fldChar w:fldCharType="end"/>
      </w:r>
      <w:r>
        <w:rPr>
          <w:rFonts w:hint="eastAsia" w:ascii="仿宋" w:hAnsi="仿宋" w:eastAsia="仿宋" w:cs="仿宋"/>
          <w:color w:val="auto"/>
          <w:kern w:val="0"/>
          <w:sz w:val="24"/>
        </w:rPr>
        <w:t>，属于</w:t>
      </w:r>
      <w:r>
        <w:rPr>
          <w:rFonts w:hint="eastAsia" w:ascii="仿宋" w:hAnsi="仿宋" w:eastAsia="仿宋" w:cs="仿宋"/>
          <w:i/>
          <w:color w:val="auto"/>
          <w:kern w:val="0"/>
          <w:sz w:val="24"/>
          <w:u w:val="single" w:color="000000"/>
        </w:rPr>
        <w:t>（中型企业、小型企业、微型企业）</w:t>
      </w:r>
      <w:r>
        <w:rPr>
          <w:rFonts w:hint="eastAsia" w:ascii="仿宋" w:hAnsi="仿宋" w:eastAsia="仿宋" w:cs="仿宋"/>
          <w:color w:val="auto"/>
          <w:kern w:val="0"/>
          <w:sz w:val="24"/>
        </w:rPr>
        <w:t>；</w:t>
      </w:r>
    </w:p>
    <w:p w14:paraId="090D4445">
      <w:pPr>
        <w:numPr>
          <w:ilvl w:val="0"/>
          <w:numId w:val="7"/>
        </w:numPr>
        <w:tabs>
          <w:tab w:val="left" w:pos="1165"/>
          <w:tab w:val="left" w:pos="1183"/>
          <w:tab w:val="left" w:pos="4362"/>
          <w:tab w:val="left" w:pos="6577"/>
        </w:tabs>
        <w:autoSpaceDE w:val="0"/>
        <w:autoSpaceDN w:val="0"/>
        <w:spacing w:line="360" w:lineRule="auto"/>
        <w:ind w:right="169" w:firstLine="646"/>
        <w:jc w:val="left"/>
        <w:rPr>
          <w:rFonts w:hint="eastAsia" w:ascii="仿宋" w:hAnsi="仿宋" w:eastAsia="仿宋" w:cs="仿宋"/>
          <w:color w:val="auto"/>
          <w:kern w:val="0"/>
          <w:sz w:val="24"/>
        </w:rPr>
      </w:pPr>
      <w:r>
        <w:rPr>
          <w:rFonts w:hint="eastAsia" w:ascii="仿宋" w:hAnsi="仿宋" w:eastAsia="仿宋" w:cs="仿宋"/>
          <w:i/>
          <w:color w:val="auto"/>
          <w:kern w:val="0"/>
          <w:sz w:val="24"/>
          <w:u w:val="single" w:color="000000"/>
        </w:rPr>
        <w:t>（</w:t>
      </w:r>
      <w:r>
        <w:rPr>
          <w:rFonts w:hint="eastAsia" w:ascii="仿宋" w:hAnsi="仿宋" w:eastAsia="仿宋" w:cs="仿宋"/>
          <w:i/>
          <w:color w:val="auto"/>
          <w:kern w:val="0"/>
          <w:sz w:val="24"/>
          <w:u w:val="single" w:color="000000"/>
          <w:lang w:val="en-US" w:eastAsia="zh-CN"/>
        </w:rPr>
        <w:t>货物名称</w:t>
      </w:r>
      <w:r>
        <w:rPr>
          <w:rFonts w:hint="eastAsia" w:ascii="仿宋" w:hAnsi="仿宋" w:eastAsia="仿宋" w:cs="仿宋"/>
          <w:i/>
          <w:color w:val="auto"/>
          <w:kern w:val="0"/>
          <w:sz w:val="24"/>
          <w:u w:val="single" w:color="000000"/>
        </w:rPr>
        <w:t>）</w:t>
      </w:r>
      <w:r>
        <w:rPr>
          <w:rFonts w:hint="eastAsia" w:ascii="仿宋" w:hAnsi="仿宋" w:eastAsia="仿宋" w:cs="仿宋"/>
          <w:color w:val="auto"/>
          <w:kern w:val="0"/>
          <w:sz w:val="24"/>
        </w:rPr>
        <w:t>，属于</w:t>
      </w:r>
      <w:r>
        <w:rPr>
          <w:rFonts w:hint="eastAsia" w:ascii="仿宋" w:hAnsi="仿宋" w:eastAsia="仿宋" w:cs="仿宋"/>
          <w:i/>
          <w:color w:val="auto"/>
          <w:kern w:val="0"/>
          <w:sz w:val="24"/>
        </w:rPr>
        <w:t>（</w:t>
      </w:r>
      <w:r>
        <w:rPr>
          <w:rFonts w:hint="eastAsia" w:ascii="仿宋" w:hAnsi="仿宋" w:eastAsia="仿宋" w:cs="仿宋"/>
          <w:i/>
          <w:color w:val="auto"/>
          <w:kern w:val="0"/>
          <w:sz w:val="24"/>
          <w:u w:val="single" w:color="000000"/>
        </w:rPr>
        <w:t>采购文件中明确的所属行业）行业</w:t>
      </w:r>
      <w:r>
        <w:rPr>
          <w:rFonts w:hint="eastAsia" w:ascii="仿宋" w:hAnsi="仿宋" w:eastAsia="仿宋" w:cs="仿宋"/>
          <w:color w:val="auto"/>
          <w:kern w:val="0"/>
          <w:sz w:val="24"/>
        </w:rPr>
        <w:t>；制造商为</w:t>
      </w:r>
      <w:r>
        <w:rPr>
          <w:rFonts w:hint="eastAsia" w:ascii="仿宋" w:hAnsi="仿宋" w:eastAsia="仿宋" w:cs="仿宋"/>
          <w:i/>
          <w:color w:val="auto"/>
          <w:kern w:val="0"/>
          <w:sz w:val="24"/>
          <w:u w:val="single" w:color="000000"/>
        </w:rPr>
        <w:t>（企业名称）</w:t>
      </w:r>
      <w:r>
        <w:rPr>
          <w:rFonts w:hint="eastAsia" w:ascii="仿宋" w:hAnsi="仿宋" w:eastAsia="仿宋" w:cs="仿宋"/>
          <w:color w:val="auto"/>
          <w:kern w:val="0"/>
          <w:sz w:val="24"/>
        </w:rPr>
        <w:t>，从业人员</w:t>
      </w:r>
      <w:r>
        <w:rPr>
          <w:rFonts w:hint="eastAsia" w:ascii="仿宋" w:hAnsi="仿宋" w:eastAsia="仿宋" w:cs="仿宋"/>
          <w:color w:val="auto"/>
          <w:kern w:val="0"/>
          <w:sz w:val="24"/>
          <w:u w:val="single" w:color="000000"/>
        </w:rPr>
        <w:tab/>
      </w:r>
      <w:r>
        <w:rPr>
          <w:rFonts w:hint="eastAsia" w:ascii="仿宋" w:hAnsi="仿宋" w:eastAsia="仿宋" w:cs="仿宋"/>
          <w:color w:val="auto"/>
          <w:kern w:val="0"/>
          <w:sz w:val="24"/>
        </w:rPr>
        <w:t>人，营业收入为</w:t>
      </w:r>
      <w:r>
        <w:rPr>
          <w:rFonts w:hint="eastAsia" w:ascii="仿宋" w:hAnsi="仿宋" w:eastAsia="仿宋" w:cs="仿宋"/>
          <w:color w:val="auto"/>
          <w:kern w:val="0"/>
          <w:sz w:val="24"/>
          <w:u w:val="single" w:color="000000"/>
        </w:rPr>
        <w:tab/>
      </w:r>
      <w:r>
        <w:rPr>
          <w:rFonts w:hint="eastAsia" w:ascii="仿宋" w:hAnsi="仿宋" w:eastAsia="仿宋" w:cs="仿宋"/>
          <w:color w:val="auto"/>
          <w:kern w:val="0"/>
          <w:sz w:val="24"/>
        </w:rPr>
        <w:t>万元，资产总额为</w:t>
      </w:r>
      <w:r>
        <w:rPr>
          <w:rFonts w:hint="eastAsia" w:ascii="仿宋" w:hAnsi="仿宋" w:eastAsia="仿宋" w:cs="仿宋"/>
          <w:color w:val="auto"/>
          <w:kern w:val="0"/>
          <w:sz w:val="24"/>
          <w:u w:val="single" w:color="000000"/>
        </w:rPr>
        <w:tab/>
      </w:r>
      <w:r>
        <w:rPr>
          <w:rFonts w:hint="eastAsia" w:ascii="仿宋" w:hAnsi="仿宋" w:eastAsia="仿宋" w:cs="仿宋"/>
          <w:color w:val="auto"/>
          <w:kern w:val="0"/>
          <w:sz w:val="24"/>
        </w:rPr>
        <w:t>万元，属于</w:t>
      </w:r>
      <w:r>
        <w:rPr>
          <w:rFonts w:hint="eastAsia" w:ascii="仿宋" w:hAnsi="仿宋" w:eastAsia="仿宋" w:cs="仿宋"/>
          <w:i/>
          <w:color w:val="auto"/>
          <w:kern w:val="0"/>
          <w:sz w:val="24"/>
          <w:u w:val="single" w:color="000000"/>
        </w:rPr>
        <w:t>（中型企业、小型企业、微型企业）</w:t>
      </w:r>
      <w:r>
        <w:rPr>
          <w:rFonts w:hint="eastAsia" w:ascii="仿宋" w:hAnsi="仿宋" w:eastAsia="仿宋" w:cs="仿宋"/>
          <w:color w:val="auto"/>
          <w:kern w:val="0"/>
          <w:sz w:val="24"/>
        </w:rPr>
        <w:t>；</w:t>
      </w:r>
    </w:p>
    <w:p w14:paraId="152B5AE4">
      <w:pPr>
        <w:autoSpaceDE w:val="0"/>
        <w:autoSpaceDN w:val="0"/>
        <w:spacing w:line="360" w:lineRule="auto"/>
        <w:ind w:left="860"/>
        <w:jc w:val="left"/>
        <w:rPr>
          <w:rFonts w:hint="eastAsia" w:ascii="仿宋" w:hAnsi="仿宋" w:eastAsia="仿宋" w:cs="仿宋"/>
          <w:color w:val="auto"/>
          <w:kern w:val="0"/>
          <w:sz w:val="24"/>
        </w:rPr>
      </w:pPr>
      <w:r>
        <w:rPr>
          <w:rFonts w:hint="eastAsia" w:ascii="仿宋" w:hAnsi="仿宋" w:eastAsia="仿宋" w:cs="仿宋"/>
          <w:color w:val="auto"/>
          <w:kern w:val="0"/>
          <w:sz w:val="24"/>
        </w:rPr>
        <w:t>……</w:t>
      </w:r>
    </w:p>
    <w:p w14:paraId="556B8F11">
      <w:pPr>
        <w:autoSpaceDE w:val="0"/>
        <w:autoSpaceDN w:val="0"/>
        <w:spacing w:line="360" w:lineRule="auto"/>
        <w:ind w:left="220" w:right="417" w:firstLine="645"/>
        <w:rPr>
          <w:rFonts w:hint="eastAsia" w:ascii="仿宋" w:hAnsi="仿宋" w:eastAsia="仿宋" w:cs="仿宋"/>
          <w:color w:val="auto"/>
          <w:kern w:val="0"/>
          <w:sz w:val="24"/>
        </w:rPr>
      </w:pPr>
      <w:r>
        <w:rPr>
          <w:rFonts w:hint="eastAsia" w:ascii="仿宋" w:hAnsi="仿宋" w:eastAsia="仿宋" w:cs="仿宋"/>
          <w:color w:val="auto"/>
          <w:kern w:val="0"/>
          <w:sz w:val="24"/>
        </w:rPr>
        <w:t>以上企业，不属于大企业的分支机构，不存在控股股东为大企业的情形，也不存在与大企业的负责人为同一人的情形。</w:t>
      </w:r>
    </w:p>
    <w:p w14:paraId="4E8C84D7">
      <w:pPr>
        <w:autoSpaceDE w:val="0"/>
        <w:autoSpaceDN w:val="0"/>
        <w:spacing w:line="360" w:lineRule="auto"/>
        <w:ind w:left="220" w:right="372" w:firstLine="645"/>
        <w:jc w:val="left"/>
        <w:rPr>
          <w:rFonts w:hint="eastAsia" w:ascii="仿宋" w:hAnsi="仿宋" w:eastAsia="仿宋" w:cs="仿宋"/>
          <w:color w:val="auto"/>
          <w:kern w:val="0"/>
          <w:sz w:val="24"/>
        </w:rPr>
      </w:pPr>
      <w:r>
        <w:rPr>
          <w:rFonts w:hint="eastAsia" w:ascii="仿宋" w:hAnsi="仿宋" w:eastAsia="仿宋" w:cs="仿宋"/>
          <w:color w:val="auto"/>
          <w:kern w:val="0"/>
          <w:sz w:val="24"/>
        </w:rPr>
        <w:t>本企业对上述声明内容的真实性负责。如有虚假，将依法承担相应责任。</w:t>
      </w:r>
    </w:p>
    <w:p w14:paraId="4AA52691">
      <w:pPr>
        <w:spacing w:line="360" w:lineRule="auto"/>
        <w:ind w:right="360" w:firstLine="480"/>
        <w:jc w:val="right"/>
        <w:rPr>
          <w:rFonts w:hint="eastAsia" w:ascii="仿宋" w:hAnsi="仿宋" w:eastAsia="仿宋" w:cs="仿宋"/>
          <w:color w:val="auto"/>
          <w:sz w:val="24"/>
        </w:rPr>
      </w:pPr>
      <w:r>
        <w:rPr>
          <w:rFonts w:hint="eastAsia" w:ascii="仿宋" w:hAnsi="仿宋" w:eastAsia="仿宋" w:cs="仿宋"/>
          <w:color w:val="auto"/>
          <w:sz w:val="24"/>
        </w:rPr>
        <w:t>企业名称（盖章）：________</w:t>
      </w:r>
    </w:p>
    <w:p w14:paraId="7BF2A0CA">
      <w:pPr>
        <w:spacing w:line="360" w:lineRule="auto"/>
        <w:ind w:right="360" w:firstLine="480"/>
        <w:jc w:val="right"/>
        <w:rPr>
          <w:rFonts w:hint="eastAsia" w:ascii="仿宋" w:hAnsi="仿宋" w:eastAsia="仿宋" w:cs="仿宋"/>
          <w:color w:val="auto"/>
          <w:sz w:val="24"/>
        </w:rPr>
      </w:pPr>
      <w:r>
        <w:rPr>
          <w:rFonts w:hint="eastAsia" w:ascii="仿宋" w:hAnsi="仿宋" w:eastAsia="仿宋" w:cs="仿宋"/>
          <w:color w:val="auto"/>
          <w:sz w:val="24"/>
        </w:rPr>
        <w:t>日期：________</w:t>
      </w:r>
    </w:p>
    <w:p w14:paraId="18819DAA">
      <w:pPr>
        <w:widowControl/>
        <w:spacing w:before="100" w:beforeAutospacing="1" w:after="100" w:afterAutospacing="1" w:line="330" w:lineRule="atLeast"/>
        <w:ind w:firstLine="480" w:firstLineChars="200"/>
        <w:jc w:val="left"/>
        <w:rPr>
          <w:rFonts w:hint="eastAsia" w:ascii="仿宋" w:hAnsi="仿宋" w:eastAsia="仿宋" w:cs="仿宋"/>
          <w:color w:val="000000"/>
          <w:kern w:val="2"/>
          <w:sz w:val="24"/>
          <w:szCs w:val="20"/>
          <w:highlight w:val="none"/>
          <w:lang w:val="en-US" w:eastAsia="zh-CN" w:bidi="ar-SA"/>
        </w:rPr>
      </w:pPr>
      <w:r>
        <w:rPr>
          <w:rFonts w:hint="eastAsia" w:ascii="仿宋" w:hAnsi="仿宋" w:eastAsia="仿宋" w:cs="仿宋"/>
          <w:b/>
          <w:bCs/>
          <w:color w:val="000000"/>
          <w:kern w:val="2"/>
          <w:sz w:val="24"/>
          <w:szCs w:val="20"/>
          <w:highlight w:val="none"/>
          <w:lang w:val="en-US" w:eastAsia="zh-CN" w:bidi="ar-SA"/>
        </w:rPr>
        <w:t>本项目属于“批发业”</w:t>
      </w:r>
    </w:p>
    <w:p w14:paraId="3CFF39D3">
      <w:pPr>
        <w:widowControl/>
        <w:spacing w:before="100" w:beforeAutospacing="1" w:after="100" w:afterAutospacing="1" w:line="330" w:lineRule="atLeast"/>
        <w:ind w:firstLine="480" w:firstLineChars="200"/>
        <w:jc w:val="left"/>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b/>
          <w:bCs/>
          <w:color w:val="auto"/>
          <w:kern w:val="2"/>
          <w:sz w:val="24"/>
          <w:szCs w:val="20"/>
          <w:highlight w:val="none"/>
          <w:lang w:val="en-US" w:eastAsia="zh-CN" w:bidi="ar-SA"/>
        </w:rPr>
        <w:t>注：</w:t>
      </w:r>
    </w:p>
    <w:p w14:paraId="1E94074D">
      <w:pPr>
        <w:widowControl/>
        <w:spacing w:before="100" w:beforeAutospacing="1" w:after="100" w:afterAutospacing="1" w:line="330" w:lineRule="atLeast"/>
        <w:ind w:firstLine="480" w:firstLineChars="200"/>
        <w:jc w:val="left"/>
        <w:rPr>
          <w:rFonts w:hint="eastAsia" w:ascii="仿宋" w:hAnsi="仿宋" w:eastAsia="仿宋" w:cs="仿宋"/>
          <w:b/>
          <w:bCs/>
          <w:color w:val="auto"/>
          <w:kern w:val="2"/>
          <w:sz w:val="24"/>
          <w:szCs w:val="20"/>
          <w:highlight w:val="none"/>
          <w:lang w:val="en-US" w:eastAsia="zh-CN" w:bidi="ar-SA"/>
        </w:rPr>
      </w:pPr>
      <w:r>
        <w:rPr>
          <w:rFonts w:hint="eastAsia" w:ascii="仿宋" w:hAnsi="仿宋" w:eastAsia="仿宋" w:cs="仿宋"/>
          <w:b/>
          <w:bCs/>
          <w:color w:val="auto"/>
          <w:kern w:val="2"/>
          <w:sz w:val="24"/>
          <w:szCs w:val="20"/>
          <w:highlight w:val="none"/>
          <w:lang w:val="en-US" w:eastAsia="zh-CN" w:bidi="ar-SA"/>
        </w:rPr>
        <w:t>1.从业人员、营业收入、资产总额填报上一年度数据，无上一年度数据的新成立企业可不填报。</w:t>
      </w:r>
    </w:p>
    <w:p w14:paraId="2B056866">
      <w:pPr>
        <w:pStyle w:val="4"/>
        <w:rPr>
          <w:rFonts w:hint="eastAsia" w:ascii="仿宋" w:hAnsi="仿宋" w:eastAsia="仿宋" w:cs="仿宋"/>
          <w:b/>
          <w:bCs/>
          <w:color w:val="auto"/>
          <w:kern w:val="2"/>
          <w:sz w:val="24"/>
          <w:szCs w:val="20"/>
          <w:highlight w:val="none"/>
          <w:lang w:val="en-US" w:eastAsia="zh-CN" w:bidi="ar-SA"/>
        </w:rPr>
      </w:pPr>
      <w:r>
        <w:rPr>
          <w:rFonts w:hint="eastAsia" w:ascii="仿宋" w:hAnsi="仿宋" w:eastAsia="仿宋" w:cs="仿宋"/>
          <w:b/>
          <w:bCs/>
          <w:color w:val="auto"/>
          <w:kern w:val="2"/>
          <w:sz w:val="24"/>
          <w:szCs w:val="20"/>
          <w:highlight w:val="none"/>
          <w:lang w:val="en-US" w:eastAsia="zh-CN" w:bidi="ar-SA"/>
        </w:rPr>
        <w:t>2.潜在供应商属于中小微企业的，请在响应文件中提供“中小企业声明函”，如果未提供或提供虛假的“中小企业声明函”，供应商将承担由此造成的一切不利后果。</w:t>
      </w:r>
    </w:p>
    <w:p w14:paraId="1807A1B3">
      <w:pPr>
        <w:widowControl/>
        <w:spacing w:before="100" w:beforeAutospacing="1" w:after="100" w:afterAutospacing="1" w:line="330" w:lineRule="atLeast"/>
        <w:ind w:firstLine="3720" w:firstLineChars="1550"/>
        <w:jc w:val="left"/>
        <w:rPr>
          <w:rFonts w:hint="eastAsia" w:ascii="宋体" w:hAnsi="宋体" w:eastAsia="宋体" w:cs="宋体"/>
          <w:color w:val="auto"/>
          <w:kern w:val="0"/>
          <w:sz w:val="24"/>
          <w:highlight w:val="none"/>
          <w:u w:val="single"/>
        </w:rPr>
      </w:pPr>
    </w:p>
    <w:p w14:paraId="35902321">
      <w:pPr>
        <w:keepNext w:val="0"/>
        <w:keepLines w:val="0"/>
        <w:pageBreakBefore w:val="0"/>
        <w:kinsoku/>
        <w:wordWrap/>
        <w:overflowPunct/>
        <w:topLinePunct w:val="0"/>
        <w:autoSpaceDE/>
        <w:autoSpaceDN/>
        <w:bidi w:val="0"/>
        <w:adjustRightInd/>
        <w:spacing w:line="400" w:lineRule="exact"/>
        <w:jc w:val="left"/>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highlight w:val="none"/>
          <w:u w:val="single"/>
        </w:rPr>
        <w:br w:type="page"/>
      </w:r>
      <w:r>
        <w:rPr>
          <w:rFonts w:hint="eastAsia" w:ascii="宋体" w:hAnsi="宋体" w:eastAsia="宋体" w:cs="宋体"/>
          <w:b/>
          <w:bCs/>
          <w:color w:val="auto"/>
          <w:kern w:val="0"/>
          <w:sz w:val="24"/>
          <w:szCs w:val="24"/>
          <w:highlight w:val="none"/>
        </w:rPr>
        <w:t>附：</w:t>
      </w:r>
    </w:p>
    <w:p w14:paraId="0A16C7DE">
      <w:pPr>
        <w:keepNext w:val="0"/>
        <w:keepLines w:val="0"/>
        <w:pageBreakBefore w:val="0"/>
        <w:kinsoku/>
        <w:wordWrap/>
        <w:overflowPunct/>
        <w:topLinePunct w:val="0"/>
        <w:autoSpaceDE/>
        <w:autoSpaceDN/>
        <w:bidi w:val="0"/>
        <w:adjustRightInd/>
        <w:spacing w:line="400" w:lineRule="exact"/>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中小微企业划型标准</w:t>
      </w:r>
    </w:p>
    <w:tbl>
      <w:tblPr>
        <w:tblStyle w:val="37"/>
        <w:tblW w:w="9378" w:type="dxa"/>
        <w:jc w:val="center"/>
        <w:tblLayout w:type="fixed"/>
        <w:tblCellMar>
          <w:top w:w="0" w:type="dxa"/>
          <w:left w:w="108" w:type="dxa"/>
          <w:bottom w:w="0" w:type="dxa"/>
          <w:right w:w="108" w:type="dxa"/>
        </w:tblCellMar>
      </w:tblPr>
      <w:tblGrid>
        <w:gridCol w:w="1570"/>
        <w:gridCol w:w="1660"/>
        <w:gridCol w:w="1279"/>
        <w:gridCol w:w="2090"/>
        <w:gridCol w:w="1692"/>
        <w:gridCol w:w="1087"/>
      </w:tblGrid>
      <w:tr w14:paraId="5D5A487F">
        <w:tblPrEx>
          <w:tblCellMar>
            <w:top w:w="0" w:type="dxa"/>
            <w:left w:w="108" w:type="dxa"/>
            <w:bottom w:w="0" w:type="dxa"/>
            <w:right w:w="108" w:type="dxa"/>
          </w:tblCellMar>
        </w:tblPrEx>
        <w:trPr>
          <w:trHeight w:val="252" w:hRule="atLeast"/>
          <w:jc w:val="center"/>
        </w:trPr>
        <w:tc>
          <w:tcPr>
            <w:tcW w:w="1570" w:type="dxa"/>
            <w:tcBorders>
              <w:top w:val="single" w:color="auto" w:sz="4" w:space="0"/>
              <w:left w:val="single" w:color="auto" w:sz="4" w:space="0"/>
              <w:bottom w:val="single" w:color="auto" w:sz="4" w:space="0"/>
              <w:right w:val="single" w:color="auto" w:sz="4" w:space="0"/>
            </w:tcBorders>
            <w:noWrap w:val="0"/>
            <w:vAlign w:val="center"/>
          </w:tcPr>
          <w:p w14:paraId="2BCEF08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行业名称</w:t>
            </w:r>
          </w:p>
        </w:tc>
        <w:tc>
          <w:tcPr>
            <w:tcW w:w="1660" w:type="dxa"/>
            <w:tcBorders>
              <w:top w:val="single" w:color="auto" w:sz="4" w:space="0"/>
              <w:left w:val="nil"/>
              <w:bottom w:val="single" w:color="auto" w:sz="4" w:space="0"/>
              <w:right w:val="single" w:color="auto" w:sz="4" w:space="0"/>
            </w:tcBorders>
            <w:noWrap w:val="0"/>
            <w:vAlign w:val="center"/>
          </w:tcPr>
          <w:p w14:paraId="3512F21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指标名称</w:t>
            </w:r>
          </w:p>
        </w:tc>
        <w:tc>
          <w:tcPr>
            <w:tcW w:w="1279" w:type="dxa"/>
            <w:tcBorders>
              <w:top w:val="single" w:color="auto" w:sz="4" w:space="0"/>
              <w:left w:val="nil"/>
              <w:bottom w:val="single" w:color="auto" w:sz="4" w:space="0"/>
              <w:right w:val="single" w:color="auto" w:sz="4" w:space="0"/>
            </w:tcBorders>
            <w:noWrap w:val="0"/>
            <w:vAlign w:val="center"/>
          </w:tcPr>
          <w:p w14:paraId="047E132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计量单位</w:t>
            </w:r>
          </w:p>
        </w:tc>
        <w:tc>
          <w:tcPr>
            <w:tcW w:w="2090" w:type="dxa"/>
            <w:tcBorders>
              <w:top w:val="single" w:color="auto" w:sz="4" w:space="0"/>
              <w:left w:val="nil"/>
              <w:bottom w:val="single" w:color="auto" w:sz="4" w:space="0"/>
              <w:right w:val="single" w:color="auto" w:sz="4" w:space="0"/>
            </w:tcBorders>
            <w:noWrap w:val="0"/>
            <w:vAlign w:val="center"/>
          </w:tcPr>
          <w:p w14:paraId="2ED9EDC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中型</w:t>
            </w:r>
          </w:p>
        </w:tc>
        <w:tc>
          <w:tcPr>
            <w:tcW w:w="1692" w:type="dxa"/>
            <w:tcBorders>
              <w:top w:val="single" w:color="auto" w:sz="4" w:space="0"/>
              <w:left w:val="nil"/>
              <w:bottom w:val="single" w:color="auto" w:sz="4" w:space="0"/>
              <w:right w:val="single" w:color="auto" w:sz="4" w:space="0"/>
            </w:tcBorders>
            <w:noWrap w:val="0"/>
            <w:vAlign w:val="center"/>
          </w:tcPr>
          <w:p w14:paraId="063B6AF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小型</w:t>
            </w:r>
          </w:p>
        </w:tc>
        <w:tc>
          <w:tcPr>
            <w:tcW w:w="1087" w:type="dxa"/>
            <w:tcBorders>
              <w:top w:val="single" w:color="auto" w:sz="4" w:space="0"/>
              <w:left w:val="nil"/>
              <w:bottom w:val="single" w:color="auto" w:sz="4" w:space="0"/>
              <w:right w:val="single" w:color="auto" w:sz="4" w:space="0"/>
            </w:tcBorders>
            <w:noWrap w:val="0"/>
            <w:vAlign w:val="center"/>
          </w:tcPr>
          <w:p w14:paraId="7CB3A39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微型</w:t>
            </w:r>
          </w:p>
        </w:tc>
      </w:tr>
      <w:tr w14:paraId="44FDEEC1">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noWrap w:val="0"/>
            <w:vAlign w:val="center"/>
          </w:tcPr>
          <w:p w14:paraId="5E1166D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农、林、牧、渔</w:t>
            </w:r>
          </w:p>
        </w:tc>
        <w:tc>
          <w:tcPr>
            <w:tcW w:w="1660" w:type="dxa"/>
            <w:tcBorders>
              <w:top w:val="nil"/>
              <w:left w:val="nil"/>
              <w:bottom w:val="single" w:color="auto" w:sz="4" w:space="0"/>
              <w:right w:val="single" w:color="auto" w:sz="4" w:space="0"/>
            </w:tcBorders>
            <w:noWrap w:val="0"/>
            <w:vAlign w:val="center"/>
          </w:tcPr>
          <w:p w14:paraId="4D50FF8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279" w:type="dxa"/>
            <w:tcBorders>
              <w:top w:val="nil"/>
              <w:left w:val="nil"/>
              <w:bottom w:val="single" w:color="auto" w:sz="4" w:space="0"/>
              <w:right w:val="single" w:color="auto" w:sz="4" w:space="0"/>
            </w:tcBorders>
            <w:noWrap w:val="0"/>
            <w:vAlign w:val="center"/>
          </w:tcPr>
          <w:p w14:paraId="61B397E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2090" w:type="dxa"/>
            <w:tcBorders>
              <w:top w:val="nil"/>
              <w:left w:val="nil"/>
              <w:bottom w:val="single" w:color="auto" w:sz="4" w:space="0"/>
              <w:right w:val="single" w:color="auto" w:sz="4" w:space="0"/>
            </w:tcBorders>
            <w:noWrap w:val="0"/>
            <w:vAlign w:val="center"/>
          </w:tcPr>
          <w:p w14:paraId="092EFE6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500≤Y＜20000</w:t>
            </w:r>
          </w:p>
        </w:tc>
        <w:tc>
          <w:tcPr>
            <w:tcW w:w="1692" w:type="dxa"/>
            <w:tcBorders>
              <w:top w:val="nil"/>
              <w:left w:val="nil"/>
              <w:bottom w:val="single" w:color="auto" w:sz="4" w:space="0"/>
              <w:right w:val="single" w:color="auto" w:sz="4" w:space="0"/>
            </w:tcBorders>
            <w:noWrap w:val="0"/>
            <w:vAlign w:val="center"/>
          </w:tcPr>
          <w:p w14:paraId="4D80FB7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50≤Y＜500</w:t>
            </w:r>
          </w:p>
        </w:tc>
        <w:tc>
          <w:tcPr>
            <w:tcW w:w="1087" w:type="dxa"/>
            <w:tcBorders>
              <w:top w:val="nil"/>
              <w:left w:val="nil"/>
              <w:bottom w:val="single" w:color="auto" w:sz="4" w:space="0"/>
              <w:right w:val="single" w:color="auto" w:sz="4" w:space="0"/>
            </w:tcBorders>
            <w:noWrap w:val="0"/>
            <w:vAlign w:val="center"/>
          </w:tcPr>
          <w:p w14:paraId="4B23553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Y＜50</w:t>
            </w:r>
          </w:p>
        </w:tc>
      </w:tr>
      <w:tr w14:paraId="094FFD6F">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44D2B72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工业</w:t>
            </w:r>
          </w:p>
        </w:tc>
        <w:tc>
          <w:tcPr>
            <w:tcW w:w="1660" w:type="dxa"/>
            <w:tcBorders>
              <w:top w:val="nil"/>
              <w:left w:val="nil"/>
              <w:bottom w:val="single" w:color="auto" w:sz="4" w:space="0"/>
              <w:right w:val="single" w:color="auto" w:sz="4" w:space="0"/>
            </w:tcBorders>
            <w:noWrap w:val="0"/>
            <w:vAlign w:val="center"/>
          </w:tcPr>
          <w:p w14:paraId="697D8A1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279" w:type="dxa"/>
            <w:tcBorders>
              <w:top w:val="nil"/>
              <w:left w:val="nil"/>
              <w:bottom w:val="single" w:color="auto" w:sz="4" w:space="0"/>
              <w:right w:val="single" w:color="auto" w:sz="4" w:space="0"/>
            </w:tcBorders>
            <w:noWrap w:val="0"/>
            <w:vAlign w:val="center"/>
          </w:tcPr>
          <w:p w14:paraId="3A8682FB">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2090" w:type="dxa"/>
            <w:tcBorders>
              <w:top w:val="nil"/>
              <w:left w:val="nil"/>
              <w:bottom w:val="single" w:color="auto" w:sz="4" w:space="0"/>
              <w:right w:val="single" w:color="auto" w:sz="4" w:space="0"/>
            </w:tcBorders>
            <w:noWrap w:val="0"/>
            <w:vAlign w:val="center"/>
          </w:tcPr>
          <w:p w14:paraId="5060B6B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1842C0B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20≤X＜300</w:t>
            </w:r>
          </w:p>
        </w:tc>
        <w:tc>
          <w:tcPr>
            <w:tcW w:w="1087" w:type="dxa"/>
            <w:tcBorders>
              <w:top w:val="nil"/>
              <w:left w:val="nil"/>
              <w:bottom w:val="single" w:color="auto" w:sz="4" w:space="0"/>
              <w:right w:val="single" w:color="auto" w:sz="4" w:space="0"/>
            </w:tcBorders>
            <w:noWrap w:val="0"/>
            <w:vAlign w:val="center"/>
          </w:tcPr>
          <w:p w14:paraId="01B0F27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X＜20</w:t>
            </w:r>
          </w:p>
        </w:tc>
      </w:tr>
      <w:tr w14:paraId="797C90FC">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073036C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661C157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279" w:type="dxa"/>
            <w:tcBorders>
              <w:top w:val="nil"/>
              <w:left w:val="nil"/>
              <w:bottom w:val="single" w:color="auto" w:sz="4" w:space="0"/>
              <w:right w:val="single" w:color="auto" w:sz="4" w:space="0"/>
            </w:tcBorders>
            <w:noWrap w:val="0"/>
            <w:vAlign w:val="center"/>
          </w:tcPr>
          <w:p w14:paraId="10F0957B">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2090" w:type="dxa"/>
            <w:tcBorders>
              <w:top w:val="nil"/>
              <w:left w:val="nil"/>
              <w:bottom w:val="single" w:color="auto" w:sz="4" w:space="0"/>
              <w:right w:val="single" w:color="auto" w:sz="4" w:space="0"/>
            </w:tcBorders>
            <w:noWrap w:val="0"/>
            <w:vAlign w:val="center"/>
          </w:tcPr>
          <w:p w14:paraId="5A48894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2000≤Y＜40000</w:t>
            </w:r>
          </w:p>
        </w:tc>
        <w:tc>
          <w:tcPr>
            <w:tcW w:w="1692" w:type="dxa"/>
            <w:tcBorders>
              <w:top w:val="nil"/>
              <w:left w:val="nil"/>
              <w:bottom w:val="single" w:color="auto" w:sz="4" w:space="0"/>
              <w:right w:val="single" w:color="auto" w:sz="4" w:space="0"/>
            </w:tcBorders>
            <w:noWrap w:val="0"/>
            <w:vAlign w:val="center"/>
          </w:tcPr>
          <w:p w14:paraId="0716A15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300≤Y＜2000</w:t>
            </w:r>
          </w:p>
        </w:tc>
        <w:tc>
          <w:tcPr>
            <w:tcW w:w="1087" w:type="dxa"/>
            <w:tcBorders>
              <w:top w:val="nil"/>
              <w:left w:val="nil"/>
              <w:bottom w:val="single" w:color="auto" w:sz="4" w:space="0"/>
              <w:right w:val="single" w:color="auto" w:sz="4" w:space="0"/>
            </w:tcBorders>
            <w:noWrap w:val="0"/>
            <w:vAlign w:val="center"/>
          </w:tcPr>
          <w:p w14:paraId="51D8E43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Y＜300</w:t>
            </w:r>
          </w:p>
        </w:tc>
      </w:tr>
      <w:tr w14:paraId="0138ED02">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4FC8EA7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建筑业</w:t>
            </w:r>
          </w:p>
        </w:tc>
        <w:tc>
          <w:tcPr>
            <w:tcW w:w="1660" w:type="dxa"/>
            <w:tcBorders>
              <w:top w:val="nil"/>
              <w:left w:val="nil"/>
              <w:bottom w:val="single" w:color="auto" w:sz="4" w:space="0"/>
              <w:right w:val="single" w:color="auto" w:sz="4" w:space="0"/>
            </w:tcBorders>
            <w:noWrap w:val="0"/>
            <w:vAlign w:val="center"/>
          </w:tcPr>
          <w:p w14:paraId="74ED5DC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279" w:type="dxa"/>
            <w:tcBorders>
              <w:top w:val="nil"/>
              <w:left w:val="nil"/>
              <w:bottom w:val="single" w:color="auto" w:sz="4" w:space="0"/>
              <w:right w:val="single" w:color="auto" w:sz="4" w:space="0"/>
            </w:tcBorders>
            <w:noWrap w:val="0"/>
            <w:vAlign w:val="center"/>
          </w:tcPr>
          <w:p w14:paraId="3B1EAF6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2090" w:type="dxa"/>
            <w:tcBorders>
              <w:top w:val="nil"/>
              <w:left w:val="nil"/>
              <w:bottom w:val="single" w:color="auto" w:sz="4" w:space="0"/>
              <w:right w:val="single" w:color="auto" w:sz="4" w:space="0"/>
            </w:tcBorders>
            <w:noWrap w:val="0"/>
            <w:vAlign w:val="center"/>
          </w:tcPr>
          <w:p w14:paraId="475FAA8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6000≤Y＜80000</w:t>
            </w:r>
          </w:p>
        </w:tc>
        <w:tc>
          <w:tcPr>
            <w:tcW w:w="1692" w:type="dxa"/>
            <w:tcBorders>
              <w:top w:val="nil"/>
              <w:left w:val="nil"/>
              <w:bottom w:val="single" w:color="auto" w:sz="4" w:space="0"/>
              <w:right w:val="single" w:color="auto" w:sz="4" w:space="0"/>
            </w:tcBorders>
            <w:noWrap w:val="0"/>
            <w:vAlign w:val="center"/>
          </w:tcPr>
          <w:p w14:paraId="04CCA2C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300≤Y＜6000</w:t>
            </w:r>
          </w:p>
        </w:tc>
        <w:tc>
          <w:tcPr>
            <w:tcW w:w="1087" w:type="dxa"/>
            <w:tcBorders>
              <w:top w:val="nil"/>
              <w:left w:val="nil"/>
              <w:bottom w:val="single" w:color="auto" w:sz="4" w:space="0"/>
              <w:right w:val="single" w:color="auto" w:sz="4" w:space="0"/>
            </w:tcBorders>
            <w:noWrap w:val="0"/>
            <w:vAlign w:val="center"/>
          </w:tcPr>
          <w:p w14:paraId="2CC2BCC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Y＜300</w:t>
            </w:r>
          </w:p>
        </w:tc>
      </w:tr>
      <w:tr w14:paraId="035181A0">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63C0DD8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60C30182">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资产总额（Z）</w:t>
            </w:r>
          </w:p>
        </w:tc>
        <w:tc>
          <w:tcPr>
            <w:tcW w:w="1279" w:type="dxa"/>
            <w:tcBorders>
              <w:top w:val="nil"/>
              <w:left w:val="nil"/>
              <w:bottom w:val="single" w:color="auto" w:sz="4" w:space="0"/>
              <w:right w:val="single" w:color="auto" w:sz="4" w:space="0"/>
            </w:tcBorders>
            <w:noWrap w:val="0"/>
            <w:vAlign w:val="center"/>
          </w:tcPr>
          <w:p w14:paraId="300A9B6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2090" w:type="dxa"/>
            <w:tcBorders>
              <w:top w:val="nil"/>
              <w:left w:val="nil"/>
              <w:bottom w:val="single" w:color="auto" w:sz="4" w:space="0"/>
              <w:right w:val="single" w:color="auto" w:sz="4" w:space="0"/>
            </w:tcBorders>
            <w:noWrap w:val="0"/>
            <w:vAlign w:val="center"/>
          </w:tcPr>
          <w:p w14:paraId="568F6B6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5000≤Z＜80000</w:t>
            </w:r>
          </w:p>
        </w:tc>
        <w:tc>
          <w:tcPr>
            <w:tcW w:w="1692" w:type="dxa"/>
            <w:tcBorders>
              <w:top w:val="nil"/>
              <w:left w:val="nil"/>
              <w:bottom w:val="single" w:color="auto" w:sz="4" w:space="0"/>
              <w:right w:val="single" w:color="auto" w:sz="4" w:space="0"/>
            </w:tcBorders>
            <w:noWrap w:val="0"/>
            <w:vAlign w:val="center"/>
          </w:tcPr>
          <w:p w14:paraId="2AADA73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300≤Z＜5000</w:t>
            </w:r>
          </w:p>
        </w:tc>
        <w:tc>
          <w:tcPr>
            <w:tcW w:w="1087" w:type="dxa"/>
            <w:tcBorders>
              <w:top w:val="nil"/>
              <w:left w:val="nil"/>
              <w:bottom w:val="single" w:color="auto" w:sz="4" w:space="0"/>
              <w:right w:val="single" w:color="auto" w:sz="4" w:space="0"/>
            </w:tcBorders>
            <w:noWrap w:val="0"/>
            <w:vAlign w:val="center"/>
          </w:tcPr>
          <w:p w14:paraId="6BB66A3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Z＜300</w:t>
            </w:r>
          </w:p>
        </w:tc>
      </w:tr>
      <w:tr w14:paraId="4E31AFAA">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182DEB2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批发业</w:t>
            </w:r>
          </w:p>
        </w:tc>
        <w:tc>
          <w:tcPr>
            <w:tcW w:w="1660" w:type="dxa"/>
            <w:tcBorders>
              <w:top w:val="nil"/>
              <w:left w:val="nil"/>
              <w:bottom w:val="single" w:color="auto" w:sz="4" w:space="0"/>
              <w:right w:val="single" w:color="auto" w:sz="4" w:space="0"/>
            </w:tcBorders>
            <w:noWrap w:val="0"/>
            <w:vAlign w:val="center"/>
          </w:tcPr>
          <w:p w14:paraId="2E42295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279" w:type="dxa"/>
            <w:tcBorders>
              <w:top w:val="nil"/>
              <w:left w:val="nil"/>
              <w:bottom w:val="single" w:color="auto" w:sz="4" w:space="0"/>
              <w:right w:val="single" w:color="auto" w:sz="4" w:space="0"/>
            </w:tcBorders>
            <w:noWrap w:val="0"/>
            <w:vAlign w:val="center"/>
          </w:tcPr>
          <w:p w14:paraId="06BD876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2090" w:type="dxa"/>
            <w:tcBorders>
              <w:top w:val="nil"/>
              <w:left w:val="nil"/>
              <w:bottom w:val="single" w:color="auto" w:sz="4" w:space="0"/>
              <w:right w:val="single" w:color="auto" w:sz="4" w:space="0"/>
            </w:tcBorders>
            <w:noWrap w:val="0"/>
            <w:vAlign w:val="center"/>
          </w:tcPr>
          <w:p w14:paraId="4F12C51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20≤X＜200</w:t>
            </w:r>
          </w:p>
        </w:tc>
        <w:tc>
          <w:tcPr>
            <w:tcW w:w="1692" w:type="dxa"/>
            <w:tcBorders>
              <w:top w:val="nil"/>
              <w:left w:val="nil"/>
              <w:bottom w:val="single" w:color="auto" w:sz="4" w:space="0"/>
              <w:right w:val="single" w:color="auto" w:sz="4" w:space="0"/>
            </w:tcBorders>
            <w:noWrap w:val="0"/>
            <w:vAlign w:val="center"/>
          </w:tcPr>
          <w:p w14:paraId="077BC973">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5≤X＜20</w:t>
            </w:r>
          </w:p>
        </w:tc>
        <w:tc>
          <w:tcPr>
            <w:tcW w:w="1087" w:type="dxa"/>
            <w:tcBorders>
              <w:top w:val="nil"/>
              <w:left w:val="nil"/>
              <w:bottom w:val="single" w:color="auto" w:sz="4" w:space="0"/>
              <w:right w:val="single" w:color="auto" w:sz="4" w:space="0"/>
            </w:tcBorders>
            <w:noWrap w:val="0"/>
            <w:vAlign w:val="center"/>
          </w:tcPr>
          <w:p w14:paraId="7D3AE34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X＜5</w:t>
            </w:r>
          </w:p>
        </w:tc>
      </w:tr>
      <w:tr w14:paraId="6F3ABFF9">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5ECC3C9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04387D6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279" w:type="dxa"/>
            <w:tcBorders>
              <w:top w:val="nil"/>
              <w:left w:val="nil"/>
              <w:bottom w:val="single" w:color="auto" w:sz="4" w:space="0"/>
              <w:right w:val="single" w:color="auto" w:sz="4" w:space="0"/>
            </w:tcBorders>
            <w:noWrap w:val="0"/>
            <w:vAlign w:val="center"/>
          </w:tcPr>
          <w:p w14:paraId="4367B6A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2090" w:type="dxa"/>
            <w:tcBorders>
              <w:top w:val="nil"/>
              <w:left w:val="nil"/>
              <w:bottom w:val="single" w:color="auto" w:sz="4" w:space="0"/>
              <w:right w:val="single" w:color="auto" w:sz="4" w:space="0"/>
            </w:tcBorders>
            <w:noWrap w:val="0"/>
            <w:vAlign w:val="center"/>
          </w:tcPr>
          <w:p w14:paraId="3058415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5000≤Y＜40000</w:t>
            </w:r>
          </w:p>
        </w:tc>
        <w:tc>
          <w:tcPr>
            <w:tcW w:w="1692" w:type="dxa"/>
            <w:tcBorders>
              <w:top w:val="nil"/>
              <w:left w:val="nil"/>
              <w:bottom w:val="single" w:color="auto" w:sz="4" w:space="0"/>
              <w:right w:val="single" w:color="auto" w:sz="4" w:space="0"/>
            </w:tcBorders>
            <w:noWrap w:val="0"/>
            <w:vAlign w:val="center"/>
          </w:tcPr>
          <w:p w14:paraId="05000B2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1000≤Y＜5000</w:t>
            </w:r>
          </w:p>
        </w:tc>
        <w:tc>
          <w:tcPr>
            <w:tcW w:w="1087" w:type="dxa"/>
            <w:tcBorders>
              <w:top w:val="nil"/>
              <w:left w:val="nil"/>
              <w:bottom w:val="single" w:color="auto" w:sz="4" w:space="0"/>
              <w:right w:val="single" w:color="auto" w:sz="4" w:space="0"/>
            </w:tcBorders>
            <w:noWrap w:val="0"/>
            <w:vAlign w:val="center"/>
          </w:tcPr>
          <w:p w14:paraId="748199B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Y＜1000</w:t>
            </w:r>
          </w:p>
        </w:tc>
      </w:tr>
      <w:tr w14:paraId="5B59E5E4">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7AA9758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零售业</w:t>
            </w:r>
          </w:p>
        </w:tc>
        <w:tc>
          <w:tcPr>
            <w:tcW w:w="1660" w:type="dxa"/>
            <w:tcBorders>
              <w:top w:val="nil"/>
              <w:left w:val="nil"/>
              <w:bottom w:val="single" w:color="auto" w:sz="4" w:space="0"/>
              <w:right w:val="single" w:color="auto" w:sz="4" w:space="0"/>
            </w:tcBorders>
            <w:noWrap w:val="0"/>
            <w:vAlign w:val="center"/>
          </w:tcPr>
          <w:p w14:paraId="7389D29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279" w:type="dxa"/>
            <w:tcBorders>
              <w:top w:val="nil"/>
              <w:left w:val="nil"/>
              <w:bottom w:val="single" w:color="auto" w:sz="4" w:space="0"/>
              <w:right w:val="single" w:color="auto" w:sz="4" w:space="0"/>
            </w:tcBorders>
            <w:noWrap w:val="0"/>
            <w:vAlign w:val="center"/>
          </w:tcPr>
          <w:p w14:paraId="0C015FF2">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2090" w:type="dxa"/>
            <w:tcBorders>
              <w:top w:val="nil"/>
              <w:left w:val="nil"/>
              <w:bottom w:val="single" w:color="auto" w:sz="4" w:space="0"/>
              <w:right w:val="single" w:color="auto" w:sz="4" w:space="0"/>
            </w:tcBorders>
            <w:noWrap w:val="0"/>
            <w:vAlign w:val="center"/>
          </w:tcPr>
          <w:p w14:paraId="759D2BF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50≤X＜300</w:t>
            </w:r>
          </w:p>
        </w:tc>
        <w:tc>
          <w:tcPr>
            <w:tcW w:w="1692" w:type="dxa"/>
            <w:tcBorders>
              <w:top w:val="nil"/>
              <w:left w:val="nil"/>
              <w:bottom w:val="single" w:color="auto" w:sz="4" w:space="0"/>
              <w:right w:val="single" w:color="auto" w:sz="4" w:space="0"/>
            </w:tcBorders>
            <w:noWrap w:val="0"/>
            <w:vAlign w:val="center"/>
          </w:tcPr>
          <w:p w14:paraId="5E06FEF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10≤X＜50</w:t>
            </w:r>
          </w:p>
        </w:tc>
        <w:tc>
          <w:tcPr>
            <w:tcW w:w="1087" w:type="dxa"/>
            <w:tcBorders>
              <w:top w:val="nil"/>
              <w:left w:val="nil"/>
              <w:bottom w:val="single" w:color="auto" w:sz="4" w:space="0"/>
              <w:right w:val="single" w:color="auto" w:sz="4" w:space="0"/>
            </w:tcBorders>
            <w:noWrap w:val="0"/>
            <w:vAlign w:val="center"/>
          </w:tcPr>
          <w:p w14:paraId="23F2912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14:paraId="6F655307">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52BFC14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4184B62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279" w:type="dxa"/>
            <w:tcBorders>
              <w:top w:val="nil"/>
              <w:left w:val="nil"/>
              <w:bottom w:val="single" w:color="auto" w:sz="4" w:space="0"/>
              <w:right w:val="single" w:color="auto" w:sz="4" w:space="0"/>
            </w:tcBorders>
            <w:noWrap w:val="0"/>
            <w:vAlign w:val="center"/>
          </w:tcPr>
          <w:p w14:paraId="7795241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2090" w:type="dxa"/>
            <w:tcBorders>
              <w:top w:val="nil"/>
              <w:left w:val="nil"/>
              <w:bottom w:val="single" w:color="auto" w:sz="4" w:space="0"/>
              <w:right w:val="single" w:color="auto" w:sz="4" w:space="0"/>
            </w:tcBorders>
            <w:noWrap w:val="0"/>
            <w:vAlign w:val="center"/>
          </w:tcPr>
          <w:p w14:paraId="0F2E090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500≤Y＜20000</w:t>
            </w:r>
          </w:p>
        </w:tc>
        <w:tc>
          <w:tcPr>
            <w:tcW w:w="1692" w:type="dxa"/>
            <w:tcBorders>
              <w:top w:val="nil"/>
              <w:left w:val="nil"/>
              <w:bottom w:val="single" w:color="auto" w:sz="4" w:space="0"/>
              <w:right w:val="single" w:color="auto" w:sz="4" w:space="0"/>
            </w:tcBorders>
            <w:noWrap w:val="0"/>
            <w:vAlign w:val="center"/>
          </w:tcPr>
          <w:p w14:paraId="472B3EE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100≤Y＜500</w:t>
            </w:r>
          </w:p>
        </w:tc>
        <w:tc>
          <w:tcPr>
            <w:tcW w:w="1087" w:type="dxa"/>
            <w:tcBorders>
              <w:top w:val="nil"/>
              <w:left w:val="nil"/>
              <w:bottom w:val="single" w:color="auto" w:sz="4" w:space="0"/>
              <w:right w:val="single" w:color="auto" w:sz="4" w:space="0"/>
            </w:tcBorders>
            <w:noWrap w:val="0"/>
            <w:vAlign w:val="center"/>
          </w:tcPr>
          <w:p w14:paraId="0B56539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74B68633">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1EEDD6B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交通运输业</w:t>
            </w:r>
          </w:p>
        </w:tc>
        <w:tc>
          <w:tcPr>
            <w:tcW w:w="1660" w:type="dxa"/>
            <w:tcBorders>
              <w:top w:val="nil"/>
              <w:left w:val="nil"/>
              <w:bottom w:val="single" w:color="auto" w:sz="4" w:space="0"/>
              <w:right w:val="single" w:color="auto" w:sz="4" w:space="0"/>
            </w:tcBorders>
            <w:noWrap w:val="0"/>
            <w:vAlign w:val="center"/>
          </w:tcPr>
          <w:p w14:paraId="4C75741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从业人员（X）</w:t>
            </w:r>
          </w:p>
        </w:tc>
        <w:tc>
          <w:tcPr>
            <w:tcW w:w="1279" w:type="dxa"/>
            <w:tcBorders>
              <w:top w:val="nil"/>
              <w:left w:val="nil"/>
              <w:bottom w:val="single" w:color="auto" w:sz="4" w:space="0"/>
              <w:right w:val="single" w:color="auto" w:sz="4" w:space="0"/>
            </w:tcBorders>
            <w:noWrap w:val="0"/>
            <w:vAlign w:val="center"/>
          </w:tcPr>
          <w:p w14:paraId="4512EDCB">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人</w:t>
            </w:r>
          </w:p>
        </w:tc>
        <w:tc>
          <w:tcPr>
            <w:tcW w:w="2090" w:type="dxa"/>
            <w:tcBorders>
              <w:top w:val="nil"/>
              <w:left w:val="nil"/>
              <w:bottom w:val="single" w:color="auto" w:sz="4" w:space="0"/>
              <w:right w:val="single" w:color="auto" w:sz="4" w:space="0"/>
            </w:tcBorders>
            <w:noWrap w:val="0"/>
            <w:vAlign w:val="center"/>
          </w:tcPr>
          <w:p w14:paraId="4302EBA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2441A18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20≤X＜300</w:t>
            </w:r>
          </w:p>
        </w:tc>
        <w:tc>
          <w:tcPr>
            <w:tcW w:w="1087" w:type="dxa"/>
            <w:tcBorders>
              <w:top w:val="nil"/>
              <w:left w:val="nil"/>
              <w:bottom w:val="single" w:color="auto" w:sz="4" w:space="0"/>
              <w:right w:val="single" w:color="auto" w:sz="4" w:space="0"/>
            </w:tcBorders>
            <w:noWrap w:val="0"/>
            <w:vAlign w:val="center"/>
          </w:tcPr>
          <w:p w14:paraId="1D7E946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X＜20</w:t>
            </w:r>
          </w:p>
        </w:tc>
      </w:tr>
      <w:tr w14:paraId="00CB53AD">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3594DF1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6C2233E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营业收入（Y）</w:t>
            </w:r>
          </w:p>
        </w:tc>
        <w:tc>
          <w:tcPr>
            <w:tcW w:w="1279" w:type="dxa"/>
            <w:tcBorders>
              <w:top w:val="nil"/>
              <w:left w:val="nil"/>
              <w:bottom w:val="single" w:color="auto" w:sz="4" w:space="0"/>
              <w:right w:val="single" w:color="auto" w:sz="4" w:space="0"/>
            </w:tcBorders>
            <w:noWrap w:val="0"/>
            <w:vAlign w:val="center"/>
          </w:tcPr>
          <w:p w14:paraId="1F68517B">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万元</w:t>
            </w:r>
          </w:p>
        </w:tc>
        <w:tc>
          <w:tcPr>
            <w:tcW w:w="2090" w:type="dxa"/>
            <w:tcBorders>
              <w:top w:val="nil"/>
              <w:left w:val="nil"/>
              <w:bottom w:val="single" w:color="auto" w:sz="4" w:space="0"/>
              <w:right w:val="single" w:color="auto" w:sz="4" w:space="0"/>
            </w:tcBorders>
            <w:noWrap w:val="0"/>
            <w:vAlign w:val="center"/>
          </w:tcPr>
          <w:p w14:paraId="4DAA7956">
            <w:pPr>
              <w:keepNext w:val="0"/>
              <w:keepLines w:val="0"/>
              <w:pageBreakBefore w:val="0"/>
              <w:widowControl/>
              <w:kinsoku/>
              <w:wordWrap/>
              <w:overflowPunct/>
              <w:topLinePunct w:val="0"/>
              <w:autoSpaceDE/>
              <w:autoSpaceDN/>
              <w:bidi w:val="0"/>
              <w:adjustRightInd/>
              <w:snapToGrid w:val="0"/>
              <w:spacing w:line="400" w:lineRule="exact"/>
              <w:contextualSpacing/>
              <w:jc w:val="both"/>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3000≤Y＜30000</w:t>
            </w:r>
          </w:p>
        </w:tc>
        <w:tc>
          <w:tcPr>
            <w:tcW w:w="1692" w:type="dxa"/>
            <w:tcBorders>
              <w:top w:val="nil"/>
              <w:left w:val="nil"/>
              <w:bottom w:val="single" w:color="auto" w:sz="4" w:space="0"/>
              <w:right w:val="single" w:color="auto" w:sz="4" w:space="0"/>
            </w:tcBorders>
            <w:noWrap w:val="0"/>
            <w:vAlign w:val="center"/>
          </w:tcPr>
          <w:p w14:paraId="2E2C21B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200≤Y＜3000</w:t>
            </w:r>
          </w:p>
        </w:tc>
        <w:tc>
          <w:tcPr>
            <w:tcW w:w="1087" w:type="dxa"/>
            <w:tcBorders>
              <w:top w:val="nil"/>
              <w:left w:val="nil"/>
              <w:bottom w:val="single" w:color="auto" w:sz="4" w:space="0"/>
              <w:right w:val="single" w:color="auto" w:sz="4" w:space="0"/>
            </w:tcBorders>
            <w:noWrap w:val="0"/>
            <w:vAlign w:val="center"/>
          </w:tcPr>
          <w:p w14:paraId="5895B8B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Y＜200</w:t>
            </w:r>
          </w:p>
        </w:tc>
      </w:tr>
      <w:tr w14:paraId="79C283DC">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795161A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仓储业</w:t>
            </w:r>
          </w:p>
        </w:tc>
        <w:tc>
          <w:tcPr>
            <w:tcW w:w="1660" w:type="dxa"/>
            <w:tcBorders>
              <w:top w:val="nil"/>
              <w:left w:val="nil"/>
              <w:bottom w:val="single" w:color="auto" w:sz="4" w:space="0"/>
              <w:right w:val="single" w:color="auto" w:sz="4" w:space="0"/>
            </w:tcBorders>
            <w:noWrap w:val="0"/>
            <w:vAlign w:val="center"/>
          </w:tcPr>
          <w:p w14:paraId="7D72936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279" w:type="dxa"/>
            <w:tcBorders>
              <w:top w:val="nil"/>
              <w:left w:val="nil"/>
              <w:bottom w:val="single" w:color="auto" w:sz="4" w:space="0"/>
              <w:right w:val="single" w:color="auto" w:sz="4" w:space="0"/>
            </w:tcBorders>
            <w:noWrap w:val="0"/>
            <w:vAlign w:val="center"/>
          </w:tcPr>
          <w:p w14:paraId="3CC723B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2090" w:type="dxa"/>
            <w:tcBorders>
              <w:top w:val="nil"/>
              <w:left w:val="nil"/>
              <w:bottom w:val="single" w:color="auto" w:sz="4" w:space="0"/>
              <w:right w:val="single" w:color="auto" w:sz="4" w:space="0"/>
            </w:tcBorders>
            <w:noWrap w:val="0"/>
            <w:vAlign w:val="center"/>
          </w:tcPr>
          <w:p w14:paraId="1B0779A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100≤X＜200</w:t>
            </w:r>
          </w:p>
        </w:tc>
        <w:tc>
          <w:tcPr>
            <w:tcW w:w="1692" w:type="dxa"/>
            <w:tcBorders>
              <w:top w:val="nil"/>
              <w:left w:val="nil"/>
              <w:bottom w:val="single" w:color="auto" w:sz="4" w:space="0"/>
              <w:right w:val="single" w:color="auto" w:sz="4" w:space="0"/>
            </w:tcBorders>
            <w:noWrap w:val="0"/>
            <w:vAlign w:val="center"/>
          </w:tcPr>
          <w:p w14:paraId="1E0ECCA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20≤X＜100</w:t>
            </w:r>
          </w:p>
        </w:tc>
        <w:tc>
          <w:tcPr>
            <w:tcW w:w="1087" w:type="dxa"/>
            <w:tcBorders>
              <w:top w:val="nil"/>
              <w:left w:val="nil"/>
              <w:bottom w:val="single" w:color="auto" w:sz="4" w:space="0"/>
              <w:right w:val="single" w:color="auto" w:sz="4" w:space="0"/>
            </w:tcBorders>
            <w:noWrap w:val="0"/>
            <w:vAlign w:val="center"/>
          </w:tcPr>
          <w:p w14:paraId="212643A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X＜20</w:t>
            </w:r>
          </w:p>
        </w:tc>
      </w:tr>
      <w:tr w14:paraId="36120882">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33A9FA3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5C9FBBC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279" w:type="dxa"/>
            <w:tcBorders>
              <w:top w:val="nil"/>
              <w:left w:val="nil"/>
              <w:bottom w:val="single" w:color="auto" w:sz="4" w:space="0"/>
              <w:right w:val="single" w:color="auto" w:sz="4" w:space="0"/>
            </w:tcBorders>
            <w:noWrap w:val="0"/>
            <w:vAlign w:val="center"/>
          </w:tcPr>
          <w:p w14:paraId="2F1054C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2090" w:type="dxa"/>
            <w:tcBorders>
              <w:top w:val="nil"/>
              <w:left w:val="nil"/>
              <w:bottom w:val="single" w:color="auto" w:sz="4" w:space="0"/>
              <w:right w:val="single" w:color="auto" w:sz="4" w:space="0"/>
            </w:tcBorders>
            <w:noWrap w:val="0"/>
            <w:vAlign w:val="center"/>
          </w:tcPr>
          <w:p w14:paraId="5A9B0B4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1000≤Y＜30000</w:t>
            </w:r>
          </w:p>
        </w:tc>
        <w:tc>
          <w:tcPr>
            <w:tcW w:w="1692" w:type="dxa"/>
            <w:tcBorders>
              <w:top w:val="nil"/>
              <w:left w:val="nil"/>
              <w:bottom w:val="single" w:color="auto" w:sz="4" w:space="0"/>
              <w:right w:val="single" w:color="auto" w:sz="4" w:space="0"/>
            </w:tcBorders>
            <w:noWrap w:val="0"/>
            <w:vAlign w:val="center"/>
          </w:tcPr>
          <w:p w14:paraId="73F8C0D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100≤Y＜1000</w:t>
            </w:r>
          </w:p>
        </w:tc>
        <w:tc>
          <w:tcPr>
            <w:tcW w:w="1087" w:type="dxa"/>
            <w:tcBorders>
              <w:top w:val="nil"/>
              <w:left w:val="nil"/>
              <w:bottom w:val="single" w:color="auto" w:sz="4" w:space="0"/>
              <w:right w:val="single" w:color="auto" w:sz="4" w:space="0"/>
            </w:tcBorders>
            <w:noWrap w:val="0"/>
            <w:vAlign w:val="center"/>
          </w:tcPr>
          <w:p w14:paraId="486F7443">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2A11495A">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1A8F752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邮政业</w:t>
            </w:r>
          </w:p>
        </w:tc>
        <w:tc>
          <w:tcPr>
            <w:tcW w:w="1660" w:type="dxa"/>
            <w:tcBorders>
              <w:top w:val="nil"/>
              <w:left w:val="nil"/>
              <w:bottom w:val="single" w:color="auto" w:sz="4" w:space="0"/>
              <w:right w:val="single" w:color="auto" w:sz="4" w:space="0"/>
            </w:tcBorders>
            <w:noWrap w:val="0"/>
            <w:vAlign w:val="center"/>
          </w:tcPr>
          <w:p w14:paraId="73C9D61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279" w:type="dxa"/>
            <w:tcBorders>
              <w:top w:val="nil"/>
              <w:left w:val="nil"/>
              <w:bottom w:val="single" w:color="auto" w:sz="4" w:space="0"/>
              <w:right w:val="single" w:color="auto" w:sz="4" w:space="0"/>
            </w:tcBorders>
            <w:noWrap w:val="0"/>
            <w:vAlign w:val="center"/>
          </w:tcPr>
          <w:p w14:paraId="0B16A93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2090" w:type="dxa"/>
            <w:tcBorders>
              <w:top w:val="nil"/>
              <w:left w:val="nil"/>
              <w:bottom w:val="single" w:color="auto" w:sz="4" w:space="0"/>
              <w:right w:val="single" w:color="auto" w:sz="4" w:space="0"/>
            </w:tcBorders>
            <w:noWrap w:val="0"/>
            <w:vAlign w:val="center"/>
          </w:tcPr>
          <w:p w14:paraId="191A7EA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6E32791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20≤X＜300</w:t>
            </w:r>
          </w:p>
        </w:tc>
        <w:tc>
          <w:tcPr>
            <w:tcW w:w="1087" w:type="dxa"/>
            <w:tcBorders>
              <w:top w:val="nil"/>
              <w:left w:val="nil"/>
              <w:bottom w:val="single" w:color="auto" w:sz="4" w:space="0"/>
              <w:right w:val="single" w:color="auto" w:sz="4" w:space="0"/>
            </w:tcBorders>
            <w:noWrap w:val="0"/>
            <w:vAlign w:val="center"/>
          </w:tcPr>
          <w:p w14:paraId="6674700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X＜20</w:t>
            </w:r>
          </w:p>
        </w:tc>
      </w:tr>
      <w:tr w14:paraId="5C580CBA">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593729C2">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21C81B2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279" w:type="dxa"/>
            <w:tcBorders>
              <w:top w:val="nil"/>
              <w:left w:val="nil"/>
              <w:bottom w:val="single" w:color="auto" w:sz="4" w:space="0"/>
              <w:right w:val="single" w:color="auto" w:sz="4" w:space="0"/>
            </w:tcBorders>
            <w:noWrap w:val="0"/>
            <w:vAlign w:val="center"/>
          </w:tcPr>
          <w:p w14:paraId="197376C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2090" w:type="dxa"/>
            <w:tcBorders>
              <w:top w:val="nil"/>
              <w:left w:val="nil"/>
              <w:bottom w:val="single" w:color="auto" w:sz="4" w:space="0"/>
              <w:right w:val="single" w:color="auto" w:sz="4" w:space="0"/>
            </w:tcBorders>
            <w:noWrap w:val="0"/>
            <w:vAlign w:val="center"/>
          </w:tcPr>
          <w:p w14:paraId="540104C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2000≤Y＜30000</w:t>
            </w:r>
          </w:p>
        </w:tc>
        <w:tc>
          <w:tcPr>
            <w:tcW w:w="1692" w:type="dxa"/>
            <w:tcBorders>
              <w:top w:val="nil"/>
              <w:left w:val="nil"/>
              <w:bottom w:val="single" w:color="auto" w:sz="4" w:space="0"/>
              <w:right w:val="single" w:color="auto" w:sz="4" w:space="0"/>
            </w:tcBorders>
            <w:noWrap w:val="0"/>
            <w:vAlign w:val="center"/>
          </w:tcPr>
          <w:p w14:paraId="6E9CE4C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100≤Y＜2000</w:t>
            </w:r>
          </w:p>
        </w:tc>
        <w:tc>
          <w:tcPr>
            <w:tcW w:w="1087" w:type="dxa"/>
            <w:tcBorders>
              <w:top w:val="nil"/>
              <w:left w:val="nil"/>
              <w:bottom w:val="single" w:color="auto" w:sz="4" w:space="0"/>
              <w:right w:val="single" w:color="auto" w:sz="4" w:space="0"/>
            </w:tcBorders>
            <w:noWrap w:val="0"/>
            <w:vAlign w:val="center"/>
          </w:tcPr>
          <w:p w14:paraId="3756FC4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61676057">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64A9EAB2">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住宿业</w:t>
            </w:r>
          </w:p>
        </w:tc>
        <w:tc>
          <w:tcPr>
            <w:tcW w:w="1660" w:type="dxa"/>
            <w:tcBorders>
              <w:top w:val="nil"/>
              <w:left w:val="nil"/>
              <w:bottom w:val="single" w:color="auto" w:sz="4" w:space="0"/>
              <w:right w:val="single" w:color="auto" w:sz="4" w:space="0"/>
            </w:tcBorders>
            <w:noWrap w:val="0"/>
            <w:vAlign w:val="center"/>
          </w:tcPr>
          <w:p w14:paraId="17F3612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279" w:type="dxa"/>
            <w:tcBorders>
              <w:top w:val="nil"/>
              <w:left w:val="nil"/>
              <w:bottom w:val="single" w:color="auto" w:sz="4" w:space="0"/>
              <w:right w:val="single" w:color="auto" w:sz="4" w:space="0"/>
            </w:tcBorders>
            <w:noWrap w:val="0"/>
            <w:vAlign w:val="center"/>
          </w:tcPr>
          <w:p w14:paraId="5E8303A2">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2090" w:type="dxa"/>
            <w:tcBorders>
              <w:top w:val="nil"/>
              <w:left w:val="nil"/>
              <w:bottom w:val="single" w:color="auto" w:sz="4" w:space="0"/>
              <w:right w:val="single" w:color="auto" w:sz="4" w:space="0"/>
            </w:tcBorders>
            <w:noWrap w:val="0"/>
            <w:vAlign w:val="center"/>
          </w:tcPr>
          <w:p w14:paraId="4A9AFCB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6FE43B2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32CC0BE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14:paraId="10B821E4">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5E2B4DA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72C8C11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279" w:type="dxa"/>
            <w:tcBorders>
              <w:top w:val="nil"/>
              <w:left w:val="nil"/>
              <w:bottom w:val="single" w:color="auto" w:sz="4" w:space="0"/>
              <w:right w:val="single" w:color="auto" w:sz="4" w:space="0"/>
            </w:tcBorders>
            <w:noWrap w:val="0"/>
            <w:vAlign w:val="center"/>
          </w:tcPr>
          <w:p w14:paraId="623FE73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2090" w:type="dxa"/>
            <w:tcBorders>
              <w:top w:val="nil"/>
              <w:left w:val="nil"/>
              <w:bottom w:val="single" w:color="auto" w:sz="4" w:space="0"/>
              <w:right w:val="single" w:color="auto" w:sz="4" w:space="0"/>
            </w:tcBorders>
            <w:noWrap w:val="0"/>
            <w:vAlign w:val="center"/>
          </w:tcPr>
          <w:p w14:paraId="50B3F203">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2000≤Y＜10000</w:t>
            </w:r>
          </w:p>
        </w:tc>
        <w:tc>
          <w:tcPr>
            <w:tcW w:w="1692" w:type="dxa"/>
            <w:tcBorders>
              <w:top w:val="nil"/>
              <w:left w:val="nil"/>
              <w:bottom w:val="single" w:color="auto" w:sz="4" w:space="0"/>
              <w:right w:val="single" w:color="auto" w:sz="4" w:space="0"/>
            </w:tcBorders>
            <w:noWrap w:val="0"/>
            <w:vAlign w:val="center"/>
          </w:tcPr>
          <w:p w14:paraId="001353A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100≤Y＜2000</w:t>
            </w:r>
          </w:p>
        </w:tc>
        <w:tc>
          <w:tcPr>
            <w:tcW w:w="1087" w:type="dxa"/>
            <w:tcBorders>
              <w:top w:val="nil"/>
              <w:left w:val="nil"/>
              <w:bottom w:val="single" w:color="auto" w:sz="4" w:space="0"/>
              <w:right w:val="single" w:color="auto" w:sz="4" w:space="0"/>
            </w:tcBorders>
            <w:noWrap w:val="0"/>
            <w:vAlign w:val="center"/>
          </w:tcPr>
          <w:p w14:paraId="0851C27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764FAAA4">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0B4FC22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餐饮业</w:t>
            </w:r>
          </w:p>
        </w:tc>
        <w:tc>
          <w:tcPr>
            <w:tcW w:w="1660" w:type="dxa"/>
            <w:tcBorders>
              <w:top w:val="nil"/>
              <w:left w:val="nil"/>
              <w:bottom w:val="single" w:color="auto" w:sz="4" w:space="0"/>
              <w:right w:val="single" w:color="auto" w:sz="4" w:space="0"/>
            </w:tcBorders>
            <w:noWrap w:val="0"/>
            <w:vAlign w:val="center"/>
          </w:tcPr>
          <w:p w14:paraId="29D4483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279" w:type="dxa"/>
            <w:tcBorders>
              <w:top w:val="nil"/>
              <w:left w:val="nil"/>
              <w:bottom w:val="single" w:color="auto" w:sz="4" w:space="0"/>
              <w:right w:val="single" w:color="auto" w:sz="4" w:space="0"/>
            </w:tcBorders>
            <w:noWrap w:val="0"/>
            <w:vAlign w:val="center"/>
          </w:tcPr>
          <w:p w14:paraId="2A37193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2090" w:type="dxa"/>
            <w:tcBorders>
              <w:top w:val="nil"/>
              <w:left w:val="nil"/>
              <w:bottom w:val="single" w:color="auto" w:sz="4" w:space="0"/>
              <w:right w:val="single" w:color="auto" w:sz="4" w:space="0"/>
            </w:tcBorders>
            <w:noWrap w:val="0"/>
            <w:vAlign w:val="center"/>
          </w:tcPr>
          <w:p w14:paraId="1CAEE3F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2A66896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4DEC5AE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14:paraId="43F19D60">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60BBE94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2B799B8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279" w:type="dxa"/>
            <w:tcBorders>
              <w:top w:val="nil"/>
              <w:left w:val="nil"/>
              <w:bottom w:val="single" w:color="auto" w:sz="4" w:space="0"/>
              <w:right w:val="single" w:color="auto" w:sz="4" w:space="0"/>
            </w:tcBorders>
            <w:noWrap w:val="0"/>
            <w:vAlign w:val="center"/>
          </w:tcPr>
          <w:p w14:paraId="5AB0B60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2090" w:type="dxa"/>
            <w:tcBorders>
              <w:top w:val="nil"/>
              <w:left w:val="nil"/>
              <w:bottom w:val="single" w:color="auto" w:sz="4" w:space="0"/>
              <w:right w:val="single" w:color="auto" w:sz="4" w:space="0"/>
            </w:tcBorders>
            <w:noWrap w:val="0"/>
            <w:vAlign w:val="center"/>
          </w:tcPr>
          <w:p w14:paraId="78F4C4A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2000≤Y＜10000</w:t>
            </w:r>
          </w:p>
        </w:tc>
        <w:tc>
          <w:tcPr>
            <w:tcW w:w="1692" w:type="dxa"/>
            <w:tcBorders>
              <w:top w:val="nil"/>
              <w:left w:val="nil"/>
              <w:bottom w:val="single" w:color="auto" w:sz="4" w:space="0"/>
              <w:right w:val="single" w:color="auto" w:sz="4" w:space="0"/>
            </w:tcBorders>
            <w:noWrap w:val="0"/>
            <w:vAlign w:val="center"/>
          </w:tcPr>
          <w:p w14:paraId="5A7372D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100≤Y＜2000</w:t>
            </w:r>
          </w:p>
        </w:tc>
        <w:tc>
          <w:tcPr>
            <w:tcW w:w="1087" w:type="dxa"/>
            <w:tcBorders>
              <w:top w:val="nil"/>
              <w:left w:val="nil"/>
              <w:bottom w:val="single" w:color="auto" w:sz="4" w:space="0"/>
              <w:right w:val="single" w:color="auto" w:sz="4" w:space="0"/>
            </w:tcBorders>
            <w:noWrap w:val="0"/>
            <w:vAlign w:val="center"/>
          </w:tcPr>
          <w:p w14:paraId="3FB0CAB3">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6DF5FAFD">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52157BE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信息传输业</w:t>
            </w:r>
          </w:p>
        </w:tc>
        <w:tc>
          <w:tcPr>
            <w:tcW w:w="1660" w:type="dxa"/>
            <w:tcBorders>
              <w:top w:val="nil"/>
              <w:left w:val="nil"/>
              <w:bottom w:val="single" w:color="auto" w:sz="4" w:space="0"/>
              <w:right w:val="single" w:color="auto" w:sz="4" w:space="0"/>
            </w:tcBorders>
            <w:noWrap w:val="0"/>
            <w:vAlign w:val="center"/>
          </w:tcPr>
          <w:p w14:paraId="3257EAAB">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279" w:type="dxa"/>
            <w:tcBorders>
              <w:top w:val="nil"/>
              <w:left w:val="nil"/>
              <w:bottom w:val="single" w:color="auto" w:sz="4" w:space="0"/>
              <w:right w:val="single" w:color="auto" w:sz="4" w:space="0"/>
            </w:tcBorders>
            <w:noWrap w:val="0"/>
            <w:vAlign w:val="center"/>
          </w:tcPr>
          <w:p w14:paraId="0E70B38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2090" w:type="dxa"/>
            <w:tcBorders>
              <w:top w:val="nil"/>
              <w:left w:val="nil"/>
              <w:bottom w:val="single" w:color="auto" w:sz="4" w:space="0"/>
              <w:right w:val="single" w:color="auto" w:sz="4" w:space="0"/>
            </w:tcBorders>
            <w:noWrap w:val="0"/>
            <w:vAlign w:val="center"/>
          </w:tcPr>
          <w:p w14:paraId="461DBF7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100≤X＜2000</w:t>
            </w:r>
          </w:p>
        </w:tc>
        <w:tc>
          <w:tcPr>
            <w:tcW w:w="1692" w:type="dxa"/>
            <w:tcBorders>
              <w:top w:val="nil"/>
              <w:left w:val="nil"/>
              <w:bottom w:val="single" w:color="auto" w:sz="4" w:space="0"/>
              <w:right w:val="single" w:color="auto" w:sz="4" w:space="0"/>
            </w:tcBorders>
            <w:noWrap w:val="0"/>
            <w:vAlign w:val="center"/>
          </w:tcPr>
          <w:p w14:paraId="434D4EA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3A943F83">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14:paraId="3F6FDFD7">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754FE73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246B8DB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279" w:type="dxa"/>
            <w:tcBorders>
              <w:top w:val="nil"/>
              <w:left w:val="nil"/>
              <w:bottom w:val="single" w:color="auto" w:sz="4" w:space="0"/>
              <w:right w:val="single" w:color="auto" w:sz="4" w:space="0"/>
            </w:tcBorders>
            <w:noWrap w:val="0"/>
            <w:vAlign w:val="center"/>
          </w:tcPr>
          <w:p w14:paraId="257CAD5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2090" w:type="dxa"/>
            <w:tcBorders>
              <w:top w:val="nil"/>
              <w:left w:val="nil"/>
              <w:bottom w:val="single" w:color="auto" w:sz="4" w:space="0"/>
              <w:right w:val="single" w:color="auto" w:sz="4" w:space="0"/>
            </w:tcBorders>
            <w:noWrap w:val="0"/>
            <w:vAlign w:val="center"/>
          </w:tcPr>
          <w:p w14:paraId="3253E7D2">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1000≤Y＜100000</w:t>
            </w:r>
          </w:p>
        </w:tc>
        <w:tc>
          <w:tcPr>
            <w:tcW w:w="1692" w:type="dxa"/>
            <w:tcBorders>
              <w:top w:val="nil"/>
              <w:left w:val="nil"/>
              <w:bottom w:val="single" w:color="auto" w:sz="4" w:space="0"/>
              <w:right w:val="single" w:color="auto" w:sz="4" w:space="0"/>
            </w:tcBorders>
            <w:noWrap w:val="0"/>
            <w:vAlign w:val="center"/>
          </w:tcPr>
          <w:p w14:paraId="4FC0348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100≤Y＜1000</w:t>
            </w:r>
          </w:p>
        </w:tc>
        <w:tc>
          <w:tcPr>
            <w:tcW w:w="1087" w:type="dxa"/>
            <w:tcBorders>
              <w:top w:val="nil"/>
              <w:left w:val="nil"/>
              <w:bottom w:val="single" w:color="auto" w:sz="4" w:space="0"/>
              <w:right w:val="single" w:color="auto" w:sz="4" w:space="0"/>
            </w:tcBorders>
            <w:noWrap w:val="0"/>
            <w:vAlign w:val="center"/>
          </w:tcPr>
          <w:p w14:paraId="1F261EA3">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4EAE1742">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2D392D8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软件和信息技术服务业</w:t>
            </w:r>
          </w:p>
        </w:tc>
        <w:tc>
          <w:tcPr>
            <w:tcW w:w="1660" w:type="dxa"/>
            <w:tcBorders>
              <w:top w:val="nil"/>
              <w:left w:val="nil"/>
              <w:bottom w:val="single" w:color="auto" w:sz="4" w:space="0"/>
              <w:right w:val="single" w:color="auto" w:sz="4" w:space="0"/>
            </w:tcBorders>
            <w:noWrap w:val="0"/>
            <w:vAlign w:val="center"/>
          </w:tcPr>
          <w:p w14:paraId="0443C6B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从业人员（X）</w:t>
            </w:r>
          </w:p>
        </w:tc>
        <w:tc>
          <w:tcPr>
            <w:tcW w:w="1279" w:type="dxa"/>
            <w:tcBorders>
              <w:top w:val="nil"/>
              <w:left w:val="nil"/>
              <w:bottom w:val="single" w:color="auto" w:sz="4" w:space="0"/>
              <w:right w:val="single" w:color="auto" w:sz="4" w:space="0"/>
            </w:tcBorders>
            <w:noWrap w:val="0"/>
            <w:vAlign w:val="center"/>
          </w:tcPr>
          <w:p w14:paraId="67147BD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人</w:t>
            </w:r>
          </w:p>
        </w:tc>
        <w:tc>
          <w:tcPr>
            <w:tcW w:w="2090" w:type="dxa"/>
            <w:tcBorders>
              <w:top w:val="nil"/>
              <w:left w:val="nil"/>
              <w:bottom w:val="single" w:color="auto" w:sz="4" w:space="0"/>
              <w:right w:val="single" w:color="auto" w:sz="4" w:space="0"/>
            </w:tcBorders>
            <w:noWrap w:val="0"/>
            <w:vAlign w:val="center"/>
          </w:tcPr>
          <w:p w14:paraId="1946019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597951C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4FF51A5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X＜10</w:t>
            </w:r>
          </w:p>
        </w:tc>
      </w:tr>
      <w:tr w14:paraId="672E1A8A">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6793AD52">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363353F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营业收入（Y）</w:t>
            </w:r>
          </w:p>
        </w:tc>
        <w:tc>
          <w:tcPr>
            <w:tcW w:w="1279" w:type="dxa"/>
            <w:tcBorders>
              <w:top w:val="nil"/>
              <w:left w:val="nil"/>
              <w:bottom w:val="single" w:color="auto" w:sz="4" w:space="0"/>
              <w:right w:val="single" w:color="auto" w:sz="4" w:space="0"/>
            </w:tcBorders>
            <w:noWrap w:val="0"/>
            <w:vAlign w:val="center"/>
          </w:tcPr>
          <w:p w14:paraId="0FE393F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万元</w:t>
            </w:r>
          </w:p>
        </w:tc>
        <w:tc>
          <w:tcPr>
            <w:tcW w:w="2090" w:type="dxa"/>
            <w:tcBorders>
              <w:top w:val="nil"/>
              <w:left w:val="nil"/>
              <w:bottom w:val="single" w:color="auto" w:sz="4" w:space="0"/>
              <w:right w:val="single" w:color="auto" w:sz="4" w:space="0"/>
            </w:tcBorders>
            <w:noWrap w:val="0"/>
            <w:vAlign w:val="center"/>
          </w:tcPr>
          <w:p w14:paraId="5D8D412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1000≤Y＜10000</w:t>
            </w:r>
          </w:p>
        </w:tc>
        <w:tc>
          <w:tcPr>
            <w:tcW w:w="1692" w:type="dxa"/>
            <w:tcBorders>
              <w:top w:val="nil"/>
              <w:left w:val="nil"/>
              <w:bottom w:val="single" w:color="auto" w:sz="4" w:space="0"/>
              <w:right w:val="single" w:color="auto" w:sz="4" w:space="0"/>
            </w:tcBorders>
            <w:noWrap w:val="0"/>
            <w:vAlign w:val="center"/>
          </w:tcPr>
          <w:p w14:paraId="19D46E6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50≤Y＜1000</w:t>
            </w:r>
          </w:p>
        </w:tc>
        <w:tc>
          <w:tcPr>
            <w:tcW w:w="1087" w:type="dxa"/>
            <w:tcBorders>
              <w:top w:val="nil"/>
              <w:left w:val="nil"/>
              <w:bottom w:val="single" w:color="auto" w:sz="4" w:space="0"/>
              <w:right w:val="single" w:color="auto" w:sz="4" w:space="0"/>
            </w:tcBorders>
            <w:noWrap w:val="0"/>
            <w:vAlign w:val="center"/>
          </w:tcPr>
          <w:p w14:paraId="5305CFB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Y＜50</w:t>
            </w:r>
          </w:p>
        </w:tc>
      </w:tr>
      <w:tr w14:paraId="7603836F">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6017937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房地产开发经营</w:t>
            </w:r>
          </w:p>
        </w:tc>
        <w:tc>
          <w:tcPr>
            <w:tcW w:w="1660" w:type="dxa"/>
            <w:tcBorders>
              <w:top w:val="nil"/>
              <w:left w:val="nil"/>
              <w:bottom w:val="single" w:color="auto" w:sz="4" w:space="0"/>
              <w:right w:val="single" w:color="auto" w:sz="4" w:space="0"/>
            </w:tcBorders>
            <w:noWrap w:val="0"/>
            <w:vAlign w:val="center"/>
          </w:tcPr>
          <w:p w14:paraId="581C8D2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279" w:type="dxa"/>
            <w:tcBorders>
              <w:top w:val="nil"/>
              <w:left w:val="nil"/>
              <w:bottom w:val="single" w:color="auto" w:sz="4" w:space="0"/>
              <w:right w:val="single" w:color="auto" w:sz="4" w:space="0"/>
            </w:tcBorders>
            <w:noWrap w:val="0"/>
            <w:vAlign w:val="center"/>
          </w:tcPr>
          <w:p w14:paraId="2E4B0E7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2090" w:type="dxa"/>
            <w:tcBorders>
              <w:top w:val="nil"/>
              <w:left w:val="nil"/>
              <w:bottom w:val="single" w:color="auto" w:sz="4" w:space="0"/>
              <w:right w:val="single" w:color="auto" w:sz="4" w:space="0"/>
            </w:tcBorders>
            <w:noWrap w:val="0"/>
            <w:vAlign w:val="center"/>
          </w:tcPr>
          <w:p w14:paraId="02F8B08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1000≤Y＜200000</w:t>
            </w:r>
          </w:p>
        </w:tc>
        <w:tc>
          <w:tcPr>
            <w:tcW w:w="1692" w:type="dxa"/>
            <w:tcBorders>
              <w:top w:val="nil"/>
              <w:left w:val="nil"/>
              <w:bottom w:val="single" w:color="auto" w:sz="4" w:space="0"/>
              <w:right w:val="single" w:color="auto" w:sz="4" w:space="0"/>
            </w:tcBorders>
            <w:noWrap w:val="0"/>
            <w:vAlign w:val="center"/>
          </w:tcPr>
          <w:p w14:paraId="572A6EE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100≤X＜1000</w:t>
            </w:r>
          </w:p>
        </w:tc>
        <w:tc>
          <w:tcPr>
            <w:tcW w:w="1087" w:type="dxa"/>
            <w:tcBorders>
              <w:top w:val="nil"/>
              <w:left w:val="nil"/>
              <w:bottom w:val="single" w:color="auto" w:sz="4" w:space="0"/>
              <w:right w:val="single" w:color="auto" w:sz="4" w:space="0"/>
            </w:tcBorders>
            <w:noWrap w:val="0"/>
            <w:vAlign w:val="center"/>
          </w:tcPr>
          <w:p w14:paraId="19D56AA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X＜100</w:t>
            </w:r>
          </w:p>
        </w:tc>
      </w:tr>
      <w:tr w14:paraId="244CA1D8">
        <w:tblPrEx>
          <w:tblCellMar>
            <w:top w:w="0" w:type="dxa"/>
            <w:left w:w="108" w:type="dxa"/>
            <w:bottom w:w="0" w:type="dxa"/>
            <w:right w:w="108" w:type="dxa"/>
          </w:tblCellMar>
        </w:tblPrEx>
        <w:trPr>
          <w:trHeight w:val="1016"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0D16946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67B639A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资产总额（Z）</w:t>
            </w:r>
          </w:p>
        </w:tc>
        <w:tc>
          <w:tcPr>
            <w:tcW w:w="1279" w:type="dxa"/>
            <w:tcBorders>
              <w:top w:val="nil"/>
              <w:left w:val="nil"/>
              <w:bottom w:val="single" w:color="auto" w:sz="4" w:space="0"/>
              <w:right w:val="single" w:color="auto" w:sz="4" w:space="0"/>
            </w:tcBorders>
            <w:noWrap w:val="0"/>
            <w:vAlign w:val="center"/>
          </w:tcPr>
          <w:p w14:paraId="6CC9B8E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2090" w:type="dxa"/>
            <w:tcBorders>
              <w:top w:val="nil"/>
              <w:left w:val="nil"/>
              <w:bottom w:val="single" w:color="auto" w:sz="4" w:space="0"/>
              <w:right w:val="single" w:color="auto" w:sz="4" w:space="0"/>
            </w:tcBorders>
            <w:noWrap w:val="0"/>
            <w:vAlign w:val="center"/>
          </w:tcPr>
          <w:p w14:paraId="57B613F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5000≤Z＜10000</w:t>
            </w:r>
          </w:p>
        </w:tc>
        <w:tc>
          <w:tcPr>
            <w:tcW w:w="1692" w:type="dxa"/>
            <w:tcBorders>
              <w:top w:val="nil"/>
              <w:left w:val="nil"/>
              <w:bottom w:val="single" w:color="auto" w:sz="4" w:space="0"/>
              <w:right w:val="single" w:color="auto" w:sz="4" w:space="0"/>
            </w:tcBorders>
            <w:noWrap w:val="0"/>
            <w:vAlign w:val="center"/>
          </w:tcPr>
          <w:p w14:paraId="7964053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2000≤Y＜5000</w:t>
            </w:r>
          </w:p>
        </w:tc>
        <w:tc>
          <w:tcPr>
            <w:tcW w:w="1087" w:type="dxa"/>
            <w:tcBorders>
              <w:top w:val="nil"/>
              <w:left w:val="nil"/>
              <w:bottom w:val="single" w:color="auto" w:sz="4" w:space="0"/>
              <w:right w:val="single" w:color="auto" w:sz="4" w:space="0"/>
            </w:tcBorders>
            <w:noWrap w:val="0"/>
            <w:vAlign w:val="center"/>
          </w:tcPr>
          <w:p w14:paraId="5E4038F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Y＜2000</w:t>
            </w:r>
          </w:p>
        </w:tc>
      </w:tr>
      <w:tr w14:paraId="09908EEB">
        <w:tblPrEx>
          <w:tblCellMar>
            <w:top w:w="0" w:type="dxa"/>
            <w:left w:w="108" w:type="dxa"/>
            <w:bottom w:w="0" w:type="dxa"/>
            <w:right w:w="108" w:type="dxa"/>
          </w:tblCellMar>
        </w:tblPrEx>
        <w:trPr>
          <w:trHeight w:val="199" w:hRule="atLeast"/>
          <w:jc w:val="center"/>
        </w:trPr>
        <w:tc>
          <w:tcPr>
            <w:tcW w:w="1570" w:type="dxa"/>
            <w:vMerge w:val="restart"/>
            <w:tcBorders>
              <w:top w:val="single" w:color="auto" w:sz="4" w:space="0"/>
              <w:left w:val="single" w:color="auto" w:sz="4" w:space="0"/>
              <w:bottom w:val="single" w:color="auto" w:sz="4" w:space="0"/>
              <w:right w:val="single" w:color="auto" w:sz="4" w:space="0"/>
            </w:tcBorders>
            <w:noWrap w:val="0"/>
            <w:vAlign w:val="center"/>
          </w:tcPr>
          <w:p w14:paraId="43F7A07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物业管理</w:t>
            </w:r>
          </w:p>
        </w:tc>
        <w:tc>
          <w:tcPr>
            <w:tcW w:w="1660" w:type="dxa"/>
            <w:tcBorders>
              <w:top w:val="single" w:color="auto" w:sz="4" w:space="0"/>
              <w:left w:val="single" w:color="auto" w:sz="4" w:space="0"/>
              <w:bottom w:val="single" w:color="auto" w:sz="4" w:space="0"/>
              <w:right w:val="single" w:color="auto" w:sz="4" w:space="0"/>
            </w:tcBorders>
            <w:noWrap w:val="0"/>
            <w:vAlign w:val="center"/>
          </w:tcPr>
          <w:p w14:paraId="32992D9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279" w:type="dxa"/>
            <w:tcBorders>
              <w:top w:val="single" w:color="auto" w:sz="4" w:space="0"/>
              <w:left w:val="single" w:color="auto" w:sz="4" w:space="0"/>
              <w:bottom w:val="single" w:color="auto" w:sz="4" w:space="0"/>
              <w:right w:val="single" w:color="auto" w:sz="4" w:space="0"/>
            </w:tcBorders>
            <w:noWrap w:val="0"/>
            <w:vAlign w:val="center"/>
          </w:tcPr>
          <w:p w14:paraId="70A2C8D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2090" w:type="dxa"/>
            <w:tcBorders>
              <w:top w:val="single" w:color="auto" w:sz="4" w:space="0"/>
              <w:left w:val="single" w:color="auto" w:sz="4" w:space="0"/>
              <w:bottom w:val="single" w:color="auto" w:sz="4" w:space="0"/>
              <w:right w:val="single" w:color="auto" w:sz="4" w:space="0"/>
            </w:tcBorders>
            <w:noWrap w:val="0"/>
            <w:vAlign w:val="center"/>
          </w:tcPr>
          <w:p w14:paraId="66632013">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300≤X＜1000</w:t>
            </w:r>
          </w:p>
        </w:tc>
        <w:tc>
          <w:tcPr>
            <w:tcW w:w="1692" w:type="dxa"/>
            <w:tcBorders>
              <w:top w:val="single" w:color="auto" w:sz="4" w:space="0"/>
              <w:left w:val="single" w:color="auto" w:sz="4" w:space="0"/>
              <w:bottom w:val="single" w:color="auto" w:sz="4" w:space="0"/>
              <w:right w:val="single" w:color="auto" w:sz="4" w:space="0"/>
            </w:tcBorders>
            <w:noWrap w:val="0"/>
            <w:vAlign w:val="center"/>
          </w:tcPr>
          <w:p w14:paraId="65A4D9C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7A555A5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X＜100</w:t>
            </w:r>
          </w:p>
        </w:tc>
      </w:tr>
      <w:tr w14:paraId="68AD9B32">
        <w:tblPrEx>
          <w:tblCellMar>
            <w:top w:w="0" w:type="dxa"/>
            <w:left w:w="108" w:type="dxa"/>
            <w:bottom w:w="0" w:type="dxa"/>
            <w:right w:w="108" w:type="dxa"/>
          </w:tblCellMar>
        </w:tblPrEx>
        <w:trPr>
          <w:trHeight w:val="199" w:hRule="atLeast"/>
          <w:jc w:val="center"/>
        </w:trPr>
        <w:tc>
          <w:tcPr>
            <w:tcW w:w="1570" w:type="dxa"/>
            <w:vMerge w:val="continue"/>
            <w:tcBorders>
              <w:top w:val="single" w:color="auto" w:sz="4" w:space="0"/>
              <w:left w:val="single" w:color="auto" w:sz="4" w:space="0"/>
              <w:bottom w:val="single" w:color="auto" w:sz="4" w:space="0"/>
              <w:right w:val="single" w:color="auto" w:sz="4" w:space="0"/>
            </w:tcBorders>
            <w:noWrap w:val="0"/>
            <w:vAlign w:val="center"/>
          </w:tcPr>
          <w:p w14:paraId="3CDDA923">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2971657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279" w:type="dxa"/>
            <w:tcBorders>
              <w:top w:val="single" w:color="auto" w:sz="4" w:space="0"/>
              <w:left w:val="single" w:color="auto" w:sz="4" w:space="0"/>
              <w:bottom w:val="single" w:color="auto" w:sz="4" w:space="0"/>
              <w:right w:val="single" w:color="auto" w:sz="4" w:space="0"/>
            </w:tcBorders>
            <w:noWrap w:val="0"/>
            <w:vAlign w:val="center"/>
          </w:tcPr>
          <w:p w14:paraId="4263683B">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2090" w:type="dxa"/>
            <w:tcBorders>
              <w:top w:val="single" w:color="auto" w:sz="4" w:space="0"/>
              <w:left w:val="single" w:color="auto" w:sz="4" w:space="0"/>
              <w:bottom w:val="single" w:color="auto" w:sz="4" w:space="0"/>
              <w:right w:val="single" w:color="auto" w:sz="4" w:space="0"/>
            </w:tcBorders>
            <w:noWrap w:val="0"/>
            <w:vAlign w:val="center"/>
          </w:tcPr>
          <w:p w14:paraId="2043997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1000≤Y＜5000</w:t>
            </w:r>
          </w:p>
        </w:tc>
        <w:tc>
          <w:tcPr>
            <w:tcW w:w="1692" w:type="dxa"/>
            <w:tcBorders>
              <w:top w:val="single" w:color="auto" w:sz="4" w:space="0"/>
              <w:left w:val="single" w:color="auto" w:sz="4" w:space="0"/>
              <w:bottom w:val="single" w:color="auto" w:sz="4" w:space="0"/>
              <w:right w:val="single" w:color="auto" w:sz="4" w:space="0"/>
            </w:tcBorders>
            <w:noWrap w:val="0"/>
            <w:vAlign w:val="center"/>
          </w:tcPr>
          <w:p w14:paraId="1E10753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500≤Y＜1000</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66F5FE6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Y＜500</w:t>
            </w:r>
          </w:p>
        </w:tc>
      </w:tr>
      <w:tr w14:paraId="62DF7ABF">
        <w:tblPrEx>
          <w:tblCellMar>
            <w:top w:w="0" w:type="dxa"/>
            <w:left w:w="108" w:type="dxa"/>
            <w:bottom w:w="0" w:type="dxa"/>
            <w:right w:w="108" w:type="dxa"/>
          </w:tblCellMar>
        </w:tblPrEx>
        <w:trPr>
          <w:trHeight w:val="242" w:hRule="atLeast"/>
          <w:jc w:val="center"/>
        </w:trPr>
        <w:tc>
          <w:tcPr>
            <w:tcW w:w="1570" w:type="dxa"/>
            <w:vMerge w:val="restart"/>
            <w:tcBorders>
              <w:top w:val="single" w:color="auto" w:sz="4" w:space="0"/>
              <w:left w:val="single" w:color="auto" w:sz="4" w:space="0"/>
              <w:bottom w:val="single" w:color="auto" w:sz="4" w:space="0"/>
              <w:right w:val="single" w:color="auto" w:sz="4" w:space="0"/>
            </w:tcBorders>
            <w:noWrap w:val="0"/>
            <w:vAlign w:val="center"/>
          </w:tcPr>
          <w:p w14:paraId="1C0A837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租赁和商务服务业</w:t>
            </w:r>
          </w:p>
        </w:tc>
        <w:tc>
          <w:tcPr>
            <w:tcW w:w="1660" w:type="dxa"/>
            <w:tcBorders>
              <w:top w:val="single" w:color="auto" w:sz="4" w:space="0"/>
              <w:left w:val="nil"/>
              <w:bottom w:val="single" w:color="auto" w:sz="4" w:space="0"/>
              <w:right w:val="single" w:color="auto" w:sz="4" w:space="0"/>
            </w:tcBorders>
            <w:noWrap w:val="0"/>
            <w:vAlign w:val="center"/>
          </w:tcPr>
          <w:p w14:paraId="1A91609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从业人员（X）</w:t>
            </w:r>
          </w:p>
        </w:tc>
        <w:tc>
          <w:tcPr>
            <w:tcW w:w="1279" w:type="dxa"/>
            <w:tcBorders>
              <w:top w:val="single" w:color="auto" w:sz="4" w:space="0"/>
              <w:left w:val="nil"/>
              <w:bottom w:val="single" w:color="auto" w:sz="4" w:space="0"/>
              <w:right w:val="single" w:color="auto" w:sz="4" w:space="0"/>
            </w:tcBorders>
            <w:noWrap w:val="0"/>
            <w:vAlign w:val="center"/>
          </w:tcPr>
          <w:p w14:paraId="13BC370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人</w:t>
            </w:r>
          </w:p>
        </w:tc>
        <w:tc>
          <w:tcPr>
            <w:tcW w:w="2090" w:type="dxa"/>
            <w:tcBorders>
              <w:top w:val="single" w:color="auto" w:sz="4" w:space="0"/>
              <w:left w:val="nil"/>
              <w:bottom w:val="single" w:color="auto" w:sz="4" w:space="0"/>
              <w:right w:val="single" w:color="auto" w:sz="4" w:space="0"/>
            </w:tcBorders>
            <w:noWrap w:val="0"/>
            <w:vAlign w:val="center"/>
          </w:tcPr>
          <w:p w14:paraId="0EC1E08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100≤X＜300</w:t>
            </w:r>
          </w:p>
        </w:tc>
        <w:tc>
          <w:tcPr>
            <w:tcW w:w="1692" w:type="dxa"/>
            <w:tcBorders>
              <w:top w:val="single" w:color="auto" w:sz="4" w:space="0"/>
              <w:left w:val="nil"/>
              <w:bottom w:val="single" w:color="auto" w:sz="4" w:space="0"/>
              <w:right w:val="single" w:color="auto" w:sz="4" w:space="0"/>
            </w:tcBorders>
            <w:noWrap w:val="0"/>
            <w:vAlign w:val="center"/>
          </w:tcPr>
          <w:p w14:paraId="54A0C48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10≤X＜100</w:t>
            </w:r>
          </w:p>
        </w:tc>
        <w:tc>
          <w:tcPr>
            <w:tcW w:w="1087" w:type="dxa"/>
            <w:tcBorders>
              <w:top w:val="single" w:color="auto" w:sz="4" w:space="0"/>
              <w:left w:val="nil"/>
              <w:bottom w:val="single" w:color="auto" w:sz="4" w:space="0"/>
              <w:right w:val="single" w:color="auto" w:sz="4" w:space="0"/>
            </w:tcBorders>
            <w:noWrap w:val="0"/>
            <w:vAlign w:val="center"/>
          </w:tcPr>
          <w:p w14:paraId="7FD2BFC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X＜10</w:t>
            </w:r>
          </w:p>
        </w:tc>
      </w:tr>
      <w:tr w14:paraId="722F5855">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21667992">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32564CE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资产总额（Z）</w:t>
            </w:r>
          </w:p>
        </w:tc>
        <w:tc>
          <w:tcPr>
            <w:tcW w:w="1279" w:type="dxa"/>
            <w:tcBorders>
              <w:top w:val="nil"/>
              <w:left w:val="nil"/>
              <w:bottom w:val="single" w:color="auto" w:sz="4" w:space="0"/>
              <w:right w:val="single" w:color="auto" w:sz="4" w:space="0"/>
            </w:tcBorders>
            <w:noWrap w:val="0"/>
            <w:vAlign w:val="center"/>
          </w:tcPr>
          <w:p w14:paraId="6D404D2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万元</w:t>
            </w:r>
          </w:p>
        </w:tc>
        <w:tc>
          <w:tcPr>
            <w:tcW w:w="2090" w:type="dxa"/>
            <w:tcBorders>
              <w:top w:val="nil"/>
              <w:left w:val="nil"/>
              <w:bottom w:val="single" w:color="auto" w:sz="4" w:space="0"/>
              <w:right w:val="single" w:color="auto" w:sz="4" w:space="0"/>
            </w:tcBorders>
            <w:noWrap w:val="0"/>
            <w:vAlign w:val="center"/>
          </w:tcPr>
          <w:p w14:paraId="7A069B2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8000≤Z＜120000</w:t>
            </w:r>
          </w:p>
        </w:tc>
        <w:tc>
          <w:tcPr>
            <w:tcW w:w="1692" w:type="dxa"/>
            <w:tcBorders>
              <w:top w:val="nil"/>
              <w:left w:val="nil"/>
              <w:bottom w:val="single" w:color="auto" w:sz="4" w:space="0"/>
              <w:right w:val="single" w:color="auto" w:sz="4" w:space="0"/>
            </w:tcBorders>
            <w:noWrap w:val="0"/>
            <w:vAlign w:val="center"/>
          </w:tcPr>
          <w:p w14:paraId="2CF7472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100≤Z＜8000</w:t>
            </w:r>
          </w:p>
        </w:tc>
        <w:tc>
          <w:tcPr>
            <w:tcW w:w="1087" w:type="dxa"/>
            <w:tcBorders>
              <w:top w:val="nil"/>
              <w:left w:val="nil"/>
              <w:bottom w:val="single" w:color="auto" w:sz="4" w:space="0"/>
              <w:right w:val="single" w:color="auto" w:sz="4" w:space="0"/>
            </w:tcBorders>
            <w:noWrap w:val="0"/>
            <w:vAlign w:val="center"/>
          </w:tcPr>
          <w:p w14:paraId="69D326A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Y＜100</w:t>
            </w:r>
          </w:p>
        </w:tc>
      </w:tr>
      <w:tr w14:paraId="2D96AF76">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noWrap w:val="0"/>
            <w:vAlign w:val="center"/>
          </w:tcPr>
          <w:p w14:paraId="277BC2E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其他未列明行业</w:t>
            </w:r>
          </w:p>
        </w:tc>
        <w:tc>
          <w:tcPr>
            <w:tcW w:w="1660" w:type="dxa"/>
            <w:tcBorders>
              <w:top w:val="nil"/>
              <w:left w:val="nil"/>
              <w:bottom w:val="single" w:color="auto" w:sz="4" w:space="0"/>
              <w:right w:val="single" w:color="auto" w:sz="4" w:space="0"/>
            </w:tcBorders>
            <w:noWrap w:val="0"/>
            <w:vAlign w:val="center"/>
          </w:tcPr>
          <w:p w14:paraId="1E258A3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从业人员（X）</w:t>
            </w:r>
          </w:p>
        </w:tc>
        <w:tc>
          <w:tcPr>
            <w:tcW w:w="1279" w:type="dxa"/>
            <w:tcBorders>
              <w:top w:val="nil"/>
              <w:left w:val="nil"/>
              <w:bottom w:val="single" w:color="auto" w:sz="4" w:space="0"/>
              <w:right w:val="single" w:color="auto" w:sz="4" w:space="0"/>
            </w:tcBorders>
            <w:noWrap w:val="0"/>
            <w:vAlign w:val="center"/>
          </w:tcPr>
          <w:p w14:paraId="18FF2E1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人</w:t>
            </w:r>
          </w:p>
        </w:tc>
        <w:tc>
          <w:tcPr>
            <w:tcW w:w="2090" w:type="dxa"/>
            <w:tcBorders>
              <w:top w:val="nil"/>
              <w:left w:val="nil"/>
              <w:bottom w:val="single" w:color="auto" w:sz="4" w:space="0"/>
              <w:right w:val="single" w:color="auto" w:sz="4" w:space="0"/>
            </w:tcBorders>
            <w:noWrap w:val="0"/>
            <w:vAlign w:val="center"/>
          </w:tcPr>
          <w:p w14:paraId="47B49F5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4525140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4758741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X＜10</w:t>
            </w:r>
          </w:p>
        </w:tc>
      </w:tr>
    </w:tbl>
    <w:p w14:paraId="378432F1">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contextualSpacing/>
        <w:jc w:val="left"/>
        <w:rPr>
          <w:rFonts w:hint="eastAsia" w:ascii="仿宋" w:hAnsi="仿宋" w:eastAsia="仿宋" w:cs="仿宋"/>
          <w:b/>
          <w:color w:val="auto"/>
          <w:sz w:val="24"/>
          <w:szCs w:val="24"/>
          <w:highlight w:val="none"/>
        </w:rPr>
      </w:pPr>
    </w:p>
    <w:p w14:paraId="35741FA8">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contextualSpacing/>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说明：</w:t>
      </w:r>
      <w:r>
        <w:rPr>
          <w:rFonts w:hint="eastAsia" w:ascii="仿宋" w:hAnsi="仿宋" w:eastAsia="仿宋" w:cs="仿宋"/>
          <w:color w:val="auto"/>
          <w:sz w:val="24"/>
          <w:szCs w:val="24"/>
          <w:highlight w:val="none"/>
        </w:rPr>
        <w:t>上述标准参照《关于印发中小企业划型标准规定的通知》（工信部联企业[2011]300号），大型、中型和小型企业须同时满足所列指标的下限，否则下划一档；微型企业只须满足所列指标中的一项即可。</w:t>
      </w:r>
    </w:p>
    <w:p w14:paraId="521C3458">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contextualSpacing/>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所称中小企业，是指在中华人民共和国境内依法设立，依据国务院批准的</w:t>
      </w:r>
    </w:p>
    <w:p w14:paraId="0528F0D2">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contextualSpacing/>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规定的中小企业扶持政策：</w:t>
      </w:r>
    </w:p>
    <w:p w14:paraId="539E4CC7">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contextualSpacing/>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（1）在货物采购项目中，货物由中小企业制造，即货物由中小企业生产且使用该中小企业商号或者注册商标，不对其中涉及的工程承建商和服务的承接商作出要求；</w:t>
      </w:r>
    </w:p>
    <w:p w14:paraId="40D4131F">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contextualSpacing/>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（2）在工程采购项目中，工程由中小企业承建，即工程施工单位为中小企业，不对其中涉及的货物的制造商和服务的承接商作出要求；</w:t>
      </w:r>
    </w:p>
    <w:p w14:paraId="7AB44F95">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contextualSpacing/>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38306A15">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contextualSpacing/>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在货物采购项目中，供应商提供的货物既有中小企业制造货物，也有大型企业制造货物的，不享受本</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规定的中小企业扶持政策。以联合体形式参加政府采购活动，联合体各方均为中小企业的，联合体视同中小企业。其中，联合体各方均为小微企业的，联合体视同小微企业。</w:t>
      </w:r>
    </w:p>
    <w:p w14:paraId="7A67964F">
      <w:pPr>
        <w:pStyle w:val="5"/>
        <w:keepNext/>
        <w:keepLines/>
        <w:widowControl w:val="0"/>
        <w:numPr>
          <w:ilvl w:val="0"/>
          <w:numId w:val="0"/>
        </w:numPr>
        <w:autoSpaceDE w:val="0"/>
        <w:autoSpaceDN w:val="0"/>
        <w:adjustRightInd w:val="0"/>
        <w:spacing w:before="360" w:after="120"/>
        <w:jc w:val="left"/>
        <w:outlineLvl w:val="2"/>
        <w:rPr>
          <w:rFonts w:hint="default"/>
          <w:lang w:val="en-US" w:eastAsia="zh-CN"/>
        </w:rPr>
        <w:sectPr>
          <w:pgSz w:w="11906" w:h="16838"/>
          <w:pgMar w:top="1440" w:right="1797" w:bottom="1440" w:left="1797" w:header="851" w:footer="992" w:gutter="0"/>
          <w:pgNumType w:fmt="decimal"/>
          <w:cols w:space="720" w:num="1"/>
          <w:docGrid w:type="linesAndChars" w:linePitch="312" w:charSpace="0"/>
        </w:sectPr>
      </w:pPr>
      <w:bookmarkStart w:id="231" w:name="_Toc10378"/>
      <w:bookmarkStart w:id="232" w:name="_Toc28463"/>
      <w:r>
        <w:rPr>
          <w:rFonts w:hint="eastAsia" w:ascii="仿宋" w:hAnsi="仿宋" w:eastAsia="仿宋" w:cs="仿宋"/>
          <w:color w:val="auto"/>
          <w:sz w:val="24"/>
          <w:szCs w:val="24"/>
          <w:highlight w:val="none"/>
        </w:rPr>
        <w:t>依据本</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规定享受扶持政策获得政府采购合同的，小微企业不得将合同分包给大中型企业，中型企业不得将合同分包给大型企业。</w:t>
      </w:r>
      <w:bookmarkEnd w:id="231"/>
      <w:bookmarkEnd w:id="232"/>
    </w:p>
    <w:p w14:paraId="12B3F379">
      <w:pPr>
        <w:spacing w:line="600" w:lineRule="auto"/>
        <w:ind w:left="1079" w:leftChars="257" w:hanging="540"/>
        <w:jc w:val="center"/>
        <w:rPr>
          <w:rFonts w:hint="default" w:ascii="仿宋_GB2312" w:hAnsi="宋体" w:eastAsia="仿宋_GB2312" w:cs="Times New Roman"/>
          <w:b/>
          <w:bCs/>
          <w:sz w:val="24"/>
          <w:highlight w:val="none"/>
          <w:lang w:val="en-US" w:eastAsia="zh-CN"/>
        </w:rPr>
      </w:pPr>
      <w:r>
        <w:rPr>
          <w:rFonts w:hint="eastAsia" w:ascii="仿宋_GB2312" w:hAnsi="宋体" w:eastAsia="仿宋_GB2312" w:cs="Times New Roman"/>
          <w:b/>
          <w:bCs/>
          <w:sz w:val="24"/>
          <w:highlight w:val="none"/>
          <w:lang w:val="en-US" w:eastAsia="zh-CN"/>
        </w:rPr>
        <w:t>12、</w:t>
      </w:r>
      <w:r>
        <w:rPr>
          <w:rFonts w:hint="eastAsia" w:ascii="仿宋" w:hAnsi="仿宋" w:eastAsia="仿宋" w:cs="仿宋"/>
          <w:b/>
          <w:bCs/>
          <w:color w:val="000000"/>
          <w:sz w:val="24"/>
          <w:szCs w:val="24"/>
          <w:highlight w:val="none"/>
          <w:lang w:val="en-US" w:eastAsia="zh-CN"/>
        </w:rPr>
        <w:t>提供有效的《食品经营许可证》或《食品生产许可证》</w:t>
      </w:r>
    </w:p>
    <w:p w14:paraId="132BBA1C">
      <w:pPr>
        <w:spacing w:line="600" w:lineRule="auto"/>
        <w:ind w:left="1079" w:leftChars="257" w:hanging="540"/>
        <w:jc w:val="center"/>
        <w:rPr>
          <w:rFonts w:hint="eastAsia" w:ascii="仿宋_GB2312" w:hAnsi="宋体" w:eastAsia="仿宋_GB2312" w:cs="Times New Roman"/>
          <w:b/>
          <w:bCs/>
          <w:sz w:val="24"/>
          <w:highlight w:val="none"/>
          <w:lang w:val="en-US" w:eastAsia="zh-CN"/>
        </w:rPr>
      </w:pPr>
    </w:p>
    <w:p w14:paraId="7F68BEC4">
      <w:pPr>
        <w:spacing w:line="600" w:lineRule="auto"/>
        <w:ind w:left="1079" w:leftChars="257" w:hanging="540"/>
        <w:jc w:val="center"/>
        <w:rPr>
          <w:rFonts w:hint="eastAsia" w:ascii="仿宋_GB2312" w:hAnsi="宋体" w:eastAsia="仿宋_GB2312" w:cs="Times New Roman"/>
          <w:b/>
          <w:bCs/>
          <w:sz w:val="24"/>
          <w:highlight w:val="none"/>
          <w:lang w:val="en-US" w:eastAsia="zh-CN"/>
        </w:rPr>
      </w:pPr>
    </w:p>
    <w:p w14:paraId="4CB8A3F8">
      <w:pPr>
        <w:spacing w:line="600" w:lineRule="auto"/>
        <w:ind w:left="1079" w:leftChars="257" w:hanging="540"/>
        <w:jc w:val="center"/>
        <w:rPr>
          <w:rFonts w:hint="eastAsia" w:ascii="仿宋_GB2312" w:hAnsi="宋体" w:eastAsia="仿宋_GB2312" w:cs="Times New Roman"/>
          <w:b/>
          <w:bCs/>
          <w:sz w:val="24"/>
          <w:highlight w:val="none"/>
          <w:lang w:val="en-US" w:eastAsia="zh-CN"/>
        </w:rPr>
      </w:pPr>
    </w:p>
    <w:p w14:paraId="3DECEC29">
      <w:pPr>
        <w:spacing w:line="600" w:lineRule="auto"/>
        <w:ind w:left="1079" w:leftChars="257" w:hanging="540"/>
        <w:jc w:val="center"/>
        <w:rPr>
          <w:rFonts w:hint="eastAsia" w:ascii="仿宋_GB2312" w:hAnsi="宋体" w:eastAsia="仿宋_GB2312" w:cs="Times New Roman"/>
          <w:b/>
          <w:bCs/>
          <w:sz w:val="24"/>
          <w:highlight w:val="none"/>
          <w:lang w:val="en-US" w:eastAsia="zh-CN"/>
        </w:rPr>
      </w:pPr>
    </w:p>
    <w:p w14:paraId="006FF7D7">
      <w:pPr>
        <w:spacing w:line="600" w:lineRule="auto"/>
        <w:ind w:left="1079" w:leftChars="257" w:hanging="540"/>
        <w:jc w:val="center"/>
        <w:rPr>
          <w:rFonts w:hint="eastAsia" w:ascii="仿宋_GB2312" w:hAnsi="宋体" w:eastAsia="仿宋_GB2312" w:cs="Times New Roman"/>
          <w:b/>
          <w:bCs/>
          <w:sz w:val="24"/>
          <w:highlight w:val="none"/>
          <w:lang w:val="en-US" w:eastAsia="zh-CN"/>
        </w:rPr>
      </w:pPr>
    </w:p>
    <w:p w14:paraId="7A6C10AB">
      <w:pPr>
        <w:spacing w:line="600" w:lineRule="auto"/>
        <w:ind w:left="1079" w:leftChars="257" w:hanging="540"/>
        <w:jc w:val="center"/>
        <w:rPr>
          <w:rFonts w:hint="eastAsia" w:ascii="仿宋_GB2312" w:hAnsi="宋体" w:eastAsia="仿宋_GB2312" w:cs="Times New Roman"/>
          <w:b/>
          <w:bCs/>
          <w:sz w:val="24"/>
          <w:highlight w:val="none"/>
          <w:lang w:val="en-US" w:eastAsia="zh-CN"/>
        </w:rPr>
      </w:pPr>
      <w:r>
        <w:rPr>
          <w:rFonts w:hint="eastAsia" w:ascii="仿宋_GB2312" w:hAnsi="宋体" w:eastAsia="仿宋_GB2312" w:cs="Times New Roman"/>
          <w:b/>
          <w:bCs/>
          <w:sz w:val="24"/>
          <w:highlight w:val="none"/>
          <w:lang w:val="en-US" w:eastAsia="zh-CN"/>
        </w:rPr>
        <w:t>13、投标人须知资料表要求的其他资格证明文件</w:t>
      </w:r>
    </w:p>
    <w:p w14:paraId="27D93599">
      <w:pPr>
        <w:pStyle w:val="15"/>
        <w:tabs>
          <w:tab w:val="left" w:pos="1260"/>
          <w:tab w:val="left" w:pos="5580"/>
        </w:tabs>
        <w:spacing w:line="240" w:lineRule="atLeast"/>
        <w:ind w:left="1478" w:leftChars="361" w:hanging="720" w:firstLineChars="0"/>
        <w:jc w:val="center"/>
        <w:rPr>
          <w:rFonts w:hint="eastAsia" w:ascii="仿宋_GB2312" w:hAnsi="宋体" w:eastAsia="仿宋_GB2312" w:cs="Times New Roman"/>
          <w:b/>
          <w:bCs/>
          <w:sz w:val="24"/>
          <w:highlight w:val="none"/>
          <w:lang w:val="en-US" w:eastAsia="zh-CN"/>
        </w:rPr>
      </w:pPr>
    </w:p>
    <w:p w14:paraId="5A46AACF">
      <w:pPr>
        <w:pStyle w:val="15"/>
        <w:tabs>
          <w:tab w:val="left" w:pos="1260"/>
          <w:tab w:val="left" w:pos="5580"/>
        </w:tabs>
        <w:spacing w:line="240" w:lineRule="atLeast"/>
        <w:ind w:left="1478" w:leftChars="361" w:hanging="720" w:firstLineChars="0"/>
        <w:jc w:val="center"/>
        <w:rPr>
          <w:rFonts w:hint="eastAsia" w:ascii="仿宋_GB2312" w:hAnsi="宋体" w:eastAsia="仿宋_GB2312" w:cs="Times New Roman"/>
          <w:b/>
          <w:bCs/>
          <w:sz w:val="24"/>
          <w:highlight w:val="none"/>
          <w:lang w:val="en-US" w:eastAsia="zh-CN"/>
        </w:rPr>
      </w:pPr>
    </w:p>
    <w:p w14:paraId="4FB37998">
      <w:pPr>
        <w:pStyle w:val="15"/>
        <w:tabs>
          <w:tab w:val="left" w:pos="1260"/>
          <w:tab w:val="left" w:pos="5580"/>
        </w:tabs>
        <w:spacing w:line="240" w:lineRule="atLeast"/>
        <w:ind w:left="1478" w:leftChars="361" w:hanging="720" w:firstLineChars="0"/>
        <w:jc w:val="center"/>
        <w:rPr>
          <w:rFonts w:hint="eastAsia" w:ascii="仿宋_GB2312" w:hAnsi="宋体" w:eastAsia="仿宋_GB2312" w:cs="Times New Roman"/>
          <w:b/>
          <w:bCs/>
          <w:sz w:val="24"/>
          <w:highlight w:val="none"/>
          <w:lang w:val="en-US" w:eastAsia="zh-CN"/>
        </w:rPr>
      </w:pPr>
    </w:p>
    <w:p w14:paraId="2327D7CC">
      <w:pPr>
        <w:pStyle w:val="15"/>
        <w:tabs>
          <w:tab w:val="left" w:pos="1260"/>
          <w:tab w:val="left" w:pos="5580"/>
        </w:tabs>
        <w:spacing w:line="240" w:lineRule="atLeast"/>
        <w:ind w:left="1478" w:leftChars="361" w:hanging="720" w:firstLineChars="0"/>
        <w:jc w:val="center"/>
        <w:rPr>
          <w:rFonts w:hint="eastAsia" w:ascii="仿宋_GB2312" w:hAnsi="宋体" w:eastAsia="仿宋_GB2312" w:cs="Times New Roman"/>
          <w:b/>
          <w:bCs/>
          <w:sz w:val="24"/>
          <w:highlight w:val="none"/>
          <w:lang w:val="en-US" w:eastAsia="zh-CN"/>
        </w:rPr>
      </w:pPr>
    </w:p>
    <w:p w14:paraId="60334940">
      <w:pPr>
        <w:pStyle w:val="15"/>
        <w:tabs>
          <w:tab w:val="left" w:pos="1260"/>
          <w:tab w:val="left" w:pos="5580"/>
        </w:tabs>
        <w:spacing w:line="240" w:lineRule="atLeast"/>
        <w:ind w:left="1478" w:leftChars="361" w:hanging="720" w:firstLineChars="0"/>
        <w:jc w:val="center"/>
        <w:rPr>
          <w:rFonts w:hint="eastAsia" w:ascii="仿宋_GB2312" w:hAnsi="宋体" w:eastAsia="仿宋_GB2312" w:cs="Times New Roman"/>
          <w:b/>
          <w:bCs/>
          <w:sz w:val="24"/>
          <w:highlight w:val="none"/>
          <w:lang w:val="en-US" w:eastAsia="zh-CN"/>
        </w:rPr>
      </w:pPr>
    </w:p>
    <w:p w14:paraId="67C318F0">
      <w:pPr>
        <w:pStyle w:val="15"/>
        <w:tabs>
          <w:tab w:val="left" w:pos="1260"/>
          <w:tab w:val="left" w:pos="5580"/>
        </w:tabs>
        <w:spacing w:line="240" w:lineRule="atLeast"/>
        <w:ind w:left="1478" w:leftChars="361" w:hanging="720" w:firstLineChars="0"/>
        <w:jc w:val="center"/>
        <w:rPr>
          <w:rFonts w:hint="eastAsia" w:ascii="仿宋_GB2312" w:hAnsi="宋体" w:eastAsia="仿宋_GB2312" w:cs="Times New Roman"/>
          <w:b/>
          <w:bCs/>
          <w:sz w:val="24"/>
          <w:highlight w:val="none"/>
          <w:lang w:val="en-US" w:eastAsia="zh-CN"/>
        </w:rPr>
      </w:pPr>
    </w:p>
    <w:p w14:paraId="63F8092D">
      <w:pPr>
        <w:pStyle w:val="15"/>
        <w:tabs>
          <w:tab w:val="left" w:pos="5580"/>
        </w:tabs>
        <w:spacing w:line="240" w:lineRule="atLeast"/>
        <w:ind w:left="1079" w:leftChars="257" w:hanging="540"/>
        <w:rPr>
          <w:rFonts w:hint="eastAsia" w:ascii="仿宋_GB2312" w:hAnsi="宋体" w:eastAsia="仿宋_GB2312" w:cs="Times New Roman"/>
          <w:sz w:val="24"/>
          <w:highlight w:val="none"/>
          <w:u w:val="none"/>
          <w:lang w:eastAsia="zh-CN"/>
        </w:rPr>
      </w:pPr>
      <w:r>
        <w:rPr>
          <w:rFonts w:hint="eastAsia" w:ascii="仿宋_GB2312" w:hAnsi="宋体" w:eastAsia="仿宋_GB2312"/>
          <w:sz w:val="24"/>
          <w:highlight w:val="none"/>
        </w:rPr>
        <w:t>说明：1.应提供</w:t>
      </w:r>
      <w:r>
        <w:rPr>
          <w:rFonts w:hint="eastAsia" w:ascii="仿宋_GB2312" w:hAnsi="宋体" w:eastAsia="仿宋_GB2312"/>
          <w:sz w:val="24"/>
          <w:highlight w:val="none"/>
          <w:u w:val="single"/>
        </w:rPr>
        <w:t>投标人须知资料表</w:t>
      </w:r>
      <w:r>
        <w:rPr>
          <w:rFonts w:hint="eastAsia" w:ascii="仿宋_GB2312" w:hAnsi="宋体" w:eastAsia="仿宋_GB2312"/>
          <w:sz w:val="24"/>
          <w:highlight w:val="none"/>
        </w:rPr>
        <w:t>要求的</w:t>
      </w:r>
      <w:r>
        <w:rPr>
          <w:rFonts w:hint="eastAsia" w:ascii="仿宋_GB2312" w:hAnsi="宋体" w:eastAsia="仿宋_GB2312" w:cs="Times New Roman"/>
          <w:sz w:val="24"/>
          <w:highlight w:val="none"/>
          <w:u w:val="none"/>
          <w:lang w:val="en-US" w:eastAsia="zh-CN"/>
        </w:rPr>
        <w:t>投标人须知资料表要求的其他资格证明文件。</w:t>
      </w:r>
    </w:p>
    <w:p w14:paraId="38E2C961">
      <w:pPr>
        <w:pStyle w:val="15"/>
        <w:tabs>
          <w:tab w:val="left" w:pos="5580"/>
        </w:tabs>
        <w:spacing w:line="240" w:lineRule="atLeast"/>
        <w:ind w:left="1075" w:leftChars="512" w:firstLine="183" w:firstLineChars="0"/>
        <w:rPr>
          <w:rFonts w:hint="eastAsia" w:ascii="仿宋_GB2312" w:hAnsi="宋体" w:eastAsia="仿宋_GB2312"/>
          <w:sz w:val="24"/>
          <w:highlight w:val="none"/>
        </w:rPr>
      </w:pPr>
      <w:r>
        <w:rPr>
          <w:rFonts w:hint="eastAsia" w:ascii="仿宋_GB2312" w:hAnsi="宋体" w:eastAsia="仿宋_GB2312"/>
          <w:sz w:val="24"/>
          <w:highlight w:val="none"/>
        </w:rPr>
        <w:t>2.复印件上应加盖本单位章（自然人投标的无需盖章，需要签字）。</w:t>
      </w:r>
    </w:p>
    <w:p w14:paraId="37502D0A">
      <w:pPr>
        <w:pStyle w:val="15"/>
        <w:tabs>
          <w:tab w:val="left" w:pos="5580"/>
        </w:tabs>
        <w:spacing w:line="240" w:lineRule="atLeast"/>
        <w:ind w:left="1077" w:leftChars="513" w:firstLine="181" w:firstLineChars="0"/>
        <w:rPr>
          <w:rFonts w:hint="eastAsia" w:ascii="仿宋_GB2312" w:hAnsi="宋体" w:eastAsia="仿宋_GB2312" w:cs="Times New Roman"/>
          <w:sz w:val="24"/>
          <w:highlight w:val="none"/>
          <w:lang w:eastAsia="zh-CN"/>
        </w:rPr>
      </w:pPr>
    </w:p>
    <w:p w14:paraId="0B9882B6">
      <w:pPr>
        <w:pStyle w:val="15"/>
        <w:tabs>
          <w:tab w:val="left" w:pos="5580"/>
        </w:tabs>
        <w:spacing w:line="240" w:lineRule="atLeast"/>
        <w:ind w:left="1077" w:leftChars="513" w:firstLine="181" w:firstLineChars="0"/>
        <w:rPr>
          <w:rFonts w:hint="eastAsia" w:ascii="仿宋_GB2312" w:hAnsi="宋体" w:eastAsia="仿宋_GB2312" w:cs="Times New Roman"/>
          <w:sz w:val="24"/>
          <w:highlight w:val="none"/>
          <w:lang w:eastAsia="zh-CN"/>
        </w:rPr>
      </w:pPr>
    </w:p>
    <w:p w14:paraId="60838F41">
      <w:pPr>
        <w:pStyle w:val="15"/>
        <w:tabs>
          <w:tab w:val="left" w:pos="5580"/>
        </w:tabs>
        <w:spacing w:line="240" w:lineRule="atLeast"/>
        <w:ind w:left="1077" w:leftChars="513" w:firstLine="181" w:firstLineChars="0"/>
        <w:rPr>
          <w:rFonts w:hint="eastAsia" w:ascii="仿宋_GB2312" w:hAnsi="宋体" w:eastAsia="仿宋_GB2312" w:cs="Times New Roman"/>
          <w:sz w:val="24"/>
          <w:highlight w:val="none"/>
          <w:lang w:eastAsia="zh-CN"/>
        </w:rPr>
      </w:pPr>
    </w:p>
    <w:p w14:paraId="232BB17B">
      <w:pPr>
        <w:pStyle w:val="15"/>
        <w:tabs>
          <w:tab w:val="left" w:pos="5580"/>
        </w:tabs>
        <w:spacing w:line="240" w:lineRule="atLeast"/>
        <w:ind w:left="1077" w:leftChars="513" w:firstLine="181" w:firstLineChars="0"/>
        <w:rPr>
          <w:rFonts w:hint="default" w:ascii="仿宋_GB2312" w:hAnsi="宋体" w:eastAsia="仿宋_GB2312" w:cs="Times New Roman"/>
          <w:sz w:val="24"/>
          <w:highlight w:val="none"/>
          <w:lang w:val="en-US" w:eastAsia="zh-CN"/>
        </w:rPr>
        <w:sectPr>
          <w:pgSz w:w="11906" w:h="16838"/>
          <w:pgMar w:top="1440" w:right="1797" w:bottom="1440" w:left="1797" w:header="851" w:footer="992" w:gutter="0"/>
          <w:pgNumType w:fmt="decimal"/>
          <w:cols w:space="720" w:num="1"/>
          <w:docGrid w:type="linesAndChars" w:linePitch="312" w:charSpace="0"/>
        </w:sectPr>
      </w:pPr>
    </w:p>
    <w:p w14:paraId="666C9F0D">
      <w:pPr>
        <w:pStyle w:val="3"/>
        <w:spacing w:before="0" w:line="240" w:lineRule="atLeast"/>
        <w:ind w:left="1079" w:leftChars="257" w:hanging="540"/>
        <w:jc w:val="center"/>
        <w:rPr>
          <w:rFonts w:hint="eastAsia" w:ascii="仿宋_GB2312" w:hAnsi="宋体" w:eastAsia="仿宋_GB2312" w:cs="Times New Roman"/>
          <w:b w:val="0"/>
          <w:kern w:val="2"/>
          <w:sz w:val="24"/>
          <w:szCs w:val="20"/>
          <w:highlight w:val="none"/>
          <w:lang w:val="en-US" w:eastAsia="zh-CN" w:bidi="ar-SA"/>
        </w:rPr>
      </w:pPr>
    </w:p>
    <w:p w14:paraId="5542C432">
      <w:pPr>
        <w:pStyle w:val="3"/>
        <w:spacing w:before="0" w:line="240" w:lineRule="atLeast"/>
        <w:ind w:left="1079" w:leftChars="257" w:hanging="540"/>
        <w:jc w:val="center"/>
        <w:rPr>
          <w:rFonts w:hint="eastAsia" w:ascii="仿宋_GB2312" w:hAnsi="宋体" w:eastAsia="仿宋_GB2312"/>
          <w:sz w:val="24"/>
          <w:highlight w:val="none"/>
        </w:rPr>
      </w:pPr>
      <w:bookmarkStart w:id="233" w:name="_Toc32022"/>
      <w:r>
        <w:rPr>
          <w:rFonts w:ascii="仿宋_GB2312" w:hAnsi="宋体" w:eastAsia="仿宋_GB2312"/>
          <w:sz w:val="24"/>
          <w:highlight w:val="none"/>
        </w:rPr>
        <w:t>第</w:t>
      </w:r>
      <w:r>
        <w:rPr>
          <w:rFonts w:hint="eastAsia" w:ascii="仿宋_GB2312" w:hAnsi="宋体" w:eastAsia="仿宋_GB2312"/>
          <w:sz w:val="24"/>
          <w:highlight w:val="none"/>
        </w:rPr>
        <w:t>二</w:t>
      </w:r>
      <w:r>
        <w:rPr>
          <w:rFonts w:ascii="仿宋_GB2312" w:hAnsi="宋体" w:eastAsia="仿宋_GB2312"/>
          <w:sz w:val="24"/>
          <w:highlight w:val="none"/>
        </w:rPr>
        <w:t>部分</w:t>
      </w:r>
      <w:r>
        <w:rPr>
          <w:rFonts w:hint="eastAsia" w:ascii="仿宋_GB2312" w:hAnsi="宋体" w:eastAsia="仿宋_GB2312"/>
          <w:sz w:val="24"/>
          <w:highlight w:val="none"/>
        </w:rPr>
        <w:t>商务及</w:t>
      </w:r>
      <w:r>
        <w:rPr>
          <w:rFonts w:ascii="仿宋_GB2312" w:hAnsi="宋体" w:eastAsia="仿宋_GB2312"/>
          <w:sz w:val="24"/>
          <w:highlight w:val="none"/>
        </w:rPr>
        <w:t>技术</w:t>
      </w:r>
      <w:r>
        <w:rPr>
          <w:rFonts w:hint="eastAsia" w:ascii="仿宋_GB2312" w:hAnsi="宋体" w:eastAsia="仿宋_GB2312"/>
          <w:sz w:val="24"/>
          <w:highlight w:val="none"/>
        </w:rPr>
        <w:t>文件</w:t>
      </w:r>
      <w:bookmarkEnd w:id="224"/>
      <w:bookmarkEnd w:id="225"/>
      <w:bookmarkEnd w:id="226"/>
      <w:bookmarkEnd w:id="233"/>
    </w:p>
    <w:p w14:paraId="444D0E8B">
      <w:pPr>
        <w:pStyle w:val="15"/>
        <w:ind w:left="1079" w:leftChars="257" w:hanging="540"/>
        <w:rPr>
          <w:rFonts w:hint="eastAsia" w:ascii="仿宋_GB2312" w:hAnsi="宋体" w:eastAsia="仿宋_GB2312"/>
          <w:sz w:val="24"/>
          <w:highlight w:val="none"/>
        </w:rPr>
      </w:pPr>
    </w:p>
    <w:p w14:paraId="6795E2D4">
      <w:pPr>
        <w:pStyle w:val="15"/>
        <w:ind w:left="1079" w:leftChars="257" w:hanging="540"/>
        <w:rPr>
          <w:rFonts w:hint="eastAsia" w:ascii="仿宋_GB2312" w:hAnsi="宋体" w:eastAsia="仿宋_GB2312"/>
          <w:sz w:val="24"/>
          <w:highlight w:val="none"/>
        </w:rPr>
      </w:pPr>
    </w:p>
    <w:p w14:paraId="16260A80">
      <w:pPr>
        <w:pStyle w:val="15"/>
        <w:ind w:left="1079" w:leftChars="257" w:hanging="540"/>
        <w:rPr>
          <w:rFonts w:hint="eastAsia" w:ascii="仿宋_GB2312" w:hAnsi="宋体" w:eastAsia="仿宋_GB2312"/>
          <w:sz w:val="24"/>
          <w:highlight w:val="none"/>
        </w:rPr>
      </w:pPr>
      <w:r>
        <w:rPr>
          <w:rFonts w:hint="eastAsia" w:ascii="仿宋_GB2312" w:hAnsi="宋体" w:eastAsia="仿宋_GB2312"/>
          <w:sz w:val="24"/>
          <w:highlight w:val="none"/>
        </w:rPr>
        <w:t>1、投标书（</w:t>
      </w:r>
      <w:r>
        <w:rPr>
          <w:rFonts w:ascii="仿宋_GB2312" w:hAnsi="宋体" w:eastAsia="仿宋_GB2312"/>
          <w:sz w:val="24"/>
          <w:highlight w:val="none"/>
        </w:rPr>
        <w:t>投标文件</w:t>
      </w:r>
      <w:r>
        <w:rPr>
          <w:rFonts w:hint="eastAsia" w:ascii="仿宋_GB2312" w:hAnsi="宋体" w:eastAsia="仿宋_GB2312"/>
          <w:sz w:val="24"/>
          <w:highlight w:val="none"/>
        </w:rPr>
        <w:t>格式五）</w:t>
      </w:r>
    </w:p>
    <w:p w14:paraId="72048A00">
      <w:pPr>
        <w:pStyle w:val="15"/>
        <w:ind w:left="1079" w:leftChars="257" w:hanging="540"/>
        <w:rPr>
          <w:rFonts w:hint="eastAsia" w:ascii="仿宋_GB2312" w:hAnsi="宋体" w:eastAsia="仿宋_GB2312"/>
          <w:sz w:val="24"/>
          <w:highlight w:val="none"/>
        </w:rPr>
      </w:pPr>
      <w:r>
        <w:rPr>
          <w:rFonts w:hint="eastAsia" w:ascii="仿宋_GB2312" w:hAnsi="宋体" w:eastAsia="仿宋_GB2312"/>
          <w:sz w:val="24"/>
          <w:highlight w:val="none"/>
          <w:lang w:val="en-US" w:eastAsia="zh-CN"/>
        </w:rPr>
        <w:t>2</w:t>
      </w:r>
      <w:r>
        <w:rPr>
          <w:rFonts w:hint="eastAsia" w:ascii="仿宋_GB2312" w:hAnsi="宋体" w:eastAsia="仿宋_GB2312"/>
          <w:sz w:val="24"/>
          <w:highlight w:val="none"/>
        </w:rPr>
        <w:t>、投标分项报价表（</w:t>
      </w:r>
      <w:r>
        <w:rPr>
          <w:rFonts w:ascii="仿宋_GB2312" w:hAnsi="宋体" w:eastAsia="仿宋_GB2312"/>
          <w:sz w:val="24"/>
          <w:highlight w:val="none"/>
        </w:rPr>
        <w:t>投标文件</w:t>
      </w:r>
      <w:r>
        <w:rPr>
          <w:rFonts w:hint="eastAsia" w:ascii="仿宋_GB2312" w:hAnsi="宋体" w:eastAsia="仿宋_GB2312"/>
          <w:sz w:val="24"/>
          <w:highlight w:val="none"/>
        </w:rPr>
        <w:t>格式七）</w:t>
      </w:r>
    </w:p>
    <w:p w14:paraId="5225C1DD">
      <w:pPr>
        <w:pStyle w:val="15"/>
        <w:ind w:left="1079" w:leftChars="257" w:hanging="540"/>
        <w:rPr>
          <w:rFonts w:hint="eastAsia" w:ascii="仿宋_GB2312" w:hAnsi="宋体" w:eastAsia="仿宋_GB2312"/>
          <w:sz w:val="24"/>
          <w:highlight w:val="none"/>
        </w:rPr>
      </w:pPr>
      <w:r>
        <w:rPr>
          <w:rFonts w:hint="eastAsia" w:ascii="仿宋_GB2312" w:hAnsi="宋体" w:eastAsia="仿宋_GB2312"/>
          <w:sz w:val="24"/>
          <w:highlight w:val="none"/>
          <w:lang w:val="en-US" w:eastAsia="zh-CN"/>
        </w:rPr>
        <w:t>3</w:t>
      </w:r>
      <w:r>
        <w:rPr>
          <w:rFonts w:hint="eastAsia" w:ascii="仿宋_GB2312" w:hAnsi="宋体" w:eastAsia="仿宋_GB2312"/>
          <w:sz w:val="24"/>
          <w:highlight w:val="none"/>
        </w:rPr>
        <w:t>、货物说明一览表（</w:t>
      </w:r>
      <w:r>
        <w:rPr>
          <w:rFonts w:ascii="仿宋_GB2312" w:hAnsi="宋体" w:eastAsia="仿宋_GB2312"/>
          <w:sz w:val="24"/>
          <w:highlight w:val="none"/>
        </w:rPr>
        <w:t>投标文件</w:t>
      </w:r>
      <w:r>
        <w:rPr>
          <w:rFonts w:hint="eastAsia" w:ascii="仿宋_GB2312" w:hAnsi="宋体" w:eastAsia="仿宋_GB2312"/>
          <w:sz w:val="24"/>
          <w:highlight w:val="none"/>
        </w:rPr>
        <w:t>格式八）</w:t>
      </w:r>
    </w:p>
    <w:p w14:paraId="47275CD1">
      <w:pPr>
        <w:pStyle w:val="15"/>
        <w:ind w:left="1079" w:leftChars="257" w:hanging="540"/>
        <w:rPr>
          <w:rFonts w:hint="eastAsia" w:ascii="仿宋_GB2312" w:hAnsi="宋体" w:eastAsia="仿宋_GB2312"/>
          <w:sz w:val="24"/>
          <w:highlight w:val="none"/>
        </w:rPr>
      </w:pPr>
      <w:r>
        <w:rPr>
          <w:rFonts w:hint="eastAsia" w:ascii="仿宋_GB2312" w:hAnsi="宋体" w:eastAsia="仿宋_GB2312"/>
          <w:sz w:val="24"/>
          <w:highlight w:val="none"/>
          <w:lang w:val="en-US" w:eastAsia="zh-CN"/>
        </w:rPr>
        <w:t>4</w:t>
      </w:r>
      <w:r>
        <w:rPr>
          <w:rFonts w:hint="eastAsia" w:ascii="仿宋_GB2312" w:hAnsi="宋体" w:eastAsia="仿宋_GB2312"/>
          <w:sz w:val="24"/>
          <w:highlight w:val="none"/>
        </w:rPr>
        <w:t>技术规格偏离表（投标文件格式九）</w:t>
      </w:r>
    </w:p>
    <w:p w14:paraId="6536CF40">
      <w:pPr>
        <w:pStyle w:val="15"/>
        <w:ind w:left="1079" w:leftChars="257" w:hanging="540"/>
        <w:rPr>
          <w:rFonts w:ascii="仿宋_GB2312" w:hAnsi="宋体" w:eastAsia="仿宋_GB2312"/>
          <w:sz w:val="24"/>
          <w:highlight w:val="none"/>
        </w:rPr>
      </w:pPr>
      <w:r>
        <w:rPr>
          <w:rFonts w:hint="eastAsia" w:ascii="仿宋_GB2312" w:hAnsi="宋体" w:eastAsia="仿宋_GB2312"/>
          <w:sz w:val="24"/>
          <w:highlight w:val="none"/>
          <w:lang w:val="en-US" w:eastAsia="zh-CN"/>
        </w:rPr>
        <w:t>5</w:t>
      </w:r>
      <w:r>
        <w:rPr>
          <w:rFonts w:hint="eastAsia" w:ascii="仿宋_GB2312" w:hAnsi="宋体" w:eastAsia="仿宋_GB2312"/>
          <w:sz w:val="24"/>
          <w:highlight w:val="none"/>
        </w:rPr>
        <w:t>、商务条款偏离表（</w:t>
      </w:r>
      <w:r>
        <w:rPr>
          <w:rFonts w:ascii="仿宋_GB2312" w:hAnsi="宋体" w:eastAsia="仿宋_GB2312"/>
          <w:sz w:val="24"/>
          <w:highlight w:val="none"/>
        </w:rPr>
        <w:t>投标文件</w:t>
      </w:r>
      <w:r>
        <w:rPr>
          <w:rFonts w:hint="eastAsia" w:ascii="仿宋_GB2312" w:hAnsi="宋体" w:eastAsia="仿宋_GB2312"/>
          <w:sz w:val="24"/>
          <w:highlight w:val="none"/>
        </w:rPr>
        <w:t>格式十）</w:t>
      </w:r>
    </w:p>
    <w:p w14:paraId="5AAB6C8C">
      <w:pPr>
        <w:pStyle w:val="15"/>
        <w:ind w:left="310" w:leftChars="148" w:firstLine="228"/>
        <w:rPr>
          <w:rFonts w:ascii="仿宋_GB2312" w:hAnsi="宋体" w:eastAsia="仿宋_GB2312"/>
          <w:sz w:val="24"/>
          <w:highlight w:val="none"/>
        </w:rPr>
      </w:pPr>
      <w:r>
        <w:rPr>
          <w:rFonts w:hint="eastAsia" w:ascii="仿宋_GB2312" w:hAnsi="宋体" w:eastAsia="仿宋_GB2312"/>
          <w:sz w:val="24"/>
          <w:highlight w:val="none"/>
          <w:lang w:val="en-US" w:eastAsia="zh-CN"/>
        </w:rPr>
        <w:t>6、</w:t>
      </w:r>
      <w:r>
        <w:rPr>
          <w:rFonts w:hint="eastAsia" w:ascii="仿宋_GB2312" w:hAnsi="宋体" w:eastAsia="仿宋_GB2312"/>
          <w:sz w:val="24"/>
          <w:highlight w:val="none"/>
        </w:rPr>
        <w:t>《残疾人福利性单位声明函》（</w:t>
      </w:r>
      <w:r>
        <w:rPr>
          <w:rFonts w:ascii="仿宋_GB2312" w:hAnsi="宋体" w:eastAsia="仿宋_GB2312"/>
          <w:sz w:val="24"/>
          <w:highlight w:val="none"/>
        </w:rPr>
        <w:t>投标文件</w:t>
      </w:r>
      <w:r>
        <w:rPr>
          <w:rFonts w:hint="eastAsia" w:ascii="仿宋_GB2312" w:hAnsi="宋体" w:eastAsia="仿宋_GB2312"/>
          <w:sz w:val="24"/>
          <w:highlight w:val="none"/>
        </w:rPr>
        <w:t>格式十三）</w:t>
      </w:r>
    </w:p>
    <w:p w14:paraId="0CE44B4F">
      <w:pPr>
        <w:pStyle w:val="15"/>
        <w:numPr>
          <w:ilvl w:val="0"/>
          <w:numId w:val="0"/>
        </w:numPr>
        <w:ind w:left="310" w:leftChars="148" w:firstLine="228" w:firstLineChars="0"/>
        <w:rPr>
          <w:rFonts w:ascii="仿宋_GB2312" w:hAnsi="宋体" w:eastAsia="仿宋_GB2312"/>
          <w:sz w:val="24"/>
          <w:highlight w:val="none"/>
        </w:rPr>
      </w:pPr>
      <w:r>
        <w:rPr>
          <w:rFonts w:hint="eastAsia" w:ascii="仿宋_GB2312" w:hAnsi="宋体" w:eastAsia="仿宋_GB2312" w:cs="Times New Roman"/>
          <w:kern w:val="2"/>
          <w:sz w:val="24"/>
          <w:szCs w:val="20"/>
          <w:lang w:val="en-US" w:eastAsia="zh-CN" w:bidi="ar-SA"/>
        </w:rPr>
        <w:t>7</w:t>
      </w:r>
      <w:r>
        <w:rPr>
          <w:rFonts w:ascii="仿宋_GB2312" w:hAnsi="宋体" w:eastAsia="仿宋_GB2312" w:cs="Times New Roman"/>
          <w:kern w:val="2"/>
          <w:sz w:val="24"/>
          <w:szCs w:val="20"/>
          <w:lang w:val="en-US" w:eastAsia="zh-CN" w:bidi="ar-SA"/>
        </w:rPr>
        <w:t>、</w:t>
      </w:r>
      <w:r>
        <w:rPr>
          <w:rFonts w:ascii="仿宋_GB2312" w:hAnsi="宋体" w:eastAsia="仿宋_GB2312"/>
          <w:sz w:val="24"/>
          <w:highlight w:val="none"/>
        </w:rPr>
        <w:t>投标人关联单位的说明（格式</w:t>
      </w:r>
      <w:r>
        <w:rPr>
          <w:rFonts w:hint="eastAsia" w:ascii="仿宋_GB2312" w:hAnsi="宋体" w:eastAsia="仿宋_GB2312"/>
          <w:sz w:val="24"/>
          <w:highlight w:val="none"/>
        </w:rPr>
        <w:t>自拟</w:t>
      </w:r>
      <w:r>
        <w:rPr>
          <w:rFonts w:ascii="仿宋_GB2312" w:hAnsi="宋体" w:eastAsia="仿宋_GB2312"/>
          <w:sz w:val="24"/>
          <w:highlight w:val="none"/>
        </w:rPr>
        <w:t>）</w:t>
      </w:r>
    </w:p>
    <w:p w14:paraId="551021DF">
      <w:pPr>
        <w:pStyle w:val="15"/>
        <w:numPr>
          <w:ilvl w:val="0"/>
          <w:numId w:val="0"/>
        </w:numPr>
        <w:ind w:left="310" w:leftChars="148" w:firstLine="228" w:firstLineChars="0"/>
        <w:rPr>
          <w:rFonts w:ascii="仿宋_GB2312" w:hAnsi="宋体" w:eastAsia="仿宋_GB2312"/>
          <w:sz w:val="24"/>
          <w:highlight w:val="none"/>
        </w:rPr>
      </w:pPr>
      <w:r>
        <w:rPr>
          <w:rFonts w:hint="eastAsia" w:ascii="仿宋_GB2312" w:hAnsi="宋体" w:eastAsia="仿宋_GB2312" w:cs="Times New Roman"/>
          <w:kern w:val="2"/>
          <w:sz w:val="24"/>
          <w:szCs w:val="20"/>
          <w:lang w:val="en-US" w:eastAsia="zh-CN" w:bidi="ar-SA"/>
        </w:rPr>
        <w:t>8</w:t>
      </w:r>
      <w:r>
        <w:rPr>
          <w:rFonts w:ascii="仿宋_GB2312" w:hAnsi="宋体" w:eastAsia="仿宋_GB2312" w:cs="Times New Roman"/>
          <w:kern w:val="2"/>
          <w:sz w:val="24"/>
          <w:szCs w:val="20"/>
          <w:lang w:val="en-US" w:eastAsia="zh-CN" w:bidi="ar-SA"/>
        </w:rPr>
        <w:t>、</w:t>
      </w:r>
      <w:r>
        <w:rPr>
          <w:rFonts w:hint="eastAsia" w:ascii="仿宋_GB2312" w:hAnsi="宋体" w:eastAsia="仿宋_GB2312"/>
          <w:sz w:val="24"/>
          <w:highlight w:val="none"/>
          <w:lang w:val="en-US" w:eastAsia="zh-CN"/>
        </w:rPr>
        <w:t>人员信息一览表</w:t>
      </w:r>
    </w:p>
    <w:p w14:paraId="0E1F7702">
      <w:pPr>
        <w:pStyle w:val="15"/>
        <w:tabs>
          <w:tab w:val="left" w:pos="5580"/>
        </w:tabs>
        <w:spacing w:line="240" w:lineRule="atLeast"/>
        <w:ind w:left="560" w:leftChars="267"/>
        <w:rPr>
          <w:rFonts w:hint="eastAsia" w:ascii="仿宋_GB2312" w:hAnsi="宋体" w:eastAsia="仿宋_GB2312"/>
          <w:sz w:val="24"/>
          <w:highlight w:val="none"/>
        </w:rPr>
      </w:pPr>
      <w:r>
        <w:rPr>
          <w:rFonts w:hint="eastAsia" w:ascii="仿宋_GB2312" w:hAnsi="宋体" w:eastAsia="仿宋_GB2312"/>
          <w:sz w:val="24"/>
          <w:highlight w:val="none"/>
          <w:lang w:val="en-US" w:eastAsia="zh-CN"/>
        </w:rPr>
        <w:t>9、</w:t>
      </w:r>
      <w:r>
        <w:rPr>
          <w:rFonts w:hint="eastAsia" w:ascii="仿宋_GB2312" w:hAnsi="宋体" w:eastAsia="仿宋_GB2312"/>
          <w:sz w:val="24"/>
          <w:highlight w:val="none"/>
        </w:rPr>
        <w:t>投标文件还应包括投标人须</w:t>
      </w:r>
      <w:r>
        <w:rPr>
          <w:rFonts w:hint="eastAsia" w:ascii="仿宋_GB2312" w:hAnsi="宋体" w:eastAsia="仿宋_GB2312"/>
          <w:sz w:val="24"/>
          <w:highlight w:val="none"/>
          <w:lang w:eastAsia="zh-CN"/>
        </w:rPr>
        <w:t>知表里</w:t>
      </w:r>
      <w:r>
        <w:rPr>
          <w:rFonts w:hint="eastAsia" w:ascii="仿宋_GB2312" w:hAnsi="宋体" w:eastAsia="仿宋_GB2312"/>
          <w:sz w:val="24"/>
          <w:highlight w:val="none"/>
        </w:rPr>
        <w:t>的所有技术文件</w:t>
      </w:r>
    </w:p>
    <w:p w14:paraId="43F79D6C">
      <w:pPr>
        <w:pStyle w:val="15"/>
        <w:tabs>
          <w:tab w:val="left" w:pos="5580"/>
        </w:tabs>
        <w:spacing w:line="240" w:lineRule="atLeast"/>
        <w:ind w:left="560" w:leftChars="267"/>
        <w:rPr>
          <w:rFonts w:hint="eastAsia" w:ascii="仿宋_GB2312" w:hAnsi="宋体" w:eastAsia="仿宋_GB2312"/>
          <w:sz w:val="24"/>
          <w:highlight w:val="none"/>
        </w:rPr>
      </w:pPr>
      <w:r>
        <w:rPr>
          <w:rFonts w:ascii="仿宋_GB2312" w:hAnsi="宋体" w:eastAsia="仿宋_GB2312"/>
          <w:sz w:val="24"/>
          <w:highlight w:val="none"/>
        </w:rPr>
        <w:br w:type="page"/>
      </w:r>
    </w:p>
    <w:p w14:paraId="471CEFE6">
      <w:pPr>
        <w:pStyle w:val="3"/>
        <w:spacing w:before="0" w:line="240" w:lineRule="atLeast"/>
        <w:ind w:left="1079" w:leftChars="257" w:hanging="540"/>
        <w:rPr>
          <w:rFonts w:ascii="仿宋_GB2312" w:hAnsi="宋体" w:eastAsia="仿宋_GB2312"/>
          <w:sz w:val="24"/>
          <w:highlight w:val="none"/>
        </w:rPr>
      </w:pPr>
      <w:bookmarkStart w:id="234" w:name="_Toc14915"/>
      <w:bookmarkStart w:id="235" w:name="_Toc16906"/>
      <w:bookmarkStart w:id="236" w:name="_Toc515647817"/>
      <w:bookmarkStart w:id="237" w:name="_Toc4240"/>
      <w:bookmarkStart w:id="238" w:name="_Toc2041"/>
      <w:r>
        <w:rPr>
          <w:rFonts w:hint="eastAsia" w:ascii="仿宋_GB2312" w:hAnsi="宋体" w:eastAsia="仿宋_GB2312"/>
          <w:sz w:val="24"/>
          <w:highlight w:val="none"/>
        </w:rPr>
        <w:t>1</w:t>
      </w:r>
      <w:bookmarkStart w:id="239" w:name="_Hlt520355504"/>
      <w:bookmarkEnd w:id="239"/>
      <w:r>
        <w:rPr>
          <w:rFonts w:hint="eastAsia" w:ascii="仿宋_GB2312" w:hAnsi="宋体" w:eastAsia="仿宋_GB2312"/>
          <w:sz w:val="24"/>
          <w:highlight w:val="none"/>
        </w:rPr>
        <w:t>投标</w:t>
      </w:r>
      <w:bookmarkEnd w:id="207"/>
      <w:bookmarkEnd w:id="208"/>
      <w:r>
        <w:rPr>
          <w:rFonts w:hint="eastAsia" w:ascii="仿宋_GB2312" w:hAnsi="宋体" w:eastAsia="仿宋_GB2312"/>
          <w:sz w:val="24"/>
          <w:highlight w:val="none"/>
        </w:rPr>
        <w:t>书</w:t>
      </w:r>
      <w:bookmarkEnd w:id="209"/>
      <w:r>
        <w:rPr>
          <w:rFonts w:hint="eastAsia" w:ascii="仿宋_GB2312" w:hAnsi="宋体" w:eastAsia="仿宋_GB2312"/>
          <w:sz w:val="24"/>
          <w:highlight w:val="none"/>
        </w:rPr>
        <w:t>（</w:t>
      </w:r>
      <w:r>
        <w:rPr>
          <w:rFonts w:ascii="仿宋_GB2312" w:hAnsi="宋体" w:eastAsia="仿宋_GB2312"/>
          <w:sz w:val="24"/>
          <w:highlight w:val="none"/>
        </w:rPr>
        <w:t>投标文件</w:t>
      </w:r>
      <w:r>
        <w:rPr>
          <w:rFonts w:hint="eastAsia" w:ascii="仿宋_GB2312" w:hAnsi="宋体" w:eastAsia="仿宋_GB2312"/>
          <w:sz w:val="24"/>
          <w:highlight w:val="none"/>
        </w:rPr>
        <w:t>格式五）</w:t>
      </w:r>
      <w:bookmarkEnd w:id="210"/>
      <w:bookmarkEnd w:id="234"/>
      <w:bookmarkEnd w:id="235"/>
      <w:bookmarkEnd w:id="236"/>
      <w:bookmarkEnd w:id="237"/>
      <w:bookmarkEnd w:id="238"/>
    </w:p>
    <w:p w14:paraId="6D9C22CA">
      <w:pPr>
        <w:tabs>
          <w:tab w:val="left" w:pos="5580"/>
        </w:tabs>
        <w:spacing w:line="240" w:lineRule="atLeast"/>
        <w:ind w:left="1079" w:leftChars="257" w:hanging="540"/>
        <w:rPr>
          <w:rFonts w:hint="eastAsia" w:ascii="仿宋_GB2312" w:hAnsi="宋体" w:eastAsia="仿宋_GB2312"/>
          <w:sz w:val="24"/>
          <w:highlight w:val="none"/>
        </w:rPr>
      </w:pPr>
    </w:p>
    <w:p w14:paraId="113FE392">
      <w:pPr>
        <w:tabs>
          <w:tab w:val="left" w:pos="5580"/>
        </w:tabs>
        <w:spacing w:line="240" w:lineRule="atLeast"/>
        <w:ind w:left="1080" w:hanging="1080"/>
        <w:rPr>
          <w:rFonts w:ascii="仿宋_GB2312" w:hAnsi="宋体" w:eastAsia="仿宋_GB2312"/>
          <w:sz w:val="24"/>
          <w:highlight w:val="none"/>
        </w:rPr>
      </w:pPr>
      <w:r>
        <w:rPr>
          <w:rFonts w:hint="eastAsia" w:ascii="仿宋_GB2312" w:hAnsi="宋体" w:eastAsia="仿宋_GB2312"/>
          <w:sz w:val="24"/>
          <w:highlight w:val="none"/>
        </w:rPr>
        <w:t>致：</w:t>
      </w:r>
      <w:r>
        <w:rPr>
          <w:rFonts w:hint="eastAsia" w:ascii="仿宋_GB2312" w:hAnsi="宋体" w:eastAsia="仿宋_GB2312"/>
          <w:sz w:val="24"/>
          <w:highlight w:val="none"/>
          <w:u w:val="single"/>
        </w:rPr>
        <w:t>采购代理机构</w:t>
      </w:r>
    </w:p>
    <w:p w14:paraId="7EC913F5">
      <w:pPr>
        <w:pStyle w:val="15"/>
        <w:tabs>
          <w:tab w:val="left" w:pos="5580"/>
        </w:tabs>
        <w:spacing w:line="240" w:lineRule="atLeast"/>
        <w:ind w:left="1079" w:leftChars="257" w:hanging="540"/>
        <w:rPr>
          <w:rFonts w:hint="eastAsia" w:ascii="仿宋_GB2312" w:hAnsi="宋体" w:eastAsia="仿宋_GB2312"/>
          <w:sz w:val="24"/>
          <w:highlight w:val="none"/>
        </w:rPr>
      </w:pPr>
    </w:p>
    <w:p w14:paraId="7A655583">
      <w:pPr>
        <w:pStyle w:val="15"/>
        <w:tabs>
          <w:tab w:val="left" w:pos="5580"/>
        </w:tabs>
        <w:spacing w:line="240" w:lineRule="atLeast"/>
        <w:ind w:left="2" w:leftChars="1" w:firstLine="480" w:firstLineChars="200"/>
        <w:rPr>
          <w:rFonts w:hint="eastAsia" w:ascii="仿宋_GB2312" w:hAnsi="宋体" w:eastAsia="仿宋_GB2312"/>
          <w:sz w:val="24"/>
          <w:highlight w:val="none"/>
        </w:rPr>
      </w:pPr>
      <w:r>
        <w:rPr>
          <w:rFonts w:hint="eastAsia" w:ascii="仿宋_GB2312" w:hAnsi="宋体" w:eastAsia="仿宋_GB2312"/>
          <w:sz w:val="24"/>
          <w:highlight w:val="none"/>
        </w:rPr>
        <w:t>根据贵方（采购项目名称)项目的投标邀请(</w:t>
      </w:r>
      <w:r>
        <w:rPr>
          <w:rFonts w:hint="eastAsia" w:ascii="仿宋_GB2312" w:hAnsi="宋体" w:eastAsia="仿宋_GB2312"/>
          <w:sz w:val="24"/>
          <w:highlight w:val="none"/>
          <w:u w:val="single"/>
        </w:rPr>
        <w:t>招标编号</w:t>
      </w:r>
      <w:r>
        <w:rPr>
          <w:rFonts w:hint="eastAsia" w:ascii="仿宋_GB2312" w:hAnsi="宋体" w:eastAsia="仿宋_GB2312"/>
          <w:sz w:val="24"/>
          <w:highlight w:val="none"/>
        </w:rPr>
        <w:t>),签字代表(</w:t>
      </w:r>
      <w:r>
        <w:rPr>
          <w:rFonts w:hint="eastAsia" w:ascii="仿宋_GB2312" w:hAnsi="宋体" w:eastAsia="仿宋_GB2312"/>
          <w:sz w:val="24"/>
          <w:highlight w:val="none"/>
          <w:u w:val="single"/>
        </w:rPr>
        <w:t>姓名、职务)</w:t>
      </w:r>
      <w:r>
        <w:rPr>
          <w:rFonts w:hint="eastAsia" w:ascii="仿宋_GB2312" w:hAnsi="宋体" w:eastAsia="仿宋_GB2312"/>
          <w:sz w:val="24"/>
          <w:highlight w:val="none"/>
        </w:rPr>
        <w:t>经正式授权并代表投标人（</w:t>
      </w:r>
      <w:r>
        <w:rPr>
          <w:rFonts w:hint="eastAsia" w:ascii="仿宋_GB2312" w:hAnsi="宋体" w:eastAsia="仿宋_GB2312"/>
          <w:sz w:val="24"/>
          <w:highlight w:val="none"/>
          <w:u w:val="single"/>
        </w:rPr>
        <w:t>名称、地址</w:t>
      </w:r>
      <w:r>
        <w:rPr>
          <w:rFonts w:hint="eastAsia" w:ascii="仿宋_GB2312" w:hAnsi="宋体" w:eastAsia="仿宋_GB2312"/>
          <w:sz w:val="24"/>
          <w:highlight w:val="none"/>
        </w:rPr>
        <w:t>）</w:t>
      </w:r>
      <w:r>
        <w:rPr>
          <w:rFonts w:hint="eastAsia" w:ascii="仿宋_GB2312" w:hAnsi="宋体" w:eastAsia="仿宋_GB2312"/>
          <w:sz w:val="24"/>
          <w:highlight w:val="none"/>
          <w:lang w:eastAsia="zh-CN"/>
        </w:rPr>
        <w:t>，</w:t>
      </w:r>
      <w:r>
        <w:rPr>
          <w:rFonts w:hint="eastAsia" w:ascii="仿宋_GB2312" w:hAnsi="宋体" w:eastAsia="仿宋_GB2312"/>
          <w:sz w:val="24"/>
          <w:highlight w:val="none"/>
        </w:rPr>
        <w:t>并出具的金额为人民币</w:t>
      </w:r>
    </w:p>
    <w:p w14:paraId="545437AD">
      <w:pPr>
        <w:pStyle w:val="15"/>
        <w:tabs>
          <w:tab w:val="left" w:pos="5580"/>
        </w:tabs>
        <w:spacing w:line="240" w:lineRule="atLeast"/>
        <w:rPr>
          <w:rFonts w:hint="eastAsia" w:ascii="仿宋_GB2312" w:hAnsi="宋体" w:eastAsia="仿宋_GB2312"/>
          <w:sz w:val="24"/>
          <w:highlight w:val="none"/>
        </w:rPr>
      </w:pPr>
      <w:r>
        <w:rPr>
          <w:rFonts w:hint="eastAsia" w:ascii="仿宋_GB2312" w:hAnsi="宋体" w:eastAsia="仿宋_GB2312"/>
          <w:sz w:val="24"/>
          <w:highlight w:val="none"/>
          <w:u w:val="single"/>
        </w:rPr>
        <w:t>　　</w:t>
      </w:r>
      <w:r>
        <w:rPr>
          <w:rFonts w:hint="eastAsia" w:ascii="仿宋_GB2312" w:hAnsi="宋体" w:eastAsia="仿宋_GB2312"/>
          <w:sz w:val="24"/>
          <w:highlight w:val="none"/>
        </w:rPr>
        <w:t>元的投标保证金。</w:t>
      </w:r>
    </w:p>
    <w:p w14:paraId="7B216951">
      <w:pPr>
        <w:pStyle w:val="15"/>
        <w:tabs>
          <w:tab w:val="left" w:pos="5580"/>
        </w:tabs>
        <w:spacing w:line="240" w:lineRule="atLeast"/>
        <w:ind w:left="1079" w:leftChars="257" w:hanging="540"/>
        <w:rPr>
          <w:rFonts w:hint="eastAsia" w:ascii="仿宋_GB2312" w:hAnsi="宋体" w:eastAsia="仿宋_GB2312"/>
          <w:sz w:val="24"/>
          <w:highlight w:val="none"/>
        </w:rPr>
      </w:pPr>
      <w:r>
        <w:rPr>
          <w:rFonts w:hint="eastAsia" w:ascii="仿宋_GB2312" w:hAnsi="宋体" w:eastAsia="仿宋_GB2312"/>
          <w:sz w:val="24"/>
          <w:highlight w:val="none"/>
        </w:rPr>
        <w:t>据此，签字代表宣布如下：</w:t>
      </w:r>
    </w:p>
    <w:p w14:paraId="1CF658B6">
      <w:pPr>
        <w:pStyle w:val="15"/>
        <w:tabs>
          <w:tab w:val="left" w:pos="720"/>
          <w:tab w:val="left" w:pos="900"/>
        </w:tabs>
        <w:spacing w:line="240" w:lineRule="atLeast"/>
        <w:ind w:left="768" w:leftChars="257" w:hanging="229"/>
        <w:rPr>
          <w:rFonts w:hint="eastAsia" w:ascii="仿宋_GB2312" w:hAnsi="宋体" w:eastAsia="仿宋_GB2312"/>
          <w:sz w:val="24"/>
          <w:highlight w:val="none"/>
        </w:rPr>
      </w:pPr>
      <w:r>
        <w:rPr>
          <w:rFonts w:hint="eastAsia" w:ascii="仿宋_GB2312" w:hAnsi="宋体" w:eastAsia="仿宋_GB2312"/>
          <w:sz w:val="24"/>
          <w:highlight w:val="none"/>
        </w:rPr>
        <w:t>（1）附投标书报价中规定的投标总价详见开标一</w:t>
      </w:r>
      <w:r>
        <w:rPr>
          <w:rFonts w:ascii="仿宋_GB2312" w:hAnsi="宋体" w:eastAsia="仿宋_GB2312"/>
          <w:sz w:val="24"/>
          <w:highlight w:val="none"/>
        </w:rPr>
        <w:t>览表，</w:t>
      </w:r>
      <w:r>
        <w:rPr>
          <w:rFonts w:hint="eastAsia" w:ascii="仿宋_GB2312" w:hAnsi="宋体" w:eastAsia="仿宋_GB2312"/>
          <w:sz w:val="24"/>
          <w:highlight w:val="none"/>
          <w:u w:val="single"/>
        </w:rPr>
        <w:t>其中由</w:t>
      </w:r>
      <w:r>
        <w:rPr>
          <w:rFonts w:ascii="仿宋_GB2312" w:hAnsi="宋体" w:eastAsia="仿宋_GB2312"/>
          <w:sz w:val="24"/>
          <w:highlight w:val="none"/>
          <w:u w:val="single"/>
        </w:rPr>
        <w:t>小型和</w:t>
      </w:r>
      <w:r>
        <w:rPr>
          <w:rFonts w:ascii="仿宋_GB2312" w:hAnsi="宋体" w:eastAsia="仿宋_GB2312"/>
          <w:sz w:val="24"/>
          <w:highlight w:val="none"/>
        </w:rPr>
        <w:t>微型企业</w:t>
      </w:r>
      <w:r>
        <w:rPr>
          <w:rFonts w:hint="eastAsia" w:ascii="仿宋_GB2312" w:hAnsi="宋体" w:eastAsia="仿宋_GB2312"/>
          <w:sz w:val="24"/>
          <w:highlight w:val="none"/>
        </w:rPr>
        <w:t>制造</w:t>
      </w:r>
      <w:r>
        <w:rPr>
          <w:rFonts w:ascii="仿宋_GB2312" w:hAnsi="宋体" w:eastAsia="仿宋_GB2312"/>
          <w:sz w:val="24"/>
          <w:highlight w:val="none"/>
        </w:rPr>
        <w:t>产品的价格</w:t>
      </w:r>
      <w:r>
        <w:rPr>
          <w:rFonts w:hint="eastAsia" w:ascii="仿宋_GB2312" w:hAnsi="宋体" w:eastAsia="仿宋_GB2312"/>
          <w:sz w:val="24"/>
          <w:highlight w:val="none"/>
        </w:rPr>
        <w:t>为</w:t>
      </w:r>
      <w:r>
        <w:rPr>
          <w:rFonts w:hint="eastAsia" w:ascii="仿宋_GB2312" w:hAnsi="宋体" w:eastAsia="仿宋_GB2312"/>
          <w:sz w:val="24"/>
          <w:highlight w:val="none"/>
          <w:u w:val="single"/>
        </w:rPr>
        <w:t>　　（用文字和数字表示），占投标价的‥</w:t>
      </w:r>
      <w:r>
        <w:rPr>
          <w:rFonts w:hint="eastAsia" w:ascii="仿宋_GB2312" w:hAnsi="宋体" w:eastAsia="仿宋_GB2312"/>
          <w:sz w:val="24"/>
          <w:highlight w:val="none"/>
        </w:rPr>
        <w:t>%</w:t>
      </w:r>
    </w:p>
    <w:p w14:paraId="3204E0E4">
      <w:pPr>
        <w:pStyle w:val="15"/>
        <w:tabs>
          <w:tab w:val="left" w:pos="720"/>
          <w:tab w:val="left" w:pos="900"/>
        </w:tabs>
        <w:spacing w:line="240" w:lineRule="atLeast"/>
        <w:ind w:left="768" w:leftChars="257" w:hanging="229"/>
        <w:rPr>
          <w:rFonts w:hint="eastAsia" w:ascii="仿宋_GB2312" w:hAnsi="宋体" w:eastAsia="仿宋_GB2312"/>
          <w:sz w:val="24"/>
          <w:highlight w:val="none"/>
          <w:u w:val="single"/>
        </w:rPr>
      </w:pPr>
      <w:r>
        <w:rPr>
          <w:rFonts w:hint="eastAsia" w:ascii="仿宋_GB2312" w:hAnsi="宋体" w:eastAsia="仿宋_GB2312"/>
          <w:sz w:val="24"/>
          <w:highlight w:val="none"/>
        </w:rPr>
        <w:t>（2）本投标有效期为投标标截止之日起个日历日。</w:t>
      </w:r>
    </w:p>
    <w:p w14:paraId="3CED2BD0">
      <w:pPr>
        <w:pStyle w:val="15"/>
        <w:tabs>
          <w:tab w:val="left" w:pos="5580"/>
        </w:tabs>
        <w:spacing w:line="240" w:lineRule="atLeast"/>
        <w:ind w:left="1079" w:leftChars="257" w:hanging="540"/>
        <w:rPr>
          <w:rFonts w:hint="eastAsia" w:ascii="仿宋_GB2312" w:hAnsi="宋体" w:eastAsia="仿宋_GB2312"/>
          <w:sz w:val="24"/>
          <w:highlight w:val="none"/>
        </w:rPr>
      </w:pPr>
      <w:r>
        <w:rPr>
          <w:rFonts w:hint="eastAsia" w:ascii="仿宋_GB2312" w:hAnsi="宋体" w:eastAsia="仿宋_GB2312"/>
          <w:sz w:val="24"/>
          <w:highlight w:val="none"/>
        </w:rPr>
        <w:t>（3）</w:t>
      </w:r>
      <w:r>
        <w:rPr>
          <w:rFonts w:ascii="仿宋_GB2312" w:hAnsi="宋体" w:eastAsia="仿宋_GB2312"/>
          <w:sz w:val="24"/>
          <w:highlight w:val="none"/>
        </w:rPr>
        <w:t>联</w:t>
      </w:r>
      <w:r>
        <w:rPr>
          <w:rFonts w:hint="eastAsia" w:ascii="仿宋_GB2312" w:hAnsi="宋体" w:eastAsia="仿宋_GB2312"/>
          <w:sz w:val="24"/>
          <w:highlight w:val="none"/>
        </w:rPr>
        <w:t>合体中</w:t>
      </w:r>
      <w:r>
        <w:rPr>
          <w:rFonts w:ascii="仿宋_GB2312" w:hAnsi="宋体" w:eastAsia="仿宋_GB2312"/>
          <w:sz w:val="24"/>
          <w:highlight w:val="none"/>
        </w:rPr>
        <w:t>的大中</w:t>
      </w:r>
      <w:r>
        <w:rPr>
          <w:rFonts w:hint="eastAsia" w:ascii="仿宋_GB2312" w:hAnsi="宋体" w:eastAsia="仿宋_GB2312"/>
          <w:sz w:val="24"/>
          <w:highlight w:val="none"/>
        </w:rPr>
        <w:t>型</w:t>
      </w:r>
      <w:r>
        <w:rPr>
          <w:rFonts w:ascii="仿宋_GB2312" w:hAnsi="宋体" w:eastAsia="仿宋_GB2312"/>
          <w:sz w:val="24"/>
          <w:highlight w:val="none"/>
        </w:rPr>
        <w:t>企</w:t>
      </w:r>
      <w:r>
        <w:rPr>
          <w:rFonts w:hint="eastAsia" w:ascii="仿宋_GB2312" w:hAnsi="宋体" w:eastAsia="仿宋_GB2312"/>
          <w:sz w:val="24"/>
          <w:highlight w:val="none"/>
        </w:rPr>
        <w:t>业</w:t>
      </w:r>
      <w:r>
        <w:rPr>
          <w:rFonts w:ascii="仿宋_GB2312" w:hAnsi="宋体" w:eastAsia="仿宋_GB2312"/>
          <w:sz w:val="24"/>
          <w:highlight w:val="none"/>
        </w:rPr>
        <w:t>、法人或者</w:t>
      </w:r>
      <w:r>
        <w:rPr>
          <w:rFonts w:hint="eastAsia" w:ascii="仿宋_GB2312" w:hAnsi="宋体" w:eastAsia="仿宋_GB2312"/>
          <w:sz w:val="24"/>
          <w:highlight w:val="none"/>
        </w:rPr>
        <w:t>非法人组织</w:t>
      </w:r>
      <w:r>
        <w:rPr>
          <w:rFonts w:ascii="仿宋_GB2312" w:hAnsi="宋体" w:eastAsia="仿宋_GB2312"/>
          <w:sz w:val="24"/>
          <w:highlight w:val="none"/>
        </w:rPr>
        <w:t>，与</w:t>
      </w:r>
      <w:r>
        <w:rPr>
          <w:rFonts w:hint="eastAsia" w:ascii="仿宋_GB2312" w:hAnsi="宋体" w:eastAsia="仿宋_GB2312"/>
          <w:sz w:val="24"/>
          <w:highlight w:val="none"/>
        </w:rPr>
        <w:t>联合体中的</w:t>
      </w:r>
      <w:r>
        <w:rPr>
          <w:rFonts w:ascii="仿宋_GB2312" w:hAnsi="宋体" w:eastAsia="仿宋_GB2312"/>
          <w:sz w:val="24"/>
          <w:highlight w:val="none"/>
        </w:rPr>
        <w:t>小型、微型企业之间</w:t>
      </w:r>
      <w:r>
        <w:rPr>
          <w:rFonts w:hint="eastAsia" w:ascii="仿宋_GB2312" w:hAnsi="宋体" w:eastAsia="仿宋_GB2312"/>
          <w:sz w:val="24"/>
          <w:highlight w:val="none"/>
          <w:u w:val="single"/>
        </w:rPr>
        <w:t>（</w:t>
      </w:r>
      <w:r>
        <w:rPr>
          <w:rFonts w:ascii="仿宋_GB2312" w:hAnsi="宋体" w:eastAsia="仿宋_GB2312"/>
          <w:sz w:val="24"/>
          <w:highlight w:val="none"/>
        </w:rPr>
        <w:t>存在</w:t>
      </w:r>
      <w:r>
        <w:rPr>
          <w:rFonts w:hint="eastAsia" w:ascii="仿宋_GB2312" w:hAnsi="宋体" w:eastAsia="仿宋_GB2312"/>
          <w:sz w:val="24"/>
          <w:highlight w:val="none"/>
        </w:rPr>
        <w:t>、不存在）</w:t>
      </w:r>
      <w:r>
        <w:rPr>
          <w:rFonts w:ascii="仿宋_GB2312" w:hAnsi="宋体" w:eastAsia="仿宋_GB2312"/>
          <w:sz w:val="24"/>
          <w:highlight w:val="none"/>
        </w:rPr>
        <w:t>投资关系</w:t>
      </w:r>
      <w:r>
        <w:rPr>
          <w:rFonts w:hint="eastAsia" w:ascii="仿宋_GB2312" w:hAnsi="宋体" w:eastAsia="仿宋_GB2312"/>
          <w:sz w:val="24"/>
          <w:highlight w:val="none"/>
        </w:rPr>
        <w:t>（如果是联合体的话）。</w:t>
      </w:r>
    </w:p>
    <w:p w14:paraId="28DD802D">
      <w:pPr>
        <w:pStyle w:val="15"/>
        <w:tabs>
          <w:tab w:val="left" w:pos="5580"/>
        </w:tabs>
        <w:spacing w:line="240" w:lineRule="atLeast"/>
        <w:ind w:left="1079" w:leftChars="257" w:hanging="540"/>
        <w:rPr>
          <w:rFonts w:hint="eastAsia" w:ascii="仿宋_GB2312" w:hAnsi="宋体" w:eastAsia="仿宋_GB2312"/>
          <w:sz w:val="24"/>
          <w:highlight w:val="none"/>
        </w:rPr>
      </w:pPr>
      <w:r>
        <w:rPr>
          <w:rFonts w:hint="eastAsia" w:ascii="仿宋_GB2312" w:hAnsi="宋体" w:eastAsia="仿宋_GB2312"/>
          <w:sz w:val="24"/>
          <w:highlight w:val="none"/>
        </w:rPr>
        <w:t>（4）已详细审查全部</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，包括所有补充通知（如果有的话），完全理解并同意放弃对这方面有不明、误解和质疑的权力。</w:t>
      </w:r>
    </w:p>
    <w:p w14:paraId="31C68FDA">
      <w:pPr>
        <w:pStyle w:val="15"/>
        <w:tabs>
          <w:tab w:val="left" w:pos="5580"/>
        </w:tabs>
        <w:spacing w:line="240" w:lineRule="atLeast"/>
        <w:ind w:left="1079" w:leftChars="257" w:hanging="540"/>
        <w:rPr>
          <w:rFonts w:hint="eastAsia" w:ascii="仿宋_GB2312" w:hAnsi="宋体" w:eastAsia="仿宋_GB2312"/>
          <w:sz w:val="24"/>
          <w:highlight w:val="none"/>
        </w:rPr>
      </w:pPr>
      <w:r>
        <w:rPr>
          <w:rFonts w:hint="eastAsia" w:ascii="仿宋_GB2312" w:hAnsi="宋体" w:eastAsia="仿宋_GB2312"/>
          <w:sz w:val="24"/>
          <w:highlight w:val="none"/>
        </w:rPr>
        <w:t>（5）在规定的开标时间后，遵守</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中有关保证金的规定。</w:t>
      </w:r>
    </w:p>
    <w:p w14:paraId="785B4E37">
      <w:pPr>
        <w:pStyle w:val="15"/>
        <w:tabs>
          <w:tab w:val="left" w:pos="5580"/>
        </w:tabs>
        <w:spacing w:line="240" w:lineRule="atLeast"/>
        <w:ind w:left="1079" w:leftChars="257" w:hanging="540"/>
        <w:rPr>
          <w:rFonts w:ascii="仿宋_GB2312" w:hAnsi="宋体" w:eastAsia="仿宋_GB2312"/>
          <w:sz w:val="24"/>
          <w:highlight w:val="none"/>
        </w:rPr>
      </w:pPr>
      <w:r>
        <w:rPr>
          <w:rFonts w:hint="eastAsia" w:ascii="仿宋_GB2312" w:hAnsi="宋体" w:eastAsia="仿宋_GB2312"/>
          <w:sz w:val="24"/>
          <w:highlight w:val="none"/>
        </w:rPr>
        <w:t>（6）我方不是</w:t>
      </w:r>
      <w:r>
        <w:rPr>
          <w:rFonts w:ascii="仿宋_GB2312" w:hAnsi="宋体" w:eastAsia="仿宋_GB2312"/>
          <w:sz w:val="24"/>
          <w:highlight w:val="none"/>
        </w:rPr>
        <w:t>为</w:t>
      </w:r>
      <w:r>
        <w:rPr>
          <w:rFonts w:hint="eastAsia" w:ascii="仿宋_GB2312" w:hAnsi="宋体" w:eastAsia="仿宋_GB2312"/>
          <w:sz w:val="24"/>
          <w:highlight w:val="none"/>
        </w:rPr>
        <w:t>本</w:t>
      </w:r>
      <w:r>
        <w:rPr>
          <w:rFonts w:ascii="仿宋_GB2312" w:hAnsi="宋体" w:eastAsia="仿宋_GB2312"/>
          <w:sz w:val="24"/>
          <w:highlight w:val="none"/>
        </w:rPr>
        <w:t>项目提供整体</w:t>
      </w:r>
      <w:r>
        <w:rPr>
          <w:rFonts w:hint="eastAsia" w:ascii="仿宋_GB2312" w:hAnsi="宋体" w:eastAsia="仿宋_GB2312"/>
          <w:sz w:val="24"/>
          <w:highlight w:val="none"/>
        </w:rPr>
        <w:t>设计</w:t>
      </w:r>
      <w:r>
        <w:rPr>
          <w:rFonts w:ascii="仿宋_GB2312" w:hAnsi="宋体" w:eastAsia="仿宋_GB2312"/>
          <w:sz w:val="24"/>
          <w:highlight w:val="none"/>
        </w:rPr>
        <w:t>、规范编制或者项目管理、监理、检测等服务的</w:t>
      </w:r>
      <w:r>
        <w:rPr>
          <w:rFonts w:hint="eastAsia" w:ascii="仿宋_GB2312" w:hAnsi="宋体" w:eastAsia="仿宋_GB2312"/>
          <w:sz w:val="24"/>
          <w:highlight w:val="none"/>
          <w:lang w:eastAsia="zh-CN"/>
        </w:rPr>
        <w:t>投标人</w:t>
      </w:r>
      <w:r>
        <w:rPr>
          <w:rFonts w:hint="eastAsia" w:ascii="仿宋_GB2312" w:hAnsi="宋体" w:eastAsia="仿宋_GB2312"/>
          <w:sz w:val="24"/>
          <w:highlight w:val="none"/>
        </w:rPr>
        <w:t>，我方不是采购代理</w:t>
      </w:r>
      <w:r>
        <w:rPr>
          <w:rFonts w:ascii="仿宋_GB2312" w:hAnsi="宋体" w:eastAsia="仿宋_GB2312"/>
          <w:sz w:val="24"/>
          <w:highlight w:val="none"/>
        </w:rPr>
        <w:t>机构</w:t>
      </w:r>
      <w:r>
        <w:rPr>
          <w:rFonts w:hint="eastAsia" w:ascii="仿宋_GB2312" w:hAnsi="宋体" w:eastAsia="仿宋_GB2312"/>
          <w:sz w:val="24"/>
          <w:highlight w:val="none"/>
        </w:rPr>
        <w:t>的附属机构。</w:t>
      </w:r>
    </w:p>
    <w:p w14:paraId="1AA70A67">
      <w:pPr>
        <w:pStyle w:val="15"/>
        <w:tabs>
          <w:tab w:val="left" w:pos="5580"/>
        </w:tabs>
        <w:spacing w:line="240" w:lineRule="atLeast"/>
        <w:ind w:left="1079" w:leftChars="257" w:hanging="540"/>
        <w:rPr>
          <w:rFonts w:hint="eastAsia" w:ascii="仿宋_GB2312" w:hAnsi="宋体" w:eastAsia="仿宋_GB2312"/>
          <w:sz w:val="24"/>
          <w:highlight w:val="none"/>
        </w:rPr>
      </w:pPr>
      <w:r>
        <w:rPr>
          <w:rFonts w:hint="eastAsia" w:ascii="仿宋_GB2312" w:hAnsi="宋体" w:eastAsia="仿宋_GB2312"/>
          <w:sz w:val="24"/>
          <w:highlight w:val="none"/>
        </w:rPr>
        <w:t>（7）在领取中标通知书的</w:t>
      </w:r>
      <w:r>
        <w:rPr>
          <w:rFonts w:ascii="仿宋_GB2312" w:hAnsi="宋体" w:eastAsia="仿宋_GB2312"/>
          <w:sz w:val="24"/>
          <w:highlight w:val="none"/>
        </w:rPr>
        <w:t>同</w:t>
      </w:r>
      <w:r>
        <w:rPr>
          <w:rFonts w:hint="eastAsia" w:ascii="仿宋_GB2312" w:hAnsi="宋体" w:eastAsia="仿宋_GB2312"/>
          <w:sz w:val="24"/>
          <w:highlight w:val="none"/>
        </w:rPr>
        <w:t>时按</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规定的</w:t>
      </w:r>
      <w:r>
        <w:rPr>
          <w:rFonts w:ascii="仿宋_GB2312" w:hAnsi="宋体" w:eastAsia="仿宋_GB2312"/>
          <w:sz w:val="24"/>
          <w:highlight w:val="none"/>
        </w:rPr>
        <w:t>形式</w:t>
      </w:r>
      <w:r>
        <w:rPr>
          <w:rFonts w:hint="eastAsia" w:ascii="仿宋_GB2312" w:hAnsi="宋体" w:eastAsia="仿宋_GB2312"/>
          <w:sz w:val="24"/>
          <w:highlight w:val="none"/>
        </w:rPr>
        <w:t>，向贵方一次性支付中标服务费。</w:t>
      </w:r>
    </w:p>
    <w:p w14:paraId="5E73DE14">
      <w:pPr>
        <w:pStyle w:val="15"/>
        <w:tabs>
          <w:tab w:val="left" w:pos="5580"/>
        </w:tabs>
        <w:spacing w:line="240" w:lineRule="atLeast"/>
        <w:ind w:left="1079" w:leftChars="257" w:hanging="540"/>
        <w:rPr>
          <w:rFonts w:hint="eastAsia" w:ascii="仿宋_GB2312" w:hAnsi="宋体" w:eastAsia="仿宋_GB2312"/>
          <w:sz w:val="24"/>
          <w:highlight w:val="none"/>
        </w:rPr>
      </w:pPr>
      <w:r>
        <w:rPr>
          <w:rFonts w:hint="eastAsia" w:ascii="仿宋_GB2312" w:hAnsi="宋体" w:eastAsia="仿宋_GB2312"/>
          <w:sz w:val="24"/>
          <w:highlight w:val="none"/>
        </w:rPr>
        <w:t>（8）按照贵方可能要求，提供与其投标有关的一切数据或资料，完全理解贵方不一定接受最低价的投标或收到的任何投标。</w:t>
      </w:r>
    </w:p>
    <w:p w14:paraId="720FC0EF">
      <w:pPr>
        <w:pStyle w:val="15"/>
        <w:tabs>
          <w:tab w:val="left" w:pos="5580"/>
        </w:tabs>
        <w:spacing w:line="240" w:lineRule="atLeast"/>
        <w:ind w:left="1079" w:leftChars="257" w:hanging="540"/>
        <w:rPr>
          <w:rFonts w:hint="eastAsia" w:ascii="仿宋_GB2312" w:hAnsi="宋体" w:eastAsia="仿宋_GB2312"/>
          <w:sz w:val="24"/>
          <w:highlight w:val="none"/>
        </w:rPr>
      </w:pPr>
      <w:r>
        <w:rPr>
          <w:rFonts w:hint="eastAsia" w:ascii="仿宋_GB2312" w:hAnsi="宋体" w:eastAsia="仿宋_GB2312"/>
          <w:sz w:val="24"/>
          <w:highlight w:val="none"/>
        </w:rPr>
        <w:t>（9）按照</w:t>
      </w:r>
      <w:r>
        <w:rPr>
          <w:rFonts w:hint="eastAsia" w:ascii="仿宋_GB2312" w:hAnsi="宋体" w:eastAsia="仿宋_GB2312"/>
          <w:sz w:val="24"/>
          <w:highlight w:val="none"/>
          <w:lang w:eastAsia="zh-CN"/>
        </w:rPr>
        <w:t>招标文件</w:t>
      </w:r>
      <w:r>
        <w:rPr>
          <w:rFonts w:hint="eastAsia" w:ascii="仿宋_GB2312" w:hAnsi="宋体" w:eastAsia="仿宋_GB2312"/>
          <w:sz w:val="24"/>
          <w:highlight w:val="none"/>
        </w:rPr>
        <w:t>的规定履行合同责任和义务。</w:t>
      </w:r>
    </w:p>
    <w:p w14:paraId="741F2DD9">
      <w:pPr>
        <w:pStyle w:val="15"/>
        <w:tabs>
          <w:tab w:val="left" w:pos="5580"/>
        </w:tabs>
        <w:spacing w:line="240" w:lineRule="atLeast"/>
        <w:ind w:left="358" w:leftChars="68" w:hanging="216" w:hangingChars="90"/>
        <w:rPr>
          <w:rFonts w:hint="eastAsia" w:ascii="仿宋_GB2312" w:hAnsi="宋体" w:eastAsia="仿宋_GB2312"/>
          <w:sz w:val="24"/>
          <w:highlight w:val="none"/>
        </w:rPr>
      </w:pPr>
      <w:r>
        <w:rPr>
          <w:rFonts w:hint="eastAsia" w:ascii="仿宋_GB2312" w:hAnsi="宋体" w:eastAsia="仿宋_GB2312"/>
          <w:sz w:val="24"/>
          <w:highlight w:val="none"/>
        </w:rPr>
        <w:t>与本投标有关的一切正式往来信函请寄：</w:t>
      </w:r>
    </w:p>
    <w:p w14:paraId="7E54FC7E">
      <w:pPr>
        <w:pStyle w:val="15"/>
        <w:tabs>
          <w:tab w:val="left" w:pos="5580"/>
        </w:tabs>
        <w:spacing w:line="240" w:lineRule="atLeast"/>
        <w:ind w:left="1079" w:leftChars="257" w:hanging="540"/>
        <w:rPr>
          <w:rFonts w:hint="eastAsia" w:ascii="仿宋_GB2312" w:hAnsi="宋体" w:eastAsia="仿宋_GB2312"/>
          <w:sz w:val="24"/>
          <w:highlight w:val="none"/>
          <w:lang w:eastAsia="zh-CN"/>
        </w:rPr>
      </w:pPr>
      <w:r>
        <w:rPr>
          <w:rFonts w:hint="eastAsia" w:ascii="仿宋_GB2312" w:hAnsi="宋体" w:eastAsia="仿宋_GB2312"/>
          <w:sz w:val="24"/>
          <w:highlight w:val="none"/>
        </w:rPr>
        <w:t>地址传真</w:t>
      </w:r>
    </w:p>
    <w:p w14:paraId="3FAEEB7D">
      <w:pPr>
        <w:pStyle w:val="15"/>
        <w:tabs>
          <w:tab w:val="left" w:pos="5580"/>
        </w:tabs>
        <w:spacing w:line="240" w:lineRule="atLeast"/>
        <w:ind w:left="1079" w:leftChars="257" w:hanging="540"/>
        <w:rPr>
          <w:rFonts w:hint="eastAsia" w:ascii="仿宋_GB2312" w:hAnsi="宋体" w:eastAsia="仿宋_GB2312"/>
          <w:b/>
          <w:sz w:val="24"/>
          <w:highlight w:val="none"/>
          <w:lang w:eastAsia="zh-CN"/>
        </w:rPr>
      </w:pPr>
      <w:r>
        <w:rPr>
          <w:rFonts w:hint="eastAsia" w:ascii="仿宋_GB2312" w:hAnsi="宋体" w:eastAsia="仿宋_GB2312"/>
          <w:sz w:val="24"/>
          <w:highlight w:val="none"/>
        </w:rPr>
        <w:t>电话电子函件</w:t>
      </w:r>
    </w:p>
    <w:p w14:paraId="27CE082D">
      <w:pPr>
        <w:pStyle w:val="15"/>
        <w:tabs>
          <w:tab w:val="left" w:pos="5580"/>
        </w:tabs>
        <w:spacing w:line="240" w:lineRule="atLeast"/>
        <w:ind w:left="1079" w:leftChars="257" w:hanging="540"/>
        <w:rPr>
          <w:rFonts w:hint="eastAsia" w:ascii="仿宋_GB2312" w:hAnsi="宋体" w:eastAsia="仿宋_GB2312"/>
          <w:sz w:val="24"/>
          <w:highlight w:val="none"/>
        </w:rPr>
      </w:pPr>
    </w:p>
    <w:p w14:paraId="66A9CA3D">
      <w:pPr>
        <w:pStyle w:val="15"/>
        <w:tabs>
          <w:tab w:val="left" w:pos="5580"/>
        </w:tabs>
        <w:spacing w:line="240" w:lineRule="atLeast"/>
        <w:ind w:left="1079" w:leftChars="257" w:hanging="540"/>
        <w:rPr>
          <w:rFonts w:hint="eastAsia" w:ascii="仿宋_GB2312" w:hAnsi="宋体" w:eastAsia="仿宋_GB2312"/>
          <w:sz w:val="24"/>
          <w:highlight w:val="none"/>
        </w:rPr>
      </w:pPr>
      <w:r>
        <w:rPr>
          <w:rFonts w:hint="eastAsia" w:ascii="仿宋_GB2312" w:eastAsia="仿宋_GB2312"/>
          <w:sz w:val="24"/>
        </w:rPr>
        <w:t>法定代表人或其委托代理人</w:t>
      </w:r>
      <w:r>
        <w:rPr>
          <w:rFonts w:hint="eastAsia" w:ascii="仿宋_GB2312" w:eastAsia="仿宋_GB2312"/>
          <w:sz w:val="24"/>
          <w:lang w:eastAsia="zh-CN"/>
        </w:rPr>
        <w:t>（</w:t>
      </w:r>
      <w:r>
        <w:rPr>
          <w:rFonts w:hint="eastAsia" w:ascii="仿宋_GB2312" w:eastAsia="仿宋_GB2312"/>
          <w:sz w:val="24"/>
        </w:rPr>
        <w:t>签字</w:t>
      </w:r>
      <w:r>
        <w:rPr>
          <w:rFonts w:hint="eastAsia" w:ascii="仿宋_GB2312" w:eastAsia="仿宋_GB2312"/>
          <w:sz w:val="24"/>
          <w:lang w:eastAsia="zh-CN"/>
        </w:rPr>
        <w:t>或盖章）</w:t>
      </w:r>
      <w:r>
        <w:rPr>
          <w:rFonts w:hint="eastAsia" w:ascii="仿宋_GB2312" w:hAnsi="宋体" w:eastAsia="仿宋_GB2312"/>
          <w:sz w:val="24"/>
          <w:highlight w:val="none"/>
        </w:rPr>
        <w:t>-----------------</w:t>
      </w:r>
    </w:p>
    <w:p w14:paraId="20EF25C7">
      <w:pPr>
        <w:pStyle w:val="15"/>
        <w:tabs>
          <w:tab w:val="left" w:pos="5580"/>
        </w:tabs>
        <w:spacing w:line="240" w:lineRule="atLeast"/>
        <w:ind w:left="1079" w:leftChars="257" w:hanging="540"/>
        <w:rPr>
          <w:rFonts w:hint="eastAsia" w:ascii="仿宋_GB2312" w:hAnsi="宋体" w:eastAsia="仿宋_GB2312"/>
          <w:sz w:val="24"/>
          <w:highlight w:val="none"/>
        </w:rPr>
      </w:pPr>
      <w:r>
        <w:rPr>
          <w:rFonts w:hint="eastAsia" w:ascii="仿宋_GB2312" w:hAnsi="宋体" w:eastAsia="仿宋_GB2312"/>
          <w:sz w:val="24"/>
          <w:highlight w:val="none"/>
        </w:rPr>
        <w:t>投标人名称（全称）-----------------</w:t>
      </w:r>
    </w:p>
    <w:p w14:paraId="22015D0E">
      <w:pPr>
        <w:pStyle w:val="15"/>
        <w:tabs>
          <w:tab w:val="left" w:pos="5580"/>
        </w:tabs>
        <w:spacing w:line="240" w:lineRule="atLeast"/>
        <w:ind w:left="1079" w:leftChars="257" w:hanging="540"/>
        <w:rPr>
          <w:rFonts w:hint="eastAsia" w:ascii="仿宋_GB2312" w:hAnsi="宋体" w:eastAsia="仿宋_GB2312"/>
          <w:sz w:val="24"/>
          <w:highlight w:val="none"/>
          <w:lang w:eastAsia="zh-CN"/>
        </w:rPr>
      </w:pPr>
      <w:r>
        <w:rPr>
          <w:rFonts w:hint="eastAsia" w:ascii="仿宋_GB2312" w:hAnsi="宋体" w:eastAsia="仿宋_GB2312"/>
          <w:sz w:val="24"/>
          <w:highlight w:val="none"/>
        </w:rPr>
        <w:t>投标人开户银行（全称）</w:t>
      </w:r>
      <w:r>
        <w:rPr>
          <w:rFonts w:hint="eastAsia" w:ascii="仿宋_GB2312" w:hAnsi="宋体" w:eastAsia="仿宋_GB2312"/>
          <w:sz w:val="24"/>
          <w:highlight w:val="none"/>
          <w:u w:val="single"/>
        </w:rPr>
        <w:t>　　　　　　</w:t>
      </w:r>
    </w:p>
    <w:p w14:paraId="6C6EF05B">
      <w:pPr>
        <w:pStyle w:val="15"/>
        <w:tabs>
          <w:tab w:val="left" w:pos="5580"/>
        </w:tabs>
        <w:spacing w:line="240" w:lineRule="atLeast"/>
        <w:ind w:left="1079" w:leftChars="257" w:hanging="540"/>
        <w:rPr>
          <w:rFonts w:hint="eastAsia" w:ascii="仿宋_GB2312" w:hAnsi="宋体" w:eastAsia="仿宋_GB2312"/>
          <w:sz w:val="24"/>
          <w:highlight w:val="none"/>
        </w:rPr>
      </w:pPr>
      <w:r>
        <w:rPr>
          <w:rFonts w:hint="eastAsia" w:ascii="仿宋_GB2312" w:hAnsi="宋体" w:eastAsia="仿宋_GB2312"/>
          <w:sz w:val="24"/>
          <w:highlight w:val="none"/>
        </w:rPr>
        <w:t>投标人银行帐号</w:t>
      </w:r>
      <w:r>
        <w:rPr>
          <w:rFonts w:hint="eastAsia" w:ascii="仿宋_GB2312" w:hAnsi="宋体" w:eastAsia="仿宋_GB2312"/>
          <w:sz w:val="24"/>
          <w:highlight w:val="none"/>
          <w:u w:val="single"/>
        </w:rPr>
        <w:t>　　　　　　　　　　</w:t>
      </w:r>
    </w:p>
    <w:p w14:paraId="0ECBFC57">
      <w:pPr>
        <w:pStyle w:val="15"/>
        <w:tabs>
          <w:tab w:val="left" w:pos="5580"/>
        </w:tabs>
        <w:spacing w:line="240" w:lineRule="atLeast"/>
        <w:ind w:left="1079" w:leftChars="257" w:hanging="540"/>
        <w:rPr>
          <w:rFonts w:hint="eastAsia" w:ascii="仿宋_GB2312" w:hAnsi="宋体" w:eastAsia="仿宋_GB2312"/>
          <w:sz w:val="24"/>
          <w:highlight w:val="none"/>
        </w:rPr>
      </w:pPr>
      <w:r>
        <w:rPr>
          <w:rFonts w:hint="eastAsia" w:ascii="仿宋_GB2312" w:hAnsi="宋体" w:eastAsia="仿宋_GB2312"/>
          <w:sz w:val="24"/>
          <w:highlight w:val="none"/>
        </w:rPr>
        <w:t>投标人单位章-------------------------</w:t>
      </w:r>
    </w:p>
    <w:p w14:paraId="2862D525">
      <w:pPr>
        <w:pStyle w:val="15"/>
        <w:tabs>
          <w:tab w:val="left" w:pos="5580"/>
        </w:tabs>
        <w:spacing w:line="240" w:lineRule="atLeast"/>
        <w:ind w:left="1079" w:leftChars="257" w:hanging="540"/>
        <w:rPr>
          <w:rFonts w:ascii="仿宋_GB2312" w:hAnsi="宋体" w:eastAsia="仿宋_GB2312"/>
          <w:sz w:val="24"/>
          <w:highlight w:val="none"/>
        </w:rPr>
      </w:pPr>
      <w:r>
        <w:rPr>
          <w:rFonts w:hint="eastAsia" w:ascii="仿宋_GB2312" w:hAnsi="宋体" w:eastAsia="仿宋_GB2312"/>
          <w:sz w:val="24"/>
          <w:highlight w:val="none"/>
        </w:rPr>
        <w:t>日期-------------------------------</w:t>
      </w:r>
    </w:p>
    <w:p w14:paraId="097579E9">
      <w:pPr>
        <w:pStyle w:val="15"/>
        <w:tabs>
          <w:tab w:val="left" w:pos="5580"/>
        </w:tabs>
        <w:spacing w:line="240" w:lineRule="atLeast"/>
        <w:ind w:left="1079" w:leftChars="257" w:hanging="540"/>
        <w:rPr>
          <w:rFonts w:ascii="仿宋_GB2312" w:hAnsi="宋体" w:eastAsia="仿宋_GB2312"/>
          <w:sz w:val="24"/>
          <w:highlight w:val="none"/>
        </w:rPr>
        <w:sectPr>
          <w:pgSz w:w="11906" w:h="16838"/>
          <w:pgMar w:top="1440" w:right="1797" w:bottom="1440" w:left="1797" w:header="851" w:footer="992" w:gutter="0"/>
          <w:pgNumType w:fmt="decimal"/>
          <w:cols w:space="720" w:num="1"/>
          <w:docGrid w:type="linesAndChars" w:linePitch="312" w:charSpace="0"/>
        </w:sectPr>
      </w:pPr>
      <w:r>
        <w:rPr>
          <w:rFonts w:ascii="仿宋_GB2312" w:hAnsi="宋体" w:eastAsia="仿宋_GB2312"/>
          <w:sz w:val="24"/>
          <w:highlight w:val="none"/>
        </w:rPr>
        <w:br w:type="page"/>
      </w:r>
    </w:p>
    <w:p w14:paraId="3EC9D0B6">
      <w:pPr>
        <w:pStyle w:val="3"/>
        <w:spacing w:before="0" w:line="240" w:lineRule="atLeast"/>
        <w:ind w:left="1080" w:leftChars="257" w:hanging="540"/>
        <w:rPr>
          <w:rFonts w:hint="eastAsia" w:ascii="仿宋_GB2312" w:eastAsia="仿宋_GB2312"/>
          <w:sz w:val="24"/>
          <w:highlight w:val="none"/>
        </w:rPr>
      </w:pPr>
      <w:bookmarkStart w:id="240" w:name="_Toc216582815"/>
      <w:bookmarkStart w:id="241" w:name="_Toc515647818"/>
      <w:bookmarkStart w:id="242" w:name="_Toc20897"/>
      <w:bookmarkStart w:id="243" w:name="_Toc17677"/>
      <w:bookmarkStart w:id="244" w:name="_Toc1881"/>
      <w:bookmarkStart w:id="245" w:name="_Toc4269"/>
      <w:bookmarkStart w:id="246" w:name="_Toc28959"/>
      <w:bookmarkStart w:id="247" w:name="_Toc515647820"/>
      <w:bookmarkStart w:id="248" w:name="_Toc216582817"/>
      <w:bookmarkStart w:id="249" w:name="_Toc22563"/>
      <w:r>
        <w:rPr>
          <w:rFonts w:hint="eastAsia" w:ascii="仿宋_GB2312" w:hAnsi="宋体" w:eastAsia="仿宋_GB2312"/>
          <w:sz w:val="24"/>
          <w:highlight w:val="none"/>
          <w:lang w:val="en-US" w:eastAsia="zh-CN"/>
        </w:rPr>
        <w:t>2、</w:t>
      </w:r>
      <w:r>
        <w:rPr>
          <w:rFonts w:hint="eastAsia" w:ascii="仿宋_GB2312" w:eastAsia="仿宋_GB2312"/>
          <w:sz w:val="24"/>
          <w:highlight w:val="none"/>
        </w:rPr>
        <w:t>投标分项报价表</w:t>
      </w:r>
      <w:bookmarkEnd w:id="240"/>
      <w:r>
        <w:rPr>
          <w:rFonts w:hint="eastAsia" w:ascii="仿宋_GB2312" w:eastAsia="仿宋_GB2312"/>
          <w:sz w:val="24"/>
          <w:highlight w:val="none"/>
        </w:rPr>
        <w:t>（</w:t>
      </w:r>
      <w:r>
        <w:rPr>
          <w:rFonts w:ascii="仿宋_GB2312" w:eastAsia="仿宋_GB2312"/>
          <w:sz w:val="24"/>
          <w:highlight w:val="none"/>
        </w:rPr>
        <w:t>投标文件</w:t>
      </w:r>
      <w:r>
        <w:rPr>
          <w:rFonts w:hint="eastAsia" w:ascii="仿宋_GB2312" w:eastAsia="仿宋_GB2312"/>
          <w:sz w:val="24"/>
          <w:highlight w:val="none"/>
        </w:rPr>
        <w:t>格式七）</w:t>
      </w:r>
      <w:bookmarkEnd w:id="241"/>
      <w:bookmarkEnd w:id="242"/>
      <w:bookmarkEnd w:id="243"/>
      <w:bookmarkEnd w:id="244"/>
      <w:bookmarkEnd w:id="245"/>
    </w:p>
    <w:p w14:paraId="1EA99A69">
      <w:pPr>
        <w:pStyle w:val="10"/>
        <w:ind w:firstLine="960" w:firstLineChars="400"/>
        <w:rPr>
          <w:rFonts w:hint="default" w:ascii="仿宋_GB2312" w:eastAsia="仿宋_GB2312"/>
          <w:sz w:val="24"/>
          <w:highlight w:val="none"/>
          <w:lang w:val="en-US" w:eastAsia="zh-CN"/>
        </w:rPr>
      </w:pPr>
      <w:r>
        <w:rPr>
          <w:rFonts w:hint="eastAsia" w:ascii="仿宋_GB2312" w:eastAsia="仿宋_GB2312"/>
          <w:sz w:val="24"/>
          <w:highlight w:val="none"/>
        </w:rPr>
        <w:t>项目名称:</w:t>
      </w:r>
      <w:r>
        <w:rPr>
          <w:rFonts w:hint="eastAsia" w:ascii="仿宋_GB2312" w:eastAsia="仿宋_GB2312"/>
          <w:sz w:val="24"/>
          <w:highlight w:val="none"/>
          <w:lang w:val="en-US" w:eastAsia="zh-CN"/>
        </w:rPr>
        <w:t xml:space="preserve">                                            </w:t>
      </w:r>
      <w:r>
        <w:rPr>
          <w:rFonts w:hint="eastAsia" w:ascii="仿宋_GB2312" w:eastAsia="仿宋_GB2312"/>
          <w:sz w:val="24"/>
          <w:highlight w:val="none"/>
        </w:rPr>
        <w:t>招标编号:　　</w:t>
      </w:r>
      <w:r>
        <w:rPr>
          <w:rFonts w:hint="eastAsia" w:ascii="仿宋_GB2312" w:eastAsia="仿宋_GB2312"/>
          <w:sz w:val="24"/>
          <w:highlight w:val="none"/>
          <w:lang w:val="en-US" w:eastAsia="zh-CN"/>
        </w:rPr>
        <w:t xml:space="preserve">                            包号：</w:t>
      </w:r>
    </w:p>
    <w:tbl>
      <w:tblPr>
        <w:tblStyle w:val="90"/>
        <w:tblW w:w="147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85"/>
        <w:gridCol w:w="3195"/>
        <w:gridCol w:w="1997"/>
        <w:gridCol w:w="1860"/>
        <w:gridCol w:w="2271"/>
        <w:gridCol w:w="1651"/>
        <w:gridCol w:w="1977"/>
      </w:tblGrid>
      <w:tr w14:paraId="44E2D0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5" w:hRule="atLeast"/>
        </w:trPr>
        <w:tc>
          <w:tcPr>
            <w:tcW w:w="1785" w:type="dxa"/>
            <w:noWrap w:val="0"/>
            <w:vAlign w:val="center"/>
          </w:tcPr>
          <w:p w14:paraId="54C653BA">
            <w:pPr>
              <w:spacing w:before="108" w:line="206" w:lineRule="auto"/>
              <w:ind w:left="372"/>
              <w:jc w:val="center"/>
              <w:rPr>
                <w:rFonts w:ascii="楷体" w:hAnsi="楷体" w:eastAsia="楷体" w:cs="楷体"/>
                <w:sz w:val="24"/>
                <w:szCs w:val="24"/>
                <w:highlight w:val="none"/>
              </w:rPr>
            </w:pPr>
            <w:r>
              <w:rPr>
                <w:rFonts w:ascii="楷体" w:hAnsi="楷体" w:eastAsia="楷体" w:cs="楷体"/>
                <w:spacing w:val="10"/>
                <w:sz w:val="24"/>
                <w:szCs w:val="24"/>
                <w:highlight w:val="none"/>
              </w:rPr>
              <w:t>序号</w:t>
            </w:r>
          </w:p>
        </w:tc>
        <w:tc>
          <w:tcPr>
            <w:tcW w:w="3195" w:type="dxa"/>
            <w:noWrap w:val="0"/>
            <w:vAlign w:val="center"/>
          </w:tcPr>
          <w:p w14:paraId="15E4A2FB">
            <w:pPr>
              <w:spacing w:before="78" w:line="236" w:lineRule="auto"/>
              <w:jc w:val="center"/>
              <w:rPr>
                <w:rFonts w:ascii="楷体" w:hAnsi="楷体" w:eastAsia="楷体" w:cs="楷体"/>
                <w:sz w:val="24"/>
                <w:szCs w:val="24"/>
                <w:highlight w:val="none"/>
              </w:rPr>
            </w:pPr>
            <w:r>
              <w:rPr>
                <w:rFonts w:ascii="楷体" w:hAnsi="楷体" w:eastAsia="楷体" w:cs="楷体"/>
                <w:spacing w:val="-3"/>
                <w:sz w:val="24"/>
                <w:szCs w:val="24"/>
                <w:highlight w:val="none"/>
              </w:rPr>
              <w:t>名称</w:t>
            </w:r>
          </w:p>
        </w:tc>
        <w:tc>
          <w:tcPr>
            <w:tcW w:w="1997" w:type="dxa"/>
            <w:noWrap w:val="0"/>
            <w:vAlign w:val="center"/>
          </w:tcPr>
          <w:p w14:paraId="449DE698">
            <w:pPr>
              <w:spacing w:before="78" w:line="439" w:lineRule="exact"/>
              <w:ind w:firstLine="240" w:firstLineChars="100"/>
              <w:jc w:val="center"/>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规格参数</w:t>
            </w:r>
          </w:p>
        </w:tc>
        <w:tc>
          <w:tcPr>
            <w:tcW w:w="1860" w:type="dxa"/>
            <w:noWrap w:val="0"/>
            <w:vAlign w:val="center"/>
          </w:tcPr>
          <w:p w14:paraId="22795C27">
            <w:pPr>
              <w:spacing w:before="78" w:line="234" w:lineRule="auto"/>
              <w:ind w:left="217"/>
              <w:jc w:val="center"/>
              <w:rPr>
                <w:rFonts w:hint="eastAsia" w:ascii="楷体" w:hAnsi="楷体" w:eastAsia="楷体" w:cs="楷体"/>
                <w:sz w:val="24"/>
                <w:szCs w:val="24"/>
                <w:highlight w:val="none"/>
                <w:lang w:eastAsia="zh-CN"/>
              </w:rPr>
            </w:pPr>
            <w:r>
              <w:rPr>
                <w:rFonts w:ascii="楷体" w:hAnsi="楷体" w:eastAsia="楷体" w:cs="楷体"/>
                <w:spacing w:val="-4"/>
                <w:sz w:val="24"/>
                <w:szCs w:val="24"/>
                <w:highlight w:val="none"/>
              </w:rPr>
              <w:t>数量</w:t>
            </w:r>
          </w:p>
        </w:tc>
        <w:tc>
          <w:tcPr>
            <w:tcW w:w="2271" w:type="dxa"/>
            <w:noWrap w:val="0"/>
            <w:vAlign w:val="center"/>
          </w:tcPr>
          <w:p w14:paraId="0F4EC78B">
            <w:pPr>
              <w:spacing w:before="78" w:line="223" w:lineRule="auto"/>
              <w:ind w:left="159"/>
              <w:jc w:val="center"/>
              <w:rPr>
                <w:rFonts w:hint="default"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品牌</w:t>
            </w:r>
          </w:p>
        </w:tc>
        <w:tc>
          <w:tcPr>
            <w:tcW w:w="1651" w:type="dxa"/>
            <w:noWrap w:val="0"/>
            <w:vAlign w:val="center"/>
          </w:tcPr>
          <w:p w14:paraId="3E3B0201">
            <w:pPr>
              <w:spacing w:before="78" w:line="225" w:lineRule="auto"/>
              <w:ind w:left="149"/>
              <w:jc w:val="center"/>
              <w:rPr>
                <w:rFonts w:hint="default" w:ascii="楷体" w:hAnsi="楷体" w:eastAsia="楷体" w:cs="楷体"/>
                <w:spacing w:val="-12"/>
                <w:sz w:val="24"/>
                <w:szCs w:val="24"/>
                <w:highlight w:val="none"/>
                <w:lang w:val="en-US" w:eastAsia="zh-CN"/>
              </w:rPr>
            </w:pPr>
            <w:r>
              <w:rPr>
                <w:rFonts w:hint="eastAsia" w:ascii="楷体" w:hAnsi="楷体" w:eastAsia="楷体" w:cs="楷体"/>
                <w:spacing w:val="-12"/>
                <w:sz w:val="24"/>
                <w:szCs w:val="24"/>
                <w:highlight w:val="none"/>
                <w:lang w:val="en-US" w:eastAsia="zh-CN"/>
              </w:rPr>
              <w:t>元/</w:t>
            </w:r>
            <w:r>
              <w:rPr>
                <w:rFonts w:hint="eastAsia" w:ascii="楷体" w:hAnsi="楷体" w:eastAsia="楷体" w:cs="楷体"/>
                <w:spacing w:val="-12"/>
                <w:sz w:val="24"/>
                <w:szCs w:val="24"/>
                <w:highlight w:val="none"/>
                <w:lang w:eastAsia="zh-CN"/>
              </w:rPr>
              <w:t>下浮率</w:t>
            </w:r>
          </w:p>
        </w:tc>
        <w:tc>
          <w:tcPr>
            <w:tcW w:w="1977" w:type="dxa"/>
            <w:noWrap w:val="0"/>
            <w:vAlign w:val="center"/>
          </w:tcPr>
          <w:p w14:paraId="042BB779">
            <w:pPr>
              <w:spacing w:before="188" w:line="211" w:lineRule="auto"/>
              <w:jc w:val="center"/>
              <w:rPr>
                <w:rFonts w:ascii="楷体" w:hAnsi="楷体" w:eastAsia="楷体" w:cs="楷体"/>
                <w:sz w:val="24"/>
                <w:szCs w:val="24"/>
                <w:highlight w:val="none"/>
              </w:rPr>
            </w:pPr>
            <w:r>
              <w:rPr>
                <w:rFonts w:ascii="楷体" w:hAnsi="楷体" w:eastAsia="楷体" w:cs="楷体"/>
                <w:spacing w:val="10"/>
                <w:sz w:val="24"/>
                <w:szCs w:val="24"/>
                <w:highlight w:val="none"/>
              </w:rPr>
              <w:t>备注</w:t>
            </w:r>
          </w:p>
        </w:tc>
      </w:tr>
      <w:tr w14:paraId="5AE5F3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1785" w:type="dxa"/>
            <w:noWrap w:val="0"/>
            <w:vAlign w:val="top"/>
          </w:tcPr>
          <w:p w14:paraId="6B9C9B86">
            <w:pPr>
              <w:spacing w:before="187" w:line="184" w:lineRule="auto"/>
              <w:ind w:left="398"/>
              <w:rPr>
                <w:rFonts w:ascii="楷体" w:hAnsi="楷体" w:eastAsia="楷体" w:cs="楷体"/>
                <w:sz w:val="24"/>
                <w:szCs w:val="24"/>
                <w:highlight w:val="none"/>
              </w:rPr>
            </w:pPr>
            <w:r>
              <w:rPr>
                <w:rFonts w:ascii="楷体" w:hAnsi="楷体" w:eastAsia="楷体" w:cs="楷体"/>
                <w:spacing w:val="-11"/>
                <w:sz w:val="24"/>
                <w:szCs w:val="24"/>
                <w:highlight w:val="none"/>
              </w:rPr>
              <w:t>1.</w:t>
            </w:r>
          </w:p>
        </w:tc>
        <w:tc>
          <w:tcPr>
            <w:tcW w:w="3195" w:type="dxa"/>
            <w:noWrap w:val="0"/>
            <w:vAlign w:val="top"/>
          </w:tcPr>
          <w:p w14:paraId="69D15804">
            <w:pPr>
              <w:spacing w:before="150" w:line="222" w:lineRule="auto"/>
              <w:ind w:left="342"/>
              <w:rPr>
                <w:rFonts w:ascii="楷体" w:hAnsi="楷体" w:eastAsia="楷体" w:cs="楷体"/>
                <w:sz w:val="24"/>
                <w:szCs w:val="24"/>
                <w:highlight w:val="none"/>
              </w:rPr>
            </w:pPr>
            <w:r>
              <w:rPr>
                <w:rFonts w:ascii="楷体" w:hAnsi="楷体" w:eastAsia="楷体" w:cs="楷体"/>
                <w:spacing w:val="-4"/>
                <w:sz w:val="24"/>
                <w:szCs w:val="24"/>
                <w:highlight w:val="none"/>
              </w:rPr>
              <w:t>货物名称</w:t>
            </w:r>
          </w:p>
        </w:tc>
        <w:tc>
          <w:tcPr>
            <w:tcW w:w="1997" w:type="dxa"/>
            <w:noWrap w:val="0"/>
            <w:vAlign w:val="top"/>
          </w:tcPr>
          <w:p w14:paraId="00B42A73">
            <w:pPr>
              <w:pStyle w:val="89"/>
              <w:rPr>
                <w:highlight w:val="none"/>
              </w:rPr>
            </w:pPr>
          </w:p>
        </w:tc>
        <w:tc>
          <w:tcPr>
            <w:tcW w:w="1860" w:type="dxa"/>
            <w:noWrap w:val="0"/>
            <w:vAlign w:val="top"/>
          </w:tcPr>
          <w:p w14:paraId="6975EB79">
            <w:pPr>
              <w:pStyle w:val="89"/>
              <w:rPr>
                <w:highlight w:val="none"/>
              </w:rPr>
            </w:pPr>
          </w:p>
        </w:tc>
        <w:tc>
          <w:tcPr>
            <w:tcW w:w="2271" w:type="dxa"/>
            <w:noWrap w:val="0"/>
            <w:vAlign w:val="top"/>
          </w:tcPr>
          <w:p w14:paraId="16B78B82">
            <w:pPr>
              <w:spacing w:before="150" w:line="222" w:lineRule="auto"/>
              <w:rPr>
                <w:rFonts w:hint="default" w:ascii="楷体" w:hAnsi="楷体" w:eastAsia="楷体" w:cs="楷体"/>
                <w:spacing w:val="-4"/>
                <w:sz w:val="24"/>
                <w:szCs w:val="24"/>
                <w:highlight w:val="none"/>
                <w:lang w:val="en-US" w:eastAsia="zh-CN"/>
              </w:rPr>
            </w:pPr>
          </w:p>
        </w:tc>
        <w:tc>
          <w:tcPr>
            <w:tcW w:w="1651" w:type="dxa"/>
            <w:noWrap w:val="0"/>
            <w:vAlign w:val="top"/>
          </w:tcPr>
          <w:p w14:paraId="1DF67597">
            <w:pPr>
              <w:spacing w:before="150" w:line="222" w:lineRule="auto"/>
              <w:ind w:left="342"/>
              <w:rPr>
                <w:rFonts w:ascii="楷体" w:hAnsi="楷体" w:eastAsia="楷体" w:cs="楷体"/>
                <w:spacing w:val="-4"/>
                <w:sz w:val="24"/>
                <w:szCs w:val="24"/>
                <w:highlight w:val="none"/>
              </w:rPr>
            </w:pPr>
          </w:p>
        </w:tc>
        <w:tc>
          <w:tcPr>
            <w:tcW w:w="1977" w:type="dxa"/>
            <w:noWrap w:val="0"/>
            <w:vAlign w:val="top"/>
          </w:tcPr>
          <w:p w14:paraId="59A12B7A">
            <w:pPr>
              <w:pStyle w:val="89"/>
              <w:rPr>
                <w:highlight w:val="none"/>
              </w:rPr>
            </w:pPr>
          </w:p>
        </w:tc>
      </w:tr>
      <w:tr w14:paraId="338949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785" w:type="dxa"/>
            <w:noWrap w:val="0"/>
            <w:vAlign w:val="top"/>
          </w:tcPr>
          <w:p w14:paraId="209620B2">
            <w:pPr>
              <w:spacing w:before="218" w:line="185" w:lineRule="auto"/>
              <w:ind w:left="383"/>
              <w:rPr>
                <w:rFonts w:ascii="楷体" w:hAnsi="楷体" w:eastAsia="楷体" w:cs="楷体"/>
                <w:sz w:val="24"/>
                <w:szCs w:val="24"/>
                <w:highlight w:val="none"/>
              </w:rPr>
            </w:pPr>
            <w:r>
              <w:rPr>
                <w:rFonts w:ascii="楷体" w:hAnsi="楷体" w:eastAsia="楷体" w:cs="楷体"/>
                <w:spacing w:val="-4"/>
                <w:sz w:val="24"/>
                <w:szCs w:val="24"/>
                <w:highlight w:val="none"/>
              </w:rPr>
              <w:t>2.</w:t>
            </w:r>
          </w:p>
        </w:tc>
        <w:tc>
          <w:tcPr>
            <w:tcW w:w="3195" w:type="dxa"/>
            <w:noWrap w:val="0"/>
            <w:vAlign w:val="top"/>
          </w:tcPr>
          <w:p w14:paraId="58F8FB9E">
            <w:pPr>
              <w:pStyle w:val="89"/>
              <w:spacing w:line="280" w:lineRule="auto"/>
              <w:rPr>
                <w:highlight w:val="none"/>
              </w:rPr>
            </w:pPr>
          </w:p>
          <w:p w14:paraId="54C966CF">
            <w:pPr>
              <w:spacing w:before="78" w:line="99" w:lineRule="exact"/>
              <w:ind w:left="645"/>
              <w:rPr>
                <w:rFonts w:ascii="楷体" w:hAnsi="楷体" w:eastAsia="楷体" w:cs="楷体"/>
                <w:sz w:val="24"/>
                <w:szCs w:val="24"/>
                <w:highlight w:val="none"/>
              </w:rPr>
            </w:pPr>
            <w:r>
              <w:rPr>
                <w:rFonts w:ascii="楷体" w:hAnsi="楷体" w:eastAsia="楷体" w:cs="楷体"/>
                <w:position w:val="1"/>
                <w:sz w:val="24"/>
                <w:szCs w:val="24"/>
                <w:highlight w:val="none"/>
              </w:rPr>
              <w:t>...</w:t>
            </w:r>
          </w:p>
        </w:tc>
        <w:tc>
          <w:tcPr>
            <w:tcW w:w="1997" w:type="dxa"/>
            <w:noWrap w:val="0"/>
            <w:vAlign w:val="top"/>
          </w:tcPr>
          <w:p w14:paraId="31963978">
            <w:pPr>
              <w:pStyle w:val="89"/>
              <w:rPr>
                <w:highlight w:val="none"/>
              </w:rPr>
            </w:pPr>
          </w:p>
        </w:tc>
        <w:tc>
          <w:tcPr>
            <w:tcW w:w="1860" w:type="dxa"/>
            <w:noWrap w:val="0"/>
            <w:vAlign w:val="top"/>
          </w:tcPr>
          <w:p w14:paraId="579F0669">
            <w:pPr>
              <w:pStyle w:val="89"/>
              <w:rPr>
                <w:highlight w:val="none"/>
              </w:rPr>
            </w:pPr>
          </w:p>
        </w:tc>
        <w:tc>
          <w:tcPr>
            <w:tcW w:w="2271" w:type="dxa"/>
            <w:noWrap w:val="0"/>
            <w:vAlign w:val="top"/>
          </w:tcPr>
          <w:p w14:paraId="551D6395">
            <w:pPr>
              <w:pStyle w:val="89"/>
              <w:rPr>
                <w:highlight w:val="none"/>
              </w:rPr>
            </w:pPr>
          </w:p>
        </w:tc>
        <w:tc>
          <w:tcPr>
            <w:tcW w:w="1651" w:type="dxa"/>
            <w:noWrap w:val="0"/>
            <w:vAlign w:val="top"/>
          </w:tcPr>
          <w:p w14:paraId="0D248A11">
            <w:pPr>
              <w:pStyle w:val="89"/>
              <w:rPr>
                <w:highlight w:val="none"/>
              </w:rPr>
            </w:pPr>
          </w:p>
        </w:tc>
        <w:tc>
          <w:tcPr>
            <w:tcW w:w="1977" w:type="dxa"/>
            <w:noWrap w:val="0"/>
            <w:vAlign w:val="top"/>
          </w:tcPr>
          <w:p w14:paraId="24600D52">
            <w:pPr>
              <w:pStyle w:val="89"/>
              <w:rPr>
                <w:highlight w:val="none"/>
              </w:rPr>
            </w:pPr>
          </w:p>
        </w:tc>
      </w:tr>
      <w:tr w14:paraId="5BE0B9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785" w:type="dxa"/>
            <w:noWrap w:val="0"/>
            <w:vAlign w:val="top"/>
          </w:tcPr>
          <w:p w14:paraId="29467271">
            <w:pPr>
              <w:spacing w:before="220" w:line="185" w:lineRule="auto"/>
              <w:ind w:left="385"/>
              <w:rPr>
                <w:rFonts w:ascii="楷体" w:hAnsi="楷体" w:eastAsia="楷体" w:cs="楷体"/>
                <w:sz w:val="24"/>
                <w:szCs w:val="24"/>
                <w:highlight w:val="none"/>
              </w:rPr>
            </w:pPr>
            <w:r>
              <w:rPr>
                <w:rFonts w:ascii="楷体" w:hAnsi="楷体" w:eastAsia="楷体" w:cs="楷体"/>
                <w:spacing w:val="-5"/>
                <w:sz w:val="24"/>
                <w:szCs w:val="24"/>
                <w:highlight w:val="none"/>
              </w:rPr>
              <w:t>3.</w:t>
            </w:r>
          </w:p>
        </w:tc>
        <w:tc>
          <w:tcPr>
            <w:tcW w:w="3195" w:type="dxa"/>
            <w:noWrap w:val="0"/>
            <w:vAlign w:val="top"/>
          </w:tcPr>
          <w:p w14:paraId="597F9000">
            <w:pPr>
              <w:pStyle w:val="89"/>
              <w:rPr>
                <w:highlight w:val="none"/>
              </w:rPr>
            </w:pPr>
          </w:p>
        </w:tc>
        <w:tc>
          <w:tcPr>
            <w:tcW w:w="1997" w:type="dxa"/>
            <w:noWrap w:val="0"/>
            <w:vAlign w:val="top"/>
          </w:tcPr>
          <w:p w14:paraId="6B335F20">
            <w:pPr>
              <w:pStyle w:val="89"/>
              <w:rPr>
                <w:highlight w:val="none"/>
              </w:rPr>
            </w:pPr>
          </w:p>
        </w:tc>
        <w:tc>
          <w:tcPr>
            <w:tcW w:w="1860" w:type="dxa"/>
            <w:noWrap w:val="0"/>
            <w:vAlign w:val="top"/>
          </w:tcPr>
          <w:p w14:paraId="0CCAABCE">
            <w:pPr>
              <w:pStyle w:val="89"/>
              <w:rPr>
                <w:highlight w:val="none"/>
              </w:rPr>
            </w:pPr>
          </w:p>
        </w:tc>
        <w:tc>
          <w:tcPr>
            <w:tcW w:w="2271" w:type="dxa"/>
            <w:noWrap w:val="0"/>
            <w:vAlign w:val="top"/>
          </w:tcPr>
          <w:p w14:paraId="2BD6688D">
            <w:pPr>
              <w:pStyle w:val="89"/>
              <w:rPr>
                <w:highlight w:val="none"/>
              </w:rPr>
            </w:pPr>
          </w:p>
        </w:tc>
        <w:tc>
          <w:tcPr>
            <w:tcW w:w="1651" w:type="dxa"/>
            <w:noWrap w:val="0"/>
            <w:vAlign w:val="top"/>
          </w:tcPr>
          <w:p w14:paraId="49EF400C">
            <w:pPr>
              <w:pStyle w:val="89"/>
              <w:rPr>
                <w:highlight w:val="none"/>
              </w:rPr>
            </w:pPr>
          </w:p>
        </w:tc>
        <w:tc>
          <w:tcPr>
            <w:tcW w:w="1977" w:type="dxa"/>
            <w:noWrap w:val="0"/>
            <w:vAlign w:val="top"/>
          </w:tcPr>
          <w:p w14:paraId="38A0AC33">
            <w:pPr>
              <w:pStyle w:val="89"/>
              <w:rPr>
                <w:highlight w:val="none"/>
              </w:rPr>
            </w:pPr>
          </w:p>
        </w:tc>
      </w:tr>
      <w:tr w14:paraId="1D3D51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785" w:type="dxa"/>
            <w:noWrap w:val="0"/>
            <w:vAlign w:val="top"/>
          </w:tcPr>
          <w:p w14:paraId="2DF89F44">
            <w:pPr>
              <w:spacing w:before="221" w:line="184" w:lineRule="auto"/>
              <w:ind w:left="379"/>
              <w:rPr>
                <w:rFonts w:ascii="楷体" w:hAnsi="楷体" w:eastAsia="楷体" w:cs="楷体"/>
                <w:sz w:val="24"/>
                <w:szCs w:val="24"/>
                <w:highlight w:val="none"/>
              </w:rPr>
            </w:pPr>
            <w:r>
              <w:rPr>
                <w:rFonts w:ascii="楷体" w:hAnsi="楷体" w:eastAsia="楷体" w:cs="楷体"/>
                <w:spacing w:val="-2"/>
                <w:sz w:val="24"/>
                <w:szCs w:val="24"/>
                <w:highlight w:val="none"/>
              </w:rPr>
              <w:t>4.</w:t>
            </w:r>
          </w:p>
        </w:tc>
        <w:tc>
          <w:tcPr>
            <w:tcW w:w="3195" w:type="dxa"/>
            <w:noWrap w:val="0"/>
            <w:vAlign w:val="top"/>
          </w:tcPr>
          <w:p w14:paraId="43571970">
            <w:pPr>
              <w:pStyle w:val="89"/>
              <w:rPr>
                <w:highlight w:val="none"/>
              </w:rPr>
            </w:pPr>
          </w:p>
        </w:tc>
        <w:tc>
          <w:tcPr>
            <w:tcW w:w="1997" w:type="dxa"/>
            <w:noWrap w:val="0"/>
            <w:vAlign w:val="top"/>
          </w:tcPr>
          <w:p w14:paraId="71DE5AFC">
            <w:pPr>
              <w:pStyle w:val="89"/>
              <w:rPr>
                <w:highlight w:val="none"/>
              </w:rPr>
            </w:pPr>
          </w:p>
        </w:tc>
        <w:tc>
          <w:tcPr>
            <w:tcW w:w="1860" w:type="dxa"/>
            <w:noWrap w:val="0"/>
            <w:vAlign w:val="top"/>
          </w:tcPr>
          <w:p w14:paraId="063277EE">
            <w:pPr>
              <w:pStyle w:val="89"/>
              <w:rPr>
                <w:highlight w:val="none"/>
              </w:rPr>
            </w:pPr>
          </w:p>
        </w:tc>
        <w:tc>
          <w:tcPr>
            <w:tcW w:w="2271" w:type="dxa"/>
            <w:noWrap w:val="0"/>
            <w:vAlign w:val="top"/>
          </w:tcPr>
          <w:p w14:paraId="551C2FB1">
            <w:pPr>
              <w:pStyle w:val="89"/>
              <w:rPr>
                <w:highlight w:val="none"/>
              </w:rPr>
            </w:pPr>
          </w:p>
        </w:tc>
        <w:tc>
          <w:tcPr>
            <w:tcW w:w="1651" w:type="dxa"/>
            <w:noWrap w:val="0"/>
            <w:vAlign w:val="top"/>
          </w:tcPr>
          <w:p w14:paraId="3C3AB77B">
            <w:pPr>
              <w:pStyle w:val="89"/>
              <w:rPr>
                <w:highlight w:val="none"/>
              </w:rPr>
            </w:pPr>
          </w:p>
        </w:tc>
        <w:tc>
          <w:tcPr>
            <w:tcW w:w="1977" w:type="dxa"/>
            <w:noWrap w:val="0"/>
            <w:vAlign w:val="top"/>
          </w:tcPr>
          <w:p w14:paraId="3AD77DE0">
            <w:pPr>
              <w:pStyle w:val="89"/>
              <w:rPr>
                <w:highlight w:val="none"/>
              </w:rPr>
            </w:pPr>
          </w:p>
        </w:tc>
      </w:tr>
      <w:tr w14:paraId="66ED65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785" w:type="dxa"/>
            <w:noWrap w:val="0"/>
            <w:vAlign w:val="top"/>
          </w:tcPr>
          <w:p w14:paraId="6E95C19E">
            <w:pPr>
              <w:spacing w:before="231" w:line="182" w:lineRule="auto"/>
              <w:ind w:left="380"/>
              <w:rPr>
                <w:rFonts w:ascii="楷体" w:hAnsi="楷体" w:eastAsia="楷体" w:cs="楷体"/>
                <w:sz w:val="24"/>
                <w:szCs w:val="24"/>
                <w:highlight w:val="none"/>
              </w:rPr>
            </w:pPr>
            <w:r>
              <w:rPr>
                <w:rFonts w:ascii="楷体" w:hAnsi="楷体" w:eastAsia="楷体" w:cs="楷体"/>
                <w:spacing w:val="-2"/>
                <w:sz w:val="24"/>
                <w:szCs w:val="24"/>
                <w:highlight w:val="none"/>
              </w:rPr>
              <w:t>5.</w:t>
            </w:r>
          </w:p>
        </w:tc>
        <w:tc>
          <w:tcPr>
            <w:tcW w:w="3195" w:type="dxa"/>
            <w:noWrap w:val="0"/>
            <w:vAlign w:val="top"/>
          </w:tcPr>
          <w:p w14:paraId="58EB0CA7">
            <w:pPr>
              <w:pStyle w:val="89"/>
              <w:rPr>
                <w:highlight w:val="none"/>
              </w:rPr>
            </w:pPr>
          </w:p>
        </w:tc>
        <w:tc>
          <w:tcPr>
            <w:tcW w:w="1997" w:type="dxa"/>
            <w:noWrap w:val="0"/>
            <w:vAlign w:val="top"/>
          </w:tcPr>
          <w:p w14:paraId="736FEB0B">
            <w:pPr>
              <w:pStyle w:val="89"/>
              <w:rPr>
                <w:highlight w:val="none"/>
              </w:rPr>
            </w:pPr>
          </w:p>
        </w:tc>
        <w:tc>
          <w:tcPr>
            <w:tcW w:w="1860" w:type="dxa"/>
            <w:noWrap w:val="0"/>
            <w:vAlign w:val="top"/>
          </w:tcPr>
          <w:p w14:paraId="51EFAB4D">
            <w:pPr>
              <w:pStyle w:val="89"/>
              <w:rPr>
                <w:highlight w:val="none"/>
              </w:rPr>
            </w:pPr>
          </w:p>
        </w:tc>
        <w:tc>
          <w:tcPr>
            <w:tcW w:w="2271" w:type="dxa"/>
            <w:noWrap w:val="0"/>
            <w:vAlign w:val="top"/>
          </w:tcPr>
          <w:p w14:paraId="0E995344">
            <w:pPr>
              <w:pStyle w:val="89"/>
              <w:rPr>
                <w:highlight w:val="none"/>
              </w:rPr>
            </w:pPr>
          </w:p>
        </w:tc>
        <w:tc>
          <w:tcPr>
            <w:tcW w:w="1651" w:type="dxa"/>
            <w:noWrap w:val="0"/>
            <w:vAlign w:val="top"/>
          </w:tcPr>
          <w:p w14:paraId="302499C0">
            <w:pPr>
              <w:pStyle w:val="89"/>
              <w:rPr>
                <w:highlight w:val="none"/>
              </w:rPr>
            </w:pPr>
          </w:p>
        </w:tc>
        <w:tc>
          <w:tcPr>
            <w:tcW w:w="1977" w:type="dxa"/>
            <w:noWrap w:val="0"/>
            <w:vAlign w:val="top"/>
          </w:tcPr>
          <w:p w14:paraId="34B86B23">
            <w:pPr>
              <w:pStyle w:val="89"/>
              <w:rPr>
                <w:highlight w:val="none"/>
              </w:rPr>
            </w:pPr>
          </w:p>
        </w:tc>
      </w:tr>
      <w:tr w14:paraId="659F26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1785" w:type="dxa"/>
            <w:noWrap w:val="0"/>
            <w:vAlign w:val="center"/>
          </w:tcPr>
          <w:p w14:paraId="77E06ED2">
            <w:pPr>
              <w:pStyle w:val="89"/>
              <w:jc w:val="center"/>
              <w:rPr>
                <w:highlight w:val="none"/>
              </w:rPr>
            </w:pPr>
            <w:r>
              <w:rPr>
                <w:rFonts w:hint="eastAsia" w:cs="仿宋"/>
                <w:b/>
                <w:bCs/>
                <w:color w:val="auto"/>
                <w:sz w:val="24"/>
                <w:szCs w:val="24"/>
                <w:lang w:val="en-US" w:eastAsia="zh-CN"/>
              </w:rPr>
              <w:t>合计</w:t>
            </w:r>
          </w:p>
        </w:tc>
        <w:tc>
          <w:tcPr>
            <w:tcW w:w="12951" w:type="dxa"/>
            <w:gridSpan w:val="6"/>
            <w:noWrap w:val="0"/>
            <w:vAlign w:val="center"/>
          </w:tcPr>
          <w:p w14:paraId="4EBEDFD9">
            <w:pPr>
              <w:pStyle w:val="89"/>
              <w:jc w:val="center"/>
              <w:rPr>
                <w:rFonts w:hint="eastAsia" w:eastAsia="仿宋"/>
                <w:highlight w:val="none"/>
                <w:lang w:eastAsia="zh-CN"/>
              </w:rPr>
            </w:pPr>
            <w:r>
              <w:rPr>
                <w:rFonts w:hint="eastAsia" w:ascii="仿宋" w:hAnsi="仿宋" w:eastAsia="仿宋" w:cs="仿宋"/>
                <w:b/>
                <w:bCs/>
                <w:color w:val="auto"/>
                <w:sz w:val="24"/>
                <w:szCs w:val="24"/>
                <w:lang w:val="en-US" w:eastAsia="zh-CN"/>
              </w:rPr>
              <w:t>第一包</w:t>
            </w:r>
            <w:r>
              <w:rPr>
                <w:rFonts w:hint="eastAsia" w:cs="仿宋"/>
                <w:b/>
                <w:bCs/>
                <w:color w:val="auto"/>
                <w:sz w:val="24"/>
                <w:szCs w:val="24"/>
                <w:lang w:val="en-US" w:eastAsia="zh-CN"/>
              </w:rPr>
              <w:t>需合计单价的总价</w:t>
            </w:r>
          </w:p>
        </w:tc>
      </w:tr>
    </w:tbl>
    <w:p w14:paraId="778E8A76">
      <w:pPr>
        <w:pStyle w:val="15"/>
        <w:spacing w:line="240" w:lineRule="atLeast"/>
        <w:ind w:left="1080" w:leftChars="257" w:hanging="540"/>
        <w:rPr>
          <w:rFonts w:hint="default" w:ascii="仿宋_GB2312" w:eastAsia="仿宋_GB2312"/>
          <w:sz w:val="24"/>
          <w:highlight w:val="none"/>
          <w:lang w:val="en-US" w:eastAsia="zh-CN"/>
        </w:rPr>
      </w:pPr>
      <w:r>
        <w:rPr>
          <w:rFonts w:hint="eastAsia" w:ascii="仿宋_GB2312" w:eastAsia="仿宋_GB2312"/>
          <w:sz w:val="24"/>
        </w:rPr>
        <w:t>法定代表人或其委托代理人</w:t>
      </w:r>
      <w:r>
        <w:rPr>
          <w:rFonts w:hint="eastAsia" w:ascii="仿宋_GB2312" w:eastAsia="仿宋_GB2312"/>
          <w:sz w:val="24"/>
          <w:lang w:eastAsia="zh-CN"/>
        </w:rPr>
        <w:t>（</w:t>
      </w:r>
      <w:r>
        <w:rPr>
          <w:rFonts w:hint="eastAsia" w:ascii="仿宋_GB2312" w:eastAsia="仿宋_GB2312"/>
          <w:sz w:val="24"/>
        </w:rPr>
        <w:t>签字</w:t>
      </w:r>
      <w:r>
        <w:rPr>
          <w:rFonts w:hint="eastAsia" w:ascii="仿宋_GB2312" w:eastAsia="仿宋_GB2312"/>
          <w:sz w:val="24"/>
          <w:lang w:eastAsia="zh-CN"/>
        </w:rPr>
        <w:t>或盖章）</w:t>
      </w:r>
      <w:r>
        <w:rPr>
          <w:rFonts w:hint="eastAsia" w:ascii="仿宋_GB2312" w:eastAsia="仿宋_GB2312"/>
          <w:sz w:val="24"/>
          <w:highlight w:val="none"/>
        </w:rPr>
        <w:t>:</w:t>
      </w:r>
      <w:r>
        <w:rPr>
          <w:rFonts w:ascii="仿宋_GB2312" w:hAnsi="宋体" w:eastAsia="仿宋_GB2312"/>
          <w:sz w:val="24"/>
          <w:highlight w:val="none"/>
          <w:u w:val="single"/>
        </w:rPr>
        <w:tab/>
      </w:r>
      <w:r>
        <w:rPr>
          <w:rFonts w:hint="eastAsia" w:ascii="仿宋_GB2312" w:hAnsi="宋体" w:eastAsia="仿宋_GB2312"/>
          <w:sz w:val="24"/>
          <w:highlight w:val="none"/>
          <w:u w:val="single"/>
          <w:lang w:val="en-US" w:eastAsia="zh-CN"/>
        </w:rPr>
        <w:t xml:space="preserve">          </w:t>
      </w:r>
    </w:p>
    <w:p w14:paraId="7A9D8376">
      <w:pPr>
        <w:pStyle w:val="15"/>
        <w:tabs>
          <w:tab w:val="left" w:pos="5370"/>
        </w:tabs>
        <w:spacing w:line="240" w:lineRule="atLeast"/>
        <w:ind w:left="1080" w:leftChars="257" w:hanging="540"/>
        <w:rPr>
          <w:rFonts w:hint="eastAsia" w:ascii="仿宋_GB2312" w:hAnsi="宋体" w:eastAsia="仿宋_GB2312"/>
          <w:sz w:val="24"/>
          <w:highlight w:val="none"/>
          <w:u w:val="single"/>
        </w:rPr>
      </w:pPr>
      <w:r>
        <w:rPr>
          <w:rFonts w:hint="eastAsia" w:ascii="仿宋_GB2312" w:hAnsi="宋体" w:eastAsia="仿宋_GB2312"/>
          <w:sz w:val="24"/>
          <w:highlight w:val="none"/>
        </w:rPr>
        <w:t>投标人(盖单位章):</w:t>
      </w:r>
      <w:r>
        <w:rPr>
          <w:rFonts w:ascii="仿宋_GB2312" w:hAnsi="宋体" w:eastAsia="仿宋_GB2312"/>
          <w:sz w:val="24"/>
          <w:highlight w:val="none"/>
          <w:u w:val="single"/>
        </w:rPr>
        <w:tab/>
      </w:r>
    </w:p>
    <w:p w14:paraId="4840DFD4">
      <w:pPr>
        <w:pStyle w:val="15"/>
        <w:spacing w:line="240" w:lineRule="atLeast"/>
        <w:ind w:left="1080" w:leftChars="257" w:hanging="540"/>
        <w:rPr>
          <w:rFonts w:hint="eastAsia" w:ascii="仿宋_GB2312" w:eastAsia="仿宋_GB2312"/>
          <w:b/>
          <w:bCs/>
          <w:sz w:val="24"/>
          <w:highlight w:val="none"/>
        </w:rPr>
      </w:pPr>
      <w:r>
        <w:rPr>
          <w:rFonts w:hint="eastAsia" w:ascii="仿宋_GB2312" w:eastAsia="仿宋_GB2312"/>
          <w:b/>
          <w:bCs/>
          <w:sz w:val="24"/>
          <w:highlight w:val="none"/>
        </w:rPr>
        <w:t>注:1.如果投标人认为需要，每种货物填写一份该表。</w:t>
      </w:r>
    </w:p>
    <w:p w14:paraId="1F4F916E">
      <w:pPr>
        <w:pStyle w:val="15"/>
        <w:spacing w:line="240" w:lineRule="atLeast"/>
        <w:ind w:left="1080" w:leftChars="257" w:hanging="540"/>
        <w:rPr>
          <w:rFonts w:hint="eastAsia" w:ascii="仿宋_GB2312" w:eastAsia="仿宋_GB2312"/>
          <w:b/>
          <w:bCs/>
          <w:sz w:val="24"/>
          <w:highlight w:val="none"/>
        </w:rPr>
      </w:pPr>
      <w:r>
        <w:rPr>
          <w:rFonts w:hint="eastAsia" w:ascii="仿宋_GB2312" w:eastAsia="仿宋_GB2312"/>
          <w:b/>
          <w:bCs/>
          <w:sz w:val="24"/>
          <w:highlight w:val="none"/>
          <w:lang w:val="en-US" w:eastAsia="zh-CN"/>
        </w:rPr>
        <w:t>2</w:t>
      </w:r>
      <w:r>
        <w:rPr>
          <w:rFonts w:hint="eastAsia" w:ascii="仿宋_GB2312" w:eastAsia="仿宋_GB2312"/>
          <w:b/>
          <w:bCs/>
          <w:sz w:val="24"/>
          <w:highlight w:val="none"/>
        </w:rPr>
        <w:t>.如果不提供详细分项报价将视为没有实质性响应</w:t>
      </w:r>
      <w:r>
        <w:rPr>
          <w:rFonts w:hint="eastAsia" w:ascii="仿宋_GB2312" w:eastAsia="仿宋_GB2312"/>
          <w:b/>
          <w:bCs/>
          <w:sz w:val="24"/>
          <w:highlight w:val="none"/>
          <w:lang w:eastAsia="zh-CN"/>
        </w:rPr>
        <w:t>招标文件</w:t>
      </w:r>
      <w:r>
        <w:rPr>
          <w:rFonts w:hint="eastAsia" w:ascii="仿宋_GB2312" w:eastAsia="仿宋_GB2312"/>
          <w:b/>
          <w:bCs/>
          <w:sz w:val="24"/>
          <w:highlight w:val="none"/>
        </w:rPr>
        <w:t>。</w:t>
      </w:r>
    </w:p>
    <w:p w14:paraId="30AC0B53">
      <w:pPr>
        <w:pStyle w:val="15"/>
        <w:spacing w:line="240" w:lineRule="atLeast"/>
        <w:ind w:left="1080" w:leftChars="257" w:hanging="540"/>
        <w:rPr>
          <w:rFonts w:hint="eastAsia" w:ascii="仿宋_GB2312" w:eastAsia="仿宋_GB2312"/>
          <w:b/>
          <w:bCs/>
          <w:sz w:val="24"/>
          <w:highlight w:val="none"/>
        </w:rPr>
      </w:pPr>
      <w:r>
        <w:rPr>
          <w:rFonts w:hint="eastAsia" w:ascii="仿宋_GB2312" w:eastAsia="仿宋_GB2312"/>
          <w:b/>
          <w:bCs/>
          <w:sz w:val="24"/>
          <w:highlight w:val="none"/>
          <w:lang w:val="en-US" w:eastAsia="zh-CN"/>
        </w:rPr>
        <w:t>3</w:t>
      </w:r>
      <w:r>
        <w:rPr>
          <w:rFonts w:hint="eastAsia" w:ascii="仿宋_GB2312" w:eastAsia="仿宋_GB2312"/>
          <w:b/>
          <w:bCs/>
          <w:sz w:val="24"/>
          <w:highlight w:val="none"/>
        </w:rPr>
        <w:t>.上述各项的详细分项报价，应另页描述。</w:t>
      </w:r>
    </w:p>
    <w:p w14:paraId="6E4AD67B">
      <w:pPr>
        <w:pStyle w:val="15"/>
        <w:spacing w:line="240" w:lineRule="atLeast"/>
        <w:ind w:left="1080" w:leftChars="257" w:hanging="540"/>
        <w:rPr>
          <w:rFonts w:hint="eastAsia" w:ascii="仿宋_GB2312" w:eastAsia="仿宋_GB2312"/>
          <w:b/>
          <w:bCs/>
          <w:sz w:val="24"/>
          <w:highlight w:val="none"/>
        </w:rPr>
      </w:pPr>
      <w:r>
        <w:rPr>
          <w:rFonts w:hint="eastAsia" w:ascii="仿宋_GB2312" w:eastAsia="仿宋_GB2312"/>
          <w:b/>
          <w:bCs/>
          <w:sz w:val="24"/>
          <w:highlight w:val="none"/>
          <w:lang w:val="en-US" w:eastAsia="zh-CN"/>
        </w:rPr>
        <w:t>4</w:t>
      </w:r>
      <w:r>
        <w:rPr>
          <w:rFonts w:hint="eastAsia" w:ascii="仿宋_GB2312" w:eastAsia="仿宋_GB2312"/>
          <w:b/>
          <w:bCs/>
          <w:sz w:val="24"/>
          <w:highlight w:val="none"/>
        </w:rPr>
        <w:t>.如果开标一览表（报价表）内容与投标文件中明细表内容不一致的，以开标一览表（报价表）内容为准。</w:t>
      </w:r>
    </w:p>
    <w:p w14:paraId="348B4842">
      <w:pPr>
        <w:pStyle w:val="15"/>
        <w:spacing w:line="240" w:lineRule="atLeast"/>
        <w:ind w:left="1080" w:leftChars="257" w:hanging="540"/>
        <w:rPr>
          <w:rFonts w:hint="eastAsia" w:ascii="仿宋_GB2312" w:eastAsia="仿宋_GB2312"/>
          <w:b/>
          <w:bCs/>
          <w:sz w:val="24"/>
          <w:highlight w:val="none"/>
          <w:lang w:val="en-US" w:eastAsia="zh-CN"/>
        </w:rPr>
      </w:pPr>
      <w:r>
        <w:rPr>
          <w:rFonts w:hint="eastAsia" w:ascii="仿宋_GB2312" w:eastAsia="仿宋_GB2312"/>
          <w:b/>
          <w:bCs/>
          <w:sz w:val="24"/>
          <w:highlight w:val="none"/>
          <w:lang w:val="en-US" w:eastAsia="zh-CN"/>
        </w:rPr>
        <w:t>5.投标人对技术参数自行填报，并提交相应证明文件。</w:t>
      </w:r>
    </w:p>
    <w:p w14:paraId="21E2BAB3">
      <w:pPr>
        <w:pStyle w:val="15"/>
        <w:spacing w:line="240" w:lineRule="atLeast"/>
        <w:ind w:left="1080" w:leftChars="257" w:hanging="540"/>
        <w:rPr>
          <w:rFonts w:hint="default" w:ascii="仿宋_GB2312" w:eastAsia="仿宋_GB2312"/>
          <w:b/>
          <w:bCs/>
          <w:sz w:val="24"/>
          <w:highlight w:val="none"/>
          <w:lang w:val="en-US" w:eastAsia="zh-CN"/>
        </w:rPr>
      </w:pPr>
      <w:r>
        <w:rPr>
          <w:rFonts w:hint="eastAsia" w:ascii="仿宋_GB2312" w:eastAsia="仿宋_GB2312"/>
          <w:b/>
          <w:bCs/>
          <w:sz w:val="24"/>
          <w:highlight w:val="none"/>
          <w:lang w:val="en-US" w:eastAsia="zh-CN"/>
        </w:rPr>
        <w:t>6.</w:t>
      </w:r>
      <w:r>
        <w:rPr>
          <w:rFonts w:hint="eastAsia" w:ascii="仿宋" w:hAnsi="仿宋" w:eastAsia="仿宋" w:cs="仿宋"/>
          <w:b/>
          <w:bCs/>
          <w:color w:val="auto"/>
          <w:sz w:val="24"/>
          <w:szCs w:val="24"/>
          <w:lang w:val="en-US" w:eastAsia="zh-CN"/>
        </w:rPr>
        <w:t>投标人根据所投标段自行填写货物单价或下浮率。第一包投标人需报所投货物单价；第二包、第三包投标人需报所投货物下浮率（同一包所有货物只能有一个下浮率）</w:t>
      </w:r>
      <w:r>
        <w:rPr>
          <w:rFonts w:hint="eastAsia" w:ascii="仿宋_GB2312" w:eastAsia="仿宋_GB2312"/>
          <w:b/>
          <w:bCs/>
          <w:sz w:val="24"/>
          <w:highlight w:val="none"/>
          <w:lang w:val="en-US" w:eastAsia="zh-CN"/>
        </w:rPr>
        <w:t>。</w:t>
      </w:r>
    </w:p>
    <w:p w14:paraId="48895E52">
      <w:pPr>
        <w:pStyle w:val="3"/>
        <w:spacing w:before="0" w:line="240" w:lineRule="atLeast"/>
        <w:ind w:left="1080" w:leftChars="257" w:hanging="540"/>
        <w:rPr>
          <w:rFonts w:hint="eastAsia" w:ascii="仿宋_GB2312" w:eastAsia="仿宋_GB2312"/>
          <w:sz w:val="24"/>
          <w:highlight w:val="yellow"/>
        </w:rPr>
      </w:pPr>
      <w:bookmarkStart w:id="250" w:name="_Toc216582816"/>
      <w:bookmarkStart w:id="251" w:name="_Toc18267"/>
      <w:bookmarkStart w:id="252" w:name="_Toc14037"/>
      <w:bookmarkStart w:id="253" w:name="_Toc515647819"/>
      <w:r>
        <w:rPr>
          <w:rFonts w:ascii="仿宋_GB2312" w:eastAsia="仿宋_GB2312"/>
          <w:sz w:val="24"/>
          <w:highlight w:val="none"/>
        </w:rPr>
        <w:br w:type="page"/>
      </w:r>
      <w:bookmarkStart w:id="254" w:name="_Toc15165"/>
      <w:bookmarkStart w:id="255" w:name="_Toc8566"/>
      <w:r>
        <w:rPr>
          <w:rFonts w:hint="eastAsia" w:ascii="仿宋_GB2312" w:eastAsia="仿宋_GB2312"/>
          <w:sz w:val="24"/>
          <w:highlight w:val="none"/>
          <w:lang w:val="en-US" w:eastAsia="zh-CN"/>
        </w:rPr>
        <w:t>3、</w:t>
      </w:r>
      <w:r>
        <w:rPr>
          <w:rFonts w:hint="eastAsia" w:ascii="仿宋_GB2312" w:eastAsia="仿宋_GB2312"/>
          <w:sz w:val="24"/>
          <w:highlight w:val="none"/>
        </w:rPr>
        <w:t>货物说明一览表</w:t>
      </w:r>
      <w:bookmarkEnd w:id="250"/>
      <w:r>
        <w:rPr>
          <w:rFonts w:hint="eastAsia" w:ascii="仿宋_GB2312" w:eastAsia="仿宋_GB2312"/>
          <w:sz w:val="24"/>
          <w:highlight w:val="none"/>
        </w:rPr>
        <w:t>（</w:t>
      </w:r>
      <w:r>
        <w:rPr>
          <w:rFonts w:ascii="仿宋_GB2312" w:eastAsia="仿宋_GB2312"/>
          <w:sz w:val="24"/>
          <w:highlight w:val="none"/>
        </w:rPr>
        <w:t>投标文件</w:t>
      </w:r>
      <w:r>
        <w:rPr>
          <w:rFonts w:hint="eastAsia" w:ascii="仿宋_GB2312" w:eastAsia="仿宋_GB2312"/>
          <w:sz w:val="24"/>
          <w:highlight w:val="none"/>
        </w:rPr>
        <w:t>格式八）</w:t>
      </w:r>
      <w:bookmarkEnd w:id="251"/>
      <w:bookmarkEnd w:id="252"/>
      <w:bookmarkEnd w:id="253"/>
      <w:bookmarkEnd w:id="254"/>
      <w:bookmarkEnd w:id="255"/>
    </w:p>
    <w:p w14:paraId="554041FA">
      <w:pPr>
        <w:pStyle w:val="15"/>
        <w:spacing w:line="240" w:lineRule="atLeast"/>
        <w:ind w:left="1080" w:leftChars="257" w:hanging="540"/>
        <w:rPr>
          <w:rFonts w:hint="eastAsia" w:ascii="仿宋_GB2312" w:eastAsia="仿宋_GB2312"/>
          <w:sz w:val="24"/>
          <w:highlight w:val="yellow"/>
        </w:rPr>
      </w:pPr>
    </w:p>
    <w:p w14:paraId="019CB420">
      <w:pPr>
        <w:pStyle w:val="15"/>
        <w:spacing w:line="240" w:lineRule="atLeast"/>
        <w:ind w:left="1080" w:leftChars="257" w:hanging="540"/>
        <w:jc w:val="both"/>
        <w:rPr>
          <w:rFonts w:hint="default" w:ascii="仿宋_GB2312" w:eastAsia="仿宋_GB2312"/>
          <w:sz w:val="24"/>
          <w:highlight w:val="none"/>
          <w:lang w:val="en-US" w:eastAsia="zh-CN"/>
        </w:rPr>
      </w:pPr>
      <w:r>
        <w:rPr>
          <w:rFonts w:hint="eastAsia" w:ascii="仿宋_GB2312" w:eastAsia="仿宋_GB2312"/>
          <w:sz w:val="24"/>
          <w:highlight w:val="none"/>
        </w:rPr>
        <w:t>项目名称:</w:t>
      </w:r>
      <w:r>
        <w:rPr>
          <w:rFonts w:hint="eastAsia" w:ascii="仿宋_GB2312" w:eastAsia="仿宋_GB2312"/>
          <w:sz w:val="24"/>
          <w:highlight w:val="none"/>
          <w:lang w:val="en-US" w:eastAsia="zh-CN"/>
        </w:rPr>
        <w:t xml:space="preserve">                                       </w:t>
      </w:r>
      <w:r>
        <w:rPr>
          <w:rFonts w:hint="eastAsia" w:ascii="仿宋_GB2312" w:eastAsia="仿宋_GB2312"/>
          <w:sz w:val="24"/>
          <w:highlight w:val="none"/>
        </w:rPr>
        <w:t>招标编号:</w:t>
      </w:r>
      <w:r>
        <w:rPr>
          <w:rFonts w:hint="eastAsia" w:ascii="仿宋_GB2312" w:eastAsia="仿宋_GB2312"/>
          <w:sz w:val="24"/>
          <w:highlight w:val="none"/>
          <w:lang w:val="en-US" w:eastAsia="zh-CN"/>
        </w:rPr>
        <w:t xml:space="preserve">                              包号：</w:t>
      </w:r>
    </w:p>
    <w:p w14:paraId="091FCC35">
      <w:pPr>
        <w:pStyle w:val="15"/>
        <w:spacing w:line="240" w:lineRule="atLeast"/>
        <w:ind w:left="1080" w:leftChars="257" w:hanging="540"/>
        <w:rPr>
          <w:rFonts w:hint="eastAsia" w:ascii="仿宋_GB2312" w:eastAsia="仿宋_GB2312"/>
          <w:sz w:val="24"/>
          <w:highlight w:val="none"/>
        </w:rPr>
      </w:pPr>
    </w:p>
    <w:tbl>
      <w:tblPr>
        <w:tblStyle w:val="37"/>
        <w:tblW w:w="13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4"/>
        <w:gridCol w:w="1807"/>
        <w:gridCol w:w="1644"/>
        <w:gridCol w:w="1479"/>
        <w:gridCol w:w="1807"/>
        <w:gridCol w:w="1807"/>
        <w:gridCol w:w="1972"/>
        <w:gridCol w:w="1807"/>
      </w:tblGrid>
      <w:tr w14:paraId="36938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14" w:type="dxa"/>
            <w:noWrap w:val="0"/>
            <w:vAlign w:val="center"/>
          </w:tcPr>
          <w:p w14:paraId="500088C2">
            <w:pPr>
              <w:pStyle w:val="15"/>
              <w:spacing w:line="240" w:lineRule="atLeast"/>
              <w:jc w:val="both"/>
              <w:rPr>
                <w:rFonts w:hint="eastAsia" w:ascii="仿宋_GB2312" w:eastAsia="仿宋_GB2312"/>
                <w:sz w:val="24"/>
                <w:lang w:val="en-US" w:eastAsia="zh-CN"/>
              </w:rPr>
            </w:pPr>
            <w:r>
              <w:rPr>
                <w:rFonts w:hint="eastAsia" w:ascii="仿宋_GB2312" w:eastAsia="仿宋_GB2312"/>
                <w:sz w:val="24"/>
                <w:lang w:val="en-US" w:eastAsia="zh-CN"/>
              </w:rPr>
              <w:t>序号</w:t>
            </w:r>
          </w:p>
        </w:tc>
        <w:tc>
          <w:tcPr>
            <w:tcW w:w="1807" w:type="dxa"/>
            <w:noWrap w:val="0"/>
            <w:vAlign w:val="center"/>
          </w:tcPr>
          <w:p w14:paraId="3003F220">
            <w:pPr>
              <w:pStyle w:val="15"/>
              <w:spacing w:line="240" w:lineRule="atLeast"/>
              <w:jc w:val="both"/>
              <w:rPr>
                <w:rFonts w:hint="eastAsia" w:ascii="仿宋_GB2312" w:eastAsia="仿宋_GB2312"/>
                <w:sz w:val="24"/>
                <w:lang w:val="en-US" w:eastAsia="zh-CN"/>
              </w:rPr>
            </w:pPr>
            <w:r>
              <w:rPr>
                <w:rFonts w:hint="eastAsia" w:ascii="仿宋_GB2312" w:eastAsia="仿宋_GB2312"/>
                <w:sz w:val="24"/>
                <w:lang w:val="en-US" w:eastAsia="zh-CN"/>
              </w:rPr>
              <w:t>货物名称</w:t>
            </w:r>
          </w:p>
        </w:tc>
        <w:tc>
          <w:tcPr>
            <w:tcW w:w="1644" w:type="dxa"/>
            <w:noWrap w:val="0"/>
            <w:vAlign w:val="center"/>
          </w:tcPr>
          <w:p w14:paraId="2B5FFF3D">
            <w:pPr>
              <w:pStyle w:val="15"/>
              <w:spacing w:line="240" w:lineRule="atLeast"/>
              <w:jc w:val="both"/>
              <w:rPr>
                <w:rFonts w:hint="default" w:ascii="仿宋_GB2312" w:eastAsia="仿宋_GB2312"/>
                <w:sz w:val="24"/>
                <w:lang w:val="en-US" w:eastAsia="zh-CN"/>
              </w:rPr>
            </w:pPr>
            <w:r>
              <w:rPr>
                <w:rFonts w:hint="eastAsia" w:ascii="仿宋_GB2312" w:eastAsia="仿宋_GB2312"/>
                <w:sz w:val="24"/>
                <w:lang w:val="en-US" w:eastAsia="zh-CN"/>
              </w:rPr>
              <w:t>规格参数</w:t>
            </w:r>
          </w:p>
        </w:tc>
        <w:tc>
          <w:tcPr>
            <w:tcW w:w="1479" w:type="dxa"/>
            <w:noWrap w:val="0"/>
            <w:vAlign w:val="center"/>
          </w:tcPr>
          <w:p w14:paraId="234994DB">
            <w:pPr>
              <w:pStyle w:val="15"/>
              <w:spacing w:line="240" w:lineRule="atLeast"/>
              <w:jc w:val="both"/>
              <w:rPr>
                <w:rFonts w:hint="eastAsia" w:ascii="仿宋_GB2312" w:eastAsia="仿宋_GB2312"/>
                <w:sz w:val="24"/>
                <w:lang w:val="en-US" w:eastAsia="zh-CN"/>
              </w:rPr>
            </w:pPr>
            <w:r>
              <w:rPr>
                <w:rFonts w:hint="eastAsia" w:ascii="仿宋_GB2312" w:eastAsia="仿宋_GB2312"/>
                <w:sz w:val="24"/>
                <w:lang w:val="en-US" w:eastAsia="zh-CN"/>
              </w:rPr>
              <w:t>数量</w:t>
            </w:r>
          </w:p>
        </w:tc>
        <w:tc>
          <w:tcPr>
            <w:tcW w:w="1807" w:type="dxa"/>
            <w:noWrap w:val="0"/>
            <w:vAlign w:val="center"/>
          </w:tcPr>
          <w:p w14:paraId="2F3AEB75">
            <w:pPr>
              <w:pStyle w:val="15"/>
              <w:spacing w:line="240" w:lineRule="atLeast"/>
              <w:jc w:val="both"/>
              <w:rPr>
                <w:rFonts w:hint="default" w:ascii="仿宋_GB2312" w:eastAsia="仿宋_GB2312"/>
                <w:sz w:val="24"/>
                <w:lang w:val="en-US" w:eastAsia="zh-CN"/>
              </w:rPr>
            </w:pPr>
            <w:r>
              <w:rPr>
                <w:rFonts w:hint="eastAsia" w:ascii="仿宋_GB2312" w:eastAsia="仿宋_GB2312"/>
                <w:sz w:val="24"/>
                <w:lang w:val="en-US" w:eastAsia="zh-CN"/>
              </w:rPr>
              <w:t>品牌</w:t>
            </w:r>
          </w:p>
        </w:tc>
        <w:tc>
          <w:tcPr>
            <w:tcW w:w="1807" w:type="dxa"/>
            <w:noWrap w:val="0"/>
            <w:vAlign w:val="center"/>
          </w:tcPr>
          <w:p w14:paraId="47A26C8A">
            <w:pPr>
              <w:pStyle w:val="15"/>
              <w:spacing w:line="240" w:lineRule="atLeast"/>
              <w:jc w:val="both"/>
              <w:rPr>
                <w:rFonts w:hint="default" w:ascii="仿宋_GB2312" w:eastAsia="仿宋_GB2312"/>
                <w:sz w:val="24"/>
                <w:lang w:val="en-US" w:eastAsia="zh-CN"/>
              </w:rPr>
            </w:pPr>
            <w:r>
              <w:rPr>
                <w:rFonts w:hint="eastAsia" w:ascii="仿宋_GB2312" w:eastAsia="仿宋_GB2312"/>
                <w:sz w:val="24"/>
                <w:lang w:val="en-US" w:eastAsia="zh-CN"/>
              </w:rPr>
              <w:t>交货期</w:t>
            </w:r>
          </w:p>
        </w:tc>
        <w:tc>
          <w:tcPr>
            <w:tcW w:w="1972" w:type="dxa"/>
            <w:noWrap w:val="0"/>
            <w:vAlign w:val="center"/>
          </w:tcPr>
          <w:p w14:paraId="7894EE07">
            <w:pPr>
              <w:pStyle w:val="15"/>
              <w:spacing w:line="240" w:lineRule="atLeast"/>
              <w:jc w:val="both"/>
              <w:rPr>
                <w:rFonts w:hint="eastAsia" w:ascii="仿宋_GB2312" w:eastAsia="仿宋_GB2312"/>
                <w:sz w:val="24"/>
                <w:lang w:val="en-US" w:eastAsia="zh-CN"/>
              </w:rPr>
            </w:pPr>
            <w:r>
              <w:rPr>
                <w:rFonts w:hint="eastAsia" w:ascii="仿宋_GB2312" w:eastAsia="仿宋_GB2312"/>
                <w:sz w:val="24"/>
                <w:lang w:val="en-US" w:eastAsia="zh-CN"/>
              </w:rPr>
              <w:t>交货地点</w:t>
            </w:r>
          </w:p>
        </w:tc>
        <w:tc>
          <w:tcPr>
            <w:tcW w:w="1807" w:type="dxa"/>
            <w:noWrap w:val="0"/>
            <w:vAlign w:val="center"/>
          </w:tcPr>
          <w:p w14:paraId="3DEAEBF9">
            <w:pPr>
              <w:pStyle w:val="15"/>
              <w:spacing w:line="240" w:lineRule="atLeast"/>
              <w:jc w:val="both"/>
              <w:rPr>
                <w:rFonts w:hint="eastAsia" w:ascii="仿宋_GB2312" w:eastAsia="仿宋_GB2312"/>
                <w:sz w:val="24"/>
                <w:lang w:val="en-US" w:eastAsia="zh-CN"/>
              </w:rPr>
            </w:pPr>
            <w:r>
              <w:rPr>
                <w:rFonts w:hint="eastAsia" w:ascii="仿宋_GB2312" w:eastAsia="仿宋_GB2312"/>
                <w:sz w:val="24"/>
                <w:lang w:val="en-US" w:eastAsia="zh-CN"/>
              </w:rPr>
              <w:t>其它</w:t>
            </w:r>
          </w:p>
        </w:tc>
      </w:tr>
      <w:tr w14:paraId="32860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14" w:type="dxa"/>
            <w:noWrap w:val="0"/>
            <w:vAlign w:val="top"/>
          </w:tcPr>
          <w:p w14:paraId="2D9C2AF0">
            <w:pPr>
              <w:pStyle w:val="15"/>
              <w:spacing w:line="240" w:lineRule="atLeast"/>
              <w:ind w:left="1080" w:leftChars="257" w:hanging="540"/>
              <w:rPr>
                <w:rFonts w:hint="eastAsia" w:ascii="仿宋_GB2312" w:eastAsia="仿宋_GB2312"/>
                <w:sz w:val="24"/>
                <w:lang w:val="en-US" w:eastAsia="zh-CN"/>
              </w:rPr>
            </w:pPr>
          </w:p>
        </w:tc>
        <w:tc>
          <w:tcPr>
            <w:tcW w:w="1807" w:type="dxa"/>
            <w:noWrap w:val="0"/>
            <w:vAlign w:val="top"/>
          </w:tcPr>
          <w:p w14:paraId="15818183">
            <w:pPr>
              <w:pStyle w:val="15"/>
              <w:spacing w:line="240" w:lineRule="atLeast"/>
              <w:ind w:left="1080" w:leftChars="257" w:hanging="540"/>
              <w:rPr>
                <w:rFonts w:hint="eastAsia" w:ascii="仿宋_GB2312" w:eastAsia="仿宋_GB2312"/>
                <w:sz w:val="24"/>
                <w:lang w:val="en-US" w:eastAsia="zh-CN"/>
              </w:rPr>
            </w:pPr>
          </w:p>
        </w:tc>
        <w:tc>
          <w:tcPr>
            <w:tcW w:w="1644" w:type="dxa"/>
            <w:noWrap w:val="0"/>
            <w:vAlign w:val="top"/>
          </w:tcPr>
          <w:p w14:paraId="187BF15B">
            <w:pPr>
              <w:pStyle w:val="15"/>
              <w:spacing w:line="240" w:lineRule="atLeast"/>
              <w:ind w:left="1080" w:leftChars="257" w:hanging="540"/>
              <w:rPr>
                <w:rFonts w:hint="eastAsia" w:ascii="仿宋_GB2312" w:eastAsia="仿宋_GB2312"/>
                <w:sz w:val="24"/>
                <w:lang w:val="en-US" w:eastAsia="zh-CN"/>
              </w:rPr>
            </w:pPr>
          </w:p>
        </w:tc>
        <w:tc>
          <w:tcPr>
            <w:tcW w:w="1479" w:type="dxa"/>
            <w:noWrap w:val="0"/>
            <w:vAlign w:val="top"/>
          </w:tcPr>
          <w:p w14:paraId="2E81D040">
            <w:pPr>
              <w:pStyle w:val="15"/>
              <w:spacing w:line="240" w:lineRule="atLeast"/>
              <w:ind w:left="1080" w:leftChars="257" w:hanging="540"/>
              <w:rPr>
                <w:rFonts w:hint="eastAsia" w:ascii="仿宋_GB2312" w:eastAsia="仿宋_GB2312"/>
                <w:sz w:val="24"/>
                <w:lang w:val="en-US" w:eastAsia="zh-CN"/>
              </w:rPr>
            </w:pPr>
          </w:p>
        </w:tc>
        <w:tc>
          <w:tcPr>
            <w:tcW w:w="1807" w:type="dxa"/>
            <w:noWrap w:val="0"/>
            <w:vAlign w:val="top"/>
          </w:tcPr>
          <w:p w14:paraId="7AD49903">
            <w:pPr>
              <w:pStyle w:val="15"/>
              <w:spacing w:line="240" w:lineRule="atLeast"/>
              <w:ind w:left="1080" w:leftChars="257" w:hanging="540"/>
              <w:rPr>
                <w:rFonts w:hint="eastAsia" w:ascii="仿宋_GB2312" w:eastAsia="仿宋_GB2312"/>
                <w:sz w:val="24"/>
                <w:lang w:val="en-US" w:eastAsia="zh-CN"/>
              </w:rPr>
            </w:pPr>
          </w:p>
        </w:tc>
        <w:tc>
          <w:tcPr>
            <w:tcW w:w="1807" w:type="dxa"/>
            <w:noWrap w:val="0"/>
            <w:vAlign w:val="top"/>
          </w:tcPr>
          <w:p w14:paraId="20746743">
            <w:pPr>
              <w:pStyle w:val="15"/>
              <w:spacing w:line="240" w:lineRule="atLeast"/>
              <w:ind w:left="1080" w:leftChars="257" w:hanging="540"/>
              <w:rPr>
                <w:rFonts w:hint="eastAsia" w:ascii="仿宋_GB2312" w:eastAsia="仿宋_GB2312"/>
                <w:sz w:val="24"/>
                <w:lang w:val="en-US" w:eastAsia="zh-CN"/>
              </w:rPr>
            </w:pPr>
          </w:p>
        </w:tc>
        <w:tc>
          <w:tcPr>
            <w:tcW w:w="1972" w:type="dxa"/>
            <w:noWrap w:val="0"/>
            <w:vAlign w:val="top"/>
          </w:tcPr>
          <w:p w14:paraId="2504CB6E">
            <w:pPr>
              <w:pStyle w:val="15"/>
              <w:spacing w:line="240" w:lineRule="atLeast"/>
              <w:ind w:left="1080" w:leftChars="257" w:hanging="540"/>
              <w:rPr>
                <w:rFonts w:hint="eastAsia" w:ascii="仿宋_GB2312" w:eastAsia="仿宋_GB2312"/>
                <w:sz w:val="24"/>
                <w:lang w:val="en-US" w:eastAsia="zh-CN"/>
              </w:rPr>
            </w:pPr>
          </w:p>
        </w:tc>
        <w:tc>
          <w:tcPr>
            <w:tcW w:w="1807" w:type="dxa"/>
            <w:noWrap w:val="0"/>
            <w:vAlign w:val="top"/>
          </w:tcPr>
          <w:p w14:paraId="70566F2A">
            <w:pPr>
              <w:pStyle w:val="15"/>
              <w:spacing w:line="240" w:lineRule="atLeast"/>
              <w:ind w:left="1080" w:leftChars="257" w:hanging="540"/>
              <w:rPr>
                <w:rFonts w:hint="eastAsia" w:ascii="仿宋_GB2312" w:eastAsia="仿宋_GB2312"/>
                <w:sz w:val="24"/>
                <w:lang w:val="en-US" w:eastAsia="zh-CN"/>
              </w:rPr>
            </w:pPr>
          </w:p>
        </w:tc>
      </w:tr>
      <w:tr w14:paraId="07F97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14" w:type="dxa"/>
            <w:noWrap w:val="0"/>
            <w:vAlign w:val="top"/>
          </w:tcPr>
          <w:p w14:paraId="23C05DED">
            <w:pPr>
              <w:pStyle w:val="15"/>
              <w:spacing w:line="240" w:lineRule="atLeast"/>
              <w:ind w:left="1080" w:leftChars="257" w:hanging="540"/>
              <w:rPr>
                <w:rFonts w:hint="eastAsia" w:ascii="仿宋_GB2312" w:eastAsia="仿宋_GB2312"/>
                <w:sz w:val="24"/>
                <w:lang w:val="en-US" w:eastAsia="zh-CN"/>
              </w:rPr>
            </w:pPr>
          </w:p>
        </w:tc>
        <w:tc>
          <w:tcPr>
            <w:tcW w:w="1807" w:type="dxa"/>
            <w:noWrap w:val="0"/>
            <w:vAlign w:val="top"/>
          </w:tcPr>
          <w:p w14:paraId="49B21A0F">
            <w:pPr>
              <w:pStyle w:val="15"/>
              <w:spacing w:line="240" w:lineRule="atLeast"/>
              <w:ind w:left="1080" w:leftChars="257" w:hanging="540"/>
              <w:rPr>
                <w:rFonts w:hint="eastAsia" w:ascii="仿宋_GB2312" w:eastAsia="仿宋_GB2312"/>
                <w:sz w:val="24"/>
                <w:lang w:val="en-US" w:eastAsia="zh-CN"/>
              </w:rPr>
            </w:pPr>
          </w:p>
        </w:tc>
        <w:tc>
          <w:tcPr>
            <w:tcW w:w="1644" w:type="dxa"/>
            <w:noWrap w:val="0"/>
            <w:vAlign w:val="top"/>
          </w:tcPr>
          <w:p w14:paraId="4EBA8A3C">
            <w:pPr>
              <w:pStyle w:val="15"/>
              <w:spacing w:line="240" w:lineRule="atLeast"/>
              <w:ind w:left="1080" w:leftChars="257" w:hanging="540"/>
              <w:rPr>
                <w:rFonts w:hint="eastAsia" w:ascii="仿宋_GB2312" w:eastAsia="仿宋_GB2312"/>
                <w:sz w:val="24"/>
                <w:lang w:val="en-US" w:eastAsia="zh-CN"/>
              </w:rPr>
            </w:pPr>
          </w:p>
        </w:tc>
        <w:tc>
          <w:tcPr>
            <w:tcW w:w="1479" w:type="dxa"/>
            <w:noWrap w:val="0"/>
            <w:vAlign w:val="top"/>
          </w:tcPr>
          <w:p w14:paraId="218E00C1">
            <w:pPr>
              <w:pStyle w:val="15"/>
              <w:spacing w:line="240" w:lineRule="atLeast"/>
              <w:ind w:left="1080" w:leftChars="257" w:hanging="540"/>
              <w:rPr>
                <w:rFonts w:hint="eastAsia" w:ascii="仿宋_GB2312" w:eastAsia="仿宋_GB2312"/>
                <w:sz w:val="24"/>
                <w:lang w:val="en-US" w:eastAsia="zh-CN"/>
              </w:rPr>
            </w:pPr>
          </w:p>
        </w:tc>
        <w:tc>
          <w:tcPr>
            <w:tcW w:w="1807" w:type="dxa"/>
            <w:noWrap w:val="0"/>
            <w:vAlign w:val="top"/>
          </w:tcPr>
          <w:p w14:paraId="467E0F48">
            <w:pPr>
              <w:pStyle w:val="15"/>
              <w:spacing w:line="240" w:lineRule="atLeast"/>
              <w:ind w:left="1080" w:leftChars="257" w:hanging="540"/>
              <w:rPr>
                <w:rFonts w:hint="eastAsia" w:ascii="仿宋_GB2312" w:eastAsia="仿宋_GB2312"/>
                <w:sz w:val="24"/>
                <w:lang w:val="en-US" w:eastAsia="zh-CN"/>
              </w:rPr>
            </w:pPr>
          </w:p>
        </w:tc>
        <w:tc>
          <w:tcPr>
            <w:tcW w:w="1807" w:type="dxa"/>
            <w:noWrap w:val="0"/>
            <w:vAlign w:val="top"/>
          </w:tcPr>
          <w:p w14:paraId="130B81BA">
            <w:pPr>
              <w:pStyle w:val="15"/>
              <w:spacing w:line="240" w:lineRule="atLeast"/>
              <w:ind w:left="1080" w:leftChars="257" w:hanging="540"/>
              <w:rPr>
                <w:rFonts w:hint="eastAsia" w:ascii="仿宋_GB2312" w:eastAsia="仿宋_GB2312"/>
                <w:sz w:val="24"/>
                <w:lang w:val="en-US" w:eastAsia="zh-CN"/>
              </w:rPr>
            </w:pPr>
          </w:p>
        </w:tc>
        <w:tc>
          <w:tcPr>
            <w:tcW w:w="1972" w:type="dxa"/>
            <w:noWrap w:val="0"/>
            <w:vAlign w:val="top"/>
          </w:tcPr>
          <w:p w14:paraId="38C927D0">
            <w:pPr>
              <w:pStyle w:val="15"/>
              <w:spacing w:line="240" w:lineRule="atLeast"/>
              <w:ind w:left="1080" w:leftChars="257" w:hanging="540"/>
              <w:rPr>
                <w:rFonts w:hint="eastAsia" w:ascii="仿宋_GB2312" w:eastAsia="仿宋_GB2312"/>
                <w:sz w:val="24"/>
                <w:lang w:val="en-US" w:eastAsia="zh-CN"/>
              </w:rPr>
            </w:pPr>
          </w:p>
        </w:tc>
        <w:tc>
          <w:tcPr>
            <w:tcW w:w="1807" w:type="dxa"/>
            <w:noWrap w:val="0"/>
            <w:vAlign w:val="top"/>
          </w:tcPr>
          <w:p w14:paraId="5C115473">
            <w:pPr>
              <w:pStyle w:val="15"/>
              <w:spacing w:line="240" w:lineRule="atLeast"/>
              <w:ind w:left="1080" w:leftChars="257" w:hanging="540"/>
              <w:rPr>
                <w:rFonts w:hint="eastAsia" w:ascii="仿宋_GB2312" w:eastAsia="仿宋_GB2312"/>
                <w:sz w:val="24"/>
                <w:lang w:val="en-US" w:eastAsia="zh-CN"/>
              </w:rPr>
            </w:pPr>
          </w:p>
        </w:tc>
      </w:tr>
      <w:tr w14:paraId="2E319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14" w:type="dxa"/>
            <w:noWrap w:val="0"/>
            <w:vAlign w:val="top"/>
          </w:tcPr>
          <w:p w14:paraId="074FB993">
            <w:pPr>
              <w:pStyle w:val="15"/>
              <w:spacing w:line="240" w:lineRule="atLeast"/>
              <w:ind w:left="1080" w:leftChars="257" w:hanging="540"/>
              <w:rPr>
                <w:rFonts w:hint="eastAsia" w:ascii="仿宋_GB2312" w:eastAsia="仿宋_GB2312"/>
                <w:sz w:val="24"/>
                <w:lang w:val="en-US" w:eastAsia="zh-CN"/>
              </w:rPr>
            </w:pPr>
          </w:p>
        </w:tc>
        <w:tc>
          <w:tcPr>
            <w:tcW w:w="1807" w:type="dxa"/>
            <w:noWrap w:val="0"/>
            <w:vAlign w:val="top"/>
          </w:tcPr>
          <w:p w14:paraId="0869A827">
            <w:pPr>
              <w:pStyle w:val="15"/>
              <w:spacing w:line="240" w:lineRule="atLeast"/>
              <w:ind w:left="1080" w:leftChars="257" w:hanging="540"/>
              <w:rPr>
                <w:rFonts w:hint="eastAsia" w:ascii="仿宋_GB2312" w:eastAsia="仿宋_GB2312"/>
                <w:sz w:val="24"/>
                <w:lang w:val="en-US" w:eastAsia="zh-CN"/>
              </w:rPr>
            </w:pPr>
          </w:p>
        </w:tc>
        <w:tc>
          <w:tcPr>
            <w:tcW w:w="1644" w:type="dxa"/>
            <w:noWrap w:val="0"/>
            <w:vAlign w:val="top"/>
          </w:tcPr>
          <w:p w14:paraId="19B7BA9F">
            <w:pPr>
              <w:pStyle w:val="15"/>
              <w:spacing w:line="240" w:lineRule="atLeast"/>
              <w:ind w:left="1080" w:leftChars="257" w:hanging="540"/>
              <w:rPr>
                <w:rFonts w:hint="eastAsia" w:ascii="仿宋_GB2312" w:eastAsia="仿宋_GB2312"/>
                <w:sz w:val="24"/>
                <w:lang w:val="en-US" w:eastAsia="zh-CN"/>
              </w:rPr>
            </w:pPr>
          </w:p>
        </w:tc>
        <w:tc>
          <w:tcPr>
            <w:tcW w:w="1479" w:type="dxa"/>
            <w:noWrap w:val="0"/>
            <w:vAlign w:val="top"/>
          </w:tcPr>
          <w:p w14:paraId="18619884">
            <w:pPr>
              <w:pStyle w:val="15"/>
              <w:spacing w:line="240" w:lineRule="atLeast"/>
              <w:ind w:left="1080" w:leftChars="257" w:hanging="540"/>
              <w:rPr>
                <w:rFonts w:hint="eastAsia" w:ascii="仿宋_GB2312" w:eastAsia="仿宋_GB2312"/>
                <w:sz w:val="24"/>
                <w:lang w:val="en-US" w:eastAsia="zh-CN"/>
              </w:rPr>
            </w:pPr>
          </w:p>
        </w:tc>
        <w:tc>
          <w:tcPr>
            <w:tcW w:w="1807" w:type="dxa"/>
            <w:noWrap w:val="0"/>
            <w:vAlign w:val="top"/>
          </w:tcPr>
          <w:p w14:paraId="5E7FFF46">
            <w:pPr>
              <w:pStyle w:val="15"/>
              <w:spacing w:line="240" w:lineRule="atLeast"/>
              <w:ind w:left="1080" w:leftChars="257" w:hanging="540"/>
              <w:rPr>
                <w:rFonts w:hint="eastAsia" w:ascii="仿宋_GB2312" w:eastAsia="仿宋_GB2312"/>
                <w:sz w:val="24"/>
                <w:lang w:val="en-US" w:eastAsia="zh-CN"/>
              </w:rPr>
            </w:pPr>
          </w:p>
        </w:tc>
        <w:tc>
          <w:tcPr>
            <w:tcW w:w="1807" w:type="dxa"/>
            <w:noWrap w:val="0"/>
            <w:vAlign w:val="top"/>
          </w:tcPr>
          <w:p w14:paraId="45114FBC">
            <w:pPr>
              <w:pStyle w:val="15"/>
              <w:spacing w:line="240" w:lineRule="atLeast"/>
              <w:ind w:left="1080" w:leftChars="257" w:hanging="540"/>
              <w:rPr>
                <w:rFonts w:hint="eastAsia" w:ascii="仿宋_GB2312" w:eastAsia="仿宋_GB2312"/>
                <w:sz w:val="24"/>
                <w:lang w:val="en-US" w:eastAsia="zh-CN"/>
              </w:rPr>
            </w:pPr>
          </w:p>
        </w:tc>
        <w:tc>
          <w:tcPr>
            <w:tcW w:w="1972" w:type="dxa"/>
            <w:noWrap w:val="0"/>
            <w:vAlign w:val="top"/>
          </w:tcPr>
          <w:p w14:paraId="0D26C575">
            <w:pPr>
              <w:pStyle w:val="15"/>
              <w:spacing w:line="240" w:lineRule="atLeast"/>
              <w:ind w:left="1080" w:leftChars="257" w:hanging="540"/>
              <w:rPr>
                <w:rFonts w:hint="eastAsia" w:ascii="仿宋_GB2312" w:eastAsia="仿宋_GB2312"/>
                <w:sz w:val="24"/>
                <w:lang w:val="en-US" w:eastAsia="zh-CN"/>
              </w:rPr>
            </w:pPr>
          </w:p>
        </w:tc>
        <w:tc>
          <w:tcPr>
            <w:tcW w:w="1807" w:type="dxa"/>
            <w:noWrap w:val="0"/>
            <w:vAlign w:val="top"/>
          </w:tcPr>
          <w:p w14:paraId="2826AC77">
            <w:pPr>
              <w:pStyle w:val="15"/>
              <w:spacing w:line="240" w:lineRule="atLeast"/>
              <w:ind w:left="1080" w:leftChars="257" w:hanging="540"/>
              <w:rPr>
                <w:rFonts w:hint="eastAsia" w:ascii="仿宋_GB2312" w:eastAsia="仿宋_GB2312"/>
                <w:sz w:val="24"/>
                <w:lang w:val="en-US" w:eastAsia="zh-CN"/>
              </w:rPr>
            </w:pPr>
          </w:p>
        </w:tc>
      </w:tr>
      <w:tr w14:paraId="1F60B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14" w:type="dxa"/>
            <w:noWrap w:val="0"/>
            <w:vAlign w:val="top"/>
          </w:tcPr>
          <w:p w14:paraId="2134BF60">
            <w:pPr>
              <w:pStyle w:val="15"/>
              <w:spacing w:line="240" w:lineRule="atLeast"/>
              <w:ind w:left="1080" w:leftChars="257" w:hanging="540"/>
              <w:rPr>
                <w:rFonts w:hint="eastAsia" w:ascii="仿宋_GB2312" w:eastAsia="仿宋_GB2312"/>
                <w:sz w:val="24"/>
                <w:lang w:val="en-US" w:eastAsia="zh-CN"/>
              </w:rPr>
            </w:pPr>
          </w:p>
        </w:tc>
        <w:tc>
          <w:tcPr>
            <w:tcW w:w="1807" w:type="dxa"/>
            <w:noWrap w:val="0"/>
            <w:vAlign w:val="top"/>
          </w:tcPr>
          <w:p w14:paraId="4C3CE28E">
            <w:pPr>
              <w:pStyle w:val="15"/>
              <w:spacing w:line="240" w:lineRule="atLeast"/>
              <w:ind w:left="1080" w:leftChars="257" w:hanging="540"/>
              <w:rPr>
                <w:rFonts w:hint="eastAsia" w:ascii="仿宋_GB2312" w:eastAsia="仿宋_GB2312"/>
                <w:sz w:val="24"/>
                <w:lang w:val="en-US" w:eastAsia="zh-CN"/>
              </w:rPr>
            </w:pPr>
          </w:p>
        </w:tc>
        <w:tc>
          <w:tcPr>
            <w:tcW w:w="1644" w:type="dxa"/>
            <w:noWrap w:val="0"/>
            <w:vAlign w:val="top"/>
          </w:tcPr>
          <w:p w14:paraId="38FCE9C9">
            <w:pPr>
              <w:pStyle w:val="15"/>
              <w:spacing w:line="240" w:lineRule="atLeast"/>
              <w:ind w:left="1080" w:leftChars="257" w:hanging="540"/>
              <w:rPr>
                <w:rFonts w:hint="eastAsia" w:ascii="仿宋_GB2312" w:eastAsia="仿宋_GB2312"/>
                <w:sz w:val="24"/>
                <w:lang w:val="en-US" w:eastAsia="zh-CN"/>
              </w:rPr>
            </w:pPr>
          </w:p>
        </w:tc>
        <w:tc>
          <w:tcPr>
            <w:tcW w:w="1479" w:type="dxa"/>
            <w:noWrap w:val="0"/>
            <w:vAlign w:val="top"/>
          </w:tcPr>
          <w:p w14:paraId="7062DD98">
            <w:pPr>
              <w:pStyle w:val="15"/>
              <w:spacing w:line="240" w:lineRule="atLeast"/>
              <w:ind w:left="1080" w:leftChars="257" w:hanging="540"/>
              <w:rPr>
                <w:rFonts w:hint="eastAsia" w:ascii="仿宋_GB2312" w:eastAsia="仿宋_GB2312"/>
                <w:sz w:val="24"/>
                <w:lang w:val="en-US" w:eastAsia="zh-CN"/>
              </w:rPr>
            </w:pPr>
          </w:p>
        </w:tc>
        <w:tc>
          <w:tcPr>
            <w:tcW w:w="1807" w:type="dxa"/>
            <w:noWrap w:val="0"/>
            <w:vAlign w:val="top"/>
          </w:tcPr>
          <w:p w14:paraId="2038C27A">
            <w:pPr>
              <w:pStyle w:val="15"/>
              <w:spacing w:line="240" w:lineRule="atLeast"/>
              <w:ind w:left="1080" w:leftChars="257" w:hanging="540"/>
              <w:rPr>
                <w:rFonts w:hint="eastAsia" w:ascii="仿宋_GB2312" w:eastAsia="仿宋_GB2312"/>
                <w:sz w:val="24"/>
                <w:lang w:val="en-US" w:eastAsia="zh-CN"/>
              </w:rPr>
            </w:pPr>
          </w:p>
        </w:tc>
        <w:tc>
          <w:tcPr>
            <w:tcW w:w="1807" w:type="dxa"/>
            <w:noWrap w:val="0"/>
            <w:vAlign w:val="top"/>
          </w:tcPr>
          <w:p w14:paraId="4CE5405D">
            <w:pPr>
              <w:pStyle w:val="15"/>
              <w:spacing w:line="240" w:lineRule="atLeast"/>
              <w:ind w:left="1080" w:leftChars="257" w:hanging="540"/>
              <w:rPr>
                <w:rFonts w:hint="eastAsia" w:ascii="仿宋_GB2312" w:eastAsia="仿宋_GB2312"/>
                <w:sz w:val="24"/>
                <w:lang w:val="en-US" w:eastAsia="zh-CN"/>
              </w:rPr>
            </w:pPr>
          </w:p>
        </w:tc>
        <w:tc>
          <w:tcPr>
            <w:tcW w:w="1972" w:type="dxa"/>
            <w:noWrap w:val="0"/>
            <w:vAlign w:val="top"/>
          </w:tcPr>
          <w:p w14:paraId="400B841D">
            <w:pPr>
              <w:pStyle w:val="15"/>
              <w:spacing w:line="240" w:lineRule="atLeast"/>
              <w:ind w:left="1080" w:leftChars="257" w:hanging="540"/>
              <w:rPr>
                <w:rFonts w:hint="eastAsia" w:ascii="仿宋_GB2312" w:eastAsia="仿宋_GB2312"/>
                <w:sz w:val="24"/>
                <w:lang w:val="en-US" w:eastAsia="zh-CN"/>
              </w:rPr>
            </w:pPr>
          </w:p>
        </w:tc>
        <w:tc>
          <w:tcPr>
            <w:tcW w:w="1807" w:type="dxa"/>
            <w:noWrap w:val="0"/>
            <w:vAlign w:val="top"/>
          </w:tcPr>
          <w:p w14:paraId="3F3F1310">
            <w:pPr>
              <w:pStyle w:val="15"/>
              <w:spacing w:line="240" w:lineRule="atLeast"/>
              <w:ind w:left="1080" w:leftChars="257" w:hanging="540"/>
              <w:rPr>
                <w:rFonts w:hint="eastAsia" w:ascii="仿宋_GB2312" w:eastAsia="仿宋_GB2312"/>
                <w:sz w:val="24"/>
                <w:lang w:val="en-US" w:eastAsia="zh-CN"/>
              </w:rPr>
            </w:pPr>
          </w:p>
        </w:tc>
      </w:tr>
      <w:tr w14:paraId="34277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14" w:type="dxa"/>
            <w:noWrap w:val="0"/>
            <w:vAlign w:val="top"/>
          </w:tcPr>
          <w:p w14:paraId="302D42A7">
            <w:pPr>
              <w:pStyle w:val="15"/>
              <w:spacing w:line="240" w:lineRule="atLeast"/>
              <w:ind w:left="1080" w:leftChars="257" w:hanging="540"/>
              <w:rPr>
                <w:rFonts w:hint="eastAsia" w:ascii="仿宋_GB2312" w:eastAsia="仿宋_GB2312"/>
                <w:sz w:val="24"/>
                <w:lang w:val="en-US" w:eastAsia="zh-CN"/>
              </w:rPr>
            </w:pPr>
          </w:p>
        </w:tc>
        <w:tc>
          <w:tcPr>
            <w:tcW w:w="1807" w:type="dxa"/>
            <w:noWrap w:val="0"/>
            <w:vAlign w:val="top"/>
          </w:tcPr>
          <w:p w14:paraId="7E3293F0">
            <w:pPr>
              <w:pStyle w:val="15"/>
              <w:spacing w:line="240" w:lineRule="atLeast"/>
              <w:ind w:left="1080" w:leftChars="257" w:hanging="540"/>
              <w:rPr>
                <w:rFonts w:hint="eastAsia" w:ascii="仿宋_GB2312" w:eastAsia="仿宋_GB2312"/>
                <w:sz w:val="24"/>
                <w:lang w:val="en-US" w:eastAsia="zh-CN"/>
              </w:rPr>
            </w:pPr>
          </w:p>
        </w:tc>
        <w:tc>
          <w:tcPr>
            <w:tcW w:w="1644" w:type="dxa"/>
            <w:noWrap w:val="0"/>
            <w:vAlign w:val="top"/>
          </w:tcPr>
          <w:p w14:paraId="5D86C251">
            <w:pPr>
              <w:pStyle w:val="15"/>
              <w:spacing w:line="240" w:lineRule="atLeast"/>
              <w:ind w:left="1080" w:leftChars="257" w:hanging="540"/>
              <w:rPr>
                <w:rFonts w:hint="eastAsia" w:ascii="仿宋_GB2312" w:eastAsia="仿宋_GB2312"/>
                <w:sz w:val="24"/>
                <w:lang w:val="en-US" w:eastAsia="zh-CN"/>
              </w:rPr>
            </w:pPr>
          </w:p>
        </w:tc>
        <w:tc>
          <w:tcPr>
            <w:tcW w:w="1479" w:type="dxa"/>
            <w:noWrap w:val="0"/>
            <w:vAlign w:val="top"/>
          </w:tcPr>
          <w:p w14:paraId="7224F17F">
            <w:pPr>
              <w:pStyle w:val="15"/>
              <w:spacing w:line="240" w:lineRule="atLeast"/>
              <w:ind w:left="1080" w:leftChars="257" w:hanging="540"/>
              <w:rPr>
                <w:rFonts w:hint="eastAsia" w:ascii="仿宋_GB2312" w:eastAsia="仿宋_GB2312"/>
                <w:sz w:val="24"/>
                <w:lang w:val="en-US" w:eastAsia="zh-CN"/>
              </w:rPr>
            </w:pPr>
          </w:p>
        </w:tc>
        <w:tc>
          <w:tcPr>
            <w:tcW w:w="1807" w:type="dxa"/>
            <w:noWrap w:val="0"/>
            <w:vAlign w:val="top"/>
          </w:tcPr>
          <w:p w14:paraId="20D9CCCC">
            <w:pPr>
              <w:pStyle w:val="15"/>
              <w:spacing w:line="240" w:lineRule="atLeast"/>
              <w:ind w:left="1080" w:leftChars="257" w:hanging="540"/>
              <w:rPr>
                <w:rFonts w:hint="eastAsia" w:ascii="仿宋_GB2312" w:eastAsia="仿宋_GB2312"/>
                <w:sz w:val="24"/>
                <w:lang w:val="en-US" w:eastAsia="zh-CN"/>
              </w:rPr>
            </w:pPr>
          </w:p>
        </w:tc>
        <w:tc>
          <w:tcPr>
            <w:tcW w:w="1807" w:type="dxa"/>
            <w:noWrap w:val="0"/>
            <w:vAlign w:val="top"/>
          </w:tcPr>
          <w:p w14:paraId="3592CBE0">
            <w:pPr>
              <w:pStyle w:val="15"/>
              <w:spacing w:line="240" w:lineRule="atLeast"/>
              <w:ind w:left="1080" w:leftChars="257" w:hanging="540"/>
              <w:rPr>
                <w:rFonts w:hint="eastAsia" w:ascii="仿宋_GB2312" w:eastAsia="仿宋_GB2312"/>
                <w:sz w:val="24"/>
                <w:lang w:val="en-US" w:eastAsia="zh-CN"/>
              </w:rPr>
            </w:pPr>
          </w:p>
        </w:tc>
        <w:tc>
          <w:tcPr>
            <w:tcW w:w="1972" w:type="dxa"/>
            <w:noWrap w:val="0"/>
            <w:vAlign w:val="top"/>
          </w:tcPr>
          <w:p w14:paraId="3318DC88">
            <w:pPr>
              <w:pStyle w:val="15"/>
              <w:spacing w:line="240" w:lineRule="atLeast"/>
              <w:ind w:left="1080" w:leftChars="257" w:hanging="540"/>
              <w:rPr>
                <w:rFonts w:hint="eastAsia" w:ascii="仿宋_GB2312" w:eastAsia="仿宋_GB2312"/>
                <w:sz w:val="24"/>
                <w:lang w:val="en-US" w:eastAsia="zh-CN"/>
              </w:rPr>
            </w:pPr>
          </w:p>
        </w:tc>
        <w:tc>
          <w:tcPr>
            <w:tcW w:w="1807" w:type="dxa"/>
            <w:noWrap w:val="0"/>
            <w:vAlign w:val="top"/>
          </w:tcPr>
          <w:p w14:paraId="434314DC">
            <w:pPr>
              <w:pStyle w:val="15"/>
              <w:spacing w:line="240" w:lineRule="atLeast"/>
              <w:ind w:left="1080" w:leftChars="257" w:hanging="540"/>
              <w:rPr>
                <w:rFonts w:hint="eastAsia" w:ascii="仿宋_GB2312" w:eastAsia="仿宋_GB2312"/>
                <w:sz w:val="24"/>
                <w:lang w:val="en-US" w:eastAsia="zh-CN"/>
              </w:rPr>
            </w:pPr>
          </w:p>
        </w:tc>
      </w:tr>
      <w:tr w14:paraId="64E0B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14" w:type="dxa"/>
            <w:noWrap w:val="0"/>
            <w:vAlign w:val="top"/>
          </w:tcPr>
          <w:p w14:paraId="3124CDAE">
            <w:pPr>
              <w:pStyle w:val="15"/>
              <w:spacing w:line="240" w:lineRule="atLeast"/>
              <w:ind w:left="1080" w:leftChars="257" w:hanging="540"/>
              <w:rPr>
                <w:rFonts w:hint="eastAsia" w:ascii="仿宋_GB2312" w:eastAsia="仿宋_GB2312"/>
                <w:sz w:val="24"/>
                <w:lang w:val="en-US" w:eastAsia="zh-CN"/>
              </w:rPr>
            </w:pPr>
          </w:p>
        </w:tc>
        <w:tc>
          <w:tcPr>
            <w:tcW w:w="1807" w:type="dxa"/>
            <w:noWrap w:val="0"/>
            <w:vAlign w:val="top"/>
          </w:tcPr>
          <w:p w14:paraId="1409F50F">
            <w:pPr>
              <w:pStyle w:val="15"/>
              <w:spacing w:line="240" w:lineRule="atLeast"/>
              <w:ind w:left="1080" w:leftChars="257" w:hanging="540"/>
              <w:rPr>
                <w:rFonts w:hint="eastAsia" w:ascii="仿宋_GB2312" w:eastAsia="仿宋_GB2312"/>
                <w:sz w:val="24"/>
                <w:lang w:val="en-US" w:eastAsia="zh-CN"/>
              </w:rPr>
            </w:pPr>
          </w:p>
        </w:tc>
        <w:tc>
          <w:tcPr>
            <w:tcW w:w="1644" w:type="dxa"/>
            <w:noWrap w:val="0"/>
            <w:vAlign w:val="top"/>
          </w:tcPr>
          <w:p w14:paraId="0196CD66">
            <w:pPr>
              <w:pStyle w:val="15"/>
              <w:spacing w:line="240" w:lineRule="atLeast"/>
              <w:ind w:left="1080" w:leftChars="257" w:hanging="540"/>
              <w:rPr>
                <w:rFonts w:hint="eastAsia" w:ascii="仿宋_GB2312" w:eastAsia="仿宋_GB2312"/>
                <w:sz w:val="24"/>
                <w:lang w:val="en-US" w:eastAsia="zh-CN"/>
              </w:rPr>
            </w:pPr>
          </w:p>
        </w:tc>
        <w:tc>
          <w:tcPr>
            <w:tcW w:w="1479" w:type="dxa"/>
            <w:noWrap w:val="0"/>
            <w:vAlign w:val="top"/>
          </w:tcPr>
          <w:p w14:paraId="14EAEF5A">
            <w:pPr>
              <w:pStyle w:val="15"/>
              <w:spacing w:line="240" w:lineRule="atLeast"/>
              <w:ind w:left="1080" w:leftChars="257" w:hanging="540"/>
              <w:rPr>
                <w:rFonts w:hint="eastAsia" w:ascii="仿宋_GB2312" w:eastAsia="仿宋_GB2312"/>
                <w:sz w:val="24"/>
                <w:lang w:val="en-US" w:eastAsia="zh-CN"/>
              </w:rPr>
            </w:pPr>
          </w:p>
        </w:tc>
        <w:tc>
          <w:tcPr>
            <w:tcW w:w="1807" w:type="dxa"/>
            <w:noWrap w:val="0"/>
            <w:vAlign w:val="top"/>
          </w:tcPr>
          <w:p w14:paraId="3AE5E1C7">
            <w:pPr>
              <w:pStyle w:val="15"/>
              <w:spacing w:line="240" w:lineRule="atLeast"/>
              <w:ind w:left="1080" w:leftChars="257" w:hanging="540"/>
              <w:rPr>
                <w:rFonts w:hint="eastAsia" w:ascii="仿宋_GB2312" w:eastAsia="仿宋_GB2312"/>
                <w:sz w:val="24"/>
                <w:lang w:val="en-US" w:eastAsia="zh-CN"/>
              </w:rPr>
            </w:pPr>
          </w:p>
        </w:tc>
        <w:tc>
          <w:tcPr>
            <w:tcW w:w="1807" w:type="dxa"/>
            <w:noWrap w:val="0"/>
            <w:vAlign w:val="top"/>
          </w:tcPr>
          <w:p w14:paraId="4CF22DAF">
            <w:pPr>
              <w:pStyle w:val="15"/>
              <w:spacing w:line="240" w:lineRule="atLeast"/>
              <w:ind w:left="1080" w:leftChars="257" w:hanging="540"/>
              <w:rPr>
                <w:rFonts w:hint="eastAsia" w:ascii="仿宋_GB2312" w:eastAsia="仿宋_GB2312"/>
                <w:sz w:val="24"/>
                <w:lang w:val="en-US" w:eastAsia="zh-CN"/>
              </w:rPr>
            </w:pPr>
          </w:p>
        </w:tc>
        <w:tc>
          <w:tcPr>
            <w:tcW w:w="1972" w:type="dxa"/>
            <w:noWrap w:val="0"/>
            <w:vAlign w:val="top"/>
          </w:tcPr>
          <w:p w14:paraId="6E0203ED">
            <w:pPr>
              <w:pStyle w:val="15"/>
              <w:spacing w:line="240" w:lineRule="atLeast"/>
              <w:ind w:left="1080" w:leftChars="257" w:hanging="540"/>
              <w:rPr>
                <w:rFonts w:hint="eastAsia" w:ascii="仿宋_GB2312" w:eastAsia="仿宋_GB2312"/>
                <w:sz w:val="24"/>
                <w:lang w:val="en-US" w:eastAsia="zh-CN"/>
              </w:rPr>
            </w:pPr>
          </w:p>
        </w:tc>
        <w:tc>
          <w:tcPr>
            <w:tcW w:w="1807" w:type="dxa"/>
            <w:noWrap w:val="0"/>
            <w:vAlign w:val="top"/>
          </w:tcPr>
          <w:p w14:paraId="3DDC5CC3">
            <w:pPr>
              <w:pStyle w:val="15"/>
              <w:spacing w:line="240" w:lineRule="atLeast"/>
              <w:ind w:left="1080" w:leftChars="257" w:hanging="540"/>
              <w:rPr>
                <w:rFonts w:hint="eastAsia" w:ascii="仿宋_GB2312" w:eastAsia="仿宋_GB2312"/>
                <w:sz w:val="24"/>
                <w:lang w:val="en-US" w:eastAsia="zh-CN"/>
              </w:rPr>
            </w:pPr>
          </w:p>
        </w:tc>
      </w:tr>
      <w:tr w14:paraId="76E18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14" w:type="dxa"/>
            <w:noWrap w:val="0"/>
            <w:vAlign w:val="top"/>
          </w:tcPr>
          <w:p w14:paraId="0E7A4B15">
            <w:pPr>
              <w:pStyle w:val="15"/>
              <w:spacing w:line="240" w:lineRule="atLeast"/>
              <w:ind w:left="1080" w:leftChars="257" w:hanging="540"/>
              <w:rPr>
                <w:rFonts w:hint="eastAsia" w:ascii="仿宋_GB2312" w:eastAsia="仿宋_GB2312"/>
                <w:sz w:val="24"/>
                <w:lang w:val="en-US" w:eastAsia="zh-CN"/>
              </w:rPr>
            </w:pPr>
          </w:p>
        </w:tc>
        <w:tc>
          <w:tcPr>
            <w:tcW w:w="1807" w:type="dxa"/>
            <w:noWrap w:val="0"/>
            <w:vAlign w:val="top"/>
          </w:tcPr>
          <w:p w14:paraId="3B172BCA">
            <w:pPr>
              <w:pStyle w:val="15"/>
              <w:spacing w:line="240" w:lineRule="atLeast"/>
              <w:ind w:left="1080" w:leftChars="257" w:hanging="540"/>
              <w:rPr>
                <w:rFonts w:hint="eastAsia" w:ascii="仿宋_GB2312" w:eastAsia="仿宋_GB2312"/>
                <w:sz w:val="24"/>
                <w:lang w:val="en-US" w:eastAsia="zh-CN"/>
              </w:rPr>
            </w:pPr>
          </w:p>
        </w:tc>
        <w:tc>
          <w:tcPr>
            <w:tcW w:w="1644" w:type="dxa"/>
            <w:noWrap w:val="0"/>
            <w:vAlign w:val="top"/>
          </w:tcPr>
          <w:p w14:paraId="1421FDB4">
            <w:pPr>
              <w:pStyle w:val="15"/>
              <w:spacing w:line="240" w:lineRule="atLeast"/>
              <w:ind w:left="1080" w:leftChars="257" w:hanging="540"/>
              <w:rPr>
                <w:rFonts w:hint="eastAsia" w:ascii="仿宋_GB2312" w:eastAsia="仿宋_GB2312"/>
                <w:sz w:val="24"/>
                <w:lang w:val="en-US" w:eastAsia="zh-CN"/>
              </w:rPr>
            </w:pPr>
          </w:p>
        </w:tc>
        <w:tc>
          <w:tcPr>
            <w:tcW w:w="1479" w:type="dxa"/>
            <w:noWrap w:val="0"/>
            <w:vAlign w:val="top"/>
          </w:tcPr>
          <w:p w14:paraId="35FC3C3B">
            <w:pPr>
              <w:pStyle w:val="15"/>
              <w:spacing w:line="240" w:lineRule="atLeast"/>
              <w:ind w:left="1080" w:leftChars="257" w:hanging="540"/>
              <w:rPr>
                <w:rFonts w:hint="eastAsia" w:ascii="仿宋_GB2312" w:eastAsia="仿宋_GB2312"/>
                <w:sz w:val="24"/>
                <w:lang w:val="en-US" w:eastAsia="zh-CN"/>
              </w:rPr>
            </w:pPr>
          </w:p>
        </w:tc>
        <w:tc>
          <w:tcPr>
            <w:tcW w:w="1807" w:type="dxa"/>
            <w:noWrap w:val="0"/>
            <w:vAlign w:val="top"/>
          </w:tcPr>
          <w:p w14:paraId="4C2FD252">
            <w:pPr>
              <w:pStyle w:val="15"/>
              <w:spacing w:line="240" w:lineRule="atLeast"/>
              <w:ind w:left="1080" w:leftChars="257" w:hanging="540"/>
              <w:rPr>
                <w:rFonts w:hint="eastAsia" w:ascii="仿宋_GB2312" w:eastAsia="仿宋_GB2312"/>
                <w:sz w:val="24"/>
                <w:lang w:val="en-US" w:eastAsia="zh-CN"/>
              </w:rPr>
            </w:pPr>
          </w:p>
        </w:tc>
        <w:tc>
          <w:tcPr>
            <w:tcW w:w="1807" w:type="dxa"/>
            <w:noWrap w:val="0"/>
            <w:vAlign w:val="top"/>
          </w:tcPr>
          <w:p w14:paraId="6FFF516F">
            <w:pPr>
              <w:pStyle w:val="15"/>
              <w:spacing w:line="240" w:lineRule="atLeast"/>
              <w:ind w:left="1080" w:leftChars="257" w:hanging="540"/>
              <w:rPr>
                <w:rFonts w:hint="eastAsia" w:ascii="仿宋_GB2312" w:eastAsia="仿宋_GB2312"/>
                <w:sz w:val="24"/>
                <w:lang w:val="en-US" w:eastAsia="zh-CN"/>
              </w:rPr>
            </w:pPr>
          </w:p>
        </w:tc>
        <w:tc>
          <w:tcPr>
            <w:tcW w:w="1972" w:type="dxa"/>
            <w:noWrap w:val="0"/>
            <w:vAlign w:val="top"/>
          </w:tcPr>
          <w:p w14:paraId="19D8B596">
            <w:pPr>
              <w:pStyle w:val="15"/>
              <w:spacing w:line="240" w:lineRule="atLeast"/>
              <w:ind w:left="1080" w:leftChars="257" w:hanging="540"/>
              <w:rPr>
                <w:rFonts w:hint="eastAsia" w:ascii="仿宋_GB2312" w:eastAsia="仿宋_GB2312"/>
                <w:sz w:val="24"/>
                <w:lang w:val="en-US" w:eastAsia="zh-CN"/>
              </w:rPr>
            </w:pPr>
          </w:p>
        </w:tc>
        <w:tc>
          <w:tcPr>
            <w:tcW w:w="1807" w:type="dxa"/>
            <w:noWrap w:val="0"/>
            <w:vAlign w:val="top"/>
          </w:tcPr>
          <w:p w14:paraId="3FEBE278">
            <w:pPr>
              <w:pStyle w:val="15"/>
              <w:spacing w:line="240" w:lineRule="atLeast"/>
              <w:ind w:left="1080" w:leftChars="257" w:hanging="540"/>
              <w:rPr>
                <w:rFonts w:hint="eastAsia" w:ascii="仿宋_GB2312" w:eastAsia="仿宋_GB2312"/>
                <w:sz w:val="24"/>
                <w:lang w:val="en-US" w:eastAsia="zh-CN"/>
              </w:rPr>
            </w:pPr>
          </w:p>
        </w:tc>
      </w:tr>
      <w:tr w14:paraId="200A9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314" w:type="dxa"/>
            <w:noWrap w:val="0"/>
            <w:vAlign w:val="top"/>
          </w:tcPr>
          <w:p w14:paraId="4F878DE3">
            <w:pPr>
              <w:pStyle w:val="15"/>
              <w:spacing w:line="240" w:lineRule="atLeast"/>
              <w:ind w:left="1080" w:leftChars="257" w:hanging="540"/>
              <w:rPr>
                <w:rFonts w:hint="eastAsia" w:ascii="仿宋_GB2312" w:eastAsia="仿宋_GB2312"/>
                <w:sz w:val="24"/>
                <w:lang w:val="en-US" w:eastAsia="zh-CN"/>
              </w:rPr>
            </w:pPr>
          </w:p>
        </w:tc>
        <w:tc>
          <w:tcPr>
            <w:tcW w:w="1807" w:type="dxa"/>
            <w:noWrap w:val="0"/>
            <w:vAlign w:val="top"/>
          </w:tcPr>
          <w:p w14:paraId="37148160">
            <w:pPr>
              <w:pStyle w:val="15"/>
              <w:spacing w:line="240" w:lineRule="atLeast"/>
              <w:ind w:left="1080" w:leftChars="257" w:hanging="540"/>
              <w:rPr>
                <w:rFonts w:hint="eastAsia" w:ascii="仿宋_GB2312" w:eastAsia="仿宋_GB2312"/>
                <w:sz w:val="24"/>
                <w:lang w:val="en-US" w:eastAsia="zh-CN"/>
              </w:rPr>
            </w:pPr>
          </w:p>
        </w:tc>
        <w:tc>
          <w:tcPr>
            <w:tcW w:w="1644" w:type="dxa"/>
            <w:noWrap w:val="0"/>
            <w:vAlign w:val="top"/>
          </w:tcPr>
          <w:p w14:paraId="40B718F3">
            <w:pPr>
              <w:pStyle w:val="15"/>
              <w:spacing w:line="240" w:lineRule="atLeast"/>
              <w:ind w:left="1080" w:leftChars="257" w:hanging="540"/>
              <w:rPr>
                <w:rFonts w:hint="eastAsia" w:ascii="仿宋_GB2312" w:eastAsia="仿宋_GB2312"/>
                <w:sz w:val="24"/>
                <w:lang w:val="en-US" w:eastAsia="zh-CN"/>
              </w:rPr>
            </w:pPr>
          </w:p>
        </w:tc>
        <w:tc>
          <w:tcPr>
            <w:tcW w:w="1479" w:type="dxa"/>
            <w:noWrap w:val="0"/>
            <w:vAlign w:val="top"/>
          </w:tcPr>
          <w:p w14:paraId="01A10302">
            <w:pPr>
              <w:pStyle w:val="15"/>
              <w:spacing w:line="240" w:lineRule="atLeast"/>
              <w:ind w:left="1080" w:leftChars="257" w:hanging="540"/>
              <w:rPr>
                <w:rFonts w:hint="eastAsia" w:ascii="仿宋_GB2312" w:eastAsia="仿宋_GB2312"/>
                <w:sz w:val="24"/>
                <w:lang w:val="en-US" w:eastAsia="zh-CN"/>
              </w:rPr>
            </w:pPr>
          </w:p>
        </w:tc>
        <w:tc>
          <w:tcPr>
            <w:tcW w:w="1807" w:type="dxa"/>
            <w:noWrap w:val="0"/>
            <w:vAlign w:val="top"/>
          </w:tcPr>
          <w:p w14:paraId="6FF5720F">
            <w:pPr>
              <w:pStyle w:val="15"/>
              <w:spacing w:line="240" w:lineRule="atLeast"/>
              <w:ind w:left="1080" w:leftChars="257" w:hanging="540"/>
              <w:rPr>
                <w:rFonts w:hint="eastAsia" w:ascii="仿宋_GB2312" w:eastAsia="仿宋_GB2312"/>
                <w:sz w:val="24"/>
                <w:lang w:val="en-US" w:eastAsia="zh-CN"/>
              </w:rPr>
            </w:pPr>
          </w:p>
        </w:tc>
        <w:tc>
          <w:tcPr>
            <w:tcW w:w="1807" w:type="dxa"/>
            <w:noWrap w:val="0"/>
            <w:vAlign w:val="top"/>
          </w:tcPr>
          <w:p w14:paraId="4CFA13A0">
            <w:pPr>
              <w:pStyle w:val="15"/>
              <w:spacing w:line="240" w:lineRule="atLeast"/>
              <w:ind w:left="1080" w:leftChars="257" w:hanging="540"/>
              <w:rPr>
                <w:rFonts w:hint="eastAsia" w:ascii="仿宋_GB2312" w:eastAsia="仿宋_GB2312"/>
                <w:sz w:val="24"/>
                <w:lang w:val="en-US" w:eastAsia="zh-CN"/>
              </w:rPr>
            </w:pPr>
          </w:p>
        </w:tc>
        <w:tc>
          <w:tcPr>
            <w:tcW w:w="1972" w:type="dxa"/>
            <w:noWrap w:val="0"/>
            <w:vAlign w:val="top"/>
          </w:tcPr>
          <w:p w14:paraId="7C71D450">
            <w:pPr>
              <w:pStyle w:val="15"/>
              <w:spacing w:line="240" w:lineRule="atLeast"/>
              <w:ind w:left="1080" w:leftChars="257" w:hanging="540"/>
              <w:rPr>
                <w:rFonts w:hint="eastAsia" w:ascii="仿宋_GB2312" w:eastAsia="仿宋_GB2312"/>
                <w:sz w:val="24"/>
                <w:lang w:val="en-US" w:eastAsia="zh-CN"/>
              </w:rPr>
            </w:pPr>
          </w:p>
        </w:tc>
        <w:tc>
          <w:tcPr>
            <w:tcW w:w="1807" w:type="dxa"/>
            <w:noWrap w:val="0"/>
            <w:vAlign w:val="top"/>
          </w:tcPr>
          <w:p w14:paraId="1D3A7A74">
            <w:pPr>
              <w:pStyle w:val="15"/>
              <w:spacing w:line="240" w:lineRule="atLeast"/>
              <w:ind w:left="1080" w:leftChars="257" w:hanging="540"/>
              <w:rPr>
                <w:rFonts w:hint="eastAsia" w:ascii="仿宋_GB2312" w:eastAsia="仿宋_GB2312"/>
                <w:sz w:val="24"/>
                <w:lang w:val="en-US" w:eastAsia="zh-CN"/>
              </w:rPr>
            </w:pPr>
          </w:p>
        </w:tc>
      </w:tr>
    </w:tbl>
    <w:p w14:paraId="6B0C3A05">
      <w:pPr>
        <w:pStyle w:val="15"/>
        <w:spacing w:line="240" w:lineRule="atLeast"/>
        <w:ind w:left="1080" w:leftChars="257" w:hanging="540"/>
        <w:jc w:val="center"/>
        <w:rPr>
          <w:rFonts w:hint="eastAsia" w:ascii="仿宋_GB2312" w:eastAsia="仿宋_GB2312"/>
          <w:sz w:val="24"/>
          <w:highlight w:val="none"/>
        </w:rPr>
      </w:pPr>
    </w:p>
    <w:p w14:paraId="71F7204D">
      <w:pPr>
        <w:pStyle w:val="15"/>
        <w:spacing w:line="240" w:lineRule="atLeast"/>
        <w:ind w:left="1080" w:leftChars="257" w:hanging="540"/>
        <w:rPr>
          <w:rFonts w:hint="eastAsia" w:ascii="仿宋_GB2312" w:eastAsia="仿宋_GB2312"/>
          <w:sz w:val="24"/>
          <w:highlight w:val="none"/>
          <w:lang w:eastAsia="zh-CN"/>
        </w:rPr>
      </w:pPr>
      <w:r>
        <w:rPr>
          <w:rFonts w:hint="eastAsia" w:ascii="仿宋_GB2312" w:eastAsia="仿宋_GB2312"/>
          <w:sz w:val="24"/>
        </w:rPr>
        <w:t>法定代表人或其委托代理人</w:t>
      </w:r>
      <w:r>
        <w:rPr>
          <w:rFonts w:hint="eastAsia" w:ascii="仿宋_GB2312" w:eastAsia="仿宋_GB2312"/>
          <w:sz w:val="24"/>
          <w:lang w:eastAsia="zh-CN"/>
        </w:rPr>
        <w:t>（</w:t>
      </w:r>
      <w:r>
        <w:rPr>
          <w:rFonts w:hint="eastAsia" w:ascii="仿宋_GB2312" w:eastAsia="仿宋_GB2312"/>
          <w:sz w:val="24"/>
        </w:rPr>
        <w:t>签字</w:t>
      </w:r>
      <w:r>
        <w:rPr>
          <w:rFonts w:hint="eastAsia" w:ascii="仿宋_GB2312" w:eastAsia="仿宋_GB2312"/>
          <w:sz w:val="24"/>
          <w:lang w:eastAsia="zh-CN"/>
        </w:rPr>
        <w:t>或盖章）</w:t>
      </w:r>
      <w:r>
        <w:rPr>
          <w:rFonts w:hint="eastAsia" w:ascii="仿宋_GB2312" w:eastAsia="仿宋_GB2312"/>
          <w:sz w:val="24"/>
          <w:highlight w:val="none"/>
        </w:rPr>
        <w:t>:</w:t>
      </w:r>
      <w:r>
        <w:rPr>
          <w:rFonts w:ascii="仿宋_GB2312" w:hAnsi="宋体" w:eastAsia="仿宋_GB2312"/>
          <w:sz w:val="24"/>
          <w:highlight w:val="none"/>
          <w:u w:val="single"/>
        </w:rPr>
        <w:tab/>
      </w:r>
    </w:p>
    <w:p w14:paraId="6A8AB7B6">
      <w:pPr>
        <w:pStyle w:val="15"/>
        <w:tabs>
          <w:tab w:val="left" w:pos="5370"/>
        </w:tabs>
        <w:spacing w:line="240" w:lineRule="atLeast"/>
        <w:ind w:left="1080" w:leftChars="257" w:hanging="540"/>
        <w:rPr>
          <w:rFonts w:hint="eastAsia" w:ascii="仿宋_GB2312" w:hAnsi="宋体" w:eastAsia="仿宋_GB2312"/>
          <w:sz w:val="24"/>
          <w:highlight w:val="none"/>
        </w:rPr>
      </w:pPr>
    </w:p>
    <w:p w14:paraId="094845E3">
      <w:pPr>
        <w:pStyle w:val="15"/>
        <w:tabs>
          <w:tab w:val="left" w:pos="5370"/>
        </w:tabs>
        <w:spacing w:line="240" w:lineRule="atLeast"/>
        <w:ind w:left="1080" w:leftChars="257" w:hanging="540"/>
        <w:rPr>
          <w:rFonts w:hint="eastAsia" w:ascii="仿宋_GB2312" w:hAnsi="宋体" w:eastAsia="仿宋_GB2312"/>
          <w:sz w:val="24"/>
          <w:highlight w:val="none"/>
          <w:u w:val="single"/>
        </w:rPr>
      </w:pPr>
      <w:r>
        <w:rPr>
          <w:rFonts w:hint="eastAsia" w:ascii="仿宋_GB2312" w:hAnsi="宋体" w:eastAsia="仿宋_GB2312"/>
          <w:sz w:val="24"/>
          <w:highlight w:val="none"/>
        </w:rPr>
        <w:t>投标人(盖单位章):</w:t>
      </w:r>
      <w:r>
        <w:rPr>
          <w:rFonts w:ascii="仿宋_GB2312" w:hAnsi="宋体" w:eastAsia="仿宋_GB2312"/>
          <w:sz w:val="24"/>
          <w:highlight w:val="none"/>
          <w:u w:val="single"/>
        </w:rPr>
        <w:tab/>
      </w:r>
    </w:p>
    <w:p w14:paraId="6D0A6754">
      <w:pPr>
        <w:pStyle w:val="15"/>
        <w:spacing w:line="240" w:lineRule="atLeast"/>
        <w:ind w:left="1080" w:leftChars="257" w:hanging="540"/>
        <w:rPr>
          <w:rFonts w:hint="eastAsia" w:ascii="仿宋_GB2312" w:eastAsia="仿宋_GB2312"/>
          <w:sz w:val="24"/>
          <w:highlight w:val="none"/>
        </w:rPr>
      </w:pPr>
    </w:p>
    <w:p w14:paraId="2E083BA0">
      <w:pPr>
        <w:pStyle w:val="15"/>
        <w:spacing w:line="240" w:lineRule="atLeast"/>
        <w:ind w:left="1080" w:leftChars="257" w:hanging="540"/>
        <w:rPr>
          <w:rFonts w:hint="eastAsia" w:ascii="仿宋_GB2312" w:eastAsia="仿宋_GB2312"/>
          <w:sz w:val="24"/>
          <w:highlight w:val="none"/>
        </w:rPr>
      </w:pPr>
      <w:r>
        <w:rPr>
          <w:rFonts w:hint="eastAsia" w:ascii="仿宋_GB2312" w:eastAsia="仿宋_GB2312"/>
          <w:sz w:val="24"/>
          <w:highlight w:val="none"/>
        </w:rPr>
        <w:t>注:</w:t>
      </w:r>
      <w:r>
        <w:rPr>
          <w:rFonts w:hint="eastAsia" w:ascii="仿宋_GB2312" w:eastAsia="仿宋_GB2312"/>
          <w:sz w:val="24"/>
          <w:highlight w:val="none"/>
          <w:lang w:eastAsia="zh-CN"/>
        </w:rPr>
        <w:t>如投标人需要，</w:t>
      </w:r>
      <w:r>
        <w:rPr>
          <w:rFonts w:hint="eastAsia" w:ascii="仿宋_GB2312" w:eastAsia="仿宋_GB2312"/>
          <w:sz w:val="24"/>
          <w:highlight w:val="none"/>
        </w:rPr>
        <w:t>各项货物详细</w:t>
      </w:r>
      <w:r>
        <w:rPr>
          <w:rFonts w:hint="eastAsia" w:ascii="仿宋_GB2312" w:eastAsia="仿宋_GB2312"/>
          <w:sz w:val="24"/>
          <w:highlight w:val="none"/>
          <w:lang w:eastAsia="zh-CN"/>
        </w:rPr>
        <w:t>参数</w:t>
      </w:r>
      <w:r>
        <w:rPr>
          <w:rFonts w:hint="eastAsia" w:ascii="仿宋_GB2312" w:eastAsia="仿宋_GB2312"/>
          <w:sz w:val="24"/>
          <w:highlight w:val="none"/>
        </w:rPr>
        <w:t>应另页描述。</w:t>
      </w:r>
    </w:p>
    <w:p w14:paraId="6CB4F3DB">
      <w:pPr>
        <w:pStyle w:val="15"/>
        <w:spacing w:line="240" w:lineRule="atLeast"/>
        <w:ind w:left="1080" w:leftChars="257" w:hanging="540"/>
        <w:jc w:val="center"/>
        <w:rPr>
          <w:rFonts w:hint="eastAsia" w:ascii="仿宋_GB2312" w:eastAsia="仿宋_GB2312"/>
          <w:sz w:val="24"/>
          <w:highlight w:val="none"/>
        </w:rPr>
      </w:pPr>
    </w:p>
    <w:p w14:paraId="58EF79F8">
      <w:pPr>
        <w:pStyle w:val="15"/>
        <w:spacing w:line="240" w:lineRule="atLeast"/>
        <w:ind w:left="1080" w:leftChars="257" w:hanging="540"/>
        <w:jc w:val="center"/>
        <w:rPr>
          <w:rFonts w:ascii="仿宋_GB2312" w:eastAsia="仿宋_GB2312"/>
          <w:sz w:val="24"/>
          <w:highlight w:val="none"/>
        </w:rPr>
        <w:sectPr>
          <w:pgSz w:w="16838" w:h="11906" w:orient="landscape"/>
          <w:pgMar w:top="1797" w:right="1440" w:bottom="1797" w:left="1440" w:header="851" w:footer="992" w:gutter="0"/>
          <w:pgNumType w:fmt="decimal"/>
          <w:cols w:space="720" w:num="1"/>
          <w:docGrid w:linePitch="312" w:charSpace="0"/>
        </w:sectPr>
      </w:pPr>
    </w:p>
    <w:bookmarkEnd w:id="246"/>
    <w:bookmarkEnd w:id="247"/>
    <w:bookmarkEnd w:id="248"/>
    <w:bookmarkEnd w:id="249"/>
    <w:p w14:paraId="68DDBA87">
      <w:pPr>
        <w:pStyle w:val="3"/>
        <w:spacing w:before="0" w:line="240" w:lineRule="atLeast"/>
        <w:jc w:val="center"/>
        <w:rPr>
          <w:rFonts w:hint="eastAsia" w:ascii="仿宋_GB2312" w:eastAsia="仿宋_GB2312"/>
          <w:sz w:val="24"/>
        </w:rPr>
      </w:pPr>
      <w:bookmarkStart w:id="256" w:name="_Toc18257"/>
      <w:bookmarkStart w:id="257" w:name="_Toc582"/>
      <w:bookmarkStart w:id="258" w:name="_Toc216582818"/>
      <w:bookmarkStart w:id="259" w:name="_Toc23"/>
      <w:bookmarkStart w:id="260" w:name="_Toc1980"/>
      <w:bookmarkStart w:id="261" w:name="_Toc515647821"/>
      <w:r>
        <w:rPr>
          <w:rFonts w:hint="eastAsia" w:ascii="仿宋_GB2312" w:eastAsia="仿宋_GB2312"/>
          <w:sz w:val="24"/>
          <w:lang w:val="en-US" w:eastAsia="zh-CN"/>
        </w:rPr>
        <w:t>4、</w:t>
      </w:r>
      <w:r>
        <w:rPr>
          <w:rFonts w:hint="eastAsia" w:ascii="仿宋_GB2312" w:eastAsia="仿宋_GB2312"/>
          <w:sz w:val="24"/>
        </w:rPr>
        <w:t>技术规格偏离表（</w:t>
      </w:r>
      <w:r>
        <w:rPr>
          <w:rFonts w:ascii="仿宋_GB2312" w:eastAsia="仿宋_GB2312"/>
          <w:sz w:val="24"/>
        </w:rPr>
        <w:t>投标文件</w:t>
      </w:r>
      <w:r>
        <w:rPr>
          <w:rFonts w:hint="eastAsia" w:ascii="仿宋_GB2312" w:eastAsia="仿宋_GB2312"/>
          <w:sz w:val="24"/>
        </w:rPr>
        <w:t>格式九）</w:t>
      </w:r>
      <w:bookmarkEnd w:id="256"/>
      <w:bookmarkEnd w:id="257"/>
    </w:p>
    <w:p w14:paraId="12DA01F2">
      <w:pPr>
        <w:pStyle w:val="15"/>
        <w:spacing w:line="240" w:lineRule="atLeast"/>
        <w:ind w:left="1080" w:leftChars="257" w:hanging="540"/>
        <w:rPr>
          <w:rFonts w:hint="eastAsia" w:ascii="仿宋_GB2312" w:eastAsia="仿宋_GB2312"/>
          <w:sz w:val="24"/>
        </w:rPr>
      </w:pPr>
    </w:p>
    <w:p w14:paraId="5F4DB88B">
      <w:pPr>
        <w:pStyle w:val="15"/>
        <w:spacing w:line="240" w:lineRule="atLeast"/>
        <w:rPr>
          <w:rFonts w:hint="default" w:ascii="仿宋_GB2312" w:eastAsia="仿宋_GB2312"/>
          <w:sz w:val="24"/>
          <w:lang w:val="en-US" w:eastAsia="zh-CN"/>
        </w:rPr>
      </w:pPr>
      <w:r>
        <w:rPr>
          <w:rFonts w:hint="eastAsia" w:ascii="仿宋_GB2312" w:eastAsia="仿宋_GB2312"/>
          <w:sz w:val="24"/>
        </w:rPr>
        <w:t>项目名称:</w:t>
      </w:r>
      <w:r>
        <w:rPr>
          <w:rFonts w:hint="eastAsia" w:ascii="仿宋_GB2312" w:eastAsia="仿宋_GB2312"/>
          <w:sz w:val="24"/>
          <w:lang w:val="en-US" w:eastAsia="zh-CN"/>
        </w:rPr>
        <w:t xml:space="preserve">                           </w:t>
      </w:r>
      <w:r>
        <w:rPr>
          <w:rFonts w:hint="eastAsia" w:ascii="仿宋_GB2312" w:eastAsia="仿宋_GB2312"/>
          <w:sz w:val="24"/>
        </w:rPr>
        <w:t>招标编号:</w:t>
      </w:r>
      <w:r>
        <w:rPr>
          <w:rFonts w:hint="eastAsia" w:ascii="仿宋_GB2312" w:eastAsia="仿宋_GB2312"/>
          <w:sz w:val="24"/>
          <w:lang w:val="en-US" w:eastAsia="zh-CN"/>
        </w:rPr>
        <w:t xml:space="preserve">                   </w:t>
      </w:r>
      <w:r>
        <w:rPr>
          <w:rFonts w:hint="eastAsia" w:ascii="仿宋_GB2312" w:eastAsia="仿宋_GB2312"/>
          <w:sz w:val="24"/>
          <w:lang w:eastAsia="zh-CN"/>
        </w:rPr>
        <w:t>包</w:t>
      </w:r>
      <w:r>
        <w:rPr>
          <w:rFonts w:hint="eastAsia" w:ascii="仿宋_GB2312" w:eastAsia="仿宋_GB2312"/>
          <w:sz w:val="24"/>
          <w:lang w:val="en-US" w:eastAsia="zh-CN"/>
        </w:rPr>
        <w:t>号：</w:t>
      </w:r>
    </w:p>
    <w:p w14:paraId="2C57FF87">
      <w:pPr>
        <w:pStyle w:val="15"/>
        <w:spacing w:line="240" w:lineRule="atLeast"/>
        <w:ind w:left="1080" w:leftChars="257" w:hanging="540"/>
        <w:rPr>
          <w:rFonts w:hint="eastAsia" w:ascii="仿宋_GB2312" w:eastAsia="仿宋_GB2312"/>
          <w:sz w:val="24"/>
        </w:rPr>
      </w:pP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2340"/>
        <w:gridCol w:w="1260"/>
        <w:gridCol w:w="1260"/>
        <w:gridCol w:w="900"/>
        <w:gridCol w:w="900"/>
      </w:tblGrid>
      <w:tr w14:paraId="4BF3E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center"/>
          </w:tcPr>
          <w:p w14:paraId="34F1A65A">
            <w:pPr>
              <w:pStyle w:val="15"/>
              <w:spacing w:line="240" w:lineRule="atLeast"/>
              <w:jc w:val="center"/>
              <w:rPr>
                <w:rFonts w:hint="eastAsia" w:ascii="仿宋_GB2312" w:eastAsia="仿宋_GB2312"/>
                <w:sz w:val="24"/>
                <w:lang w:val="en-US" w:eastAsia="zh-CN"/>
              </w:rPr>
            </w:pPr>
            <w:r>
              <w:rPr>
                <w:rFonts w:hint="eastAsia" w:ascii="仿宋_GB2312" w:eastAsia="仿宋_GB2312"/>
                <w:sz w:val="24"/>
                <w:lang w:val="en-US" w:eastAsia="zh-CN"/>
              </w:rPr>
              <w:t>序号</w:t>
            </w:r>
          </w:p>
        </w:tc>
        <w:tc>
          <w:tcPr>
            <w:tcW w:w="1260" w:type="dxa"/>
            <w:noWrap w:val="0"/>
            <w:vAlign w:val="center"/>
          </w:tcPr>
          <w:p w14:paraId="748026EF">
            <w:pPr>
              <w:pStyle w:val="15"/>
              <w:spacing w:line="240" w:lineRule="atLeast"/>
              <w:jc w:val="center"/>
              <w:rPr>
                <w:rFonts w:hint="eastAsia" w:ascii="仿宋_GB2312" w:eastAsia="仿宋_GB2312"/>
                <w:sz w:val="24"/>
                <w:lang w:val="en-US" w:eastAsia="zh-CN"/>
              </w:rPr>
            </w:pPr>
            <w:r>
              <w:rPr>
                <w:rFonts w:hint="eastAsia" w:ascii="仿宋_GB2312" w:eastAsia="仿宋_GB2312"/>
                <w:sz w:val="24"/>
                <w:lang w:val="en-US" w:eastAsia="zh-CN"/>
              </w:rPr>
              <w:t>货物名称</w:t>
            </w:r>
          </w:p>
        </w:tc>
        <w:tc>
          <w:tcPr>
            <w:tcW w:w="2340" w:type="dxa"/>
            <w:noWrap w:val="0"/>
            <w:vAlign w:val="center"/>
          </w:tcPr>
          <w:p w14:paraId="5BFFF3D2">
            <w:pPr>
              <w:pStyle w:val="15"/>
              <w:spacing w:line="240" w:lineRule="atLeast"/>
              <w:ind w:left="269" w:leftChars="128"/>
              <w:jc w:val="center"/>
              <w:rPr>
                <w:rFonts w:hint="eastAsia" w:ascii="仿宋_GB2312" w:eastAsia="仿宋_GB2312"/>
                <w:sz w:val="24"/>
                <w:lang w:val="en-US" w:eastAsia="zh-CN"/>
              </w:rPr>
            </w:pPr>
            <w:r>
              <w:rPr>
                <w:rFonts w:hint="eastAsia" w:ascii="仿宋_GB2312" w:eastAsia="仿宋_GB2312"/>
                <w:sz w:val="24"/>
                <w:lang w:val="en-US" w:eastAsia="zh-CN"/>
              </w:rPr>
              <w:t>招标文件条款号</w:t>
            </w:r>
          </w:p>
        </w:tc>
        <w:tc>
          <w:tcPr>
            <w:tcW w:w="1260" w:type="dxa"/>
            <w:noWrap w:val="0"/>
            <w:vAlign w:val="center"/>
          </w:tcPr>
          <w:p w14:paraId="15759B64">
            <w:pPr>
              <w:pStyle w:val="15"/>
              <w:spacing w:line="240" w:lineRule="atLeast"/>
              <w:jc w:val="center"/>
              <w:rPr>
                <w:rFonts w:hint="eastAsia" w:ascii="仿宋_GB2312" w:eastAsia="仿宋_GB2312"/>
                <w:sz w:val="24"/>
                <w:lang w:val="en-US" w:eastAsia="zh-CN"/>
              </w:rPr>
            </w:pPr>
            <w:r>
              <w:rPr>
                <w:rFonts w:hint="eastAsia" w:ascii="仿宋_GB2312" w:eastAsia="仿宋_GB2312"/>
                <w:sz w:val="24"/>
                <w:lang w:val="en-US" w:eastAsia="zh-CN"/>
              </w:rPr>
              <w:t>招标规格</w:t>
            </w:r>
          </w:p>
        </w:tc>
        <w:tc>
          <w:tcPr>
            <w:tcW w:w="1260" w:type="dxa"/>
            <w:noWrap w:val="0"/>
            <w:vAlign w:val="center"/>
          </w:tcPr>
          <w:p w14:paraId="2390D5A7">
            <w:pPr>
              <w:pStyle w:val="15"/>
              <w:spacing w:line="240" w:lineRule="atLeast"/>
              <w:jc w:val="center"/>
              <w:rPr>
                <w:rFonts w:hint="eastAsia" w:ascii="仿宋_GB2312" w:eastAsia="仿宋_GB2312"/>
                <w:sz w:val="24"/>
                <w:lang w:val="en-US" w:eastAsia="zh-CN"/>
              </w:rPr>
            </w:pPr>
            <w:r>
              <w:rPr>
                <w:rFonts w:hint="eastAsia" w:ascii="仿宋_GB2312" w:eastAsia="仿宋_GB2312"/>
                <w:sz w:val="24"/>
                <w:lang w:val="en-US" w:eastAsia="zh-CN"/>
              </w:rPr>
              <w:t>投标规格</w:t>
            </w:r>
          </w:p>
        </w:tc>
        <w:tc>
          <w:tcPr>
            <w:tcW w:w="900" w:type="dxa"/>
            <w:noWrap w:val="0"/>
            <w:vAlign w:val="center"/>
          </w:tcPr>
          <w:p w14:paraId="5839C225">
            <w:pPr>
              <w:pStyle w:val="15"/>
              <w:spacing w:line="240" w:lineRule="atLeast"/>
              <w:jc w:val="center"/>
              <w:rPr>
                <w:rFonts w:hint="eastAsia" w:ascii="仿宋_GB2312" w:eastAsia="仿宋_GB2312"/>
                <w:sz w:val="24"/>
                <w:lang w:val="en-US" w:eastAsia="zh-CN"/>
              </w:rPr>
            </w:pPr>
            <w:r>
              <w:rPr>
                <w:rFonts w:hint="eastAsia" w:ascii="仿宋_GB2312" w:eastAsia="仿宋_GB2312"/>
                <w:sz w:val="24"/>
                <w:lang w:val="en-US" w:eastAsia="zh-CN"/>
              </w:rPr>
              <w:t>偏离</w:t>
            </w:r>
          </w:p>
        </w:tc>
        <w:tc>
          <w:tcPr>
            <w:tcW w:w="900" w:type="dxa"/>
            <w:noWrap w:val="0"/>
            <w:vAlign w:val="center"/>
          </w:tcPr>
          <w:p w14:paraId="5899A6BF">
            <w:pPr>
              <w:pStyle w:val="15"/>
              <w:spacing w:line="240" w:lineRule="atLeast"/>
              <w:jc w:val="center"/>
              <w:rPr>
                <w:rFonts w:hint="eastAsia" w:ascii="仿宋_GB2312" w:eastAsia="仿宋_GB2312"/>
                <w:sz w:val="24"/>
                <w:lang w:val="en-US" w:eastAsia="zh-CN"/>
              </w:rPr>
            </w:pPr>
            <w:r>
              <w:rPr>
                <w:rFonts w:hint="eastAsia" w:ascii="仿宋_GB2312" w:eastAsia="仿宋_GB2312"/>
                <w:sz w:val="24"/>
                <w:lang w:val="en-US" w:eastAsia="zh-CN"/>
              </w:rPr>
              <w:t>说明</w:t>
            </w:r>
          </w:p>
        </w:tc>
      </w:tr>
      <w:tr w14:paraId="00360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1BF0E2C8">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3D84F28F">
            <w:pPr>
              <w:pStyle w:val="15"/>
              <w:spacing w:line="240" w:lineRule="atLeast"/>
              <w:ind w:left="1080" w:leftChars="257" w:hanging="540"/>
              <w:rPr>
                <w:rFonts w:hint="eastAsia" w:ascii="仿宋_GB2312" w:eastAsia="仿宋_GB2312"/>
                <w:sz w:val="24"/>
                <w:lang w:val="en-US" w:eastAsia="zh-CN"/>
              </w:rPr>
            </w:pPr>
          </w:p>
        </w:tc>
        <w:tc>
          <w:tcPr>
            <w:tcW w:w="2340" w:type="dxa"/>
            <w:noWrap w:val="0"/>
            <w:vAlign w:val="top"/>
          </w:tcPr>
          <w:p w14:paraId="1FFCD9C0">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4294FE99">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0AF4C910">
            <w:pPr>
              <w:pStyle w:val="15"/>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7848D60F">
            <w:pPr>
              <w:pStyle w:val="15"/>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2CFED16D">
            <w:pPr>
              <w:pStyle w:val="15"/>
              <w:spacing w:line="240" w:lineRule="atLeast"/>
              <w:ind w:left="1080" w:leftChars="257" w:hanging="540"/>
              <w:rPr>
                <w:rFonts w:hint="eastAsia" w:ascii="仿宋_GB2312" w:eastAsia="仿宋_GB2312"/>
                <w:sz w:val="24"/>
                <w:lang w:val="en-US" w:eastAsia="zh-CN"/>
              </w:rPr>
            </w:pPr>
          </w:p>
        </w:tc>
      </w:tr>
      <w:tr w14:paraId="0D811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557B8125">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2A3EF3D3">
            <w:pPr>
              <w:pStyle w:val="15"/>
              <w:spacing w:line="240" w:lineRule="atLeast"/>
              <w:ind w:left="1080" w:leftChars="257" w:hanging="540"/>
              <w:rPr>
                <w:rFonts w:hint="eastAsia" w:ascii="仿宋_GB2312" w:eastAsia="仿宋_GB2312"/>
                <w:sz w:val="24"/>
                <w:lang w:val="en-US" w:eastAsia="zh-CN"/>
              </w:rPr>
            </w:pPr>
          </w:p>
        </w:tc>
        <w:tc>
          <w:tcPr>
            <w:tcW w:w="2340" w:type="dxa"/>
            <w:noWrap w:val="0"/>
            <w:vAlign w:val="top"/>
          </w:tcPr>
          <w:p w14:paraId="07DEF671">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58DC54EC">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661EA5C8">
            <w:pPr>
              <w:pStyle w:val="15"/>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6BB8022C">
            <w:pPr>
              <w:pStyle w:val="15"/>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63E395C3">
            <w:pPr>
              <w:pStyle w:val="15"/>
              <w:spacing w:line="240" w:lineRule="atLeast"/>
              <w:ind w:left="1080" w:leftChars="257" w:hanging="540"/>
              <w:rPr>
                <w:rFonts w:hint="eastAsia" w:ascii="仿宋_GB2312" w:eastAsia="仿宋_GB2312"/>
                <w:sz w:val="24"/>
                <w:lang w:val="en-US" w:eastAsia="zh-CN"/>
              </w:rPr>
            </w:pPr>
          </w:p>
        </w:tc>
      </w:tr>
      <w:tr w14:paraId="67299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1ADDD22B">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641865B1">
            <w:pPr>
              <w:pStyle w:val="15"/>
              <w:spacing w:line="240" w:lineRule="atLeast"/>
              <w:ind w:left="1080" w:leftChars="257" w:hanging="540"/>
              <w:rPr>
                <w:rFonts w:hint="eastAsia" w:ascii="仿宋_GB2312" w:eastAsia="仿宋_GB2312"/>
                <w:sz w:val="24"/>
                <w:lang w:val="en-US" w:eastAsia="zh-CN"/>
              </w:rPr>
            </w:pPr>
          </w:p>
        </w:tc>
        <w:tc>
          <w:tcPr>
            <w:tcW w:w="2340" w:type="dxa"/>
            <w:noWrap w:val="0"/>
            <w:vAlign w:val="top"/>
          </w:tcPr>
          <w:p w14:paraId="0EA86620">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236D51C1">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3AD4F972">
            <w:pPr>
              <w:pStyle w:val="15"/>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32060892">
            <w:pPr>
              <w:pStyle w:val="15"/>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6AE65B0E">
            <w:pPr>
              <w:pStyle w:val="15"/>
              <w:spacing w:line="240" w:lineRule="atLeast"/>
              <w:ind w:left="1080" w:leftChars="257" w:hanging="540"/>
              <w:rPr>
                <w:rFonts w:hint="eastAsia" w:ascii="仿宋_GB2312" w:eastAsia="仿宋_GB2312"/>
                <w:sz w:val="24"/>
                <w:lang w:val="en-US" w:eastAsia="zh-CN"/>
              </w:rPr>
            </w:pPr>
          </w:p>
        </w:tc>
      </w:tr>
      <w:tr w14:paraId="2C333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32B07722">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1FA83C53">
            <w:pPr>
              <w:pStyle w:val="15"/>
              <w:spacing w:line="240" w:lineRule="atLeast"/>
              <w:ind w:left="1080" w:leftChars="257" w:hanging="540"/>
              <w:rPr>
                <w:rFonts w:hint="eastAsia" w:ascii="仿宋_GB2312" w:eastAsia="仿宋_GB2312"/>
                <w:sz w:val="24"/>
                <w:lang w:val="en-US" w:eastAsia="zh-CN"/>
              </w:rPr>
            </w:pPr>
          </w:p>
        </w:tc>
        <w:tc>
          <w:tcPr>
            <w:tcW w:w="2340" w:type="dxa"/>
            <w:noWrap w:val="0"/>
            <w:vAlign w:val="top"/>
          </w:tcPr>
          <w:p w14:paraId="5A395B9B">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3DEB16F9">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2443B1BF">
            <w:pPr>
              <w:pStyle w:val="15"/>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5077E809">
            <w:pPr>
              <w:pStyle w:val="15"/>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6E516AA9">
            <w:pPr>
              <w:pStyle w:val="15"/>
              <w:spacing w:line="240" w:lineRule="atLeast"/>
              <w:ind w:left="1080" w:leftChars="257" w:hanging="540"/>
              <w:rPr>
                <w:rFonts w:hint="eastAsia" w:ascii="仿宋_GB2312" w:eastAsia="仿宋_GB2312"/>
                <w:sz w:val="24"/>
                <w:lang w:val="en-US" w:eastAsia="zh-CN"/>
              </w:rPr>
            </w:pPr>
          </w:p>
        </w:tc>
      </w:tr>
      <w:tr w14:paraId="7672B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24A4E527">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5DAED340">
            <w:pPr>
              <w:pStyle w:val="15"/>
              <w:spacing w:line="240" w:lineRule="atLeast"/>
              <w:ind w:left="1080" w:leftChars="257" w:hanging="540"/>
              <w:rPr>
                <w:rFonts w:hint="eastAsia" w:ascii="仿宋_GB2312" w:eastAsia="仿宋_GB2312"/>
                <w:sz w:val="24"/>
                <w:lang w:val="en-US" w:eastAsia="zh-CN"/>
              </w:rPr>
            </w:pPr>
          </w:p>
        </w:tc>
        <w:tc>
          <w:tcPr>
            <w:tcW w:w="2340" w:type="dxa"/>
            <w:noWrap w:val="0"/>
            <w:vAlign w:val="top"/>
          </w:tcPr>
          <w:p w14:paraId="4FABD304">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57A8DE11">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467FC14D">
            <w:pPr>
              <w:pStyle w:val="15"/>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10DCD1FD">
            <w:pPr>
              <w:pStyle w:val="15"/>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12EC8280">
            <w:pPr>
              <w:pStyle w:val="15"/>
              <w:spacing w:line="240" w:lineRule="atLeast"/>
              <w:ind w:left="1080" w:leftChars="257" w:hanging="540"/>
              <w:rPr>
                <w:rFonts w:hint="eastAsia" w:ascii="仿宋_GB2312" w:eastAsia="仿宋_GB2312"/>
                <w:sz w:val="24"/>
                <w:lang w:val="en-US" w:eastAsia="zh-CN"/>
              </w:rPr>
            </w:pPr>
          </w:p>
        </w:tc>
      </w:tr>
      <w:tr w14:paraId="38BE7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19B91F03">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777D4E5A">
            <w:pPr>
              <w:pStyle w:val="15"/>
              <w:spacing w:line="240" w:lineRule="atLeast"/>
              <w:ind w:left="1080" w:leftChars="257" w:hanging="540"/>
              <w:rPr>
                <w:rFonts w:hint="eastAsia" w:ascii="仿宋_GB2312" w:eastAsia="仿宋_GB2312"/>
                <w:sz w:val="24"/>
                <w:lang w:val="en-US" w:eastAsia="zh-CN"/>
              </w:rPr>
            </w:pPr>
          </w:p>
        </w:tc>
        <w:tc>
          <w:tcPr>
            <w:tcW w:w="2340" w:type="dxa"/>
            <w:noWrap w:val="0"/>
            <w:vAlign w:val="top"/>
          </w:tcPr>
          <w:p w14:paraId="6F30152D">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14C495B5">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36BBB237">
            <w:pPr>
              <w:pStyle w:val="15"/>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6A5508B4">
            <w:pPr>
              <w:pStyle w:val="15"/>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7281E09D">
            <w:pPr>
              <w:pStyle w:val="15"/>
              <w:spacing w:line="240" w:lineRule="atLeast"/>
              <w:ind w:left="1080" w:leftChars="257" w:hanging="540"/>
              <w:rPr>
                <w:rFonts w:hint="eastAsia" w:ascii="仿宋_GB2312" w:eastAsia="仿宋_GB2312"/>
                <w:sz w:val="24"/>
                <w:lang w:val="en-US" w:eastAsia="zh-CN"/>
              </w:rPr>
            </w:pPr>
          </w:p>
        </w:tc>
      </w:tr>
      <w:tr w14:paraId="05E35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4673D5D1">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437CB00F">
            <w:pPr>
              <w:pStyle w:val="15"/>
              <w:spacing w:line="240" w:lineRule="atLeast"/>
              <w:ind w:left="1080" w:leftChars="257" w:hanging="540"/>
              <w:rPr>
                <w:rFonts w:hint="eastAsia" w:ascii="仿宋_GB2312" w:eastAsia="仿宋_GB2312"/>
                <w:sz w:val="24"/>
                <w:lang w:val="en-US" w:eastAsia="zh-CN"/>
              </w:rPr>
            </w:pPr>
          </w:p>
        </w:tc>
        <w:tc>
          <w:tcPr>
            <w:tcW w:w="2340" w:type="dxa"/>
            <w:noWrap w:val="0"/>
            <w:vAlign w:val="top"/>
          </w:tcPr>
          <w:p w14:paraId="6C32D9D7">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7402A1AB">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2A621BB8">
            <w:pPr>
              <w:pStyle w:val="15"/>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35912113">
            <w:pPr>
              <w:pStyle w:val="15"/>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7B351620">
            <w:pPr>
              <w:pStyle w:val="15"/>
              <w:spacing w:line="240" w:lineRule="atLeast"/>
              <w:ind w:left="1080" w:leftChars="257" w:hanging="540"/>
              <w:rPr>
                <w:rFonts w:hint="eastAsia" w:ascii="仿宋_GB2312" w:eastAsia="仿宋_GB2312"/>
                <w:sz w:val="24"/>
                <w:lang w:val="en-US" w:eastAsia="zh-CN"/>
              </w:rPr>
            </w:pPr>
          </w:p>
        </w:tc>
      </w:tr>
      <w:tr w14:paraId="419A5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2A5FD8CA">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659AA75E">
            <w:pPr>
              <w:pStyle w:val="15"/>
              <w:spacing w:line="240" w:lineRule="atLeast"/>
              <w:ind w:left="1080" w:leftChars="257" w:hanging="540"/>
              <w:rPr>
                <w:rFonts w:hint="eastAsia" w:ascii="仿宋_GB2312" w:eastAsia="仿宋_GB2312"/>
                <w:sz w:val="24"/>
                <w:lang w:val="en-US" w:eastAsia="zh-CN"/>
              </w:rPr>
            </w:pPr>
          </w:p>
        </w:tc>
        <w:tc>
          <w:tcPr>
            <w:tcW w:w="2340" w:type="dxa"/>
            <w:noWrap w:val="0"/>
            <w:vAlign w:val="top"/>
          </w:tcPr>
          <w:p w14:paraId="7E36CC25">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670EF27A">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4CF86645">
            <w:pPr>
              <w:pStyle w:val="15"/>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556479E4">
            <w:pPr>
              <w:pStyle w:val="15"/>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63549C23">
            <w:pPr>
              <w:pStyle w:val="15"/>
              <w:spacing w:line="240" w:lineRule="atLeast"/>
              <w:ind w:left="1080" w:leftChars="257" w:hanging="540"/>
              <w:rPr>
                <w:rFonts w:hint="eastAsia" w:ascii="仿宋_GB2312" w:eastAsia="仿宋_GB2312"/>
                <w:sz w:val="24"/>
                <w:lang w:val="en-US" w:eastAsia="zh-CN"/>
              </w:rPr>
            </w:pPr>
          </w:p>
        </w:tc>
      </w:tr>
      <w:tr w14:paraId="36D8C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3E947B1E">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004F5EFA">
            <w:pPr>
              <w:pStyle w:val="15"/>
              <w:spacing w:line="240" w:lineRule="atLeast"/>
              <w:ind w:left="1080" w:leftChars="257" w:hanging="540"/>
              <w:rPr>
                <w:rFonts w:hint="eastAsia" w:ascii="仿宋_GB2312" w:eastAsia="仿宋_GB2312"/>
                <w:sz w:val="24"/>
                <w:lang w:val="en-US" w:eastAsia="zh-CN"/>
              </w:rPr>
            </w:pPr>
          </w:p>
        </w:tc>
        <w:tc>
          <w:tcPr>
            <w:tcW w:w="2340" w:type="dxa"/>
            <w:noWrap w:val="0"/>
            <w:vAlign w:val="top"/>
          </w:tcPr>
          <w:p w14:paraId="58BFAB84">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174C2665">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3A643243">
            <w:pPr>
              <w:pStyle w:val="15"/>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17236736">
            <w:pPr>
              <w:pStyle w:val="15"/>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0F046E4A">
            <w:pPr>
              <w:pStyle w:val="15"/>
              <w:spacing w:line="240" w:lineRule="atLeast"/>
              <w:ind w:left="1080" w:leftChars="257" w:hanging="540"/>
              <w:rPr>
                <w:rFonts w:hint="eastAsia" w:ascii="仿宋_GB2312" w:eastAsia="仿宋_GB2312"/>
                <w:sz w:val="24"/>
                <w:lang w:val="en-US" w:eastAsia="zh-CN"/>
              </w:rPr>
            </w:pPr>
          </w:p>
        </w:tc>
      </w:tr>
      <w:tr w14:paraId="10591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5D702C3D">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41E8D123">
            <w:pPr>
              <w:pStyle w:val="15"/>
              <w:spacing w:line="240" w:lineRule="atLeast"/>
              <w:ind w:left="1080" w:leftChars="257" w:hanging="540"/>
              <w:rPr>
                <w:rFonts w:hint="eastAsia" w:ascii="仿宋_GB2312" w:eastAsia="仿宋_GB2312"/>
                <w:sz w:val="24"/>
                <w:lang w:val="en-US" w:eastAsia="zh-CN"/>
              </w:rPr>
            </w:pPr>
          </w:p>
        </w:tc>
        <w:tc>
          <w:tcPr>
            <w:tcW w:w="2340" w:type="dxa"/>
            <w:noWrap w:val="0"/>
            <w:vAlign w:val="top"/>
          </w:tcPr>
          <w:p w14:paraId="1191B406">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285B8CC4">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0A23674A">
            <w:pPr>
              <w:pStyle w:val="15"/>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5B219EF0">
            <w:pPr>
              <w:pStyle w:val="15"/>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28212E33">
            <w:pPr>
              <w:pStyle w:val="15"/>
              <w:spacing w:line="240" w:lineRule="atLeast"/>
              <w:ind w:left="1080" w:leftChars="257" w:hanging="540"/>
              <w:rPr>
                <w:rFonts w:hint="eastAsia" w:ascii="仿宋_GB2312" w:eastAsia="仿宋_GB2312"/>
                <w:sz w:val="24"/>
                <w:lang w:val="en-US" w:eastAsia="zh-CN"/>
              </w:rPr>
            </w:pPr>
          </w:p>
        </w:tc>
      </w:tr>
      <w:tr w14:paraId="24A0C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52BF8B5F">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6E33D5F8">
            <w:pPr>
              <w:pStyle w:val="15"/>
              <w:spacing w:line="240" w:lineRule="atLeast"/>
              <w:ind w:left="1080" w:leftChars="257" w:hanging="540"/>
              <w:rPr>
                <w:rFonts w:hint="eastAsia" w:ascii="仿宋_GB2312" w:eastAsia="仿宋_GB2312"/>
                <w:sz w:val="24"/>
                <w:lang w:val="en-US" w:eastAsia="zh-CN"/>
              </w:rPr>
            </w:pPr>
          </w:p>
        </w:tc>
        <w:tc>
          <w:tcPr>
            <w:tcW w:w="2340" w:type="dxa"/>
            <w:noWrap w:val="0"/>
            <w:vAlign w:val="top"/>
          </w:tcPr>
          <w:p w14:paraId="210ECAC5">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63196C77">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3E939B2B">
            <w:pPr>
              <w:pStyle w:val="15"/>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1E6A076C">
            <w:pPr>
              <w:pStyle w:val="15"/>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1A98BC31">
            <w:pPr>
              <w:pStyle w:val="15"/>
              <w:spacing w:line="240" w:lineRule="atLeast"/>
              <w:ind w:left="1080" w:leftChars="257" w:hanging="540"/>
              <w:rPr>
                <w:rFonts w:hint="eastAsia" w:ascii="仿宋_GB2312" w:eastAsia="仿宋_GB2312"/>
                <w:sz w:val="24"/>
                <w:lang w:val="en-US" w:eastAsia="zh-CN"/>
              </w:rPr>
            </w:pPr>
          </w:p>
        </w:tc>
      </w:tr>
      <w:tr w14:paraId="5F896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11DA138D">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4335E426">
            <w:pPr>
              <w:pStyle w:val="15"/>
              <w:spacing w:line="240" w:lineRule="atLeast"/>
              <w:ind w:left="1080" w:leftChars="257" w:hanging="540"/>
              <w:rPr>
                <w:rFonts w:hint="eastAsia" w:ascii="仿宋_GB2312" w:eastAsia="仿宋_GB2312"/>
                <w:sz w:val="24"/>
                <w:lang w:val="en-US" w:eastAsia="zh-CN"/>
              </w:rPr>
            </w:pPr>
          </w:p>
        </w:tc>
        <w:tc>
          <w:tcPr>
            <w:tcW w:w="2340" w:type="dxa"/>
            <w:noWrap w:val="0"/>
            <w:vAlign w:val="top"/>
          </w:tcPr>
          <w:p w14:paraId="1C4952C1">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3805D097">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578EDA84">
            <w:pPr>
              <w:pStyle w:val="15"/>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01FAB639">
            <w:pPr>
              <w:pStyle w:val="15"/>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63743D27">
            <w:pPr>
              <w:pStyle w:val="15"/>
              <w:spacing w:line="240" w:lineRule="atLeast"/>
              <w:ind w:left="1080" w:leftChars="257" w:hanging="540"/>
              <w:rPr>
                <w:rFonts w:hint="eastAsia" w:ascii="仿宋_GB2312" w:eastAsia="仿宋_GB2312"/>
                <w:sz w:val="24"/>
                <w:lang w:val="en-US" w:eastAsia="zh-CN"/>
              </w:rPr>
            </w:pPr>
          </w:p>
        </w:tc>
      </w:tr>
      <w:tr w14:paraId="03E80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10E5C848">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1CA27DBD">
            <w:pPr>
              <w:pStyle w:val="15"/>
              <w:spacing w:line="240" w:lineRule="atLeast"/>
              <w:ind w:left="1080" w:leftChars="257" w:hanging="540"/>
              <w:rPr>
                <w:rFonts w:hint="eastAsia" w:ascii="仿宋_GB2312" w:eastAsia="仿宋_GB2312"/>
                <w:sz w:val="24"/>
                <w:lang w:val="en-US" w:eastAsia="zh-CN"/>
              </w:rPr>
            </w:pPr>
          </w:p>
        </w:tc>
        <w:tc>
          <w:tcPr>
            <w:tcW w:w="2340" w:type="dxa"/>
            <w:noWrap w:val="0"/>
            <w:vAlign w:val="top"/>
          </w:tcPr>
          <w:p w14:paraId="4ED3A352">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4C4239A9">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680E85FC">
            <w:pPr>
              <w:pStyle w:val="15"/>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45CB2DAB">
            <w:pPr>
              <w:pStyle w:val="15"/>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1373C03F">
            <w:pPr>
              <w:pStyle w:val="15"/>
              <w:spacing w:line="240" w:lineRule="atLeast"/>
              <w:ind w:left="1080" w:leftChars="257" w:hanging="540"/>
              <w:rPr>
                <w:rFonts w:hint="eastAsia" w:ascii="仿宋_GB2312" w:eastAsia="仿宋_GB2312"/>
                <w:sz w:val="24"/>
                <w:lang w:val="en-US" w:eastAsia="zh-CN"/>
              </w:rPr>
            </w:pPr>
          </w:p>
        </w:tc>
      </w:tr>
      <w:tr w14:paraId="66A5F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60A90747">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2D7CC2B4">
            <w:pPr>
              <w:pStyle w:val="15"/>
              <w:spacing w:line="240" w:lineRule="atLeast"/>
              <w:ind w:left="1080" w:leftChars="257" w:hanging="540"/>
              <w:rPr>
                <w:rFonts w:hint="eastAsia" w:ascii="仿宋_GB2312" w:eastAsia="仿宋_GB2312"/>
                <w:sz w:val="24"/>
                <w:lang w:val="en-US" w:eastAsia="zh-CN"/>
              </w:rPr>
            </w:pPr>
          </w:p>
        </w:tc>
        <w:tc>
          <w:tcPr>
            <w:tcW w:w="2340" w:type="dxa"/>
            <w:noWrap w:val="0"/>
            <w:vAlign w:val="top"/>
          </w:tcPr>
          <w:p w14:paraId="171D75D2">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323338A2">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54B0B142">
            <w:pPr>
              <w:pStyle w:val="15"/>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1445B81E">
            <w:pPr>
              <w:pStyle w:val="15"/>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2BC3F753">
            <w:pPr>
              <w:pStyle w:val="15"/>
              <w:spacing w:line="240" w:lineRule="atLeast"/>
              <w:ind w:left="1080" w:leftChars="257" w:hanging="540"/>
              <w:rPr>
                <w:rFonts w:hint="eastAsia" w:ascii="仿宋_GB2312" w:eastAsia="仿宋_GB2312"/>
                <w:sz w:val="24"/>
                <w:lang w:val="en-US" w:eastAsia="zh-CN"/>
              </w:rPr>
            </w:pPr>
          </w:p>
        </w:tc>
      </w:tr>
      <w:tr w14:paraId="76B5A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3AE98275">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58CC83F4">
            <w:pPr>
              <w:pStyle w:val="15"/>
              <w:spacing w:line="240" w:lineRule="atLeast"/>
              <w:ind w:left="1080" w:leftChars="257" w:hanging="540"/>
              <w:rPr>
                <w:rFonts w:hint="eastAsia" w:ascii="仿宋_GB2312" w:eastAsia="仿宋_GB2312"/>
                <w:sz w:val="24"/>
                <w:lang w:val="en-US" w:eastAsia="zh-CN"/>
              </w:rPr>
            </w:pPr>
          </w:p>
        </w:tc>
        <w:tc>
          <w:tcPr>
            <w:tcW w:w="2340" w:type="dxa"/>
            <w:noWrap w:val="0"/>
            <w:vAlign w:val="top"/>
          </w:tcPr>
          <w:p w14:paraId="4E625D30">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03F255EF">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06D4C3E7">
            <w:pPr>
              <w:pStyle w:val="15"/>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7967AA29">
            <w:pPr>
              <w:pStyle w:val="15"/>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5CC6B046">
            <w:pPr>
              <w:pStyle w:val="15"/>
              <w:spacing w:line="240" w:lineRule="atLeast"/>
              <w:ind w:left="1080" w:leftChars="257" w:hanging="540"/>
              <w:rPr>
                <w:rFonts w:hint="eastAsia" w:ascii="仿宋_GB2312" w:eastAsia="仿宋_GB2312"/>
                <w:sz w:val="24"/>
                <w:lang w:val="en-US" w:eastAsia="zh-CN"/>
              </w:rPr>
            </w:pPr>
          </w:p>
        </w:tc>
      </w:tr>
      <w:tr w14:paraId="3A4FC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3A4E9BFC">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1990138A">
            <w:pPr>
              <w:pStyle w:val="15"/>
              <w:spacing w:line="240" w:lineRule="atLeast"/>
              <w:ind w:left="1080" w:leftChars="257" w:hanging="540"/>
              <w:rPr>
                <w:rFonts w:hint="eastAsia" w:ascii="仿宋_GB2312" w:eastAsia="仿宋_GB2312"/>
                <w:sz w:val="24"/>
                <w:lang w:val="en-US" w:eastAsia="zh-CN"/>
              </w:rPr>
            </w:pPr>
          </w:p>
        </w:tc>
        <w:tc>
          <w:tcPr>
            <w:tcW w:w="2340" w:type="dxa"/>
            <w:noWrap w:val="0"/>
            <w:vAlign w:val="top"/>
          </w:tcPr>
          <w:p w14:paraId="44C0752C">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72BF61E6">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7A0956D4">
            <w:pPr>
              <w:pStyle w:val="15"/>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69E1E926">
            <w:pPr>
              <w:pStyle w:val="15"/>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742245A2">
            <w:pPr>
              <w:pStyle w:val="15"/>
              <w:spacing w:line="240" w:lineRule="atLeast"/>
              <w:ind w:left="1080" w:leftChars="257" w:hanging="540"/>
              <w:rPr>
                <w:rFonts w:hint="eastAsia" w:ascii="仿宋_GB2312" w:eastAsia="仿宋_GB2312"/>
                <w:sz w:val="24"/>
                <w:lang w:val="en-US" w:eastAsia="zh-CN"/>
              </w:rPr>
            </w:pPr>
          </w:p>
        </w:tc>
      </w:tr>
      <w:tr w14:paraId="3EA32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6F6BF2B8">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5CF9E524">
            <w:pPr>
              <w:pStyle w:val="15"/>
              <w:spacing w:line="240" w:lineRule="atLeast"/>
              <w:ind w:left="1080" w:leftChars="257" w:hanging="540"/>
              <w:rPr>
                <w:rFonts w:hint="eastAsia" w:ascii="仿宋_GB2312" w:eastAsia="仿宋_GB2312"/>
                <w:sz w:val="24"/>
                <w:lang w:val="en-US" w:eastAsia="zh-CN"/>
              </w:rPr>
            </w:pPr>
          </w:p>
        </w:tc>
        <w:tc>
          <w:tcPr>
            <w:tcW w:w="2340" w:type="dxa"/>
            <w:noWrap w:val="0"/>
            <w:vAlign w:val="top"/>
          </w:tcPr>
          <w:p w14:paraId="0BBAD617">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580A3514">
            <w:pPr>
              <w:pStyle w:val="15"/>
              <w:spacing w:line="240" w:lineRule="atLeast"/>
              <w:ind w:left="1080" w:leftChars="257" w:hanging="540"/>
              <w:rPr>
                <w:rFonts w:hint="eastAsia" w:ascii="仿宋_GB2312" w:eastAsia="仿宋_GB2312"/>
                <w:sz w:val="24"/>
                <w:lang w:val="en-US" w:eastAsia="zh-CN"/>
              </w:rPr>
            </w:pPr>
          </w:p>
        </w:tc>
        <w:tc>
          <w:tcPr>
            <w:tcW w:w="1260" w:type="dxa"/>
            <w:noWrap w:val="0"/>
            <w:vAlign w:val="top"/>
          </w:tcPr>
          <w:p w14:paraId="2A7497F0">
            <w:pPr>
              <w:pStyle w:val="15"/>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2C7644D2">
            <w:pPr>
              <w:pStyle w:val="15"/>
              <w:spacing w:line="240" w:lineRule="atLeast"/>
              <w:ind w:left="1080" w:leftChars="257" w:hanging="540"/>
              <w:rPr>
                <w:rFonts w:hint="eastAsia" w:ascii="仿宋_GB2312" w:eastAsia="仿宋_GB2312"/>
                <w:sz w:val="24"/>
                <w:lang w:val="en-US" w:eastAsia="zh-CN"/>
              </w:rPr>
            </w:pPr>
          </w:p>
        </w:tc>
        <w:tc>
          <w:tcPr>
            <w:tcW w:w="900" w:type="dxa"/>
            <w:noWrap w:val="0"/>
            <w:vAlign w:val="top"/>
          </w:tcPr>
          <w:p w14:paraId="75070A0E">
            <w:pPr>
              <w:pStyle w:val="15"/>
              <w:spacing w:line="240" w:lineRule="atLeast"/>
              <w:ind w:left="1080" w:leftChars="257" w:hanging="540"/>
              <w:rPr>
                <w:rFonts w:hint="eastAsia" w:ascii="仿宋_GB2312" w:eastAsia="仿宋_GB2312"/>
                <w:sz w:val="24"/>
                <w:lang w:val="en-US" w:eastAsia="zh-CN"/>
              </w:rPr>
            </w:pPr>
          </w:p>
        </w:tc>
      </w:tr>
    </w:tbl>
    <w:p w14:paraId="6CEE7F31">
      <w:pPr>
        <w:pStyle w:val="15"/>
        <w:spacing w:line="240" w:lineRule="atLeast"/>
        <w:ind w:left="1080" w:leftChars="257" w:hanging="540"/>
        <w:rPr>
          <w:rFonts w:hint="eastAsia" w:ascii="仿宋_GB2312" w:eastAsia="仿宋_GB2312"/>
          <w:sz w:val="24"/>
        </w:rPr>
      </w:pPr>
    </w:p>
    <w:p w14:paraId="73855E1F">
      <w:pPr>
        <w:pStyle w:val="15"/>
        <w:spacing w:line="240" w:lineRule="atLeast"/>
        <w:ind w:left="1080" w:leftChars="257" w:hanging="540"/>
        <w:rPr>
          <w:rFonts w:hint="eastAsia" w:ascii="仿宋_GB2312" w:eastAsia="仿宋_GB2312"/>
          <w:sz w:val="24"/>
        </w:rPr>
      </w:pPr>
    </w:p>
    <w:p w14:paraId="5AB68E1C">
      <w:pPr>
        <w:pStyle w:val="15"/>
        <w:spacing w:line="240" w:lineRule="atLeast"/>
        <w:ind w:left="1080" w:leftChars="257" w:hanging="540"/>
        <w:rPr>
          <w:rFonts w:hint="eastAsia" w:ascii="仿宋_GB2312" w:eastAsia="仿宋_GB2312"/>
          <w:sz w:val="24"/>
          <w:lang w:eastAsia="zh-CN"/>
        </w:rPr>
      </w:pPr>
      <w:r>
        <w:rPr>
          <w:rFonts w:hint="eastAsia" w:ascii="仿宋_GB2312" w:eastAsia="仿宋_GB2312"/>
          <w:sz w:val="24"/>
        </w:rPr>
        <w:t>法定代表人或其委托代理人</w:t>
      </w:r>
      <w:r>
        <w:rPr>
          <w:rFonts w:hint="eastAsia" w:ascii="仿宋_GB2312" w:eastAsia="仿宋_GB2312"/>
          <w:sz w:val="24"/>
          <w:lang w:eastAsia="zh-CN"/>
        </w:rPr>
        <w:t>（</w:t>
      </w:r>
      <w:r>
        <w:rPr>
          <w:rFonts w:hint="eastAsia" w:ascii="仿宋_GB2312" w:eastAsia="仿宋_GB2312"/>
          <w:sz w:val="24"/>
        </w:rPr>
        <w:t>签字</w:t>
      </w:r>
      <w:r>
        <w:rPr>
          <w:rFonts w:hint="eastAsia" w:ascii="仿宋_GB2312" w:eastAsia="仿宋_GB2312"/>
          <w:sz w:val="24"/>
          <w:lang w:eastAsia="zh-CN"/>
        </w:rPr>
        <w:t>或盖章）</w:t>
      </w:r>
      <w:r>
        <w:rPr>
          <w:rFonts w:hint="eastAsia" w:ascii="仿宋_GB2312" w:eastAsia="仿宋_GB2312"/>
          <w:sz w:val="24"/>
        </w:rPr>
        <w:t>:</w:t>
      </w:r>
      <w:r>
        <w:rPr>
          <w:rFonts w:ascii="仿宋_GB2312" w:hAnsi="宋体" w:eastAsia="仿宋_GB2312"/>
          <w:sz w:val="24"/>
          <w:u w:val="single"/>
        </w:rPr>
        <w:tab/>
      </w:r>
    </w:p>
    <w:p w14:paraId="70885A88">
      <w:pPr>
        <w:pStyle w:val="3"/>
        <w:spacing w:before="0" w:line="240" w:lineRule="atLeast"/>
        <w:ind w:left="1080" w:leftChars="257" w:hanging="540"/>
        <w:jc w:val="left"/>
        <w:rPr>
          <w:rFonts w:hint="default" w:ascii="仿宋_GB2312" w:eastAsia="仿宋_GB2312"/>
          <w:sz w:val="24"/>
          <w:highlight w:val="none"/>
          <w:lang w:val="en-US" w:eastAsia="zh-CN"/>
        </w:rPr>
        <w:sectPr>
          <w:headerReference r:id="rId6" w:type="default"/>
          <w:headerReference r:id="rId7" w:type="even"/>
          <w:footerReference r:id="rId8" w:type="even"/>
          <w:pgSz w:w="11906" w:h="16838"/>
          <w:pgMar w:top="1440" w:right="1797" w:bottom="1440" w:left="1797" w:header="851" w:footer="992" w:gutter="0"/>
          <w:pgNumType w:fmt="decimal"/>
          <w:cols w:space="720" w:num="1"/>
          <w:docGrid w:linePitch="312" w:charSpace="0"/>
        </w:sectPr>
      </w:pPr>
      <w:bookmarkStart w:id="262" w:name="_Toc18954"/>
      <w:bookmarkStart w:id="263" w:name="_Toc6856"/>
      <w:r>
        <w:rPr>
          <w:rFonts w:hint="eastAsia" w:ascii="仿宋_GB2312" w:hAnsi="宋体" w:eastAsia="仿宋_GB2312"/>
          <w:sz w:val="24"/>
        </w:rPr>
        <w:t>投标人(盖单位章):</w:t>
      </w:r>
      <w:r>
        <w:rPr>
          <w:rFonts w:ascii="仿宋_GB2312" w:hAnsi="宋体" w:eastAsia="仿宋_GB2312"/>
          <w:sz w:val="24"/>
          <w:u w:val="single"/>
        </w:rPr>
        <w:tab/>
      </w:r>
      <w:bookmarkEnd w:id="262"/>
      <w:bookmarkEnd w:id="263"/>
    </w:p>
    <w:p w14:paraId="0C4EF89B">
      <w:pPr>
        <w:pStyle w:val="4"/>
        <w:rPr>
          <w:rFonts w:hint="eastAsia"/>
          <w:lang w:val="en-US" w:eastAsia="zh-CN"/>
        </w:rPr>
      </w:pPr>
    </w:p>
    <w:p w14:paraId="1D43CC0C">
      <w:pPr>
        <w:pStyle w:val="3"/>
        <w:spacing w:before="0" w:line="240" w:lineRule="atLeast"/>
        <w:ind w:left="1080" w:leftChars="257" w:hanging="540"/>
        <w:rPr>
          <w:rFonts w:hint="eastAsia" w:ascii="仿宋_GB2312" w:eastAsia="仿宋_GB2312"/>
          <w:sz w:val="24"/>
          <w:highlight w:val="none"/>
        </w:rPr>
      </w:pPr>
      <w:bookmarkStart w:id="264" w:name="_Toc3855"/>
      <w:bookmarkStart w:id="265" w:name="_Toc10296"/>
      <w:r>
        <w:rPr>
          <w:rFonts w:hint="eastAsia" w:ascii="仿宋_GB2312" w:eastAsia="仿宋_GB2312"/>
          <w:sz w:val="24"/>
          <w:highlight w:val="none"/>
          <w:lang w:val="en-US" w:eastAsia="zh-CN"/>
        </w:rPr>
        <w:t>5、</w:t>
      </w:r>
      <w:r>
        <w:rPr>
          <w:rFonts w:hint="eastAsia" w:ascii="仿宋_GB2312" w:eastAsia="仿宋_GB2312"/>
          <w:sz w:val="24"/>
          <w:highlight w:val="none"/>
        </w:rPr>
        <w:t>商务条款偏离表</w:t>
      </w:r>
      <w:bookmarkEnd w:id="258"/>
      <w:r>
        <w:rPr>
          <w:rFonts w:hint="eastAsia" w:ascii="仿宋_GB2312" w:eastAsia="仿宋_GB2312"/>
          <w:sz w:val="24"/>
          <w:highlight w:val="none"/>
        </w:rPr>
        <w:t>（</w:t>
      </w:r>
      <w:r>
        <w:rPr>
          <w:rFonts w:ascii="仿宋_GB2312" w:eastAsia="仿宋_GB2312"/>
          <w:sz w:val="24"/>
          <w:highlight w:val="none"/>
        </w:rPr>
        <w:t>投标文件</w:t>
      </w:r>
      <w:r>
        <w:rPr>
          <w:rFonts w:hint="eastAsia" w:ascii="仿宋_GB2312" w:eastAsia="仿宋_GB2312"/>
          <w:sz w:val="24"/>
          <w:highlight w:val="none"/>
        </w:rPr>
        <w:t>格式十）</w:t>
      </w:r>
      <w:bookmarkEnd w:id="259"/>
      <w:bookmarkEnd w:id="260"/>
      <w:bookmarkEnd w:id="261"/>
      <w:bookmarkEnd w:id="264"/>
      <w:bookmarkEnd w:id="265"/>
    </w:p>
    <w:p w14:paraId="648C9CC3">
      <w:pPr>
        <w:pStyle w:val="15"/>
        <w:spacing w:line="240" w:lineRule="atLeast"/>
        <w:rPr>
          <w:rFonts w:hint="eastAsia" w:ascii="仿宋_GB2312" w:eastAsia="仿宋_GB2312"/>
          <w:sz w:val="24"/>
        </w:rPr>
      </w:pPr>
    </w:p>
    <w:p w14:paraId="7F5A1C41">
      <w:pPr>
        <w:pStyle w:val="15"/>
        <w:spacing w:line="240" w:lineRule="atLeast"/>
        <w:rPr>
          <w:rFonts w:hint="eastAsia" w:ascii="仿宋_GB2312" w:eastAsia="仿宋_GB2312"/>
          <w:sz w:val="24"/>
          <w:highlight w:val="none"/>
        </w:rPr>
      </w:pPr>
      <w:r>
        <w:rPr>
          <w:rFonts w:hint="eastAsia" w:ascii="仿宋_GB2312" w:eastAsia="仿宋_GB2312"/>
          <w:sz w:val="24"/>
        </w:rPr>
        <w:t>项目名称:</w:t>
      </w:r>
      <w:r>
        <w:rPr>
          <w:rFonts w:hint="eastAsia" w:ascii="仿宋_GB2312" w:eastAsia="仿宋_GB2312"/>
          <w:sz w:val="24"/>
          <w:lang w:val="en-US" w:eastAsia="zh-CN"/>
        </w:rPr>
        <w:t xml:space="preserve">                        </w:t>
      </w:r>
      <w:r>
        <w:rPr>
          <w:rFonts w:hint="eastAsia" w:ascii="仿宋_GB2312" w:eastAsia="仿宋_GB2312"/>
          <w:sz w:val="24"/>
        </w:rPr>
        <w:t>招标编号:</w:t>
      </w:r>
      <w:r>
        <w:rPr>
          <w:rFonts w:hint="eastAsia" w:ascii="仿宋_GB2312" w:eastAsia="仿宋_GB2312"/>
          <w:sz w:val="24"/>
          <w:lang w:val="en-US" w:eastAsia="zh-CN"/>
        </w:rPr>
        <w:t xml:space="preserve">                    包号：</w:t>
      </w:r>
    </w:p>
    <w:p w14:paraId="403D7459">
      <w:pPr>
        <w:pStyle w:val="15"/>
        <w:spacing w:line="240" w:lineRule="atLeast"/>
        <w:ind w:left="1080" w:leftChars="257" w:hanging="540"/>
        <w:rPr>
          <w:rFonts w:hint="default" w:ascii="仿宋_GB2312" w:eastAsia="仿宋_GB2312"/>
          <w:sz w:val="24"/>
          <w:highlight w:val="none"/>
          <w:lang w:val="en-US" w:eastAsia="zh-CN"/>
        </w:rPr>
      </w:pP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2520"/>
        <w:gridCol w:w="900"/>
      </w:tblGrid>
      <w:tr w14:paraId="614FD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6C741FF1">
            <w:pPr>
              <w:pStyle w:val="15"/>
              <w:spacing w:line="240" w:lineRule="atLeast"/>
              <w:jc w:val="center"/>
              <w:rPr>
                <w:rFonts w:hint="eastAsia" w:ascii="仿宋_GB2312" w:eastAsia="仿宋_GB2312"/>
                <w:sz w:val="24"/>
                <w:highlight w:val="none"/>
                <w:lang w:val="en-US" w:eastAsia="zh-CN"/>
              </w:rPr>
            </w:pPr>
            <w:r>
              <w:rPr>
                <w:rFonts w:hint="eastAsia" w:ascii="仿宋_GB2312" w:eastAsia="仿宋_GB2312"/>
                <w:sz w:val="24"/>
                <w:highlight w:val="none"/>
                <w:lang w:val="en-US" w:eastAsia="zh-CN"/>
              </w:rPr>
              <w:t>序号</w:t>
            </w:r>
          </w:p>
        </w:tc>
        <w:tc>
          <w:tcPr>
            <w:tcW w:w="2040" w:type="dxa"/>
            <w:noWrap w:val="0"/>
            <w:vAlign w:val="top"/>
          </w:tcPr>
          <w:p w14:paraId="6836F827">
            <w:pPr>
              <w:pStyle w:val="15"/>
              <w:spacing w:line="240" w:lineRule="atLeast"/>
              <w:jc w:val="center"/>
              <w:rPr>
                <w:rFonts w:hint="eastAsia" w:ascii="仿宋_GB2312" w:eastAsia="仿宋_GB2312"/>
                <w:sz w:val="24"/>
                <w:highlight w:val="none"/>
                <w:lang w:val="en-US" w:eastAsia="zh-CN"/>
              </w:rPr>
            </w:pPr>
            <w:r>
              <w:rPr>
                <w:rFonts w:hint="eastAsia" w:ascii="仿宋_GB2312" w:eastAsia="仿宋_GB2312"/>
                <w:sz w:val="24"/>
                <w:highlight w:val="none"/>
                <w:lang w:val="en-US" w:eastAsia="zh-CN"/>
              </w:rPr>
              <w:t>招标文件条款号</w:t>
            </w:r>
          </w:p>
        </w:tc>
        <w:tc>
          <w:tcPr>
            <w:tcW w:w="2520" w:type="dxa"/>
            <w:noWrap w:val="0"/>
            <w:vAlign w:val="top"/>
          </w:tcPr>
          <w:p w14:paraId="29FE2860">
            <w:pPr>
              <w:pStyle w:val="15"/>
              <w:spacing w:line="240" w:lineRule="atLeast"/>
              <w:jc w:val="center"/>
              <w:rPr>
                <w:rFonts w:hint="eastAsia" w:ascii="仿宋_GB2312" w:eastAsia="仿宋_GB2312"/>
                <w:sz w:val="24"/>
                <w:highlight w:val="none"/>
                <w:lang w:val="en-US" w:eastAsia="zh-CN"/>
              </w:rPr>
            </w:pPr>
            <w:r>
              <w:rPr>
                <w:rFonts w:hint="eastAsia" w:ascii="仿宋_GB2312" w:eastAsia="仿宋_GB2312"/>
                <w:sz w:val="24"/>
                <w:highlight w:val="none"/>
                <w:lang w:val="en-US" w:eastAsia="zh-CN"/>
              </w:rPr>
              <w:t>招标文件的商务条款</w:t>
            </w:r>
          </w:p>
        </w:tc>
        <w:tc>
          <w:tcPr>
            <w:tcW w:w="2520" w:type="dxa"/>
            <w:noWrap w:val="0"/>
            <w:vAlign w:val="top"/>
          </w:tcPr>
          <w:p w14:paraId="54C7170A">
            <w:pPr>
              <w:pStyle w:val="15"/>
              <w:spacing w:line="240" w:lineRule="atLeast"/>
              <w:jc w:val="center"/>
              <w:rPr>
                <w:rFonts w:hint="eastAsia" w:ascii="仿宋_GB2312" w:eastAsia="仿宋_GB2312"/>
                <w:sz w:val="24"/>
                <w:highlight w:val="none"/>
                <w:lang w:val="en-US" w:eastAsia="zh-CN"/>
              </w:rPr>
            </w:pPr>
            <w:r>
              <w:rPr>
                <w:rFonts w:hint="eastAsia" w:ascii="仿宋_GB2312" w:eastAsia="仿宋_GB2312"/>
                <w:sz w:val="24"/>
                <w:highlight w:val="none"/>
                <w:lang w:val="en-US" w:eastAsia="zh-CN"/>
              </w:rPr>
              <w:t>投标文件的商务条款</w:t>
            </w:r>
          </w:p>
        </w:tc>
        <w:tc>
          <w:tcPr>
            <w:tcW w:w="900" w:type="dxa"/>
            <w:noWrap w:val="0"/>
            <w:vAlign w:val="top"/>
          </w:tcPr>
          <w:p w14:paraId="1BA807C0">
            <w:pPr>
              <w:pStyle w:val="15"/>
              <w:spacing w:line="240" w:lineRule="atLeast"/>
              <w:jc w:val="center"/>
              <w:rPr>
                <w:rFonts w:hint="eastAsia" w:ascii="仿宋_GB2312" w:eastAsia="仿宋_GB2312"/>
                <w:sz w:val="24"/>
                <w:highlight w:val="none"/>
                <w:lang w:val="en-US" w:eastAsia="zh-CN"/>
              </w:rPr>
            </w:pPr>
            <w:r>
              <w:rPr>
                <w:rFonts w:hint="eastAsia" w:ascii="仿宋_GB2312" w:eastAsia="仿宋_GB2312"/>
                <w:sz w:val="24"/>
                <w:highlight w:val="none"/>
                <w:lang w:val="en-US" w:eastAsia="zh-CN"/>
              </w:rPr>
              <w:t>说明</w:t>
            </w:r>
          </w:p>
        </w:tc>
      </w:tr>
      <w:tr w14:paraId="1A902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6D7C3022">
            <w:pPr>
              <w:pStyle w:val="15"/>
              <w:spacing w:line="240" w:lineRule="atLeast"/>
              <w:ind w:left="1080" w:leftChars="257" w:hanging="540"/>
              <w:rPr>
                <w:rFonts w:hint="eastAsia" w:ascii="仿宋_GB2312" w:eastAsia="仿宋_GB2312"/>
                <w:sz w:val="24"/>
                <w:highlight w:val="none"/>
                <w:lang w:val="en-US" w:eastAsia="zh-CN"/>
              </w:rPr>
            </w:pPr>
          </w:p>
        </w:tc>
        <w:tc>
          <w:tcPr>
            <w:tcW w:w="2040" w:type="dxa"/>
            <w:noWrap w:val="0"/>
            <w:vAlign w:val="top"/>
          </w:tcPr>
          <w:p w14:paraId="751555F6">
            <w:pPr>
              <w:pStyle w:val="15"/>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70BD378C">
            <w:pPr>
              <w:pStyle w:val="15"/>
              <w:spacing w:line="240" w:lineRule="atLeast"/>
              <w:ind w:left="1080" w:leftChars="257" w:hanging="540"/>
              <w:jc w:val="center"/>
              <w:rPr>
                <w:rFonts w:hint="eastAsia" w:ascii="仿宋_GB2312" w:eastAsia="仿宋_GB2312"/>
                <w:sz w:val="24"/>
                <w:highlight w:val="none"/>
                <w:lang w:val="en-US" w:eastAsia="zh-CN"/>
              </w:rPr>
            </w:pPr>
          </w:p>
        </w:tc>
        <w:tc>
          <w:tcPr>
            <w:tcW w:w="2520" w:type="dxa"/>
            <w:noWrap w:val="0"/>
            <w:vAlign w:val="top"/>
          </w:tcPr>
          <w:p w14:paraId="4F61080C">
            <w:pPr>
              <w:pStyle w:val="15"/>
              <w:spacing w:line="240" w:lineRule="atLeast"/>
              <w:ind w:left="1080" w:leftChars="257" w:hanging="540"/>
              <w:jc w:val="center"/>
              <w:rPr>
                <w:rFonts w:hint="eastAsia" w:ascii="仿宋_GB2312" w:eastAsia="仿宋_GB2312"/>
                <w:sz w:val="24"/>
                <w:highlight w:val="none"/>
                <w:lang w:val="en-US" w:eastAsia="zh-CN"/>
              </w:rPr>
            </w:pPr>
          </w:p>
        </w:tc>
        <w:tc>
          <w:tcPr>
            <w:tcW w:w="900" w:type="dxa"/>
            <w:noWrap w:val="0"/>
            <w:vAlign w:val="top"/>
          </w:tcPr>
          <w:p w14:paraId="03DD1997">
            <w:pPr>
              <w:pStyle w:val="15"/>
              <w:spacing w:line="240" w:lineRule="atLeast"/>
              <w:ind w:left="1080" w:leftChars="257" w:hanging="540"/>
              <w:rPr>
                <w:rFonts w:hint="eastAsia" w:ascii="仿宋_GB2312" w:eastAsia="仿宋_GB2312"/>
                <w:sz w:val="24"/>
                <w:highlight w:val="none"/>
                <w:lang w:val="en-US" w:eastAsia="zh-CN"/>
              </w:rPr>
            </w:pPr>
          </w:p>
        </w:tc>
      </w:tr>
      <w:tr w14:paraId="3978F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29A82E32">
            <w:pPr>
              <w:pStyle w:val="15"/>
              <w:spacing w:line="240" w:lineRule="atLeast"/>
              <w:ind w:left="1080" w:leftChars="257" w:hanging="540"/>
              <w:rPr>
                <w:rFonts w:hint="eastAsia" w:ascii="仿宋_GB2312" w:eastAsia="仿宋_GB2312"/>
                <w:sz w:val="24"/>
                <w:highlight w:val="none"/>
                <w:lang w:val="en-US" w:eastAsia="zh-CN"/>
              </w:rPr>
            </w:pPr>
          </w:p>
        </w:tc>
        <w:tc>
          <w:tcPr>
            <w:tcW w:w="2040" w:type="dxa"/>
            <w:noWrap w:val="0"/>
            <w:vAlign w:val="top"/>
          </w:tcPr>
          <w:p w14:paraId="2520615E">
            <w:pPr>
              <w:pStyle w:val="15"/>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3CAA4EF4">
            <w:pPr>
              <w:pStyle w:val="15"/>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61CB5EA4">
            <w:pPr>
              <w:pStyle w:val="15"/>
              <w:spacing w:line="240" w:lineRule="atLeast"/>
              <w:ind w:left="1080" w:leftChars="257" w:hanging="540"/>
              <w:rPr>
                <w:rFonts w:hint="eastAsia" w:ascii="仿宋_GB2312" w:eastAsia="仿宋_GB2312"/>
                <w:sz w:val="24"/>
                <w:highlight w:val="none"/>
                <w:lang w:val="en-US" w:eastAsia="zh-CN"/>
              </w:rPr>
            </w:pPr>
          </w:p>
        </w:tc>
        <w:tc>
          <w:tcPr>
            <w:tcW w:w="900" w:type="dxa"/>
            <w:noWrap w:val="0"/>
            <w:vAlign w:val="top"/>
          </w:tcPr>
          <w:p w14:paraId="0FF51B99">
            <w:pPr>
              <w:pStyle w:val="15"/>
              <w:spacing w:line="240" w:lineRule="atLeast"/>
              <w:ind w:left="1080" w:leftChars="257" w:hanging="540"/>
              <w:rPr>
                <w:rFonts w:hint="eastAsia" w:ascii="仿宋_GB2312" w:eastAsia="仿宋_GB2312"/>
                <w:sz w:val="24"/>
                <w:highlight w:val="none"/>
                <w:lang w:val="en-US" w:eastAsia="zh-CN"/>
              </w:rPr>
            </w:pPr>
          </w:p>
        </w:tc>
      </w:tr>
      <w:tr w14:paraId="25562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53EEA570">
            <w:pPr>
              <w:pStyle w:val="15"/>
              <w:spacing w:line="240" w:lineRule="atLeast"/>
              <w:ind w:left="1080" w:leftChars="257" w:hanging="540"/>
              <w:rPr>
                <w:rFonts w:hint="eastAsia" w:ascii="仿宋_GB2312" w:eastAsia="仿宋_GB2312"/>
                <w:sz w:val="24"/>
                <w:highlight w:val="none"/>
                <w:lang w:val="en-US" w:eastAsia="zh-CN"/>
              </w:rPr>
            </w:pPr>
          </w:p>
        </w:tc>
        <w:tc>
          <w:tcPr>
            <w:tcW w:w="2040" w:type="dxa"/>
            <w:noWrap w:val="0"/>
            <w:vAlign w:val="top"/>
          </w:tcPr>
          <w:p w14:paraId="0EEC1FF2">
            <w:pPr>
              <w:pStyle w:val="15"/>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0508B26E">
            <w:pPr>
              <w:pStyle w:val="15"/>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03F0F202">
            <w:pPr>
              <w:pStyle w:val="15"/>
              <w:spacing w:line="240" w:lineRule="atLeast"/>
              <w:ind w:left="1080" w:leftChars="257" w:hanging="540"/>
              <w:rPr>
                <w:rFonts w:hint="eastAsia" w:ascii="仿宋_GB2312" w:eastAsia="仿宋_GB2312"/>
                <w:sz w:val="24"/>
                <w:highlight w:val="none"/>
                <w:lang w:val="en-US" w:eastAsia="zh-CN"/>
              </w:rPr>
            </w:pPr>
          </w:p>
        </w:tc>
        <w:tc>
          <w:tcPr>
            <w:tcW w:w="900" w:type="dxa"/>
            <w:noWrap w:val="0"/>
            <w:vAlign w:val="top"/>
          </w:tcPr>
          <w:p w14:paraId="1A8BBC6E">
            <w:pPr>
              <w:pStyle w:val="15"/>
              <w:spacing w:line="240" w:lineRule="atLeast"/>
              <w:ind w:left="1080" w:leftChars="257" w:hanging="540"/>
              <w:rPr>
                <w:rFonts w:hint="eastAsia" w:ascii="仿宋_GB2312" w:eastAsia="仿宋_GB2312"/>
                <w:sz w:val="24"/>
                <w:highlight w:val="none"/>
                <w:lang w:val="en-US" w:eastAsia="zh-CN"/>
              </w:rPr>
            </w:pPr>
          </w:p>
        </w:tc>
      </w:tr>
      <w:tr w14:paraId="0CFBD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3FDC640D">
            <w:pPr>
              <w:pStyle w:val="15"/>
              <w:spacing w:line="240" w:lineRule="atLeast"/>
              <w:ind w:left="1080" w:leftChars="257" w:hanging="540"/>
              <w:rPr>
                <w:rFonts w:hint="eastAsia" w:ascii="仿宋_GB2312" w:eastAsia="仿宋_GB2312"/>
                <w:sz w:val="24"/>
                <w:highlight w:val="none"/>
                <w:lang w:val="en-US" w:eastAsia="zh-CN"/>
              </w:rPr>
            </w:pPr>
          </w:p>
        </w:tc>
        <w:tc>
          <w:tcPr>
            <w:tcW w:w="2040" w:type="dxa"/>
            <w:noWrap w:val="0"/>
            <w:vAlign w:val="top"/>
          </w:tcPr>
          <w:p w14:paraId="5FF253EF">
            <w:pPr>
              <w:pStyle w:val="15"/>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2DF06966">
            <w:pPr>
              <w:pStyle w:val="15"/>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0A89C92C">
            <w:pPr>
              <w:pStyle w:val="15"/>
              <w:spacing w:line="240" w:lineRule="atLeast"/>
              <w:ind w:left="1080" w:leftChars="257" w:hanging="540"/>
              <w:rPr>
                <w:rFonts w:hint="eastAsia" w:ascii="仿宋_GB2312" w:eastAsia="仿宋_GB2312"/>
                <w:sz w:val="24"/>
                <w:highlight w:val="none"/>
                <w:lang w:val="en-US" w:eastAsia="zh-CN"/>
              </w:rPr>
            </w:pPr>
          </w:p>
        </w:tc>
        <w:tc>
          <w:tcPr>
            <w:tcW w:w="900" w:type="dxa"/>
            <w:noWrap w:val="0"/>
            <w:vAlign w:val="top"/>
          </w:tcPr>
          <w:p w14:paraId="0D425FCB">
            <w:pPr>
              <w:pStyle w:val="15"/>
              <w:spacing w:line="240" w:lineRule="atLeast"/>
              <w:ind w:left="1080" w:leftChars="257" w:hanging="540"/>
              <w:rPr>
                <w:rFonts w:hint="eastAsia" w:ascii="仿宋_GB2312" w:eastAsia="仿宋_GB2312"/>
                <w:sz w:val="24"/>
                <w:highlight w:val="none"/>
                <w:lang w:val="en-US" w:eastAsia="zh-CN"/>
              </w:rPr>
            </w:pPr>
          </w:p>
        </w:tc>
      </w:tr>
      <w:tr w14:paraId="322F9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68A51D2A">
            <w:pPr>
              <w:pStyle w:val="15"/>
              <w:spacing w:line="240" w:lineRule="atLeast"/>
              <w:ind w:left="1080" w:leftChars="257" w:hanging="540"/>
              <w:rPr>
                <w:rFonts w:hint="eastAsia" w:ascii="仿宋_GB2312" w:eastAsia="仿宋_GB2312"/>
                <w:sz w:val="24"/>
                <w:highlight w:val="none"/>
                <w:lang w:val="en-US" w:eastAsia="zh-CN"/>
              </w:rPr>
            </w:pPr>
          </w:p>
        </w:tc>
        <w:tc>
          <w:tcPr>
            <w:tcW w:w="2040" w:type="dxa"/>
            <w:noWrap w:val="0"/>
            <w:vAlign w:val="top"/>
          </w:tcPr>
          <w:p w14:paraId="17EB6521">
            <w:pPr>
              <w:pStyle w:val="15"/>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7485A5A1">
            <w:pPr>
              <w:pStyle w:val="15"/>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7DCE6BE6">
            <w:pPr>
              <w:pStyle w:val="15"/>
              <w:spacing w:line="240" w:lineRule="atLeast"/>
              <w:ind w:left="1080" w:leftChars="257" w:hanging="540"/>
              <w:rPr>
                <w:rFonts w:hint="eastAsia" w:ascii="仿宋_GB2312" w:eastAsia="仿宋_GB2312"/>
                <w:sz w:val="24"/>
                <w:highlight w:val="none"/>
                <w:lang w:val="en-US" w:eastAsia="zh-CN"/>
              </w:rPr>
            </w:pPr>
          </w:p>
        </w:tc>
        <w:tc>
          <w:tcPr>
            <w:tcW w:w="900" w:type="dxa"/>
            <w:noWrap w:val="0"/>
            <w:vAlign w:val="top"/>
          </w:tcPr>
          <w:p w14:paraId="71C18759">
            <w:pPr>
              <w:pStyle w:val="15"/>
              <w:spacing w:line="240" w:lineRule="atLeast"/>
              <w:ind w:left="1080" w:leftChars="257" w:hanging="540"/>
              <w:rPr>
                <w:rFonts w:hint="eastAsia" w:ascii="仿宋_GB2312" w:eastAsia="仿宋_GB2312"/>
                <w:sz w:val="24"/>
                <w:highlight w:val="none"/>
                <w:lang w:val="en-US" w:eastAsia="zh-CN"/>
              </w:rPr>
            </w:pPr>
          </w:p>
        </w:tc>
      </w:tr>
      <w:tr w14:paraId="25C1D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696A7596">
            <w:pPr>
              <w:pStyle w:val="15"/>
              <w:spacing w:line="240" w:lineRule="atLeast"/>
              <w:ind w:left="1080" w:leftChars="257" w:hanging="540"/>
              <w:rPr>
                <w:rFonts w:hint="eastAsia" w:ascii="仿宋_GB2312" w:eastAsia="仿宋_GB2312"/>
                <w:sz w:val="24"/>
                <w:highlight w:val="none"/>
                <w:lang w:val="en-US" w:eastAsia="zh-CN"/>
              </w:rPr>
            </w:pPr>
          </w:p>
        </w:tc>
        <w:tc>
          <w:tcPr>
            <w:tcW w:w="2040" w:type="dxa"/>
            <w:noWrap w:val="0"/>
            <w:vAlign w:val="top"/>
          </w:tcPr>
          <w:p w14:paraId="20A9571A">
            <w:pPr>
              <w:pStyle w:val="15"/>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67F1D0F7">
            <w:pPr>
              <w:pStyle w:val="15"/>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58E14296">
            <w:pPr>
              <w:pStyle w:val="15"/>
              <w:spacing w:line="240" w:lineRule="atLeast"/>
              <w:ind w:left="1080" w:leftChars="257" w:hanging="540"/>
              <w:rPr>
                <w:rFonts w:hint="eastAsia" w:ascii="仿宋_GB2312" w:eastAsia="仿宋_GB2312"/>
                <w:sz w:val="24"/>
                <w:highlight w:val="none"/>
                <w:lang w:val="en-US" w:eastAsia="zh-CN"/>
              </w:rPr>
            </w:pPr>
          </w:p>
        </w:tc>
        <w:tc>
          <w:tcPr>
            <w:tcW w:w="900" w:type="dxa"/>
            <w:noWrap w:val="0"/>
            <w:vAlign w:val="top"/>
          </w:tcPr>
          <w:p w14:paraId="21BC2CCE">
            <w:pPr>
              <w:pStyle w:val="15"/>
              <w:spacing w:line="240" w:lineRule="atLeast"/>
              <w:ind w:left="1080" w:leftChars="257" w:hanging="540"/>
              <w:rPr>
                <w:rFonts w:hint="eastAsia" w:ascii="仿宋_GB2312" w:eastAsia="仿宋_GB2312"/>
                <w:sz w:val="24"/>
                <w:highlight w:val="none"/>
                <w:lang w:val="en-US" w:eastAsia="zh-CN"/>
              </w:rPr>
            </w:pPr>
          </w:p>
        </w:tc>
      </w:tr>
      <w:tr w14:paraId="2E4F7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3CCBE360">
            <w:pPr>
              <w:pStyle w:val="15"/>
              <w:spacing w:line="240" w:lineRule="atLeast"/>
              <w:ind w:left="1080" w:leftChars="257" w:hanging="540"/>
              <w:rPr>
                <w:rFonts w:hint="eastAsia" w:ascii="仿宋_GB2312" w:eastAsia="仿宋_GB2312"/>
                <w:sz w:val="24"/>
                <w:highlight w:val="none"/>
                <w:lang w:val="en-US" w:eastAsia="zh-CN"/>
              </w:rPr>
            </w:pPr>
          </w:p>
        </w:tc>
        <w:tc>
          <w:tcPr>
            <w:tcW w:w="2040" w:type="dxa"/>
            <w:noWrap w:val="0"/>
            <w:vAlign w:val="top"/>
          </w:tcPr>
          <w:p w14:paraId="092C0474">
            <w:pPr>
              <w:pStyle w:val="15"/>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1E62E3D2">
            <w:pPr>
              <w:pStyle w:val="15"/>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420049FF">
            <w:pPr>
              <w:pStyle w:val="15"/>
              <w:spacing w:line="240" w:lineRule="atLeast"/>
              <w:ind w:left="1080" w:leftChars="257" w:hanging="540"/>
              <w:rPr>
                <w:rFonts w:hint="eastAsia" w:ascii="仿宋_GB2312" w:eastAsia="仿宋_GB2312"/>
                <w:sz w:val="24"/>
                <w:highlight w:val="none"/>
                <w:lang w:val="en-US" w:eastAsia="zh-CN"/>
              </w:rPr>
            </w:pPr>
          </w:p>
        </w:tc>
        <w:tc>
          <w:tcPr>
            <w:tcW w:w="900" w:type="dxa"/>
            <w:noWrap w:val="0"/>
            <w:vAlign w:val="top"/>
          </w:tcPr>
          <w:p w14:paraId="234EB1C1">
            <w:pPr>
              <w:pStyle w:val="15"/>
              <w:spacing w:line="240" w:lineRule="atLeast"/>
              <w:ind w:left="1080" w:leftChars="257" w:hanging="540"/>
              <w:rPr>
                <w:rFonts w:hint="eastAsia" w:ascii="仿宋_GB2312" w:eastAsia="仿宋_GB2312"/>
                <w:sz w:val="24"/>
                <w:highlight w:val="none"/>
                <w:lang w:val="en-US" w:eastAsia="zh-CN"/>
              </w:rPr>
            </w:pPr>
          </w:p>
        </w:tc>
      </w:tr>
      <w:tr w14:paraId="64A99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0A02ACA9">
            <w:pPr>
              <w:pStyle w:val="15"/>
              <w:spacing w:line="240" w:lineRule="atLeast"/>
              <w:ind w:left="1080" w:leftChars="257" w:hanging="540"/>
              <w:rPr>
                <w:rFonts w:hint="eastAsia" w:ascii="仿宋_GB2312" w:eastAsia="仿宋_GB2312"/>
                <w:sz w:val="24"/>
                <w:highlight w:val="none"/>
                <w:lang w:val="en-US" w:eastAsia="zh-CN"/>
              </w:rPr>
            </w:pPr>
          </w:p>
        </w:tc>
        <w:tc>
          <w:tcPr>
            <w:tcW w:w="2040" w:type="dxa"/>
            <w:noWrap w:val="0"/>
            <w:vAlign w:val="top"/>
          </w:tcPr>
          <w:p w14:paraId="77BFD853">
            <w:pPr>
              <w:pStyle w:val="15"/>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3088ADAA">
            <w:pPr>
              <w:pStyle w:val="15"/>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38AFFCB6">
            <w:pPr>
              <w:pStyle w:val="15"/>
              <w:spacing w:line="240" w:lineRule="atLeast"/>
              <w:ind w:left="1080" w:leftChars="257" w:hanging="540"/>
              <w:rPr>
                <w:rFonts w:hint="eastAsia" w:ascii="仿宋_GB2312" w:eastAsia="仿宋_GB2312"/>
                <w:sz w:val="24"/>
                <w:highlight w:val="none"/>
                <w:lang w:val="en-US" w:eastAsia="zh-CN"/>
              </w:rPr>
            </w:pPr>
          </w:p>
        </w:tc>
        <w:tc>
          <w:tcPr>
            <w:tcW w:w="900" w:type="dxa"/>
            <w:noWrap w:val="0"/>
            <w:vAlign w:val="top"/>
          </w:tcPr>
          <w:p w14:paraId="1ECF896C">
            <w:pPr>
              <w:pStyle w:val="15"/>
              <w:spacing w:line="240" w:lineRule="atLeast"/>
              <w:ind w:left="1080" w:leftChars="257" w:hanging="540"/>
              <w:rPr>
                <w:rFonts w:hint="eastAsia" w:ascii="仿宋_GB2312" w:eastAsia="仿宋_GB2312"/>
                <w:sz w:val="24"/>
                <w:highlight w:val="none"/>
                <w:lang w:val="en-US" w:eastAsia="zh-CN"/>
              </w:rPr>
            </w:pPr>
          </w:p>
        </w:tc>
      </w:tr>
      <w:tr w14:paraId="53DAA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15C94854">
            <w:pPr>
              <w:pStyle w:val="15"/>
              <w:spacing w:line="240" w:lineRule="atLeast"/>
              <w:ind w:left="1080" w:leftChars="257" w:hanging="540"/>
              <w:rPr>
                <w:rFonts w:hint="eastAsia" w:ascii="仿宋_GB2312" w:eastAsia="仿宋_GB2312"/>
                <w:sz w:val="24"/>
                <w:highlight w:val="none"/>
                <w:lang w:val="en-US" w:eastAsia="zh-CN"/>
              </w:rPr>
            </w:pPr>
          </w:p>
        </w:tc>
        <w:tc>
          <w:tcPr>
            <w:tcW w:w="2040" w:type="dxa"/>
            <w:noWrap w:val="0"/>
            <w:vAlign w:val="top"/>
          </w:tcPr>
          <w:p w14:paraId="1F3D14FD">
            <w:pPr>
              <w:pStyle w:val="15"/>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73141688">
            <w:pPr>
              <w:pStyle w:val="15"/>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3A6D153A">
            <w:pPr>
              <w:pStyle w:val="15"/>
              <w:spacing w:line="240" w:lineRule="atLeast"/>
              <w:ind w:left="1080" w:leftChars="257" w:hanging="540"/>
              <w:rPr>
                <w:rFonts w:hint="eastAsia" w:ascii="仿宋_GB2312" w:eastAsia="仿宋_GB2312"/>
                <w:sz w:val="24"/>
                <w:highlight w:val="none"/>
                <w:lang w:val="en-US" w:eastAsia="zh-CN"/>
              </w:rPr>
            </w:pPr>
          </w:p>
        </w:tc>
        <w:tc>
          <w:tcPr>
            <w:tcW w:w="900" w:type="dxa"/>
            <w:noWrap w:val="0"/>
            <w:vAlign w:val="top"/>
          </w:tcPr>
          <w:p w14:paraId="7A529EB2">
            <w:pPr>
              <w:pStyle w:val="15"/>
              <w:spacing w:line="240" w:lineRule="atLeast"/>
              <w:ind w:left="1080" w:leftChars="257" w:hanging="540"/>
              <w:rPr>
                <w:rFonts w:hint="eastAsia" w:ascii="仿宋_GB2312" w:eastAsia="仿宋_GB2312"/>
                <w:sz w:val="24"/>
                <w:highlight w:val="none"/>
                <w:lang w:val="en-US" w:eastAsia="zh-CN"/>
              </w:rPr>
            </w:pPr>
          </w:p>
        </w:tc>
      </w:tr>
      <w:tr w14:paraId="7F619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5E79A13A">
            <w:pPr>
              <w:pStyle w:val="15"/>
              <w:spacing w:line="240" w:lineRule="atLeast"/>
              <w:ind w:left="1080" w:leftChars="257" w:hanging="540"/>
              <w:rPr>
                <w:rFonts w:hint="eastAsia" w:ascii="仿宋_GB2312" w:eastAsia="仿宋_GB2312"/>
                <w:sz w:val="24"/>
                <w:highlight w:val="none"/>
                <w:lang w:val="en-US" w:eastAsia="zh-CN"/>
              </w:rPr>
            </w:pPr>
          </w:p>
        </w:tc>
        <w:tc>
          <w:tcPr>
            <w:tcW w:w="2040" w:type="dxa"/>
            <w:noWrap w:val="0"/>
            <w:vAlign w:val="top"/>
          </w:tcPr>
          <w:p w14:paraId="461FCE24">
            <w:pPr>
              <w:pStyle w:val="15"/>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0CA46A6C">
            <w:pPr>
              <w:pStyle w:val="15"/>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5309CFEC">
            <w:pPr>
              <w:pStyle w:val="15"/>
              <w:spacing w:line="240" w:lineRule="atLeast"/>
              <w:ind w:left="1080" w:leftChars="257" w:hanging="540"/>
              <w:rPr>
                <w:rFonts w:hint="eastAsia" w:ascii="仿宋_GB2312" w:eastAsia="仿宋_GB2312"/>
                <w:sz w:val="24"/>
                <w:highlight w:val="none"/>
                <w:lang w:val="en-US" w:eastAsia="zh-CN"/>
              </w:rPr>
            </w:pPr>
          </w:p>
        </w:tc>
        <w:tc>
          <w:tcPr>
            <w:tcW w:w="900" w:type="dxa"/>
            <w:noWrap w:val="0"/>
            <w:vAlign w:val="top"/>
          </w:tcPr>
          <w:p w14:paraId="71963109">
            <w:pPr>
              <w:pStyle w:val="15"/>
              <w:spacing w:line="240" w:lineRule="atLeast"/>
              <w:ind w:left="1080" w:leftChars="257" w:hanging="540"/>
              <w:rPr>
                <w:rFonts w:hint="eastAsia" w:ascii="仿宋_GB2312" w:eastAsia="仿宋_GB2312"/>
                <w:sz w:val="24"/>
                <w:highlight w:val="none"/>
                <w:lang w:val="en-US" w:eastAsia="zh-CN"/>
              </w:rPr>
            </w:pPr>
          </w:p>
        </w:tc>
      </w:tr>
      <w:tr w14:paraId="5D33B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213D1734">
            <w:pPr>
              <w:pStyle w:val="15"/>
              <w:spacing w:line="240" w:lineRule="atLeast"/>
              <w:ind w:left="1080" w:leftChars="257" w:hanging="540"/>
              <w:rPr>
                <w:rFonts w:hint="eastAsia" w:ascii="仿宋_GB2312" w:eastAsia="仿宋_GB2312"/>
                <w:sz w:val="24"/>
                <w:highlight w:val="none"/>
                <w:lang w:val="en-US" w:eastAsia="zh-CN"/>
              </w:rPr>
            </w:pPr>
          </w:p>
        </w:tc>
        <w:tc>
          <w:tcPr>
            <w:tcW w:w="2040" w:type="dxa"/>
            <w:noWrap w:val="0"/>
            <w:vAlign w:val="top"/>
          </w:tcPr>
          <w:p w14:paraId="135CA832">
            <w:pPr>
              <w:pStyle w:val="15"/>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3BAC23E6">
            <w:pPr>
              <w:pStyle w:val="15"/>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3CD432CA">
            <w:pPr>
              <w:pStyle w:val="15"/>
              <w:spacing w:line="240" w:lineRule="atLeast"/>
              <w:ind w:left="1080" w:leftChars="257" w:hanging="540"/>
              <w:rPr>
                <w:rFonts w:hint="eastAsia" w:ascii="仿宋_GB2312" w:eastAsia="仿宋_GB2312"/>
                <w:sz w:val="24"/>
                <w:highlight w:val="none"/>
                <w:lang w:val="en-US" w:eastAsia="zh-CN"/>
              </w:rPr>
            </w:pPr>
          </w:p>
        </w:tc>
        <w:tc>
          <w:tcPr>
            <w:tcW w:w="900" w:type="dxa"/>
            <w:noWrap w:val="0"/>
            <w:vAlign w:val="top"/>
          </w:tcPr>
          <w:p w14:paraId="3574F5CD">
            <w:pPr>
              <w:pStyle w:val="15"/>
              <w:spacing w:line="240" w:lineRule="atLeast"/>
              <w:ind w:left="1080" w:leftChars="257" w:hanging="540"/>
              <w:rPr>
                <w:rFonts w:hint="eastAsia" w:ascii="仿宋_GB2312" w:eastAsia="仿宋_GB2312"/>
                <w:sz w:val="24"/>
                <w:highlight w:val="none"/>
                <w:lang w:val="en-US" w:eastAsia="zh-CN"/>
              </w:rPr>
            </w:pPr>
          </w:p>
        </w:tc>
      </w:tr>
      <w:tr w14:paraId="3B0FF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7E4549A1">
            <w:pPr>
              <w:pStyle w:val="15"/>
              <w:spacing w:line="240" w:lineRule="atLeast"/>
              <w:ind w:left="1080" w:leftChars="257" w:hanging="540"/>
              <w:rPr>
                <w:rFonts w:hint="eastAsia" w:ascii="仿宋_GB2312" w:eastAsia="仿宋_GB2312"/>
                <w:sz w:val="24"/>
                <w:highlight w:val="none"/>
                <w:lang w:val="en-US" w:eastAsia="zh-CN"/>
              </w:rPr>
            </w:pPr>
          </w:p>
        </w:tc>
        <w:tc>
          <w:tcPr>
            <w:tcW w:w="2040" w:type="dxa"/>
            <w:noWrap w:val="0"/>
            <w:vAlign w:val="top"/>
          </w:tcPr>
          <w:p w14:paraId="372A9712">
            <w:pPr>
              <w:pStyle w:val="15"/>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2FF1B29B">
            <w:pPr>
              <w:pStyle w:val="15"/>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4C868068">
            <w:pPr>
              <w:pStyle w:val="15"/>
              <w:spacing w:line="240" w:lineRule="atLeast"/>
              <w:ind w:left="1080" w:leftChars="257" w:hanging="540"/>
              <w:rPr>
                <w:rFonts w:hint="eastAsia" w:ascii="仿宋_GB2312" w:eastAsia="仿宋_GB2312"/>
                <w:sz w:val="24"/>
                <w:highlight w:val="none"/>
                <w:lang w:val="en-US" w:eastAsia="zh-CN"/>
              </w:rPr>
            </w:pPr>
          </w:p>
        </w:tc>
        <w:tc>
          <w:tcPr>
            <w:tcW w:w="900" w:type="dxa"/>
            <w:noWrap w:val="0"/>
            <w:vAlign w:val="top"/>
          </w:tcPr>
          <w:p w14:paraId="7B72BBEA">
            <w:pPr>
              <w:pStyle w:val="15"/>
              <w:spacing w:line="240" w:lineRule="atLeast"/>
              <w:ind w:left="1080" w:leftChars="257" w:hanging="540"/>
              <w:rPr>
                <w:rFonts w:hint="eastAsia" w:ascii="仿宋_GB2312" w:eastAsia="仿宋_GB2312"/>
                <w:sz w:val="24"/>
                <w:highlight w:val="none"/>
                <w:lang w:val="en-US" w:eastAsia="zh-CN"/>
              </w:rPr>
            </w:pPr>
          </w:p>
        </w:tc>
      </w:tr>
      <w:tr w14:paraId="69907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1DDA7BFC">
            <w:pPr>
              <w:pStyle w:val="15"/>
              <w:spacing w:line="240" w:lineRule="atLeast"/>
              <w:ind w:left="1080" w:leftChars="257" w:hanging="540"/>
              <w:rPr>
                <w:rFonts w:hint="eastAsia" w:ascii="仿宋_GB2312" w:eastAsia="仿宋_GB2312"/>
                <w:sz w:val="24"/>
                <w:highlight w:val="none"/>
                <w:lang w:val="en-US" w:eastAsia="zh-CN"/>
              </w:rPr>
            </w:pPr>
          </w:p>
        </w:tc>
        <w:tc>
          <w:tcPr>
            <w:tcW w:w="2040" w:type="dxa"/>
            <w:noWrap w:val="0"/>
            <w:vAlign w:val="top"/>
          </w:tcPr>
          <w:p w14:paraId="0FEE0491">
            <w:pPr>
              <w:pStyle w:val="15"/>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01A70546">
            <w:pPr>
              <w:pStyle w:val="15"/>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368F3DFD">
            <w:pPr>
              <w:pStyle w:val="15"/>
              <w:spacing w:line="240" w:lineRule="atLeast"/>
              <w:ind w:left="1080" w:leftChars="257" w:hanging="540"/>
              <w:rPr>
                <w:rFonts w:hint="eastAsia" w:ascii="仿宋_GB2312" w:eastAsia="仿宋_GB2312"/>
                <w:sz w:val="24"/>
                <w:highlight w:val="none"/>
                <w:lang w:val="en-US" w:eastAsia="zh-CN"/>
              </w:rPr>
            </w:pPr>
          </w:p>
        </w:tc>
        <w:tc>
          <w:tcPr>
            <w:tcW w:w="900" w:type="dxa"/>
            <w:noWrap w:val="0"/>
            <w:vAlign w:val="top"/>
          </w:tcPr>
          <w:p w14:paraId="3CAF92AD">
            <w:pPr>
              <w:pStyle w:val="15"/>
              <w:spacing w:line="240" w:lineRule="atLeast"/>
              <w:ind w:left="1080" w:leftChars="257" w:hanging="540"/>
              <w:rPr>
                <w:rFonts w:hint="eastAsia" w:ascii="仿宋_GB2312" w:eastAsia="仿宋_GB2312"/>
                <w:sz w:val="24"/>
                <w:highlight w:val="none"/>
                <w:lang w:val="en-US" w:eastAsia="zh-CN"/>
              </w:rPr>
            </w:pPr>
          </w:p>
        </w:tc>
      </w:tr>
      <w:tr w14:paraId="68835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2033C240">
            <w:pPr>
              <w:pStyle w:val="15"/>
              <w:spacing w:line="240" w:lineRule="atLeast"/>
              <w:ind w:left="1080" w:leftChars="257" w:hanging="540"/>
              <w:rPr>
                <w:rFonts w:hint="eastAsia" w:ascii="仿宋_GB2312" w:eastAsia="仿宋_GB2312"/>
                <w:sz w:val="24"/>
                <w:highlight w:val="none"/>
                <w:lang w:val="en-US" w:eastAsia="zh-CN"/>
              </w:rPr>
            </w:pPr>
          </w:p>
        </w:tc>
        <w:tc>
          <w:tcPr>
            <w:tcW w:w="2040" w:type="dxa"/>
            <w:noWrap w:val="0"/>
            <w:vAlign w:val="top"/>
          </w:tcPr>
          <w:p w14:paraId="6A984C64">
            <w:pPr>
              <w:pStyle w:val="15"/>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63F2839B">
            <w:pPr>
              <w:pStyle w:val="15"/>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03F41CE1">
            <w:pPr>
              <w:pStyle w:val="15"/>
              <w:spacing w:line="240" w:lineRule="atLeast"/>
              <w:ind w:left="1080" w:leftChars="257" w:hanging="540"/>
              <w:rPr>
                <w:rFonts w:hint="eastAsia" w:ascii="仿宋_GB2312" w:eastAsia="仿宋_GB2312"/>
                <w:sz w:val="24"/>
                <w:highlight w:val="none"/>
                <w:lang w:val="en-US" w:eastAsia="zh-CN"/>
              </w:rPr>
            </w:pPr>
          </w:p>
        </w:tc>
        <w:tc>
          <w:tcPr>
            <w:tcW w:w="900" w:type="dxa"/>
            <w:noWrap w:val="0"/>
            <w:vAlign w:val="top"/>
          </w:tcPr>
          <w:p w14:paraId="2CFBDD0C">
            <w:pPr>
              <w:pStyle w:val="15"/>
              <w:spacing w:line="240" w:lineRule="atLeast"/>
              <w:ind w:left="1080" w:leftChars="257" w:hanging="540"/>
              <w:rPr>
                <w:rFonts w:hint="eastAsia" w:ascii="仿宋_GB2312" w:eastAsia="仿宋_GB2312"/>
                <w:sz w:val="24"/>
                <w:highlight w:val="none"/>
                <w:lang w:val="en-US" w:eastAsia="zh-CN"/>
              </w:rPr>
            </w:pPr>
          </w:p>
        </w:tc>
      </w:tr>
      <w:tr w14:paraId="6894A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7C7EA824">
            <w:pPr>
              <w:pStyle w:val="15"/>
              <w:spacing w:line="240" w:lineRule="atLeast"/>
              <w:ind w:left="1080" w:leftChars="257" w:hanging="540"/>
              <w:rPr>
                <w:rFonts w:hint="eastAsia" w:ascii="仿宋_GB2312" w:eastAsia="仿宋_GB2312"/>
                <w:sz w:val="24"/>
                <w:highlight w:val="none"/>
                <w:lang w:val="en-US" w:eastAsia="zh-CN"/>
              </w:rPr>
            </w:pPr>
          </w:p>
        </w:tc>
        <w:tc>
          <w:tcPr>
            <w:tcW w:w="2040" w:type="dxa"/>
            <w:noWrap w:val="0"/>
            <w:vAlign w:val="top"/>
          </w:tcPr>
          <w:p w14:paraId="403699FD">
            <w:pPr>
              <w:pStyle w:val="15"/>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1EC42612">
            <w:pPr>
              <w:pStyle w:val="15"/>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2E052665">
            <w:pPr>
              <w:pStyle w:val="15"/>
              <w:spacing w:line="240" w:lineRule="atLeast"/>
              <w:ind w:left="1080" w:leftChars="257" w:hanging="540"/>
              <w:rPr>
                <w:rFonts w:hint="eastAsia" w:ascii="仿宋_GB2312" w:eastAsia="仿宋_GB2312"/>
                <w:sz w:val="24"/>
                <w:highlight w:val="none"/>
                <w:lang w:val="en-US" w:eastAsia="zh-CN"/>
              </w:rPr>
            </w:pPr>
          </w:p>
        </w:tc>
        <w:tc>
          <w:tcPr>
            <w:tcW w:w="900" w:type="dxa"/>
            <w:noWrap w:val="0"/>
            <w:vAlign w:val="top"/>
          </w:tcPr>
          <w:p w14:paraId="228B89DB">
            <w:pPr>
              <w:pStyle w:val="15"/>
              <w:spacing w:line="240" w:lineRule="atLeast"/>
              <w:ind w:left="1080" w:leftChars="257" w:hanging="540"/>
              <w:rPr>
                <w:rFonts w:hint="eastAsia" w:ascii="仿宋_GB2312" w:eastAsia="仿宋_GB2312"/>
                <w:sz w:val="24"/>
                <w:highlight w:val="none"/>
                <w:lang w:val="en-US" w:eastAsia="zh-CN"/>
              </w:rPr>
            </w:pPr>
          </w:p>
        </w:tc>
      </w:tr>
      <w:tr w14:paraId="5E69D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0007C4E0">
            <w:pPr>
              <w:pStyle w:val="15"/>
              <w:spacing w:line="240" w:lineRule="atLeast"/>
              <w:ind w:left="1080" w:leftChars="257" w:hanging="540"/>
              <w:rPr>
                <w:rFonts w:hint="eastAsia" w:ascii="仿宋_GB2312" w:eastAsia="仿宋_GB2312"/>
                <w:sz w:val="24"/>
                <w:highlight w:val="none"/>
                <w:lang w:val="en-US" w:eastAsia="zh-CN"/>
              </w:rPr>
            </w:pPr>
          </w:p>
        </w:tc>
        <w:tc>
          <w:tcPr>
            <w:tcW w:w="2040" w:type="dxa"/>
            <w:noWrap w:val="0"/>
            <w:vAlign w:val="top"/>
          </w:tcPr>
          <w:p w14:paraId="3A5950C7">
            <w:pPr>
              <w:pStyle w:val="15"/>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4BD37C3C">
            <w:pPr>
              <w:pStyle w:val="15"/>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771CFBE8">
            <w:pPr>
              <w:pStyle w:val="15"/>
              <w:spacing w:line="240" w:lineRule="atLeast"/>
              <w:ind w:left="1080" w:leftChars="257" w:hanging="540"/>
              <w:rPr>
                <w:rFonts w:hint="eastAsia" w:ascii="仿宋_GB2312" w:eastAsia="仿宋_GB2312"/>
                <w:sz w:val="24"/>
                <w:highlight w:val="none"/>
                <w:lang w:val="en-US" w:eastAsia="zh-CN"/>
              </w:rPr>
            </w:pPr>
          </w:p>
        </w:tc>
        <w:tc>
          <w:tcPr>
            <w:tcW w:w="900" w:type="dxa"/>
            <w:noWrap w:val="0"/>
            <w:vAlign w:val="top"/>
          </w:tcPr>
          <w:p w14:paraId="4AACAD31">
            <w:pPr>
              <w:pStyle w:val="15"/>
              <w:spacing w:line="240" w:lineRule="atLeast"/>
              <w:ind w:left="1080" w:leftChars="257" w:hanging="540"/>
              <w:rPr>
                <w:rFonts w:hint="eastAsia" w:ascii="仿宋_GB2312" w:eastAsia="仿宋_GB2312"/>
                <w:sz w:val="24"/>
                <w:highlight w:val="none"/>
                <w:lang w:val="en-US" w:eastAsia="zh-CN"/>
              </w:rPr>
            </w:pPr>
          </w:p>
        </w:tc>
      </w:tr>
      <w:tr w14:paraId="438C8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6F4F2B40">
            <w:pPr>
              <w:pStyle w:val="15"/>
              <w:spacing w:line="240" w:lineRule="atLeast"/>
              <w:ind w:left="1080" w:leftChars="257" w:hanging="540"/>
              <w:rPr>
                <w:rFonts w:hint="eastAsia" w:ascii="仿宋_GB2312" w:eastAsia="仿宋_GB2312"/>
                <w:sz w:val="24"/>
                <w:highlight w:val="none"/>
                <w:lang w:val="en-US" w:eastAsia="zh-CN"/>
              </w:rPr>
            </w:pPr>
          </w:p>
        </w:tc>
        <w:tc>
          <w:tcPr>
            <w:tcW w:w="2040" w:type="dxa"/>
            <w:noWrap w:val="0"/>
            <w:vAlign w:val="top"/>
          </w:tcPr>
          <w:p w14:paraId="07F0584F">
            <w:pPr>
              <w:pStyle w:val="15"/>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2FDA25A7">
            <w:pPr>
              <w:pStyle w:val="15"/>
              <w:spacing w:line="240" w:lineRule="atLeast"/>
              <w:ind w:left="1080" w:leftChars="257" w:hanging="540"/>
              <w:rPr>
                <w:rFonts w:hint="eastAsia" w:ascii="仿宋_GB2312" w:eastAsia="仿宋_GB2312"/>
                <w:sz w:val="24"/>
                <w:highlight w:val="none"/>
                <w:lang w:val="en-US" w:eastAsia="zh-CN"/>
              </w:rPr>
            </w:pPr>
          </w:p>
        </w:tc>
        <w:tc>
          <w:tcPr>
            <w:tcW w:w="2520" w:type="dxa"/>
            <w:noWrap w:val="0"/>
            <w:vAlign w:val="top"/>
          </w:tcPr>
          <w:p w14:paraId="0DABC76A">
            <w:pPr>
              <w:pStyle w:val="15"/>
              <w:spacing w:line="240" w:lineRule="atLeast"/>
              <w:ind w:left="1080" w:leftChars="257" w:hanging="540"/>
              <w:rPr>
                <w:rFonts w:hint="eastAsia" w:ascii="仿宋_GB2312" w:eastAsia="仿宋_GB2312"/>
                <w:sz w:val="24"/>
                <w:highlight w:val="none"/>
                <w:lang w:val="en-US" w:eastAsia="zh-CN"/>
              </w:rPr>
            </w:pPr>
          </w:p>
        </w:tc>
        <w:tc>
          <w:tcPr>
            <w:tcW w:w="900" w:type="dxa"/>
            <w:noWrap w:val="0"/>
            <w:vAlign w:val="top"/>
          </w:tcPr>
          <w:p w14:paraId="64F30C53">
            <w:pPr>
              <w:pStyle w:val="15"/>
              <w:spacing w:line="240" w:lineRule="atLeast"/>
              <w:ind w:left="1080" w:leftChars="257" w:hanging="540"/>
              <w:rPr>
                <w:rFonts w:hint="eastAsia" w:ascii="仿宋_GB2312" w:eastAsia="仿宋_GB2312"/>
                <w:sz w:val="24"/>
                <w:highlight w:val="none"/>
                <w:lang w:val="en-US" w:eastAsia="zh-CN"/>
              </w:rPr>
            </w:pPr>
          </w:p>
        </w:tc>
      </w:tr>
    </w:tbl>
    <w:p w14:paraId="3B781227">
      <w:pPr>
        <w:pStyle w:val="15"/>
        <w:spacing w:line="240" w:lineRule="atLeast"/>
        <w:ind w:left="1080" w:leftChars="257" w:hanging="540"/>
        <w:rPr>
          <w:rFonts w:hint="eastAsia" w:ascii="仿宋_GB2312" w:eastAsia="仿宋_GB2312"/>
          <w:sz w:val="24"/>
          <w:highlight w:val="none"/>
        </w:rPr>
      </w:pPr>
    </w:p>
    <w:p w14:paraId="6626D795">
      <w:pPr>
        <w:pStyle w:val="15"/>
        <w:spacing w:line="240" w:lineRule="atLeast"/>
        <w:ind w:left="1080" w:leftChars="257" w:hanging="540"/>
        <w:rPr>
          <w:rFonts w:hint="eastAsia" w:ascii="仿宋_GB2312" w:eastAsia="仿宋_GB2312"/>
          <w:sz w:val="24"/>
          <w:highlight w:val="none"/>
        </w:rPr>
      </w:pPr>
    </w:p>
    <w:p w14:paraId="2AF41911">
      <w:pPr>
        <w:pStyle w:val="15"/>
        <w:spacing w:line="240" w:lineRule="atLeast"/>
        <w:ind w:left="1080" w:leftChars="257" w:hanging="540"/>
        <w:rPr>
          <w:rFonts w:hint="eastAsia" w:ascii="仿宋_GB2312" w:eastAsia="仿宋_GB2312"/>
          <w:sz w:val="24"/>
          <w:highlight w:val="none"/>
          <w:lang w:eastAsia="zh-CN"/>
        </w:rPr>
      </w:pPr>
      <w:r>
        <w:rPr>
          <w:rFonts w:hint="eastAsia" w:ascii="仿宋_GB2312" w:eastAsia="仿宋_GB2312"/>
          <w:sz w:val="24"/>
          <w:highlight w:val="none"/>
        </w:rPr>
        <w:t>法定代表人或其委托代理人签字:</w:t>
      </w:r>
      <w:r>
        <w:rPr>
          <w:rFonts w:ascii="仿宋_GB2312" w:hAnsi="宋体" w:eastAsia="仿宋_GB2312"/>
          <w:sz w:val="24"/>
          <w:highlight w:val="none"/>
          <w:u w:val="single"/>
        </w:rPr>
        <w:tab/>
      </w:r>
    </w:p>
    <w:p w14:paraId="2CF6D464">
      <w:pPr>
        <w:pStyle w:val="15"/>
        <w:tabs>
          <w:tab w:val="left" w:pos="5370"/>
        </w:tabs>
        <w:spacing w:line="240" w:lineRule="atLeast"/>
        <w:ind w:left="1080" w:leftChars="257" w:hanging="540"/>
        <w:rPr>
          <w:highlight w:val="none"/>
        </w:rPr>
        <w:sectPr>
          <w:pgSz w:w="11906" w:h="16838"/>
          <w:pgMar w:top="1440" w:right="1797" w:bottom="1440" w:left="1797" w:header="851" w:footer="992" w:gutter="0"/>
          <w:pgNumType w:fmt="decimal"/>
          <w:cols w:space="720" w:num="1"/>
          <w:docGrid w:linePitch="312" w:charSpace="0"/>
        </w:sectPr>
      </w:pPr>
      <w:r>
        <w:rPr>
          <w:rFonts w:hint="eastAsia" w:ascii="仿宋_GB2312" w:hAnsi="宋体" w:eastAsia="仿宋_GB2312"/>
          <w:sz w:val="24"/>
          <w:highlight w:val="none"/>
        </w:rPr>
        <w:t>投标人(盖单位章):</w:t>
      </w:r>
      <w:r>
        <w:rPr>
          <w:rFonts w:ascii="仿宋_GB2312" w:hAnsi="宋体" w:eastAsia="仿宋_GB2312"/>
          <w:sz w:val="24"/>
          <w:highlight w:val="none"/>
          <w:u w:val="single"/>
        </w:rPr>
        <w:tab/>
      </w:r>
    </w:p>
    <w:p w14:paraId="0C21EA42">
      <w:pPr>
        <w:pStyle w:val="3"/>
        <w:spacing w:before="0" w:line="240" w:lineRule="atLeast"/>
        <w:jc w:val="center"/>
        <w:rPr>
          <w:rFonts w:ascii="仿宋_GB2312" w:eastAsia="仿宋_GB2312"/>
          <w:sz w:val="24"/>
          <w:highlight w:val="none"/>
        </w:rPr>
      </w:pPr>
      <w:bookmarkStart w:id="266" w:name="_Toc515647825"/>
      <w:bookmarkStart w:id="267" w:name="_Toc19284"/>
      <w:bookmarkStart w:id="268" w:name="_Toc27577"/>
      <w:bookmarkStart w:id="269" w:name="_Toc25518"/>
      <w:bookmarkStart w:id="270" w:name="_Toc23068"/>
      <w:bookmarkStart w:id="271" w:name="OLE_LINK13"/>
      <w:bookmarkStart w:id="272" w:name="OLE_LINK14"/>
      <w:bookmarkStart w:id="273" w:name="_Toc515647827"/>
      <w:bookmarkStart w:id="274" w:name="_Toc30795"/>
      <w:bookmarkStart w:id="275" w:name="_Toc28099"/>
      <w:r>
        <w:rPr>
          <w:rFonts w:hint="eastAsia" w:ascii="仿宋_GB2312" w:eastAsia="仿宋_GB2312"/>
          <w:sz w:val="24"/>
          <w:highlight w:val="none"/>
          <w:lang w:val="en-US" w:eastAsia="zh-CN"/>
        </w:rPr>
        <w:t>6、</w:t>
      </w:r>
      <w:r>
        <w:rPr>
          <w:rFonts w:hint="eastAsia" w:ascii="仿宋_GB2312" w:eastAsia="仿宋_GB2312"/>
          <w:sz w:val="24"/>
          <w:highlight w:val="none"/>
        </w:rPr>
        <w:t>残疾人福利性单位声明函（</w:t>
      </w:r>
      <w:r>
        <w:rPr>
          <w:rFonts w:ascii="仿宋_GB2312" w:eastAsia="仿宋_GB2312"/>
          <w:sz w:val="24"/>
          <w:highlight w:val="none"/>
        </w:rPr>
        <w:t>投标文件</w:t>
      </w:r>
      <w:r>
        <w:rPr>
          <w:rFonts w:hint="eastAsia" w:ascii="仿宋_GB2312" w:eastAsia="仿宋_GB2312"/>
          <w:sz w:val="24"/>
          <w:highlight w:val="none"/>
        </w:rPr>
        <w:t>格式十三）</w:t>
      </w:r>
      <w:bookmarkEnd w:id="266"/>
      <w:bookmarkEnd w:id="267"/>
      <w:bookmarkEnd w:id="268"/>
      <w:bookmarkEnd w:id="269"/>
      <w:bookmarkEnd w:id="270"/>
    </w:p>
    <w:bookmarkEnd w:id="271"/>
    <w:bookmarkEnd w:id="272"/>
    <w:p w14:paraId="19BFE291">
      <w:pPr>
        <w:spacing w:line="240" w:lineRule="atLeast"/>
        <w:ind w:left="1080" w:leftChars="257" w:hanging="540"/>
        <w:jc w:val="center"/>
        <w:rPr>
          <w:rFonts w:ascii="仿宋_GB2312" w:hAnsi="Arial" w:eastAsia="仿宋_GB2312"/>
          <w:kern w:val="0"/>
          <w:sz w:val="24"/>
          <w:szCs w:val="20"/>
          <w:highlight w:val="none"/>
        </w:rPr>
      </w:pPr>
    </w:p>
    <w:p w14:paraId="4720B335">
      <w:pPr>
        <w:spacing w:line="240" w:lineRule="atLeast"/>
        <w:ind w:firstLine="567"/>
        <w:rPr>
          <w:rFonts w:ascii="仿宋_GB2312" w:hAnsi="Arial" w:eastAsia="仿宋_GB2312"/>
          <w:kern w:val="0"/>
          <w:sz w:val="24"/>
          <w:szCs w:val="20"/>
          <w:highlight w:val="none"/>
        </w:rPr>
      </w:pPr>
      <w:r>
        <w:rPr>
          <w:rFonts w:hint="eastAsia" w:ascii="仿宋_GB2312" w:hAnsi="Arial" w:eastAsia="仿宋_GB2312"/>
          <w:kern w:val="0"/>
          <w:sz w:val="24"/>
          <w:szCs w:val="20"/>
          <w:highlight w:val="none"/>
        </w:rPr>
        <w:t>本单位郑重声明，根据《财政部民政部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3558D49A">
      <w:pPr>
        <w:spacing w:line="240" w:lineRule="atLeast"/>
        <w:ind w:left="1080" w:leftChars="257" w:hanging="540"/>
        <w:rPr>
          <w:rFonts w:ascii="仿宋_GB2312" w:hAnsi="Arial" w:eastAsia="仿宋_GB2312"/>
          <w:kern w:val="0"/>
          <w:sz w:val="24"/>
          <w:szCs w:val="20"/>
          <w:highlight w:val="none"/>
        </w:rPr>
      </w:pPr>
      <w:r>
        <w:rPr>
          <w:rFonts w:hint="eastAsia" w:ascii="仿宋_GB2312" w:hAnsi="Arial" w:eastAsia="仿宋_GB2312"/>
          <w:kern w:val="0"/>
          <w:sz w:val="24"/>
          <w:szCs w:val="20"/>
          <w:highlight w:val="none"/>
        </w:rPr>
        <w:t>本单位对上述声明的真实性负责。如有虚假，将依法承担相应责任。</w:t>
      </w:r>
    </w:p>
    <w:p w14:paraId="3441BAB0">
      <w:pPr>
        <w:spacing w:line="240" w:lineRule="atLeast"/>
        <w:ind w:left="1080" w:leftChars="257" w:hanging="540"/>
        <w:jc w:val="center"/>
        <w:rPr>
          <w:rFonts w:ascii="仿宋_GB2312" w:hAnsi="Arial" w:eastAsia="仿宋_GB2312"/>
          <w:kern w:val="0"/>
          <w:sz w:val="24"/>
          <w:szCs w:val="20"/>
          <w:highlight w:val="none"/>
        </w:rPr>
      </w:pPr>
    </w:p>
    <w:p w14:paraId="172794EF">
      <w:pPr>
        <w:spacing w:line="240" w:lineRule="atLeast"/>
        <w:ind w:left="1080" w:leftChars="257" w:hanging="540"/>
        <w:jc w:val="center"/>
        <w:rPr>
          <w:rFonts w:ascii="仿宋_GB2312" w:hAnsi="Arial" w:eastAsia="仿宋_GB2312"/>
          <w:kern w:val="0"/>
          <w:sz w:val="24"/>
          <w:szCs w:val="20"/>
          <w:highlight w:val="none"/>
        </w:rPr>
      </w:pPr>
    </w:p>
    <w:p w14:paraId="183A09C6">
      <w:pPr>
        <w:spacing w:line="240" w:lineRule="atLeast"/>
        <w:ind w:left="1080" w:leftChars="257" w:hanging="540"/>
        <w:jc w:val="center"/>
        <w:rPr>
          <w:rFonts w:hint="eastAsia" w:ascii="仿宋_GB2312" w:hAnsi="Arial" w:eastAsia="仿宋_GB2312"/>
          <w:kern w:val="0"/>
          <w:sz w:val="24"/>
          <w:szCs w:val="20"/>
          <w:highlight w:val="none"/>
        </w:rPr>
      </w:pPr>
    </w:p>
    <w:p w14:paraId="323C237E">
      <w:pPr>
        <w:spacing w:line="240" w:lineRule="atLeast"/>
        <w:ind w:left="1080" w:leftChars="257" w:hanging="540"/>
        <w:jc w:val="center"/>
        <w:rPr>
          <w:rFonts w:hint="eastAsia" w:ascii="仿宋_GB2312" w:hAnsi="Arial" w:eastAsia="仿宋_GB2312"/>
          <w:kern w:val="0"/>
          <w:sz w:val="24"/>
          <w:szCs w:val="20"/>
          <w:highlight w:val="none"/>
        </w:rPr>
      </w:pPr>
    </w:p>
    <w:p w14:paraId="02D81F7D">
      <w:pPr>
        <w:spacing w:line="240" w:lineRule="atLeast"/>
        <w:ind w:left="1080" w:leftChars="257" w:hanging="540"/>
        <w:jc w:val="center"/>
        <w:rPr>
          <w:rFonts w:hint="eastAsia" w:ascii="仿宋_GB2312" w:hAnsi="Arial" w:eastAsia="仿宋_GB2312"/>
          <w:kern w:val="0"/>
          <w:sz w:val="24"/>
          <w:szCs w:val="20"/>
          <w:highlight w:val="none"/>
        </w:rPr>
      </w:pPr>
      <w:r>
        <w:rPr>
          <w:rFonts w:hint="eastAsia" w:ascii="仿宋_GB2312" w:hAnsi="Arial" w:eastAsia="仿宋_GB2312"/>
          <w:kern w:val="0"/>
          <w:sz w:val="24"/>
          <w:szCs w:val="20"/>
          <w:highlight w:val="none"/>
        </w:rPr>
        <w:t>残疾人福利性单位名称（盖单位章）：______________</w:t>
      </w:r>
    </w:p>
    <w:p w14:paraId="52AA46C3">
      <w:pPr>
        <w:spacing w:line="240" w:lineRule="atLeast"/>
        <w:ind w:left="1080" w:leftChars="257" w:hanging="540"/>
        <w:jc w:val="center"/>
        <w:rPr>
          <w:rFonts w:hint="eastAsia" w:ascii="仿宋_GB2312" w:hAnsi="Arial" w:eastAsia="仿宋_GB2312"/>
          <w:kern w:val="0"/>
          <w:sz w:val="24"/>
          <w:szCs w:val="20"/>
          <w:highlight w:val="none"/>
        </w:rPr>
      </w:pPr>
    </w:p>
    <w:p w14:paraId="5A73B591">
      <w:pPr>
        <w:spacing w:line="240" w:lineRule="atLeast"/>
        <w:ind w:left="1080" w:leftChars="257" w:hanging="540"/>
        <w:jc w:val="center"/>
        <w:rPr>
          <w:rFonts w:hint="eastAsia" w:ascii="仿宋_GB2312" w:hAnsi="Arial" w:eastAsia="仿宋_GB2312"/>
          <w:kern w:val="0"/>
          <w:sz w:val="24"/>
          <w:szCs w:val="20"/>
          <w:highlight w:val="none"/>
        </w:rPr>
      </w:pPr>
    </w:p>
    <w:p w14:paraId="4FF6B1CB">
      <w:pPr>
        <w:spacing w:line="240" w:lineRule="atLeast"/>
        <w:ind w:left="1080" w:leftChars="257" w:hanging="540"/>
        <w:jc w:val="center"/>
        <w:rPr>
          <w:rFonts w:hint="eastAsia" w:ascii="仿宋_GB2312" w:hAnsi="Arial" w:eastAsia="仿宋_GB2312"/>
          <w:kern w:val="0"/>
          <w:sz w:val="24"/>
          <w:szCs w:val="20"/>
          <w:highlight w:val="none"/>
        </w:rPr>
      </w:pPr>
      <w:r>
        <w:rPr>
          <w:rFonts w:hint="eastAsia" w:ascii="仿宋_GB2312" w:hAnsi="Arial" w:eastAsia="仿宋_GB2312"/>
          <w:kern w:val="0"/>
          <w:sz w:val="24"/>
          <w:szCs w:val="20"/>
          <w:highlight w:val="none"/>
        </w:rPr>
        <w:t>日期：_____________________________________________</w:t>
      </w:r>
    </w:p>
    <w:p w14:paraId="6A9ECC69">
      <w:pPr>
        <w:spacing w:line="240" w:lineRule="atLeast"/>
        <w:ind w:left="1080" w:leftChars="257" w:hanging="540"/>
        <w:jc w:val="center"/>
        <w:rPr>
          <w:rFonts w:ascii="仿宋_GB2312" w:hAnsi="Arial" w:eastAsia="仿宋_GB2312"/>
          <w:b/>
          <w:kern w:val="0"/>
          <w:sz w:val="24"/>
          <w:szCs w:val="20"/>
          <w:highlight w:val="none"/>
        </w:rPr>
      </w:pPr>
    </w:p>
    <w:p w14:paraId="44BE04F0">
      <w:pPr>
        <w:spacing w:line="240" w:lineRule="atLeast"/>
        <w:ind w:left="1080" w:leftChars="257" w:hanging="540"/>
        <w:jc w:val="center"/>
        <w:rPr>
          <w:rFonts w:ascii="仿宋_GB2312" w:hAnsi="Arial" w:eastAsia="仿宋_GB2312"/>
          <w:b/>
          <w:kern w:val="0"/>
          <w:sz w:val="24"/>
          <w:szCs w:val="20"/>
          <w:highlight w:val="none"/>
        </w:rPr>
      </w:pPr>
    </w:p>
    <w:p w14:paraId="5465408D">
      <w:pPr>
        <w:spacing w:line="240" w:lineRule="atLeast"/>
        <w:ind w:left="1080" w:leftChars="257" w:hanging="540"/>
        <w:jc w:val="center"/>
        <w:rPr>
          <w:rFonts w:ascii="仿宋_GB2312" w:hAnsi="Arial" w:eastAsia="仿宋_GB2312"/>
          <w:b/>
          <w:kern w:val="0"/>
          <w:sz w:val="24"/>
          <w:szCs w:val="20"/>
          <w:highlight w:val="none"/>
        </w:rPr>
      </w:pPr>
    </w:p>
    <w:p w14:paraId="5B67F5DD">
      <w:pPr>
        <w:spacing w:line="240" w:lineRule="atLeast"/>
        <w:ind w:left="1080" w:leftChars="257" w:hanging="540"/>
        <w:jc w:val="center"/>
        <w:rPr>
          <w:rFonts w:ascii="仿宋_GB2312" w:hAnsi="Arial" w:eastAsia="仿宋_GB2312"/>
          <w:b/>
          <w:kern w:val="0"/>
          <w:sz w:val="24"/>
          <w:szCs w:val="20"/>
          <w:highlight w:val="none"/>
        </w:rPr>
      </w:pPr>
    </w:p>
    <w:p w14:paraId="7B44B09A">
      <w:pPr>
        <w:spacing w:line="240" w:lineRule="atLeast"/>
        <w:ind w:left="1080" w:leftChars="257" w:hanging="540"/>
        <w:jc w:val="center"/>
        <w:rPr>
          <w:rFonts w:ascii="仿宋_GB2312" w:hAnsi="Arial" w:eastAsia="仿宋_GB2312"/>
          <w:b/>
          <w:kern w:val="0"/>
          <w:sz w:val="24"/>
          <w:szCs w:val="20"/>
          <w:highlight w:val="none"/>
        </w:rPr>
      </w:pPr>
    </w:p>
    <w:p w14:paraId="48831963">
      <w:pPr>
        <w:pStyle w:val="3"/>
        <w:spacing w:before="0" w:line="240" w:lineRule="atLeast"/>
        <w:ind w:left="1080" w:leftChars="257" w:hanging="540"/>
        <w:rPr>
          <w:rFonts w:hint="eastAsia" w:ascii="仿宋_GB2312" w:hAnsi="宋体" w:eastAsia="仿宋_GB2312"/>
          <w:sz w:val="24"/>
          <w:highlight w:val="none"/>
        </w:rPr>
      </w:pPr>
    </w:p>
    <w:p w14:paraId="4881C615">
      <w:pPr>
        <w:pStyle w:val="3"/>
        <w:spacing w:before="0" w:line="240" w:lineRule="atLeast"/>
        <w:ind w:left="1080" w:leftChars="257" w:hanging="540"/>
        <w:rPr>
          <w:rFonts w:hint="eastAsia" w:ascii="仿宋_GB2312" w:hAnsi="宋体" w:eastAsia="仿宋_GB2312"/>
          <w:sz w:val="24"/>
          <w:highlight w:val="none"/>
        </w:rPr>
      </w:pPr>
    </w:p>
    <w:p w14:paraId="21A3B48B">
      <w:pPr>
        <w:pStyle w:val="3"/>
        <w:spacing w:before="0" w:line="240" w:lineRule="atLeast"/>
        <w:ind w:left="1080" w:leftChars="257" w:hanging="540"/>
        <w:rPr>
          <w:rFonts w:hint="eastAsia" w:ascii="仿宋_GB2312" w:hAnsi="宋体" w:eastAsia="仿宋_GB2312"/>
          <w:sz w:val="24"/>
          <w:highlight w:val="none"/>
        </w:rPr>
      </w:pPr>
    </w:p>
    <w:p w14:paraId="300465B5">
      <w:pPr>
        <w:pStyle w:val="3"/>
        <w:spacing w:before="0" w:line="240" w:lineRule="atLeast"/>
        <w:ind w:left="1080" w:leftChars="257" w:hanging="540"/>
        <w:rPr>
          <w:rFonts w:hint="eastAsia" w:ascii="仿宋_GB2312" w:hAnsi="宋体" w:eastAsia="仿宋_GB2312"/>
          <w:sz w:val="24"/>
          <w:highlight w:val="none"/>
        </w:rPr>
      </w:pPr>
    </w:p>
    <w:p w14:paraId="5B289D71">
      <w:pPr>
        <w:pStyle w:val="3"/>
        <w:spacing w:before="0" w:line="240" w:lineRule="atLeast"/>
        <w:ind w:left="1080" w:leftChars="257" w:hanging="540"/>
        <w:rPr>
          <w:rFonts w:hint="eastAsia" w:ascii="仿宋_GB2312" w:hAnsi="宋体" w:eastAsia="仿宋_GB2312"/>
          <w:sz w:val="24"/>
          <w:highlight w:val="none"/>
        </w:rPr>
      </w:pPr>
      <w:r>
        <w:rPr>
          <w:rFonts w:hint="eastAsia" w:ascii="仿宋_GB2312" w:hAnsi="宋体" w:eastAsia="仿宋_GB2312"/>
          <w:sz w:val="24"/>
          <w:highlight w:val="none"/>
        </w:rPr>
        <w:br w:type="page"/>
      </w:r>
    </w:p>
    <w:p w14:paraId="00999E2C">
      <w:pPr>
        <w:pStyle w:val="3"/>
        <w:spacing w:before="0" w:line="240" w:lineRule="atLeast"/>
        <w:ind w:left="1080" w:leftChars="257" w:hanging="540"/>
        <w:rPr>
          <w:rFonts w:hint="eastAsia" w:ascii="仿宋_GB2312" w:hAnsi="宋体" w:eastAsia="仿宋_GB2312"/>
          <w:sz w:val="24"/>
          <w:highlight w:val="none"/>
        </w:rPr>
      </w:pPr>
    </w:p>
    <w:p w14:paraId="46687119">
      <w:pPr>
        <w:pStyle w:val="3"/>
        <w:spacing w:before="0" w:line="240" w:lineRule="atLeast"/>
        <w:ind w:left="1080" w:leftChars="257" w:hanging="540"/>
        <w:rPr>
          <w:rFonts w:hint="eastAsia" w:ascii="仿宋_GB2312" w:hAnsi="宋体" w:eastAsia="仿宋_GB2312"/>
          <w:sz w:val="24"/>
          <w:highlight w:val="none"/>
        </w:rPr>
      </w:pPr>
      <w:bookmarkStart w:id="276" w:name="_Toc10550"/>
      <w:bookmarkStart w:id="277" w:name="_Toc15047"/>
      <w:r>
        <w:rPr>
          <w:rFonts w:hint="eastAsia" w:ascii="仿宋_GB2312" w:hAnsi="宋体" w:eastAsia="仿宋_GB2312"/>
          <w:sz w:val="24"/>
          <w:highlight w:val="none"/>
          <w:lang w:val="en-US" w:eastAsia="zh-CN"/>
        </w:rPr>
        <w:t>7、</w:t>
      </w:r>
      <w:r>
        <w:rPr>
          <w:rFonts w:ascii="仿宋_GB2312" w:hAnsi="宋体" w:eastAsia="仿宋_GB2312"/>
          <w:sz w:val="24"/>
          <w:highlight w:val="none"/>
        </w:rPr>
        <w:t>投标人关联单位的说明</w:t>
      </w:r>
      <w:bookmarkEnd w:id="273"/>
      <w:bookmarkEnd w:id="274"/>
      <w:bookmarkEnd w:id="275"/>
      <w:bookmarkEnd w:id="276"/>
      <w:bookmarkEnd w:id="277"/>
    </w:p>
    <w:p w14:paraId="669AA831">
      <w:pPr>
        <w:pStyle w:val="4"/>
        <w:jc w:val="center"/>
        <w:rPr>
          <w:highlight w:val="none"/>
        </w:rPr>
      </w:pPr>
    </w:p>
    <w:p w14:paraId="24DB9345">
      <w:pPr>
        <w:pStyle w:val="4"/>
        <w:ind w:firstLine="480" w:firstLineChars="200"/>
        <w:rPr>
          <w:rFonts w:ascii="仿宋_GB2312" w:hAnsi="宋体" w:eastAsia="仿宋_GB2312"/>
          <w:highlight w:val="none"/>
        </w:rPr>
      </w:pPr>
      <w:r>
        <w:rPr>
          <w:rFonts w:hint="eastAsia" w:ascii="仿宋_GB2312" w:hAnsi="宋体" w:eastAsia="仿宋_GB2312"/>
          <w:highlight w:val="none"/>
        </w:rPr>
        <w:t>说明</w:t>
      </w:r>
      <w:r>
        <w:rPr>
          <w:rFonts w:ascii="仿宋_GB2312" w:hAnsi="宋体" w:eastAsia="仿宋_GB2312"/>
          <w:highlight w:val="none"/>
        </w:rPr>
        <w:t>：投标人应当如实披露与本单位存在下列关联关系的单位名称</w:t>
      </w:r>
      <w:r>
        <w:rPr>
          <w:rFonts w:hint="eastAsia" w:ascii="仿宋_GB2312" w:hAnsi="宋体" w:eastAsia="仿宋_GB2312"/>
          <w:highlight w:val="none"/>
        </w:rPr>
        <w:t>：</w:t>
      </w:r>
    </w:p>
    <w:p w14:paraId="05E18B26">
      <w:pPr>
        <w:pStyle w:val="4"/>
        <w:keepNext w:val="0"/>
        <w:keepLines w:val="0"/>
        <w:pageBreakBefore w:val="0"/>
        <w:widowControl w:val="0"/>
        <w:kinsoku/>
        <w:wordWrap/>
        <w:overflowPunct/>
        <w:topLinePunct w:val="0"/>
        <w:autoSpaceDE w:val="0"/>
        <w:autoSpaceDN w:val="0"/>
        <w:bidi w:val="0"/>
        <w:adjustRightInd w:val="0"/>
        <w:snapToGrid/>
        <w:ind w:left="0" w:leftChars="0" w:firstLine="0" w:firstLineChars="0"/>
        <w:textAlignment w:val="auto"/>
        <w:rPr>
          <w:rFonts w:hint="eastAsia"/>
          <w:highlight w:val="none"/>
        </w:rPr>
      </w:pPr>
      <w:r>
        <w:rPr>
          <w:rFonts w:ascii="仿宋_GB2312" w:hAnsi="宋体" w:eastAsia="仿宋_GB2312"/>
          <w:highlight w:val="none"/>
        </w:rPr>
        <w:t>（1）与投标人单位负责人为同一人的其他</w:t>
      </w:r>
      <w:r>
        <w:rPr>
          <w:rFonts w:hint="eastAsia" w:ascii="仿宋_GB2312" w:hAnsi="宋体" w:eastAsia="仿宋_GB2312"/>
          <w:highlight w:val="none"/>
        </w:rPr>
        <w:t>单位</w:t>
      </w:r>
      <w:r>
        <w:rPr>
          <w:rFonts w:ascii="仿宋_GB2312" w:hAnsi="宋体" w:eastAsia="仿宋_GB2312"/>
          <w:highlight w:val="none"/>
        </w:rPr>
        <w:t>；</w:t>
      </w:r>
      <w:r>
        <w:rPr>
          <w:rFonts w:ascii="仿宋_GB2312" w:hAnsi="宋体" w:eastAsia="仿宋_GB2312"/>
          <w:highlight w:val="none"/>
        </w:rPr>
        <w:br w:type="textWrapping"/>
      </w:r>
      <w:r>
        <w:rPr>
          <w:rFonts w:ascii="仿宋_GB2312" w:hAnsi="宋体" w:eastAsia="仿宋_GB2312"/>
          <w:highlight w:val="none"/>
        </w:rPr>
        <w:t>（2）与投标人存在直接控股、管理关系的其他单位</w:t>
      </w:r>
      <w:r>
        <w:rPr>
          <w:rFonts w:hint="eastAsia" w:ascii="仿宋_GB2312" w:hAnsi="宋体" w:eastAsia="仿宋_GB2312"/>
          <w:highlight w:val="none"/>
        </w:rPr>
        <w:t>。</w:t>
      </w:r>
    </w:p>
    <w:p w14:paraId="00654244">
      <w:pPr>
        <w:pStyle w:val="4"/>
        <w:ind w:firstLine="0"/>
        <w:rPr>
          <w:rFonts w:ascii="仿宋_GB2312" w:hAnsi="宋体" w:eastAsia="仿宋_GB2312"/>
          <w:highlight w:val="none"/>
        </w:rPr>
      </w:pPr>
      <w:bookmarkStart w:id="278" w:name="_Toc17333"/>
      <w:bookmarkStart w:id="279" w:name="_Toc515647828"/>
      <w:bookmarkStart w:id="280" w:name="_Toc7414"/>
    </w:p>
    <w:p w14:paraId="488B84DC">
      <w:pPr>
        <w:pStyle w:val="4"/>
        <w:ind w:firstLine="0"/>
        <w:rPr>
          <w:rFonts w:ascii="仿宋_GB2312" w:hAnsi="宋体" w:eastAsia="仿宋_GB2312"/>
          <w:highlight w:val="none"/>
        </w:rPr>
      </w:pPr>
    </w:p>
    <w:p w14:paraId="20A026C4">
      <w:pPr>
        <w:pStyle w:val="4"/>
        <w:ind w:firstLine="0"/>
        <w:rPr>
          <w:rFonts w:ascii="仿宋_GB2312" w:hAnsi="宋体" w:eastAsia="仿宋_GB2312"/>
          <w:highlight w:val="none"/>
        </w:rPr>
      </w:pPr>
    </w:p>
    <w:p w14:paraId="10B28AE3">
      <w:pPr>
        <w:pStyle w:val="4"/>
        <w:ind w:firstLine="0"/>
        <w:rPr>
          <w:rFonts w:ascii="仿宋_GB2312" w:hAnsi="宋体" w:eastAsia="仿宋_GB2312"/>
          <w:highlight w:val="none"/>
        </w:rPr>
      </w:pPr>
    </w:p>
    <w:p w14:paraId="19AD7657">
      <w:pPr>
        <w:pStyle w:val="4"/>
        <w:ind w:firstLine="0"/>
        <w:rPr>
          <w:rFonts w:ascii="仿宋_GB2312" w:hAnsi="宋体" w:eastAsia="仿宋_GB2312"/>
          <w:highlight w:val="none"/>
        </w:rPr>
        <w:sectPr>
          <w:pgSz w:w="11906" w:h="16838"/>
          <w:pgMar w:top="1440" w:right="1797" w:bottom="1440" w:left="1797" w:header="851" w:footer="992" w:gutter="0"/>
          <w:pgNumType w:fmt="decimal"/>
          <w:cols w:space="720" w:num="1"/>
          <w:docGrid w:linePitch="312" w:charSpace="0"/>
        </w:sectPr>
      </w:pPr>
    </w:p>
    <w:p w14:paraId="2FA6EEE8">
      <w:pPr>
        <w:keepNext w:val="0"/>
        <w:keepLines w:val="0"/>
        <w:widowControl/>
        <w:suppressLineNumbers w:val="0"/>
        <w:jc w:val="center"/>
        <w:outlineLvl w:val="1"/>
        <w:rPr>
          <w:rFonts w:hint="eastAsia" w:ascii="仿宋_GB2312" w:hAnsi="宋体" w:eastAsia="仿宋_GB2312" w:cs="Times New Roman"/>
          <w:b/>
          <w:kern w:val="0"/>
          <w:sz w:val="24"/>
          <w:szCs w:val="20"/>
          <w:highlight w:val="none"/>
          <w:lang w:val="en-US" w:eastAsia="zh-CN" w:bidi="ar-SA"/>
        </w:rPr>
      </w:pPr>
      <w:bookmarkStart w:id="281" w:name="_Toc9333"/>
      <w:bookmarkStart w:id="282" w:name="_Toc5233"/>
      <w:r>
        <w:rPr>
          <w:rFonts w:hint="eastAsia" w:ascii="仿宋_GB2312" w:hAnsi="宋体" w:eastAsia="仿宋_GB2312" w:cs="Times New Roman"/>
          <w:b/>
          <w:kern w:val="0"/>
          <w:sz w:val="24"/>
          <w:szCs w:val="20"/>
          <w:highlight w:val="none"/>
          <w:lang w:val="en-US" w:eastAsia="zh-CN" w:bidi="ar-SA"/>
        </w:rPr>
        <w:t>8、人员配备一览表</w:t>
      </w:r>
      <w:bookmarkEnd w:id="281"/>
      <w:bookmarkEnd w:id="282"/>
    </w:p>
    <w:p w14:paraId="1F22A423">
      <w:pPr>
        <w:pStyle w:val="26"/>
        <w:rPr>
          <w:rFonts w:ascii="仿宋_GB2312" w:hAnsi="宋体" w:eastAsia="仿宋_GB2312" w:cs="Times New Roman"/>
          <w:b/>
          <w:kern w:val="0"/>
          <w:sz w:val="24"/>
          <w:szCs w:val="20"/>
          <w:highlight w:val="none"/>
          <w:lang w:val="en-US" w:eastAsia="zh-CN" w:bidi="ar-SA"/>
        </w:rPr>
      </w:pPr>
    </w:p>
    <w:p w14:paraId="7E5352C1">
      <w:pPr>
        <w:keepNext w:val="0"/>
        <w:keepLines w:val="0"/>
        <w:widowControl/>
        <w:suppressLineNumbers w:val="0"/>
        <w:ind w:firstLine="723" w:firstLineChars="300"/>
        <w:jc w:val="left"/>
        <w:rPr>
          <w:rFonts w:ascii="仿宋_GB2312" w:hAnsi="宋体" w:eastAsia="仿宋_GB2312" w:cs="Times New Roman"/>
          <w:b/>
          <w:kern w:val="0"/>
          <w:sz w:val="24"/>
          <w:szCs w:val="20"/>
          <w:highlight w:val="none"/>
          <w:lang w:val="en-US" w:eastAsia="zh-CN" w:bidi="ar-SA"/>
        </w:rPr>
      </w:pPr>
    </w:p>
    <w:p w14:paraId="43187CFB"/>
    <w:tbl>
      <w:tblPr>
        <w:tblStyle w:val="90"/>
        <w:tblW w:w="953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2"/>
        <w:gridCol w:w="1751"/>
        <w:gridCol w:w="1449"/>
        <w:gridCol w:w="2113"/>
        <w:gridCol w:w="1433"/>
        <w:gridCol w:w="1978"/>
      </w:tblGrid>
      <w:tr w14:paraId="00A213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jc w:val="center"/>
        </w:trPr>
        <w:tc>
          <w:tcPr>
            <w:tcW w:w="812" w:type="dxa"/>
            <w:noWrap w:val="0"/>
            <w:vAlign w:val="center"/>
          </w:tcPr>
          <w:p w14:paraId="3882B778">
            <w:pPr>
              <w:spacing w:before="152" w:line="225" w:lineRule="auto"/>
              <w:jc w:val="center"/>
              <w:rPr>
                <w:rFonts w:ascii="楷体" w:hAnsi="楷体" w:eastAsia="楷体" w:cs="楷体"/>
                <w:sz w:val="24"/>
                <w:szCs w:val="24"/>
              </w:rPr>
            </w:pPr>
            <w:r>
              <w:rPr>
                <w:rFonts w:ascii="楷体" w:hAnsi="楷体" w:eastAsia="楷体" w:cs="楷体"/>
                <w:spacing w:val="-5"/>
                <w:sz w:val="24"/>
                <w:szCs w:val="24"/>
              </w:rPr>
              <w:t>序号</w:t>
            </w:r>
          </w:p>
        </w:tc>
        <w:tc>
          <w:tcPr>
            <w:tcW w:w="1751" w:type="dxa"/>
            <w:noWrap w:val="0"/>
            <w:vAlign w:val="center"/>
          </w:tcPr>
          <w:p w14:paraId="4081E3FF">
            <w:pPr>
              <w:spacing w:before="152" w:line="224" w:lineRule="auto"/>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岗位</w:t>
            </w:r>
          </w:p>
        </w:tc>
        <w:tc>
          <w:tcPr>
            <w:tcW w:w="1449" w:type="dxa"/>
            <w:noWrap w:val="0"/>
            <w:vAlign w:val="center"/>
          </w:tcPr>
          <w:p w14:paraId="713815E0">
            <w:pPr>
              <w:spacing w:before="152" w:line="224" w:lineRule="auto"/>
              <w:jc w:val="center"/>
              <w:rPr>
                <w:rFonts w:hint="eastAsia" w:ascii="楷体" w:hAnsi="楷体" w:eastAsia="楷体" w:cs="楷体"/>
                <w:sz w:val="24"/>
                <w:szCs w:val="24"/>
                <w:lang w:eastAsia="zh-CN"/>
              </w:rPr>
            </w:pPr>
            <w:r>
              <w:rPr>
                <w:rFonts w:hint="eastAsia" w:ascii="楷体" w:hAnsi="楷体" w:eastAsia="楷体" w:cs="楷体"/>
                <w:spacing w:val="-2"/>
                <w:sz w:val="24"/>
                <w:szCs w:val="24"/>
                <w:lang w:val="en-US" w:eastAsia="zh-CN"/>
              </w:rPr>
              <w:t>姓名</w:t>
            </w:r>
          </w:p>
        </w:tc>
        <w:tc>
          <w:tcPr>
            <w:tcW w:w="2113" w:type="dxa"/>
            <w:noWrap w:val="0"/>
            <w:vAlign w:val="center"/>
          </w:tcPr>
          <w:p w14:paraId="4C01EAF6">
            <w:pPr>
              <w:spacing w:before="152" w:line="224" w:lineRule="auto"/>
              <w:jc w:val="center"/>
              <w:rPr>
                <w:rFonts w:hint="default" w:ascii="楷体" w:hAnsi="楷体" w:eastAsia="楷体" w:cs="楷体"/>
                <w:sz w:val="24"/>
                <w:szCs w:val="24"/>
                <w:lang w:val="en-US" w:eastAsia="zh-CN"/>
              </w:rPr>
            </w:pPr>
            <w:r>
              <w:rPr>
                <w:rFonts w:hint="eastAsia" w:ascii="楷体" w:hAnsi="楷体" w:eastAsia="楷体" w:cs="楷体"/>
                <w:spacing w:val="-2"/>
                <w:sz w:val="24"/>
                <w:szCs w:val="24"/>
                <w:lang w:val="en-US" w:eastAsia="zh-CN"/>
              </w:rPr>
              <w:t>身份证号码</w:t>
            </w:r>
          </w:p>
        </w:tc>
        <w:tc>
          <w:tcPr>
            <w:tcW w:w="1433" w:type="dxa"/>
            <w:noWrap w:val="0"/>
            <w:vAlign w:val="center"/>
          </w:tcPr>
          <w:p w14:paraId="3B4EC177">
            <w:pPr>
              <w:spacing w:before="152" w:line="232" w:lineRule="auto"/>
              <w:jc w:val="cente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电话</w:t>
            </w:r>
          </w:p>
        </w:tc>
        <w:tc>
          <w:tcPr>
            <w:tcW w:w="1978" w:type="dxa"/>
            <w:noWrap w:val="0"/>
            <w:vAlign w:val="center"/>
          </w:tcPr>
          <w:p w14:paraId="7E986C95">
            <w:pPr>
              <w:spacing w:before="152" w:line="232" w:lineRule="auto"/>
              <w:jc w:val="center"/>
              <w:rPr>
                <w:rFonts w:hint="default" w:ascii="楷体" w:hAnsi="楷体" w:eastAsia="楷体" w:cs="楷体"/>
                <w:spacing w:val="-3"/>
                <w:sz w:val="24"/>
                <w:szCs w:val="24"/>
                <w:lang w:val="en-US" w:eastAsia="zh-CN"/>
              </w:rPr>
            </w:pPr>
            <w:r>
              <w:rPr>
                <w:rFonts w:hint="eastAsia" w:ascii="楷体" w:hAnsi="楷体" w:eastAsia="楷体" w:cs="楷体"/>
                <w:spacing w:val="-3"/>
                <w:sz w:val="24"/>
                <w:szCs w:val="24"/>
                <w:lang w:val="en-US" w:eastAsia="zh-CN"/>
              </w:rPr>
              <w:t>健康证号码</w:t>
            </w:r>
          </w:p>
        </w:tc>
      </w:tr>
      <w:tr w14:paraId="46C718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jc w:val="center"/>
        </w:trPr>
        <w:tc>
          <w:tcPr>
            <w:tcW w:w="812" w:type="dxa"/>
            <w:noWrap w:val="0"/>
            <w:vAlign w:val="top"/>
          </w:tcPr>
          <w:p w14:paraId="20605AA2">
            <w:pPr>
              <w:pStyle w:val="89"/>
            </w:pPr>
          </w:p>
        </w:tc>
        <w:tc>
          <w:tcPr>
            <w:tcW w:w="1751" w:type="dxa"/>
            <w:noWrap w:val="0"/>
            <w:vAlign w:val="top"/>
          </w:tcPr>
          <w:p w14:paraId="096FFFD6">
            <w:pPr>
              <w:pStyle w:val="89"/>
            </w:pPr>
          </w:p>
        </w:tc>
        <w:tc>
          <w:tcPr>
            <w:tcW w:w="1449" w:type="dxa"/>
            <w:noWrap w:val="0"/>
            <w:vAlign w:val="top"/>
          </w:tcPr>
          <w:p w14:paraId="17D7BD08">
            <w:pPr>
              <w:pStyle w:val="89"/>
            </w:pPr>
          </w:p>
        </w:tc>
        <w:tc>
          <w:tcPr>
            <w:tcW w:w="2113" w:type="dxa"/>
            <w:noWrap w:val="0"/>
            <w:vAlign w:val="top"/>
          </w:tcPr>
          <w:p w14:paraId="6831E6A0">
            <w:pPr>
              <w:pStyle w:val="89"/>
            </w:pPr>
          </w:p>
        </w:tc>
        <w:tc>
          <w:tcPr>
            <w:tcW w:w="1433" w:type="dxa"/>
            <w:noWrap w:val="0"/>
            <w:vAlign w:val="top"/>
          </w:tcPr>
          <w:p w14:paraId="1BB10B72">
            <w:pPr>
              <w:pStyle w:val="89"/>
            </w:pPr>
          </w:p>
        </w:tc>
        <w:tc>
          <w:tcPr>
            <w:tcW w:w="1978" w:type="dxa"/>
            <w:noWrap w:val="0"/>
            <w:vAlign w:val="top"/>
          </w:tcPr>
          <w:p w14:paraId="24B43AB9">
            <w:pPr>
              <w:pStyle w:val="89"/>
            </w:pPr>
          </w:p>
        </w:tc>
      </w:tr>
      <w:tr w14:paraId="7BE507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jc w:val="center"/>
        </w:trPr>
        <w:tc>
          <w:tcPr>
            <w:tcW w:w="812" w:type="dxa"/>
            <w:noWrap w:val="0"/>
            <w:vAlign w:val="top"/>
          </w:tcPr>
          <w:p w14:paraId="636DFC6E">
            <w:pPr>
              <w:pStyle w:val="89"/>
            </w:pPr>
          </w:p>
        </w:tc>
        <w:tc>
          <w:tcPr>
            <w:tcW w:w="1751" w:type="dxa"/>
            <w:noWrap w:val="0"/>
            <w:vAlign w:val="top"/>
          </w:tcPr>
          <w:p w14:paraId="1A14E351">
            <w:pPr>
              <w:pStyle w:val="89"/>
            </w:pPr>
          </w:p>
        </w:tc>
        <w:tc>
          <w:tcPr>
            <w:tcW w:w="1449" w:type="dxa"/>
            <w:noWrap w:val="0"/>
            <w:vAlign w:val="top"/>
          </w:tcPr>
          <w:p w14:paraId="08A50B0F">
            <w:pPr>
              <w:pStyle w:val="89"/>
            </w:pPr>
          </w:p>
        </w:tc>
        <w:tc>
          <w:tcPr>
            <w:tcW w:w="2113" w:type="dxa"/>
            <w:noWrap w:val="0"/>
            <w:vAlign w:val="top"/>
          </w:tcPr>
          <w:p w14:paraId="08AB51F1">
            <w:pPr>
              <w:pStyle w:val="89"/>
            </w:pPr>
          </w:p>
        </w:tc>
        <w:tc>
          <w:tcPr>
            <w:tcW w:w="1433" w:type="dxa"/>
            <w:noWrap w:val="0"/>
            <w:vAlign w:val="top"/>
          </w:tcPr>
          <w:p w14:paraId="564EB783">
            <w:pPr>
              <w:pStyle w:val="89"/>
            </w:pPr>
          </w:p>
        </w:tc>
        <w:tc>
          <w:tcPr>
            <w:tcW w:w="1978" w:type="dxa"/>
            <w:noWrap w:val="0"/>
            <w:vAlign w:val="top"/>
          </w:tcPr>
          <w:p w14:paraId="16AD1DA4">
            <w:pPr>
              <w:pStyle w:val="89"/>
            </w:pPr>
          </w:p>
        </w:tc>
      </w:tr>
      <w:tr w14:paraId="10E2AF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jc w:val="center"/>
        </w:trPr>
        <w:tc>
          <w:tcPr>
            <w:tcW w:w="812" w:type="dxa"/>
            <w:noWrap w:val="0"/>
            <w:vAlign w:val="top"/>
          </w:tcPr>
          <w:p w14:paraId="1B9C95E1">
            <w:pPr>
              <w:pStyle w:val="89"/>
            </w:pPr>
          </w:p>
        </w:tc>
        <w:tc>
          <w:tcPr>
            <w:tcW w:w="1751" w:type="dxa"/>
            <w:noWrap w:val="0"/>
            <w:vAlign w:val="top"/>
          </w:tcPr>
          <w:p w14:paraId="020AF563">
            <w:pPr>
              <w:pStyle w:val="89"/>
            </w:pPr>
          </w:p>
        </w:tc>
        <w:tc>
          <w:tcPr>
            <w:tcW w:w="1449" w:type="dxa"/>
            <w:noWrap w:val="0"/>
            <w:vAlign w:val="top"/>
          </w:tcPr>
          <w:p w14:paraId="61ED5364">
            <w:pPr>
              <w:pStyle w:val="89"/>
            </w:pPr>
          </w:p>
        </w:tc>
        <w:tc>
          <w:tcPr>
            <w:tcW w:w="2113" w:type="dxa"/>
            <w:noWrap w:val="0"/>
            <w:vAlign w:val="top"/>
          </w:tcPr>
          <w:p w14:paraId="1E7F63DA">
            <w:pPr>
              <w:pStyle w:val="89"/>
            </w:pPr>
          </w:p>
        </w:tc>
        <w:tc>
          <w:tcPr>
            <w:tcW w:w="1433" w:type="dxa"/>
            <w:noWrap w:val="0"/>
            <w:vAlign w:val="top"/>
          </w:tcPr>
          <w:p w14:paraId="0E8A5B8A">
            <w:pPr>
              <w:pStyle w:val="89"/>
            </w:pPr>
          </w:p>
        </w:tc>
        <w:tc>
          <w:tcPr>
            <w:tcW w:w="1978" w:type="dxa"/>
            <w:noWrap w:val="0"/>
            <w:vAlign w:val="top"/>
          </w:tcPr>
          <w:p w14:paraId="1FA76B98">
            <w:pPr>
              <w:pStyle w:val="89"/>
            </w:pPr>
          </w:p>
        </w:tc>
      </w:tr>
      <w:tr w14:paraId="6B6778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jc w:val="center"/>
        </w:trPr>
        <w:tc>
          <w:tcPr>
            <w:tcW w:w="812" w:type="dxa"/>
            <w:noWrap w:val="0"/>
            <w:vAlign w:val="top"/>
          </w:tcPr>
          <w:p w14:paraId="0FCE35F9">
            <w:pPr>
              <w:pStyle w:val="89"/>
            </w:pPr>
          </w:p>
        </w:tc>
        <w:tc>
          <w:tcPr>
            <w:tcW w:w="1751" w:type="dxa"/>
            <w:noWrap w:val="0"/>
            <w:vAlign w:val="top"/>
          </w:tcPr>
          <w:p w14:paraId="560BB03D">
            <w:pPr>
              <w:pStyle w:val="89"/>
            </w:pPr>
          </w:p>
        </w:tc>
        <w:tc>
          <w:tcPr>
            <w:tcW w:w="1449" w:type="dxa"/>
            <w:noWrap w:val="0"/>
            <w:vAlign w:val="top"/>
          </w:tcPr>
          <w:p w14:paraId="362AA45C">
            <w:pPr>
              <w:pStyle w:val="89"/>
            </w:pPr>
          </w:p>
        </w:tc>
        <w:tc>
          <w:tcPr>
            <w:tcW w:w="2113" w:type="dxa"/>
            <w:noWrap w:val="0"/>
            <w:vAlign w:val="top"/>
          </w:tcPr>
          <w:p w14:paraId="3C182630">
            <w:pPr>
              <w:pStyle w:val="89"/>
            </w:pPr>
          </w:p>
        </w:tc>
        <w:tc>
          <w:tcPr>
            <w:tcW w:w="1433" w:type="dxa"/>
            <w:noWrap w:val="0"/>
            <w:vAlign w:val="top"/>
          </w:tcPr>
          <w:p w14:paraId="5ED4F92F">
            <w:pPr>
              <w:pStyle w:val="89"/>
            </w:pPr>
          </w:p>
        </w:tc>
        <w:tc>
          <w:tcPr>
            <w:tcW w:w="1978" w:type="dxa"/>
            <w:noWrap w:val="0"/>
            <w:vAlign w:val="top"/>
          </w:tcPr>
          <w:p w14:paraId="712B2990">
            <w:pPr>
              <w:pStyle w:val="89"/>
            </w:pPr>
          </w:p>
        </w:tc>
      </w:tr>
      <w:tr w14:paraId="29CE4B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jc w:val="center"/>
        </w:trPr>
        <w:tc>
          <w:tcPr>
            <w:tcW w:w="812" w:type="dxa"/>
            <w:noWrap w:val="0"/>
            <w:vAlign w:val="top"/>
          </w:tcPr>
          <w:p w14:paraId="05B7D88C">
            <w:pPr>
              <w:pStyle w:val="89"/>
            </w:pPr>
          </w:p>
        </w:tc>
        <w:tc>
          <w:tcPr>
            <w:tcW w:w="1751" w:type="dxa"/>
            <w:noWrap w:val="0"/>
            <w:vAlign w:val="top"/>
          </w:tcPr>
          <w:p w14:paraId="1F805A5C">
            <w:pPr>
              <w:pStyle w:val="89"/>
            </w:pPr>
          </w:p>
        </w:tc>
        <w:tc>
          <w:tcPr>
            <w:tcW w:w="1449" w:type="dxa"/>
            <w:noWrap w:val="0"/>
            <w:vAlign w:val="top"/>
          </w:tcPr>
          <w:p w14:paraId="46F42BA8">
            <w:pPr>
              <w:pStyle w:val="89"/>
            </w:pPr>
          </w:p>
        </w:tc>
        <w:tc>
          <w:tcPr>
            <w:tcW w:w="2113" w:type="dxa"/>
            <w:noWrap w:val="0"/>
            <w:vAlign w:val="top"/>
          </w:tcPr>
          <w:p w14:paraId="001C5FE4">
            <w:pPr>
              <w:pStyle w:val="89"/>
            </w:pPr>
          </w:p>
        </w:tc>
        <w:tc>
          <w:tcPr>
            <w:tcW w:w="1433" w:type="dxa"/>
            <w:noWrap w:val="0"/>
            <w:vAlign w:val="top"/>
          </w:tcPr>
          <w:p w14:paraId="0BD33AA4">
            <w:pPr>
              <w:pStyle w:val="89"/>
            </w:pPr>
          </w:p>
        </w:tc>
        <w:tc>
          <w:tcPr>
            <w:tcW w:w="1978" w:type="dxa"/>
            <w:noWrap w:val="0"/>
            <w:vAlign w:val="top"/>
          </w:tcPr>
          <w:p w14:paraId="7884EEB7">
            <w:pPr>
              <w:pStyle w:val="89"/>
            </w:pPr>
          </w:p>
        </w:tc>
      </w:tr>
    </w:tbl>
    <w:p w14:paraId="72D93239">
      <w:pPr>
        <w:keepNext w:val="0"/>
        <w:keepLines w:val="0"/>
        <w:widowControl/>
        <w:suppressLineNumbers w:val="0"/>
        <w:jc w:val="left"/>
      </w:pPr>
    </w:p>
    <w:p w14:paraId="03C656CD">
      <w:pPr>
        <w:rPr>
          <w:rFonts w:hint="eastAsia" w:ascii="仿宋" w:hAnsi="仿宋" w:eastAsia="仿宋" w:cs="仿宋"/>
          <w:snapToGrid w:val="0"/>
          <w:color w:val="000000"/>
          <w:kern w:val="0"/>
          <w:sz w:val="24"/>
          <w:szCs w:val="24"/>
          <w:lang w:val="en-US" w:eastAsia="zh-CN" w:bidi="ar"/>
        </w:rPr>
      </w:pPr>
    </w:p>
    <w:p w14:paraId="7ED8F7E0">
      <w:pPr>
        <w:rPr>
          <w:rFonts w:hint="eastAsia" w:ascii="仿宋" w:hAnsi="仿宋" w:eastAsia="仿宋" w:cs="仿宋"/>
          <w:snapToGrid w:val="0"/>
          <w:color w:val="000000"/>
          <w:kern w:val="0"/>
          <w:sz w:val="24"/>
          <w:szCs w:val="24"/>
          <w:lang w:val="en-US" w:eastAsia="zh-CN" w:bidi="ar"/>
        </w:rPr>
      </w:pPr>
    </w:p>
    <w:p w14:paraId="63BAD51B">
      <w:pPr>
        <w:rPr>
          <w:rFonts w:hint="eastAsia" w:ascii="仿宋" w:hAnsi="仿宋" w:eastAsia="仿宋" w:cs="仿宋"/>
          <w:snapToGrid w:val="0"/>
          <w:color w:val="000000"/>
          <w:kern w:val="0"/>
          <w:sz w:val="24"/>
          <w:szCs w:val="24"/>
          <w:lang w:val="en-US" w:eastAsia="zh-CN" w:bidi="ar"/>
        </w:rPr>
      </w:pPr>
      <w:r>
        <w:rPr>
          <w:rFonts w:hint="eastAsia" w:ascii="仿宋" w:hAnsi="仿宋" w:eastAsia="仿宋" w:cs="仿宋"/>
          <w:snapToGrid w:val="0"/>
          <w:color w:val="000000"/>
          <w:kern w:val="0"/>
          <w:sz w:val="24"/>
          <w:szCs w:val="24"/>
          <w:lang w:val="en-US" w:eastAsia="zh-CN" w:bidi="ar"/>
        </w:rPr>
        <w:t>附件：1.身份证（正反面）、2.社保缴纳明细、3.健康证、4.司机还需提供驾驶证</w:t>
      </w:r>
    </w:p>
    <w:p w14:paraId="316A955D">
      <w:pPr>
        <w:keepNext w:val="0"/>
        <w:keepLines w:val="0"/>
        <w:widowControl/>
        <w:suppressLineNumbers w:val="0"/>
        <w:jc w:val="left"/>
        <w:rPr>
          <w:rFonts w:hint="eastAsia" w:ascii="仿宋_GB2312" w:hAnsi="宋体" w:eastAsia="仿宋_GB2312" w:cs="Times New Roman"/>
          <w:b w:val="0"/>
          <w:bCs/>
          <w:kern w:val="0"/>
          <w:sz w:val="24"/>
          <w:szCs w:val="20"/>
          <w:highlight w:val="none"/>
          <w:lang w:val="en-US" w:eastAsia="zh-CN" w:bidi="ar-SA"/>
        </w:rPr>
      </w:pPr>
    </w:p>
    <w:p w14:paraId="5A5A54F1">
      <w:pPr>
        <w:keepNext w:val="0"/>
        <w:keepLines w:val="0"/>
        <w:widowControl/>
        <w:suppressLineNumbers w:val="0"/>
        <w:jc w:val="left"/>
        <w:rPr>
          <w:rFonts w:hint="eastAsia" w:ascii="仿宋_GB2312" w:hAnsi="宋体" w:eastAsia="仿宋_GB2312" w:cs="Times New Roman"/>
          <w:b w:val="0"/>
          <w:bCs/>
          <w:kern w:val="0"/>
          <w:sz w:val="24"/>
          <w:szCs w:val="20"/>
          <w:highlight w:val="none"/>
          <w:lang w:val="en-US" w:eastAsia="zh-CN" w:bidi="ar-SA"/>
        </w:rPr>
      </w:pPr>
      <w:r>
        <w:rPr>
          <w:rFonts w:hint="eastAsia" w:ascii="仿宋_GB2312" w:hAnsi="宋体" w:eastAsia="仿宋_GB2312" w:cs="Times New Roman"/>
          <w:b w:val="0"/>
          <w:bCs/>
          <w:kern w:val="0"/>
          <w:sz w:val="24"/>
          <w:szCs w:val="20"/>
          <w:highlight w:val="none"/>
          <w:lang w:val="en-US" w:eastAsia="zh-CN" w:bidi="ar-SA"/>
        </w:rPr>
        <w:t>说明：评分标准需要的相关内容需制作在投标文件中，格式自拟。</w:t>
      </w:r>
    </w:p>
    <w:p w14:paraId="781832A4">
      <w:pPr>
        <w:rPr>
          <w:rFonts w:hint="eastAsia" w:ascii="仿宋" w:hAnsi="仿宋" w:eastAsia="仿宋" w:cs="仿宋"/>
          <w:snapToGrid w:val="0"/>
          <w:color w:val="000000"/>
          <w:kern w:val="0"/>
          <w:sz w:val="24"/>
          <w:szCs w:val="24"/>
          <w:lang w:val="en-US" w:eastAsia="zh-CN" w:bidi="ar"/>
        </w:rPr>
        <w:sectPr>
          <w:pgSz w:w="11906" w:h="16838"/>
          <w:pgMar w:top="1440" w:right="1797" w:bottom="1440" w:left="1797" w:header="851" w:footer="992" w:gutter="0"/>
          <w:pgNumType w:fmt="decimal"/>
          <w:cols w:space="720" w:num="1"/>
          <w:docGrid w:linePitch="312" w:charSpace="0"/>
        </w:sectPr>
      </w:pPr>
    </w:p>
    <w:p w14:paraId="7C578DC7">
      <w:pPr>
        <w:pStyle w:val="3"/>
        <w:spacing w:before="0" w:line="240" w:lineRule="atLeast"/>
        <w:ind w:left="1080" w:leftChars="257" w:hanging="540"/>
        <w:rPr>
          <w:rFonts w:hint="eastAsia" w:ascii="仿宋_GB2312" w:hAnsi="宋体" w:eastAsia="仿宋_GB2312"/>
          <w:sz w:val="24"/>
          <w:highlight w:val="none"/>
          <w:lang w:val="en-US" w:eastAsia="zh-CN"/>
        </w:rPr>
      </w:pPr>
    </w:p>
    <w:p w14:paraId="466E2E91">
      <w:pPr>
        <w:pStyle w:val="3"/>
        <w:spacing w:before="0" w:line="240" w:lineRule="atLeast"/>
        <w:ind w:left="1080" w:leftChars="257" w:hanging="540"/>
        <w:rPr>
          <w:rFonts w:hint="eastAsia" w:ascii="仿宋_GB2312" w:hAnsi="宋体" w:eastAsia="仿宋_GB2312"/>
          <w:sz w:val="24"/>
          <w:highlight w:val="none"/>
        </w:rPr>
      </w:pPr>
      <w:bookmarkStart w:id="283" w:name="_Toc10503"/>
      <w:bookmarkStart w:id="284" w:name="_Toc14339"/>
      <w:r>
        <w:rPr>
          <w:rFonts w:hint="eastAsia" w:ascii="仿宋_GB2312" w:hAnsi="宋体" w:eastAsia="仿宋_GB2312"/>
          <w:sz w:val="24"/>
          <w:highlight w:val="none"/>
          <w:lang w:val="en-US" w:eastAsia="zh-CN"/>
        </w:rPr>
        <w:t>9、</w:t>
      </w:r>
      <w:r>
        <w:rPr>
          <w:rFonts w:hint="eastAsia" w:ascii="仿宋_GB2312" w:hAnsi="宋体" w:eastAsia="仿宋_GB2312"/>
          <w:sz w:val="24"/>
          <w:highlight w:val="none"/>
        </w:rPr>
        <w:t>投标文件还应包括投标人须</w:t>
      </w:r>
      <w:r>
        <w:rPr>
          <w:rFonts w:hint="eastAsia" w:ascii="仿宋_GB2312" w:hAnsi="宋体" w:eastAsia="仿宋_GB2312"/>
          <w:sz w:val="24"/>
          <w:highlight w:val="none"/>
          <w:lang w:eastAsia="zh-CN"/>
        </w:rPr>
        <w:t>知表里</w:t>
      </w:r>
      <w:r>
        <w:rPr>
          <w:rFonts w:hint="eastAsia" w:ascii="仿宋_GB2312" w:hAnsi="宋体" w:eastAsia="仿宋_GB2312"/>
          <w:sz w:val="24"/>
          <w:highlight w:val="none"/>
        </w:rPr>
        <w:t>的所有技术文件</w:t>
      </w:r>
      <w:bookmarkEnd w:id="278"/>
      <w:bookmarkEnd w:id="279"/>
      <w:bookmarkEnd w:id="280"/>
      <w:bookmarkEnd w:id="283"/>
      <w:bookmarkEnd w:id="284"/>
    </w:p>
    <w:p w14:paraId="64D7AB0B">
      <w:pPr>
        <w:pStyle w:val="4"/>
        <w:rPr>
          <w:rFonts w:hint="eastAsia" w:ascii="仿宋_GB2312" w:hAnsi="宋体" w:eastAsia="仿宋_GB2312"/>
          <w:highlight w:val="none"/>
        </w:rPr>
      </w:pPr>
    </w:p>
    <w:p w14:paraId="4E552445">
      <w:pPr>
        <w:pStyle w:val="4"/>
        <w:rPr>
          <w:rFonts w:hint="eastAsia" w:ascii="仿宋_GB2312" w:hAnsi="宋体" w:eastAsia="仿宋_GB2312"/>
          <w:highlight w:val="none"/>
        </w:rPr>
      </w:pPr>
    </w:p>
    <w:p w14:paraId="1FE28E03">
      <w:pPr>
        <w:pStyle w:val="4"/>
        <w:rPr>
          <w:rFonts w:hint="eastAsia" w:ascii="仿宋_GB2312" w:hAnsi="宋体" w:eastAsia="仿宋_GB2312"/>
          <w:highlight w:val="none"/>
        </w:rPr>
      </w:pPr>
    </w:p>
    <w:p w14:paraId="5A809DAE">
      <w:pPr>
        <w:pStyle w:val="4"/>
        <w:rPr>
          <w:rFonts w:hint="eastAsia" w:ascii="仿宋_GB2312" w:hAnsi="宋体" w:eastAsia="仿宋_GB2312"/>
          <w:highlight w:val="none"/>
        </w:rPr>
      </w:pPr>
    </w:p>
    <w:p w14:paraId="4EF256AA">
      <w:pPr>
        <w:pStyle w:val="4"/>
        <w:rPr>
          <w:rFonts w:hint="eastAsia" w:ascii="仿宋_GB2312" w:hAnsi="宋体" w:eastAsia="仿宋_GB2312"/>
          <w:highlight w:val="none"/>
        </w:rPr>
      </w:pPr>
      <w:r>
        <w:rPr>
          <w:rFonts w:hint="eastAsia" w:ascii="仿宋_GB2312" w:hAnsi="宋体" w:eastAsia="仿宋_GB2312"/>
          <w:highlight w:val="none"/>
        </w:rPr>
        <w:br w:type="page"/>
      </w:r>
    </w:p>
    <w:p w14:paraId="622C1355">
      <w:pPr>
        <w:pStyle w:val="4"/>
        <w:rPr>
          <w:rFonts w:hint="eastAsia" w:ascii="仿宋_GB2312" w:hAnsi="宋体" w:eastAsia="仿宋_GB2312"/>
          <w:highlight w:val="none"/>
        </w:rPr>
      </w:pPr>
    </w:p>
    <w:tbl>
      <w:tblPr>
        <w:tblStyle w:val="37"/>
        <w:tblpPr w:leftFromText="180" w:rightFromText="180" w:vertAnchor="text" w:horzAnchor="page" w:tblpX="1380" w:tblpY="440"/>
        <w:tblOverlap w:val="never"/>
        <w:tblW w:w="0" w:type="auto"/>
        <w:tblInd w:w="0" w:type="dxa"/>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Layout w:type="fixed"/>
        <w:tblCellMar>
          <w:top w:w="0" w:type="dxa"/>
          <w:left w:w="108" w:type="dxa"/>
          <w:bottom w:w="0" w:type="dxa"/>
          <w:right w:w="108" w:type="dxa"/>
        </w:tblCellMar>
      </w:tblPr>
      <w:tblGrid>
        <w:gridCol w:w="9120"/>
      </w:tblGrid>
      <w:tr w14:paraId="7BE4878C">
        <w:tblPrEx>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tblCellMar>
            <w:top w:w="0" w:type="dxa"/>
            <w:left w:w="108" w:type="dxa"/>
            <w:bottom w:w="0" w:type="dxa"/>
            <w:right w:w="108" w:type="dxa"/>
          </w:tblCellMar>
        </w:tblPrEx>
        <w:trPr>
          <w:trHeight w:val="11132" w:hRule="atLeast"/>
        </w:trPr>
        <w:tc>
          <w:tcPr>
            <w:tcW w:w="9120" w:type="dxa"/>
            <w:shd w:val="clear" w:color="auto" w:fill="FCFEEA"/>
            <w:noWrap w:val="0"/>
            <w:vAlign w:val="top"/>
          </w:tcPr>
          <w:p w14:paraId="2960641F">
            <w:pPr>
              <w:pStyle w:val="11"/>
              <w:ind w:firstLine="4216" w:firstLineChars="1500"/>
              <w:rPr>
                <w:rFonts w:hint="eastAsia" w:cs="宋体"/>
                <w:b/>
                <w:bCs/>
                <w:sz w:val="28"/>
                <w:szCs w:val="28"/>
                <w:highlight w:val="none"/>
                <w:lang w:val="en-US" w:eastAsia="zh-CN"/>
              </w:rPr>
            </w:pPr>
          </w:p>
          <w:p w14:paraId="19D33C81">
            <w:pPr>
              <w:pStyle w:val="11"/>
              <w:rPr>
                <w:rFonts w:hint="eastAsia" w:cs="宋体"/>
                <w:b/>
                <w:bCs/>
                <w:sz w:val="28"/>
                <w:szCs w:val="28"/>
                <w:highlight w:val="none"/>
                <w:lang w:val="en-US" w:eastAsia="zh-CN"/>
              </w:rPr>
            </w:pPr>
          </w:p>
          <w:p w14:paraId="194FB1A3">
            <w:pPr>
              <w:pStyle w:val="11"/>
              <w:ind w:firstLine="2530" w:firstLineChars="900"/>
              <w:rPr>
                <w:rFonts w:hint="eastAsia" w:ascii="隶书" w:eastAsia="隶书"/>
                <w:b/>
                <w:bCs/>
                <w:sz w:val="28"/>
                <w:szCs w:val="28"/>
                <w:highlight w:val="none"/>
                <w:lang w:val="en-US" w:eastAsia="zh-CN"/>
              </w:rPr>
            </w:pPr>
            <w:r>
              <w:rPr>
                <w:rFonts w:hint="eastAsia" w:cs="宋体"/>
                <w:b/>
                <w:bCs/>
                <w:sz w:val="28"/>
                <w:szCs w:val="28"/>
                <w:highlight w:val="none"/>
                <w:lang w:val="en-US" w:eastAsia="zh-CN"/>
              </w:rPr>
              <w:t>*****************项目</w:t>
            </w:r>
          </w:p>
          <w:p w14:paraId="01EF5C59">
            <w:pPr>
              <w:pStyle w:val="11"/>
              <w:jc w:val="center"/>
              <w:rPr>
                <w:rFonts w:hint="eastAsia" w:ascii="隶书" w:eastAsia="隶书"/>
                <w:b/>
                <w:bCs/>
                <w:sz w:val="21"/>
                <w:szCs w:val="21"/>
                <w:highlight w:val="none"/>
                <w:lang w:val="en-US" w:eastAsia="zh-CN"/>
              </w:rPr>
            </w:pPr>
          </w:p>
          <w:p w14:paraId="3266C2F8">
            <w:pPr>
              <w:pStyle w:val="11"/>
              <w:ind w:firstLine="3152" w:firstLineChars="1500"/>
              <w:rPr>
                <w:rFonts w:hint="default" w:ascii="隶书" w:eastAsia="隶书"/>
                <w:b/>
                <w:bCs/>
                <w:sz w:val="21"/>
                <w:szCs w:val="21"/>
                <w:highlight w:val="none"/>
                <w:lang w:val="en-US" w:eastAsia="zh-CN"/>
              </w:rPr>
            </w:pPr>
            <w:r>
              <w:rPr>
                <w:rFonts w:hint="eastAsia" w:ascii="隶书" w:eastAsia="隶书"/>
                <w:b/>
                <w:bCs/>
                <w:sz w:val="21"/>
                <w:szCs w:val="21"/>
                <w:highlight w:val="none"/>
                <w:lang w:val="en-US" w:eastAsia="zh-CN"/>
              </w:rPr>
              <w:t>编号***</w:t>
            </w:r>
          </w:p>
          <w:p w14:paraId="1BCDEA85">
            <w:pPr>
              <w:pStyle w:val="11"/>
              <w:jc w:val="center"/>
              <w:rPr>
                <w:rFonts w:hint="eastAsia" w:ascii="隶书" w:eastAsia="隶书"/>
                <w:b/>
                <w:bCs/>
                <w:sz w:val="28"/>
                <w:szCs w:val="28"/>
                <w:highlight w:val="none"/>
                <w:lang w:val="en-US" w:eastAsia="zh-CN"/>
              </w:rPr>
            </w:pPr>
            <w:r>
              <w:rPr>
                <w:rFonts w:hint="eastAsia" w:ascii="隶书" w:eastAsia="隶书"/>
                <w:b/>
                <w:bCs/>
                <w:sz w:val="21"/>
                <w:szCs w:val="21"/>
                <w:highlight w:val="none"/>
                <w:lang w:val="en-US" w:eastAsia="zh-CN"/>
              </w:rPr>
              <w:t>标段号：（如有）</w:t>
            </w:r>
          </w:p>
          <w:p w14:paraId="0115E945">
            <w:pPr>
              <w:pStyle w:val="11"/>
              <w:jc w:val="center"/>
              <w:rPr>
                <w:rFonts w:hint="eastAsia" w:ascii="隶书" w:eastAsia="隶书"/>
                <w:b/>
                <w:bCs/>
                <w:sz w:val="48"/>
                <w:highlight w:val="none"/>
                <w:lang w:val="en-US" w:eastAsia="zh-CN"/>
              </w:rPr>
            </w:pPr>
            <w:r>
              <w:rPr>
                <w:rFonts w:hint="eastAsia" w:ascii="隶书" w:eastAsia="隶书"/>
                <w:b/>
                <w:bCs/>
                <w:sz w:val="48"/>
                <w:highlight w:val="none"/>
                <w:lang w:val="en-US" w:eastAsia="zh-CN"/>
              </w:rPr>
              <w:t>投标文件</w:t>
            </w:r>
          </w:p>
          <w:tbl>
            <w:tblPr>
              <w:tblStyle w:val="37"/>
              <w:tblW w:w="0" w:type="auto"/>
              <w:tblInd w:w="20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0"/>
            </w:tblGrid>
            <w:tr w14:paraId="37EDE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5380" w:type="dxa"/>
                  <w:noWrap w:val="0"/>
                  <w:vAlign w:val="top"/>
                </w:tcPr>
                <w:p w14:paraId="020C0EED">
                  <w:pPr>
                    <w:pStyle w:val="11"/>
                    <w:jc w:val="center"/>
                    <w:rPr>
                      <w:rFonts w:hint="eastAsia" w:ascii="隶书" w:eastAsia="隶书"/>
                      <w:b/>
                      <w:bCs/>
                      <w:sz w:val="30"/>
                      <w:szCs w:val="30"/>
                      <w:highlight w:val="none"/>
                      <w:lang w:val="en-US" w:eastAsia="zh-CN"/>
                    </w:rPr>
                  </w:pPr>
                  <w:r>
                    <w:rPr>
                      <w:rFonts w:hint="eastAsia" w:ascii="隶书" w:eastAsia="隶书"/>
                      <w:b/>
                      <w:bCs/>
                      <w:sz w:val="30"/>
                      <w:szCs w:val="30"/>
                      <w:highlight w:val="none"/>
                      <w:lang w:val="en-US" w:eastAsia="zh-CN"/>
                    </w:rPr>
                    <w:t>第一部分：开标一览表及资格证明文件</w:t>
                  </w:r>
                </w:p>
              </w:tc>
            </w:tr>
          </w:tbl>
          <w:p w14:paraId="1CD68E38">
            <w:pPr>
              <w:jc w:val="center"/>
              <w:rPr>
                <w:rFonts w:ascii="宋体" w:hAnsi="宋体"/>
                <w:b/>
                <w:sz w:val="32"/>
                <w:highlight w:val="none"/>
              </w:rPr>
            </w:pPr>
          </w:p>
          <w:p w14:paraId="4A1E4324">
            <w:pPr>
              <w:pStyle w:val="4"/>
              <w:rPr>
                <w:rFonts w:hAnsi="宋体"/>
                <w:b/>
                <w:sz w:val="32"/>
                <w:highlight w:val="none"/>
              </w:rPr>
            </w:pPr>
          </w:p>
          <w:p w14:paraId="246209B8">
            <w:pPr>
              <w:pStyle w:val="4"/>
              <w:rPr>
                <w:rFonts w:hAnsi="宋体"/>
                <w:b/>
                <w:sz w:val="32"/>
                <w:highlight w:val="none"/>
              </w:rPr>
            </w:pPr>
          </w:p>
          <w:p w14:paraId="1E5CDEF8">
            <w:pPr>
              <w:pStyle w:val="4"/>
              <w:rPr>
                <w:rFonts w:hAnsi="宋体"/>
                <w:b/>
                <w:sz w:val="32"/>
                <w:highlight w:val="none"/>
              </w:rPr>
            </w:pPr>
          </w:p>
          <w:p w14:paraId="29CAD95B">
            <w:pPr>
              <w:pStyle w:val="4"/>
              <w:rPr>
                <w:rFonts w:hAnsi="宋体"/>
                <w:b/>
                <w:sz w:val="32"/>
                <w:highlight w:val="none"/>
              </w:rPr>
            </w:pPr>
          </w:p>
          <w:p w14:paraId="36E3CF85">
            <w:pPr>
              <w:spacing w:line="360" w:lineRule="auto"/>
              <w:ind w:left="176" w:leftChars="84" w:firstLine="840" w:firstLineChars="400"/>
              <w:rPr>
                <w:rFonts w:hint="eastAsia" w:ascii="宋体" w:hAnsi="宋体"/>
                <w:szCs w:val="21"/>
                <w:highlight w:val="none"/>
              </w:rPr>
            </w:pPr>
            <w:r>
              <w:rPr>
                <w:rFonts w:ascii="宋体" w:hAnsi="宋体"/>
                <w:szCs w:val="21"/>
                <w:highlight w:val="none"/>
              </w:rPr>
              <w:t>投标</w:t>
            </w:r>
            <w:r>
              <w:rPr>
                <w:rFonts w:hint="eastAsia" w:ascii="宋体" w:hAnsi="宋体"/>
                <w:szCs w:val="21"/>
                <w:highlight w:val="none"/>
              </w:rPr>
              <w:t>单位</w:t>
            </w:r>
            <w:r>
              <w:rPr>
                <w:rFonts w:ascii="宋体" w:hAnsi="宋体"/>
                <w:szCs w:val="21"/>
                <w:highlight w:val="none"/>
              </w:rPr>
              <w:t>：</w:t>
            </w:r>
            <w:r>
              <w:rPr>
                <w:rFonts w:hint="eastAsia" w:ascii="宋体" w:hAnsi="宋体"/>
                <w:szCs w:val="21"/>
                <w:highlight w:val="none"/>
              </w:rPr>
              <w:t>（公章）</w:t>
            </w:r>
          </w:p>
          <w:p w14:paraId="71C6E883">
            <w:pPr>
              <w:spacing w:line="360" w:lineRule="auto"/>
              <w:ind w:left="176" w:leftChars="84" w:firstLine="840" w:firstLineChars="400"/>
              <w:rPr>
                <w:rFonts w:hint="eastAsia" w:ascii="宋体" w:hAnsi="宋体" w:eastAsia="宋体"/>
                <w:szCs w:val="21"/>
                <w:highlight w:val="none"/>
                <w:u w:val="single"/>
                <w:lang w:eastAsia="zh-CN"/>
              </w:rPr>
            </w:pPr>
            <w:r>
              <w:rPr>
                <w:rFonts w:ascii="宋体" w:hAnsi="宋体"/>
                <w:szCs w:val="21"/>
                <w:highlight w:val="none"/>
              </w:rPr>
              <w:t>项目名称：</w:t>
            </w:r>
          </w:p>
          <w:p w14:paraId="59259B86">
            <w:pPr>
              <w:spacing w:line="360" w:lineRule="auto"/>
              <w:ind w:left="176" w:leftChars="84" w:firstLine="840" w:firstLineChars="400"/>
              <w:rPr>
                <w:rFonts w:hint="eastAsia" w:ascii="宋体" w:hAnsi="宋体" w:eastAsia="宋体"/>
                <w:szCs w:val="21"/>
                <w:highlight w:val="none"/>
                <w:u w:val="single"/>
                <w:lang w:eastAsia="zh-CN"/>
              </w:rPr>
            </w:pPr>
            <w:r>
              <w:rPr>
                <w:rFonts w:ascii="宋体" w:hAnsi="宋体"/>
                <w:szCs w:val="21"/>
                <w:highlight w:val="none"/>
              </w:rPr>
              <w:t>项目编号：</w:t>
            </w:r>
          </w:p>
          <w:p w14:paraId="34468AC9">
            <w:pPr>
              <w:spacing w:line="360" w:lineRule="auto"/>
              <w:ind w:left="176" w:leftChars="84" w:firstLine="840" w:firstLineChars="400"/>
              <w:rPr>
                <w:rFonts w:hint="eastAsia" w:ascii="宋体" w:hAnsi="宋体" w:eastAsia="宋体"/>
                <w:szCs w:val="21"/>
                <w:highlight w:val="none"/>
                <w:u w:val="single"/>
                <w:lang w:eastAsia="zh-CN"/>
              </w:rPr>
            </w:pPr>
            <w:r>
              <w:rPr>
                <w:rFonts w:hint="eastAsia" w:ascii="宋体" w:hAnsi="宋体"/>
                <w:szCs w:val="21"/>
                <w:highlight w:val="none"/>
              </w:rPr>
              <w:t>联系人：</w:t>
            </w:r>
          </w:p>
          <w:p w14:paraId="33F00A82">
            <w:pPr>
              <w:spacing w:line="360" w:lineRule="auto"/>
              <w:ind w:left="176" w:leftChars="84" w:firstLine="840" w:firstLineChars="400"/>
              <w:rPr>
                <w:rFonts w:hint="eastAsia" w:ascii="宋体" w:hAnsi="宋体" w:eastAsia="宋体"/>
                <w:szCs w:val="21"/>
                <w:highlight w:val="none"/>
                <w:lang w:eastAsia="zh-CN"/>
              </w:rPr>
            </w:pPr>
            <w:r>
              <w:rPr>
                <w:rFonts w:hint="eastAsia" w:ascii="宋体" w:hAnsi="宋体"/>
                <w:szCs w:val="21"/>
                <w:highlight w:val="none"/>
              </w:rPr>
              <w:t>电话：</w:t>
            </w:r>
          </w:p>
          <w:p w14:paraId="4E28EAE5">
            <w:pPr>
              <w:spacing w:line="360" w:lineRule="auto"/>
              <w:ind w:left="176" w:leftChars="84" w:firstLine="840" w:firstLineChars="400"/>
              <w:rPr>
                <w:rFonts w:hint="eastAsia" w:ascii="宋体" w:hAnsi="宋体" w:eastAsia="宋体"/>
                <w:szCs w:val="21"/>
                <w:highlight w:val="none"/>
                <w:u w:val="single"/>
                <w:lang w:eastAsia="zh-CN"/>
              </w:rPr>
            </w:pPr>
            <w:r>
              <w:rPr>
                <w:rFonts w:hint="eastAsia" w:ascii="宋体" w:hAnsi="宋体"/>
                <w:szCs w:val="21"/>
                <w:highlight w:val="none"/>
              </w:rPr>
              <w:t>地址：</w:t>
            </w:r>
          </w:p>
          <w:p w14:paraId="17397328">
            <w:pPr>
              <w:spacing w:line="360" w:lineRule="auto"/>
              <w:ind w:left="176" w:leftChars="84" w:firstLine="960" w:firstLineChars="400"/>
              <w:rPr>
                <w:rFonts w:hint="eastAsia" w:ascii="宋体" w:hAnsi="宋体"/>
                <w:sz w:val="24"/>
                <w:highlight w:val="none"/>
              </w:rPr>
            </w:pPr>
          </w:p>
          <w:p w14:paraId="30FFCA6F">
            <w:pPr>
              <w:jc w:val="center"/>
              <w:rPr>
                <w:rFonts w:ascii="宋体" w:hAnsi="宋体"/>
                <w:b/>
                <w:bCs/>
                <w:highlight w:val="none"/>
              </w:rPr>
            </w:pPr>
          </w:p>
          <w:p w14:paraId="60AAC9F3">
            <w:pPr>
              <w:jc w:val="center"/>
              <w:rPr>
                <w:rFonts w:hint="eastAsia" w:ascii="宋体" w:hAnsi="宋体"/>
                <w:b/>
                <w:bCs/>
                <w:highlight w:val="none"/>
              </w:rPr>
            </w:pPr>
          </w:p>
          <w:p w14:paraId="7B6954E8">
            <w:pPr>
              <w:jc w:val="center"/>
              <w:rPr>
                <w:rFonts w:hint="eastAsia" w:ascii="宋体" w:hAnsi="宋体"/>
                <w:b/>
                <w:bCs/>
                <w:highlight w:val="none"/>
              </w:rPr>
            </w:pPr>
          </w:p>
          <w:p w14:paraId="3D4575B3">
            <w:pPr>
              <w:jc w:val="center"/>
              <w:rPr>
                <w:rFonts w:hint="eastAsia" w:ascii="宋体" w:hAnsi="宋体"/>
                <w:b/>
                <w:bCs/>
                <w:highlight w:val="none"/>
              </w:rPr>
            </w:pPr>
            <w:r>
              <w:rPr>
                <w:rFonts w:hint="eastAsia" w:ascii="宋体" w:hAnsi="宋体"/>
                <w:b/>
                <w:bCs/>
                <w:highlight w:val="none"/>
              </w:rPr>
              <w:t>注：</w:t>
            </w:r>
            <w:r>
              <w:rPr>
                <w:rFonts w:ascii="宋体" w:hAnsi="宋体"/>
                <w:b/>
                <w:bCs/>
                <w:highlight w:val="none"/>
              </w:rPr>
              <w:t>在</w:t>
            </w:r>
            <w:r>
              <w:rPr>
                <w:rFonts w:hint="eastAsia" w:ascii="宋体" w:hAnsi="宋体"/>
                <w:b/>
                <w:bCs/>
                <w:highlight w:val="none"/>
              </w:rPr>
              <w:t>20</w:t>
            </w:r>
            <w:r>
              <w:rPr>
                <w:rFonts w:hint="eastAsia" w:ascii="宋体" w:hAnsi="宋体" w:eastAsia="宋体"/>
                <w:b/>
                <w:bCs/>
                <w:highlight w:val="none"/>
                <w:lang w:val="en-US" w:eastAsia="zh-CN"/>
              </w:rPr>
              <w:t>2</w:t>
            </w:r>
            <w:r>
              <w:rPr>
                <w:rFonts w:hint="eastAsia" w:ascii="宋体" w:hAnsi="宋体"/>
                <w:b/>
                <w:bCs/>
                <w:highlight w:val="none"/>
              </w:rPr>
              <w:t>X</w:t>
            </w:r>
            <w:r>
              <w:rPr>
                <w:rFonts w:ascii="宋体" w:hAnsi="宋体"/>
                <w:b/>
                <w:bCs/>
                <w:highlight w:val="none"/>
              </w:rPr>
              <w:t>年</w:t>
            </w:r>
            <w:r>
              <w:rPr>
                <w:rFonts w:hint="eastAsia" w:ascii="宋体" w:hAnsi="宋体"/>
                <w:b/>
                <w:bCs/>
                <w:highlight w:val="none"/>
              </w:rPr>
              <w:t>月日上午</w:t>
            </w:r>
            <w:r>
              <w:rPr>
                <w:rFonts w:hint="eastAsia" w:ascii="宋体" w:hAnsi="宋体" w:cs="宋体"/>
                <w:kern w:val="0"/>
                <w:szCs w:val="21"/>
                <w:highlight w:val="none"/>
                <w:lang w:bidi="ar"/>
              </w:rPr>
              <w:t>XX</w:t>
            </w:r>
            <w:r>
              <w:rPr>
                <w:rFonts w:ascii="宋体" w:hAnsi="宋体"/>
                <w:b/>
                <w:bCs/>
                <w:highlight w:val="none"/>
              </w:rPr>
              <w:t>之前不得启封</w:t>
            </w:r>
          </w:p>
          <w:p w14:paraId="767F6985">
            <w:pPr>
              <w:jc w:val="center"/>
              <w:rPr>
                <w:rFonts w:hint="eastAsia" w:ascii="宋体" w:hAnsi="宋体"/>
                <w:b/>
                <w:bCs/>
                <w:highlight w:val="none"/>
              </w:rPr>
            </w:pPr>
          </w:p>
        </w:tc>
      </w:tr>
    </w:tbl>
    <w:p w14:paraId="2557BF8D">
      <w:pPr>
        <w:pStyle w:val="4"/>
        <w:ind w:firstLine="0"/>
        <w:rPr>
          <w:rFonts w:hint="eastAsia" w:ascii="仿宋_GB2312" w:hAnsi="宋体" w:eastAsia="仿宋_GB2312"/>
          <w:highlight w:val="none"/>
        </w:rPr>
      </w:pPr>
    </w:p>
    <w:p w14:paraId="6BAFA42E">
      <w:pPr>
        <w:spacing w:line="240" w:lineRule="atLeast"/>
        <w:rPr>
          <w:rFonts w:hint="eastAsia" w:ascii="仿宋_GB2312" w:eastAsia="仿宋_GB2312"/>
          <w:b/>
          <w:sz w:val="52"/>
          <w:szCs w:val="52"/>
          <w:highlight w:val="none"/>
        </w:rPr>
      </w:pPr>
    </w:p>
    <w:p w14:paraId="0EC7E1B4">
      <w:pPr>
        <w:pStyle w:val="26"/>
        <w:rPr>
          <w:rFonts w:hint="eastAsia" w:ascii="仿宋_GB2312" w:eastAsia="仿宋_GB2312"/>
          <w:b/>
          <w:sz w:val="52"/>
          <w:szCs w:val="52"/>
          <w:highlight w:val="none"/>
        </w:rPr>
      </w:pPr>
    </w:p>
    <w:p w14:paraId="59EE91F7">
      <w:pPr>
        <w:pStyle w:val="26"/>
        <w:rPr>
          <w:rFonts w:hint="eastAsia" w:ascii="仿宋_GB2312" w:eastAsia="仿宋_GB2312"/>
          <w:b/>
          <w:sz w:val="48"/>
          <w:szCs w:val="48"/>
          <w:highlight w:val="none"/>
        </w:rPr>
      </w:pPr>
    </w:p>
    <w:p w14:paraId="74B1B7E0">
      <w:pPr>
        <w:pStyle w:val="4"/>
        <w:jc w:val="center"/>
        <w:rPr>
          <w:rFonts w:hint="eastAsia"/>
          <w:highlight w:val="none"/>
          <w:lang w:eastAsia="zh-CN"/>
        </w:rPr>
      </w:pPr>
      <w:r>
        <w:rPr>
          <w:rFonts w:hint="eastAsia" w:ascii="仿宋" w:hAnsi="仿宋" w:eastAsia="仿宋" w:cs="仿宋"/>
          <w:b/>
          <w:bCs w:val="0"/>
          <w:sz w:val="44"/>
          <w:szCs w:val="44"/>
          <w:highlight w:val="none"/>
          <w:lang w:eastAsia="zh-CN"/>
        </w:rPr>
        <w:t>岳普湖县教育系统2025-2026学年中小学、幼儿园西部片区食堂大宗食材采购项目</w:t>
      </w:r>
    </w:p>
    <w:p w14:paraId="17CC1486">
      <w:pPr>
        <w:pStyle w:val="5"/>
        <w:rPr>
          <w:rFonts w:hint="eastAsia"/>
          <w:highlight w:val="none"/>
        </w:rPr>
      </w:pPr>
    </w:p>
    <w:p w14:paraId="431C2FE2">
      <w:pPr>
        <w:spacing w:line="240" w:lineRule="atLeast"/>
        <w:ind w:left="1080" w:leftChars="257" w:hanging="540"/>
        <w:jc w:val="center"/>
        <w:rPr>
          <w:rFonts w:hint="eastAsia" w:ascii="宋体" w:hAnsi="宋体"/>
          <w:b/>
          <w:sz w:val="36"/>
          <w:szCs w:val="36"/>
          <w:highlight w:val="none"/>
        </w:rPr>
      </w:pPr>
      <w:r>
        <w:rPr>
          <w:rFonts w:hint="eastAsia" w:ascii="华文中宋" w:hAnsi="华文中宋" w:eastAsia="华文中宋" w:cs="华文中宋"/>
          <w:b/>
          <w:sz w:val="36"/>
          <w:szCs w:val="36"/>
          <w:highlight w:val="none"/>
          <w:lang w:val="en-US" w:eastAsia="zh-CN"/>
        </w:rPr>
        <w:t>招标文件</w:t>
      </w:r>
    </w:p>
    <w:p w14:paraId="0CF13411">
      <w:pPr>
        <w:spacing w:line="240" w:lineRule="atLeast"/>
        <w:ind w:firstLine="1285" w:firstLineChars="400"/>
        <w:rPr>
          <w:rFonts w:hint="eastAsia" w:ascii="宋体" w:hAnsi="宋体"/>
          <w:b/>
          <w:sz w:val="32"/>
          <w:szCs w:val="32"/>
          <w:highlight w:val="none"/>
        </w:rPr>
      </w:pPr>
    </w:p>
    <w:p w14:paraId="4DA1EBF6">
      <w:pPr>
        <w:spacing w:line="240" w:lineRule="atLeast"/>
        <w:ind w:firstLine="1285" w:firstLineChars="400"/>
        <w:rPr>
          <w:rFonts w:hint="eastAsia" w:ascii="宋体" w:hAnsi="宋体"/>
          <w:b/>
          <w:sz w:val="32"/>
          <w:szCs w:val="32"/>
          <w:highlight w:val="none"/>
        </w:rPr>
      </w:pPr>
    </w:p>
    <w:p w14:paraId="485F9097">
      <w:pPr>
        <w:spacing w:line="240" w:lineRule="atLeast"/>
        <w:ind w:firstLine="1285" w:firstLineChars="400"/>
        <w:rPr>
          <w:rFonts w:hint="eastAsia" w:ascii="宋体" w:hAnsi="宋体"/>
          <w:b/>
          <w:sz w:val="32"/>
          <w:szCs w:val="32"/>
          <w:highlight w:val="none"/>
        </w:rPr>
      </w:pPr>
    </w:p>
    <w:p w14:paraId="72B29ACB">
      <w:pPr>
        <w:spacing w:line="240" w:lineRule="atLeast"/>
        <w:ind w:firstLine="1285" w:firstLineChars="400"/>
        <w:rPr>
          <w:rFonts w:hint="eastAsia" w:ascii="宋体" w:hAnsi="宋体"/>
          <w:b/>
          <w:sz w:val="32"/>
          <w:szCs w:val="32"/>
          <w:highlight w:val="none"/>
        </w:rPr>
      </w:pPr>
      <w:r>
        <w:rPr>
          <w:rFonts w:hint="eastAsia" w:ascii="宋体" w:hAnsi="宋体"/>
          <w:b/>
          <w:sz w:val="32"/>
          <w:szCs w:val="32"/>
          <w:highlight w:val="none"/>
        </w:rPr>
        <w:t>（项目编号：</w:t>
      </w:r>
      <w:r>
        <w:rPr>
          <w:rFonts w:hint="eastAsia" w:ascii="宋体" w:hAnsi="宋体"/>
          <w:b/>
          <w:sz w:val="32"/>
          <w:szCs w:val="32"/>
          <w:highlight w:val="none"/>
          <w:lang w:eastAsia="zh-CN"/>
        </w:rPr>
        <w:t>XJFZYCG(GK)-2025-044</w:t>
      </w:r>
      <w:r>
        <w:rPr>
          <w:rFonts w:hint="eastAsia" w:ascii="宋体" w:hAnsi="宋体"/>
          <w:b/>
          <w:sz w:val="32"/>
          <w:szCs w:val="32"/>
          <w:highlight w:val="none"/>
        </w:rPr>
        <w:t>）</w:t>
      </w:r>
    </w:p>
    <w:p w14:paraId="447EB885">
      <w:pPr>
        <w:spacing w:line="240" w:lineRule="atLeast"/>
        <w:ind w:left="1080" w:leftChars="257" w:hanging="540"/>
        <w:rPr>
          <w:rFonts w:hint="eastAsia" w:ascii="仿宋_GB2312" w:eastAsia="仿宋_GB2312"/>
          <w:b/>
          <w:sz w:val="28"/>
          <w:highlight w:val="none"/>
        </w:rPr>
      </w:pPr>
    </w:p>
    <w:p w14:paraId="66C3DB54">
      <w:pPr>
        <w:pStyle w:val="4"/>
        <w:rPr>
          <w:rFonts w:hint="eastAsia" w:ascii="仿宋_GB2312" w:eastAsia="仿宋_GB2312"/>
          <w:b/>
          <w:sz w:val="52"/>
          <w:szCs w:val="52"/>
          <w:highlight w:val="none"/>
        </w:rPr>
      </w:pPr>
    </w:p>
    <w:p w14:paraId="0937C76E">
      <w:pPr>
        <w:spacing w:line="240" w:lineRule="atLeast"/>
        <w:ind w:left="1080" w:leftChars="257" w:hanging="540"/>
        <w:jc w:val="center"/>
        <w:rPr>
          <w:rFonts w:hint="eastAsia" w:ascii="仿宋_GB2312" w:eastAsia="仿宋_GB2312"/>
          <w:b/>
          <w:sz w:val="36"/>
          <w:szCs w:val="36"/>
          <w:highlight w:val="none"/>
        </w:rPr>
      </w:pPr>
      <w:r>
        <w:rPr>
          <w:rFonts w:hint="eastAsia" w:ascii="仿宋_GB2312" w:eastAsia="仿宋_GB2312"/>
          <w:b/>
          <w:sz w:val="36"/>
          <w:szCs w:val="36"/>
          <w:highlight w:val="none"/>
        </w:rPr>
        <w:t>第二册</w:t>
      </w:r>
    </w:p>
    <w:p w14:paraId="3D94AB7A">
      <w:pPr>
        <w:spacing w:line="240" w:lineRule="atLeast"/>
        <w:ind w:left="1080" w:leftChars="257" w:hanging="540"/>
        <w:rPr>
          <w:rFonts w:hint="eastAsia" w:ascii="仿宋_GB2312" w:eastAsia="仿宋_GB2312"/>
          <w:b/>
          <w:sz w:val="28"/>
          <w:highlight w:val="none"/>
        </w:rPr>
      </w:pPr>
    </w:p>
    <w:p w14:paraId="23E0F82D">
      <w:pPr>
        <w:pStyle w:val="26"/>
        <w:rPr>
          <w:rFonts w:hint="eastAsia"/>
          <w:highlight w:val="none"/>
        </w:rPr>
      </w:pPr>
    </w:p>
    <w:p w14:paraId="5AEC6927">
      <w:pPr>
        <w:spacing w:line="240" w:lineRule="atLeast"/>
        <w:ind w:left="1080" w:leftChars="257" w:hanging="540"/>
        <w:rPr>
          <w:rFonts w:hint="eastAsia" w:ascii="仿宋_GB2312" w:eastAsia="仿宋_GB2312"/>
          <w:b/>
          <w:sz w:val="28"/>
          <w:highlight w:val="none"/>
        </w:rPr>
      </w:pPr>
    </w:p>
    <w:p w14:paraId="70E264ED">
      <w:pPr>
        <w:spacing w:line="240" w:lineRule="atLeast"/>
        <w:ind w:left="1080" w:leftChars="257" w:hanging="540"/>
        <w:rPr>
          <w:rFonts w:hint="eastAsia" w:ascii="仿宋_GB2312" w:eastAsia="仿宋_GB2312"/>
          <w:b/>
          <w:sz w:val="28"/>
          <w:highlight w:val="none"/>
        </w:rPr>
      </w:pPr>
    </w:p>
    <w:p w14:paraId="5DE51BDE">
      <w:pPr>
        <w:spacing w:line="240" w:lineRule="atLeast"/>
        <w:ind w:left="1080" w:leftChars="257" w:hanging="540"/>
        <w:rPr>
          <w:rFonts w:hint="eastAsia" w:ascii="仿宋_GB2312" w:eastAsia="仿宋_GB2312"/>
          <w:b/>
          <w:sz w:val="28"/>
          <w:highlight w:val="none"/>
        </w:rPr>
      </w:pPr>
    </w:p>
    <w:p w14:paraId="547D336A">
      <w:pPr>
        <w:spacing w:line="240" w:lineRule="atLeast"/>
        <w:ind w:left="1080" w:leftChars="257" w:hanging="540"/>
        <w:jc w:val="center"/>
        <w:rPr>
          <w:rFonts w:hint="eastAsia" w:ascii="仿宋_GB2312" w:eastAsia="仿宋_GB2312"/>
          <w:b/>
          <w:sz w:val="52"/>
          <w:highlight w:val="none"/>
        </w:rPr>
      </w:pPr>
    </w:p>
    <w:p w14:paraId="181538A1">
      <w:pPr>
        <w:spacing w:line="240" w:lineRule="atLeast"/>
        <w:ind w:left="1080" w:leftChars="257" w:hanging="540"/>
        <w:jc w:val="center"/>
        <w:rPr>
          <w:rFonts w:hint="eastAsia" w:ascii="仿宋_GB2312" w:eastAsia="仿宋_GB2312"/>
          <w:b/>
          <w:sz w:val="52"/>
          <w:highlight w:val="none"/>
        </w:rPr>
      </w:pPr>
    </w:p>
    <w:p w14:paraId="70C14291">
      <w:pPr>
        <w:spacing w:line="240" w:lineRule="atLeast"/>
        <w:ind w:left="1080" w:leftChars="257" w:hanging="540"/>
        <w:jc w:val="center"/>
        <w:rPr>
          <w:rFonts w:hint="eastAsia" w:ascii="仿宋_GB2312" w:eastAsia="仿宋_GB2312"/>
          <w:b/>
          <w:sz w:val="52"/>
          <w:highlight w:val="none"/>
        </w:rPr>
      </w:pPr>
    </w:p>
    <w:p w14:paraId="0405D071">
      <w:pPr>
        <w:spacing w:line="240" w:lineRule="atLeast"/>
        <w:ind w:left="1080" w:leftChars="257" w:hanging="540"/>
        <w:jc w:val="center"/>
        <w:rPr>
          <w:rFonts w:hint="eastAsia" w:ascii="仿宋_GB2312" w:eastAsia="仿宋_GB2312"/>
          <w:b/>
          <w:sz w:val="52"/>
          <w:highlight w:val="none"/>
        </w:rPr>
      </w:pPr>
    </w:p>
    <w:p w14:paraId="2F6082E7">
      <w:pPr>
        <w:spacing w:line="240" w:lineRule="atLeast"/>
        <w:ind w:left="1080" w:leftChars="257" w:hanging="540"/>
        <w:jc w:val="center"/>
        <w:rPr>
          <w:rFonts w:ascii="仿宋_GB2312" w:eastAsia="仿宋_GB2312"/>
          <w:b/>
          <w:sz w:val="52"/>
          <w:highlight w:val="none"/>
        </w:rPr>
      </w:pPr>
    </w:p>
    <w:p w14:paraId="3BEFB426">
      <w:pPr>
        <w:rPr>
          <w:highlight w:val="none"/>
        </w:rPr>
      </w:pPr>
    </w:p>
    <w:p w14:paraId="0373640E">
      <w:pPr>
        <w:rPr>
          <w:highlight w:val="none"/>
        </w:rPr>
      </w:pPr>
    </w:p>
    <w:p w14:paraId="40B39B80">
      <w:pPr>
        <w:rPr>
          <w:highlight w:val="none"/>
        </w:rPr>
      </w:pPr>
    </w:p>
    <w:p w14:paraId="04008BBB">
      <w:pPr>
        <w:rPr>
          <w:highlight w:val="none"/>
        </w:rPr>
      </w:pPr>
    </w:p>
    <w:p w14:paraId="5DC4F7A2">
      <w:pPr>
        <w:rPr>
          <w:highlight w:val="none"/>
        </w:rPr>
      </w:pPr>
    </w:p>
    <w:p w14:paraId="5E0B3C74">
      <w:pPr>
        <w:rPr>
          <w:highlight w:val="none"/>
        </w:rPr>
      </w:pPr>
    </w:p>
    <w:p w14:paraId="7DFBAAC3">
      <w:pPr>
        <w:rPr>
          <w:highlight w:val="none"/>
        </w:rPr>
      </w:pPr>
    </w:p>
    <w:p w14:paraId="7CBD9C8F">
      <w:pPr>
        <w:rPr>
          <w:highlight w:val="none"/>
        </w:rPr>
      </w:pPr>
    </w:p>
    <w:p w14:paraId="07DB0F99">
      <w:pPr>
        <w:rPr>
          <w:highlight w:val="none"/>
        </w:rPr>
      </w:pPr>
    </w:p>
    <w:p w14:paraId="389F592F">
      <w:pPr>
        <w:pStyle w:val="2"/>
        <w:bidi w:val="0"/>
        <w:rPr>
          <w:rFonts w:hint="eastAsia" w:ascii="仿宋" w:hAnsi="仿宋" w:eastAsia="仿宋" w:cs="仿宋"/>
          <w:lang w:eastAsia="zh-CN"/>
        </w:rPr>
      </w:pPr>
      <w:r>
        <w:rPr>
          <w:rFonts w:hint="eastAsia" w:ascii="华文中宋" w:hAnsi="华文中宋" w:eastAsia="华文中宋" w:cs="华文中宋"/>
          <w:b w:val="0"/>
          <w:szCs w:val="30"/>
          <w:highlight w:val="none"/>
        </w:rPr>
        <w:br w:type="page"/>
      </w:r>
      <w:bookmarkStart w:id="285" w:name="_Toc17427"/>
      <w:bookmarkStart w:id="286" w:name="_Toc4073"/>
      <w:bookmarkStart w:id="287" w:name="_Toc515647830"/>
      <w:bookmarkStart w:id="288" w:name="_Toc31583"/>
      <w:bookmarkStart w:id="289" w:name="_Toc216582823"/>
      <w:bookmarkStart w:id="290" w:name="_Toc507399903"/>
      <w:bookmarkStart w:id="291" w:name="_Toc10488"/>
      <w:bookmarkStart w:id="292" w:name="_Toc512937850"/>
      <w:r>
        <w:rPr>
          <w:rFonts w:hint="eastAsia" w:ascii="仿宋" w:hAnsi="仿宋" w:eastAsia="仿宋" w:cs="仿宋"/>
          <w:lang w:eastAsia="zh-CN"/>
        </w:rPr>
        <w:t>第三章</w:t>
      </w:r>
      <w:r>
        <w:rPr>
          <w:rFonts w:hint="eastAsia" w:ascii="仿宋" w:hAnsi="仿宋" w:eastAsia="仿宋" w:cs="仿宋"/>
          <w:lang w:val="en-US" w:eastAsia="zh-CN"/>
        </w:rPr>
        <w:t>招标</w:t>
      </w:r>
      <w:r>
        <w:rPr>
          <w:rFonts w:hint="eastAsia" w:ascii="仿宋" w:hAnsi="仿宋" w:eastAsia="仿宋" w:cs="仿宋"/>
          <w:lang w:eastAsia="zh-CN"/>
        </w:rPr>
        <w:t>公告</w:t>
      </w:r>
      <w:bookmarkEnd w:id="285"/>
      <w:bookmarkEnd w:id="286"/>
    </w:p>
    <w:p w14:paraId="59D8662C">
      <w:pPr>
        <w:pStyle w:val="2"/>
        <w:bidi w:val="0"/>
        <w:rPr>
          <w:rFonts w:hint="eastAsia" w:ascii="仿宋" w:hAnsi="仿宋" w:eastAsia="仿宋" w:cs="仿宋"/>
          <w:lang w:val="en-US" w:eastAsia="zh-CN"/>
        </w:rPr>
      </w:pPr>
      <w:bookmarkStart w:id="293" w:name="_Toc27138"/>
      <w:bookmarkStart w:id="294" w:name="_Toc16143"/>
      <w:r>
        <w:rPr>
          <w:rFonts w:hint="eastAsia" w:ascii="仿宋" w:hAnsi="仿宋" w:eastAsia="仿宋" w:cs="仿宋"/>
          <w:lang w:val="en-US" w:eastAsia="zh-CN"/>
        </w:rPr>
        <w:t>岳普湖县教育系统2025-2026学年中小学、幼儿园西部片区食堂大宗食材采购项目</w:t>
      </w:r>
    </w:p>
    <w:bookmarkEnd w:id="293"/>
    <w:bookmarkEnd w:id="294"/>
    <w:tbl>
      <w:tblPr>
        <w:tblStyle w:val="38"/>
        <w:tblW w:w="8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0"/>
      </w:tblGrid>
      <w:tr w14:paraId="2D20B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trPr>
        <w:tc>
          <w:tcPr>
            <w:tcW w:w="8680" w:type="dxa"/>
            <w:noWrap w:val="0"/>
            <w:vAlign w:val="top"/>
          </w:tcPr>
          <w:p w14:paraId="453B9509">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20" w:lineRule="exact"/>
              <w:ind w:left="0" w:right="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项目概况</w:t>
            </w:r>
          </w:p>
          <w:p w14:paraId="38B682FB">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20" w:lineRule="exact"/>
              <w:ind w:left="0" w:right="0" w:firstLine="420"/>
              <w:textAlignment w:val="auto"/>
              <w:rPr>
                <w:rFonts w:hint="eastAsia" w:ascii="仿宋" w:hAnsi="仿宋" w:eastAsia="仿宋" w:cs="仿宋"/>
                <w:color w:val="000000"/>
                <w:sz w:val="24"/>
                <w:szCs w:val="24"/>
                <w:highlight w:val="none"/>
                <w:vertAlign w:val="baseline"/>
              </w:rPr>
            </w:pPr>
            <w:r>
              <w:rPr>
                <w:rFonts w:hint="eastAsia" w:ascii="仿宋" w:hAnsi="仿宋" w:eastAsia="仿宋" w:cs="仿宋"/>
                <w:lang w:val="en-US" w:eastAsia="zh-CN"/>
              </w:rPr>
              <w:t>岳普湖县教育系统2025-2026学年中小学、幼儿园西部片区食堂大宗食材采购项目</w:t>
            </w:r>
            <w:r>
              <w:rPr>
                <w:rFonts w:hint="eastAsia" w:ascii="仿宋" w:hAnsi="仿宋" w:eastAsia="仿宋" w:cs="仿宋"/>
                <w:color w:val="000000"/>
                <w:sz w:val="24"/>
                <w:szCs w:val="24"/>
                <w:highlight w:val="none"/>
                <w:vertAlign w:val="baseline"/>
              </w:rPr>
              <w:t>的潜在</w:t>
            </w:r>
            <w:r>
              <w:rPr>
                <w:rFonts w:hint="eastAsia" w:ascii="仿宋" w:hAnsi="仿宋" w:eastAsia="仿宋" w:cs="仿宋"/>
                <w:color w:val="000000"/>
                <w:sz w:val="24"/>
                <w:szCs w:val="24"/>
                <w:highlight w:val="none"/>
                <w:vertAlign w:val="baseline"/>
                <w:lang w:eastAsia="zh-CN"/>
              </w:rPr>
              <w:t>供应商</w:t>
            </w:r>
            <w:r>
              <w:rPr>
                <w:rFonts w:hint="eastAsia" w:ascii="仿宋" w:hAnsi="仿宋" w:eastAsia="仿宋" w:cs="仿宋"/>
                <w:color w:val="000000"/>
                <w:sz w:val="24"/>
                <w:szCs w:val="24"/>
                <w:highlight w:val="none"/>
                <w:vertAlign w:val="baseline"/>
              </w:rPr>
              <w:t>应在</w:t>
            </w:r>
            <w:r>
              <w:rPr>
                <w:rFonts w:hint="eastAsia" w:ascii="仿宋" w:hAnsi="仿宋" w:eastAsia="仿宋" w:cs="仿宋"/>
                <w:color w:val="000000"/>
                <w:sz w:val="24"/>
                <w:szCs w:val="24"/>
                <w:highlight w:val="none"/>
                <w:vertAlign w:val="baseline"/>
                <w:lang w:val="en-US" w:eastAsia="zh-CN"/>
              </w:rPr>
              <w:t>政采云平台自行</w:t>
            </w:r>
            <w:r>
              <w:rPr>
                <w:rFonts w:hint="eastAsia" w:ascii="仿宋" w:hAnsi="仿宋" w:eastAsia="仿宋" w:cs="仿宋"/>
                <w:color w:val="000000"/>
                <w:sz w:val="24"/>
                <w:szCs w:val="24"/>
                <w:highlight w:val="none"/>
                <w:vertAlign w:val="baseline"/>
              </w:rPr>
              <w:t>获取</w:t>
            </w:r>
            <w:r>
              <w:rPr>
                <w:rFonts w:hint="eastAsia" w:ascii="仿宋" w:hAnsi="仿宋" w:eastAsia="仿宋" w:cs="仿宋"/>
                <w:color w:val="000000"/>
                <w:sz w:val="24"/>
                <w:szCs w:val="24"/>
                <w:highlight w:val="none"/>
                <w:vertAlign w:val="baseline"/>
                <w:lang w:val="en-US" w:eastAsia="zh-CN"/>
              </w:rPr>
              <w:t>招标</w:t>
            </w:r>
            <w:r>
              <w:rPr>
                <w:rFonts w:hint="eastAsia" w:ascii="仿宋" w:hAnsi="仿宋" w:eastAsia="仿宋" w:cs="仿宋"/>
                <w:color w:val="000000"/>
                <w:sz w:val="24"/>
                <w:szCs w:val="24"/>
                <w:highlight w:val="none"/>
                <w:vertAlign w:val="baseline"/>
                <w:lang w:eastAsia="zh-CN"/>
              </w:rPr>
              <w:t>文件</w:t>
            </w:r>
            <w:r>
              <w:rPr>
                <w:rFonts w:hint="eastAsia" w:ascii="仿宋" w:hAnsi="仿宋" w:eastAsia="仿宋" w:cs="仿宋"/>
                <w:color w:val="000000"/>
                <w:sz w:val="24"/>
                <w:szCs w:val="24"/>
                <w:highlight w:val="none"/>
                <w:vertAlign w:val="baseline"/>
              </w:rPr>
              <w:t>，并于</w:t>
            </w:r>
            <w:r>
              <w:rPr>
                <w:rFonts w:hint="eastAsia" w:ascii="仿宋" w:hAnsi="仿宋" w:eastAsia="仿宋" w:cs="仿宋"/>
                <w:color w:val="000000"/>
                <w:sz w:val="24"/>
                <w:szCs w:val="24"/>
                <w:highlight w:val="none"/>
                <w:u w:val="single"/>
                <w:vertAlign w:val="baseline"/>
                <w:lang w:val="en-US" w:eastAsia="zh-CN"/>
              </w:rPr>
              <w:t>2025年08月01日11</w:t>
            </w:r>
            <w:r>
              <w:rPr>
                <w:rFonts w:hint="eastAsia" w:ascii="仿宋" w:hAnsi="仿宋" w:eastAsia="仿宋" w:cs="仿宋"/>
                <w:color w:val="000000"/>
                <w:sz w:val="24"/>
                <w:szCs w:val="24"/>
                <w:highlight w:val="none"/>
                <w:u w:val="single"/>
                <w:vertAlign w:val="baseline"/>
              </w:rPr>
              <w:t>点</w:t>
            </w:r>
            <w:r>
              <w:rPr>
                <w:rFonts w:hint="eastAsia" w:ascii="仿宋" w:hAnsi="仿宋" w:eastAsia="仿宋" w:cs="仿宋"/>
                <w:color w:val="000000"/>
                <w:sz w:val="24"/>
                <w:szCs w:val="24"/>
                <w:highlight w:val="none"/>
                <w:u w:val="single"/>
                <w:vertAlign w:val="baseline"/>
                <w:lang w:val="en-US" w:eastAsia="zh-CN"/>
              </w:rPr>
              <w:t>00</w:t>
            </w:r>
            <w:r>
              <w:rPr>
                <w:rFonts w:hint="eastAsia" w:ascii="仿宋" w:hAnsi="仿宋" w:eastAsia="仿宋" w:cs="仿宋"/>
                <w:color w:val="000000"/>
                <w:sz w:val="24"/>
                <w:szCs w:val="24"/>
                <w:highlight w:val="none"/>
                <w:u w:val="single"/>
                <w:vertAlign w:val="baseline"/>
              </w:rPr>
              <w:t>分（北京时间）</w:t>
            </w:r>
            <w:r>
              <w:rPr>
                <w:rFonts w:hint="eastAsia" w:ascii="仿宋" w:hAnsi="仿宋" w:eastAsia="仿宋" w:cs="仿宋"/>
                <w:color w:val="000000"/>
                <w:sz w:val="24"/>
                <w:szCs w:val="24"/>
                <w:highlight w:val="none"/>
                <w:vertAlign w:val="baseline"/>
              </w:rPr>
              <w:t>前递交</w:t>
            </w:r>
            <w:r>
              <w:rPr>
                <w:rFonts w:hint="eastAsia" w:ascii="仿宋" w:hAnsi="仿宋" w:eastAsia="仿宋" w:cs="仿宋"/>
                <w:color w:val="000000"/>
                <w:sz w:val="24"/>
                <w:szCs w:val="24"/>
                <w:highlight w:val="none"/>
                <w:vertAlign w:val="baseline"/>
                <w:lang w:val="en-US" w:eastAsia="zh-CN"/>
              </w:rPr>
              <w:t>投标</w:t>
            </w:r>
            <w:r>
              <w:rPr>
                <w:rFonts w:hint="eastAsia" w:ascii="仿宋" w:hAnsi="仿宋" w:eastAsia="仿宋" w:cs="仿宋"/>
                <w:color w:val="000000"/>
                <w:sz w:val="24"/>
                <w:szCs w:val="24"/>
                <w:highlight w:val="none"/>
                <w:vertAlign w:val="baseline"/>
                <w:lang w:eastAsia="zh-CN"/>
              </w:rPr>
              <w:t>文件</w:t>
            </w:r>
            <w:r>
              <w:rPr>
                <w:rFonts w:hint="eastAsia" w:ascii="仿宋" w:hAnsi="仿宋" w:eastAsia="仿宋" w:cs="仿宋"/>
                <w:color w:val="000000"/>
                <w:sz w:val="24"/>
                <w:szCs w:val="24"/>
                <w:highlight w:val="none"/>
                <w:vertAlign w:val="baseline"/>
              </w:rPr>
              <w:t>。</w:t>
            </w:r>
          </w:p>
        </w:tc>
      </w:tr>
    </w:tbl>
    <w:p w14:paraId="20558AED">
      <w:pPr>
        <w:spacing w:line="400" w:lineRule="exact"/>
        <w:rPr>
          <w:rStyle w:val="40"/>
          <w:rFonts w:hint="eastAsia" w:ascii="仿宋" w:hAnsi="仿宋" w:eastAsia="仿宋" w:cs="仿宋"/>
          <w:color w:val="000000"/>
          <w:kern w:val="0"/>
          <w:sz w:val="24"/>
          <w:szCs w:val="24"/>
          <w:highlight w:val="none"/>
          <w:lang w:val="en-US" w:eastAsia="zh-CN" w:bidi="ar-SA"/>
        </w:rPr>
      </w:pPr>
      <w:r>
        <w:rPr>
          <w:rStyle w:val="40"/>
          <w:rFonts w:hint="eastAsia" w:ascii="仿宋" w:hAnsi="仿宋" w:eastAsia="仿宋" w:cs="仿宋"/>
          <w:color w:val="000000"/>
          <w:kern w:val="0"/>
          <w:sz w:val="24"/>
          <w:szCs w:val="24"/>
          <w:highlight w:val="none"/>
          <w:lang w:val="en-US" w:eastAsia="zh-CN" w:bidi="ar-SA"/>
        </w:rPr>
        <w:t>一、项目基本情况</w:t>
      </w:r>
    </w:p>
    <w:p w14:paraId="2885C71F">
      <w:pPr>
        <w:spacing w:line="400" w:lineRule="exact"/>
        <w:ind w:left="559" w:leftChars="266"/>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rPr>
        <w:t>项目编号：</w:t>
      </w:r>
      <w:r>
        <w:rPr>
          <w:rFonts w:hint="eastAsia" w:ascii="仿宋" w:hAnsi="仿宋" w:eastAsia="仿宋" w:cs="仿宋"/>
          <w:color w:val="000000"/>
          <w:sz w:val="24"/>
          <w:highlight w:val="none"/>
          <w:lang w:val="en-US" w:eastAsia="zh-CN"/>
        </w:rPr>
        <w:t>XJFZYCG(GK)-2025-044</w:t>
      </w:r>
    </w:p>
    <w:p w14:paraId="1026A6D3">
      <w:pPr>
        <w:spacing w:line="400" w:lineRule="exact"/>
        <w:ind w:left="559" w:leftChars="266"/>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rPr>
        <w:t>项目名称：</w:t>
      </w:r>
      <w:r>
        <w:rPr>
          <w:rFonts w:hint="eastAsia" w:ascii="仿宋" w:hAnsi="仿宋" w:eastAsia="仿宋" w:cs="仿宋"/>
          <w:color w:val="000000"/>
          <w:sz w:val="24"/>
          <w:highlight w:val="none"/>
          <w:lang w:eastAsia="zh-CN"/>
        </w:rPr>
        <w:t>岳普湖县教育系统2025-2026学年中小学、幼儿园西部片区食堂大宗食材采购项目</w:t>
      </w:r>
    </w:p>
    <w:p w14:paraId="570A6878">
      <w:pPr>
        <w:spacing w:line="400" w:lineRule="exact"/>
        <w:ind w:left="559" w:leftChars="266"/>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rPr>
        <w:t>采购方式：</w:t>
      </w:r>
      <w:r>
        <w:rPr>
          <w:rFonts w:hint="eastAsia" w:ascii="仿宋" w:hAnsi="仿宋" w:eastAsia="仿宋" w:cs="仿宋"/>
          <w:color w:val="000000"/>
          <w:sz w:val="24"/>
          <w:highlight w:val="none"/>
          <w:lang w:eastAsia="zh-CN"/>
        </w:rPr>
        <w:t>公开招标</w:t>
      </w:r>
    </w:p>
    <w:p w14:paraId="648DDD65">
      <w:pPr>
        <w:spacing w:line="400" w:lineRule="exact"/>
        <w:ind w:left="559" w:leftChars="266"/>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rPr>
        <w:t>预算金额：</w:t>
      </w:r>
      <w:r>
        <w:rPr>
          <w:rFonts w:hint="eastAsia" w:ascii="仿宋" w:hAnsi="仿宋" w:eastAsia="仿宋" w:cs="仿宋"/>
          <w:color w:val="000000"/>
          <w:sz w:val="24"/>
          <w:highlight w:val="none"/>
          <w:lang w:val="en-US" w:eastAsia="zh-CN"/>
        </w:rPr>
        <w:t>36298650.00元</w:t>
      </w:r>
    </w:p>
    <w:p w14:paraId="3F814D2D">
      <w:pPr>
        <w:spacing w:line="400" w:lineRule="exact"/>
        <w:ind w:left="559" w:leftChars="266"/>
        <w:rPr>
          <w:rFonts w:hint="eastAsia" w:ascii="仿宋" w:hAnsi="仿宋" w:eastAsia="仿宋" w:cs="仿宋"/>
          <w:color w:val="000000"/>
          <w:sz w:val="24"/>
          <w:highlight w:val="none"/>
        </w:rPr>
      </w:pPr>
      <w:r>
        <w:rPr>
          <w:rFonts w:hint="eastAsia" w:ascii="仿宋" w:hAnsi="仿宋" w:eastAsia="仿宋" w:cs="仿宋"/>
          <w:color w:val="000000"/>
          <w:sz w:val="24"/>
          <w:highlight w:val="none"/>
        </w:rPr>
        <w:t>采购需求：</w:t>
      </w:r>
    </w:p>
    <w:p w14:paraId="6D4D346C">
      <w:pPr>
        <w:spacing w:line="400" w:lineRule="exact"/>
        <w:ind w:left="559" w:leftChars="266"/>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eastAsia="zh-CN"/>
        </w:rPr>
        <w:t>第一包</w:t>
      </w:r>
      <w:r>
        <w:rPr>
          <w:rFonts w:hint="eastAsia" w:ascii="仿宋" w:hAnsi="仿宋" w:eastAsia="仿宋" w:cs="仿宋"/>
          <w:color w:val="000000"/>
          <w:sz w:val="24"/>
          <w:highlight w:val="none"/>
        </w:rPr>
        <w:t>：西部片区米面油</w:t>
      </w: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lang w:val="en-US" w:eastAsia="zh-CN"/>
        </w:rPr>
        <w:t>玉米粉、小米、鸡蛋、牛奶、糕点、馕、酸奶、副食品</w:t>
      </w:r>
    </w:p>
    <w:p w14:paraId="261F958B">
      <w:pPr>
        <w:spacing w:line="400" w:lineRule="exact"/>
        <w:ind w:left="559" w:leftChars="266"/>
        <w:rPr>
          <w:rFonts w:hint="eastAsia" w:ascii="仿宋" w:hAnsi="仿宋" w:eastAsia="仿宋" w:cs="仿宋"/>
          <w:color w:val="000000"/>
          <w:sz w:val="24"/>
          <w:highlight w:val="none"/>
        </w:rPr>
      </w:pPr>
      <w:r>
        <w:rPr>
          <w:rFonts w:hint="eastAsia" w:ascii="仿宋" w:hAnsi="仿宋" w:eastAsia="仿宋" w:cs="仿宋"/>
          <w:color w:val="000000"/>
          <w:sz w:val="24"/>
          <w:highlight w:val="none"/>
        </w:rPr>
        <w:t>预算金额：</w:t>
      </w:r>
      <w:r>
        <w:rPr>
          <w:rFonts w:hint="eastAsia" w:ascii="仿宋" w:hAnsi="仿宋" w:eastAsia="仿宋" w:cs="仿宋"/>
          <w:color w:val="000000"/>
          <w:sz w:val="24"/>
          <w:highlight w:val="none"/>
          <w:lang w:val="en-US" w:eastAsia="zh-CN"/>
        </w:rPr>
        <w:t>10077890.06</w:t>
      </w:r>
      <w:r>
        <w:rPr>
          <w:rFonts w:hint="eastAsia" w:ascii="仿宋" w:hAnsi="仿宋" w:eastAsia="仿宋" w:cs="仿宋"/>
          <w:color w:val="000000"/>
          <w:sz w:val="24"/>
          <w:highlight w:val="none"/>
        </w:rPr>
        <w:t>元</w:t>
      </w:r>
    </w:p>
    <w:p w14:paraId="7E2B1EDC">
      <w:pPr>
        <w:spacing w:line="400" w:lineRule="exact"/>
        <w:ind w:left="559" w:leftChars="266"/>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第二包</w:t>
      </w:r>
      <w:r>
        <w:rPr>
          <w:rFonts w:hint="eastAsia" w:ascii="仿宋" w:hAnsi="仿宋" w:eastAsia="仿宋" w:cs="仿宋"/>
          <w:color w:val="000000"/>
          <w:sz w:val="24"/>
          <w:highlight w:val="none"/>
        </w:rPr>
        <w:t>：西部片区羊肉、牛肉、鸡肉</w:t>
      </w:r>
    </w:p>
    <w:p w14:paraId="0E40110A">
      <w:pPr>
        <w:spacing w:line="400" w:lineRule="exact"/>
        <w:ind w:left="559" w:leftChars="266"/>
        <w:rPr>
          <w:rFonts w:hint="eastAsia" w:ascii="仿宋" w:hAnsi="仿宋" w:eastAsia="仿宋" w:cs="仿宋"/>
          <w:color w:val="000000"/>
          <w:sz w:val="24"/>
          <w:highlight w:val="none"/>
        </w:rPr>
      </w:pPr>
      <w:r>
        <w:rPr>
          <w:rFonts w:hint="eastAsia" w:ascii="仿宋" w:hAnsi="仿宋" w:eastAsia="仿宋" w:cs="仿宋"/>
          <w:color w:val="000000"/>
          <w:sz w:val="24"/>
          <w:highlight w:val="none"/>
        </w:rPr>
        <w:t>预算金额：</w:t>
      </w:r>
      <w:r>
        <w:rPr>
          <w:rFonts w:hint="eastAsia" w:ascii="仿宋" w:hAnsi="仿宋" w:eastAsia="仿宋" w:cs="仿宋"/>
          <w:color w:val="000000"/>
          <w:sz w:val="24"/>
          <w:highlight w:val="none"/>
          <w:lang w:val="en-US" w:eastAsia="zh-CN"/>
        </w:rPr>
        <w:t>14524183.35</w:t>
      </w:r>
      <w:r>
        <w:rPr>
          <w:rFonts w:hint="eastAsia" w:ascii="仿宋" w:hAnsi="仿宋" w:eastAsia="仿宋" w:cs="仿宋"/>
          <w:color w:val="000000"/>
          <w:sz w:val="24"/>
          <w:highlight w:val="none"/>
        </w:rPr>
        <w:t>元</w:t>
      </w:r>
    </w:p>
    <w:p w14:paraId="64B04273">
      <w:pPr>
        <w:spacing w:line="400" w:lineRule="exact"/>
        <w:ind w:left="559" w:leftChars="266"/>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第三包</w:t>
      </w:r>
      <w:r>
        <w:rPr>
          <w:rFonts w:hint="eastAsia" w:ascii="仿宋" w:hAnsi="仿宋" w:eastAsia="仿宋" w:cs="仿宋"/>
          <w:color w:val="000000"/>
          <w:sz w:val="24"/>
          <w:highlight w:val="none"/>
        </w:rPr>
        <w:t>：西部片区蔬菜、水果</w:t>
      </w: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lang w:val="en-US" w:eastAsia="zh-CN"/>
        </w:rPr>
        <w:t>干果</w:t>
      </w:r>
    </w:p>
    <w:p w14:paraId="2742C272">
      <w:pPr>
        <w:spacing w:line="400" w:lineRule="exact"/>
        <w:ind w:left="559" w:leftChars="266"/>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rPr>
        <w:t>预算金额：</w:t>
      </w:r>
      <w:r>
        <w:rPr>
          <w:rFonts w:hint="eastAsia" w:ascii="仿宋" w:hAnsi="仿宋" w:eastAsia="仿宋" w:cs="仿宋"/>
          <w:color w:val="000000"/>
          <w:sz w:val="24"/>
          <w:highlight w:val="none"/>
          <w:lang w:val="en-US" w:eastAsia="zh-CN"/>
        </w:rPr>
        <w:t>11696576.59</w:t>
      </w:r>
      <w:r>
        <w:rPr>
          <w:rFonts w:hint="eastAsia" w:ascii="仿宋" w:hAnsi="仿宋" w:eastAsia="仿宋" w:cs="仿宋"/>
          <w:color w:val="000000"/>
          <w:sz w:val="24"/>
          <w:highlight w:val="none"/>
        </w:rPr>
        <w:t>元</w:t>
      </w:r>
    </w:p>
    <w:p w14:paraId="55A21565">
      <w:pPr>
        <w:spacing w:line="400" w:lineRule="exact"/>
        <w:ind w:left="559" w:leftChars="266"/>
        <w:rPr>
          <w:rFonts w:hint="eastAsia" w:ascii="仿宋" w:hAnsi="仿宋" w:eastAsia="仿宋" w:cs="仿宋"/>
          <w:b w:val="0"/>
          <w:bCs w:val="0"/>
          <w:color w:val="000000"/>
          <w:sz w:val="24"/>
          <w:szCs w:val="24"/>
          <w:highlight w:val="none"/>
          <w:lang w:eastAsia="zh-CN"/>
        </w:rPr>
      </w:pPr>
      <w:r>
        <w:rPr>
          <w:rFonts w:hint="eastAsia" w:ascii="仿宋" w:hAnsi="仿宋" w:eastAsia="仿宋" w:cs="仿宋"/>
          <w:b w:val="0"/>
          <w:bCs w:val="0"/>
          <w:color w:val="000000"/>
          <w:sz w:val="24"/>
          <w:szCs w:val="24"/>
          <w:highlight w:val="none"/>
        </w:rPr>
        <w:t>合同履约期限：202</w:t>
      </w:r>
      <w:r>
        <w:rPr>
          <w:rFonts w:hint="eastAsia" w:ascii="仿宋" w:hAnsi="仿宋" w:eastAsia="仿宋" w:cs="仿宋"/>
          <w:b w:val="0"/>
          <w:bCs w:val="0"/>
          <w:color w:val="000000"/>
          <w:sz w:val="24"/>
          <w:szCs w:val="24"/>
          <w:highlight w:val="none"/>
          <w:lang w:val="en-US" w:eastAsia="zh-CN"/>
        </w:rPr>
        <w:t>5</w:t>
      </w:r>
      <w:r>
        <w:rPr>
          <w:rFonts w:hint="eastAsia" w:ascii="仿宋" w:hAnsi="仿宋" w:eastAsia="仿宋" w:cs="仿宋"/>
          <w:b w:val="0"/>
          <w:bCs w:val="0"/>
          <w:color w:val="000000"/>
          <w:sz w:val="24"/>
          <w:szCs w:val="24"/>
          <w:highlight w:val="none"/>
        </w:rPr>
        <w:t>年</w:t>
      </w:r>
      <w:r>
        <w:rPr>
          <w:rFonts w:hint="eastAsia" w:ascii="仿宋" w:hAnsi="仿宋" w:eastAsia="仿宋" w:cs="仿宋"/>
          <w:b w:val="0"/>
          <w:bCs w:val="0"/>
          <w:color w:val="000000"/>
          <w:sz w:val="24"/>
          <w:szCs w:val="24"/>
          <w:highlight w:val="none"/>
          <w:lang w:val="en-US" w:eastAsia="zh-CN"/>
        </w:rPr>
        <w:t>7</w:t>
      </w:r>
      <w:r>
        <w:rPr>
          <w:rFonts w:hint="eastAsia" w:ascii="仿宋" w:hAnsi="仿宋" w:eastAsia="仿宋" w:cs="仿宋"/>
          <w:b w:val="0"/>
          <w:bCs w:val="0"/>
          <w:color w:val="000000"/>
          <w:sz w:val="24"/>
          <w:szCs w:val="24"/>
          <w:highlight w:val="none"/>
        </w:rPr>
        <w:t>月-202</w:t>
      </w:r>
      <w:r>
        <w:rPr>
          <w:rFonts w:hint="eastAsia" w:ascii="仿宋" w:hAnsi="仿宋" w:eastAsia="仿宋" w:cs="仿宋"/>
          <w:b w:val="0"/>
          <w:bCs w:val="0"/>
          <w:color w:val="000000"/>
          <w:sz w:val="24"/>
          <w:szCs w:val="24"/>
          <w:highlight w:val="none"/>
          <w:lang w:val="en-US" w:eastAsia="zh-CN"/>
        </w:rPr>
        <w:t>6</w:t>
      </w:r>
      <w:r>
        <w:rPr>
          <w:rFonts w:hint="eastAsia" w:ascii="仿宋" w:hAnsi="仿宋" w:eastAsia="仿宋" w:cs="仿宋"/>
          <w:b w:val="0"/>
          <w:bCs w:val="0"/>
          <w:color w:val="000000"/>
          <w:sz w:val="24"/>
          <w:szCs w:val="24"/>
          <w:highlight w:val="none"/>
        </w:rPr>
        <w:t>年</w:t>
      </w:r>
      <w:r>
        <w:rPr>
          <w:rFonts w:hint="eastAsia" w:ascii="仿宋" w:hAnsi="仿宋" w:eastAsia="仿宋" w:cs="仿宋"/>
          <w:b w:val="0"/>
          <w:bCs w:val="0"/>
          <w:color w:val="000000"/>
          <w:sz w:val="24"/>
          <w:szCs w:val="24"/>
          <w:highlight w:val="none"/>
          <w:lang w:val="en-US" w:eastAsia="zh-CN"/>
        </w:rPr>
        <w:t>7</w:t>
      </w:r>
      <w:r>
        <w:rPr>
          <w:rFonts w:hint="eastAsia" w:ascii="仿宋" w:hAnsi="仿宋" w:eastAsia="仿宋" w:cs="仿宋"/>
          <w:b w:val="0"/>
          <w:bCs w:val="0"/>
          <w:color w:val="000000"/>
          <w:sz w:val="24"/>
          <w:szCs w:val="24"/>
          <w:highlight w:val="none"/>
        </w:rPr>
        <w:t>月</w:t>
      </w:r>
      <w:r>
        <w:rPr>
          <w:rFonts w:hint="eastAsia" w:ascii="仿宋" w:hAnsi="仿宋" w:eastAsia="仿宋" w:cs="仿宋"/>
          <w:b w:val="0"/>
          <w:bCs w:val="0"/>
          <w:color w:val="000000"/>
          <w:sz w:val="24"/>
          <w:szCs w:val="24"/>
          <w:highlight w:val="none"/>
          <w:lang w:eastAsia="zh-CN"/>
        </w:rPr>
        <w:t>（</w:t>
      </w:r>
      <w:r>
        <w:rPr>
          <w:rFonts w:hint="eastAsia" w:ascii="仿宋" w:hAnsi="仿宋" w:eastAsia="仿宋" w:cs="仿宋"/>
          <w:b w:val="0"/>
          <w:bCs w:val="0"/>
          <w:color w:val="000000"/>
          <w:sz w:val="24"/>
          <w:szCs w:val="24"/>
          <w:highlight w:val="none"/>
          <w:lang w:val="en-US" w:eastAsia="zh-CN"/>
        </w:rPr>
        <w:t>具体以签订合同为准</w:t>
      </w:r>
      <w:r>
        <w:rPr>
          <w:rFonts w:hint="eastAsia" w:ascii="仿宋" w:hAnsi="仿宋" w:eastAsia="仿宋" w:cs="仿宋"/>
          <w:b w:val="0"/>
          <w:bCs w:val="0"/>
          <w:color w:val="000000"/>
          <w:sz w:val="24"/>
          <w:szCs w:val="24"/>
          <w:highlight w:val="none"/>
          <w:lang w:eastAsia="zh-CN"/>
        </w:rPr>
        <w:t>）。</w:t>
      </w:r>
    </w:p>
    <w:p w14:paraId="65B3A1C0">
      <w:pPr>
        <w:spacing w:line="400" w:lineRule="exact"/>
        <w:ind w:left="559" w:leftChars="266"/>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lang w:eastAsia="zh-CN"/>
        </w:rPr>
        <w:t>本项目</w:t>
      </w:r>
      <w:r>
        <w:rPr>
          <w:rFonts w:hint="eastAsia" w:ascii="仿宋" w:hAnsi="仿宋" w:eastAsia="仿宋" w:cs="仿宋"/>
          <w:color w:val="000000"/>
          <w:sz w:val="24"/>
          <w:highlight w:val="none"/>
          <w:lang w:val="en-US" w:eastAsia="zh-CN"/>
        </w:rPr>
        <w:t>不</w:t>
      </w:r>
      <w:r>
        <w:rPr>
          <w:rFonts w:hint="eastAsia" w:ascii="仿宋" w:hAnsi="仿宋" w:eastAsia="仿宋" w:cs="仿宋"/>
          <w:color w:val="000000"/>
          <w:sz w:val="24"/>
          <w:highlight w:val="none"/>
          <w:lang w:eastAsia="zh-CN"/>
        </w:rPr>
        <w:t>接受联合体投标。</w:t>
      </w:r>
    </w:p>
    <w:p w14:paraId="5C25A6EF">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20" w:lineRule="exact"/>
        <w:ind w:left="0" w:right="0"/>
        <w:textAlignment w:val="auto"/>
        <w:rPr>
          <w:rFonts w:hint="eastAsia" w:ascii="仿宋" w:hAnsi="仿宋" w:eastAsia="仿宋" w:cs="仿宋"/>
          <w:color w:val="000000"/>
          <w:sz w:val="24"/>
          <w:szCs w:val="24"/>
          <w:highlight w:val="none"/>
        </w:rPr>
      </w:pPr>
      <w:r>
        <w:rPr>
          <w:rStyle w:val="40"/>
          <w:rFonts w:hint="eastAsia" w:ascii="仿宋" w:hAnsi="仿宋" w:eastAsia="仿宋" w:cs="仿宋"/>
          <w:color w:val="000000"/>
          <w:sz w:val="24"/>
          <w:szCs w:val="24"/>
          <w:highlight w:val="none"/>
        </w:rPr>
        <w:t>二、申请人的资格要求：</w:t>
      </w:r>
    </w:p>
    <w:p w14:paraId="17283433">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20" w:lineRule="exact"/>
        <w:ind w:left="0" w:right="0" w:firstLine="480" w:firstLineChars="200"/>
        <w:textAlignment w:val="auto"/>
        <w:rPr>
          <w:rFonts w:hint="eastAsia" w:ascii="仿宋" w:hAnsi="仿宋" w:eastAsia="仿宋" w:cs="仿宋"/>
          <w:i w:val="0"/>
          <w:caps w:val="0"/>
          <w:color w:val="000000"/>
          <w:spacing w:val="0"/>
          <w:sz w:val="24"/>
          <w:szCs w:val="24"/>
          <w:highlight w:val="none"/>
        </w:rPr>
      </w:pPr>
      <w:r>
        <w:rPr>
          <w:rFonts w:hint="eastAsia" w:ascii="仿宋" w:hAnsi="仿宋" w:eastAsia="仿宋" w:cs="仿宋"/>
          <w:i w:val="0"/>
          <w:caps w:val="0"/>
          <w:color w:val="000000"/>
          <w:spacing w:val="0"/>
          <w:sz w:val="24"/>
          <w:szCs w:val="24"/>
          <w:highlight w:val="none"/>
        </w:rPr>
        <w:t>1.满足《中华人民共和国政府采购法》第二十二条规定；</w:t>
      </w:r>
    </w:p>
    <w:p w14:paraId="2E327EF3">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20" w:lineRule="exact"/>
        <w:ind w:left="0" w:right="0" w:firstLine="480" w:firstLineChars="200"/>
        <w:textAlignment w:val="auto"/>
        <w:rPr>
          <w:rFonts w:hint="eastAsia" w:ascii="仿宋" w:hAnsi="仿宋" w:eastAsia="仿宋" w:cs="仿宋"/>
          <w:i w:val="0"/>
          <w:caps w:val="0"/>
          <w:color w:val="000000"/>
          <w:spacing w:val="0"/>
          <w:sz w:val="24"/>
          <w:szCs w:val="24"/>
          <w:highlight w:val="none"/>
          <w:lang w:val="en-US" w:eastAsia="zh-CN"/>
        </w:rPr>
      </w:pPr>
      <w:r>
        <w:rPr>
          <w:rFonts w:hint="eastAsia" w:ascii="仿宋" w:hAnsi="仿宋" w:eastAsia="仿宋" w:cs="仿宋"/>
          <w:i w:val="0"/>
          <w:caps w:val="0"/>
          <w:color w:val="000000"/>
          <w:spacing w:val="0"/>
          <w:sz w:val="24"/>
          <w:szCs w:val="24"/>
          <w:highlight w:val="none"/>
        </w:rPr>
        <w:t>2.落实政府采购政策需满足的资格要求：</w:t>
      </w:r>
      <w:r>
        <w:rPr>
          <w:rFonts w:hint="eastAsia" w:ascii="仿宋" w:hAnsi="仿宋" w:eastAsia="仿宋" w:cs="仿宋"/>
          <w:i w:val="0"/>
          <w:caps w:val="0"/>
          <w:color w:val="000000"/>
          <w:spacing w:val="0"/>
          <w:sz w:val="24"/>
          <w:szCs w:val="24"/>
          <w:highlight w:val="none"/>
          <w:lang w:val="en-US" w:eastAsia="zh-CN"/>
        </w:rPr>
        <w:t>本项目不专门面向中小企业</w:t>
      </w:r>
      <w:r>
        <w:rPr>
          <w:rFonts w:hint="eastAsia" w:ascii="仿宋" w:hAnsi="仿宋" w:eastAsia="仿宋" w:cs="仿宋"/>
          <w:i w:val="0"/>
          <w:caps w:val="0"/>
          <w:color w:val="000000"/>
          <w:spacing w:val="0"/>
          <w:sz w:val="24"/>
          <w:szCs w:val="24"/>
          <w:highlight w:val="none"/>
        </w:rPr>
        <w:t> </w:t>
      </w:r>
    </w:p>
    <w:p w14:paraId="4A171849">
      <w:pPr>
        <w:keepNext w:val="0"/>
        <w:keepLines w:val="0"/>
        <w:pageBreakBefore w:val="0"/>
        <w:widowControl/>
        <w:kinsoku/>
        <w:wordWrap/>
        <w:overflowPunct/>
        <w:topLinePunct w:val="0"/>
        <w:autoSpaceDE/>
        <w:autoSpaceDN/>
        <w:bidi w:val="0"/>
        <w:adjustRightInd/>
        <w:snapToGrid/>
        <w:spacing w:line="420" w:lineRule="exact"/>
        <w:ind w:firstLine="480" w:firstLineChars="200"/>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3.本项目的特定资格要求：</w:t>
      </w:r>
      <w:r>
        <w:rPr>
          <w:rFonts w:hint="eastAsia" w:ascii="仿宋" w:hAnsi="仿宋" w:eastAsia="仿宋" w:cs="仿宋"/>
          <w:b/>
          <w:bCs/>
          <w:color w:val="000000"/>
          <w:sz w:val="24"/>
          <w:szCs w:val="24"/>
          <w:highlight w:val="none"/>
          <w:lang w:val="en-US" w:eastAsia="zh-CN"/>
        </w:rPr>
        <w:t>提供有效的《食品经营许可证》或《食品生产许可证》</w:t>
      </w:r>
    </w:p>
    <w:p w14:paraId="79DFF457">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000000"/>
          <w:sz w:val="24"/>
          <w:szCs w:val="24"/>
          <w:highlight w:val="none"/>
        </w:rPr>
      </w:pPr>
      <w:r>
        <w:rPr>
          <w:rStyle w:val="40"/>
          <w:rFonts w:hint="eastAsia" w:ascii="仿宋" w:hAnsi="仿宋" w:eastAsia="仿宋" w:cs="仿宋"/>
          <w:color w:val="000000"/>
          <w:sz w:val="24"/>
          <w:szCs w:val="24"/>
          <w:highlight w:val="none"/>
        </w:rPr>
        <w:t>三、获取</w:t>
      </w:r>
      <w:r>
        <w:rPr>
          <w:rStyle w:val="40"/>
          <w:rFonts w:hint="eastAsia" w:ascii="仿宋" w:hAnsi="仿宋" w:eastAsia="仿宋" w:cs="仿宋"/>
          <w:color w:val="000000"/>
          <w:sz w:val="24"/>
          <w:szCs w:val="24"/>
          <w:highlight w:val="none"/>
          <w:lang w:val="en-US" w:eastAsia="zh-CN"/>
        </w:rPr>
        <w:t>招标文件</w:t>
      </w:r>
    </w:p>
    <w:p w14:paraId="20004230">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42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时间：</w:t>
      </w:r>
      <w:r>
        <w:rPr>
          <w:rFonts w:hint="eastAsia" w:ascii="仿宋" w:hAnsi="仿宋" w:eastAsia="仿宋" w:cs="仿宋"/>
          <w:b/>
          <w:bCs/>
          <w:color w:val="000000"/>
          <w:sz w:val="24"/>
          <w:szCs w:val="24"/>
          <w:highlight w:val="none"/>
        </w:rPr>
        <w:t>202</w:t>
      </w:r>
      <w:r>
        <w:rPr>
          <w:rFonts w:hint="eastAsia" w:ascii="仿宋" w:hAnsi="仿宋" w:eastAsia="仿宋" w:cs="仿宋"/>
          <w:b/>
          <w:bCs/>
          <w:color w:val="000000"/>
          <w:sz w:val="24"/>
          <w:szCs w:val="24"/>
          <w:highlight w:val="none"/>
          <w:lang w:val="en-US" w:eastAsia="zh-CN"/>
        </w:rPr>
        <w:t>5</w:t>
      </w:r>
      <w:r>
        <w:rPr>
          <w:rFonts w:hint="eastAsia" w:ascii="仿宋" w:hAnsi="仿宋" w:eastAsia="仿宋" w:cs="仿宋"/>
          <w:b/>
          <w:bCs/>
          <w:color w:val="000000"/>
          <w:sz w:val="24"/>
          <w:szCs w:val="24"/>
          <w:highlight w:val="none"/>
        </w:rPr>
        <w:t>年</w:t>
      </w:r>
      <w:r>
        <w:rPr>
          <w:rFonts w:hint="eastAsia" w:ascii="仿宋" w:hAnsi="仿宋" w:eastAsia="仿宋" w:cs="仿宋"/>
          <w:b/>
          <w:bCs/>
          <w:color w:val="000000"/>
          <w:sz w:val="24"/>
          <w:szCs w:val="24"/>
          <w:highlight w:val="none"/>
          <w:lang w:val="en-US" w:eastAsia="zh-CN"/>
        </w:rPr>
        <w:t>07</w:t>
      </w:r>
      <w:r>
        <w:rPr>
          <w:rFonts w:hint="eastAsia" w:ascii="仿宋" w:hAnsi="仿宋" w:eastAsia="仿宋" w:cs="仿宋"/>
          <w:b/>
          <w:bCs/>
          <w:color w:val="000000"/>
          <w:sz w:val="24"/>
          <w:szCs w:val="24"/>
          <w:highlight w:val="none"/>
        </w:rPr>
        <w:t>月</w:t>
      </w:r>
      <w:r>
        <w:rPr>
          <w:rFonts w:hint="eastAsia" w:ascii="仿宋" w:hAnsi="仿宋" w:eastAsia="仿宋" w:cs="仿宋"/>
          <w:b/>
          <w:bCs/>
          <w:color w:val="000000"/>
          <w:sz w:val="24"/>
          <w:szCs w:val="24"/>
          <w:highlight w:val="none"/>
          <w:lang w:val="en-US" w:eastAsia="zh-CN"/>
        </w:rPr>
        <w:t>10</w:t>
      </w:r>
      <w:r>
        <w:rPr>
          <w:rFonts w:hint="eastAsia" w:ascii="仿宋" w:hAnsi="仿宋" w:eastAsia="仿宋" w:cs="仿宋"/>
          <w:b/>
          <w:bCs/>
          <w:color w:val="000000"/>
          <w:sz w:val="24"/>
          <w:szCs w:val="24"/>
          <w:highlight w:val="none"/>
        </w:rPr>
        <w:t>日起至202</w:t>
      </w:r>
      <w:r>
        <w:rPr>
          <w:rFonts w:hint="eastAsia" w:ascii="仿宋" w:hAnsi="仿宋" w:eastAsia="仿宋" w:cs="仿宋"/>
          <w:b/>
          <w:bCs/>
          <w:color w:val="000000"/>
          <w:sz w:val="24"/>
          <w:szCs w:val="24"/>
          <w:highlight w:val="none"/>
          <w:lang w:val="en-US" w:eastAsia="zh-CN"/>
        </w:rPr>
        <w:t>5</w:t>
      </w:r>
      <w:r>
        <w:rPr>
          <w:rFonts w:hint="eastAsia" w:ascii="仿宋" w:hAnsi="仿宋" w:eastAsia="仿宋" w:cs="仿宋"/>
          <w:b/>
          <w:bCs/>
          <w:color w:val="000000"/>
          <w:sz w:val="24"/>
          <w:szCs w:val="24"/>
          <w:highlight w:val="none"/>
        </w:rPr>
        <w:t>年</w:t>
      </w:r>
      <w:r>
        <w:rPr>
          <w:rFonts w:hint="eastAsia" w:ascii="仿宋" w:hAnsi="仿宋" w:eastAsia="仿宋" w:cs="仿宋"/>
          <w:b/>
          <w:bCs/>
          <w:color w:val="000000"/>
          <w:sz w:val="24"/>
          <w:szCs w:val="24"/>
          <w:highlight w:val="none"/>
          <w:lang w:val="en-US" w:eastAsia="zh-CN"/>
        </w:rPr>
        <w:t>07</w:t>
      </w:r>
      <w:r>
        <w:rPr>
          <w:rFonts w:hint="eastAsia" w:ascii="仿宋" w:hAnsi="仿宋" w:eastAsia="仿宋" w:cs="仿宋"/>
          <w:b/>
          <w:bCs/>
          <w:color w:val="000000"/>
          <w:sz w:val="24"/>
          <w:szCs w:val="24"/>
          <w:highlight w:val="none"/>
        </w:rPr>
        <w:t>月</w:t>
      </w:r>
      <w:r>
        <w:rPr>
          <w:rFonts w:hint="eastAsia" w:ascii="仿宋" w:hAnsi="仿宋" w:eastAsia="仿宋" w:cs="仿宋"/>
          <w:b/>
          <w:bCs/>
          <w:color w:val="000000"/>
          <w:sz w:val="24"/>
          <w:szCs w:val="24"/>
          <w:highlight w:val="none"/>
          <w:lang w:val="en-US" w:eastAsia="zh-CN"/>
        </w:rPr>
        <w:t>31</w:t>
      </w:r>
      <w:r>
        <w:rPr>
          <w:rFonts w:hint="eastAsia" w:ascii="仿宋" w:hAnsi="仿宋" w:eastAsia="仿宋" w:cs="仿宋"/>
          <w:b/>
          <w:bCs/>
          <w:color w:val="000000"/>
          <w:sz w:val="24"/>
          <w:szCs w:val="24"/>
          <w:highlight w:val="none"/>
        </w:rPr>
        <w:t>日</w:t>
      </w:r>
      <w:r>
        <w:rPr>
          <w:rFonts w:hint="eastAsia" w:ascii="仿宋" w:hAnsi="仿宋" w:eastAsia="仿宋" w:cs="仿宋"/>
          <w:color w:val="000000"/>
          <w:sz w:val="24"/>
          <w:szCs w:val="24"/>
          <w:highlight w:val="none"/>
        </w:rPr>
        <w:t>（北京时间，法定节假日除外）</w:t>
      </w:r>
    </w:p>
    <w:p w14:paraId="45797F56">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420"/>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地点：政采云平台线上</w:t>
      </w:r>
    </w:p>
    <w:p w14:paraId="63808C16">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420"/>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7505BE25">
      <w:pPr>
        <w:pStyle w:val="32"/>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240" w:lineRule="auto"/>
        <w:ind w:left="0" w:right="0"/>
        <w:jc w:val="both"/>
        <w:textAlignment w:val="auto"/>
        <w:rPr>
          <w:rFonts w:hint="eastAsia" w:ascii="仿宋" w:hAnsi="仿宋" w:eastAsia="仿宋" w:cs="仿宋"/>
          <w:color w:val="000000"/>
          <w:sz w:val="24"/>
          <w:szCs w:val="24"/>
          <w:highlight w:val="none"/>
        </w:rPr>
      </w:pPr>
      <w:r>
        <w:rPr>
          <w:rStyle w:val="40"/>
          <w:rFonts w:hint="eastAsia" w:ascii="仿宋" w:hAnsi="仿宋" w:eastAsia="仿宋" w:cs="仿宋"/>
          <w:color w:val="000000"/>
          <w:sz w:val="24"/>
          <w:szCs w:val="24"/>
          <w:highlight w:val="none"/>
        </w:rPr>
        <w:t>四</w:t>
      </w:r>
      <w:r>
        <w:rPr>
          <w:rStyle w:val="40"/>
          <w:rFonts w:hint="eastAsia" w:ascii="仿宋" w:hAnsi="仿宋" w:eastAsia="仿宋" w:cs="仿宋"/>
          <w:color w:val="000000"/>
          <w:sz w:val="24"/>
          <w:szCs w:val="24"/>
          <w:highlight w:val="none"/>
          <w:lang w:eastAsia="zh-CN"/>
        </w:rPr>
        <w:t>、</w:t>
      </w:r>
      <w:r>
        <w:rPr>
          <w:rStyle w:val="40"/>
          <w:rFonts w:hint="eastAsia" w:ascii="仿宋" w:hAnsi="仿宋" w:eastAsia="仿宋" w:cs="仿宋"/>
          <w:color w:val="000000"/>
          <w:sz w:val="24"/>
          <w:szCs w:val="24"/>
          <w:highlight w:val="none"/>
          <w:lang w:val="en-US" w:eastAsia="zh-CN"/>
        </w:rPr>
        <w:t>投标文件</w:t>
      </w:r>
      <w:r>
        <w:rPr>
          <w:rStyle w:val="40"/>
          <w:rFonts w:hint="eastAsia" w:ascii="仿宋" w:hAnsi="仿宋" w:eastAsia="仿宋" w:cs="仿宋"/>
          <w:color w:val="000000"/>
          <w:sz w:val="24"/>
          <w:szCs w:val="24"/>
          <w:highlight w:val="none"/>
        </w:rPr>
        <w:t>截止时间、开标时间和地点</w:t>
      </w:r>
    </w:p>
    <w:p w14:paraId="0C07A0F3">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42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截止时间：</w:t>
      </w:r>
      <w:r>
        <w:rPr>
          <w:rFonts w:hint="eastAsia" w:ascii="仿宋" w:hAnsi="仿宋" w:eastAsia="仿宋" w:cs="仿宋"/>
          <w:color w:val="000000"/>
          <w:sz w:val="24"/>
          <w:szCs w:val="24"/>
          <w:highlight w:val="none"/>
          <w:lang w:val="en-US" w:eastAsia="zh-CN"/>
        </w:rPr>
        <w:t>2025年08月01日11</w:t>
      </w:r>
      <w:r>
        <w:rPr>
          <w:rFonts w:hint="eastAsia" w:ascii="仿宋" w:hAnsi="仿宋" w:eastAsia="仿宋" w:cs="仿宋"/>
          <w:color w:val="000000"/>
          <w:sz w:val="24"/>
          <w:szCs w:val="24"/>
          <w:highlight w:val="none"/>
        </w:rPr>
        <w:t>点</w:t>
      </w:r>
      <w:r>
        <w:rPr>
          <w:rFonts w:hint="eastAsia" w:ascii="仿宋" w:hAnsi="仿宋" w:eastAsia="仿宋" w:cs="仿宋"/>
          <w:color w:val="000000"/>
          <w:sz w:val="24"/>
          <w:szCs w:val="24"/>
          <w:highlight w:val="none"/>
          <w:lang w:val="en-US" w:eastAsia="zh-CN"/>
        </w:rPr>
        <w:t>00</w:t>
      </w:r>
    </w:p>
    <w:p w14:paraId="7AC79FA5">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420"/>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地点：政采云平台</w:t>
      </w:r>
      <w:r>
        <w:rPr>
          <w:rFonts w:hint="eastAsia" w:ascii="仿宋" w:hAnsi="仿宋" w:eastAsia="仿宋" w:cs="仿宋"/>
          <w:color w:val="000000"/>
          <w:sz w:val="24"/>
          <w:szCs w:val="24"/>
          <w:highlight w:val="none"/>
          <w:lang w:val="en-US" w:eastAsia="zh-CN"/>
        </w:rPr>
        <w:t>-不见面开标</w:t>
      </w:r>
    </w:p>
    <w:p w14:paraId="47139134">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right="0"/>
        <w:textAlignment w:val="auto"/>
        <w:rPr>
          <w:rStyle w:val="40"/>
          <w:rFonts w:hint="eastAsia" w:ascii="仿宋" w:hAnsi="仿宋" w:eastAsia="仿宋" w:cs="仿宋"/>
          <w:color w:val="000000"/>
          <w:sz w:val="24"/>
          <w:szCs w:val="24"/>
          <w:highlight w:val="none"/>
          <w:lang w:val="en-US" w:eastAsia="zh-CN"/>
        </w:rPr>
      </w:pPr>
      <w:r>
        <w:rPr>
          <w:rStyle w:val="40"/>
          <w:rFonts w:hint="eastAsia" w:ascii="仿宋" w:hAnsi="仿宋" w:eastAsia="仿宋" w:cs="仿宋"/>
          <w:color w:val="000000"/>
          <w:sz w:val="24"/>
          <w:szCs w:val="24"/>
          <w:highlight w:val="none"/>
          <w:lang w:val="en-US" w:eastAsia="zh-CN"/>
        </w:rPr>
        <w:t>五、开启</w:t>
      </w:r>
    </w:p>
    <w:p w14:paraId="488D9D4F">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42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时间：</w:t>
      </w:r>
      <w:r>
        <w:rPr>
          <w:rFonts w:hint="eastAsia" w:ascii="仿宋" w:hAnsi="仿宋" w:eastAsia="仿宋" w:cs="仿宋"/>
          <w:color w:val="000000"/>
          <w:sz w:val="24"/>
          <w:szCs w:val="24"/>
          <w:highlight w:val="none"/>
          <w:lang w:val="en-US" w:eastAsia="zh-CN"/>
        </w:rPr>
        <w:t>2025年08月01日11</w:t>
      </w:r>
      <w:r>
        <w:rPr>
          <w:rFonts w:hint="eastAsia" w:ascii="仿宋" w:hAnsi="仿宋" w:eastAsia="仿宋" w:cs="仿宋"/>
          <w:color w:val="000000"/>
          <w:sz w:val="24"/>
          <w:szCs w:val="24"/>
          <w:highlight w:val="none"/>
        </w:rPr>
        <w:t>点</w:t>
      </w:r>
      <w:r>
        <w:rPr>
          <w:rFonts w:hint="eastAsia" w:ascii="仿宋" w:hAnsi="仿宋" w:eastAsia="仿宋" w:cs="仿宋"/>
          <w:color w:val="000000"/>
          <w:sz w:val="24"/>
          <w:szCs w:val="24"/>
          <w:highlight w:val="none"/>
          <w:lang w:val="en-US" w:eastAsia="zh-CN"/>
        </w:rPr>
        <w:t>00</w:t>
      </w:r>
    </w:p>
    <w:p w14:paraId="6BDB5806">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420"/>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地点：政采云平台</w:t>
      </w:r>
      <w:r>
        <w:rPr>
          <w:rFonts w:hint="eastAsia" w:ascii="仿宋" w:hAnsi="仿宋" w:eastAsia="仿宋" w:cs="仿宋"/>
          <w:color w:val="000000"/>
          <w:sz w:val="24"/>
          <w:szCs w:val="24"/>
          <w:highlight w:val="none"/>
          <w:lang w:val="en-US" w:eastAsia="zh-CN"/>
        </w:rPr>
        <w:t>-不见面开标</w:t>
      </w:r>
    </w:p>
    <w:p w14:paraId="64CE4E16">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right="0"/>
        <w:textAlignment w:val="auto"/>
        <w:rPr>
          <w:rFonts w:hint="eastAsia" w:ascii="仿宋" w:hAnsi="仿宋" w:eastAsia="仿宋" w:cs="仿宋"/>
          <w:color w:val="000000"/>
          <w:sz w:val="24"/>
          <w:szCs w:val="24"/>
          <w:highlight w:val="none"/>
        </w:rPr>
      </w:pPr>
      <w:r>
        <w:rPr>
          <w:rStyle w:val="40"/>
          <w:rFonts w:hint="eastAsia" w:ascii="仿宋" w:hAnsi="仿宋" w:eastAsia="仿宋" w:cs="仿宋"/>
          <w:color w:val="000000"/>
          <w:sz w:val="24"/>
          <w:szCs w:val="24"/>
          <w:highlight w:val="none"/>
          <w:lang w:val="en-US" w:eastAsia="zh-CN"/>
        </w:rPr>
        <w:t>六</w:t>
      </w:r>
      <w:r>
        <w:rPr>
          <w:rStyle w:val="40"/>
          <w:rFonts w:hint="eastAsia" w:ascii="仿宋" w:hAnsi="仿宋" w:eastAsia="仿宋" w:cs="仿宋"/>
          <w:color w:val="000000"/>
          <w:sz w:val="24"/>
          <w:szCs w:val="24"/>
          <w:highlight w:val="none"/>
        </w:rPr>
        <w:t>、公告期限</w:t>
      </w:r>
    </w:p>
    <w:p w14:paraId="3292084D">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42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自本公告发布之日起</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个工作日</w:t>
      </w:r>
    </w:p>
    <w:p w14:paraId="7838C392">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right="0"/>
        <w:textAlignment w:val="auto"/>
        <w:rPr>
          <w:rStyle w:val="40"/>
          <w:rFonts w:hint="eastAsia" w:ascii="仿宋" w:hAnsi="仿宋" w:eastAsia="仿宋" w:cs="仿宋"/>
          <w:color w:val="000000"/>
          <w:sz w:val="24"/>
          <w:szCs w:val="24"/>
          <w:highlight w:val="none"/>
          <w:lang w:val="en-US" w:eastAsia="zh-CN"/>
        </w:rPr>
      </w:pPr>
      <w:r>
        <w:rPr>
          <w:rStyle w:val="40"/>
          <w:rFonts w:hint="eastAsia" w:ascii="仿宋" w:hAnsi="仿宋" w:eastAsia="仿宋" w:cs="仿宋"/>
          <w:color w:val="000000"/>
          <w:sz w:val="24"/>
          <w:szCs w:val="24"/>
          <w:highlight w:val="none"/>
          <w:lang w:val="en-US" w:eastAsia="zh-CN"/>
        </w:rPr>
        <w:t>七、其他补充事宜</w:t>
      </w:r>
    </w:p>
    <w:p w14:paraId="5676AC6D">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42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无</w:t>
      </w:r>
    </w:p>
    <w:p w14:paraId="30280BC3">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right="0"/>
        <w:textAlignment w:val="auto"/>
        <w:rPr>
          <w:rFonts w:hint="eastAsia" w:ascii="仿宋" w:hAnsi="仿宋" w:eastAsia="仿宋" w:cs="仿宋"/>
          <w:color w:val="000000"/>
          <w:sz w:val="24"/>
          <w:szCs w:val="24"/>
          <w:highlight w:val="none"/>
        </w:rPr>
      </w:pPr>
      <w:r>
        <w:rPr>
          <w:rStyle w:val="40"/>
          <w:rFonts w:hint="eastAsia" w:ascii="仿宋" w:hAnsi="仿宋" w:eastAsia="仿宋" w:cs="仿宋"/>
          <w:color w:val="000000"/>
          <w:sz w:val="24"/>
          <w:szCs w:val="24"/>
          <w:highlight w:val="none"/>
          <w:lang w:val="en-US" w:eastAsia="zh-CN"/>
        </w:rPr>
        <w:t>八、</w:t>
      </w:r>
      <w:r>
        <w:rPr>
          <w:rStyle w:val="40"/>
          <w:rFonts w:hint="eastAsia" w:ascii="仿宋" w:hAnsi="仿宋" w:eastAsia="仿宋" w:cs="仿宋"/>
          <w:color w:val="000000"/>
          <w:sz w:val="24"/>
          <w:szCs w:val="24"/>
          <w:highlight w:val="none"/>
        </w:rPr>
        <w:t>对本次采购提出询问，请按以下方式联系</w:t>
      </w:r>
    </w:p>
    <w:p w14:paraId="4A3E023C">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auto"/>
        <w:ind w:left="0" w:right="0" w:firstLine="42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1.采购人信息</w:t>
      </w:r>
    </w:p>
    <w:p w14:paraId="08369BB8">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auto"/>
        <w:ind w:left="0" w:right="0" w:firstLine="42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采购单位</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eastAsia="zh-CN"/>
        </w:rPr>
        <w:t>岳普湖县教育局</w:t>
      </w:r>
    </w:p>
    <w:p w14:paraId="4ED68263">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auto"/>
        <w:ind w:left="0" w:right="0" w:firstLine="420"/>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eastAsia="zh-CN"/>
        </w:rPr>
        <w:t>联系人：</w:t>
      </w:r>
      <w:r>
        <w:rPr>
          <w:rFonts w:hint="eastAsia" w:ascii="仿宋" w:hAnsi="仿宋" w:eastAsia="仿宋" w:cs="仿宋"/>
          <w:b w:val="0"/>
          <w:bCs w:val="0"/>
          <w:color w:val="000000"/>
          <w:sz w:val="24"/>
          <w:szCs w:val="24"/>
          <w:highlight w:val="none"/>
          <w:lang w:val="en-US" w:eastAsia="zh-CN"/>
        </w:rPr>
        <w:t>王海峰</w:t>
      </w:r>
    </w:p>
    <w:p w14:paraId="56EB05C3">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auto"/>
        <w:ind w:left="0" w:right="0" w:firstLine="420"/>
        <w:textAlignment w:val="auto"/>
        <w:rPr>
          <w:rFonts w:hint="default"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rPr>
        <w:t>联系</w:t>
      </w:r>
      <w:r>
        <w:rPr>
          <w:rFonts w:hint="eastAsia" w:ascii="仿宋" w:hAnsi="仿宋" w:eastAsia="仿宋" w:cs="仿宋"/>
          <w:b w:val="0"/>
          <w:bCs w:val="0"/>
          <w:color w:val="000000"/>
          <w:sz w:val="24"/>
          <w:szCs w:val="24"/>
          <w:highlight w:val="none"/>
          <w:lang w:eastAsia="zh-CN"/>
        </w:rPr>
        <w:t>电话</w:t>
      </w:r>
      <w:r>
        <w:rPr>
          <w:rFonts w:hint="eastAsia" w:ascii="仿宋" w:hAnsi="仿宋" w:eastAsia="仿宋" w:cs="仿宋"/>
          <w:b w:val="0"/>
          <w:bCs w:val="0"/>
          <w:color w:val="000000"/>
          <w:sz w:val="24"/>
          <w:szCs w:val="24"/>
          <w:highlight w:val="none"/>
        </w:rPr>
        <w:t>：</w:t>
      </w:r>
      <w:r>
        <w:rPr>
          <w:rFonts w:hint="eastAsia" w:ascii="仿宋" w:hAnsi="仿宋" w:eastAsia="仿宋" w:cs="仿宋"/>
          <w:b w:val="0"/>
          <w:bCs w:val="0"/>
          <w:color w:val="000000"/>
          <w:sz w:val="24"/>
          <w:szCs w:val="24"/>
          <w:highlight w:val="none"/>
          <w:lang w:val="en-US" w:eastAsia="zh-CN"/>
        </w:rPr>
        <w:t>18399336800</w:t>
      </w:r>
    </w:p>
    <w:p w14:paraId="14C5CE0A">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auto"/>
        <w:ind w:left="0" w:right="0" w:firstLine="42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2.采购代理机构信息</w:t>
      </w:r>
    </w:p>
    <w:p w14:paraId="5928A756">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auto"/>
        <w:ind w:left="0" w:right="0" w:firstLine="42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名称：新疆方中圆工程项目管理有限公司</w:t>
      </w:r>
    </w:p>
    <w:p w14:paraId="545670A6">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auto"/>
        <w:ind w:left="0" w:right="0" w:firstLine="42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地址：新疆喀什地区喀什经济开发区深喀大道浙商大厦14楼</w:t>
      </w:r>
    </w:p>
    <w:p w14:paraId="67A62BA5">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auto"/>
        <w:ind w:left="0" w:right="0" w:firstLine="420"/>
        <w:textAlignment w:val="auto"/>
        <w:rPr>
          <w:rStyle w:val="44"/>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联系人：</w:t>
      </w:r>
      <w:r>
        <w:rPr>
          <w:rStyle w:val="44"/>
          <w:rFonts w:hint="eastAsia" w:ascii="仿宋" w:hAnsi="仿宋" w:eastAsia="仿宋" w:cs="仿宋"/>
          <w:color w:val="000000"/>
          <w:sz w:val="24"/>
          <w:szCs w:val="24"/>
          <w:highlight w:val="none"/>
          <w:lang w:val="en-US" w:eastAsia="zh-CN"/>
        </w:rPr>
        <w:t>李静</w:t>
      </w:r>
    </w:p>
    <w:p w14:paraId="2C5C6751">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auto"/>
        <w:ind w:left="0" w:right="0" w:firstLine="420"/>
        <w:textAlignment w:val="auto"/>
        <w:rPr>
          <w:rFonts w:hint="default" w:ascii="仿宋" w:hAnsi="仿宋" w:eastAsia="仿宋" w:cs="仿宋"/>
          <w:color w:val="000000"/>
          <w:sz w:val="24"/>
          <w:szCs w:val="24"/>
          <w:highlight w:val="none"/>
          <w:lang w:val="en-US" w:eastAsia="zh-CN"/>
        </w:rPr>
      </w:pPr>
      <w:r>
        <w:rPr>
          <w:rStyle w:val="44"/>
          <w:rFonts w:hint="eastAsia" w:ascii="仿宋" w:hAnsi="仿宋" w:eastAsia="仿宋" w:cs="仿宋"/>
          <w:color w:val="000000"/>
          <w:sz w:val="24"/>
          <w:szCs w:val="24"/>
          <w:highlight w:val="none"/>
          <w:lang w:val="en-US" w:eastAsia="zh-CN"/>
        </w:rPr>
        <w:t>联系</w:t>
      </w:r>
      <w:r>
        <w:rPr>
          <w:rFonts w:hint="eastAsia" w:ascii="仿宋" w:hAnsi="仿宋" w:eastAsia="仿宋" w:cs="仿宋"/>
          <w:color w:val="000000"/>
          <w:sz w:val="24"/>
          <w:szCs w:val="24"/>
          <w:highlight w:val="none"/>
        </w:rPr>
        <w:t>电话：</w:t>
      </w:r>
      <w:r>
        <w:rPr>
          <w:rStyle w:val="44"/>
          <w:rFonts w:hint="eastAsia" w:ascii="仿宋" w:hAnsi="仿宋" w:eastAsia="仿宋" w:cs="仿宋"/>
          <w:color w:val="000000"/>
          <w:sz w:val="24"/>
          <w:szCs w:val="24"/>
          <w:highlight w:val="none"/>
          <w:lang w:val="en-US" w:eastAsia="zh-CN"/>
        </w:rPr>
        <w:t>18399127016</w:t>
      </w:r>
    </w:p>
    <w:bookmarkEnd w:id="287"/>
    <w:bookmarkEnd w:id="288"/>
    <w:bookmarkEnd w:id="289"/>
    <w:bookmarkEnd w:id="290"/>
    <w:bookmarkEnd w:id="291"/>
    <w:bookmarkEnd w:id="292"/>
    <w:p w14:paraId="12B05B3A">
      <w:pPr>
        <w:rPr>
          <w:rFonts w:hint="eastAsia" w:ascii="仿宋_GB2312" w:eastAsia="仿宋_GB2312"/>
          <w:color w:val="000000"/>
          <w:highlight w:val="none"/>
        </w:rPr>
      </w:pPr>
      <w:bookmarkStart w:id="295" w:name="_Toc8772"/>
      <w:r>
        <w:rPr>
          <w:rFonts w:hint="eastAsia" w:ascii="仿宋_GB2312" w:eastAsia="仿宋_GB2312"/>
          <w:color w:val="000000"/>
          <w:highlight w:val="none"/>
        </w:rPr>
        <w:br w:type="page"/>
      </w:r>
    </w:p>
    <w:p w14:paraId="02451647">
      <w:pPr>
        <w:pStyle w:val="2"/>
        <w:tabs>
          <w:tab w:val="left" w:pos="0"/>
        </w:tabs>
        <w:spacing w:before="0" w:after="0" w:line="240" w:lineRule="atLeast"/>
        <w:ind w:firstLine="1928" w:firstLineChars="600"/>
        <w:jc w:val="both"/>
        <w:rPr>
          <w:rFonts w:hint="eastAsia" w:ascii="仿宋_GB2312" w:eastAsia="仿宋_GB2312"/>
          <w:b w:val="0"/>
          <w:color w:val="000000"/>
          <w:szCs w:val="32"/>
          <w:highlight w:val="none"/>
        </w:rPr>
      </w:pPr>
      <w:r>
        <w:rPr>
          <w:rFonts w:hint="eastAsia" w:ascii="仿宋_GB2312" w:eastAsia="仿宋_GB2312"/>
          <w:color w:val="000000"/>
          <w:highlight w:val="none"/>
        </w:rPr>
        <w:t>第</w:t>
      </w:r>
      <w:r>
        <w:rPr>
          <w:rFonts w:hint="eastAsia" w:ascii="仿宋_GB2312" w:eastAsia="仿宋_GB2312"/>
          <w:color w:val="000000"/>
          <w:highlight w:val="none"/>
          <w:lang w:eastAsia="zh-CN"/>
        </w:rPr>
        <w:t>四</w:t>
      </w:r>
      <w:r>
        <w:rPr>
          <w:rFonts w:hint="eastAsia" w:ascii="仿宋_GB2312" w:eastAsia="仿宋_GB2312"/>
          <w:color w:val="000000"/>
          <w:highlight w:val="none"/>
        </w:rPr>
        <w:t>章投标人须知资料表</w:t>
      </w:r>
      <w:bookmarkEnd w:id="295"/>
    </w:p>
    <w:p w14:paraId="4D322710">
      <w:pPr>
        <w:spacing w:line="240" w:lineRule="atLeast"/>
        <w:ind w:firstLine="360" w:firstLineChars="150"/>
        <w:rPr>
          <w:rFonts w:ascii="仿宋_GB2312" w:eastAsia="仿宋_GB2312"/>
          <w:color w:val="000000"/>
          <w:sz w:val="24"/>
          <w:highlight w:val="none"/>
        </w:rPr>
      </w:pPr>
      <w:r>
        <w:rPr>
          <w:rFonts w:hint="eastAsia" w:ascii="仿宋_GB2312" w:eastAsia="仿宋_GB2312"/>
          <w:color w:val="000000"/>
          <w:sz w:val="24"/>
          <w:highlight w:val="none"/>
        </w:rPr>
        <w:t>本表是本</w:t>
      </w:r>
      <w:r>
        <w:rPr>
          <w:rFonts w:ascii="仿宋_GB2312" w:eastAsia="仿宋_GB2312"/>
          <w:color w:val="000000"/>
          <w:sz w:val="24"/>
          <w:highlight w:val="none"/>
        </w:rPr>
        <w:t>招标项目</w:t>
      </w:r>
      <w:r>
        <w:rPr>
          <w:rFonts w:hint="eastAsia" w:ascii="仿宋_GB2312" w:eastAsia="仿宋_GB2312"/>
          <w:color w:val="000000"/>
          <w:sz w:val="24"/>
          <w:highlight w:val="none"/>
        </w:rPr>
        <w:t>的具体资料，是对投标人须知的具体补充和修改，如有矛盾，应以本资料表为准。</w:t>
      </w:r>
    </w:p>
    <w:tbl>
      <w:tblPr>
        <w:tblStyle w:val="3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77"/>
        <w:gridCol w:w="7131"/>
      </w:tblGrid>
      <w:tr w14:paraId="472251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177" w:type="dxa"/>
            <w:noWrap w:val="0"/>
            <w:vAlign w:val="center"/>
          </w:tcPr>
          <w:p w14:paraId="1629A8BC">
            <w:pPr>
              <w:spacing w:line="240" w:lineRule="atLeast"/>
              <w:rPr>
                <w:rFonts w:ascii="仿宋_GB2312" w:eastAsia="仿宋_GB2312"/>
                <w:color w:val="000000"/>
                <w:sz w:val="24"/>
                <w:highlight w:val="none"/>
              </w:rPr>
            </w:pPr>
            <w:r>
              <w:rPr>
                <w:rFonts w:hint="eastAsia" w:ascii="仿宋_GB2312" w:eastAsia="仿宋_GB2312"/>
                <w:color w:val="000000"/>
                <w:sz w:val="24"/>
                <w:highlight w:val="none"/>
              </w:rPr>
              <w:t>条款号</w:t>
            </w:r>
          </w:p>
        </w:tc>
        <w:tc>
          <w:tcPr>
            <w:tcW w:w="7131" w:type="dxa"/>
            <w:noWrap w:val="0"/>
            <w:vAlign w:val="center"/>
          </w:tcPr>
          <w:p w14:paraId="2CBAA245">
            <w:pPr>
              <w:spacing w:line="240" w:lineRule="atLeast"/>
              <w:ind w:left="1080" w:leftChars="257" w:hanging="540"/>
              <w:rPr>
                <w:rFonts w:ascii="仿宋_GB2312" w:eastAsia="仿宋_GB2312"/>
                <w:b/>
                <w:color w:val="000000"/>
                <w:sz w:val="24"/>
                <w:highlight w:val="none"/>
              </w:rPr>
            </w:pPr>
            <w:r>
              <w:rPr>
                <w:rFonts w:hint="eastAsia" w:ascii="仿宋_GB2312" w:eastAsia="仿宋_GB2312"/>
                <w:b/>
                <w:color w:val="000000"/>
                <w:sz w:val="24"/>
                <w:highlight w:val="none"/>
              </w:rPr>
              <w:t>内容</w:t>
            </w:r>
          </w:p>
        </w:tc>
      </w:tr>
      <w:tr w14:paraId="3A74DF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42" w:hRule="atLeast"/>
        </w:trPr>
        <w:tc>
          <w:tcPr>
            <w:tcW w:w="1177" w:type="dxa"/>
            <w:noWrap w:val="0"/>
            <w:vAlign w:val="center"/>
          </w:tcPr>
          <w:p w14:paraId="203E6DF2">
            <w:pPr>
              <w:spacing w:line="240" w:lineRule="atLeast"/>
              <w:jc w:val="center"/>
              <w:rPr>
                <w:rFonts w:ascii="仿宋_GB2312" w:eastAsia="仿宋_GB2312"/>
                <w:color w:val="000000"/>
                <w:sz w:val="24"/>
                <w:highlight w:val="none"/>
              </w:rPr>
            </w:pPr>
            <w:r>
              <w:rPr>
                <w:rFonts w:ascii="仿宋_GB2312" w:eastAsia="仿宋_GB2312"/>
                <w:color w:val="000000"/>
                <w:sz w:val="24"/>
                <w:highlight w:val="none"/>
              </w:rPr>
              <w:t>1.1</w:t>
            </w:r>
          </w:p>
        </w:tc>
        <w:tc>
          <w:tcPr>
            <w:tcW w:w="7131" w:type="dxa"/>
            <w:noWrap w:val="0"/>
            <w:vAlign w:val="center"/>
          </w:tcPr>
          <w:p w14:paraId="53F7DCE0">
            <w:pPr>
              <w:spacing w:line="240" w:lineRule="auto"/>
              <w:rPr>
                <w:rFonts w:hint="eastAsia" w:ascii="仿宋_GB2312" w:eastAsia="仿宋_GB2312"/>
                <w:color w:val="000000"/>
                <w:sz w:val="24"/>
                <w:highlight w:val="none"/>
                <w:lang w:eastAsia="zh-CN"/>
              </w:rPr>
            </w:pPr>
            <w:r>
              <w:rPr>
                <w:rFonts w:hint="eastAsia" w:ascii="仿宋_GB2312" w:eastAsia="仿宋_GB2312"/>
                <w:color w:val="000000"/>
                <w:sz w:val="24"/>
                <w:highlight w:val="none"/>
              </w:rPr>
              <w:t>采购人：</w:t>
            </w:r>
            <w:r>
              <w:rPr>
                <w:rFonts w:hint="eastAsia" w:ascii="仿宋" w:hAnsi="仿宋" w:eastAsia="仿宋" w:cs="仿宋"/>
                <w:color w:val="000000"/>
                <w:sz w:val="24"/>
                <w:szCs w:val="24"/>
                <w:highlight w:val="none"/>
                <w:lang w:eastAsia="zh-CN"/>
              </w:rPr>
              <w:t>岳普湖县教育局</w:t>
            </w:r>
          </w:p>
          <w:p w14:paraId="4C46782E">
            <w:pPr>
              <w:spacing w:line="240" w:lineRule="auto"/>
              <w:rPr>
                <w:rFonts w:hint="default" w:ascii="仿宋" w:hAnsi="仿宋" w:eastAsia="仿宋" w:cs="仿宋"/>
                <w:b w:val="0"/>
                <w:bCs w:val="0"/>
                <w:color w:val="000000"/>
                <w:sz w:val="24"/>
                <w:szCs w:val="24"/>
                <w:highlight w:val="none"/>
                <w:lang w:val="en-US" w:eastAsia="zh-CN"/>
              </w:rPr>
            </w:pPr>
            <w:r>
              <w:rPr>
                <w:rFonts w:hint="eastAsia" w:ascii="仿宋_GB2312" w:eastAsia="仿宋_GB2312"/>
                <w:color w:val="000000"/>
                <w:sz w:val="24"/>
                <w:highlight w:val="none"/>
              </w:rPr>
              <w:t>联系人：</w:t>
            </w:r>
            <w:r>
              <w:rPr>
                <w:rFonts w:hint="eastAsia" w:ascii="仿宋" w:hAnsi="仿宋" w:eastAsia="仿宋" w:cs="仿宋"/>
                <w:b w:val="0"/>
                <w:bCs w:val="0"/>
                <w:color w:val="000000"/>
                <w:sz w:val="24"/>
                <w:szCs w:val="24"/>
                <w:highlight w:val="none"/>
                <w:lang w:val="en-US" w:eastAsia="zh-CN"/>
              </w:rPr>
              <w:t>王海峰</w:t>
            </w:r>
          </w:p>
          <w:p w14:paraId="28973348">
            <w:pPr>
              <w:spacing w:line="240" w:lineRule="auto"/>
              <w:rPr>
                <w:rFonts w:hint="default" w:ascii="仿宋_GB2312" w:eastAsia="仿宋_GB2312"/>
                <w:color w:val="000000"/>
                <w:sz w:val="24"/>
                <w:highlight w:val="none"/>
                <w:lang w:val="en-US"/>
              </w:rPr>
            </w:pPr>
            <w:r>
              <w:rPr>
                <w:rFonts w:hint="eastAsia" w:ascii="仿宋_GB2312" w:eastAsia="仿宋_GB2312"/>
                <w:color w:val="000000"/>
                <w:sz w:val="24"/>
                <w:highlight w:val="none"/>
              </w:rPr>
              <w:t>联系电话：</w:t>
            </w:r>
            <w:r>
              <w:rPr>
                <w:rFonts w:hint="eastAsia" w:ascii="仿宋" w:hAnsi="仿宋" w:eastAsia="仿宋" w:cs="仿宋"/>
                <w:b w:val="0"/>
                <w:bCs w:val="0"/>
                <w:color w:val="000000"/>
                <w:sz w:val="24"/>
                <w:szCs w:val="24"/>
                <w:highlight w:val="none"/>
                <w:lang w:val="en-US" w:eastAsia="zh-CN"/>
              </w:rPr>
              <w:t>18399336800</w:t>
            </w:r>
          </w:p>
        </w:tc>
      </w:tr>
      <w:tr w14:paraId="632E84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342" w:hRule="atLeast"/>
        </w:trPr>
        <w:tc>
          <w:tcPr>
            <w:tcW w:w="1177" w:type="dxa"/>
            <w:noWrap w:val="0"/>
            <w:vAlign w:val="center"/>
          </w:tcPr>
          <w:p w14:paraId="74AA2551">
            <w:pPr>
              <w:spacing w:line="240" w:lineRule="atLeast"/>
              <w:jc w:val="center"/>
              <w:rPr>
                <w:rFonts w:hint="eastAsia" w:ascii="仿宋_GB2312" w:eastAsia="仿宋_GB2312"/>
                <w:color w:val="000000"/>
                <w:sz w:val="24"/>
                <w:highlight w:val="none"/>
              </w:rPr>
            </w:pPr>
            <w:r>
              <w:rPr>
                <w:rFonts w:ascii="仿宋_GB2312" w:eastAsia="仿宋_GB2312"/>
                <w:color w:val="000000"/>
                <w:sz w:val="24"/>
                <w:highlight w:val="none"/>
              </w:rPr>
              <w:t>1.2</w:t>
            </w:r>
          </w:p>
        </w:tc>
        <w:tc>
          <w:tcPr>
            <w:tcW w:w="7131" w:type="dxa"/>
            <w:noWrap w:val="0"/>
            <w:vAlign w:val="center"/>
          </w:tcPr>
          <w:p w14:paraId="1389C2E0">
            <w:pPr>
              <w:spacing w:line="240" w:lineRule="auto"/>
              <w:rPr>
                <w:rFonts w:hint="eastAsia" w:ascii="仿宋_GB2312" w:eastAsia="仿宋_GB2312"/>
                <w:color w:val="000000"/>
                <w:sz w:val="24"/>
                <w:highlight w:val="none"/>
                <w:u w:val="single"/>
              </w:rPr>
            </w:pPr>
            <w:r>
              <w:rPr>
                <w:rFonts w:hint="eastAsia" w:ascii="仿宋_GB2312" w:eastAsia="仿宋_GB2312"/>
                <w:color w:val="000000"/>
                <w:sz w:val="24"/>
                <w:highlight w:val="none"/>
              </w:rPr>
              <w:t>采购代理机构：新疆方中圆工程项目管理有限公司</w:t>
            </w:r>
          </w:p>
          <w:p w14:paraId="66668E6E">
            <w:pPr>
              <w:spacing w:line="240" w:lineRule="auto"/>
              <w:rPr>
                <w:rFonts w:hint="eastAsia" w:ascii="仿宋_GB2312" w:eastAsia="仿宋_GB2312"/>
                <w:color w:val="000000"/>
                <w:sz w:val="24"/>
                <w:highlight w:val="none"/>
              </w:rPr>
            </w:pPr>
            <w:r>
              <w:rPr>
                <w:rFonts w:hint="eastAsia" w:ascii="仿宋_GB2312" w:eastAsia="仿宋_GB2312"/>
                <w:color w:val="000000"/>
                <w:sz w:val="24"/>
                <w:highlight w:val="none"/>
              </w:rPr>
              <w:t>地址：新疆喀什地区喀什经济开发区深喀大道总部经济区浙商大厦14楼</w:t>
            </w:r>
          </w:p>
          <w:p w14:paraId="63D298F8">
            <w:pPr>
              <w:spacing w:line="240" w:lineRule="auto"/>
              <w:rPr>
                <w:rFonts w:hint="eastAsia" w:ascii="仿宋_GB2312" w:eastAsia="仿宋_GB2312"/>
                <w:color w:val="000000"/>
                <w:sz w:val="24"/>
                <w:highlight w:val="none"/>
                <w:lang w:eastAsia="zh-CN"/>
              </w:rPr>
            </w:pPr>
            <w:r>
              <w:rPr>
                <w:rFonts w:hint="eastAsia" w:ascii="仿宋_GB2312" w:eastAsia="仿宋_GB2312"/>
                <w:color w:val="000000"/>
                <w:sz w:val="24"/>
                <w:highlight w:val="none"/>
              </w:rPr>
              <w:t>联系人：</w:t>
            </w:r>
            <w:r>
              <w:rPr>
                <w:rFonts w:hint="eastAsia" w:ascii="仿宋_GB2312" w:eastAsia="仿宋_GB2312"/>
                <w:color w:val="000000"/>
                <w:sz w:val="24"/>
                <w:highlight w:val="none"/>
                <w:lang w:eastAsia="zh-CN"/>
              </w:rPr>
              <w:t>李静</w:t>
            </w:r>
          </w:p>
          <w:p w14:paraId="477002B0">
            <w:pPr>
              <w:spacing w:line="240" w:lineRule="auto"/>
              <w:rPr>
                <w:rFonts w:hint="default" w:ascii="仿宋_GB2312" w:eastAsia="仿宋_GB2312"/>
                <w:color w:val="000000"/>
                <w:sz w:val="24"/>
                <w:highlight w:val="none"/>
                <w:lang w:val="en-US" w:eastAsia="zh-CN"/>
              </w:rPr>
            </w:pPr>
            <w:r>
              <w:rPr>
                <w:rFonts w:hint="eastAsia" w:ascii="仿宋_GB2312" w:eastAsia="仿宋_GB2312"/>
                <w:color w:val="000000"/>
                <w:sz w:val="24"/>
                <w:highlight w:val="none"/>
                <w:lang w:val="en-US" w:eastAsia="zh-CN"/>
              </w:rPr>
              <w:t>联系</w:t>
            </w:r>
            <w:r>
              <w:rPr>
                <w:rFonts w:hint="eastAsia" w:ascii="仿宋_GB2312" w:eastAsia="仿宋_GB2312"/>
                <w:color w:val="000000"/>
                <w:sz w:val="24"/>
                <w:highlight w:val="none"/>
              </w:rPr>
              <w:t>电话：</w:t>
            </w:r>
            <w:r>
              <w:rPr>
                <w:rFonts w:hint="eastAsia" w:ascii="仿宋_GB2312" w:eastAsia="仿宋_GB2312"/>
                <w:color w:val="000000"/>
                <w:sz w:val="24"/>
                <w:highlight w:val="none"/>
                <w:lang w:val="en-US" w:eastAsia="zh-CN"/>
              </w:rPr>
              <w:t>18399127016</w:t>
            </w:r>
          </w:p>
        </w:tc>
      </w:tr>
      <w:tr w14:paraId="5D11A3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42" w:hRule="atLeast"/>
        </w:trPr>
        <w:tc>
          <w:tcPr>
            <w:tcW w:w="1177" w:type="dxa"/>
            <w:noWrap w:val="0"/>
            <w:vAlign w:val="center"/>
          </w:tcPr>
          <w:p w14:paraId="511E65BC">
            <w:pPr>
              <w:spacing w:line="240" w:lineRule="atLeast"/>
              <w:jc w:val="center"/>
              <w:rPr>
                <w:rFonts w:hint="eastAsia" w:ascii="仿宋_GB2312" w:eastAsia="仿宋_GB2312"/>
                <w:color w:val="000000"/>
                <w:sz w:val="24"/>
                <w:highlight w:val="none"/>
              </w:rPr>
            </w:pPr>
            <w:r>
              <w:rPr>
                <w:rFonts w:hint="eastAsia" w:ascii="仿宋_GB2312" w:eastAsia="仿宋_GB2312"/>
                <w:color w:val="000000"/>
                <w:sz w:val="24"/>
                <w:highlight w:val="none"/>
              </w:rPr>
              <w:t>1.3.1</w:t>
            </w:r>
          </w:p>
        </w:tc>
        <w:tc>
          <w:tcPr>
            <w:tcW w:w="7131" w:type="dxa"/>
            <w:noWrap w:val="0"/>
            <w:vAlign w:val="center"/>
          </w:tcPr>
          <w:p w14:paraId="0146E251">
            <w:pPr>
              <w:spacing w:line="240" w:lineRule="auto"/>
              <w:rPr>
                <w:rFonts w:hint="eastAsia" w:ascii="仿宋_GB2312" w:eastAsia="仿宋_GB2312"/>
                <w:color w:val="000000"/>
                <w:sz w:val="24"/>
                <w:highlight w:val="none"/>
              </w:rPr>
            </w:pPr>
            <w:r>
              <w:rPr>
                <w:rFonts w:hint="eastAsia" w:ascii="仿宋_GB2312" w:eastAsia="仿宋_GB2312"/>
                <w:color w:val="000000"/>
                <w:sz w:val="24"/>
                <w:highlight w:val="none"/>
              </w:rPr>
              <w:t>合格投标人的其他资格要求：</w:t>
            </w:r>
          </w:p>
          <w:p w14:paraId="0F6DDB08">
            <w:pPr>
              <w:spacing w:line="240" w:lineRule="auto"/>
              <w:rPr>
                <w:rFonts w:hint="eastAsia" w:ascii="仿宋_GB2312" w:eastAsia="仿宋_GB2312"/>
                <w:color w:val="000000"/>
                <w:sz w:val="24"/>
                <w:highlight w:val="none"/>
              </w:rPr>
            </w:pPr>
            <w:r>
              <w:rPr>
                <w:rFonts w:hint="eastAsia" w:ascii="仿宋_GB2312" w:eastAsia="仿宋_GB2312"/>
                <w:color w:val="000000"/>
                <w:sz w:val="24"/>
                <w:highlight w:val="none"/>
              </w:rPr>
              <w:t>1、投标人必须符合《中华人民共和国政府采购法》第二十二条的相关规定；</w:t>
            </w:r>
          </w:p>
          <w:p w14:paraId="52D652C6">
            <w:pPr>
              <w:spacing w:line="240" w:lineRule="auto"/>
              <w:rPr>
                <w:rFonts w:hint="eastAsia" w:ascii="仿宋_GB2312" w:hAnsi="Calibri" w:eastAsia="仿宋_GB2312" w:cs="Times New Roman"/>
                <w:color w:val="000000"/>
                <w:sz w:val="24"/>
                <w:highlight w:val="none"/>
                <w:lang w:val="zh-CN" w:eastAsia="zh-CN"/>
              </w:rPr>
            </w:pPr>
            <w:r>
              <w:rPr>
                <w:rFonts w:hint="eastAsia" w:ascii="仿宋_GB2312" w:hAnsi="Calibri" w:eastAsia="仿宋_GB2312" w:cs="Times New Roman"/>
                <w:color w:val="000000"/>
                <w:sz w:val="24"/>
                <w:highlight w:val="none"/>
                <w:lang w:val="zh-CN" w:eastAsia="zh-CN"/>
              </w:rPr>
              <w:t>（1）法人或者其他组织的营业执照等证明文件；</w:t>
            </w:r>
          </w:p>
          <w:p w14:paraId="26A36DE9">
            <w:pPr>
              <w:spacing w:line="240" w:lineRule="auto"/>
              <w:rPr>
                <w:rFonts w:hint="eastAsia" w:ascii="仿宋_GB2312" w:hAnsi="Calibri" w:eastAsia="仿宋_GB2312" w:cs="Times New Roman"/>
                <w:color w:val="000000"/>
                <w:sz w:val="24"/>
                <w:highlight w:val="none"/>
                <w:lang w:val="zh-CN" w:eastAsia="zh-CN"/>
              </w:rPr>
            </w:pPr>
            <w:r>
              <w:rPr>
                <w:rFonts w:hint="eastAsia" w:ascii="仿宋_GB2312" w:hAnsi="Calibri" w:eastAsia="仿宋_GB2312" w:cs="Times New Roman"/>
                <w:color w:val="000000"/>
                <w:sz w:val="24"/>
                <w:highlight w:val="none"/>
                <w:lang w:val="zh-CN" w:eastAsia="zh-CN"/>
              </w:rPr>
              <w:t>（2）法定代表人授权书及被委托人身份证扫描件(法定代表人投标提供法定代表人身份证明及身份证扫描件)；</w:t>
            </w:r>
          </w:p>
          <w:p w14:paraId="5FB040CF">
            <w:pPr>
              <w:spacing w:line="240" w:lineRule="auto"/>
              <w:rPr>
                <w:rFonts w:hint="eastAsia" w:ascii="仿宋_GB2312" w:hAnsi="Calibri" w:eastAsia="仿宋_GB2312" w:cs="Times New Roman"/>
                <w:color w:val="000000"/>
                <w:sz w:val="24"/>
                <w:highlight w:val="none"/>
                <w:lang w:val="zh-CN" w:eastAsia="zh-CN"/>
              </w:rPr>
            </w:pPr>
            <w:r>
              <w:rPr>
                <w:rFonts w:hint="eastAsia" w:ascii="仿宋_GB2312" w:hAnsi="Calibri" w:eastAsia="仿宋_GB2312" w:cs="Times New Roman"/>
                <w:color w:val="000000"/>
                <w:sz w:val="24"/>
                <w:highlight w:val="none"/>
                <w:lang w:val="zh-CN" w:eastAsia="zh-CN"/>
              </w:rPr>
              <w:t>（3）投标人提供依法缴纳的近三个月的社保缴纳记录</w:t>
            </w:r>
          </w:p>
          <w:p w14:paraId="1C27A77F">
            <w:pPr>
              <w:spacing w:line="240" w:lineRule="auto"/>
              <w:rPr>
                <w:rFonts w:hint="eastAsia" w:ascii="仿宋_GB2312" w:hAnsi="Calibri" w:eastAsia="仿宋_GB2312" w:cs="Times New Roman"/>
                <w:color w:val="000000"/>
                <w:sz w:val="24"/>
                <w:highlight w:val="none"/>
                <w:lang w:val="zh-CN" w:eastAsia="zh-CN"/>
              </w:rPr>
            </w:pPr>
            <w:r>
              <w:rPr>
                <w:rFonts w:hint="eastAsia" w:ascii="仿宋_GB2312" w:hAnsi="Calibri" w:eastAsia="仿宋_GB2312" w:cs="Times New Roman"/>
                <w:color w:val="000000"/>
                <w:sz w:val="24"/>
                <w:highlight w:val="none"/>
                <w:lang w:val="zh-CN" w:eastAsia="zh-CN"/>
              </w:rPr>
              <w:t>（</w:t>
            </w:r>
            <w:r>
              <w:rPr>
                <w:rFonts w:hint="eastAsia" w:ascii="仿宋_GB2312" w:hAnsi="Calibri" w:eastAsia="仿宋_GB2312" w:cs="Times New Roman"/>
                <w:color w:val="000000"/>
                <w:sz w:val="24"/>
                <w:highlight w:val="none"/>
                <w:lang w:val="en-US" w:eastAsia="zh-CN"/>
              </w:rPr>
              <w:t>4</w:t>
            </w:r>
            <w:r>
              <w:rPr>
                <w:rFonts w:hint="eastAsia" w:ascii="仿宋_GB2312" w:hAnsi="Calibri" w:eastAsia="仿宋_GB2312" w:cs="Times New Roman"/>
                <w:color w:val="000000"/>
                <w:sz w:val="24"/>
                <w:highlight w:val="none"/>
                <w:lang w:val="zh-CN" w:eastAsia="zh-CN"/>
              </w:rPr>
              <w:t>）</w:t>
            </w:r>
            <w:r>
              <w:rPr>
                <w:rFonts w:hint="eastAsia" w:ascii="仿宋_GB2312" w:hAnsi="Calibri" w:eastAsia="仿宋_GB2312" w:cs="Times New Roman"/>
                <w:color w:val="000000"/>
                <w:sz w:val="24"/>
                <w:highlight w:val="none"/>
                <w:lang w:val="en-US" w:eastAsia="zh-CN"/>
              </w:rPr>
              <w:t>投标人提供近三个月</w:t>
            </w:r>
            <w:r>
              <w:rPr>
                <w:rFonts w:hint="eastAsia" w:ascii="仿宋_GB2312" w:hAnsi="Calibri" w:eastAsia="仿宋_GB2312" w:cs="Times New Roman"/>
                <w:color w:val="000000"/>
                <w:sz w:val="24"/>
                <w:highlight w:val="none"/>
                <w:lang w:val="zh-CN" w:eastAsia="zh-CN"/>
              </w:rPr>
              <w:t>的税收良好记录证明(完税证明或税务部门出具的其他证明，非社会保险类)；</w:t>
            </w:r>
          </w:p>
          <w:p w14:paraId="1FD409B8">
            <w:pPr>
              <w:spacing w:line="240" w:lineRule="auto"/>
              <w:rPr>
                <w:rFonts w:hint="eastAsia" w:ascii="仿宋_GB2312" w:hAnsi="Calibri" w:eastAsia="仿宋_GB2312" w:cs="Times New Roman"/>
                <w:color w:val="000000"/>
                <w:sz w:val="24"/>
                <w:highlight w:val="none"/>
                <w:lang w:val="zh-CN" w:eastAsia="zh-CN"/>
              </w:rPr>
            </w:pPr>
            <w:r>
              <w:rPr>
                <w:rFonts w:hint="eastAsia" w:ascii="仿宋_GB2312" w:hAnsi="Calibri" w:eastAsia="仿宋_GB2312" w:cs="Times New Roman"/>
                <w:color w:val="000000"/>
                <w:sz w:val="24"/>
                <w:highlight w:val="none"/>
                <w:lang w:val="zh-CN" w:eastAsia="zh-CN"/>
              </w:rPr>
              <w:t>（</w:t>
            </w:r>
            <w:r>
              <w:rPr>
                <w:rFonts w:hint="eastAsia" w:ascii="仿宋_GB2312" w:hAnsi="Calibri" w:eastAsia="仿宋_GB2312" w:cs="Times New Roman"/>
                <w:color w:val="000000"/>
                <w:sz w:val="24"/>
                <w:highlight w:val="none"/>
                <w:lang w:val="en-US" w:eastAsia="zh-CN"/>
              </w:rPr>
              <w:t>5</w:t>
            </w:r>
            <w:r>
              <w:rPr>
                <w:rFonts w:hint="eastAsia" w:ascii="仿宋_GB2312" w:hAnsi="Calibri" w:eastAsia="仿宋_GB2312" w:cs="Times New Roman"/>
                <w:color w:val="000000"/>
                <w:sz w:val="24"/>
                <w:highlight w:val="none"/>
                <w:lang w:val="zh-CN" w:eastAsia="zh-CN"/>
              </w:rPr>
              <w:t>）具有2024年度财务审计报告(新成立公司提供开标前六个月内任意一个月有效银行资信证明)；</w:t>
            </w:r>
          </w:p>
          <w:p w14:paraId="09D013CD">
            <w:pPr>
              <w:spacing w:line="240" w:lineRule="auto"/>
              <w:rPr>
                <w:rFonts w:hint="eastAsia" w:ascii="仿宋_GB2312" w:hAnsi="Calibri" w:eastAsia="仿宋_GB2312" w:cs="Times New Roman"/>
                <w:color w:val="000000"/>
                <w:sz w:val="24"/>
                <w:highlight w:val="none"/>
                <w:lang w:val="zh-CN" w:eastAsia="zh-CN"/>
              </w:rPr>
            </w:pPr>
            <w:r>
              <w:rPr>
                <w:rFonts w:hint="eastAsia" w:ascii="仿宋_GB2312" w:hAnsi="Calibri" w:eastAsia="仿宋_GB2312" w:cs="Times New Roman"/>
                <w:color w:val="000000"/>
                <w:sz w:val="24"/>
                <w:highlight w:val="none"/>
                <w:lang w:val="zh-CN" w:eastAsia="zh-CN"/>
              </w:rPr>
              <w:t>（</w:t>
            </w:r>
            <w:r>
              <w:rPr>
                <w:rFonts w:hint="eastAsia" w:ascii="仿宋_GB2312" w:hAnsi="Calibri" w:eastAsia="仿宋_GB2312" w:cs="Times New Roman"/>
                <w:color w:val="000000"/>
                <w:sz w:val="24"/>
                <w:highlight w:val="none"/>
                <w:lang w:val="en-US" w:eastAsia="zh-CN"/>
              </w:rPr>
              <w:t>6</w:t>
            </w:r>
            <w:r>
              <w:rPr>
                <w:rFonts w:hint="eastAsia" w:ascii="仿宋_GB2312" w:hAnsi="Calibri" w:eastAsia="仿宋_GB2312" w:cs="Times New Roman"/>
                <w:color w:val="000000"/>
                <w:sz w:val="24"/>
                <w:highlight w:val="none"/>
                <w:lang w:val="zh-CN" w:eastAsia="zh-CN"/>
              </w:rPr>
              <w:t>）投标单位在“信用中国”(www.creditchina.gov.cn)网站上未列入重大税收违法失信主体、严重失信主体名单查询，在中国政府采购网(www.ccgp.gov.cn)网站上未列入政府采购严重违法失信行为记录名单;(以资格审查小组于递交投标文件截至当天在“信用中国”(www.creditchina.gov.cn)和中国政府采购网(www.ccgp.gov.cn)网站查询结果为准)。</w:t>
            </w:r>
          </w:p>
          <w:p w14:paraId="704C6530">
            <w:pPr>
              <w:spacing w:line="240" w:lineRule="auto"/>
              <w:rPr>
                <w:rFonts w:hint="eastAsia" w:ascii="仿宋_GB2312" w:hAnsi="Calibri" w:eastAsia="仿宋_GB2312" w:cs="Times New Roman"/>
                <w:color w:val="000000"/>
                <w:sz w:val="24"/>
                <w:highlight w:val="none"/>
                <w:lang w:val="zh-CN" w:eastAsia="zh-CN"/>
              </w:rPr>
            </w:pPr>
            <w:r>
              <w:rPr>
                <w:rFonts w:hint="eastAsia" w:ascii="仿宋_GB2312" w:hAnsi="Calibri" w:eastAsia="仿宋_GB2312" w:cs="Times New Roman"/>
                <w:color w:val="000000"/>
                <w:sz w:val="24"/>
                <w:highlight w:val="none"/>
                <w:lang w:val="zh-CN" w:eastAsia="zh-CN"/>
              </w:rPr>
              <w:t>（</w:t>
            </w:r>
            <w:r>
              <w:rPr>
                <w:rFonts w:hint="eastAsia" w:ascii="仿宋_GB2312" w:hAnsi="Calibri" w:eastAsia="仿宋_GB2312" w:cs="Times New Roman"/>
                <w:color w:val="000000"/>
                <w:sz w:val="24"/>
                <w:highlight w:val="none"/>
                <w:lang w:val="en-US" w:eastAsia="zh-CN"/>
              </w:rPr>
              <w:t>7</w:t>
            </w:r>
            <w:r>
              <w:rPr>
                <w:rFonts w:hint="eastAsia" w:ascii="仿宋_GB2312" w:hAnsi="Calibri" w:eastAsia="仿宋_GB2312" w:cs="Times New Roman"/>
                <w:color w:val="000000"/>
                <w:sz w:val="24"/>
                <w:highlight w:val="none"/>
                <w:lang w:val="zh-CN" w:eastAsia="zh-CN"/>
              </w:rPr>
              <w:t>）投标人提供针对本次项目《反商业贿赂承诺书》；</w:t>
            </w:r>
          </w:p>
          <w:p w14:paraId="5070418A">
            <w:pPr>
              <w:spacing w:line="240" w:lineRule="auto"/>
              <w:rPr>
                <w:rFonts w:hint="eastAsia" w:ascii="仿宋_GB2312" w:hAnsi="Calibri" w:eastAsia="仿宋_GB2312" w:cs="Times New Roman"/>
                <w:color w:val="000000"/>
                <w:sz w:val="24"/>
                <w:highlight w:val="none"/>
                <w:lang w:val="en-US" w:eastAsia="zh-CN"/>
              </w:rPr>
            </w:pPr>
            <w:r>
              <w:rPr>
                <w:rFonts w:hint="eastAsia" w:ascii="仿宋_GB2312" w:hAnsi="Calibri" w:eastAsia="仿宋_GB2312" w:cs="Times New Roman"/>
                <w:color w:val="000000"/>
                <w:sz w:val="24"/>
                <w:highlight w:val="none"/>
                <w:lang w:val="zh-CN" w:eastAsia="zh-CN"/>
              </w:rPr>
              <w:t>（</w:t>
            </w:r>
            <w:r>
              <w:rPr>
                <w:rFonts w:hint="eastAsia" w:ascii="仿宋_GB2312" w:hAnsi="Calibri" w:eastAsia="仿宋_GB2312" w:cs="Times New Roman"/>
                <w:color w:val="000000"/>
                <w:sz w:val="24"/>
                <w:highlight w:val="none"/>
                <w:lang w:val="en-US" w:eastAsia="zh-CN"/>
              </w:rPr>
              <w:t>8</w:t>
            </w:r>
            <w:r>
              <w:rPr>
                <w:rFonts w:hint="eastAsia" w:ascii="仿宋_GB2312" w:hAnsi="Calibri" w:eastAsia="仿宋_GB2312" w:cs="Times New Roman"/>
                <w:color w:val="000000"/>
                <w:sz w:val="24"/>
                <w:highlight w:val="none"/>
                <w:lang w:val="zh-CN" w:eastAsia="zh-CN"/>
              </w:rPr>
              <w:t>）</w:t>
            </w:r>
            <w:r>
              <w:rPr>
                <w:rFonts w:hint="eastAsia" w:ascii="仿宋_GB2312" w:hAnsi="Calibri" w:eastAsia="仿宋_GB2312" w:cs="Times New Roman"/>
                <w:color w:val="000000"/>
                <w:sz w:val="24"/>
                <w:highlight w:val="none"/>
                <w:lang w:val="en-US" w:eastAsia="zh-CN"/>
              </w:rPr>
              <w:t>投标人参加政府采购活动前3年内在经营活动中没有重大违法违规记录的书面声明；</w:t>
            </w:r>
          </w:p>
          <w:p w14:paraId="480F20FF">
            <w:pPr>
              <w:spacing w:line="240" w:lineRule="auto"/>
              <w:rPr>
                <w:rFonts w:hint="eastAsia" w:ascii="仿宋_GB2312" w:hAnsi="Calibri" w:eastAsia="仿宋_GB2312" w:cs="Times New Roman"/>
                <w:color w:val="000000"/>
                <w:sz w:val="24"/>
                <w:highlight w:val="none"/>
                <w:lang w:val="zh-CN" w:eastAsia="zh-CN"/>
              </w:rPr>
            </w:pPr>
            <w:r>
              <w:rPr>
                <w:rFonts w:hint="eastAsia" w:ascii="仿宋_GB2312" w:hAnsi="Calibri" w:eastAsia="仿宋_GB2312" w:cs="Times New Roman"/>
                <w:color w:val="000000"/>
                <w:sz w:val="24"/>
                <w:highlight w:val="none"/>
                <w:lang w:val="zh-CN" w:eastAsia="zh-CN"/>
              </w:rPr>
              <w:t>（</w:t>
            </w:r>
            <w:r>
              <w:rPr>
                <w:rFonts w:hint="eastAsia" w:ascii="仿宋_GB2312" w:hAnsi="Calibri" w:eastAsia="仿宋_GB2312" w:cs="Times New Roman"/>
                <w:color w:val="000000"/>
                <w:sz w:val="24"/>
                <w:highlight w:val="none"/>
                <w:lang w:val="en-US" w:eastAsia="zh-CN"/>
              </w:rPr>
              <w:t>9</w:t>
            </w:r>
            <w:r>
              <w:rPr>
                <w:rFonts w:hint="eastAsia" w:ascii="仿宋_GB2312" w:hAnsi="Calibri" w:eastAsia="仿宋_GB2312" w:cs="Times New Roman"/>
                <w:color w:val="000000"/>
                <w:sz w:val="24"/>
                <w:highlight w:val="none"/>
                <w:lang w:val="zh-CN" w:eastAsia="zh-CN"/>
              </w:rPr>
              <w:t>）保证金</w:t>
            </w:r>
            <w:r>
              <w:rPr>
                <w:rFonts w:hint="eastAsia" w:ascii="仿宋_GB2312" w:hAnsi="Calibri" w:eastAsia="仿宋_GB2312" w:cs="Times New Roman"/>
                <w:color w:val="000000"/>
                <w:sz w:val="24"/>
                <w:highlight w:val="none"/>
                <w:lang w:val="en-US" w:eastAsia="zh-CN"/>
              </w:rPr>
              <w:t>缴纳的</w:t>
            </w:r>
            <w:r>
              <w:rPr>
                <w:rFonts w:hint="eastAsia" w:ascii="仿宋_GB2312" w:hAnsi="Calibri" w:eastAsia="仿宋_GB2312" w:cs="Times New Roman"/>
                <w:color w:val="000000"/>
                <w:sz w:val="24"/>
                <w:highlight w:val="none"/>
                <w:lang w:val="zh-CN" w:eastAsia="zh-CN"/>
              </w:rPr>
              <w:t>有效凭证</w:t>
            </w:r>
            <w:r>
              <w:rPr>
                <w:rFonts w:hint="eastAsia" w:ascii="仿宋_GB2312" w:hAnsi="Calibri" w:eastAsia="仿宋_GB2312" w:cs="Times New Roman"/>
                <w:color w:val="000000"/>
                <w:sz w:val="24"/>
                <w:highlight w:val="none"/>
                <w:lang w:val="en-US" w:eastAsia="zh-CN"/>
              </w:rPr>
              <w:t>；</w:t>
            </w:r>
          </w:p>
          <w:p w14:paraId="41D2C2DD">
            <w:pPr>
              <w:spacing w:line="240" w:lineRule="auto"/>
              <w:rPr>
                <w:rFonts w:hint="eastAsia" w:ascii="仿宋_GB2312" w:hAnsi="Calibri" w:eastAsia="仿宋_GB2312" w:cs="Times New Roman"/>
                <w:color w:val="000000"/>
                <w:sz w:val="24"/>
                <w:highlight w:val="none"/>
                <w:lang w:val="zh-CN" w:eastAsia="zh-CN"/>
              </w:rPr>
            </w:pPr>
            <w:r>
              <w:rPr>
                <w:rFonts w:hint="eastAsia" w:ascii="仿宋_GB2312" w:hAnsi="Calibri" w:eastAsia="仿宋_GB2312" w:cs="Times New Roman"/>
                <w:color w:val="000000"/>
                <w:sz w:val="24"/>
                <w:highlight w:val="none"/>
                <w:lang w:val="zh-CN" w:eastAsia="zh-CN"/>
              </w:rPr>
              <w:t>（</w:t>
            </w:r>
            <w:r>
              <w:rPr>
                <w:rFonts w:hint="eastAsia" w:ascii="仿宋_GB2312" w:hAnsi="Calibri" w:eastAsia="仿宋_GB2312" w:cs="Times New Roman"/>
                <w:color w:val="000000"/>
                <w:sz w:val="24"/>
                <w:highlight w:val="none"/>
                <w:lang w:val="en-US" w:eastAsia="zh-CN"/>
              </w:rPr>
              <w:t>11</w:t>
            </w:r>
            <w:r>
              <w:rPr>
                <w:rFonts w:hint="eastAsia" w:ascii="仿宋_GB2312" w:hAnsi="Calibri" w:eastAsia="仿宋_GB2312" w:cs="Times New Roman"/>
                <w:color w:val="000000"/>
                <w:sz w:val="24"/>
                <w:highlight w:val="none"/>
                <w:lang w:val="zh-CN" w:eastAsia="zh-CN"/>
              </w:rPr>
              <w:t>）</w:t>
            </w:r>
            <w:r>
              <w:rPr>
                <w:rFonts w:hint="eastAsia" w:ascii="仿宋" w:hAnsi="仿宋" w:eastAsia="仿宋" w:cs="仿宋"/>
                <w:b/>
                <w:bCs/>
                <w:color w:val="000000"/>
                <w:sz w:val="24"/>
                <w:szCs w:val="24"/>
                <w:highlight w:val="none"/>
                <w:lang w:val="en-US" w:eastAsia="zh-CN"/>
              </w:rPr>
              <w:t>提供有效的《食品经营许可证》或《食品生产许可证》</w:t>
            </w:r>
          </w:p>
        </w:tc>
      </w:tr>
      <w:tr w14:paraId="627210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1" w:hRule="atLeast"/>
        </w:trPr>
        <w:tc>
          <w:tcPr>
            <w:tcW w:w="1177" w:type="dxa"/>
            <w:noWrap w:val="0"/>
            <w:vAlign w:val="center"/>
          </w:tcPr>
          <w:p w14:paraId="1CF918BF">
            <w:pPr>
              <w:spacing w:line="240" w:lineRule="atLeast"/>
              <w:ind w:left="269" w:leftChars="128"/>
              <w:rPr>
                <w:rFonts w:hint="eastAsia" w:ascii="仿宋_GB2312" w:eastAsia="仿宋_GB2312"/>
                <w:color w:val="000000"/>
                <w:sz w:val="24"/>
                <w:highlight w:val="none"/>
              </w:rPr>
            </w:pPr>
            <w:r>
              <w:rPr>
                <w:rFonts w:hint="eastAsia" w:ascii="仿宋" w:hAnsi="仿宋" w:eastAsia="仿宋" w:cs="仿宋"/>
                <w:color w:val="000000"/>
                <w:sz w:val="24"/>
                <w:highlight w:val="none"/>
              </w:rPr>
              <w:t>1.3.</w:t>
            </w:r>
            <w:r>
              <w:rPr>
                <w:rFonts w:hint="eastAsia" w:ascii="仿宋" w:hAnsi="仿宋" w:eastAsia="仿宋" w:cs="仿宋"/>
                <w:color w:val="000000"/>
                <w:sz w:val="24"/>
                <w:highlight w:val="none"/>
                <w:lang w:val="en-US" w:eastAsia="zh-CN"/>
              </w:rPr>
              <w:t>5</w:t>
            </w:r>
          </w:p>
        </w:tc>
        <w:tc>
          <w:tcPr>
            <w:tcW w:w="7131" w:type="dxa"/>
            <w:noWrap w:val="0"/>
            <w:vAlign w:val="center"/>
          </w:tcPr>
          <w:p w14:paraId="1A5FBF96">
            <w:pPr>
              <w:spacing w:line="240" w:lineRule="atLeast"/>
              <w:rPr>
                <w:rFonts w:hint="eastAsia" w:ascii="仿宋_GB2312" w:eastAsia="仿宋_GB2312"/>
                <w:color w:val="000000"/>
                <w:sz w:val="24"/>
                <w:highlight w:val="none"/>
              </w:rPr>
            </w:pPr>
            <w:r>
              <w:rPr>
                <w:rFonts w:hint="eastAsia" w:ascii="仿宋_GB2312" w:hAnsi="宋体" w:eastAsia="仿宋_GB2312"/>
                <w:color w:val="000000"/>
                <w:sz w:val="24"/>
                <w:highlight w:val="none"/>
              </w:rPr>
              <w:t>是否允许采购进口产品：</w:t>
            </w:r>
            <w:r>
              <w:rPr>
                <w:rFonts w:hint="eastAsia" w:ascii="仿宋_GB2312" w:hAnsi="宋体" w:eastAsia="仿宋_GB2312"/>
                <w:color w:val="000000"/>
                <w:sz w:val="24"/>
                <w:highlight w:val="none"/>
                <w:u w:val="single"/>
                <w:lang w:val="en-US" w:eastAsia="zh-CN"/>
              </w:rPr>
              <w:t>否</w:t>
            </w:r>
            <w:r>
              <w:rPr>
                <w:rFonts w:hint="eastAsia" w:ascii="仿宋_GB2312" w:hAnsi="宋体" w:eastAsia="仿宋_GB2312"/>
                <w:i/>
                <w:color w:val="000000"/>
                <w:sz w:val="24"/>
                <w:highlight w:val="none"/>
              </w:rPr>
              <w:t>（是、否）</w:t>
            </w:r>
          </w:p>
        </w:tc>
      </w:tr>
      <w:tr w14:paraId="278C8A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97" w:hRule="atLeast"/>
        </w:trPr>
        <w:tc>
          <w:tcPr>
            <w:tcW w:w="1177" w:type="dxa"/>
            <w:noWrap w:val="0"/>
            <w:vAlign w:val="center"/>
          </w:tcPr>
          <w:p w14:paraId="26A229B7">
            <w:pPr>
              <w:spacing w:line="240" w:lineRule="atLeast"/>
              <w:ind w:left="269" w:leftChars="128"/>
              <w:rPr>
                <w:rFonts w:hint="eastAsia" w:ascii="仿宋_GB2312" w:eastAsia="仿宋_GB2312"/>
                <w:color w:val="000000"/>
                <w:sz w:val="24"/>
                <w:highlight w:val="none"/>
              </w:rPr>
            </w:pPr>
            <w:r>
              <w:rPr>
                <w:rFonts w:hint="eastAsia" w:ascii="仿宋" w:hAnsi="仿宋" w:eastAsia="仿宋" w:cs="仿宋"/>
                <w:color w:val="000000"/>
                <w:sz w:val="24"/>
                <w:highlight w:val="none"/>
              </w:rPr>
              <w:t>1.</w:t>
            </w:r>
            <w:r>
              <w:rPr>
                <w:rFonts w:hint="eastAsia" w:ascii="仿宋" w:hAnsi="仿宋" w:eastAsia="仿宋" w:cs="仿宋"/>
                <w:color w:val="000000"/>
                <w:sz w:val="24"/>
                <w:highlight w:val="none"/>
                <w:lang w:val="en-US" w:eastAsia="zh-CN"/>
              </w:rPr>
              <w:t>3</w:t>
            </w: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6</w:t>
            </w:r>
          </w:p>
        </w:tc>
        <w:tc>
          <w:tcPr>
            <w:tcW w:w="7131" w:type="dxa"/>
            <w:noWrap w:val="0"/>
            <w:vAlign w:val="center"/>
          </w:tcPr>
          <w:p w14:paraId="43B373A6">
            <w:pPr>
              <w:spacing w:line="240" w:lineRule="atLeast"/>
              <w:rPr>
                <w:rFonts w:hint="eastAsia" w:ascii="仿宋_GB2312" w:eastAsia="仿宋_GB2312"/>
                <w:color w:val="000000"/>
                <w:sz w:val="24"/>
                <w:highlight w:val="none"/>
              </w:rPr>
            </w:pPr>
            <w:r>
              <w:rPr>
                <w:rFonts w:hint="eastAsia" w:ascii="仿宋_GB2312" w:eastAsia="仿宋_GB2312"/>
                <w:b/>
                <w:bCs/>
                <w:color w:val="000000"/>
                <w:sz w:val="24"/>
                <w:highlight w:val="none"/>
              </w:rPr>
              <w:t>是否为专门面向中小企业采购：</w:t>
            </w:r>
            <w:r>
              <w:rPr>
                <w:rFonts w:hint="eastAsia" w:ascii="仿宋_GB2312" w:eastAsia="仿宋_GB2312"/>
                <w:b/>
                <w:bCs/>
                <w:color w:val="000000"/>
                <w:sz w:val="24"/>
                <w:highlight w:val="none"/>
                <w:lang w:val="en-US" w:eastAsia="zh-CN"/>
              </w:rPr>
              <w:t>否</w:t>
            </w:r>
            <w:r>
              <w:rPr>
                <w:rFonts w:hint="eastAsia" w:ascii="仿宋_GB2312" w:eastAsia="仿宋_GB2312"/>
                <w:b/>
                <w:bCs/>
                <w:color w:val="000000"/>
                <w:sz w:val="24"/>
                <w:highlight w:val="none"/>
              </w:rPr>
              <w:t>（是、否）</w:t>
            </w:r>
          </w:p>
          <w:p w14:paraId="29876361">
            <w:pPr>
              <w:spacing w:line="240" w:lineRule="atLeast"/>
              <w:rPr>
                <w:rFonts w:hint="eastAsia" w:ascii="仿宋_GB2312" w:eastAsia="仿宋_GB2312"/>
                <w:color w:val="000000"/>
                <w:sz w:val="24"/>
                <w:highlight w:val="none"/>
              </w:rPr>
            </w:pPr>
            <w:r>
              <w:rPr>
                <w:rFonts w:hint="eastAsia" w:ascii="仿宋_GB2312" w:eastAsia="仿宋_GB2312"/>
                <w:color w:val="000000"/>
                <w:sz w:val="24"/>
                <w:highlight w:val="none"/>
              </w:rPr>
              <w:t>根据《政府采购促进中小企业发展管理办法》（财库[2020]46号）、《财政部司法部关于政府采购支持监狱企业发展有关问题的通知》（财库〔2014〕68号）和《</w:t>
            </w:r>
            <w:r>
              <w:rPr>
                <w:rFonts w:hint="eastAsia" w:ascii="仿宋_GB2312" w:eastAsia="仿宋_GB2312"/>
                <w:color w:val="000000"/>
                <w:sz w:val="24"/>
                <w:highlight w:val="none"/>
                <w:lang w:val="en-US" w:eastAsia="zh-CN"/>
              </w:rPr>
              <w:t>财政部、民政部、中国残疾人联合会关于促进残疾人就业政府采购政策的通知</w:t>
            </w:r>
            <w:r>
              <w:rPr>
                <w:rFonts w:hint="eastAsia" w:ascii="仿宋_GB2312" w:eastAsia="仿宋_GB2312"/>
                <w:color w:val="000000"/>
                <w:sz w:val="24"/>
                <w:highlight w:val="none"/>
              </w:rPr>
              <w:t>》（财库〔2017〕141号）、《关于落实好政府采购支持中小企业发展的通知》（新财购〔2022〕22号）的规定，对满足价格扣除条件且在响应文件中提交了《中小企业声明函》、《残疾人福利性单位声明函》或省级以上监狱管理局、戒毒管理局（含新疆生产建设兵团）出具的属于监狱企业，其投标报价扣除10%后参与评审。对于同时属于小微企业、监狱企业残疾人福利性单位的，不重复进行投标报价扣除。</w:t>
            </w:r>
          </w:p>
          <w:p w14:paraId="0677CB1D">
            <w:pPr>
              <w:spacing w:line="240" w:lineRule="atLeast"/>
              <w:rPr>
                <w:rFonts w:hint="eastAsia" w:ascii="仿宋_GB2312" w:eastAsia="仿宋_GB2312"/>
                <w:color w:val="000000"/>
                <w:sz w:val="24"/>
                <w:highlight w:val="none"/>
              </w:rPr>
            </w:pPr>
            <w:r>
              <w:rPr>
                <w:rFonts w:hint="eastAsia" w:ascii="仿宋_GB2312" w:eastAsia="仿宋_GB2312"/>
                <w:color w:val="000000"/>
                <w:sz w:val="24"/>
                <w:highlight w:val="none"/>
                <w:lang w:val="en-US" w:eastAsia="zh-CN"/>
              </w:rPr>
              <w:t>符合价格扣除条件的</w:t>
            </w:r>
            <w:r>
              <w:rPr>
                <w:rFonts w:hint="eastAsia" w:ascii="仿宋_GB2312" w:eastAsia="仿宋_GB2312"/>
                <w:color w:val="000000"/>
                <w:sz w:val="24"/>
                <w:highlight w:val="none"/>
              </w:rPr>
              <w:t>，请在响应文件中提供“中小企业声明函”，如果未提供或提供虛假的“中小企业声明函”，</w:t>
            </w:r>
            <w:r>
              <w:rPr>
                <w:rFonts w:hint="eastAsia" w:ascii="仿宋_GB2312" w:eastAsia="仿宋_GB2312"/>
                <w:color w:val="000000"/>
                <w:sz w:val="24"/>
                <w:highlight w:val="none"/>
                <w:lang w:eastAsia="zh-CN"/>
              </w:rPr>
              <w:t>供应商</w:t>
            </w:r>
            <w:r>
              <w:rPr>
                <w:rFonts w:hint="eastAsia" w:ascii="仿宋_GB2312" w:eastAsia="仿宋_GB2312"/>
                <w:color w:val="000000"/>
                <w:sz w:val="24"/>
                <w:highlight w:val="none"/>
              </w:rPr>
              <w:t>将承担由此造成的一切不利后果。</w:t>
            </w:r>
          </w:p>
          <w:p w14:paraId="52CC0E5B">
            <w:pPr>
              <w:spacing w:line="240" w:lineRule="atLeast"/>
              <w:rPr>
                <w:rFonts w:hint="default" w:ascii="仿宋_GB2312" w:eastAsia="仿宋_GB2312"/>
                <w:color w:val="000000"/>
                <w:sz w:val="24"/>
                <w:highlight w:val="none"/>
                <w:lang w:val="en-US"/>
              </w:rPr>
            </w:pPr>
            <w:r>
              <w:rPr>
                <w:rFonts w:hint="eastAsia" w:ascii="仿宋_GB2312" w:eastAsia="仿宋_GB2312"/>
                <w:b/>
                <w:bCs/>
                <w:color w:val="000000"/>
                <w:sz w:val="24"/>
                <w:highlight w:val="none"/>
                <w:lang w:val="en-US" w:eastAsia="zh-CN"/>
              </w:rPr>
              <w:t>本项目所属行业：批发业</w:t>
            </w:r>
          </w:p>
        </w:tc>
      </w:tr>
      <w:tr w14:paraId="33DEC0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8" w:hRule="atLeast"/>
        </w:trPr>
        <w:tc>
          <w:tcPr>
            <w:tcW w:w="1177" w:type="dxa"/>
            <w:noWrap w:val="0"/>
            <w:vAlign w:val="center"/>
          </w:tcPr>
          <w:p w14:paraId="579812C8">
            <w:pPr>
              <w:spacing w:line="240" w:lineRule="atLeast"/>
              <w:ind w:left="269" w:leftChars="128"/>
              <w:rPr>
                <w:rFonts w:hint="eastAsia" w:ascii="仿宋_GB2312" w:eastAsia="仿宋_GB2312"/>
                <w:color w:val="000000"/>
                <w:sz w:val="24"/>
                <w:highlight w:val="none"/>
              </w:rPr>
            </w:pPr>
            <w:r>
              <w:rPr>
                <w:rFonts w:hint="eastAsia" w:ascii="仿宋" w:hAnsi="仿宋" w:eastAsia="仿宋" w:cs="仿宋"/>
                <w:color w:val="000000"/>
                <w:sz w:val="24"/>
                <w:highlight w:val="none"/>
              </w:rPr>
              <w:t>1.4.</w:t>
            </w:r>
          </w:p>
        </w:tc>
        <w:tc>
          <w:tcPr>
            <w:tcW w:w="7131" w:type="dxa"/>
            <w:noWrap w:val="0"/>
            <w:vAlign w:val="center"/>
          </w:tcPr>
          <w:p w14:paraId="64189E8C">
            <w:pPr>
              <w:spacing w:line="240" w:lineRule="atLeast"/>
              <w:rPr>
                <w:rFonts w:hint="eastAsia" w:ascii="仿宋_GB2312" w:eastAsia="仿宋_GB2312"/>
                <w:color w:val="000000"/>
                <w:sz w:val="24"/>
                <w:highlight w:val="none"/>
              </w:rPr>
            </w:pPr>
            <w:r>
              <w:rPr>
                <w:rFonts w:hint="eastAsia" w:ascii="仿宋_GB2312" w:eastAsia="仿宋_GB2312"/>
                <w:color w:val="000000"/>
                <w:sz w:val="24"/>
                <w:highlight w:val="none"/>
              </w:rPr>
              <w:t>是否允许联合体投标：</w:t>
            </w:r>
            <w:r>
              <w:rPr>
                <w:rFonts w:hint="eastAsia" w:ascii="仿宋_GB2312" w:eastAsia="仿宋_GB2312"/>
                <w:color w:val="000000"/>
                <w:sz w:val="24"/>
                <w:highlight w:val="none"/>
                <w:u w:val="single"/>
              </w:rPr>
              <w:t>否</w:t>
            </w:r>
            <w:r>
              <w:rPr>
                <w:rFonts w:hint="eastAsia" w:ascii="仿宋_GB2312" w:hAnsi="宋体" w:eastAsia="仿宋_GB2312"/>
                <w:i/>
                <w:color w:val="000000"/>
                <w:sz w:val="24"/>
                <w:highlight w:val="none"/>
              </w:rPr>
              <w:t>（是、否）</w:t>
            </w:r>
          </w:p>
        </w:tc>
      </w:tr>
      <w:tr w14:paraId="0C30C5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33" w:hRule="atLeast"/>
        </w:trPr>
        <w:tc>
          <w:tcPr>
            <w:tcW w:w="1177" w:type="dxa"/>
            <w:noWrap w:val="0"/>
            <w:vAlign w:val="center"/>
          </w:tcPr>
          <w:p w14:paraId="1F9144A4">
            <w:pPr>
              <w:spacing w:line="240" w:lineRule="atLeast"/>
              <w:jc w:val="center"/>
              <w:rPr>
                <w:rFonts w:ascii="仿宋_GB2312" w:eastAsia="仿宋_GB2312"/>
                <w:color w:val="000000"/>
                <w:sz w:val="24"/>
                <w:highlight w:val="none"/>
              </w:rPr>
            </w:pPr>
            <w:r>
              <w:rPr>
                <w:rFonts w:hint="eastAsia" w:ascii="仿宋" w:hAnsi="仿宋" w:eastAsia="仿宋" w:cs="仿宋"/>
                <w:color w:val="000000"/>
                <w:sz w:val="24"/>
                <w:highlight w:val="none"/>
              </w:rPr>
              <w:t>2</w:t>
            </w:r>
            <w:r>
              <w:rPr>
                <w:rFonts w:hint="eastAsia" w:ascii="仿宋" w:hAnsi="仿宋" w:eastAsia="仿宋" w:cs="仿宋"/>
                <w:color w:val="000000"/>
                <w:sz w:val="24"/>
                <w:highlight w:val="none"/>
                <w:lang w:val="en-US" w:eastAsia="zh-CN"/>
              </w:rPr>
              <w:t>.</w:t>
            </w:r>
          </w:p>
        </w:tc>
        <w:tc>
          <w:tcPr>
            <w:tcW w:w="7131" w:type="dxa"/>
            <w:noWrap w:val="0"/>
            <w:vAlign w:val="center"/>
          </w:tcPr>
          <w:p w14:paraId="6CCC710C">
            <w:pPr>
              <w:spacing w:line="360" w:lineRule="auto"/>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预算金额：</w:t>
            </w:r>
          </w:p>
          <w:p w14:paraId="03221379">
            <w:pPr>
              <w:spacing w:line="360" w:lineRule="auto"/>
              <w:rPr>
                <w:rFonts w:hint="default" w:ascii="仿宋" w:hAnsi="仿宋" w:eastAsia="仿宋" w:cs="仿宋"/>
                <w:b w:val="0"/>
                <w:bCs w:val="0"/>
                <w:color w:val="000000"/>
                <w:sz w:val="24"/>
                <w:highlight w:val="none"/>
                <w:lang w:val="en-US" w:eastAsia="zh-CN"/>
              </w:rPr>
            </w:pPr>
            <w:r>
              <w:rPr>
                <w:rFonts w:hint="eastAsia" w:ascii="仿宋" w:hAnsi="仿宋" w:eastAsia="仿宋" w:cs="仿宋"/>
                <w:b w:val="0"/>
                <w:bCs w:val="0"/>
                <w:color w:val="000000"/>
                <w:sz w:val="24"/>
                <w:highlight w:val="none"/>
                <w:lang w:val="en-US" w:eastAsia="zh-CN"/>
              </w:rPr>
              <w:t>第一包：10077890.06元</w:t>
            </w:r>
          </w:p>
          <w:p w14:paraId="391A6E28">
            <w:pPr>
              <w:spacing w:line="360" w:lineRule="auto"/>
              <w:rPr>
                <w:rFonts w:hint="default" w:ascii="仿宋" w:hAnsi="仿宋" w:eastAsia="仿宋" w:cs="仿宋"/>
                <w:b w:val="0"/>
                <w:bCs w:val="0"/>
                <w:color w:val="000000"/>
                <w:sz w:val="24"/>
                <w:highlight w:val="none"/>
                <w:lang w:val="en-US" w:eastAsia="zh-CN"/>
              </w:rPr>
            </w:pPr>
            <w:r>
              <w:rPr>
                <w:rFonts w:hint="eastAsia" w:ascii="仿宋" w:hAnsi="仿宋" w:eastAsia="仿宋" w:cs="仿宋"/>
                <w:b w:val="0"/>
                <w:bCs w:val="0"/>
                <w:color w:val="000000"/>
                <w:sz w:val="24"/>
                <w:highlight w:val="none"/>
                <w:lang w:val="en-US" w:eastAsia="zh-CN"/>
              </w:rPr>
              <w:t>第二包：14524183.35元</w:t>
            </w:r>
          </w:p>
          <w:p w14:paraId="4736ECAF">
            <w:pPr>
              <w:spacing w:line="360" w:lineRule="auto"/>
              <w:rPr>
                <w:rFonts w:hint="default" w:ascii="仿宋" w:hAnsi="仿宋" w:eastAsia="仿宋" w:cs="仿宋"/>
                <w:b/>
                <w:bCs/>
                <w:color w:val="000000"/>
                <w:sz w:val="24"/>
                <w:highlight w:val="none"/>
                <w:lang w:val="en-US" w:eastAsia="zh-CN"/>
              </w:rPr>
            </w:pPr>
            <w:r>
              <w:rPr>
                <w:rFonts w:hint="eastAsia" w:ascii="仿宋" w:hAnsi="仿宋" w:eastAsia="仿宋" w:cs="仿宋"/>
                <w:b w:val="0"/>
                <w:bCs w:val="0"/>
                <w:color w:val="000000"/>
                <w:sz w:val="24"/>
                <w:highlight w:val="none"/>
                <w:lang w:val="en-US" w:eastAsia="zh-CN"/>
              </w:rPr>
              <w:t>第三包：11696576.59元</w:t>
            </w:r>
          </w:p>
          <w:p w14:paraId="022AAFEE">
            <w:pPr>
              <w:spacing w:line="360" w:lineRule="auto"/>
              <w:rPr>
                <w:rFonts w:hint="default"/>
                <w:color w:val="000000"/>
                <w:highlight w:val="none"/>
                <w:lang w:val="en-US" w:eastAsia="zh-CN"/>
              </w:rPr>
            </w:pPr>
            <w:r>
              <w:rPr>
                <w:rFonts w:hint="eastAsia" w:ascii="仿宋" w:hAnsi="仿宋" w:eastAsia="仿宋" w:cs="仿宋"/>
                <w:b/>
                <w:bCs/>
                <w:color w:val="000000"/>
                <w:sz w:val="24"/>
                <w:highlight w:val="none"/>
                <w:lang w:val="en-US" w:eastAsia="zh-CN"/>
              </w:rPr>
              <w:t>最高限价：第一包最高限价详见货物需求一览表，第二包、第三包、最高限价为市场价。第一包、第二包、第三包可兼投兼得</w:t>
            </w:r>
          </w:p>
        </w:tc>
      </w:tr>
      <w:tr w14:paraId="17050C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177" w:type="dxa"/>
            <w:noWrap w:val="0"/>
            <w:vAlign w:val="center"/>
          </w:tcPr>
          <w:p w14:paraId="609C3DC9">
            <w:pPr>
              <w:spacing w:line="240" w:lineRule="atLeast"/>
              <w:jc w:val="center"/>
              <w:rPr>
                <w:rFonts w:hint="eastAsia" w:ascii="仿宋_GB2312" w:eastAsia="仿宋_GB2312"/>
                <w:color w:val="000000"/>
                <w:sz w:val="24"/>
                <w:highlight w:val="none"/>
                <w:lang w:eastAsia="zh-CN"/>
              </w:rPr>
            </w:pPr>
            <w:r>
              <w:rPr>
                <w:rFonts w:hint="eastAsia" w:ascii="仿宋" w:hAnsi="仿宋" w:eastAsia="仿宋" w:cs="仿宋"/>
                <w:color w:val="000000"/>
                <w:sz w:val="24"/>
                <w:highlight w:val="none"/>
                <w:lang w:val="en-US" w:eastAsia="zh-CN"/>
              </w:rPr>
              <w:t>12.1</w:t>
            </w:r>
          </w:p>
        </w:tc>
        <w:tc>
          <w:tcPr>
            <w:tcW w:w="7131" w:type="dxa"/>
            <w:noWrap w:val="0"/>
            <w:vAlign w:val="center"/>
          </w:tcPr>
          <w:p w14:paraId="1483787B">
            <w:pPr>
              <w:spacing w:line="240" w:lineRule="auto"/>
              <w:rPr>
                <w:rFonts w:hint="eastAsia" w:ascii="仿宋" w:hAnsi="仿宋" w:eastAsia="仿宋" w:cs="仿宋"/>
                <w:b w:val="0"/>
                <w:bCs w:val="0"/>
                <w:color w:val="000000"/>
                <w:sz w:val="24"/>
                <w:highlight w:val="none"/>
              </w:rPr>
            </w:pPr>
            <w:r>
              <w:rPr>
                <w:rFonts w:hint="eastAsia" w:ascii="仿宋" w:hAnsi="仿宋" w:eastAsia="仿宋" w:cs="仿宋"/>
                <w:b w:val="0"/>
                <w:bCs w:val="0"/>
                <w:color w:val="000000"/>
                <w:sz w:val="24"/>
                <w:highlight w:val="none"/>
              </w:rPr>
              <w:t>投标保证金的形式：银行电汇</w:t>
            </w:r>
            <w:r>
              <w:rPr>
                <w:rFonts w:hint="eastAsia" w:ascii="仿宋" w:hAnsi="仿宋" w:eastAsia="仿宋" w:cs="仿宋"/>
                <w:b w:val="0"/>
                <w:bCs w:val="0"/>
                <w:color w:val="000000"/>
                <w:sz w:val="24"/>
                <w:highlight w:val="none"/>
                <w:lang w:eastAsia="zh-CN"/>
              </w:rPr>
              <w:t>、</w:t>
            </w:r>
            <w:r>
              <w:rPr>
                <w:rFonts w:hint="eastAsia" w:ascii="仿宋" w:hAnsi="仿宋" w:eastAsia="仿宋" w:cs="仿宋"/>
                <w:b w:val="0"/>
                <w:bCs w:val="0"/>
                <w:color w:val="000000"/>
                <w:sz w:val="24"/>
                <w:highlight w:val="none"/>
                <w:lang w:val="en-US" w:eastAsia="zh-CN"/>
              </w:rPr>
              <w:t>保函</w:t>
            </w:r>
            <w:r>
              <w:rPr>
                <w:rFonts w:hint="eastAsia" w:ascii="仿宋" w:hAnsi="仿宋" w:eastAsia="仿宋" w:cs="仿宋"/>
                <w:b w:val="0"/>
                <w:bCs w:val="0"/>
                <w:color w:val="000000"/>
                <w:sz w:val="24"/>
                <w:highlight w:val="none"/>
                <w:lang w:eastAsia="zh-CN"/>
              </w:rPr>
              <w:t>、</w:t>
            </w:r>
            <w:r>
              <w:rPr>
                <w:rFonts w:hint="eastAsia" w:ascii="仿宋" w:hAnsi="仿宋" w:eastAsia="仿宋" w:cs="仿宋"/>
                <w:b w:val="0"/>
                <w:bCs w:val="0"/>
                <w:color w:val="000000"/>
                <w:sz w:val="24"/>
                <w:highlight w:val="none"/>
              </w:rPr>
              <w:t>转账</w:t>
            </w:r>
            <w:r>
              <w:rPr>
                <w:rFonts w:hint="eastAsia" w:ascii="仿宋" w:hAnsi="仿宋" w:eastAsia="仿宋" w:cs="仿宋"/>
                <w:b w:val="0"/>
                <w:bCs w:val="0"/>
                <w:color w:val="000000"/>
                <w:sz w:val="24"/>
                <w:highlight w:val="none"/>
                <w:lang w:eastAsia="zh-CN"/>
              </w:rPr>
              <w:t>、支票、汇票、本票</w:t>
            </w:r>
            <w:r>
              <w:rPr>
                <w:rFonts w:hint="eastAsia" w:ascii="仿宋" w:hAnsi="仿宋" w:eastAsia="仿宋" w:cs="仿宋"/>
                <w:b w:val="0"/>
                <w:bCs w:val="0"/>
                <w:color w:val="000000"/>
                <w:sz w:val="24"/>
                <w:highlight w:val="none"/>
              </w:rPr>
              <w:t>（从投标单位基本账户转入招标人指定账户）</w:t>
            </w:r>
          </w:p>
          <w:p w14:paraId="755FC8B1">
            <w:pPr>
              <w:spacing w:line="240" w:lineRule="auto"/>
              <w:rPr>
                <w:rFonts w:hint="eastAsia" w:ascii="仿宋" w:hAnsi="仿宋" w:eastAsia="仿宋" w:cs="仿宋"/>
                <w:b w:val="0"/>
                <w:bCs w:val="0"/>
                <w:color w:val="000000"/>
                <w:sz w:val="24"/>
                <w:highlight w:val="none"/>
              </w:rPr>
            </w:pPr>
            <w:r>
              <w:rPr>
                <w:rFonts w:hint="eastAsia" w:ascii="仿宋" w:hAnsi="仿宋" w:eastAsia="仿宋" w:cs="仿宋"/>
                <w:b w:val="0"/>
                <w:bCs w:val="0"/>
                <w:color w:val="000000"/>
                <w:sz w:val="24"/>
                <w:highlight w:val="none"/>
              </w:rPr>
              <w:t>投标保证金金额：</w:t>
            </w:r>
          </w:p>
          <w:p w14:paraId="4FB341BF">
            <w:pPr>
              <w:spacing w:line="240" w:lineRule="auto"/>
              <w:rPr>
                <w:rFonts w:hint="default" w:ascii="仿宋" w:hAnsi="仿宋" w:eastAsia="仿宋" w:cs="仿宋"/>
                <w:b w:val="0"/>
                <w:bCs w:val="0"/>
                <w:color w:val="000000"/>
                <w:sz w:val="24"/>
                <w:highlight w:val="none"/>
                <w:lang w:val="en-US" w:eastAsia="zh-CN"/>
              </w:rPr>
            </w:pPr>
            <w:r>
              <w:rPr>
                <w:rFonts w:hint="eastAsia" w:ascii="仿宋" w:hAnsi="仿宋" w:eastAsia="仿宋" w:cs="仿宋"/>
                <w:b w:val="0"/>
                <w:bCs w:val="0"/>
                <w:color w:val="000000"/>
                <w:sz w:val="24"/>
                <w:highlight w:val="none"/>
                <w:lang w:val="en-US" w:eastAsia="zh-CN"/>
              </w:rPr>
              <w:t>第一包：20万元</w:t>
            </w:r>
          </w:p>
          <w:p w14:paraId="3C039E12">
            <w:pPr>
              <w:spacing w:line="240" w:lineRule="auto"/>
              <w:rPr>
                <w:rFonts w:hint="default" w:ascii="仿宋" w:hAnsi="仿宋" w:eastAsia="仿宋" w:cs="仿宋"/>
                <w:b w:val="0"/>
                <w:bCs w:val="0"/>
                <w:color w:val="000000"/>
                <w:sz w:val="24"/>
                <w:highlight w:val="none"/>
                <w:lang w:val="en-US" w:eastAsia="zh-CN"/>
              </w:rPr>
            </w:pPr>
            <w:r>
              <w:rPr>
                <w:rFonts w:hint="eastAsia" w:ascii="仿宋" w:hAnsi="仿宋" w:eastAsia="仿宋" w:cs="仿宋"/>
                <w:b w:val="0"/>
                <w:bCs w:val="0"/>
                <w:color w:val="000000"/>
                <w:sz w:val="24"/>
                <w:highlight w:val="none"/>
                <w:lang w:val="en-US" w:eastAsia="zh-CN"/>
              </w:rPr>
              <w:t>第二包：29万元</w:t>
            </w:r>
          </w:p>
          <w:p w14:paraId="65424F35">
            <w:pPr>
              <w:spacing w:line="240" w:lineRule="auto"/>
              <w:rPr>
                <w:rFonts w:hint="eastAsia" w:ascii="仿宋" w:hAnsi="仿宋" w:eastAsia="仿宋" w:cs="仿宋"/>
                <w:b w:val="0"/>
                <w:bCs w:val="0"/>
                <w:color w:val="000000"/>
                <w:sz w:val="24"/>
                <w:highlight w:val="none"/>
                <w:lang w:val="en-US" w:eastAsia="zh-CN"/>
              </w:rPr>
            </w:pPr>
            <w:r>
              <w:rPr>
                <w:rFonts w:hint="eastAsia" w:ascii="仿宋" w:hAnsi="仿宋" w:eastAsia="仿宋" w:cs="仿宋"/>
                <w:b w:val="0"/>
                <w:bCs w:val="0"/>
                <w:color w:val="000000"/>
                <w:sz w:val="24"/>
                <w:highlight w:val="none"/>
                <w:lang w:val="en-US" w:eastAsia="zh-CN"/>
              </w:rPr>
              <w:t>第三包：23万元</w:t>
            </w:r>
          </w:p>
          <w:p w14:paraId="61486C99">
            <w:pPr>
              <w:spacing w:line="240" w:lineRule="auto"/>
              <w:rPr>
                <w:rFonts w:hint="eastAsia" w:ascii="仿宋" w:hAnsi="仿宋" w:eastAsia="仿宋" w:cs="仿宋"/>
                <w:b w:val="0"/>
                <w:bCs w:val="0"/>
                <w:color w:val="000000"/>
                <w:sz w:val="24"/>
                <w:highlight w:val="none"/>
              </w:rPr>
            </w:pPr>
            <w:r>
              <w:rPr>
                <w:rFonts w:hint="eastAsia" w:ascii="仿宋" w:hAnsi="仿宋" w:eastAsia="仿宋" w:cs="仿宋"/>
                <w:b w:val="0"/>
                <w:bCs w:val="0"/>
                <w:color w:val="000000"/>
                <w:sz w:val="24"/>
                <w:highlight w:val="none"/>
              </w:rPr>
              <w:t>新疆方中圆工程项目管理有限公司 </w:t>
            </w:r>
          </w:p>
          <w:p w14:paraId="12E49C16">
            <w:pPr>
              <w:spacing w:line="240" w:lineRule="auto"/>
              <w:rPr>
                <w:rFonts w:hint="eastAsia" w:ascii="仿宋" w:hAnsi="仿宋" w:eastAsia="仿宋" w:cs="仿宋"/>
                <w:b w:val="0"/>
                <w:bCs w:val="0"/>
                <w:color w:val="000000"/>
                <w:sz w:val="24"/>
                <w:highlight w:val="none"/>
              </w:rPr>
            </w:pPr>
            <w:r>
              <w:rPr>
                <w:rFonts w:hint="eastAsia" w:ascii="仿宋" w:hAnsi="仿宋" w:eastAsia="仿宋" w:cs="仿宋"/>
                <w:b w:val="0"/>
                <w:bCs w:val="0"/>
                <w:color w:val="000000"/>
                <w:sz w:val="24"/>
                <w:highlight w:val="none"/>
              </w:rPr>
              <w:t>账号：30476101040005796</w:t>
            </w:r>
          </w:p>
          <w:p w14:paraId="2809E686">
            <w:pPr>
              <w:spacing w:line="240" w:lineRule="auto"/>
              <w:rPr>
                <w:rFonts w:hint="eastAsia" w:ascii="仿宋" w:hAnsi="仿宋" w:eastAsia="仿宋" w:cs="仿宋"/>
                <w:b w:val="0"/>
                <w:bCs w:val="0"/>
                <w:color w:val="000000"/>
                <w:sz w:val="24"/>
                <w:highlight w:val="none"/>
              </w:rPr>
            </w:pPr>
            <w:r>
              <w:rPr>
                <w:rFonts w:hint="eastAsia" w:ascii="仿宋" w:hAnsi="仿宋" w:eastAsia="仿宋" w:cs="仿宋"/>
                <w:b w:val="0"/>
                <w:bCs w:val="0"/>
                <w:color w:val="000000"/>
                <w:sz w:val="24"/>
                <w:highlight w:val="none"/>
              </w:rPr>
              <w:t>开户行：中国农业银行股份有限公司喀什经济开发区支行</w:t>
            </w:r>
          </w:p>
          <w:p w14:paraId="6DB9BFD8">
            <w:pPr>
              <w:spacing w:line="240" w:lineRule="auto"/>
              <w:rPr>
                <w:rFonts w:hint="eastAsia" w:ascii="仿宋" w:hAnsi="仿宋" w:eastAsia="仿宋" w:cs="仿宋"/>
                <w:b w:val="0"/>
                <w:bCs w:val="0"/>
                <w:color w:val="000000"/>
                <w:sz w:val="24"/>
                <w:highlight w:val="none"/>
              </w:rPr>
            </w:pPr>
            <w:r>
              <w:rPr>
                <w:rFonts w:hint="eastAsia" w:ascii="仿宋" w:hAnsi="仿宋" w:eastAsia="仿宋" w:cs="仿宋"/>
                <w:b w:val="0"/>
                <w:bCs w:val="0"/>
                <w:color w:val="000000"/>
                <w:sz w:val="24"/>
                <w:highlight w:val="none"/>
              </w:rPr>
              <w:t>行号：103894047615</w:t>
            </w:r>
          </w:p>
          <w:p w14:paraId="73073E47">
            <w:pPr>
              <w:spacing w:line="240" w:lineRule="auto"/>
              <w:rPr>
                <w:rFonts w:hint="eastAsia" w:ascii="仿宋" w:hAnsi="仿宋" w:eastAsia="仿宋" w:cs="仿宋"/>
                <w:b w:val="0"/>
                <w:bCs w:val="0"/>
                <w:color w:val="000000"/>
                <w:sz w:val="24"/>
                <w:highlight w:val="none"/>
                <w:lang w:val="en-US" w:eastAsia="zh-CN"/>
              </w:rPr>
            </w:pPr>
            <w:r>
              <w:rPr>
                <w:rFonts w:hint="eastAsia" w:ascii="仿宋" w:hAnsi="仿宋" w:eastAsia="仿宋" w:cs="仿宋"/>
                <w:b w:val="0"/>
                <w:bCs w:val="0"/>
                <w:color w:val="000000"/>
                <w:sz w:val="24"/>
                <w:highlight w:val="none"/>
              </w:rPr>
              <w:t>注：</w:t>
            </w:r>
            <w:r>
              <w:rPr>
                <w:rFonts w:hint="eastAsia" w:ascii="仿宋" w:hAnsi="仿宋" w:eastAsia="仿宋" w:cs="仿宋"/>
                <w:b/>
                <w:bCs/>
                <w:color w:val="000000"/>
                <w:sz w:val="24"/>
                <w:highlight w:val="none"/>
              </w:rPr>
              <w:t>投标保证金</w:t>
            </w:r>
            <w:r>
              <w:rPr>
                <w:rFonts w:hint="eastAsia" w:ascii="仿宋" w:hAnsi="仿宋" w:eastAsia="仿宋" w:cs="仿宋"/>
                <w:b/>
                <w:bCs/>
                <w:color w:val="000000"/>
                <w:sz w:val="24"/>
                <w:highlight w:val="none"/>
                <w:lang w:val="en-US" w:eastAsia="zh-CN"/>
              </w:rPr>
              <w:t>打款时请备注项目名称及包号！</w:t>
            </w:r>
            <w:r>
              <w:rPr>
                <w:rFonts w:hint="eastAsia" w:ascii="仿宋" w:hAnsi="仿宋" w:eastAsia="仿宋" w:cs="仿宋"/>
                <w:b w:val="0"/>
                <w:bCs w:val="0"/>
                <w:color w:val="000000"/>
                <w:sz w:val="24"/>
                <w:highlight w:val="none"/>
                <w:lang w:val="en-US" w:eastAsia="zh-CN"/>
              </w:rPr>
              <w:t>保函复印件或保证金打款凭证应放入投标文件中，若投标文件中不放保函复印件或保证金打款凭证，作废标处理。保函需写明所投项目名称及包号，保函有效期不得低于90日，否则视为无效。</w:t>
            </w:r>
          </w:p>
          <w:p w14:paraId="57DE64E6">
            <w:pPr>
              <w:spacing w:line="240" w:lineRule="atLeast"/>
              <w:rPr>
                <w:rFonts w:hint="eastAsia" w:ascii="仿宋" w:hAnsi="仿宋" w:eastAsia="仿宋" w:cs="仿宋"/>
                <w:b w:val="0"/>
                <w:bCs w:val="0"/>
                <w:color w:val="000000"/>
                <w:sz w:val="24"/>
                <w:highlight w:val="none"/>
                <w:lang w:eastAsia="zh-CN"/>
              </w:rPr>
            </w:pPr>
            <w:r>
              <w:rPr>
                <w:rFonts w:hint="eastAsia" w:ascii="仿宋" w:hAnsi="仿宋" w:eastAsia="仿宋" w:cs="仿宋"/>
                <w:b w:val="0"/>
                <w:bCs w:val="0"/>
                <w:color w:val="000000"/>
                <w:sz w:val="24"/>
                <w:highlight w:val="none"/>
              </w:rPr>
              <w:t>财务：</w:t>
            </w:r>
            <w:r>
              <w:rPr>
                <w:rFonts w:hint="eastAsia" w:ascii="仿宋" w:hAnsi="仿宋" w:eastAsia="仿宋" w:cs="仿宋"/>
                <w:b w:val="0"/>
                <w:bCs w:val="0"/>
                <w:color w:val="000000"/>
                <w:sz w:val="24"/>
                <w:highlight w:val="none"/>
                <w:lang w:val="en-US" w:eastAsia="zh-CN"/>
              </w:rPr>
              <w:t>潘玲</w:t>
            </w:r>
            <w:r>
              <w:rPr>
                <w:rFonts w:hint="eastAsia" w:ascii="仿宋" w:hAnsi="仿宋" w:eastAsia="仿宋" w:cs="仿宋"/>
                <w:b w:val="0"/>
                <w:bCs w:val="0"/>
                <w:color w:val="000000"/>
                <w:sz w:val="24"/>
                <w:highlight w:val="none"/>
              </w:rPr>
              <w:t>电话：</w:t>
            </w:r>
            <w:r>
              <w:rPr>
                <w:rFonts w:hint="eastAsia" w:ascii="仿宋" w:hAnsi="仿宋" w:eastAsia="仿宋" w:cs="仿宋"/>
                <w:b w:val="0"/>
                <w:bCs w:val="0"/>
                <w:color w:val="000000"/>
                <w:sz w:val="24"/>
                <w:highlight w:val="none"/>
                <w:lang w:val="en-US" w:eastAsia="zh-CN"/>
              </w:rPr>
              <w:t>19199509869</w:t>
            </w:r>
          </w:p>
          <w:p w14:paraId="7CEEB0EB">
            <w:pPr>
              <w:spacing w:line="240" w:lineRule="atLeast"/>
              <w:rPr>
                <w:rFonts w:hint="eastAsia" w:ascii="仿宋" w:hAnsi="仿宋" w:eastAsia="仿宋" w:cs="仿宋"/>
                <w:b w:val="0"/>
                <w:bCs w:val="0"/>
                <w:color w:val="000000"/>
                <w:sz w:val="24"/>
                <w:highlight w:val="none"/>
                <w:lang w:val="en-US" w:eastAsia="zh-CN"/>
              </w:rPr>
            </w:pPr>
            <w:r>
              <w:rPr>
                <w:rFonts w:hint="eastAsia" w:ascii="仿宋" w:hAnsi="仿宋" w:eastAsia="仿宋" w:cs="仿宋"/>
                <w:b w:val="0"/>
                <w:bCs w:val="0"/>
                <w:color w:val="000000"/>
                <w:sz w:val="24"/>
                <w:highlight w:val="none"/>
              </w:rPr>
              <w:t>项目：</w:t>
            </w:r>
            <w:r>
              <w:rPr>
                <w:rFonts w:hint="eastAsia" w:ascii="仿宋" w:hAnsi="仿宋" w:eastAsia="仿宋" w:cs="仿宋"/>
                <w:b w:val="0"/>
                <w:bCs w:val="0"/>
                <w:color w:val="000000"/>
                <w:sz w:val="24"/>
                <w:highlight w:val="none"/>
                <w:lang w:eastAsia="zh-CN"/>
              </w:rPr>
              <w:t>李静</w:t>
            </w:r>
            <w:r>
              <w:rPr>
                <w:rFonts w:hint="eastAsia" w:ascii="仿宋" w:hAnsi="仿宋" w:eastAsia="仿宋" w:cs="仿宋"/>
                <w:b w:val="0"/>
                <w:bCs w:val="0"/>
                <w:color w:val="000000"/>
                <w:sz w:val="24"/>
                <w:highlight w:val="none"/>
              </w:rPr>
              <w:t>电话：</w:t>
            </w:r>
            <w:r>
              <w:rPr>
                <w:rFonts w:hint="eastAsia" w:ascii="仿宋" w:hAnsi="仿宋" w:eastAsia="仿宋" w:cs="仿宋"/>
                <w:b w:val="0"/>
                <w:bCs w:val="0"/>
                <w:color w:val="000000"/>
                <w:sz w:val="24"/>
                <w:highlight w:val="none"/>
                <w:lang w:val="en-US" w:eastAsia="zh-CN"/>
              </w:rPr>
              <w:t>18399127016</w:t>
            </w:r>
          </w:p>
          <w:p w14:paraId="6971E4C5">
            <w:pPr>
              <w:spacing w:line="240" w:lineRule="atLeast"/>
              <w:rPr>
                <w:rFonts w:hint="default" w:ascii="仿宋" w:hAnsi="仿宋" w:eastAsia="仿宋" w:cs="仿宋"/>
                <w:b/>
                <w:bCs/>
                <w:color w:val="000000"/>
                <w:sz w:val="24"/>
                <w:highlight w:val="none"/>
                <w:lang w:val="en-US" w:eastAsia="zh-CN"/>
              </w:rPr>
            </w:pPr>
            <w:r>
              <w:rPr>
                <w:rFonts w:hint="default" w:ascii="仿宋" w:hAnsi="仿宋" w:eastAsia="仿宋" w:cs="仿宋"/>
                <w:b w:val="0"/>
                <w:bCs w:val="0"/>
                <w:color w:val="000000"/>
                <w:sz w:val="24"/>
                <w:highlight w:val="none"/>
                <w:lang w:val="en-US" w:eastAsia="zh-CN"/>
              </w:rPr>
              <w:t>采购人或者采购代理机构应当自中标通知书发出之日起5个工作日内退还未中标人的投标保证金，自采购合同签订之日起5个工作日内退还中标人的投标保证金。</w:t>
            </w:r>
          </w:p>
        </w:tc>
      </w:tr>
      <w:tr w14:paraId="033474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4" w:hRule="atLeast"/>
        </w:trPr>
        <w:tc>
          <w:tcPr>
            <w:tcW w:w="1177" w:type="dxa"/>
            <w:noWrap w:val="0"/>
            <w:vAlign w:val="center"/>
          </w:tcPr>
          <w:p w14:paraId="40C31688">
            <w:pPr>
              <w:spacing w:line="240" w:lineRule="atLeast"/>
              <w:jc w:val="center"/>
              <w:rPr>
                <w:rFonts w:hint="eastAsia" w:ascii="仿宋_GB2312" w:eastAsia="仿宋_GB2312"/>
                <w:color w:val="000000"/>
                <w:sz w:val="24"/>
                <w:highlight w:val="none"/>
                <w:lang w:eastAsia="zh-CN"/>
              </w:rPr>
            </w:pPr>
            <w:r>
              <w:rPr>
                <w:rFonts w:hint="eastAsia" w:ascii="仿宋" w:hAnsi="仿宋" w:eastAsia="仿宋" w:cs="仿宋"/>
                <w:color w:val="000000"/>
                <w:sz w:val="24"/>
                <w:highlight w:val="none"/>
                <w:lang w:val="en-US" w:eastAsia="zh-CN"/>
              </w:rPr>
              <w:t>13</w:t>
            </w:r>
          </w:p>
        </w:tc>
        <w:tc>
          <w:tcPr>
            <w:tcW w:w="7131" w:type="dxa"/>
            <w:noWrap w:val="0"/>
            <w:vAlign w:val="center"/>
          </w:tcPr>
          <w:p w14:paraId="75E0CC30">
            <w:pPr>
              <w:spacing w:line="240" w:lineRule="atLeast"/>
              <w:rPr>
                <w:rFonts w:hint="eastAsia" w:ascii="仿宋_GB2312" w:eastAsia="仿宋_GB2312"/>
                <w:color w:val="000000"/>
                <w:sz w:val="24"/>
                <w:highlight w:val="none"/>
              </w:rPr>
            </w:pPr>
            <w:r>
              <w:rPr>
                <w:rFonts w:hint="eastAsia" w:ascii="仿宋_GB2312" w:eastAsia="仿宋_GB2312"/>
                <w:color w:val="000000"/>
                <w:sz w:val="24"/>
                <w:highlight w:val="none"/>
              </w:rPr>
              <w:t>投标有效期：</w:t>
            </w:r>
            <w:r>
              <w:rPr>
                <w:rFonts w:hint="eastAsia" w:ascii="仿宋_GB2312" w:eastAsia="仿宋_GB2312"/>
                <w:color w:val="000000"/>
                <w:sz w:val="24"/>
                <w:highlight w:val="none"/>
                <w:lang w:val="en-US" w:eastAsia="zh-CN"/>
              </w:rPr>
              <w:t>90</w:t>
            </w:r>
            <w:r>
              <w:rPr>
                <w:rFonts w:hint="eastAsia" w:ascii="仿宋_GB2312" w:eastAsia="仿宋_GB2312"/>
                <w:color w:val="000000"/>
                <w:sz w:val="24"/>
                <w:highlight w:val="none"/>
              </w:rPr>
              <w:t>日历日</w:t>
            </w:r>
          </w:p>
        </w:tc>
      </w:tr>
      <w:tr w14:paraId="43A46A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177" w:type="dxa"/>
            <w:noWrap w:val="0"/>
            <w:vAlign w:val="center"/>
          </w:tcPr>
          <w:p w14:paraId="5581CAD3">
            <w:pPr>
              <w:spacing w:line="240" w:lineRule="atLeast"/>
              <w:jc w:val="center"/>
              <w:rPr>
                <w:rFonts w:hint="eastAsia" w:ascii="仿宋_GB2312" w:eastAsia="仿宋_GB2312"/>
                <w:color w:val="000000"/>
                <w:sz w:val="24"/>
                <w:highlight w:val="none"/>
                <w:lang w:eastAsia="zh-CN"/>
              </w:rPr>
            </w:pPr>
            <w:r>
              <w:rPr>
                <w:rFonts w:hint="eastAsia" w:ascii="仿宋" w:hAnsi="仿宋" w:eastAsia="仿宋" w:cs="仿宋"/>
                <w:color w:val="000000"/>
                <w:sz w:val="24"/>
                <w:highlight w:val="none"/>
                <w:lang w:val="en-US" w:eastAsia="zh-CN"/>
              </w:rPr>
              <w:t>15</w:t>
            </w:r>
          </w:p>
        </w:tc>
        <w:tc>
          <w:tcPr>
            <w:tcW w:w="7131" w:type="dxa"/>
            <w:noWrap w:val="0"/>
            <w:vAlign w:val="center"/>
          </w:tcPr>
          <w:p w14:paraId="5D7F4FAF">
            <w:pPr>
              <w:spacing w:line="240" w:lineRule="atLeast"/>
              <w:rPr>
                <w:rFonts w:hint="eastAsia" w:ascii="仿宋_GB2312" w:eastAsia="仿宋_GB2312"/>
                <w:color w:val="000000"/>
                <w:sz w:val="24"/>
                <w:highlight w:val="none"/>
              </w:rPr>
            </w:pPr>
            <w:r>
              <w:rPr>
                <w:rFonts w:hint="eastAsia" w:ascii="仿宋_GB2312" w:eastAsia="仿宋_GB2312"/>
                <w:color w:val="000000"/>
                <w:sz w:val="24"/>
                <w:highlight w:val="none"/>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p>
          <w:p w14:paraId="4A9C3BFF">
            <w:pPr>
              <w:spacing w:line="240" w:lineRule="atLeast"/>
              <w:rPr>
                <w:rFonts w:hint="eastAsia" w:ascii="仿宋_GB2312" w:eastAsia="仿宋_GB2312"/>
                <w:color w:val="000000"/>
                <w:sz w:val="24"/>
                <w:highlight w:val="none"/>
              </w:rPr>
            </w:pPr>
            <w:r>
              <w:rPr>
                <w:rFonts w:hint="eastAsia" w:ascii="仿宋_GB2312" w:eastAsia="仿宋_GB2312"/>
                <w:color w:val="000000"/>
                <w:sz w:val="24"/>
                <w:highlight w:val="none"/>
              </w:rPr>
              <w:t>2.本项目实行网上投标，采用电子投标文件(供应商须使用CA加密设备通过政采云电子投标客户端制作投标文件)。若供应商参与投标，自行承担投标一切费用。</w:t>
            </w:r>
          </w:p>
          <w:p w14:paraId="720BEFA5">
            <w:pPr>
              <w:spacing w:line="240" w:lineRule="atLeast"/>
              <w:rPr>
                <w:rFonts w:hint="eastAsia" w:ascii="仿宋_GB2312" w:eastAsia="仿宋_GB2312"/>
                <w:color w:val="000000"/>
                <w:sz w:val="24"/>
                <w:highlight w:val="none"/>
              </w:rPr>
            </w:pPr>
            <w:r>
              <w:rPr>
                <w:rFonts w:hint="eastAsia" w:ascii="仿宋_GB2312" w:eastAsia="仿宋_GB2312"/>
                <w:color w:val="000000"/>
                <w:sz w:val="24"/>
                <w:highlight w:val="none"/>
              </w:rPr>
              <w:t>3.各供应商应在开标前应确保成为新疆政府采购网正式注册入库供应商，并完成CA数字证书申领。因未注册入库、未办理CA数字证书等原因造成无法投标或投标失败等后果由供应商自行承担。</w:t>
            </w:r>
          </w:p>
          <w:p w14:paraId="676B68F4">
            <w:pPr>
              <w:spacing w:line="240" w:lineRule="atLeast"/>
              <w:rPr>
                <w:rFonts w:hint="eastAsia" w:ascii="仿宋_GB2312" w:eastAsia="仿宋_GB2312"/>
                <w:color w:val="000000"/>
                <w:sz w:val="24"/>
                <w:highlight w:val="none"/>
              </w:rPr>
            </w:pPr>
            <w:r>
              <w:rPr>
                <w:rFonts w:hint="eastAsia" w:ascii="仿宋_GB2312" w:eastAsia="仿宋_GB2312"/>
                <w:color w:val="000000"/>
                <w:sz w:val="24"/>
                <w:highlight w:val="none"/>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w:t>
            </w:r>
            <w:r>
              <w:rPr>
                <w:rFonts w:hint="eastAsia" w:ascii="仿宋_GB2312" w:eastAsia="仿宋_GB2312"/>
                <w:color w:val="000000"/>
                <w:sz w:val="24"/>
                <w:highlight w:val="none"/>
                <w:lang w:val="en-US" w:eastAsia="zh-CN"/>
              </w:rPr>
              <w:t>95763</w:t>
            </w:r>
            <w:r>
              <w:rPr>
                <w:rFonts w:hint="eastAsia" w:ascii="仿宋_GB2312" w:eastAsia="仿宋_GB2312"/>
                <w:color w:val="000000"/>
                <w:sz w:val="24"/>
                <w:highlight w:val="none"/>
              </w:rPr>
              <w:t>进行咨询。</w:t>
            </w:r>
          </w:p>
          <w:p w14:paraId="17E49FBC">
            <w:pPr>
              <w:spacing w:line="240" w:lineRule="atLeast"/>
              <w:rPr>
                <w:rFonts w:hint="eastAsia" w:ascii="仿宋_GB2312" w:eastAsia="仿宋_GB2312"/>
                <w:color w:val="000000"/>
                <w:sz w:val="24"/>
                <w:highlight w:val="none"/>
              </w:rPr>
            </w:pPr>
            <w:r>
              <w:rPr>
                <w:rFonts w:hint="eastAsia" w:ascii="仿宋_GB2312" w:eastAsia="仿宋_GB2312"/>
                <w:color w:val="000000"/>
                <w:sz w:val="24"/>
                <w:highlight w:val="none"/>
              </w:rPr>
              <w:t>5.供应商在开标时须使用制作加密电子投标文件所使用的CA锁及电脑，电脑须提前配置好浏览器（建议使用谷歌浏览器），以便开标时解锁。</w:t>
            </w:r>
          </w:p>
          <w:p w14:paraId="73A05203">
            <w:pPr>
              <w:spacing w:line="240" w:lineRule="atLeast"/>
              <w:rPr>
                <w:rFonts w:hint="eastAsia" w:ascii="仿宋_GB2312" w:eastAsia="仿宋_GB2312"/>
                <w:color w:val="000000"/>
                <w:sz w:val="24"/>
                <w:highlight w:val="none"/>
              </w:rPr>
            </w:pPr>
            <w:r>
              <w:rPr>
                <w:rFonts w:hint="eastAsia" w:ascii="仿宋_GB2312" w:eastAsia="仿宋_GB2312"/>
                <w:color w:val="000000"/>
                <w:sz w:val="24"/>
                <w:highlight w:val="none"/>
              </w:rPr>
              <w:t>6.投标保证金缴纳及确认时间：凡拟参加本次招标项目的供应商，必须在开标前将投标保证金汇入指定账户。投标保证金汇款凭证上用途栏应注明:招标项目名称+标项号+投标保证金。否则，届时其投标将被拒绝。</w:t>
            </w:r>
          </w:p>
          <w:p w14:paraId="65A436D5">
            <w:pPr>
              <w:spacing w:line="240" w:lineRule="atLeast"/>
              <w:rPr>
                <w:rFonts w:hint="eastAsia" w:ascii="仿宋_GB2312" w:eastAsia="仿宋_GB2312"/>
                <w:color w:val="000000"/>
                <w:sz w:val="24"/>
                <w:highlight w:val="none"/>
                <w:lang w:eastAsia="zh-CN"/>
              </w:rPr>
            </w:pPr>
            <w:r>
              <w:rPr>
                <w:rFonts w:hint="eastAsia" w:ascii="仿宋_GB2312" w:eastAsia="仿宋_GB2312"/>
                <w:color w:val="000000"/>
                <w:sz w:val="24"/>
                <w:highlight w:val="none"/>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14:paraId="3A979B5E">
            <w:pPr>
              <w:spacing w:line="240" w:lineRule="atLeast"/>
              <w:rPr>
                <w:rFonts w:hint="eastAsia" w:ascii="仿宋_GB2312" w:eastAsia="仿宋_GB2312"/>
                <w:color w:val="000000"/>
                <w:sz w:val="24"/>
                <w:highlight w:val="none"/>
              </w:rPr>
            </w:pPr>
            <w:r>
              <w:rPr>
                <w:rFonts w:hint="eastAsia" w:ascii="仿宋_GB2312" w:eastAsia="仿宋_GB2312"/>
                <w:color w:val="000000"/>
                <w:sz w:val="24"/>
                <w:highlight w:val="none"/>
              </w:rPr>
              <w:t>（8）各供应商须在投标截止时间前完成在系统上递交电子投标文件。供应商的电子投标文件是经过CA证书加密后上传提交的，任何单位或个人均无法在投标截止时间(即开标时间)之前查看或篡改，不存在泄密风险。（严格按照政采云电子投标流程制作并上传电子投标文件）</w:t>
            </w:r>
          </w:p>
          <w:p w14:paraId="5E0D1AFC">
            <w:pPr>
              <w:spacing w:line="240" w:lineRule="atLeast"/>
              <w:rPr>
                <w:rFonts w:hint="eastAsia" w:ascii="仿宋_GB2312" w:eastAsia="仿宋_GB2312"/>
                <w:b w:val="0"/>
                <w:bCs w:val="0"/>
                <w:color w:val="000000"/>
                <w:sz w:val="24"/>
                <w:highlight w:val="none"/>
              </w:rPr>
            </w:pPr>
            <w:r>
              <w:rPr>
                <w:rFonts w:hint="eastAsia" w:ascii="仿宋_GB2312" w:eastAsia="仿宋_GB2312"/>
                <w:color w:val="000000"/>
                <w:sz w:val="24"/>
                <w:highlight w:val="none"/>
              </w:rPr>
              <w:t>（9）各供应商在投标截止时间前将“投标文件”上传至政采云平台。响应文件包括“报价一览表及资格证明文件”与“商务及技术文件”两部分合并成一册。响应文件应按照招标文件规定的格式填写、签署</w:t>
            </w:r>
            <w:r>
              <w:rPr>
                <w:rFonts w:hint="eastAsia" w:ascii="仿宋_GB2312" w:eastAsia="仿宋_GB2312"/>
                <w:b w:val="0"/>
                <w:bCs w:val="0"/>
                <w:color w:val="000000"/>
                <w:sz w:val="24"/>
                <w:highlight w:val="none"/>
              </w:rPr>
              <w:t>和盖章，并以.jmbs格式上传至政采云开评标平台（投标文件为正本扫描件）。</w:t>
            </w:r>
          </w:p>
          <w:p w14:paraId="7D926524">
            <w:pPr>
              <w:keepNext w:val="0"/>
              <w:keepLines w:val="0"/>
              <w:widowControl/>
              <w:suppressLineNumbers w:val="0"/>
              <w:jc w:val="left"/>
              <w:rPr>
                <w:b w:val="0"/>
                <w:bCs w:val="0"/>
              </w:rPr>
            </w:pPr>
            <w:r>
              <w:rPr>
                <w:rFonts w:hint="eastAsia" w:ascii="仿宋" w:hAnsi="仿宋" w:eastAsia="仿宋" w:cs="仿宋"/>
                <w:b w:val="0"/>
                <w:bCs w:val="0"/>
                <w:color w:val="000000"/>
                <w:kern w:val="0"/>
                <w:sz w:val="24"/>
                <w:szCs w:val="24"/>
                <w:lang w:val="en-US" w:eastAsia="zh-CN" w:bidi="ar"/>
              </w:rPr>
              <w:t>（10）中标</w:t>
            </w:r>
            <w:r>
              <w:rPr>
                <w:rFonts w:ascii="仿宋" w:hAnsi="仿宋" w:eastAsia="仿宋" w:cs="仿宋"/>
                <w:b w:val="0"/>
                <w:bCs w:val="0"/>
                <w:color w:val="000000"/>
                <w:kern w:val="0"/>
                <w:sz w:val="24"/>
                <w:szCs w:val="24"/>
                <w:lang w:val="en-US" w:eastAsia="zh-CN" w:bidi="ar"/>
              </w:rPr>
              <w:t>供应商应在中标公告公示期结束后2个工作日内将纸</w:t>
            </w:r>
            <w:r>
              <w:rPr>
                <w:rFonts w:hint="eastAsia" w:ascii="仿宋" w:hAnsi="仿宋" w:eastAsia="仿宋" w:cs="仿宋"/>
                <w:b w:val="0"/>
                <w:bCs w:val="0"/>
                <w:color w:val="000000"/>
                <w:kern w:val="0"/>
                <w:sz w:val="24"/>
                <w:szCs w:val="24"/>
                <w:lang w:val="en-US" w:eastAsia="zh-CN" w:bidi="ar"/>
              </w:rPr>
              <w:t>质版投标文件邮寄至代理机构备案，纸质版投标文件包括“开标一览表及资格证明文件”和“商务及技术文件”两部分，两部分合订成一册递交。(邮寄地址：</w:t>
            </w:r>
            <w:r>
              <w:rPr>
                <w:rFonts w:hint="eastAsia" w:ascii="仿宋_GB2312" w:eastAsia="仿宋_GB2312"/>
                <w:color w:val="000000"/>
                <w:sz w:val="24"/>
                <w:highlight w:val="none"/>
              </w:rPr>
              <w:t>新疆喀什地区喀什经济开发区深喀大道总部经济区浙商大厦14楼</w:t>
            </w:r>
            <w:r>
              <w:rPr>
                <w:rFonts w:hint="eastAsia" w:ascii="仿宋" w:hAnsi="仿宋" w:eastAsia="仿宋" w:cs="仿宋"/>
                <w:b w:val="0"/>
                <w:bCs w:val="0"/>
                <w:color w:val="000000"/>
                <w:kern w:val="0"/>
                <w:sz w:val="24"/>
                <w:szCs w:val="24"/>
                <w:lang w:val="en-US" w:eastAsia="zh-CN" w:bidi="ar"/>
              </w:rPr>
              <w:t>）递交数量：正本：壹份、副本：壹份；电子文档1份（以正本为准，副本可以是正本的复印件）</w:t>
            </w:r>
          </w:p>
          <w:p w14:paraId="45866400">
            <w:pPr>
              <w:keepNext w:val="0"/>
              <w:keepLines w:val="0"/>
              <w:widowControl/>
              <w:suppressLineNumbers w:val="0"/>
              <w:jc w:val="left"/>
              <w:rPr>
                <w:b w:val="0"/>
                <w:bCs w:val="0"/>
              </w:rPr>
            </w:pPr>
            <w:r>
              <w:rPr>
                <w:rFonts w:hint="eastAsia" w:ascii="仿宋" w:hAnsi="仿宋" w:eastAsia="仿宋" w:cs="仿宋"/>
                <w:b w:val="0"/>
                <w:bCs w:val="0"/>
                <w:color w:val="000000"/>
                <w:kern w:val="0"/>
                <w:sz w:val="24"/>
                <w:szCs w:val="24"/>
                <w:lang w:val="en-US" w:eastAsia="zh-CN" w:bidi="ar"/>
              </w:rPr>
              <w:t>纸质投标文件的签署及规定：投标文件的正副本需打印或用不褪</w:t>
            </w:r>
          </w:p>
          <w:p w14:paraId="732F39F7">
            <w:pPr>
              <w:keepNext w:val="0"/>
              <w:keepLines w:val="0"/>
              <w:widowControl/>
              <w:suppressLineNumbers w:val="0"/>
              <w:jc w:val="left"/>
              <w:rPr>
                <w:b w:val="0"/>
                <w:bCs w:val="0"/>
              </w:rPr>
            </w:pPr>
            <w:r>
              <w:rPr>
                <w:rFonts w:hint="eastAsia" w:ascii="仿宋" w:hAnsi="仿宋" w:eastAsia="仿宋" w:cs="仿宋"/>
                <w:b w:val="0"/>
                <w:bCs w:val="0"/>
                <w:color w:val="000000"/>
                <w:kern w:val="0"/>
                <w:sz w:val="24"/>
                <w:szCs w:val="24"/>
                <w:lang w:val="en-US" w:eastAsia="zh-CN" w:bidi="ar"/>
              </w:rPr>
              <w:t>色墨水书写，并由供应商的法定代表人或经其正式委托代理人按</w:t>
            </w:r>
          </w:p>
          <w:p w14:paraId="4D45EB1C">
            <w:pPr>
              <w:keepNext w:val="0"/>
              <w:keepLines w:val="0"/>
              <w:widowControl/>
              <w:suppressLineNumbers w:val="0"/>
              <w:jc w:val="left"/>
              <w:rPr>
                <w:b w:val="0"/>
                <w:bCs w:val="0"/>
              </w:rPr>
            </w:pPr>
            <w:r>
              <w:rPr>
                <w:rFonts w:hint="eastAsia" w:ascii="仿宋" w:hAnsi="仿宋" w:eastAsia="仿宋" w:cs="仿宋"/>
                <w:b w:val="0"/>
                <w:bCs w:val="0"/>
                <w:color w:val="000000"/>
                <w:kern w:val="0"/>
                <w:sz w:val="24"/>
                <w:szCs w:val="24"/>
                <w:lang w:val="en-US" w:eastAsia="zh-CN" w:bidi="ar"/>
              </w:rPr>
              <w:t>招标文件规定在投标文件上签字或盖章，并加盖单位印章。</w:t>
            </w:r>
          </w:p>
          <w:p w14:paraId="0B7A7E31">
            <w:pPr>
              <w:spacing w:line="240" w:lineRule="atLeast"/>
              <w:rPr>
                <w:rFonts w:hint="eastAsia" w:ascii="仿宋_GB2312" w:eastAsia="仿宋_GB2312"/>
                <w:color w:val="000000"/>
                <w:sz w:val="24"/>
                <w:highlight w:val="none"/>
              </w:rPr>
            </w:pPr>
            <w:r>
              <w:rPr>
                <w:rFonts w:hint="eastAsia" w:ascii="仿宋_GB2312" w:eastAsia="仿宋_GB2312"/>
                <w:color w:val="000000"/>
                <w:sz w:val="24"/>
                <w:highlight w:val="none"/>
              </w:rPr>
              <w:t>（</w:t>
            </w:r>
            <w:r>
              <w:rPr>
                <w:rFonts w:hint="eastAsia" w:ascii="仿宋_GB2312" w:eastAsia="仿宋_GB2312"/>
                <w:color w:val="000000"/>
                <w:sz w:val="24"/>
                <w:highlight w:val="none"/>
                <w:lang w:val="en-US" w:eastAsia="zh-CN"/>
              </w:rPr>
              <w:t>11</w:t>
            </w:r>
            <w:r>
              <w:rPr>
                <w:rFonts w:hint="eastAsia" w:ascii="仿宋_GB2312" w:eastAsia="仿宋_GB2312"/>
                <w:color w:val="000000"/>
                <w:sz w:val="24"/>
                <w:highlight w:val="none"/>
              </w:rPr>
              <w:t>）解密时长为30分钟。</w:t>
            </w:r>
          </w:p>
        </w:tc>
      </w:tr>
      <w:tr w14:paraId="700677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27" w:hRule="atLeast"/>
        </w:trPr>
        <w:tc>
          <w:tcPr>
            <w:tcW w:w="1177" w:type="dxa"/>
            <w:noWrap w:val="0"/>
            <w:vAlign w:val="center"/>
          </w:tcPr>
          <w:p w14:paraId="7118A4A1">
            <w:pPr>
              <w:spacing w:line="240" w:lineRule="atLeast"/>
              <w:jc w:val="center"/>
              <w:rPr>
                <w:rFonts w:hint="eastAsia" w:ascii="仿宋_GB2312" w:eastAsia="仿宋_GB2312"/>
                <w:color w:val="000000"/>
                <w:sz w:val="24"/>
                <w:highlight w:val="none"/>
                <w:lang w:eastAsia="zh-CN"/>
              </w:rPr>
            </w:pPr>
            <w:r>
              <w:rPr>
                <w:rFonts w:hint="eastAsia" w:ascii="仿宋" w:hAnsi="仿宋" w:eastAsia="仿宋" w:cs="仿宋"/>
                <w:color w:val="000000"/>
                <w:sz w:val="24"/>
                <w:highlight w:val="none"/>
                <w:lang w:val="en-US" w:eastAsia="zh-CN"/>
              </w:rPr>
              <w:t>16</w:t>
            </w:r>
          </w:p>
        </w:tc>
        <w:tc>
          <w:tcPr>
            <w:tcW w:w="7131" w:type="dxa"/>
            <w:noWrap w:val="0"/>
            <w:vAlign w:val="center"/>
          </w:tcPr>
          <w:p w14:paraId="2D0398DE">
            <w:pPr>
              <w:spacing w:line="24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投标截止时间：</w:t>
            </w:r>
            <w:r>
              <w:rPr>
                <w:rFonts w:hint="eastAsia" w:ascii="仿宋" w:hAnsi="仿宋" w:eastAsia="仿宋" w:cs="仿宋"/>
                <w:b/>
                <w:bCs/>
                <w:color w:val="000000"/>
                <w:sz w:val="24"/>
                <w:szCs w:val="24"/>
                <w:highlight w:val="none"/>
                <w:lang w:val="en-US" w:eastAsia="zh-CN"/>
              </w:rPr>
              <w:t>2025年08月01日11：00（北京时间）</w:t>
            </w:r>
          </w:p>
          <w:p w14:paraId="4B4F09F8">
            <w:pPr>
              <w:spacing w:line="24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投标地点：https://www.zcygov.cn在线投标</w:t>
            </w:r>
          </w:p>
        </w:tc>
      </w:tr>
      <w:tr w14:paraId="1FD63B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trPr>
        <w:tc>
          <w:tcPr>
            <w:tcW w:w="1177" w:type="dxa"/>
            <w:noWrap w:val="0"/>
            <w:vAlign w:val="center"/>
          </w:tcPr>
          <w:p w14:paraId="012D3C88">
            <w:pPr>
              <w:spacing w:line="240" w:lineRule="atLeast"/>
              <w:jc w:val="center"/>
              <w:rPr>
                <w:rFonts w:hint="eastAsia" w:ascii="仿宋_GB2312" w:eastAsia="仿宋_GB2312"/>
                <w:color w:val="000000"/>
                <w:sz w:val="24"/>
                <w:highlight w:val="none"/>
                <w:lang w:eastAsia="zh-CN"/>
              </w:rPr>
            </w:pPr>
            <w:r>
              <w:rPr>
                <w:rFonts w:hint="eastAsia" w:ascii="仿宋" w:hAnsi="仿宋" w:eastAsia="仿宋" w:cs="仿宋"/>
                <w:color w:val="000000"/>
                <w:sz w:val="24"/>
                <w:highlight w:val="none"/>
                <w:lang w:val="en-US" w:eastAsia="zh-CN"/>
              </w:rPr>
              <w:t>16.2</w:t>
            </w:r>
          </w:p>
        </w:tc>
        <w:tc>
          <w:tcPr>
            <w:tcW w:w="7131" w:type="dxa"/>
            <w:noWrap w:val="0"/>
            <w:vAlign w:val="center"/>
          </w:tcPr>
          <w:p w14:paraId="5A36182F">
            <w:pPr>
              <w:spacing w:line="24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开标</w:t>
            </w:r>
            <w:r>
              <w:rPr>
                <w:rFonts w:hint="eastAsia" w:ascii="仿宋" w:hAnsi="仿宋" w:eastAsia="仿宋" w:cs="仿宋"/>
                <w:color w:val="000000"/>
                <w:sz w:val="24"/>
                <w:szCs w:val="24"/>
                <w:highlight w:val="none"/>
              </w:rPr>
              <w:t>时间：</w:t>
            </w:r>
            <w:r>
              <w:rPr>
                <w:rFonts w:hint="eastAsia" w:ascii="仿宋" w:hAnsi="仿宋" w:eastAsia="仿宋" w:cs="仿宋"/>
                <w:b/>
                <w:bCs/>
                <w:color w:val="000000"/>
                <w:sz w:val="24"/>
                <w:szCs w:val="24"/>
                <w:highlight w:val="none"/>
                <w:lang w:val="en-US" w:eastAsia="zh-CN"/>
              </w:rPr>
              <w:t>2025年08月01日11：00（北京时间）</w:t>
            </w:r>
          </w:p>
        </w:tc>
      </w:tr>
      <w:tr w14:paraId="1B1EF0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trPr>
        <w:tc>
          <w:tcPr>
            <w:tcW w:w="1177" w:type="dxa"/>
            <w:noWrap w:val="0"/>
            <w:vAlign w:val="center"/>
          </w:tcPr>
          <w:p w14:paraId="094FF8A1">
            <w:pPr>
              <w:spacing w:line="240" w:lineRule="atLeast"/>
              <w:jc w:val="center"/>
              <w:rPr>
                <w:rFonts w:hint="eastAsia" w:ascii="仿宋_GB2312" w:eastAsia="仿宋_GB2312"/>
                <w:color w:val="000000"/>
                <w:sz w:val="24"/>
                <w:highlight w:val="none"/>
                <w:lang w:eastAsia="zh-CN"/>
              </w:rPr>
            </w:pPr>
            <w:r>
              <w:rPr>
                <w:rFonts w:hint="eastAsia" w:ascii="仿宋" w:hAnsi="仿宋" w:eastAsia="仿宋" w:cs="仿宋"/>
                <w:color w:val="000000"/>
                <w:sz w:val="24"/>
                <w:highlight w:val="none"/>
                <w:lang w:val="en-US" w:eastAsia="zh-CN"/>
              </w:rPr>
              <w:t>20.5</w:t>
            </w:r>
          </w:p>
        </w:tc>
        <w:tc>
          <w:tcPr>
            <w:tcW w:w="7131" w:type="dxa"/>
            <w:noWrap w:val="0"/>
            <w:vAlign w:val="center"/>
          </w:tcPr>
          <w:p w14:paraId="4D47A2B9">
            <w:pPr>
              <w:keepNext w:val="0"/>
              <w:keepLines w:val="0"/>
              <w:pageBreakBefore w:val="0"/>
              <w:kinsoku/>
              <w:wordWrap/>
              <w:overflowPunct/>
              <w:topLinePunct w:val="0"/>
              <w:bidi w:val="0"/>
              <w:snapToGrid/>
              <w:spacing w:line="400" w:lineRule="exac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开标</w:t>
            </w:r>
            <w:r>
              <w:rPr>
                <w:rFonts w:hint="eastAsia" w:ascii="仿宋" w:hAnsi="仿宋" w:eastAsia="仿宋" w:cs="仿宋"/>
                <w:color w:val="000000"/>
                <w:sz w:val="24"/>
                <w:szCs w:val="24"/>
                <w:highlight w:val="none"/>
              </w:rPr>
              <w:t>地点：</w:t>
            </w:r>
            <w:r>
              <w:rPr>
                <w:rFonts w:hint="eastAsia" w:ascii="仿宋" w:hAnsi="仿宋" w:eastAsia="仿宋" w:cs="仿宋"/>
                <w:color w:val="000000"/>
                <w:sz w:val="24"/>
                <w:szCs w:val="24"/>
                <w:highlight w:val="none"/>
                <w:lang w:eastAsia="zh-CN"/>
              </w:rPr>
              <w:t>https://www.zcygov.cn</w:t>
            </w:r>
            <w:r>
              <w:rPr>
                <w:rFonts w:hint="eastAsia" w:ascii="仿宋" w:hAnsi="仿宋" w:eastAsia="仿宋" w:cs="仿宋"/>
                <w:color w:val="000000"/>
                <w:sz w:val="24"/>
                <w:szCs w:val="24"/>
                <w:highlight w:val="none"/>
                <w:lang w:val="en-US" w:eastAsia="zh-CN"/>
              </w:rPr>
              <w:t>不见面开标</w:t>
            </w:r>
          </w:p>
        </w:tc>
      </w:tr>
      <w:tr w14:paraId="10BDEA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trPr>
        <w:tc>
          <w:tcPr>
            <w:tcW w:w="1177" w:type="dxa"/>
            <w:noWrap w:val="0"/>
            <w:vAlign w:val="center"/>
          </w:tcPr>
          <w:p w14:paraId="274458E9">
            <w:pPr>
              <w:spacing w:line="240" w:lineRule="atLeast"/>
              <w:jc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26</w:t>
            </w:r>
          </w:p>
        </w:tc>
        <w:tc>
          <w:tcPr>
            <w:tcW w:w="7131" w:type="dxa"/>
            <w:noWrap w:val="0"/>
            <w:vAlign w:val="center"/>
          </w:tcPr>
          <w:p w14:paraId="5C8911CC">
            <w:pPr>
              <w:spacing w:line="240" w:lineRule="atLeast"/>
              <w:rPr>
                <w:rFonts w:hint="eastAsia" w:ascii="仿宋" w:hAnsi="仿宋" w:eastAsia="仿宋" w:cs="仿宋"/>
                <w:i/>
                <w:color w:val="000000"/>
                <w:sz w:val="24"/>
                <w:szCs w:val="24"/>
                <w:highlight w:val="none"/>
              </w:rPr>
            </w:pPr>
            <w:r>
              <w:rPr>
                <w:rFonts w:hint="eastAsia" w:ascii="仿宋" w:hAnsi="仿宋" w:eastAsia="仿宋" w:cs="仿宋"/>
                <w:color w:val="000000"/>
                <w:sz w:val="24"/>
                <w:szCs w:val="24"/>
                <w:highlight w:val="none"/>
              </w:rPr>
              <w:t>评标方法：</w:t>
            </w:r>
            <w:r>
              <w:rPr>
                <w:rFonts w:hint="eastAsia" w:ascii="仿宋" w:hAnsi="仿宋" w:eastAsia="仿宋" w:cs="仿宋"/>
                <w:b/>
                <w:bCs/>
                <w:color w:val="000000"/>
                <w:sz w:val="24"/>
                <w:szCs w:val="24"/>
                <w:highlight w:val="none"/>
              </w:rPr>
              <w:t>综合评分法</w:t>
            </w:r>
            <w:r>
              <w:rPr>
                <w:rFonts w:hint="eastAsia" w:ascii="仿宋" w:hAnsi="仿宋" w:eastAsia="仿宋" w:cs="仿宋"/>
                <w:color w:val="000000"/>
                <w:sz w:val="24"/>
                <w:szCs w:val="24"/>
                <w:highlight w:val="none"/>
              </w:rPr>
              <w:t>　　　</w:t>
            </w:r>
          </w:p>
        </w:tc>
      </w:tr>
      <w:tr w14:paraId="4BD8AA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76" w:hRule="atLeast"/>
        </w:trPr>
        <w:tc>
          <w:tcPr>
            <w:tcW w:w="1177" w:type="dxa"/>
            <w:noWrap w:val="0"/>
            <w:vAlign w:val="center"/>
          </w:tcPr>
          <w:p w14:paraId="796D29B1">
            <w:pPr>
              <w:spacing w:line="240" w:lineRule="atLeast"/>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27</w:t>
            </w:r>
          </w:p>
        </w:tc>
        <w:tc>
          <w:tcPr>
            <w:tcW w:w="7131" w:type="dxa"/>
            <w:noWrap w:val="0"/>
            <w:vAlign w:val="center"/>
          </w:tcPr>
          <w:p w14:paraId="430D0584">
            <w:pPr>
              <w:spacing w:line="240" w:lineRule="atLeas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推荐中标候选</w:t>
            </w:r>
            <w:r>
              <w:rPr>
                <w:rFonts w:hint="eastAsia" w:ascii="仿宋" w:hAnsi="仿宋" w:eastAsia="仿宋" w:cs="仿宋"/>
                <w:color w:val="000000"/>
                <w:sz w:val="24"/>
                <w:szCs w:val="24"/>
                <w:highlight w:val="none"/>
                <w:lang w:eastAsia="zh-CN"/>
              </w:rPr>
              <w:t>投标人</w:t>
            </w:r>
            <w:r>
              <w:rPr>
                <w:rFonts w:hint="eastAsia" w:ascii="仿宋" w:hAnsi="仿宋" w:eastAsia="仿宋" w:cs="仿宋"/>
                <w:color w:val="000000"/>
                <w:sz w:val="24"/>
                <w:szCs w:val="24"/>
                <w:highlight w:val="none"/>
              </w:rPr>
              <w:t>的数量：</w:t>
            </w:r>
            <w:r>
              <w:rPr>
                <w:rFonts w:hint="eastAsia" w:ascii="仿宋" w:hAnsi="仿宋" w:eastAsia="仿宋" w:cs="仿宋"/>
                <w:color w:val="000000"/>
                <w:sz w:val="24"/>
                <w:szCs w:val="24"/>
                <w:highlight w:val="none"/>
                <w:u w:val="single"/>
              </w:rPr>
              <w:t>3个</w:t>
            </w:r>
          </w:p>
        </w:tc>
      </w:tr>
      <w:tr w14:paraId="53C555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1" w:hRule="atLeast"/>
        </w:trPr>
        <w:tc>
          <w:tcPr>
            <w:tcW w:w="1177" w:type="dxa"/>
            <w:noWrap w:val="0"/>
            <w:vAlign w:val="center"/>
          </w:tcPr>
          <w:p w14:paraId="4118183B">
            <w:pPr>
              <w:spacing w:line="240" w:lineRule="atLeast"/>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27</w:t>
            </w:r>
          </w:p>
        </w:tc>
        <w:tc>
          <w:tcPr>
            <w:tcW w:w="7131" w:type="dxa"/>
            <w:noWrap w:val="0"/>
            <w:vAlign w:val="center"/>
          </w:tcPr>
          <w:p w14:paraId="6AD6AC70">
            <w:pPr>
              <w:spacing w:line="240" w:lineRule="atLeast"/>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eastAsia="zh-CN"/>
              </w:rPr>
              <w:t>采购人</w:t>
            </w:r>
            <w:r>
              <w:rPr>
                <w:rFonts w:hint="eastAsia" w:ascii="仿宋" w:hAnsi="仿宋" w:eastAsia="仿宋" w:cs="仿宋"/>
                <w:color w:val="000000"/>
                <w:sz w:val="24"/>
                <w:szCs w:val="24"/>
                <w:highlight w:val="none"/>
              </w:rPr>
              <w:t>是否委托评标委员会直接确定中标人：否（是、否）</w:t>
            </w:r>
          </w:p>
        </w:tc>
      </w:tr>
      <w:tr w14:paraId="1DA717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00" w:hRule="atLeast"/>
        </w:trPr>
        <w:tc>
          <w:tcPr>
            <w:tcW w:w="1177" w:type="dxa"/>
            <w:noWrap w:val="0"/>
            <w:vAlign w:val="center"/>
          </w:tcPr>
          <w:p w14:paraId="20FF41B2">
            <w:pPr>
              <w:spacing w:line="240" w:lineRule="atLeast"/>
              <w:ind w:firstLine="480" w:firstLineChars="20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31</w:t>
            </w:r>
          </w:p>
        </w:tc>
        <w:tc>
          <w:tcPr>
            <w:tcW w:w="7131" w:type="dxa"/>
            <w:noWrap w:val="0"/>
            <w:vAlign w:val="center"/>
          </w:tcPr>
          <w:p w14:paraId="0FF7A8AD">
            <w:pPr>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履约保证金金额：</w:t>
            </w:r>
            <w:r>
              <w:rPr>
                <w:rFonts w:hint="eastAsia" w:ascii="仿宋" w:hAnsi="仿宋" w:eastAsia="仿宋" w:cs="仿宋"/>
                <w:color w:val="000000"/>
                <w:sz w:val="24"/>
                <w:szCs w:val="24"/>
                <w:highlight w:val="none"/>
                <w:lang w:eastAsia="zh-CN"/>
              </w:rPr>
              <w:t>合同价的</w:t>
            </w:r>
            <w:r>
              <w:rPr>
                <w:rFonts w:hint="eastAsia" w:ascii="仿宋" w:hAnsi="仿宋" w:eastAsia="仿宋" w:cs="仿宋"/>
                <w:color w:val="000000"/>
                <w:sz w:val="24"/>
                <w:szCs w:val="24"/>
                <w:highlight w:val="none"/>
                <w:lang w:val="en-US" w:eastAsia="zh-CN"/>
              </w:rPr>
              <w:t>5%</w:t>
            </w:r>
          </w:p>
          <w:p w14:paraId="6A3C06B8">
            <w:pPr>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履约保证金形式：电汇、</w:t>
            </w:r>
            <w:r>
              <w:rPr>
                <w:rFonts w:hint="eastAsia" w:ascii="仿宋" w:hAnsi="仿宋" w:eastAsia="仿宋" w:cs="仿宋"/>
                <w:color w:val="000000"/>
                <w:sz w:val="24"/>
                <w:szCs w:val="24"/>
                <w:highlight w:val="none"/>
                <w:lang w:eastAsia="zh-CN"/>
              </w:rPr>
              <w:t>保函、</w:t>
            </w:r>
            <w:r>
              <w:rPr>
                <w:rFonts w:hint="eastAsia" w:ascii="仿宋" w:hAnsi="仿宋" w:eastAsia="仿宋" w:cs="仿宋"/>
                <w:color w:val="000000"/>
                <w:sz w:val="24"/>
                <w:szCs w:val="24"/>
                <w:highlight w:val="none"/>
              </w:rPr>
              <w:t>网银、支票</w:t>
            </w:r>
          </w:p>
          <w:p w14:paraId="2C509170">
            <w:pPr>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提交履约保证金的时间：领取中标通知书3日内（日历日）</w:t>
            </w:r>
          </w:p>
          <w:p w14:paraId="4F72D6E1">
            <w:pPr>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货物供应并验收合格后无息返还</w:t>
            </w:r>
          </w:p>
        </w:tc>
      </w:tr>
      <w:tr w14:paraId="09301F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29" w:hRule="atLeast"/>
        </w:trPr>
        <w:tc>
          <w:tcPr>
            <w:tcW w:w="1177" w:type="dxa"/>
            <w:noWrap w:val="0"/>
            <w:vAlign w:val="center"/>
          </w:tcPr>
          <w:p w14:paraId="3D1E3DC3">
            <w:pPr>
              <w:spacing w:line="240" w:lineRule="atLeast"/>
              <w:jc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32</w:t>
            </w:r>
          </w:p>
        </w:tc>
        <w:tc>
          <w:tcPr>
            <w:tcW w:w="7131" w:type="dxa"/>
            <w:noWrap w:val="0"/>
            <w:vAlign w:val="center"/>
          </w:tcPr>
          <w:p w14:paraId="758541D2">
            <w:pPr>
              <w:spacing w:line="24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中标服务费：参照发改价格【2015】299文，招标代理服务费由采购单位和代理机构协商确定，由中标人支付代理服务费，收费标准：根据发改价格[2015]299号文件，具体收费如下：100万以下按1.5%收取，100万-300万按1.2%收取，300万-500万按1.1%，500万-800万1%，800万-1000万0.8%，1000万-3000万0.6%，3000万-5000万0.5%，5000万-10000万0.25%，</w:t>
            </w:r>
            <w:r>
              <w:rPr>
                <w:rFonts w:hint="eastAsia" w:ascii="仿宋" w:hAnsi="仿宋" w:eastAsia="仿宋" w:cs="仿宋"/>
                <w:b/>
                <w:bCs/>
                <w:color w:val="000000"/>
                <w:sz w:val="24"/>
                <w:highlight w:val="none"/>
                <w:lang w:val="en-US" w:eastAsia="zh-CN"/>
              </w:rPr>
              <w:t>招标代理服务费：根据（发改价格【2015】299号文件），按差额定率累进法计算，因本项目为单价招标，以预算价为计算基数收取代理服务费。（由中标人在领取中标通知书时一次性支付）</w:t>
            </w:r>
          </w:p>
          <w:p w14:paraId="3C24C755">
            <w:pPr>
              <w:spacing w:line="24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支付时间：领取中标通知书时一次性全额支付</w:t>
            </w:r>
          </w:p>
          <w:p w14:paraId="67023103">
            <w:pPr>
              <w:spacing w:line="24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支付形式：电汇、网银、支票</w:t>
            </w:r>
          </w:p>
        </w:tc>
      </w:tr>
      <w:tr w14:paraId="5EEAA0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2" w:hRule="atLeast"/>
        </w:trPr>
        <w:tc>
          <w:tcPr>
            <w:tcW w:w="1177" w:type="dxa"/>
            <w:noWrap w:val="0"/>
            <w:vAlign w:val="center"/>
          </w:tcPr>
          <w:p w14:paraId="13E93ABF">
            <w:pPr>
              <w:spacing w:line="240" w:lineRule="atLeast"/>
              <w:jc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33.2</w:t>
            </w:r>
          </w:p>
        </w:tc>
        <w:tc>
          <w:tcPr>
            <w:tcW w:w="7131" w:type="dxa"/>
            <w:noWrap w:val="0"/>
            <w:vAlign w:val="center"/>
          </w:tcPr>
          <w:p w14:paraId="2CA52A67">
            <w:pPr>
              <w:spacing w:line="240" w:lineRule="atLeas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本项目是否属于信用担保试点范围：</w:t>
            </w:r>
            <w:r>
              <w:rPr>
                <w:rFonts w:hint="eastAsia" w:ascii="仿宋" w:hAnsi="仿宋" w:eastAsia="仿宋" w:cs="仿宋"/>
                <w:color w:val="000000"/>
                <w:sz w:val="24"/>
                <w:szCs w:val="24"/>
                <w:highlight w:val="none"/>
                <w:u w:val="single"/>
                <w:lang w:val="en-US" w:eastAsia="zh-CN"/>
              </w:rPr>
              <w:t>否</w:t>
            </w:r>
            <w:r>
              <w:rPr>
                <w:rFonts w:hint="eastAsia" w:ascii="仿宋" w:hAnsi="仿宋" w:eastAsia="仿宋" w:cs="仿宋"/>
                <w:i/>
                <w:color w:val="000000"/>
                <w:sz w:val="24"/>
                <w:szCs w:val="24"/>
                <w:highlight w:val="none"/>
              </w:rPr>
              <w:t>（是、否）</w:t>
            </w:r>
          </w:p>
        </w:tc>
      </w:tr>
      <w:tr w14:paraId="444E6A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2" w:hRule="atLeast"/>
        </w:trPr>
        <w:tc>
          <w:tcPr>
            <w:tcW w:w="1177" w:type="dxa"/>
            <w:noWrap w:val="0"/>
            <w:vAlign w:val="center"/>
          </w:tcPr>
          <w:p w14:paraId="42FD6933">
            <w:pPr>
              <w:keepNext w:val="0"/>
              <w:keepLines w:val="0"/>
              <w:widowControl/>
              <w:suppressLineNumbers w:val="0"/>
              <w:spacing w:line="240" w:lineRule="atLeast"/>
              <w:jc w:val="center"/>
              <w:rPr>
                <w:rFonts w:hint="eastAsia" w:ascii="仿宋" w:hAnsi="仿宋" w:eastAsia="仿宋" w:cs="仿宋"/>
                <w:color w:val="000000"/>
                <w:sz w:val="24"/>
                <w:szCs w:val="24"/>
                <w:highlight w:val="none"/>
                <w:lang w:val="en-US" w:eastAsia="zh-CN"/>
              </w:rPr>
            </w:pPr>
            <w:r>
              <w:rPr>
                <w:rFonts w:ascii="仿宋" w:hAnsi="仿宋" w:eastAsia="仿宋" w:cs="仿宋"/>
                <w:color w:val="000000"/>
                <w:kern w:val="0"/>
                <w:sz w:val="24"/>
                <w:szCs w:val="24"/>
                <w:lang w:val="en-US" w:eastAsia="zh-CN" w:bidi="ar"/>
              </w:rPr>
              <w:t>34.3</w:t>
            </w:r>
          </w:p>
        </w:tc>
        <w:tc>
          <w:tcPr>
            <w:tcW w:w="7131" w:type="dxa"/>
            <w:noWrap w:val="0"/>
            <w:vAlign w:val="center"/>
          </w:tcPr>
          <w:p w14:paraId="1CED0690">
            <w:pPr>
              <w:keepNext w:val="0"/>
              <w:keepLines w:val="0"/>
              <w:widowControl/>
              <w:suppressLineNumbers w:val="0"/>
              <w:jc w:val="left"/>
              <w:rPr>
                <w:rFonts w:hint="default" w:ascii="仿宋" w:hAnsi="仿宋" w:eastAsia="仿宋" w:cs="仿宋"/>
                <w:color w:val="000000"/>
                <w:sz w:val="24"/>
                <w:szCs w:val="24"/>
                <w:highlight w:val="none"/>
                <w:lang w:val="en-US"/>
              </w:rPr>
            </w:pPr>
            <w:r>
              <w:rPr>
                <w:rFonts w:ascii="仿宋" w:hAnsi="仿宋" w:eastAsia="仿宋" w:cs="仿宋"/>
                <w:color w:val="000000"/>
                <w:kern w:val="0"/>
                <w:sz w:val="24"/>
                <w:szCs w:val="24"/>
                <w:lang w:val="en-US" w:eastAsia="zh-CN" w:bidi="ar"/>
              </w:rPr>
              <w:t>反腐倡廉监督电话/邮箱：</w:t>
            </w:r>
            <w:r>
              <w:rPr>
                <w:rFonts w:hint="eastAsia" w:ascii="仿宋" w:hAnsi="仿宋" w:eastAsia="仿宋" w:cs="仿宋"/>
                <w:color w:val="000000"/>
                <w:kern w:val="0"/>
                <w:sz w:val="24"/>
                <w:szCs w:val="24"/>
                <w:lang w:val="en-US" w:eastAsia="zh-CN" w:bidi="ar"/>
              </w:rPr>
              <w:t>18999099655</w:t>
            </w:r>
          </w:p>
        </w:tc>
      </w:tr>
      <w:tr w14:paraId="4BBD40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32" w:hRule="atLeast"/>
        </w:trPr>
        <w:tc>
          <w:tcPr>
            <w:tcW w:w="1177" w:type="dxa"/>
            <w:noWrap w:val="0"/>
            <w:vAlign w:val="center"/>
          </w:tcPr>
          <w:p w14:paraId="5438BC19">
            <w:pPr>
              <w:keepNext w:val="0"/>
              <w:keepLines w:val="0"/>
              <w:widowControl/>
              <w:suppressLineNumbers w:val="0"/>
              <w:spacing w:line="240" w:lineRule="atLeast"/>
              <w:jc w:val="center"/>
              <w:rPr>
                <w:rFonts w:ascii="仿宋" w:hAnsi="仿宋" w:eastAsia="仿宋" w:cs="仿宋"/>
                <w:color w:val="000000"/>
                <w:kern w:val="0"/>
                <w:sz w:val="24"/>
                <w:szCs w:val="24"/>
                <w:lang w:val="en-US" w:eastAsia="zh-CN" w:bidi="ar"/>
              </w:rPr>
            </w:pPr>
            <w:r>
              <w:rPr>
                <w:rFonts w:ascii="仿宋" w:hAnsi="仿宋" w:eastAsia="仿宋" w:cs="仿宋"/>
                <w:color w:val="000000"/>
                <w:kern w:val="0"/>
                <w:sz w:val="24"/>
                <w:szCs w:val="24"/>
                <w:lang w:val="en-US" w:eastAsia="zh-CN" w:bidi="ar"/>
              </w:rPr>
              <w:t>36.3</w:t>
            </w:r>
          </w:p>
        </w:tc>
        <w:tc>
          <w:tcPr>
            <w:tcW w:w="7131" w:type="dxa"/>
            <w:noWrap w:val="0"/>
            <w:vAlign w:val="center"/>
          </w:tcPr>
          <w:p w14:paraId="6EF6D844">
            <w:pPr>
              <w:keepNext w:val="0"/>
              <w:keepLines w:val="0"/>
              <w:widowControl/>
              <w:suppressLineNumbers w:val="0"/>
              <w:spacing w:line="240" w:lineRule="auto"/>
              <w:jc w:val="left"/>
            </w:pPr>
            <w:r>
              <w:rPr>
                <w:rFonts w:ascii="仿宋" w:hAnsi="仿宋" w:eastAsia="仿宋" w:cs="仿宋"/>
                <w:color w:val="000000"/>
                <w:kern w:val="0"/>
                <w:sz w:val="24"/>
                <w:szCs w:val="24"/>
                <w:lang w:val="en-US" w:eastAsia="zh-CN" w:bidi="ar"/>
              </w:rPr>
              <w:t>接收部门：</w:t>
            </w:r>
            <w:r>
              <w:rPr>
                <w:rFonts w:hint="eastAsia" w:ascii="仿宋" w:hAnsi="仿宋" w:eastAsia="仿宋" w:cs="仿宋"/>
                <w:color w:val="000000"/>
                <w:kern w:val="0"/>
                <w:sz w:val="24"/>
                <w:szCs w:val="24"/>
                <w:lang w:val="en-US" w:eastAsia="zh-CN" w:bidi="ar"/>
              </w:rPr>
              <w:t>岳普湖县</w:t>
            </w:r>
            <w:r>
              <w:rPr>
                <w:rFonts w:ascii="仿宋" w:hAnsi="仿宋" w:eastAsia="仿宋" w:cs="仿宋"/>
                <w:color w:val="000000"/>
                <w:kern w:val="0"/>
                <w:sz w:val="24"/>
                <w:szCs w:val="24"/>
                <w:lang w:val="en-US" w:eastAsia="zh-CN" w:bidi="ar"/>
              </w:rPr>
              <w:t>财政局政府采购管理办公室</w:t>
            </w:r>
          </w:p>
          <w:p w14:paraId="2A4713DA">
            <w:pPr>
              <w:keepNext w:val="0"/>
              <w:keepLines w:val="0"/>
              <w:widowControl/>
              <w:suppressLineNumbers w:val="0"/>
              <w:spacing w:line="240" w:lineRule="auto"/>
              <w:jc w:val="left"/>
              <w:rPr>
                <w:rFonts w:hint="default"/>
                <w:lang w:val="en-US"/>
              </w:rPr>
            </w:pPr>
            <w:r>
              <w:rPr>
                <w:rFonts w:ascii="仿宋" w:hAnsi="仿宋" w:eastAsia="仿宋" w:cs="仿宋"/>
                <w:color w:val="000000"/>
                <w:kern w:val="0"/>
                <w:sz w:val="24"/>
                <w:szCs w:val="24"/>
                <w:lang w:val="en-US" w:eastAsia="zh-CN" w:bidi="ar"/>
              </w:rPr>
              <w:t>联系电话：</w:t>
            </w:r>
            <w:r>
              <w:rPr>
                <w:rFonts w:hint="eastAsia" w:ascii="仿宋" w:hAnsi="仿宋" w:eastAsia="仿宋" w:cs="仿宋"/>
                <w:color w:val="000000"/>
                <w:kern w:val="0"/>
                <w:sz w:val="24"/>
                <w:szCs w:val="24"/>
                <w:lang w:val="en-US" w:eastAsia="zh-CN" w:bidi="ar"/>
              </w:rPr>
              <w:t>18999099655</w:t>
            </w:r>
          </w:p>
          <w:p w14:paraId="78EECA48">
            <w:pPr>
              <w:keepNext w:val="0"/>
              <w:keepLines w:val="0"/>
              <w:widowControl/>
              <w:suppressLineNumbers w:val="0"/>
              <w:spacing w:line="240" w:lineRule="auto"/>
              <w:jc w:val="left"/>
              <w:rPr>
                <w:rFonts w:ascii="仿宋" w:hAnsi="仿宋" w:eastAsia="仿宋" w:cs="仿宋"/>
                <w:color w:val="000000"/>
                <w:kern w:val="0"/>
                <w:sz w:val="24"/>
                <w:szCs w:val="24"/>
                <w:lang w:val="en-US" w:eastAsia="zh-CN" w:bidi="ar"/>
              </w:rPr>
            </w:pPr>
            <w:r>
              <w:rPr>
                <w:rFonts w:ascii="仿宋" w:hAnsi="仿宋" w:eastAsia="仿宋" w:cs="仿宋"/>
                <w:color w:val="000000"/>
                <w:kern w:val="0"/>
                <w:sz w:val="24"/>
                <w:szCs w:val="24"/>
                <w:lang w:val="en-US" w:eastAsia="zh-CN" w:bidi="ar"/>
              </w:rPr>
              <w:t>通讯地址：</w:t>
            </w:r>
            <w:r>
              <w:rPr>
                <w:rFonts w:hint="eastAsia" w:ascii="仿宋" w:hAnsi="仿宋" w:eastAsia="仿宋" w:cs="仿宋"/>
                <w:color w:val="000000"/>
                <w:kern w:val="0"/>
                <w:sz w:val="24"/>
                <w:szCs w:val="24"/>
                <w:lang w:val="en-US" w:eastAsia="zh-CN" w:bidi="ar"/>
              </w:rPr>
              <w:t>岳普湖县</w:t>
            </w:r>
            <w:r>
              <w:rPr>
                <w:rFonts w:ascii="仿宋" w:hAnsi="仿宋" w:eastAsia="仿宋" w:cs="仿宋"/>
                <w:color w:val="000000"/>
                <w:kern w:val="0"/>
                <w:sz w:val="24"/>
                <w:szCs w:val="24"/>
                <w:lang w:val="en-US" w:eastAsia="zh-CN" w:bidi="ar"/>
              </w:rPr>
              <w:t>财政局</w:t>
            </w:r>
          </w:p>
        </w:tc>
      </w:tr>
      <w:tr w14:paraId="6D9AF9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7" w:hRule="atLeast"/>
        </w:trPr>
        <w:tc>
          <w:tcPr>
            <w:tcW w:w="8308" w:type="dxa"/>
            <w:gridSpan w:val="2"/>
            <w:tcBorders>
              <w:top w:val="single" w:color="auto" w:sz="12" w:space="0"/>
              <w:left w:val="single" w:color="auto" w:sz="12" w:space="0"/>
              <w:bottom w:val="single" w:color="auto" w:sz="12" w:space="0"/>
              <w:right w:val="single" w:color="auto" w:sz="12" w:space="0"/>
            </w:tcBorders>
            <w:noWrap w:val="0"/>
            <w:vAlign w:val="center"/>
          </w:tcPr>
          <w:p w14:paraId="7F120295">
            <w:pPr>
              <w:spacing w:line="240" w:lineRule="atLeast"/>
              <w:ind w:left="1080" w:leftChars="257" w:hanging="54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适用于本投标人须知的额外增加的变动：</w:t>
            </w:r>
            <w:r>
              <w:rPr>
                <w:rFonts w:hint="eastAsia" w:ascii="仿宋" w:hAnsi="仿宋" w:eastAsia="仿宋" w:cs="仿宋"/>
                <w:color w:val="000000"/>
                <w:sz w:val="24"/>
                <w:szCs w:val="24"/>
                <w:highlight w:val="none"/>
                <w:lang w:eastAsia="zh-CN"/>
              </w:rPr>
              <w:t>无</w:t>
            </w:r>
          </w:p>
        </w:tc>
      </w:tr>
    </w:tbl>
    <w:p w14:paraId="6D04BE10">
      <w:pPr>
        <w:spacing w:line="240" w:lineRule="atLeast"/>
        <w:ind w:left="1080" w:leftChars="257" w:hanging="540"/>
        <w:rPr>
          <w:rFonts w:ascii="仿宋_GB2312" w:eastAsia="仿宋_GB2312"/>
          <w:color w:val="000000"/>
          <w:sz w:val="24"/>
          <w:highlight w:val="none"/>
        </w:rPr>
        <w:sectPr>
          <w:pgSz w:w="11906" w:h="16838"/>
          <w:pgMar w:top="1440" w:right="1797" w:bottom="1440" w:left="1797" w:header="851" w:footer="992" w:gutter="0"/>
          <w:pgNumType w:fmt="decimal"/>
          <w:cols w:space="720" w:num="1"/>
          <w:docGrid w:linePitch="312" w:charSpace="0"/>
        </w:sectPr>
      </w:pPr>
    </w:p>
    <w:p w14:paraId="5EB32D8B">
      <w:pPr>
        <w:pStyle w:val="2"/>
        <w:numPr>
          <w:ilvl w:val="0"/>
          <w:numId w:val="8"/>
        </w:numPr>
        <w:tabs>
          <w:tab w:val="left" w:pos="0"/>
        </w:tabs>
        <w:spacing w:before="0" w:after="0" w:line="360" w:lineRule="auto"/>
        <w:rPr>
          <w:rFonts w:hint="eastAsia" w:ascii="仿宋_GB2312" w:eastAsia="仿宋_GB2312"/>
          <w:highlight w:val="none"/>
        </w:rPr>
      </w:pPr>
      <w:bookmarkStart w:id="296" w:name="_Toc8205"/>
      <w:bookmarkStart w:id="297" w:name="_Toc32007"/>
      <w:bookmarkStart w:id="298" w:name="_Toc9981"/>
      <w:bookmarkStart w:id="299" w:name="_Toc29707"/>
      <w:bookmarkStart w:id="300" w:name="_Toc45641511"/>
      <w:r>
        <w:rPr>
          <w:rFonts w:hint="eastAsia" w:ascii="仿宋" w:hAnsi="仿宋" w:eastAsia="仿宋" w:cs="仿宋"/>
          <w:highlight w:val="none"/>
        </w:rPr>
        <w:t>货物需求一览表及要求</w:t>
      </w:r>
      <w:bookmarkEnd w:id="296"/>
      <w:bookmarkEnd w:id="297"/>
      <w:bookmarkEnd w:id="298"/>
      <w:bookmarkEnd w:id="299"/>
      <w:bookmarkEnd w:id="300"/>
      <w:bookmarkStart w:id="301" w:name="_Toc32647"/>
      <w:bookmarkStart w:id="302" w:name="_Toc7971"/>
      <w:bookmarkStart w:id="303" w:name="_Toc507399907"/>
      <w:bookmarkStart w:id="304" w:name="_Toc515647832"/>
      <w:bookmarkStart w:id="305" w:name="_Toc25078"/>
    </w:p>
    <w:p w14:paraId="7C15BEEC">
      <w:pPr>
        <w:jc w:val="center"/>
        <w:rPr>
          <w:rFonts w:hint="eastAsia" w:ascii="仿宋" w:hAnsi="仿宋" w:eastAsia="仿宋" w:cs="仿宋"/>
          <w:b/>
          <w:bCs/>
          <w:color w:val="000000"/>
          <w:sz w:val="32"/>
          <w:szCs w:val="32"/>
          <w:highlight w:val="none"/>
          <w:lang w:val="en-US" w:eastAsia="zh-CN"/>
        </w:rPr>
      </w:pPr>
      <w:r>
        <w:rPr>
          <w:rFonts w:hint="eastAsia" w:ascii="仿宋" w:hAnsi="仿宋" w:eastAsia="仿宋" w:cs="仿宋"/>
          <w:b/>
          <w:bCs/>
          <w:color w:val="000000"/>
          <w:sz w:val="32"/>
          <w:szCs w:val="32"/>
          <w:highlight w:val="none"/>
          <w:lang w:val="en-US" w:eastAsia="zh-CN"/>
        </w:rPr>
        <w:t>第一包</w:t>
      </w:r>
    </w:p>
    <w:p w14:paraId="420C2469">
      <w:pPr>
        <w:jc w:val="center"/>
        <w:rPr>
          <w:rFonts w:hint="eastAsia" w:ascii="仿宋" w:hAnsi="仿宋" w:eastAsia="仿宋" w:cs="仿宋"/>
          <w:b/>
          <w:bCs/>
          <w:color w:val="000000"/>
          <w:sz w:val="24"/>
          <w:highlight w:val="none"/>
          <w:lang w:val="en-US" w:eastAsia="zh-CN"/>
        </w:rPr>
      </w:pPr>
    </w:p>
    <w:tbl>
      <w:tblPr>
        <w:tblStyle w:val="37"/>
        <w:tblW w:w="1451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60"/>
        <w:gridCol w:w="7599"/>
        <w:gridCol w:w="2184"/>
        <w:gridCol w:w="2040"/>
        <w:gridCol w:w="1633"/>
      </w:tblGrid>
      <w:tr w14:paraId="4BFB1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A9767">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食材名称</w:t>
            </w:r>
          </w:p>
        </w:tc>
        <w:tc>
          <w:tcPr>
            <w:tcW w:w="7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8890D">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合同规定参数</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ADFEB">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规格型号（如：25公斤∕袋、200ml*24盒∕件…)</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97C11">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计量单位（kg、升、袋、瓶、箱、盒）</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CA8C1">
            <w:pPr>
              <w:jc w:val="center"/>
              <w:rPr>
                <w:rFonts w:hint="default"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最高限价</w:t>
            </w:r>
          </w:p>
        </w:tc>
      </w:tr>
      <w:tr w14:paraId="628E5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1" w:hRule="atLeast"/>
        </w:trPr>
        <w:tc>
          <w:tcPr>
            <w:tcW w:w="10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9E8DD">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大米</w:t>
            </w:r>
          </w:p>
        </w:tc>
        <w:tc>
          <w:tcPr>
            <w:tcW w:w="7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C76D0">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一级、优质、独立包装（25公斤/袋），颗粒饱满；来源可追溯；包装完好，无破损、受潮；无杂质，色泽正常均匀，无异味；符合《食品安全法》有关规定和要求。</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C1093">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25公斤∕袋</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385C8">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1kg</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9C48A">
            <w:pPr>
              <w:jc w:val="center"/>
              <w:rPr>
                <w:rFonts w:hint="default"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5.4元</w:t>
            </w:r>
          </w:p>
        </w:tc>
      </w:tr>
      <w:tr w14:paraId="7C6AB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1" w:hRule="atLeast"/>
        </w:trPr>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BB5B0">
            <w:pPr>
              <w:jc w:val="center"/>
              <w:rPr>
                <w:rFonts w:hint="eastAsia" w:ascii="仿宋" w:hAnsi="仿宋" w:eastAsia="仿宋" w:cs="仿宋"/>
                <w:b/>
                <w:bCs/>
                <w:color w:val="000000"/>
                <w:sz w:val="24"/>
                <w:highlight w:val="none"/>
                <w:lang w:val="en-US" w:eastAsia="zh-CN"/>
              </w:rPr>
            </w:pPr>
          </w:p>
        </w:tc>
        <w:tc>
          <w:tcPr>
            <w:tcW w:w="7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21618">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一级、优质、独立包装（10公斤/袋），颗粒饱满；包装完好，无破损、受潮；无杂质，色泽正常均匀，无异味；符合《食品安全法》有关规定和要求。</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F5570">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10公斤∕袋</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77A20">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1kg</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115EF">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5.4元</w:t>
            </w:r>
          </w:p>
        </w:tc>
      </w:tr>
      <w:tr w14:paraId="18886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1" w:hRule="atLeast"/>
        </w:trPr>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98D61">
            <w:pPr>
              <w:jc w:val="center"/>
              <w:rPr>
                <w:rFonts w:hint="eastAsia" w:ascii="仿宋" w:hAnsi="仿宋" w:eastAsia="仿宋" w:cs="仿宋"/>
                <w:b/>
                <w:bCs/>
                <w:color w:val="000000"/>
                <w:sz w:val="24"/>
                <w:highlight w:val="none"/>
                <w:lang w:val="en-US" w:eastAsia="zh-CN"/>
              </w:rPr>
            </w:pPr>
          </w:p>
        </w:tc>
        <w:tc>
          <w:tcPr>
            <w:tcW w:w="7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F09C1">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一级、优质、独立包装（5公斤/袋），颗粒饱满；包装完好，无破损、受潮；无杂质，色泽正常均匀，无异味；符合《食品安全法》有关规定和要求。</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E3859">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5公斤∕袋</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AD4E6">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1kg</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F2999">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5.4元</w:t>
            </w:r>
          </w:p>
        </w:tc>
      </w:tr>
      <w:tr w14:paraId="369B0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0" w:hRule="atLeast"/>
        </w:trPr>
        <w:tc>
          <w:tcPr>
            <w:tcW w:w="10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9ED3A">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面粉</w:t>
            </w:r>
          </w:p>
        </w:tc>
        <w:tc>
          <w:tcPr>
            <w:tcW w:w="7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40029">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精制粉，独立包装（25公斤/袋），来源可追溯；包装完好无破损，无受潮结块；色泽正常，无霉斑，无异味；符合《食品安全法》有关规定和要求。</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6305D">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25公斤∕袋</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15E6">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1kg</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6D766">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3.64元</w:t>
            </w:r>
          </w:p>
        </w:tc>
      </w:tr>
      <w:tr w14:paraId="7F5B2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F424B">
            <w:pPr>
              <w:jc w:val="center"/>
              <w:rPr>
                <w:rFonts w:hint="eastAsia" w:ascii="仿宋" w:hAnsi="仿宋" w:eastAsia="仿宋" w:cs="仿宋"/>
                <w:b/>
                <w:bCs/>
                <w:color w:val="000000"/>
                <w:sz w:val="24"/>
                <w:highlight w:val="none"/>
                <w:lang w:val="en-US" w:eastAsia="zh-CN"/>
              </w:rPr>
            </w:pPr>
          </w:p>
        </w:tc>
        <w:tc>
          <w:tcPr>
            <w:tcW w:w="7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E792F">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精制粉，独立包装（10公/袋）；来源可追溯；包装完好无破损，无受潮结块；色泽正常，无霉斑，无异味；符合《食品安全法》有关规定和要求。</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104FC">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10公斤∕袋</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7E8AA">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1kg</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ED77F">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3.64元</w:t>
            </w:r>
          </w:p>
        </w:tc>
      </w:tr>
      <w:tr w14:paraId="3FFFD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8" w:hRule="atLeast"/>
        </w:trPr>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7B4F6">
            <w:pPr>
              <w:jc w:val="center"/>
              <w:rPr>
                <w:rFonts w:hint="eastAsia" w:ascii="仿宋" w:hAnsi="仿宋" w:eastAsia="仿宋" w:cs="仿宋"/>
                <w:b/>
                <w:bCs/>
                <w:color w:val="000000"/>
                <w:sz w:val="24"/>
                <w:highlight w:val="none"/>
                <w:lang w:val="en-US" w:eastAsia="zh-CN"/>
              </w:rPr>
            </w:pPr>
          </w:p>
        </w:tc>
        <w:tc>
          <w:tcPr>
            <w:tcW w:w="7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A4FCF">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精制粉，独立包装（5公/袋）；来源可追溯；包装完好无破损，无受潮结块；色泽正常，无霉斑，无异味；符合《食品安全法》有关规定和要求。</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87728">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5公斤∕袋</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76930">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1kg</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0EADC">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3.64元</w:t>
            </w:r>
          </w:p>
        </w:tc>
      </w:tr>
      <w:tr w14:paraId="34F5E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trPr>
        <w:tc>
          <w:tcPr>
            <w:tcW w:w="10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1FD9E">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玉米粉</w:t>
            </w:r>
          </w:p>
        </w:tc>
        <w:tc>
          <w:tcPr>
            <w:tcW w:w="7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50B90">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一级玉米粉，独立包装（25公斤/袋）；来源可追溯；包装完好无破损，无受潮结块；色泽正常，无霉斑，无异味；符合《食品安全法》有关规定和要求。</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A4696">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25公斤∕袋</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A9C27">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1kg</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AB40C">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3元</w:t>
            </w:r>
          </w:p>
        </w:tc>
      </w:tr>
      <w:tr w14:paraId="14882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9" w:hRule="atLeast"/>
        </w:trPr>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6143E">
            <w:pPr>
              <w:jc w:val="center"/>
              <w:rPr>
                <w:rFonts w:hint="eastAsia" w:ascii="仿宋" w:hAnsi="仿宋" w:eastAsia="仿宋" w:cs="仿宋"/>
                <w:b/>
                <w:bCs/>
                <w:color w:val="000000"/>
                <w:sz w:val="24"/>
                <w:highlight w:val="none"/>
                <w:lang w:val="en-US" w:eastAsia="zh-CN"/>
              </w:rPr>
            </w:pPr>
          </w:p>
        </w:tc>
        <w:tc>
          <w:tcPr>
            <w:tcW w:w="7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8BAA4">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一级玉米粉，独立包装（10公斤/袋）；来源可追溯；包装完好无破损，无受潮结块；色泽正常，无霉斑，无异味；符合《食品安全法》有关规定和要求。</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DE805">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10公斤∕袋</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0FE95">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1kg</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490F7">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3元</w:t>
            </w:r>
          </w:p>
        </w:tc>
      </w:tr>
      <w:tr w14:paraId="3502C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9" w:hRule="atLeast"/>
        </w:trPr>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AEA20">
            <w:pPr>
              <w:jc w:val="center"/>
              <w:rPr>
                <w:rFonts w:hint="eastAsia" w:ascii="仿宋" w:hAnsi="仿宋" w:eastAsia="仿宋" w:cs="仿宋"/>
                <w:b/>
                <w:bCs/>
                <w:color w:val="000000"/>
                <w:sz w:val="24"/>
                <w:highlight w:val="none"/>
                <w:lang w:val="en-US" w:eastAsia="zh-CN"/>
              </w:rPr>
            </w:pPr>
          </w:p>
        </w:tc>
        <w:tc>
          <w:tcPr>
            <w:tcW w:w="7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24A80">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一级玉米粉，独立包装（5公斤/袋）；来源可追溯；包装完好无破损，无受潮结块；色泽正常，无霉斑，无异味；符合《食品安全法》有关规定和要求。</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AE46D">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5公斤∕袋</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64991">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1kg</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B7482">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3元</w:t>
            </w:r>
          </w:p>
        </w:tc>
      </w:tr>
      <w:tr w14:paraId="64063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10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E1A87">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小米</w:t>
            </w:r>
          </w:p>
        </w:tc>
        <w:tc>
          <w:tcPr>
            <w:tcW w:w="7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9857B">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精致小米，独立包装（25公斤/袋）；来源可追溯；包装完好无破损，颗粒饱满，色泽均匀，无杂质，无异味；符合《食品安全法》有关规定和要求。</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6C261">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25公斤∕袋</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B4273">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1kg</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7AAE6">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10元</w:t>
            </w:r>
          </w:p>
        </w:tc>
      </w:tr>
      <w:tr w14:paraId="773AB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C8B56">
            <w:pPr>
              <w:jc w:val="center"/>
              <w:rPr>
                <w:rFonts w:hint="eastAsia" w:ascii="仿宋" w:hAnsi="仿宋" w:eastAsia="仿宋" w:cs="仿宋"/>
                <w:b/>
                <w:bCs/>
                <w:color w:val="000000"/>
                <w:sz w:val="24"/>
                <w:highlight w:val="none"/>
                <w:lang w:val="en-US" w:eastAsia="zh-CN"/>
              </w:rPr>
            </w:pPr>
          </w:p>
        </w:tc>
        <w:tc>
          <w:tcPr>
            <w:tcW w:w="7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5CF6F">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精致小米，独立包装（10公斤/袋）；来源可追溯；包装完好无破损，颗粒饱满，色泽均匀，无杂质，无异味；符合《食品安全法》有关规定和要求。</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E788D">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10公斤∕袋</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68FE8">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1kg</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23C83">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10元</w:t>
            </w:r>
          </w:p>
        </w:tc>
      </w:tr>
      <w:tr w14:paraId="74009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0" w:hRule="atLeast"/>
        </w:trPr>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FB5E9">
            <w:pPr>
              <w:jc w:val="center"/>
              <w:rPr>
                <w:rFonts w:hint="eastAsia" w:ascii="仿宋" w:hAnsi="仿宋" w:eastAsia="仿宋" w:cs="仿宋"/>
                <w:b/>
                <w:bCs/>
                <w:color w:val="000000"/>
                <w:sz w:val="24"/>
                <w:highlight w:val="none"/>
                <w:lang w:val="en-US" w:eastAsia="zh-CN"/>
              </w:rPr>
            </w:pPr>
          </w:p>
        </w:tc>
        <w:tc>
          <w:tcPr>
            <w:tcW w:w="7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33F23">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精致小米，独立包装（5公斤/袋）；来源可追溯；包装完好无破损，颗粒饱满，色泽均匀，无杂质，无异味；符合《食品安全法》有关规定和要求。</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5F3E3">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5公斤∕袋</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1BC25">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1kg</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FDE18">
            <w:pPr>
              <w:jc w:val="center"/>
              <w:rPr>
                <w:rFonts w:hint="default"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10元</w:t>
            </w:r>
          </w:p>
        </w:tc>
      </w:tr>
      <w:tr w14:paraId="6436C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6" w:hRule="atLeast"/>
        </w:trPr>
        <w:tc>
          <w:tcPr>
            <w:tcW w:w="10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CB6E4">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清油</w:t>
            </w:r>
          </w:p>
        </w:tc>
        <w:tc>
          <w:tcPr>
            <w:tcW w:w="7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2124A">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一级压榨菜籽油，独立包装（5L/桶）；来源可追溯；色泽浅黄色至金黄色，清澈透明，无明显浑浊或沉淀；符合《食品安全法》有关规定和要求。</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D8F4E">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5L/桶</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A6FBB">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1升</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BC4D1">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12元</w:t>
            </w:r>
          </w:p>
        </w:tc>
      </w:tr>
      <w:tr w14:paraId="0C72E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0A8F7">
            <w:pPr>
              <w:jc w:val="center"/>
              <w:rPr>
                <w:rFonts w:hint="eastAsia" w:ascii="仿宋" w:hAnsi="仿宋" w:eastAsia="仿宋" w:cs="仿宋"/>
                <w:b/>
                <w:bCs/>
                <w:color w:val="000000"/>
                <w:sz w:val="24"/>
                <w:highlight w:val="none"/>
                <w:lang w:val="en-US" w:eastAsia="zh-CN"/>
              </w:rPr>
            </w:pPr>
          </w:p>
        </w:tc>
        <w:tc>
          <w:tcPr>
            <w:tcW w:w="7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A6024">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一级压榨菜籽油，独立包装（1L/桶）；来源可追溯；色泽浅黄色至金黄色，清澈透明，无明显浑浊或沉淀；符合《食品安全法》有关规定和要求。</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AD92D">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1L/桶</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0A14D">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1升</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162B0">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12元</w:t>
            </w:r>
          </w:p>
        </w:tc>
      </w:tr>
      <w:tr w14:paraId="782C5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0006C">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糕点</w:t>
            </w:r>
          </w:p>
        </w:tc>
        <w:tc>
          <w:tcPr>
            <w:tcW w:w="7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E7735">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新鲜.独立包装≥40克/个，符合国家食品卫生的有关规定，各种添加剂含量不得超过国家标准；来源可追溯；符合《食品安全法》有关规定和要求。</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8165C">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40克/袋</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50EBE">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1包</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6E52A">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0.85元</w:t>
            </w:r>
          </w:p>
        </w:tc>
      </w:tr>
      <w:tr w14:paraId="4270E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217A3">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馕（包装）</w:t>
            </w:r>
          </w:p>
        </w:tc>
        <w:tc>
          <w:tcPr>
            <w:tcW w:w="7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B11E6">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新鲜、独立包装，≥100~150克/袋，质量合格，卫生达标；来源可追溯；符合《食品安全法》有关规定和要求。</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9C4ED">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100~150克/袋</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D5D07">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1袋</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57386">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1元</w:t>
            </w:r>
          </w:p>
        </w:tc>
      </w:tr>
      <w:tr w14:paraId="29A70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309D7">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馕</w:t>
            </w:r>
          </w:p>
        </w:tc>
        <w:tc>
          <w:tcPr>
            <w:tcW w:w="7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2D667">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新鲜、≥150克/个，质量合格，卫生达标；来源可追溯；符合《食品安全法》有关规定和要</w:t>
            </w:r>
            <w:bookmarkStart w:id="310" w:name="_GoBack"/>
            <w:bookmarkEnd w:id="310"/>
            <w:r>
              <w:rPr>
                <w:rFonts w:hint="eastAsia" w:ascii="仿宋" w:hAnsi="仿宋" w:eastAsia="仿宋" w:cs="仿宋"/>
                <w:b/>
                <w:bCs/>
                <w:color w:val="000000"/>
                <w:sz w:val="24"/>
                <w:highlight w:val="none"/>
                <w:lang w:val="en-US" w:eastAsia="zh-CN"/>
              </w:rPr>
              <w:t>求。</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FCC28">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150克/个</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A3A84">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1个</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D38CD">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1元</w:t>
            </w:r>
          </w:p>
        </w:tc>
      </w:tr>
      <w:tr w14:paraId="3F815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AD272">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牛奶</w:t>
            </w:r>
          </w:p>
        </w:tc>
        <w:tc>
          <w:tcPr>
            <w:tcW w:w="7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46C50">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独立包装200克毫升/袋，保质期不超过180天，新鲜原味纯牛奶，来源可追溯；符合《食品安全法》有关规定和要求。</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4F1FB">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200克/袋</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61879">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1袋</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D0AA3">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1.85元</w:t>
            </w:r>
          </w:p>
        </w:tc>
      </w:tr>
      <w:tr w14:paraId="7344B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87C26">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酸奶</w:t>
            </w:r>
          </w:p>
        </w:tc>
        <w:tc>
          <w:tcPr>
            <w:tcW w:w="7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1D03A">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独立包装100克/袋~150克/袋，保质期不超过180天；包装完好无破损；指标含量符合国家相关标准；来源可追溯；符合《食品安全法》有关规定和要求。</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5E048">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100克/袋-150克/袋</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39D96">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1袋</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78267">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2元</w:t>
            </w:r>
          </w:p>
        </w:tc>
      </w:tr>
      <w:tr w14:paraId="1F3E7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925FF">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鸡蛋</w:t>
            </w:r>
          </w:p>
        </w:tc>
        <w:tc>
          <w:tcPr>
            <w:tcW w:w="7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EEA60">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新鲜鸡蛋，单枚重量在50-60克，质量合格，卫生达标；蛋壳颜色均匀，无褪色、斑点，表面光泽，无裂缝，无畸形；符合《食品安全法》有关规定和要求。</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DB3B7">
            <w:pPr>
              <w:jc w:val="center"/>
              <w:rPr>
                <w:rFonts w:hint="default"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50-60克/个</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C3BF9">
            <w:pPr>
              <w:jc w:val="center"/>
              <w:rPr>
                <w:rFonts w:hint="default"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个</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9F33D">
            <w:pPr>
              <w:jc w:val="center"/>
              <w:rPr>
                <w:rFonts w:hint="default"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0.47元</w:t>
            </w:r>
          </w:p>
        </w:tc>
      </w:tr>
      <w:tr w14:paraId="1AABD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AF43D">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食盐</w:t>
            </w:r>
          </w:p>
        </w:tc>
        <w:tc>
          <w:tcPr>
            <w:tcW w:w="7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02008">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精致加碘盐，独立包装≥500克/袋；来源可追溯；成分表符合国家相关标准；包装无破损，色泽均匀，无受潮结块；符合《食品安全法》有关规定和要求。</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F60EB">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500克/袋</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A2555">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1袋</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693EA">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1.18元</w:t>
            </w:r>
          </w:p>
        </w:tc>
      </w:tr>
      <w:tr w14:paraId="0B878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00CFC">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食醋</w:t>
            </w:r>
          </w:p>
        </w:tc>
        <w:tc>
          <w:tcPr>
            <w:tcW w:w="7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BDE74">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优质食醋，独立包装（5升/桶）；来源可追溯；包装完好无破损，色泽均匀，无明显浑浊或沉淀，无异味；符合《食品安全法》有关规定和要求。</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65881">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5升/桶</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8F155">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1升</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42B35">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2.96元</w:t>
            </w:r>
          </w:p>
        </w:tc>
      </w:tr>
      <w:tr w14:paraId="22A5C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30696">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大盘鸡调料</w:t>
            </w:r>
          </w:p>
        </w:tc>
        <w:tc>
          <w:tcPr>
            <w:tcW w:w="7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67A38">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干式，独立包装100克/袋，无破损，无过期，来源可追溯；符合《食品安全法》有关规定和要求。</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D2574">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100克/袋</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98C07">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1袋</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A1CE9">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4.8元</w:t>
            </w:r>
          </w:p>
        </w:tc>
      </w:tr>
      <w:tr w14:paraId="29635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C30EE">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白砂糖</w:t>
            </w:r>
          </w:p>
        </w:tc>
        <w:tc>
          <w:tcPr>
            <w:tcW w:w="7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7AB73">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独立包装，500克/袋，来源可追溯；必须符合国家饮食品卫生标准，不掺假、不过期、不变质、不变味、无杂质、无毒无害、符合国家食品卫生的有关规定，不得出现腐烂、变质、过期，以次充好等情况；符合《食品安全法》有关规定和要求。</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8424D">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500克/袋</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9B85D">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1袋</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46AA7">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7.26元</w:t>
            </w:r>
          </w:p>
        </w:tc>
      </w:tr>
      <w:tr w14:paraId="20CE8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DDBD6">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红糖</w:t>
            </w:r>
          </w:p>
        </w:tc>
        <w:tc>
          <w:tcPr>
            <w:tcW w:w="7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FEB6C">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独立包装，100克/袋，来源可追溯；必须符合国家饮食品卫生标准，不掺假、不过期、不变质、不变味、无杂质、无毒无害、符合国家食品卫生的有关规定，不得出现腐烂、变质、过期，以次充好等情况；符合《食品安全法》有关规定和要求。</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454D8">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500克/袋</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FF7EA">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1袋</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C7711">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7.43元</w:t>
            </w:r>
          </w:p>
        </w:tc>
      </w:tr>
      <w:tr w14:paraId="0C28B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B9784">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粉条</w:t>
            </w:r>
          </w:p>
        </w:tc>
        <w:tc>
          <w:tcPr>
            <w:tcW w:w="7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96F46">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独立包装，500克/袋，来源可追溯；必须符合国家饮食品卫生标准，不掺假、不过期、不变质、不变味、无杂质、无毒无害、符合国家食品卫生的有关规定，不得出现腐烂、变质、过期，以次充好等情况；符合《食品安全法》有关规定和要求。</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B4721">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300-350克/袋</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A52D4">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1袋</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07479">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3.25元</w:t>
            </w:r>
          </w:p>
        </w:tc>
      </w:tr>
      <w:tr w14:paraId="4D05E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8EF43">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玉米（真空包装）</w:t>
            </w:r>
          </w:p>
        </w:tc>
        <w:tc>
          <w:tcPr>
            <w:tcW w:w="7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51D4A">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独立包装，来源可追溯；无防腐剂、色素或其他添加剂，必须符合国家饮食品卫生标准，不掺假、不过期、不变质、不变味、无杂质、无毒无害、不得出现腐烂、变质、过期，以次充好等情况；符合《食品安全法》有关规定和要求。</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51BA0">
            <w:pPr>
              <w:jc w:val="center"/>
              <w:rPr>
                <w:rFonts w:hint="eastAsia" w:ascii="仿宋" w:hAnsi="仿宋" w:eastAsia="仿宋" w:cs="仿宋"/>
                <w:b/>
                <w:bCs/>
                <w:color w:val="000000"/>
                <w:sz w:val="24"/>
                <w:highlight w:val="none"/>
                <w:lang w:val="en-US" w:eastAsia="zh-CN"/>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27221">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1袋</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668A8">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3元</w:t>
            </w:r>
          </w:p>
        </w:tc>
      </w:tr>
      <w:tr w14:paraId="6A2A2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CCD20">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发酵粉</w:t>
            </w:r>
          </w:p>
        </w:tc>
        <w:tc>
          <w:tcPr>
            <w:tcW w:w="7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2C59A">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独立包装12克/袋，无破损；来源可追溯；符合《食品安全法》有关规定和要求。</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A2234">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12克/袋</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83951">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1袋</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71F3C">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0.45元</w:t>
            </w:r>
          </w:p>
        </w:tc>
      </w:tr>
      <w:tr w14:paraId="71EF1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1C832">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小苏打</w:t>
            </w:r>
          </w:p>
        </w:tc>
        <w:tc>
          <w:tcPr>
            <w:tcW w:w="7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8054A">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独立包装80克/袋，无破损；来源可追溯；符合《食品安全法》有关规定和要求。</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FA52A">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80克/袋</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79358">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1袋</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5D8B8">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0.7元</w:t>
            </w:r>
          </w:p>
        </w:tc>
      </w:tr>
      <w:tr w14:paraId="4ADFA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ECD7F">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酱油</w:t>
            </w:r>
          </w:p>
        </w:tc>
        <w:tc>
          <w:tcPr>
            <w:tcW w:w="7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9D1BC">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特级，氨基酸态氮含量≥0.8g/100ml，符合GB/T18186-2025标准；来源可追溯；符合《食品安全法》有关规定和要求。</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E5ED3">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500L/瓶</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84DA6">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1升</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4DD64">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13.92元</w:t>
            </w:r>
          </w:p>
        </w:tc>
      </w:tr>
      <w:tr w14:paraId="2776F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6DCAB">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花椒</w:t>
            </w:r>
          </w:p>
        </w:tc>
        <w:tc>
          <w:tcPr>
            <w:tcW w:w="7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9F5D4">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必须符合国家饮食品卫生标准，不掺假、不过期、不变质、不变味、无杂质、无毒无害、符合国家食品卫生的有关规定，不得出现腐烂、变质、过期，以次充好等情况；来源可追溯；符合《食品安全法》有关规定和要求。</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69B45">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20克/瓶</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D8FBF">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1瓶</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3974E">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2元</w:t>
            </w:r>
          </w:p>
        </w:tc>
      </w:tr>
      <w:tr w14:paraId="1E268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6C239">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八角</w:t>
            </w:r>
          </w:p>
        </w:tc>
        <w:tc>
          <w:tcPr>
            <w:tcW w:w="7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D43F9">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必须符合国家饮食品卫生标准，不掺假、不过期、不变质、不变味、无杂质、无毒无害、符合国家食品卫生的有关规定，不得出现腐烂、变质、过期，以次充好等情况，来源可追溯；符合《食品安全法》有关规定和要求。</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8B9F0">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公斤</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270C6">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1公斤</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3FC93">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31.67元</w:t>
            </w:r>
          </w:p>
        </w:tc>
      </w:tr>
      <w:tr w14:paraId="6BD8F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211F8">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十三香</w:t>
            </w:r>
          </w:p>
        </w:tc>
        <w:tc>
          <w:tcPr>
            <w:tcW w:w="7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EAF04">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必须符合国家饮食品卫生标准，不掺假、不过期、不变质、不变味、无杂质、无毒无害、符合国家食品卫生的有关规定，不得出现腐烂、变质、过期，以次充好等情况；来源可追溯；符合《食品安全法》有关规定和要求。</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60503">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45克/袋</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01972">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1盒</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FD422">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2.73元</w:t>
            </w:r>
          </w:p>
        </w:tc>
      </w:tr>
      <w:tr w14:paraId="2C75B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8E41D">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桂皮</w:t>
            </w:r>
          </w:p>
        </w:tc>
        <w:tc>
          <w:tcPr>
            <w:tcW w:w="7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9D724">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必须符合国家饮食品卫生标准，不掺假、不过期、不变质、不变味、无杂质、无毒无害、符合国家食品卫生的有关规定，不得出现腐烂、变质、过期，以次充好等情况；来源可追溯；符合《食品安全法》有关规定和要求。</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B1688">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公斤</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B8585">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1公斤</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87942">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23.5元</w:t>
            </w:r>
          </w:p>
        </w:tc>
      </w:tr>
      <w:tr w14:paraId="762BC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430A5">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鸡精</w:t>
            </w:r>
          </w:p>
        </w:tc>
        <w:tc>
          <w:tcPr>
            <w:tcW w:w="7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07197">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必须符合国家饮食品卫生标准，不掺假、不过期、不变质、不变味、无杂质、无毒无害、符合国家食品卫生的有关规定，不得出现腐烂、变质、过期，以次充好等情况；来源可追溯；符合《食品安全法》有关规定和要求。</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64081">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100克/袋</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F00E5">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1袋</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660B5">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6.74元</w:t>
            </w:r>
          </w:p>
        </w:tc>
      </w:tr>
      <w:tr w14:paraId="19087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FA15C">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味精</w:t>
            </w:r>
          </w:p>
        </w:tc>
        <w:tc>
          <w:tcPr>
            <w:tcW w:w="7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7EC7E">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必须符合国家饮食品卫生标准，不掺假、不过期、不变质、不变味、无杂质、无毒无害、符合国家食品卫生的有关规定，不得出现腐烂、变质、过期，以次充好等情况；来源可追溯；符合《食品安全法》有关规定和要求。</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93515">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100克/袋</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C033E">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1袋</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625C7">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3元</w:t>
            </w:r>
          </w:p>
        </w:tc>
      </w:tr>
    </w:tbl>
    <w:p w14:paraId="086C3C23">
      <w:pPr>
        <w:pStyle w:val="2"/>
        <w:numPr>
          <w:ilvl w:val="0"/>
          <w:numId w:val="0"/>
        </w:numPr>
        <w:tabs>
          <w:tab w:val="left" w:pos="0"/>
        </w:tabs>
        <w:spacing w:before="0" w:after="0" w:line="360" w:lineRule="auto"/>
        <w:jc w:val="left"/>
        <w:rPr>
          <w:rFonts w:hint="eastAsia" w:ascii="仿宋" w:hAnsi="仿宋" w:eastAsia="仿宋" w:cs="仿宋"/>
          <w:highlight w:val="none"/>
          <w:lang w:val="en-US" w:eastAsia="zh-CN"/>
        </w:rPr>
      </w:pPr>
      <w:r>
        <w:rPr>
          <w:rFonts w:hint="eastAsia" w:ascii="仿宋" w:hAnsi="仿宋" w:eastAsia="仿宋" w:cs="仿宋"/>
          <w:highlight w:val="none"/>
          <w:lang w:val="en-US" w:eastAsia="zh-CN"/>
        </w:rPr>
        <w:t>详细要求：</w:t>
      </w:r>
    </w:p>
    <w:p w14:paraId="6D44DDBD">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1．供货期：2025年7月-2026年7月（具体以合同签订为准）；</w:t>
      </w:r>
    </w:p>
    <w:p w14:paraId="5EF77732">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2．付款方式：每月底按照实际用量进行汇总，当月核算，次月付款(货物送达后提供完整的供货验货、收货资料凭证 ) 。（具体以签订合同为准）</w:t>
      </w:r>
    </w:p>
    <w:p w14:paraId="2A3D1C9F">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3．中标后必须购买不少于包号预算金额的食品安全责任保险（具体以合同签订为准）；</w:t>
      </w:r>
    </w:p>
    <w:p w14:paraId="390AEBBD">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4．供货地点：岳普湖县教育局指定地点（各中小学、幼儿园）；</w:t>
      </w:r>
    </w:p>
    <w:p w14:paraId="320906FE">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5．配送周期：每日配送（具体以合同签订为准）；</w:t>
      </w:r>
    </w:p>
    <w:p w14:paraId="4C398A6A">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6．供货时需①大米、面粉、食用油、玉米粉、小米按生产日期或批次提供所投产品生产企业出厂检验报告，</w:t>
      </w:r>
      <w:r>
        <w:rPr>
          <w:rFonts w:hint="eastAsia" w:ascii="仿宋" w:hAnsi="仿宋" w:eastAsia="仿宋" w:cs="仿宋"/>
          <w:b/>
          <w:bCs/>
          <w:color w:val="000000" w:themeColor="text1"/>
          <w:sz w:val="24"/>
          <w:highlight w:val="none"/>
          <w:lang w:val="en-US" w:eastAsia="zh-CN"/>
          <w14:textFill>
            <w14:solidFill>
              <w14:schemeClr w14:val="tx1"/>
            </w14:solidFill>
          </w14:textFill>
        </w:rPr>
        <w:t>鸡蛋、牛奶、酸奶、馕</w:t>
      </w:r>
      <w:r>
        <w:rPr>
          <w:rFonts w:hint="eastAsia" w:ascii="仿宋" w:hAnsi="仿宋" w:eastAsia="仿宋" w:cs="仿宋"/>
          <w:b/>
          <w:bCs/>
          <w:color w:val="000000"/>
          <w:sz w:val="24"/>
          <w:highlight w:val="none"/>
          <w:lang w:val="en-US" w:eastAsia="zh-CN"/>
        </w:rPr>
        <w:t>按生产日期或批次提供承诺达标合格证。②所投产品按季度提供符合《中华人民共和国食品安全法》要求的食品检验机构出具的全部检验项目的检验报告（鸡蛋须含兽药残留报告）。</w:t>
      </w:r>
    </w:p>
    <w:p w14:paraId="0AE93F85">
      <w:pPr>
        <w:jc w:val="left"/>
        <w:rPr>
          <w:rFonts w:hint="default"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7．为了学生食品安全，采购单位会结合实际情况提出合理意见，中标单位应严格执行。</w:t>
      </w:r>
    </w:p>
    <w:p w14:paraId="0439754F">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8．产品包装标签上应标明：名称、规格、净含量、生产日期、成分或者配料表、生产者名称、地址、联系方式、保质期、产品标准代号、生产许可证编号、储存条件、所使用的食品添加剂在国家标准中的通用名称、法律、法规或食品安全标准规定的应当标明的其他事项等内容。</w:t>
      </w:r>
    </w:p>
    <w:p w14:paraId="0C7DC51D">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9.食材运输：</w:t>
      </w:r>
    </w:p>
    <w:p w14:paraId="1981B93E">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（1）车辆安装GPS、监控，运输过程监控。</w:t>
      </w:r>
    </w:p>
    <w:p w14:paraId="6E8694A6">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（2）车辆采用全封闭厢式货车运送，车辆装备货架，所有货物置于货架之上。</w:t>
      </w:r>
    </w:p>
    <w:p w14:paraId="4D0D0848">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（3）卫生干净整洁。</w:t>
      </w:r>
    </w:p>
    <w:p w14:paraId="2A782C51">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（4）工作人员规范着装，口罩、白大褂、一次性手套、一次性头套。送货人员必须跟采购方备案人员保持一致。中标单位配送人员需向采购人提供健康证。</w:t>
      </w:r>
    </w:p>
    <w:p w14:paraId="087B8F7C">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10．中标单位在签订供货合同之前提供产品样品必须与招标文件提供的产品一致，以备采购单位检验，检验不合格或者不符合采购</w:t>
      </w:r>
    </w:p>
    <w:p w14:paraId="3F81122B">
      <w:pPr>
        <w:jc w:val="left"/>
        <w:rPr>
          <w:rFonts w:hint="default"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文件要求的，采购单位有权要求供货商更换合格产品或否决供货商资格，采购单位可选择其他候选人，并签订采购合同。</w:t>
      </w:r>
    </w:p>
    <w:p w14:paraId="59B4FB8C">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（二）服务承诺要求</w:t>
      </w:r>
    </w:p>
    <w:p w14:paraId="66B5C131">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1、投标单位承诺负责招标文件对中标单位要求的一切事宜及责任，包括货物供货、运输、仓储保管、验收及相关服务等。</w:t>
      </w:r>
    </w:p>
    <w:p w14:paraId="27AE48E8">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2、所提供的物品、食品需是合格的、有生产许可证、在保质期内的，如出现质量问题或保质期不足的情况，采购人有权拒绝或无条件更换所提供的物品或食品。</w:t>
      </w:r>
    </w:p>
    <w:p w14:paraId="47A42773">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3、供应商提供的产品须经过食堂验收人员的感官检验、外观检验，若产品外观、包装、形式不符合要求，感官检验不能达到食品卫生要求，当即拒收；供应商不能满足食品的质量及售后服务要求时，采购人有权进行处罚直至终止合同。</w:t>
      </w:r>
    </w:p>
    <w:p w14:paraId="0089D9E9">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4、供应商必须按照食堂管理人员通知的时间、数量、品种及协定的价格准时送货，经验收合格后签字确认，不能以任何理由推托。一旦因为供货因素影响正常运转，供应商应承担相应的经济赔偿责任。</w:t>
      </w:r>
    </w:p>
    <w:p w14:paraId="2CB6626B">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5、因产品质量问题发生的食物中毒等事故，由供应商承担经济赔偿责任及其他法律责任。</w:t>
      </w:r>
    </w:p>
    <w:p w14:paraId="32473E19">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（三）其他要求</w:t>
      </w:r>
    </w:p>
    <w:p w14:paraId="3087E37E">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1.结算时甲方按中标商投标文件开标一览表中单价进行结算。</w:t>
      </w:r>
    </w:p>
    <w:p w14:paraId="5E728775">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2.具体供货数量以岳普湖教育局实际下达指标和学校实际需求数量为准，结算也以此为准。</w:t>
      </w:r>
    </w:p>
    <w:p w14:paraId="6D20210C">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3.加强对供货经营企业的监督，严格约束转包、分包行为，定期考核评价，及时更换不符合要求的供货经营企业。</w:t>
      </w:r>
    </w:p>
    <w:p w14:paraId="03112C64">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4.建立学校供货经营企业“黑名单”制度，将受到行政处罚（含警告）的企业纳入“黑名单”，一年内不允许在自治区范围内从事学校供货经营活动。</w:t>
      </w:r>
    </w:p>
    <w:p w14:paraId="3C10F0C2">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5.中标人在供货期间出现下列情况之一者，应立即停止供货：（采购人有权终止合同）</w:t>
      </w:r>
    </w:p>
    <w:p w14:paraId="6D511596">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①违反相关法律法规，被市场监管部门吊销食品经营许可证、营业执照；</w:t>
      </w:r>
    </w:p>
    <w:p w14:paraId="1E45F417">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②发生食品安全事故或在合同期内被行政处罚的；</w:t>
      </w:r>
    </w:p>
    <w:p w14:paraId="704B47DA">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③未持续保持食品经营许可条件，经整改仍不符合食品经营许可条件的；</w:t>
      </w:r>
    </w:p>
    <w:p w14:paraId="173AEFE1">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④存在采购加工法律法规禁止生产经营的食品、使用非食用物质、滥用食品添加剂、降低食品安全保障条件等食品安全问题的；</w:t>
      </w:r>
    </w:p>
    <w:p w14:paraId="7FB67F7B">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⑤出现降低供餐质量和餐量标准，随意变更供餐食谱等情况，或在供餐质量评议中学生满意度较低，经约谈警告后，仍不改正的；</w:t>
      </w:r>
    </w:p>
    <w:p w14:paraId="660001B6">
      <w:pPr>
        <w:jc w:val="lef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⑥擅自转包、分包供餐业务或存在擅自变更配餐生产地址、擅自更换履约人等违约行为；</w:t>
      </w:r>
    </w:p>
    <w:p w14:paraId="6BB1FE69">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⑦出现其他违反法律法规及有关规定的行为。</w:t>
      </w:r>
    </w:p>
    <w:p w14:paraId="2FB99318">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⑧存在采购加工法律法规禁止生产经营的食品、使用非食用物质、滥用食品添加剂、降低食品安全保障条件等食品安全问题的；</w:t>
      </w:r>
    </w:p>
    <w:p w14:paraId="0DC4DEA9">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⑨出现降低供餐质量和餐量标准，随意变更供餐食谱等情况，或在供餐质量评议中学生满意度较低，经约谈警告后，仍不改正的；</w:t>
      </w:r>
    </w:p>
    <w:p w14:paraId="1FA4471B">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⑩擅自转包、分包供餐业务或存在擅自变更配餐生产地址、擅自更换履约人等违约行为；</w:t>
      </w:r>
    </w:p>
    <w:p w14:paraId="6479EA39">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⑪出现其他违反法律法规及有关规定的行为。</w:t>
      </w:r>
    </w:p>
    <w:p w14:paraId="0CCC3C74">
      <w:pPr>
        <w:jc w:val="center"/>
        <w:rPr>
          <w:rFonts w:hint="default" w:ascii="仿宋" w:hAnsi="仿宋" w:eastAsia="仿宋" w:cs="仿宋"/>
          <w:b/>
          <w:bCs/>
          <w:color w:val="000000"/>
          <w:sz w:val="24"/>
          <w:highlight w:val="none"/>
          <w:lang w:val="en-US" w:eastAsia="zh-CN"/>
        </w:rPr>
      </w:pPr>
    </w:p>
    <w:p w14:paraId="067ACBAA">
      <w:pPr>
        <w:rPr>
          <w:rFonts w:hint="eastAsia" w:ascii="仿宋" w:hAnsi="仿宋" w:eastAsia="仿宋" w:cs="仿宋"/>
          <w:b/>
          <w:bCs/>
          <w:color w:val="000000"/>
          <w:sz w:val="32"/>
          <w:szCs w:val="32"/>
          <w:highlight w:val="none"/>
          <w:lang w:val="en-US" w:eastAsia="zh-CN"/>
        </w:rPr>
      </w:pPr>
      <w:r>
        <w:rPr>
          <w:rFonts w:hint="eastAsia" w:ascii="仿宋" w:hAnsi="仿宋" w:eastAsia="仿宋" w:cs="仿宋"/>
          <w:b/>
          <w:bCs/>
          <w:color w:val="000000"/>
          <w:sz w:val="32"/>
          <w:szCs w:val="32"/>
          <w:highlight w:val="none"/>
          <w:lang w:val="en-US" w:eastAsia="zh-CN"/>
        </w:rPr>
        <w:br w:type="page"/>
      </w:r>
    </w:p>
    <w:p w14:paraId="6F12C515">
      <w:pPr>
        <w:jc w:val="center"/>
        <w:rPr>
          <w:rFonts w:hint="eastAsia" w:ascii="仿宋" w:hAnsi="仿宋" w:eastAsia="仿宋" w:cs="仿宋"/>
          <w:b/>
          <w:bCs/>
          <w:color w:val="000000"/>
          <w:sz w:val="32"/>
          <w:szCs w:val="32"/>
          <w:highlight w:val="none"/>
          <w:lang w:val="en-US" w:eastAsia="zh-CN"/>
        </w:rPr>
      </w:pPr>
      <w:r>
        <w:rPr>
          <w:rFonts w:hint="eastAsia" w:ascii="仿宋" w:hAnsi="仿宋" w:eastAsia="仿宋" w:cs="仿宋"/>
          <w:b/>
          <w:bCs/>
          <w:color w:val="000000"/>
          <w:sz w:val="32"/>
          <w:szCs w:val="32"/>
          <w:highlight w:val="none"/>
          <w:lang w:val="en-US" w:eastAsia="zh-CN"/>
        </w:rPr>
        <w:t>第二包</w:t>
      </w:r>
    </w:p>
    <w:p w14:paraId="0FF17D49">
      <w:pPr>
        <w:jc w:val="both"/>
        <w:rPr>
          <w:rFonts w:hint="eastAsia" w:ascii="仿宋" w:hAnsi="仿宋" w:eastAsia="仿宋" w:cs="仿宋"/>
          <w:b/>
          <w:bCs/>
          <w:color w:val="000000"/>
          <w:sz w:val="24"/>
          <w:highlight w:val="none"/>
          <w:lang w:val="en-US" w:eastAsia="zh-CN"/>
        </w:rPr>
      </w:pPr>
    </w:p>
    <w:tbl>
      <w:tblPr>
        <w:tblStyle w:val="37"/>
        <w:tblW w:w="1481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7"/>
        <w:gridCol w:w="1163"/>
        <w:gridCol w:w="1306"/>
        <w:gridCol w:w="10365"/>
        <w:gridCol w:w="1526"/>
      </w:tblGrid>
      <w:tr w14:paraId="4F435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1" w:hRule="atLeast"/>
        </w:trPr>
        <w:tc>
          <w:tcPr>
            <w:tcW w:w="4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15D2A">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序号</w:t>
            </w:r>
          </w:p>
        </w:tc>
        <w:tc>
          <w:tcPr>
            <w:tcW w:w="11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CB0498">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类别</w:t>
            </w:r>
          </w:p>
        </w:tc>
        <w:tc>
          <w:tcPr>
            <w:tcW w:w="13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7087D2">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食材名称</w:t>
            </w:r>
          </w:p>
        </w:tc>
        <w:tc>
          <w:tcPr>
            <w:tcW w:w="10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979D3D">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合同规定参数</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ECA69">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下浮率</w:t>
            </w:r>
          </w:p>
        </w:tc>
      </w:tr>
      <w:tr w14:paraId="02275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4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1480F">
            <w:pPr>
              <w:jc w:val="center"/>
              <w:rPr>
                <w:rFonts w:hint="eastAsia" w:ascii="仿宋" w:hAnsi="仿宋" w:eastAsia="仿宋" w:cs="仿宋"/>
                <w:b/>
                <w:bCs/>
                <w:color w:val="000000"/>
                <w:kern w:val="2"/>
                <w:sz w:val="24"/>
                <w:szCs w:val="24"/>
                <w:highlight w:val="none"/>
                <w:lang w:val="en-US" w:eastAsia="zh-CN" w:bidi="ar-SA"/>
              </w:rPr>
            </w:pPr>
          </w:p>
        </w:tc>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6EB907">
            <w:pPr>
              <w:jc w:val="center"/>
              <w:rPr>
                <w:rFonts w:hint="eastAsia" w:ascii="仿宋" w:hAnsi="仿宋" w:eastAsia="仿宋" w:cs="仿宋"/>
                <w:b/>
                <w:bCs/>
                <w:color w:val="000000"/>
                <w:kern w:val="2"/>
                <w:sz w:val="24"/>
                <w:szCs w:val="24"/>
                <w:highlight w:val="none"/>
                <w:lang w:val="en-US" w:eastAsia="zh-CN" w:bidi="ar-SA"/>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7967AC">
            <w:pPr>
              <w:jc w:val="center"/>
              <w:rPr>
                <w:rFonts w:hint="eastAsia" w:ascii="仿宋" w:hAnsi="仿宋" w:eastAsia="仿宋" w:cs="仿宋"/>
                <w:b/>
                <w:bCs/>
                <w:color w:val="000000"/>
                <w:kern w:val="2"/>
                <w:sz w:val="24"/>
                <w:szCs w:val="24"/>
                <w:highlight w:val="none"/>
                <w:lang w:val="en-US" w:eastAsia="zh-CN" w:bidi="ar-SA"/>
              </w:rPr>
            </w:pPr>
          </w:p>
        </w:tc>
        <w:tc>
          <w:tcPr>
            <w:tcW w:w="10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556486">
            <w:pPr>
              <w:jc w:val="center"/>
              <w:rPr>
                <w:rFonts w:hint="eastAsia" w:ascii="仿宋" w:hAnsi="仿宋" w:eastAsia="仿宋" w:cs="仿宋"/>
                <w:b/>
                <w:bCs/>
                <w:color w:val="000000"/>
                <w:kern w:val="2"/>
                <w:sz w:val="24"/>
                <w:szCs w:val="24"/>
                <w:highlight w:val="none"/>
                <w:lang w:val="en-US" w:eastAsia="zh-CN" w:bidi="ar-SA"/>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2C496">
            <w:pPr>
              <w:jc w:val="center"/>
              <w:rPr>
                <w:rFonts w:hint="eastAsia" w:ascii="仿宋" w:hAnsi="仿宋" w:eastAsia="仿宋" w:cs="仿宋"/>
                <w:b/>
                <w:bCs/>
                <w:color w:val="000000"/>
                <w:kern w:val="2"/>
                <w:sz w:val="24"/>
                <w:szCs w:val="24"/>
                <w:highlight w:val="none"/>
                <w:lang w:val="en-US" w:eastAsia="zh-CN" w:bidi="ar-SA"/>
              </w:rPr>
            </w:pPr>
          </w:p>
        </w:tc>
      </w:tr>
      <w:tr w14:paraId="6E755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68411">
            <w:pPr>
              <w:jc w:val="center"/>
              <w:rPr>
                <w:rFonts w:hint="eastAsia" w:ascii="仿宋" w:hAnsi="仿宋" w:eastAsia="仿宋" w:cs="仿宋"/>
                <w:b/>
                <w:bCs/>
                <w:color w:val="000000"/>
                <w:kern w:val="2"/>
                <w:sz w:val="24"/>
                <w:szCs w:val="24"/>
                <w:highlight w:val="none"/>
                <w:lang w:val="en-US" w:eastAsia="zh-CN" w:bidi="ar-SA"/>
              </w:rPr>
            </w:pPr>
            <w:r>
              <w:rPr>
                <w:rFonts w:hint="eastAsia" w:ascii="仿宋" w:hAnsi="仿宋" w:eastAsia="仿宋" w:cs="仿宋"/>
                <w:b/>
                <w:bCs/>
                <w:color w:val="000000"/>
                <w:kern w:val="2"/>
                <w:sz w:val="24"/>
                <w:szCs w:val="24"/>
                <w:highlight w:val="none"/>
                <w:lang w:val="en-US" w:eastAsia="zh-CN" w:bidi="ar-SA"/>
              </w:rPr>
              <w:t>1</w:t>
            </w:r>
          </w:p>
        </w:tc>
        <w:tc>
          <w:tcPr>
            <w:tcW w:w="11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D4870E">
            <w:pPr>
              <w:jc w:val="center"/>
              <w:rPr>
                <w:rFonts w:hint="eastAsia" w:ascii="仿宋" w:hAnsi="仿宋" w:eastAsia="仿宋" w:cs="仿宋"/>
                <w:b/>
                <w:bCs/>
                <w:color w:val="000000"/>
                <w:kern w:val="2"/>
                <w:sz w:val="24"/>
                <w:szCs w:val="24"/>
                <w:highlight w:val="none"/>
                <w:lang w:val="en-US" w:eastAsia="zh-CN" w:bidi="ar-SA"/>
              </w:rPr>
            </w:pPr>
            <w:r>
              <w:rPr>
                <w:rFonts w:hint="eastAsia" w:ascii="仿宋" w:hAnsi="仿宋" w:eastAsia="仿宋" w:cs="仿宋"/>
                <w:b/>
                <w:bCs/>
                <w:color w:val="000000"/>
                <w:kern w:val="2"/>
                <w:sz w:val="24"/>
                <w:szCs w:val="24"/>
                <w:highlight w:val="none"/>
                <w:lang w:val="en-US" w:eastAsia="zh-CN" w:bidi="ar-SA"/>
              </w:rPr>
              <w:t>肉类</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0D20E">
            <w:pPr>
              <w:jc w:val="center"/>
              <w:rPr>
                <w:rFonts w:hint="eastAsia" w:ascii="仿宋" w:hAnsi="仿宋" w:eastAsia="仿宋" w:cs="仿宋"/>
                <w:b/>
                <w:bCs/>
                <w:color w:val="000000"/>
                <w:kern w:val="2"/>
                <w:sz w:val="24"/>
                <w:szCs w:val="24"/>
                <w:highlight w:val="none"/>
                <w:lang w:val="en-US" w:eastAsia="zh-CN" w:bidi="ar-SA"/>
              </w:rPr>
            </w:pPr>
            <w:r>
              <w:rPr>
                <w:rFonts w:hint="eastAsia" w:ascii="仿宋" w:hAnsi="仿宋" w:eastAsia="仿宋" w:cs="仿宋"/>
                <w:b/>
                <w:bCs/>
                <w:color w:val="000000"/>
                <w:kern w:val="2"/>
                <w:sz w:val="24"/>
                <w:szCs w:val="24"/>
                <w:highlight w:val="none"/>
                <w:lang w:val="en-US" w:eastAsia="zh-CN" w:bidi="ar-SA"/>
              </w:rPr>
              <w:t>羊肉</w:t>
            </w:r>
          </w:p>
        </w:tc>
        <w:tc>
          <w:tcPr>
            <w:tcW w:w="10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C7070">
            <w:pPr>
              <w:jc w:val="center"/>
              <w:rPr>
                <w:rFonts w:hint="eastAsia" w:ascii="仿宋" w:hAnsi="仿宋" w:eastAsia="仿宋" w:cs="仿宋"/>
                <w:b/>
                <w:bCs/>
                <w:color w:val="000000"/>
                <w:kern w:val="2"/>
                <w:sz w:val="24"/>
                <w:szCs w:val="24"/>
                <w:highlight w:val="none"/>
                <w:lang w:val="en-US" w:eastAsia="zh-CN" w:bidi="ar-SA"/>
              </w:rPr>
            </w:pPr>
            <w:r>
              <w:rPr>
                <w:rFonts w:hint="eastAsia" w:ascii="仿宋" w:hAnsi="仿宋" w:eastAsia="仿宋" w:cs="仿宋"/>
                <w:b/>
                <w:bCs/>
                <w:color w:val="000000"/>
                <w:kern w:val="2"/>
                <w:sz w:val="24"/>
                <w:szCs w:val="24"/>
                <w:highlight w:val="none"/>
                <w:lang w:val="en-US" w:eastAsia="zh-CN" w:bidi="ar-SA"/>
              </w:rPr>
              <w:t>新鲜（去内脏、去尾、去头、去腹腔肥油）；一头羊单体重量不得高于25公斤；肌肉呈鲜红色、有弹性，无明显筋膜，淤血、肿块，具有羊肉固有的鲜腥味，无酸败、腐臭；卫生达标，有检疫合格证明、确保无疫病、来源可追溯；送达时间必须在有效期内，符合《食品安全法》有关规定和要求。</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1A40F">
            <w:pPr>
              <w:jc w:val="center"/>
              <w:rPr>
                <w:rFonts w:hint="eastAsia" w:ascii="仿宋" w:hAnsi="仿宋" w:eastAsia="仿宋" w:cs="仿宋"/>
                <w:b/>
                <w:bCs/>
                <w:color w:val="000000"/>
                <w:kern w:val="2"/>
                <w:sz w:val="24"/>
                <w:szCs w:val="24"/>
                <w:highlight w:val="none"/>
                <w:lang w:val="en-US" w:eastAsia="zh-CN" w:bidi="ar-SA"/>
              </w:rPr>
            </w:pPr>
          </w:p>
        </w:tc>
      </w:tr>
      <w:tr w14:paraId="47400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A3569">
            <w:pPr>
              <w:jc w:val="center"/>
              <w:rPr>
                <w:rFonts w:hint="eastAsia" w:ascii="仿宋" w:hAnsi="仿宋" w:eastAsia="仿宋" w:cs="仿宋"/>
                <w:b/>
                <w:bCs/>
                <w:color w:val="000000"/>
                <w:kern w:val="2"/>
                <w:sz w:val="24"/>
                <w:szCs w:val="24"/>
                <w:highlight w:val="none"/>
                <w:lang w:val="en-US" w:eastAsia="zh-CN" w:bidi="ar-SA"/>
              </w:rPr>
            </w:pPr>
            <w:r>
              <w:rPr>
                <w:rFonts w:hint="eastAsia" w:ascii="仿宋" w:hAnsi="仿宋" w:eastAsia="仿宋" w:cs="仿宋"/>
                <w:b/>
                <w:bCs/>
                <w:color w:val="000000"/>
                <w:kern w:val="2"/>
                <w:sz w:val="24"/>
                <w:szCs w:val="24"/>
                <w:highlight w:val="none"/>
                <w:lang w:val="en-US" w:eastAsia="zh-CN" w:bidi="ar-SA"/>
              </w:rPr>
              <w:t>2</w:t>
            </w:r>
          </w:p>
        </w:tc>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C450A2">
            <w:pPr>
              <w:jc w:val="center"/>
              <w:rPr>
                <w:rFonts w:hint="eastAsia" w:ascii="仿宋" w:hAnsi="仿宋" w:eastAsia="仿宋" w:cs="仿宋"/>
                <w:b/>
                <w:bCs/>
                <w:color w:val="000000"/>
                <w:kern w:val="2"/>
                <w:sz w:val="24"/>
                <w:szCs w:val="24"/>
                <w:highlight w:val="none"/>
                <w:lang w:val="en-US" w:eastAsia="zh-CN" w:bidi="ar-SA"/>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31089">
            <w:pPr>
              <w:jc w:val="center"/>
              <w:rPr>
                <w:rFonts w:hint="eastAsia" w:ascii="仿宋" w:hAnsi="仿宋" w:eastAsia="仿宋" w:cs="仿宋"/>
                <w:b/>
                <w:bCs/>
                <w:color w:val="000000"/>
                <w:kern w:val="2"/>
                <w:sz w:val="24"/>
                <w:szCs w:val="24"/>
                <w:highlight w:val="none"/>
                <w:lang w:val="en-US" w:eastAsia="zh-CN" w:bidi="ar-SA"/>
              </w:rPr>
            </w:pPr>
            <w:r>
              <w:rPr>
                <w:rFonts w:hint="eastAsia" w:ascii="仿宋" w:hAnsi="仿宋" w:eastAsia="仿宋" w:cs="仿宋"/>
                <w:b/>
                <w:bCs/>
                <w:color w:val="000000"/>
                <w:kern w:val="2"/>
                <w:sz w:val="24"/>
                <w:szCs w:val="24"/>
                <w:highlight w:val="none"/>
                <w:lang w:val="en-US" w:eastAsia="zh-CN" w:bidi="ar-SA"/>
              </w:rPr>
              <w:t>牛肉</w:t>
            </w:r>
          </w:p>
        </w:tc>
        <w:tc>
          <w:tcPr>
            <w:tcW w:w="10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3FF7D">
            <w:pPr>
              <w:jc w:val="center"/>
              <w:rPr>
                <w:rFonts w:hint="eastAsia" w:ascii="仿宋" w:hAnsi="仿宋" w:eastAsia="仿宋" w:cs="仿宋"/>
                <w:b/>
                <w:bCs/>
                <w:color w:val="000000"/>
                <w:kern w:val="2"/>
                <w:sz w:val="24"/>
                <w:szCs w:val="24"/>
                <w:highlight w:val="none"/>
                <w:lang w:val="en-US" w:eastAsia="zh-CN" w:bidi="ar-SA"/>
              </w:rPr>
            </w:pPr>
            <w:r>
              <w:rPr>
                <w:rFonts w:hint="eastAsia" w:ascii="仿宋" w:hAnsi="仿宋" w:eastAsia="仿宋" w:cs="仿宋"/>
                <w:b/>
                <w:bCs/>
                <w:color w:val="000000"/>
                <w:kern w:val="2"/>
                <w:sz w:val="24"/>
                <w:szCs w:val="24"/>
                <w:highlight w:val="none"/>
                <w:lang w:val="en-US" w:eastAsia="zh-CN" w:bidi="ar-SA"/>
              </w:rPr>
              <w:t>新鲜（去内脏、去尾、去头、去腹腔肥油）；肌肉呈鲜红色、有弹性，无明显筋膜，淤血、肿块，具有正常的鲜腥味，无酸败、腐臭；卫生达标，有检疫合格证明，确保无疫病、来源可追溯；送达时间必须在有效期内，符合《食品安全法》有关规定和要求。</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92460">
            <w:pPr>
              <w:jc w:val="center"/>
              <w:rPr>
                <w:rFonts w:hint="eastAsia" w:ascii="仿宋" w:hAnsi="仿宋" w:eastAsia="仿宋" w:cs="仿宋"/>
                <w:b/>
                <w:bCs/>
                <w:color w:val="000000"/>
                <w:kern w:val="2"/>
                <w:sz w:val="24"/>
                <w:szCs w:val="24"/>
                <w:highlight w:val="none"/>
                <w:lang w:val="en-US" w:eastAsia="zh-CN" w:bidi="ar-SA"/>
              </w:rPr>
            </w:pPr>
          </w:p>
        </w:tc>
      </w:tr>
      <w:tr w14:paraId="7E2B1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48891">
            <w:pPr>
              <w:jc w:val="center"/>
              <w:rPr>
                <w:rFonts w:hint="eastAsia" w:ascii="仿宋" w:hAnsi="仿宋" w:eastAsia="仿宋" w:cs="仿宋"/>
                <w:b/>
                <w:bCs/>
                <w:color w:val="000000"/>
                <w:kern w:val="2"/>
                <w:sz w:val="24"/>
                <w:szCs w:val="24"/>
                <w:highlight w:val="none"/>
                <w:lang w:val="en-US" w:eastAsia="zh-CN" w:bidi="ar-SA"/>
              </w:rPr>
            </w:pPr>
            <w:r>
              <w:rPr>
                <w:rFonts w:hint="eastAsia" w:ascii="仿宋" w:hAnsi="仿宋" w:eastAsia="仿宋" w:cs="仿宋"/>
                <w:b/>
                <w:bCs/>
                <w:color w:val="000000"/>
                <w:kern w:val="2"/>
                <w:sz w:val="24"/>
                <w:szCs w:val="24"/>
                <w:highlight w:val="none"/>
                <w:lang w:val="en-US" w:eastAsia="zh-CN" w:bidi="ar-SA"/>
              </w:rPr>
              <w:t>3</w:t>
            </w:r>
          </w:p>
        </w:tc>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612BC7">
            <w:pPr>
              <w:jc w:val="center"/>
              <w:rPr>
                <w:rFonts w:hint="eastAsia" w:ascii="仿宋" w:hAnsi="仿宋" w:eastAsia="仿宋" w:cs="仿宋"/>
                <w:b/>
                <w:bCs/>
                <w:color w:val="000000"/>
                <w:kern w:val="2"/>
                <w:sz w:val="24"/>
                <w:szCs w:val="24"/>
                <w:highlight w:val="none"/>
                <w:lang w:val="en-US" w:eastAsia="zh-CN" w:bidi="ar-SA"/>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39C7C">
            <w:pPr>
              <w:jc w:val="center"/>
              <w:rPr>
                <w:rFonts w:hint="eastAsia" w:ascii="仿宋" w:hAnsi="仿宋" w:eastAsia="仿宋" w:cs="仿宋"/>
                <w:b/>
                <w:bCs/>
                <w:color w:val="000000"/>
                <w:kern w:val="2"/>
                <w:sz w:val="24"/>
                <w:szCs w:val="24"/>
                <w:highlight w:val="none"/>
                <w:lang w:val="en-US" w:eastAsia="zh-CN" w:bidi="ar-SA"/>
              </w:rPr>
            </w:pPr>
            <w:r>
              <w:rPr>
                <w:rFonts w:hint="eastAsia" w:ascii="仿宋" w:hAnsi="仿宋" w:eastAsia="仿宋" w:cs="仿宋"/>
                <w:b/>
                <w:bCs/>
                <w:color w:val="000000"/>
                <w:kern w:val="2"/>
                <w:sz w:val="24"/>
                <w:szCs w:val="24"/>
                <w:highlight w:val="none"/>
                <w:lang w:val="en-US" w:eastAsia="zh-CN" w:bidi="ar-SA"/>
              </w:rPr>
              <w:t>鸡肉</w:t>
            </w:r>
          </w:p>
        </w:tc>
        <w:tc>
          <w:tcPr>
            <w:tcW w:w="10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BBB48">
            <w:pPr>
              <w:jc w:val="center"/>
              <w:rPr>
                <w:rFonts w:hint="eastAsia" w:ascii="仿宋" w:hAnsi="仿宋" w:eastAsia="仿宋" w:cs="仿宋"/>
                <w:b/>
                <w:bCs/>
                <w:color w:val="000000"/>
                <w:kern w:val="2"/>
                <w:sz w:val="24"/>
                <w:szCs w:val="24"/>
                <w:highlight w:val="none"/>
                <w:lang w:val="en-US" w:eastAsia="zh-CN" w:bidi="ar-SA"/>
              </w:rPr>
            </w:pPr>
            <w:r>
              <w:rPr>
                <w:rFonts w:hint="eastAsia" w:ascii="仿宋" w:hAnsi="仿宋" w:eastAsia="仿宋" w:cs="仿宋"/>
                <w:b/>
                <w:bCs/>
                <w:color w:val="000000"/>
                <w:kern w:val="2"/>
                <w:sz w:val="24"/>
                <w:szCs w:val="24"/>
                <w:highlight w:val="none"/>
                <w:lang w:val="en-US" w:eastAsia="zh-CN" w:bidi="ar-SA"/>
              </w:rPr>
              <w:t>鲜鸡、整鸡（去内脏、去爪子、去头、去毛、干净），无酸败、腐臭，卫生达标，有检疫合格证明，确保无疫病、来源可追溯；送达时间必须在有效期内，符合《食品安全法》有关规定和要求。</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64F60">
            <w:pPr>
              <w:jc w:val="center"/>
              <w:rPr>
                <w:rFonts w:hint="eastAsia" w:ascii="仿宋" w:hAnsi="仿宋" w:eastAsia="仿宋" w:cs="仿宋"/>
                <w:b/>
                <w:bCs/>
                <w:color w:val="000000"/>
                <w:kern w:val="2"/>
                <w:sz w:val="24"/>
                <w:szCs w:val="24"/>
                <w:highlight w:val="none"/>
                <w:lang w:val="en-US" w:eastAsia="zh-CN" w:bidi="ar-SA"/>
              </w:rPr>
            </w:pPr>
          </w:p>
        </w:tc>
      </w:tr>
    </w:tbl>
    <w:p w14:paraId="45BDFA71">
      <w:pPr>
        <w:jc w:val="both"/>
        <w:rPr>
          <w:rFonts w:hint="default" w:ascii="仿宋" w:hAnsi="仿宋" w:eastAsia="仿宋" w:cs="仿宋"/>
          <w:b/>
          <w:bCs/>
          <w:color w:val="000000"/>
          <w:sz w:val="24"/>
          <w:highlight w:val="none"/>
          <w:lang w:val="en-US" w:eastAsia="zh-CN"/>
        </w:rPr>
      </w:pPr>
    </w:p>
    <w:p w14:paraId="6F203451">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详细要求：（一）具体要求</w:t>
      </w:r>
    </w:p>
    <w:p w14:paraId="054ED75F">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1．供货期：2025年7月-2026年7月（具体以合同签订为准）；</w:t>
      </w:r>
    </w:p>
    <w:p w14:paraId="39317EE0">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2．付款方式：每月底按照实际用量进行汇总，当月核算，次月付款(货物送达后提供完整的供货验货、收货资料凭证 ) 。（具体以签订合同为准）；</w:t>
      </w:r>
    </w:p>
    <w:p w14:paraId="450BE90B">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3．中标后必须购买不少于包号预算金额的食品安全责任保险（具体以合同签订为准）；</w:t>
      </w:r>
    </w:p>
    <w:p w14:paraId="3E0C7648">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4．供货地点：岳普湖县教育局指定地点（各中小学、幼儿园）；</w:t>
      </w:r>
    </w:p>
    <w:p w14:paraId="59AF7855">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5．配送周期：每日配送（具体以合同签订为准）；</w:t>
      </w:r>
    </w:p>
    <w:p w14:paraId="3EA86388">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6．牛肉羊肉要求必须为当日现宰新鲜肉类，肉质新鲜，检疫合格，满足两证一章（肉品检验合格证、动物检验合格证、检疫检验部门盖蓝色检验检疫标识章）要求，内类需冷藏运输，肉需悬挂，不与箱体接触。不得使用价格低廉的淘汰储备肉，冻肉等。</w:t>
      </w:r>
    </w:p>
    <w:p w14:paraId="7A3FD5CB">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7．中标单位在签订供货合同之前提供产品样品必须与招标文件提供的产品一致，以备采购单位检验，检验不合格或者不符合采购</w:t>
      </w:r>
    </w:p>
    <w:p w14:paraId="14523B76">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文件要求的，采购单位有权要求供货商更换合格产品或否决供货商资格，采购单位可选择次其他候选人，并签订采购合同。</w:t>
      </w:r>
    </w:p>
    <w:p w14:paraId="747F2900">
      <w:pPr>
        <w:numPr>
          <w:ilvl w:val="0"/>
          <w:numId w:val="9"/>
        </w:num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食材运输：需冷藏车运送</w:t>
      </w:r>
    </w:p>
    <w:p w14:paraId="6DBB1C0B">
      <w:pPr>
        <w:numPr>
          <w:ilvl w:val="0"/>
          <w:numId w:val="0"/>
        </w:num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（1）车辆安装GPS、监控，运输过程监控。</w:t>
      </w:r>
    </w:p>
    <w:p w14:paraId="102B176B">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（2）车内装有控温仪，温度控制在在0℃-4℃之间，确保食材新鲜。</w:t>
      </w:r>
    </w:p>
    <w:p w14:paraId="2402422E">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（3）车辆采用全封闭厢式冷藏车运送，车辆装备挂钩，所有货物置于挂钩之上，不与箱体接触。</w:t>
      </w:r>
    </w:p>
    <w:p w14:paraId="1705C4A8">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（4）卫生干净整洁。</w:t>
      </w:r>
    </w:p>
    <w:p w14:paraId="20E71841">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（5）工作人员规范着装，口罩、白大褂、一次性手套、一次性头套。送货人员必须跟采购方备案人员保持一致。中标单位配送人员需向采购人提供健康证。</w:t>
      </w:r>
    </w:p>
    <w:p w14:paraId="0027F489">
      <w:pPr>
        <w:jc w:val="both"/>
        <w:rPr>
          <w:rFonts w:hint="default"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9．为了学生食品安全，采购单位会结合实际情况提出合理意见，中标单位应严格执行。</w:t>
      </w:r>
    </w:p>
    <w:p w14:paraId="6EC21ADF">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（二）服务承诺要求</w:t>
      </w:r>
    </w:p>
    <w:p w14:paraId="073BA59D">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1、投标单位承诺负责招标文件对中标单位要求的一切事宜及责任，包括货物供货、运输、仓储保管、验收及相关服务等。</w:t>
      </w:r>
    </w:p>
    <w:p w14:paraId="04A57D62">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2、所提供的物品、食品需是合格的、有生产许可证、在保质期内的，如出现质量问题或保质期不足的情况，采购人有权拒绝或无条件更换所提供的物品或食品。</w:t>
      </w:r>
    </w:p>
    <w:p w14:paraId="7F3DF403">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3、供应商提供的产品须经过食堂验收人员的感官检验、外观检验，若产品外观、包装、形式不符合要求，感官检验不能达到食品卫生要求，当即拒收；供应商不能满足食品的质量及售后服务要求时，甲方有权进行处罚直至终止合同。</w:t>
      </w:r>
    </w:p>
    <w:p w14:paraId="2A4142D6">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4、供应商必须按照食堂管理人员通知的时间、数量、品种及协定的价格准时送货，经验收合格后签字确认，不能以任何理由推托。一旦因为供货因素影响正常运转，供应商应承担相应的经济赔偿责任。</w:t>
      </w:r>
    </w:p>
    <w:p w14:paraId="4AA98826">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5、因产品质量问题发生的食物中毒等事故，由供应商承担经济赔偿责任及其他法律责任。</w:t>
      </w:r>
    </w:p>
    <w:p w14:paraId="1D9E4D3A">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（三）其他要求</w:t>
      </w:r>
    </w:p>
    <w:p w14:paraId="54E11AA6">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1.教育局、市监局、发改委、农业农村局、卫健委、武装部、教师代表、家长代表等参与询价，</w:t>
      </w:r>
      <w:r>
        <w:rPr>
          <w:rFonts w:hint="eastAsia" w:ascii="仿宋" w:hAnsi="仿宋" w:eastAsia="仿宋" w:cs="仿宋"/>
          <w:b/>
          <w:bCs/>
          <w:color w:val="000000" w:themeColor="text1"/>
          <w:sz w:val="24"/>
          <w:highlight w:val="none"/>
          <w:lang w:val="en-US" w:eastAsia="zh-CN"/>
          <w14:textFill>
            <w14:solidFill>
              <w14:schemeClr w14:val="tx1"/>
            </w14:solidFill>
          </w14:textFill>
        </w:rPr>
        <w:t>每月一次询价</w:t>
      </w:r>
      <w:r>
        <w:rPr>
          <w:rFonts w:hint="eastAsia" w:ascii="仿宋" w:hAnsi="仿宋" w:eastAsia="仿宋" w:cs="仿宋"/>
          <w:b/>
          <w:bCs/>
          <w:color w:val="000000"/>
          <w:sz w:val="24"/>
          <w:highlight w:val="none"/>
          <w:lang w:val="en-US" w:eastAsia="zh-CN"/>
        </w:rPr>
        <w:t>。结算时以甲方市场询价后价格为基准价，甲方按中标商投标文件开标一览表中下浮率进行结算。</w:t>
      </w:r>
    </w:p>
    <w:p w14:paraId="3512A3F8">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2.具体供货数量以岳普湖教育局实际下达指标和学校实际需求数量为准，结算也以此为准。</w:t>
      </w:r>
    </w:p>
    <w:p w14:paraId="482221C0">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3.加强对供货经营企业的监督，严格约束转包、分包行为，定期考核评价，及时更换不符合要求的供货经营企业。</w:t>
      </w:r>
    </w:p>
    <w:p w14:paraId="358D361F">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4.建立学校供货经营企业“黑名单”制度，将受到行政处罚（含警告）的企业纳入“黑名单”，一年内不允许在自治区范围内从事学校供货经营活动。</w:t>
      </w:r>
    </w:p>
    <w:p w14:paraId="7D08EB08">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5.中标人在供货期间出现下列情况之一者，应立即停止供货：（采购人有权终止合同）</w:t>
      </w:r>
    </w:p>
    <w:p w14:paraId="52062A3F">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①违反相关法律法规，被市场监管部门吊销食品经营许可证、营业执照；</w:t>
      </w:r>
    </w:p>
    <w:p w14:paraId="743248E9">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②发生食品安全事故或在合同期内被行政处罚的；</w:t>
      </w:r>
    </w:p>
    <w:p w14:paraId="37EB74E4">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③未持续保持食品经营许可条件，经整改仍不符合食品经营许可条件的；</w:t>
      </w:r>
    </w:p>
    <w:p w14:paraId="5414AC07">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④存在采购加工法律法规禁止生产经营的食品、使用非食用物质、滥用食品添加剂、降低食品安全保障条件等食品安全问题的；</w:t>
      </w:r>
    </w:p>
    <w:p w14:paraId="2D5A1C47">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⑤出现降低供餐质量和餐量标准，随意变更供餐食谱等情况，或在供餐质量评议中学生满意度较低，经约谈警告后，仍不改正的；</w:t>
      </w:r>
    </w:p>
    <w:p w14:paraId="15BC807D">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⑥擅自转包、分包供餐业务或存在擅自变更配餐生产地址、擅自更换履约人等违约行为；</w:t>
      </w:r>
    </w:p>
    <w:p w14:paraId="1C9357F2">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⑦出现其他违反法律法规及有关规定的行为。</w:t>
      </w:r>
    </w:p>
    <w:p w14:paraId="603D958F">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⑧存在采购加工法律法规禁止生产经营的食品、使用非食用物质、滥用食品添加剂、降低食品安全保障条件等食品安全问题的；</w:t>
      </w:r>
    </w:p>
    <w:p w14:paraId="5FFC6E38">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⑨出现降低供餐质量和餐量标准，随意变更供餐食谱等情况，或在供餐质量评议中学生满意度较低，经约谈警告后，仍不改正的；</w:t>
      </w:r>
    </w:p>
    <w:p w14:paraId="46348C9C">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⑩擅自转包、分包供餐业务或存在擅自变更配餐生产地址、擅自更换履约人等违约行为；</w:t>
      </w:r>
    </w:p>
    <w:p w14:paraId="45707BD9">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⑪出现其他违反法律法规及有关规定的行为。</w:t>
      </w:r>
    </w:p>
    <w:p w14:paraId="20FFDE99">
      <w:pPr>
        <w:rPr>
          <w:rFonts w:hint="eastAsia" w:ascii="仿宋" w:hAnsi="仿宋" w:eastAsia="仿宋" w:cs="仿宋"/>
          <w:b/>
          <w:bCs/>
          <w:color w:val="000000"/>
          <w:sz w:val="32"/>
          <w:szCs w:val="32"/>
          <w:highlight w:val="none"/>
          <w:lang w:val="en-US" w:eastAsia="zh-CN"/>
        </w:rPr>
      </w:pPr>
      <w:r>
        <w:rPr>
          <w:rFonts w:hint="eastAsia" w:ascii="仿宋" w:hAnsi="仿宋" w:eastAsia="仿宋" w:cs="仿宋"/>
          <w:b/>
          <w:bCs/>
          <w:color w:val="000000"/>
          <w:sz w:val="32"/>
          <w:szCs w:val="32"/>
          <w:highlight w:val="none"/>
          <w:lang w:val="en-US" w:eastAsia="zh-CN"/>
        </w:rPr>
        <w:br w:type="page"/>
      </w:r>
    </w:p>
    <w:p w14:paraId="4A734E99">
      <w:pPr>
        <w:jc w:val="center"/>
        <w:rPr>
          <w:rFonts w:hint="eastAsia" w:ascii="仿宋" w:hAnsi="仿宋" w:eastAsia="仿宋" w:cs="仿宋"/>
          <w:b/>
          <w:bCs/>
          <w:color w:val="000000"/>
          <w:sz w:val="32"/>
          <w:szCs w:val="32"/>
          <w:highlight w:val="none"/>
          <w:lang w:val="en-US" w:eastAsia="zh-CN"/>
        </w:rPr>
      </w:pPr>
      <w:r>
        <w:rPr>
          <w:rFonts w:hint="eastAsia" w:ascii="仿宋" w:hAnsi="仿宋" w:eastAsia="仿宋" w:cs="仿宋"/>
          <w:b/>
          <w:bCs/>
          <w:color w:val="000000"/>
          <w:sz w:val="32"/>
          <w:szCs w:val="32"/>
          <w:highlight w:val="none"/>
          <w:lang w:val="en-US" w:eastAsia="zh-CN"/>
        </w:rPr>
        <w:t>第三包</w:t>
      </w:r>
    </w:p>
    <w:p w14:paraId="49E80603">
      <w:pPr>
        <w:jc w:val="both"/>
        <w:rPr>
          <w:rFonts w:hint="eastAsia" w:ascii="仿宋" w:hAnsi="仿宋" w:eastAsia="仿宋" w:cs="仿宋"/>
          <w:b/>
          <w:bCs/>
          <w:color w:val="000000"/>
          <w:sz w:val="24"/>
          <w:highlight w:val="none"/>
          <w:lang w:val="en-US" w:eastAsia="zh-CN"/>
        </w:rPr>
      </w:pPr>
    </w:p>
    <w:tbl>
      <w:tblPr>
        <w:tblStyle w:val="37"/>
        <w:tblW w:w="148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43"/>
        <w:gridCol w:w="11584"/>
        <w:gridCol w:w="1571"/>
      </w:tblGrid>
      <w:tr w14:paraId="3F2E3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142DA">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食材名称</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A55C8">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合同规定参数</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2763F">
            <w:pPr>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下浮率</w:t>
            </w:r>
          </w:p>
        </w:tc>
      </w:tr>
      <w:tr w14:paraId="58249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B20D0">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白菜</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2B0B1">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新鲜，质量合格，卫生达标，色泽正常，无腐烂、变质、发霉、生虫、萎蔫；需提供农残检测报告、承诺达标合格证，确保来源可追溯；符合《食品安全法》有关规定和要求。</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3CE91">
            <w:pPr>
              <w:jc w:val="both"/>
              <w:rPr>
                <w:rFonts w:hint="eastAsia" w:ascii="仿宋" w:hAnsi="仿宋" w:eastAsia="仿宋" w:cs="仿宋"/>
                <w:b/>
                <w:bCs/>
                <w:color w:val="000000"/>
                <w:sz w:val="24"/>
                <w:highlight w:val="none"/>
                <w:lang w:val="en-US" w:eastAsia="zh-CN"/>
              </w:rPr>
            </w:pPr>
          </w:p>
        </w:tc>
      </w:tr>
      <w:tr w14:paraId="5B217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A7624">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西红柿</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50D10">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新鲜，质量合格，卫生达标，色泽正常，无腐烂、变质、发霉、生虫、萎蔫；需提供农残检测报告、承诺达标合格证，确保来源可追溯；符合《食品安全法》有关规定和要求。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251A0">
            <w:pPr>
              <w:jc w:val="both"/>
              <w:rPr>
                <w:rFonts w:hint="eastAsia" w:ascii="仿宋" w:hAnsi="仿宋" w:eastAsia="仿宋" w:cs="仿宋"/>
                <w:b/>
                <w:bCs/>
                <w:color w:val="000000"/>
                <w:sz w:val="24"/>
                <w:highlight w:val="none"/>
                <w:lang w:val="en-US" w:eastAsia="zh-CN"/>
              </w:rPr>
            </w:pPr>
          </w:p>
        </w:tc>
      </w:tr>
      <w:tr w14:paraId="61D3A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954D2">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辣椒</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F7E7F">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新鲜，质量合格，卫生达标，色泽正常，无腐烂、变质、发霉、生虫、萎蔫；需提供农残检测报告、承诺达标合格证，确保来源可追溯；符合《食品安全法》有关规定和要求。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5814E">
            <w:pPr>
              <w:jc w:val="both"/>
              <w:rPr>
                <w:rFonts w:hint="eastAsia" w:ascii="仿宋" w:hAnsi="仿宋" w:eastAsia="仿宋" w:cs="仿宋"/>
                <w:b/>
                <w:bCs/>
                <w:color w:val="000000"/>
                <w:sz w:val="24"/>
                <w:highlight w:val="none"/>
                <w:lang w:val="en-US" w:eastAsia="zh-CN"/>
              </w:rPr>
            </w:pPr>
          </w:p>
        </w:tc>
      </w:tr>
      <w:tr w14:paraId="7699D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6B1E5">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莲花白</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1D09D">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新鲜，质量合格，卫生达标，色泽正常，无腐烂、变质、发霉、生虫、萎蔫；需提供农残检测报告、承诺达标合格证，确保来源可追溯；符合《食品安全法》有关规定和要求。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269E0">
            <w:pPr>
              <w:jc w:val="both"/>
              <w:rPr>
                <w:rFonts w:hint="eastAsia" w:ascii="仿宋" w:hAnsi="仿宋" w:eastAsia="仿宋" w:cs="仿宋"/>
                <w:b/>
                <w:bCs/>
                <w:color w:val="000000"/>
                <w:sz w:val="24"/>
                <w:highlight w:val="none"/>
                <w:lang w:val="en-US" w:eastAsia="zh-CN"/>
              </w:rPr>
            </w:pPr>
          </w:p>
        </w:tc>
      </w:tr>
      <w:tr w14:paraId="167A2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9" w:hRule="atLeast"/>
        </w:trPr>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9A392">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大蒜</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A55B2">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新鲜，质量合格，卫生达标，色泽正常，无腐烂、变质、发霉、生虫、萎蔫；需提供农残检测报告、承诺达标合格证，确保来源可追溯；符合《食品安全法》有关规定和要求。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FC123">
            <w:pPr>
              <w:jc w:val="both"/>
              <w:rPr>
                <w:rFonts w:hint="eastAsia" w:ascii="仿宋" w:hAnsi="仿宋" w:eastAsia="仿宋" w:cs="仿宋"/>
                <w:b/>
                <w:bCs/>
                <w:color w:val="000000"/>
                <w:sz w:val="24"/>
                <w:highlight w:val="none"/>
                <w:lang w:val="en-US" w:eastAsia="zh-CN"/>
              </w:rPr>
            </w:pPr>
          </w:p>
        </w:tc>
      </w:tr>
      <w:tr w14:paraId="2B843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93EFA">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西葫芦</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1AFF9">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新鲜，质量合格，卫生达标，色泽正常，无腐烂、变质、发霉、生虫、萎蔫；需提供农残检测报告、承诺达标合格证，确保来源可追溯；符合《食品安全法》有关规定和要求。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28EE9">
            <w:pPr>
              <w:jc w:val="both"/>
              <w:rPr>
                <w:rFonts w:hint="eastAsia" w:ascii="仿宋" w:hAnsi="仿宋" w:eastAsia="仿宋" w:cs="仿宋"/>
                <w:b/>
                <w:bCs/>
                <w:color w:val="000000"/>
                <w:sz w:val="24"/>
                <w:highlight w:val="none"/>
                <w:lang w:val="en-US" w:eastAsia="zh-CN"/>
              </w:rPr>
            </w:pPr>
          </w:p>
        </w:tc>
      </w:tr>
      <w:tr w14:paraId="7A4FA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BD0A0">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芹菜</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8DEE9">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新鲜，质量合格，卫生达标，色泽正常，无腐烂、变质、发霉、生虫、萎蔫；需提供农残检测报告、承诺达标合格证，确保来源可追溯；符合《食品安全法》有关规定和要求。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5CDE0">
            <w:pPr>
              <w:jc w:val="both"/>
              <w:rPr>
                <w:rFonts w:hint="eastAsia" w:ascii="仿宋" w:hAnsi="仿宋" w:eastAsia="仿宋" w:cs="仿宋"/>
                <w:b/>
                <w:bCs/>
                <w:color w:val="000000"/>
                <w:sz w:val="24"/>
                <w:highlight w:val="none"/>
                <w:lang w:val="en-US" w:eastAsia="zh-CN"/>
              </w:rPr>
            </w:pPr>
          </w:p>
        </w:tc>
      </w:tr>
      <w:tr w14:paraId="512C0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6B592">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油白菜</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8DE21">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新鲜，质量合格，卫生达标，色泽正常，无腐烂、变质、发霉、生虫、萎蔫；需提供农残检测报告、承诺达标合格证，确保来源可追溯；符合《食品安全法》有关规定和要求。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5959B">
            <w:pPr>
              <w:jc w:val="both"/>
              <w:rPr>
                <w:rFonts w:hint="eastAsia" w:ascii="仿宋" w:hAnsi="仿宋" w:eastAsia="仿宋" w:cs="仿宋"/>
                <w:b/>
                <w:bCs/>
                <w:color w:val="000000"/>
                <w:sz w:val="24"/>
                <w:highlight w:val="none"/>
                <w:lang w:val="en-US" w:eastAsia="zh-CN"/>
              </w:rPr>
            </w:pPr>
          </w:p>
        </w:tc>
      </w:tr>
      <w:tr w14:paraId="5608F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C58D3">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土豆</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75D6C">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新鲜，质量合格，卫生达标，色泽正常，无腐烂、变质、发霉、生虫、萎蔫；需提供农残检测报告、承诺达标合格证，确保来源可追溯；最窄部分直径不得少于5厘米；符合《食品安全法》有关规定和要求。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DF8CC">
            <w:pPr>
              <w:jc w:val="both"/>
              <w:rPr>
                <w:rFonts w:hint="eastAsia" w:ascii="仿宋" w:hAnsi="仿宋" w:eastAsia="仿宋" w:cs="仿宋"/>
                <w:b/>
                <w:bCs/>
                <w:color w:val="000000"/>
                <w:sz w:val="24"/>
                <w:highlight w:val="none"/>
                <w:lang w:val="en-US" w:eastAsia="zh-CN"/>
              </w:rPr>
            </w:pPr>
          </w:p>
        </w:tc>
      </w:tr>
      <w:tr w14:paraId="1B159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7B2C8">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洋葱</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39AC1">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新鲜，质量合格，卫生达标，色泽正常，无腐烂、变质、发霉、生虫、萎蔫；需提供农残检测报告、承诺达标合格证，确保来源可追溯；符合《食品安全法》有关规定和要求。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0F572">
            <w:pPr>
              <w:jc w:val="both"/>
              <w:rPr>
                <w:rFonts w:hint="eastAsia" w:ascii="仿宋" w:hAnsi="仿宋" w:eastAsia="仿宋" w:cs="仿宋"/>
                <w:b/>
                <w:bCs/>
                <w:color w:val="000000"/>
                <w:sz w:val="24"/>
                <w:highlight w:val="none"/>
                <w:lang w:val="en-US" w:eastAsia="zh-CN"/>
              </w:rPr>
            </w:pPr>
          </w:p>
        </w:tc>
      </w:tr>
      <w:tr w14:paraId="20AB7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967A0">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大葱</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3C67E">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新鲜，质量合格，卫生达标，色泽正常，无腐烂、变质、发霉、生虫、萎蔫；需提供农残检测报告、承诺达标合格证，确保来源可追溯；符合《食品安全法》有关规定和要求。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43717">
            <w:pPr>
              <w:jc w:val="both"/>
              <w:rPr>
                <w:rFonts w:hint="eastAsia" w:ascii="仿宋" w:hAnsi="仿宋" w:eastAsia="仿宋" w:cs="仿宋"/>
                <w:b/>
                <w:bCs/>
                <w:color w:val="000000"/>
                <w:sz w:val="24"/>
                <w:highlight w:val="none"/>
                <w:lang w:val="en-US" w:eastAsia="zh-CN"/>
              </w:rPr>
            </w:pPr>
          </w:p>
        </w:tc>
      </w:tr>
      <w:tr w14:paraId="079E7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7CD5C">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胡萝卜</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C2E12">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新鲜，质量合格，卫生达标，色泽正常，无腐烂、变质、发霉、生虫、萎蔫；需提供农残检测报告、承诺达标合格证，确保来源可追溯；符合《食品安全法》有关规定和要求。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7C5C9">
            <w:pPr>
              <w:jc w:val="both"/>
              <w:rPr>
                <w:rFonts w:hint="eastAsia" w:ascii="仿宋" w:hAnsi="仿宋" w:eastAsia="仿宋" w:cs="仿宋"/>
                <w:b/>
                <w:bCs/>
                <w:color w:val="000000"/>
                <w:sz w:val="24"/>
                <w:highlight w:val="none"/>
                <w:lang w:val="en-US" w:eastAsia="zh-CN"/>
              </w:rPr>
            </w:pPr>
          </w:p>
        </w:tc>
      </w:tr>
      <w:tr w14:paraId="7CDAF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0FE52">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茄子</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ABABD">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新鲜，质量合格，卫生达标，色泽正常，无腐烂、变质、发霉、生虫、萎蔫；需提供农残检测报告、承诺达标合格证，确保来源可追溯；符合《食品安全法》有关规定和要求。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51BB0">
            <w:pPr>
              <w:jc w:val="both"/>
              <w:rPr>
                <w:rFonts w:hint="eastAsia" w:ascii="仿宋" w:hAnsi="仿宋" w:eastAsia="仿宋" w:cs="仿宋"/>
                <w:b/>
                <w:bCs/>
                <w:color w:val="000000"/>
                <w:sz w:val="24"/>
                <w:highlight w:val="none"/>
                <w:lang w:val="en-US" w:eastAsia="zh-CN"/>
              </w:rPr>
            </w:pPr>
          </w:p>
        </w:tc>
      </w:tr>
      <w:tr w14:paraId="1653C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6EE78">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花菜</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051CB">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新鲜，质量合格，卫生达标，色泽正常，无腐烂、变质、发霉、生虫、萎蔫；需提供农残检测报告、承诺达标合格证，确保来源可追溯；符合《食品安全法》有关规定和要求。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22A2C">
            <w:pPr>
              <w:jc w:val="both"/>
              <w:rPr>
                <w:rFonts w:hint="eastAsia" w:ascii="仿宋" w:hAnsi="仿宋" w:eastAsia="仿宋" w:cs="仿宋"/>
                <w:b/>
                <w:bCs/>
                <w:color w:val="000000"/>
                <w:sz w:val="24"/>
                <w:highlight w:val="none"/>
                <w:lang w:val="en-US" w:eastAsia="zh-CN"/>
              </w:rPr>
            </w:pPr>
          </w:p>
        </w:tc>
      </w:tr>
      <w:tr w14:paraId="10202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9286F">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生姜</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AA991">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新鲜，质量合格，卫生达标，色泽正常，无腐烂、变质、发霉、生虫、萎蔫；需提供农残检测报告、承诺达标合格证，确保来源可追溯；符合《食品安全法》有关规定和要求。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AA534">
            <w:pPr>
              <w:jc w:val="both"/>
              <w:rPr>
                <w:rFonts w:hint="eastAsia" w:ascii="仿宋" w:hAnsi="仿宋" w:eastAsia="仿宋" w:cs="仿宋"/>
                <w:b/>
                <w:bCs/>
                <w:color w:val="000000"/>
                <w:sz w:val="24"/>
                <w:highlight w:val="none"/>
                <w:lang w:val="en-US" w:eastAsia="zh-CN"/>
              </w:rPr>
            </w:pPr>
          </w:p>
        </w:tc>
      </w:tr>
      <w:tr w14:paraId="3A2B9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4" w:hRule="atLeast"/>
        </w:trPr>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B1428">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南瓜（小南瓜）</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46C64">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新鲜，质量合格，卫生达标，色泽正常，无腐烂、变质、发霉、生虫、萎蔫；需提供农残检测报告、承诺达标合格证，确保来源可追溯；符合《食品安全法》有关规定和要求。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A8394">
            <w:pPr>
              <w:jc w:val="both"/>
              <w:rPr>
                <w:rFonts w:hint="eastAsia" w:ascii="仿宋" w:hAnsi="仿宋" w:eastAsia="仿宋" w:cs="仿宋"/>
                <w:b/>
                <w:bCs/>
                <w:color w:val="000000"/>
                <w:sz w:val="24"/>
                <w:highlight w:val="none"/>
                <w:lang w:val="en-US" w:eastAsia="zh-CN"/>
              </w:rPr>
            </w:pPr>
          </w:p>
        </w:tc>
      </w:tr>
      <w:tr w14:paraId="0FAC8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0A8A2">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南瓜（密本南瓜）</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1BC02">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新鲜，质量合格，卫生达标，色泽正常，无腐烂、变质、发霉、生虫、萎蔫；需提供农残检测报告、承诺达标合格证，确保来源可追溯；符合《食品安全法》有关规定和要求。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DF309">
            <w:pPr>
              <w:jc w:val="both"/>
              <w:rPr>
                <w:rFonts w:hint="eastAsia" w:ascii="仿宋" w:hAnsi="仿宋" w:eastAsia="仿宋" w:cs="仿宋"/>
                <w:b/>
                <w:bCs/>
                <w:color w:val="000000"/>
                <w:sz w:val="24"/>
                <w:highlight w:val="none"/>
                <w:lang w:val="en-US" w:eastAsia="zh-CN"/>
              </w:rPr>
            </w:pPr>
          </w:p>
        </w:tc>
      </w:tr>
      <w:tr w14:paraId="599AA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B20CD">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鲜豆腐</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B6141">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新鲜，呈均匀的乳白色，有自然光泽，无明显发灰、发黄或斑点，无松散、渣状，无算百威、馊味、豆腥味或其他异味，无添加剂，质量合格，卫生达标；符合《食品安全法》有关规定和要求。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B6673">
            <w:pPr>
              <w:jc w:val="both"/>
              <w:rPr>
                <w:rFonts w:hint="eastAsia" w:ascii="仿宋" w:hAnsi="仿宋" w:eastAsia="仿宋" w:cs="仿宋"/>
                <w:b/>
                <w:bCs/>
                <w:color w:val="000000"/>
                <w:sz w:val="24"/>
                <w:highlight w:val="none"/>
                <w:lang w:val="en-US" w:eastAsia="zh-CN"/>
              </w:rPr>
            </w:pPr>
          </w:p>
        </w:tc>
      </w:tr>
      <w:tr w14:paraId="2EB58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FE4FC">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辣皮子</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A68AF">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必须符合国家饮食品卫生标准，不掺假、不过期、不变质、不变味、无杂质、无毒无害、符合国家食品卫生的有关规定，不得出现腐烂、变质、过期，以次充好等情况腐烂、变质、过期，以次充好等情况。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3CCB3">
            <w:pPr>
              <w:jc w:val="both"/>
              <w:rPr>
                <w:rFonts w:hint="eastAsia" w:ascii="仿宋" w:hAnsi="仿宋" w:eastAsia="仿宋" w:cs="仿宋"/>
                <w:b/>
                <w:bCs/>
                <w:color w:val="000000"/>
                <w:sz w:val="24"/>
                <w:highlight w:val="none"/>
                <w:lang w:val="en-US" w:eastAsia="zh-CN"/>
              </w:rPr>
            </w:pPr>
          </w:p>
        </w:tc>
      </w:tr>
      <w:tr w14:paraId="789DD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6CD3D">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干香菇</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B26AD">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必须符合国家饮食品卫生标准，不掺假、不过期、不变质、不变味、无杂质、无毒无害、符合国家食品卫生的有关规定，不得出现腐烂、变质、过期，以次充好等情况腐烂、变质、过期，以次充好等情况。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F15DD">
            <w:pPr>
              <w:jc w:val="both"/>
              <w:rPr>
                <w:rFonts w:hint="eastAsia" w:ascii="仿宋" w:hAnsi="仿宋" w:eastAsia="仿宋" w:cs="仿宋"/>
                <w:b/>
                <w:bCs/>
                <w:color w:val="000000"/>
                <w:sz w:val="24"/>
                <w:highlight w:val="none"/>
                <w:lang w:val="en-US" w:eastAsia="zh-CN"/>
              </w:rPr>
            </w:pPr>
          </w:p>
        </w:tc>
      </w:tr>
      <w:tr w14:paraId="221C2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ECA84">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干木耳</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EE592">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必须符合国家饮食品卫生标准，不掺假、不过期、不变质、不变味、无杂质、无毒无害、符合国家食品卫生的有关规定，不得出现腐烂、变质、过期，以次充好等情况腐烂、变质、过期，以次充好等情况。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1E342">
            <w:pPr>
              <w:jc w:val="both"/>
              <w:rPr>
                <w:rFonts w:hint="eastAsia" w:ascii="仿宋" w:hAnsi="仿宋" w:eastAsia="仿宋" w:cs="仿宋"/>
                <w:b/>
                <w:bCs/>
                <w:color w:val="000000"/>
                <w:sz w:val="24"/>
                <w:highlight w:val="none"/>
                <w:lang w:val="en-US" w:eastAsia="zh-CN"/>
              </w:rPr>
            </w:pPr>
          </w:p>
        </w:tc>
      </w:tr>
      <w:tr w14:paraId="5BFBA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8DA47">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红薯</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7DFC9">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新鲜，质量合格，卫生达标，色泽正常，无腐烂、变质、发霉、生虫、萎蔫；需提供农残检测报告、承诺达标合格证，确保来源可追溯；符合《食品安全法》有关规定和要求。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C93A6">
            <w:pPr>
              <w:jc w:val="both"/>
              <w:rPr>
                <w:rFonts w:hint="eastAsia" w:ascii="仿宋" w:hAnsi="仿宋" w:eastAsia="仿宋" w:cs="仿宋"/>
                <w:b/>
                <w:bCs/>
                <w:color w:val="000000"/>
                <w:sz w:val="24"/>
                <w:highlight w:val="none"/>
                <w:lang w:val="en-US" w:eastAsia="zh-CN"/>
              </w:rPr>
            </w:pPr>
          </w:p>
        </w:tc>
      </w:tr>
      <w:tr w14:paraId="645C2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458F4">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紫薯</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7E556">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新鲜，质量合格，卫生达标，色泽正常，无腐烂、变质、发霉、生虫、萎蔫；需提供农残检测报告、承诺达标合格证，确保来源可追溯；符合《食品安全法》有关规定和要求。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F374C">
            <w:pPr>
              <w:jc w:val="both"/>
              <w:rPr>
                <w:rFonts w:hint="eastAsia" w:ascii="仿宋" w:hAnsi="仿宋" w:eastAsia="仿宋" w:cs="仿宋"/>
                <w:b/>
                <w:bCs/>
                <w:color w:val="000000"/>
                <w:sz w:val="24"/>
                <w:highlight w:val="none"/>
                <w:lang w:val="en-US" w:eastAsia="zh-CN"/>
              </w:rPr>
            </w:pPr>
          </w:p>
        </w:tc>
      </w:tr>
      <w:tr w14:paraId="40BB6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983F2">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绿豆</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6A9E3">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必须符合国家饮食品卫生标准，不掺假、不过期、不变质、不变味、无杂质、无毒无害、符合国家食品卫生的有关规定，不得出现腐烂、变质、过期，以次充好等情况腐烂、变质、过期，以次充好等情况。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34E01">
            <w:pPr>
              <w:jc w:val="both"/>
              <w:rPr>
                <w:rFonts w:hint="eastAsia" w:ascii="仿宋" w:hAnsi="仿宋" w:eastAsia="仿宋" w:cs="仿宋"/>
                <w:b/>
                <w:bCs/>
                <w:color w:val="000000"/>
                <w:sz w:val="24"/>
                <w:highlight w:val="none"/>
                <w:lang w:val="en-US" w:eastAsia="zh-CN"/>
              </w:rPr>
            </w:pPr>
          </w:p>
        </w:tc>
      </w:tr>
      <w:tr w14:paraId="5BDF0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0058F">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巴旦木</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09EEC">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一级巴旦木，个大皮薄，果粒饱满；色泽正常、均匀，无斑点、发霉、异味，无生虫、变质。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E0E4B">
            <w:pPr>
              <w:jc w:val="both"/>
              <w:rPr>
                <w:rFonts w:hint="eastAsia" w:ascii="仿宋" w:hAnsi="仿宋" w:eastAsia="仿宋" w:cs="仿宋"/>
                <w:b/>
                <w:bCs/>
                <w:color w:val="000000"/>
                <w:sz w:val="24"/>
                <w:highlight w:val="none"/>
                <w:lang w:val="en-US" w:eastAsia="zh-CN"/>
              </w:rPr>
            </w:pPr>
          </w:p>
        </w:tc>
      </w:tr>
      <w:tr w14:paraId="79FE0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00922">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核桃仁</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493C4">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一级优质核桃仁，无破损；色泽正常、均匀，无斑点、发霉、异味，无生虫、变质。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45D59">
            <w:pPr>
              <w:jc w:val="both"/>
              <w:rPr>
                <w:rFonts w:hint="eastAsia" w:ascii="仿宋" w:hAnsi="仿宋" w:eastAsia="仿宋" w:cs="仿宋"/>
                <w:b/>
                <w:bCs/>
                <w:color w:val="000000"/>
                <w:sz w:val="24"/>
                <w:highlight w:val="none"/>
                <w:lang w:val="en-US" w:eastAsia="zh-CN"/>
              </w:rPr>
            </w:pPr>
          </w:p>
        </w:tc>
      </w:tr>
      <w:tr w14:paraId="72ABB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2BE43">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开心果</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9D4A0">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原味开心果，果粒饱满；色泽正常、均匀，无斑点、发霉、异味，无生虫、变质。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25BBB">
            <w:pPr>
              <w:jc w:val="both"/>
              <w:rPr>
                <w:rFonts w:hint="eastAsia" w:ascii="仿宋" w:hAnsi="仿宋" w:eastAsia="仿宋" w:cs="仿宋"/>
                <w:b/>
                <w:bCs/>
                <w:color w:val="000000"/>
                <w:sz w:val="24"/>
                <w:highlight w:val="none"/>
                <w:lang w:val="en-US" w:eastAsia="zh-CN"/>
              </w:rPr>
            </w:pPr>
          </w:p>
        </w:tc>
      </w:tr>
      <w:tr w14:paraId="68532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5ED60">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红枣</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02D03">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无破损，色泽正常、均匀，无斑点、发霉、异味，无生虫、变质。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04B9C">
            <w:pPr>
              <w:jc w:val="both"/>
              <w:rPr>
                <w:rFonts w:hint="eastAsia" w:ascii="仿宋" w:hAnsi="仿宋" w:eastAsia="仿宋" w:cs="仿宋"/>
                <w:b/>
                <w:bCs/>
                <w:color w:val="000000"/>
                <w:sz w:val="24"/>
                <w:highlight w:val="none"/>
                <w:lang w:val="en-US" w:eastAsia="zh-CN"/>
              </w:rPr>
            </w:pPr>
          </w:p>
        </w:tc>
      </w:tr>
      <w:tr w14:paraId="329C8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397CC">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葡萄干</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3FFA9">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无破损，色泽正常、均匀，无斑点、发霉、异味，无生虫、变质。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A6BF2">
            <w:pPr>
              <w:jc w:val="both"/>
              <w:rPr>
                <w:rFonts w:hint="eastAsia" w:ascii="仿宋" w:hAnsi="仿宋" w:eastAsia="仿宋" w:cs="仿宋"/>
                <w:b/>
                <w:bCs/>
                <w:color w:val="000000"/>
                <w:sz w:val="24"/>
                <w:highlight w:val="none"/>
                <w:lang w:val="en-US" w:eastAsia="zh-CN"/>
              </w:rPr>
            </w:pPr>
          </w:p>
        </w:tc>
      </w:tr>
      <w:tr w14:paraId="6B31C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4A096">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无花果干</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E1F7A">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无破损，色泽正常、均匀，无斑点、发霉、异味，无生虫、变质。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1657C">
            <w:pPr>
              <w:jc w:val="both"/>
              <w:rPr>
                <w:rFonts w:hint="eastAsia" w:ascii="仿宋" w:hAnsi="仿宋" w:eastAsia="仿宋" w:cs="仿宋"/>
                <w:b/>
                <w:bCs/>
                <w:color w:val="000000"/>
                <w:sz w:val="24"/>
                <w:highlight w:val="none"/>
                <w:lang w:val="en-US" w:eastAsia="zh-CN"/>
              </w:rPr>
            </w:pPr>
          </w:p>
        </w:tc>
      </w:tr>
      <w:tr w14:paraId="617DF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34419">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苹果</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5966D">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必须新鲜，直径为6-8厘米，质量合格，卫生达标，不接受裂口果，无腐烂、虫蛀，开裂、变质、病害、冻害、黑斑、流胶、压伤，萎蔫、无畸形；需提供农残检测报告、承诺达标合格证，确保来源可追溯；符合《食品安全法》有关规定和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5D0F6">
            <w:pPr>
              <w:jc w:val="both"/>
              <w:rPr>
                <w:rFonts w:hint="eastAsia" w:ascii="仿宋" w:hAnsi="仿宋" w:eastAsia="仿宋" w:cs="仿宋"/>
                <w:b/>
                <w:bCs/>
                <w:color w:val="000000"/>
                <w:sz w:val="24"/>
                <w:highlight w:val="none"/>
                <w:lang w:val="en-US" w:eastAsia="zh-CN"/>
              </w:rPr>
            </w:pPr>
          </w:p>
        </w:tc>
      </w:tr>
      <w:tr w14:paraId="29FCA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F67DD">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香蕉</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43439">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提供的水果必须新鲜，质量合格，卫生达标，色泽正常，大小均匀，无腐烂、虫蛀，开裂、变质、病害、冻害、黑斑、流胶、压伤，萎蔫、无畸形；需提供农残检测报告、承诺达标合格证，确保来源可追溯；符合《食品安全法》有关规定和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D8E22">
            <w:pPr>
              <w:jc w:val="both"/>
              <w:rPr>
                <w:rFonts w:hint="eastAsia" w:ascii="仿宋" w:hAnsi="仿宋" w:eastAsia="仿宋" w:cs="仿宋"/>
                <w:b/>
                <w:bCs/>
                <w:color w:val="000000"/>
                <w:sz w:val="24"/>
                <w:highlight w:val="none"/>
                <w:lang w:val="en-US" w:eastAsia="zh-CN"/>
              </w:rPr>
            </w:pPr>
          </w:p>
        </w:tc>
      </w:tr>
      <w:tr w14:paraId="77FDA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AA021">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橘子</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B3FBB">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提供的水果必须新鲜，质量合格，卫生达标，色泽正常，大小均匀，无腐烂、虫蛀，开裂、变质、病害、冻害、黑斑、流胶、压伤，萎蔫、无畸形；需提供农残检测报告、承诺达标合格证，确保来源可追溯；符合《食品安全法》有关规定和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BFA83">
            <w:pPr>
              <w:jc w:val="both"/>
              <w:rPr>
                <w:rFonts w:hint="eastAsia" w:ascii="仿宋" w:hAnsi="仿宋" w:eastAsia="仿宋" w:cs="仿宋"/>
                <w:b/>
                <w:bCs/>
                <w:color w:val="000000"/>
                <w:sz w:val="24"/>
                <w:highlight w:val="none"/>
                <w:lang w:val="en-US" w:eastAsia="zh-CN"/>
              </w:rPr>
            </w:pPr>
          </w:p>
        </w:tc>
      </w:tr>
      <w:tr w14:paraId="28014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3FD27">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西瓜</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F0229">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提供的水果必须新鲜，质量合格，卫生达标，色泽正常，大小均匀，无腐烂、虫蛀，开裂、变质、病害、冻害、黑斑、流胶、压伤，萎蔫、无畸形；需提供农残检测报告、承诺达标合格证，确保来源可追溯；符合《食品安全法》有关规定和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48419">
            <w:pPr>
              <w:jc w:val="both"/>
              <w:rPr>
                <w:rFonts w:hint="eastAsia" w:ascii="仿宋" w:hAnsi="仿宋" w:eastAsia="仿宋" w:cs="仿宋"/>
                <w:b/>
                <w:bCs/>
                <w:color w:val="000000"/>
                <w:sz w:val="24"/>
                <w:highlight w:val="none"/>
                <w:lang w:val="en-US" w:eastAsia="zh-CN"/>
              </w:rPr>
            </w:pPr>
          </w:p>
        </w:tc>
      </w:tr>
      <w:tr w14:paraId="18D73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54DAC">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葡萄</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EE5C8">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提供的水果必须新鲜，质量合格，卫生达标，色泽正常，大小均匀，无腐烂、虫蛀，开裂、变质、病害、冻害、黑斑、流胶、压伤，萎蔫、无畸形；需提供农残检测报告、承诺达标合格证，确保来源可追溯；符合《食品安全法》有关规定和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CA3A4">
            <w:pPr>
              <w:jc w:val="both"/>
              <w:rPr>
                <w:rFonts w:hint="eastAsia" w:ascii="仿宋" w:hAnsi="仿宋" w:eastAsia="仿宋" w:cs="仿宋"/>
                <w:b/>
                <w:bCs/>
                <w:color w:val="000000"/>
                <w:sz w:val="24"/>
                <w:highlight w:val="none"/>
                <w:lang w:val="en-US" w:eastAsia="zh-CN"/>
              </w:rPr>
            </w:pPr>
          </w:p>
        </w:tc>
      </w:tr>
      <w:tr w14:paraId="698B7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DD49C">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香梨</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BDFFD">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提供的水果必须新鲜，质量合格，卫生达标，色泽正常，大小均匀，无腐烂、虫蛀，开裂、变质、病害、冻害、黑斑、流胶、压伤，萎蔫、无畸形；需提供农残检测报告、承诺达标合格证，确保来源可追溯；符合《食品安全法》有关规定和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99994">
            <w:pPr>
              <w:jc w:val="both"/>
              <w:rPr>
                <w:rFonts w:hint="eastAsia" w:ascii="仿宋" w:hAnsi="仿宋" w:eastAsia="仿宋" w:cs="仿宋"/>
                <w:b/>
                <w:bCs/>
                <w:color w:val="000000"/>
                <w:sz w:val="24"/>
                <w:highlight w:val="none"/>
                <w:lang w:val="en-US" w:eastAsia="zh-CN"/>
              </w:rPr>
            </w:pPr>
          </w:p>
        </w:tc>
      </w:tr>
      <w:tr w14:paraId="03CDA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E2B57">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甜瓜</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BDD1B">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提供的水果必须新鲜，质量合格，卫生达标，色泽正常，大小均匀，无腐烂、虫蛀，开裂、变质、病害、冻害、黑斑、流胶、压伤，萎蔫、无畸形；需提供农残检测报告、承诺达标合格证，确保来源可追溯；符合《食品安全法》有关规定和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FB5E8">
            <w:pPr>
              <w:jc w:val="both"/>
              <w:rPr>
                <w:rFonts w:hint="eastAsia" w:ascii="仿宋" w:hAnsi="仿宋" w:eastAsia="仿宋" w:cs="仿宋"/>
                <w:b/>
                <w:bCs/>
                <w:color w:val="000000"/>
                <w:sz w:val="24"/>
                <w:highlight w:val="none"/>
                <w:lang w:val="en-US" w:eastAsia="zh-CN"/>
              </w:rPr>
            </w:pPr>
          </w:p>
        </w:tc>
      </w:tr>
      <w:tr w14:paraId="6BA7B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7D8B5">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桃子</w:t>
            </w:r>
          </w:p>
        </w:tc>
        <w:tc>
          <w:tcPr>
            <w:tcW w:w="1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BAE1A">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提供的水果必须新鲜，质量合格，卫生达标，色泽正常，大小均匀，无腐烂、虫蛀，开裂、变质、病害、冻害、黑斑、流胶、压伤，萎蔫、无畸形；需提供农残检测报告、承诺达标合格证，确保来源可追溯；符合《食品安全法》有关规定和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D0968">
            <w:pPr>
              <w:jc w:val="both"/>
              <w:rPr>
                <w:rFonts w:hint="eastAsia" w:ascii="仿宋" w:hAnsi="仿宋" w:eastAsia="仿宋" w:cs="仿宋"/>
                <w:b/>
                <w:bCs/>
                <w:color w:val="000000"/>
                <w:sz w:val="24"/>
                <w:highlight w:val="none"/>
                <w:lang w:val="en-US" w:eastAsia="zh-CN"/>
              </w:rPr>
            </w:pPr>
          </w:p>
        </w:tc>
      </w:tr>
    </w:tbl>
    <w:p w14:paraId="2A9E6996">
      <w:pP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br w:type="page"/>
      </w:r>
    </w:p>
    <w:p w14:paraId="08A92B8B">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详细要求：</w:t>
      </w:r>
    </w:p>
    <w:p w14:paraId="11BB0B3F">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1．供货期：2025年7月-2026年7月（具体以合同签订为准）；</w:t>
      </w:r>
    </w:p>
    <w:p w14:paraId="5494F2B3">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2．付款方式：每月底按照实际用量进行汇总，当月核算，次月付款(货物送达后提供完整的供货验货、收货资料凭证 ) 。（具体以签订合同为准）；</w:t>
      </w:r>
    </w:p>
    <w:p w14:paraId="511255C7">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3．中标后必须购买不少于包号预算金额的食品安全责任保险（具体以合同签订为准）；</w:t>
      </w:r>
    </w:p>
    <w:p w14:paraId="45530215">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4．供货地点：岳普湖县教育局指定地点（各中小学、幼儿园）；</w:t>
      </w:r>
    </w:p>
    <w:p w14:paraId="6B872447">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5．配送周期：每日配送（具体以合同签订为准）；</w:t>
      </w:r>
    </w:p>
    <w:p w14:paraId="20030023">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6．中标单位在签订供货合同之前提供产品样品必须与招标文件提供的产品一致，以备采购单位检验，检验不合格或者不符合采购</w:t>
      </w:r>
    </w:p>
    <w:p w14:paraId="209BF8E9">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文件要求的，采购单位有权要求供货商更换合格产品或否决供货商资格，采购单位可选择次其他候选人，并签订采购合同。</w:t>
      </w:r>
    </w:p>
    <w:p w14:paraId="7EF598C9">
      <w:pPr>
        <w:numPr>
          <w:ilvl w:val="0"/>
          <w:numId w:val="0"/>
        </w:numP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7．为了学生食品安全，采购单位会结合实际情况提出合理意见，中标单位应严格执行。</w:t>
      </w:r>
    </w:p>
    <w:p w14:paraId="5FF48DD8">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8.食材验收：需冷藏车运送食材</w:t>
      </w:r>
    </w:p>
    <w:p w14:paraId="7018262D">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（1）车辆安装GPS、监控，运输过程监控。</w:t>
      </w:r>
    </w:p>
    <w:p w14:paraId="23A02CD9">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（2）车内装有控温仪，温度控制在在0℃-4℃之间，确保食材新鲜。</w:t>
      </w:r>
    </w:p>
    <w:p w14:paraId="023FFF17">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（3）车辆采用全封闭厢式冷藏车运送，车辆装备货架，所有货物置于货架之上。</w:t>
      </w:r>
    </w:p>
    <w:p w14:paraId="61BCEA9B">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（4）卫生干净整洁。</w:t>
      </w:r>
    </w:p>
    <w:p w14:paraId="7C6E2AF5">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（5）工作人员规范着装，口罩、白大褂、一次性手套、一次性头套。送货人员必须跟采购方备案人员保持一致。中标单位配送人员需向采购人提供健康证。</w:t>
      </w:r>
    </w:p>
    <w:p w14:paraId="3EDC1CD8">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（二）服务承诺要求</w:t>
      </w:r>
    </w:p>
    <w:p w14:paraId="62FD044F">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1、投标单位承诺负责招标文件对中标单位要求的一切事宜及责任，包括货物供货、运输、仓储保管、验收及相关服务等。</w:t>
      </w:r>
    </w:p>
    <w:p w14:paraId="25310DBF">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2、所提供的货物、食品需是合格的、有生产许可证、在保质期内的，如出现质量问题或保质期不足的情况，采购人有权拒绝或无条件更换所提供的物品或食品。</w:t>
      </w:r>
    </w:p>
    <w:p w14:paraId="059B5C9E">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3、供应商提供的产品须经过食堂验收人员的感官检验、外观检验，若产品外观、包装、形式不符合要求，感官检验不能达到食品卫生要求，当即拒收；供应商不能满足食品的质量及售后服务要求时，甲方有权进行处罚直至终止合同。</w:t>
      </w:r>
    </w:p>
    <w:p w14:paraId="28D09C27">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4、供应商必须按照食堂管理人员通知的时间、数量、品种及协定的价格准时送货，经验收合格后签字确认，不能以任何理由推托。一旦因为供货因素影响正常运转，供应商应承担相应的经济赔偿责任。</w:t>
      </w:r>
    </w:p>
    <w:p w14:paraId="6B994BBE">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5、因产品质量问题发生的食物中毒等事故，由供应商承担经济赔偿责任及其他法律责任。</w:t>
      </w:r>
    </w:p>
    <w:p w14:paraId="2938F914">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（三）其他要求</w:t>
      </w:r>
    </w:p>
    <w:p w14:paraId="69EE4B4D">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1.教育局、市监局、发改委、农业农村局、卫健委、武装部、教师代表、家长代表等参与询价，每月一次询价。结算时以甲方市场询价后价格为基准价，甲方按中标商投标文件开标一览表中下浮率进行结算。</w:t>
      </w:r>
    </w:p>
    <w:p w14:paraId="22041EEA">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2.具体供货数量以岳普湖教育局实际下达指标和学校实际需求数量为准，结算也以此为准。</w:t>
      </w:r>
    </w:p>
    <w:p w14:paraId="7E2CE495">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3.加强对供货经营企业的监督，严格约束转包、分包行为，定期考核评价，及时更换不符合要求的供货经营企业。</w:t>
      </w:r>
    </w:p>
    <w:p w14:paraId="3EAD16BC">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4.建立学校供货经营企业“黑名单”制度，将受到行政处罚（含警告）的企业纳入“黑名单”，一年内不允许在自治区范围内从事学校供货经营活动。</w:t>
      </w:r>
    </w:p>
    <w:p w14:paraId="59E97D73">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5.中标人在供货期间出现下列情况之一者，应立即停止供货：（采购人有权终止合同）</w:t>
      </w:r>
    </w:p>
    <w:p w14:paraId="2A4F27DC">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①违反相关法律法规，被市场监管部门吊销食品经营许可证、营业执照；</w:t>
      </w:r>
    </w:p>
    <w:p w14:paraId="53A21D29">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②发生食品安全事故或在合同期内被行政处罚的；</w:t>
      </w:r>
    </w:p>
    <w:p w14:paraId="15A8C3B1">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③未持续保持食品经营许可条件，经整改仍不符合食品经营许可条件的；</w:t>
      </w:r>
    </w:p>
    <w:p w14:paraId="13CDFB30">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④存在采购加工法律法规禁止生产经营的食品、使用非食用物质、滥用食品添加剂、降低食品安全保障条件等食品安全问题的；</w:t>
      </w:r>
    </w:p>
    <w:p w14:paraId="097583A7">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⑤出现降低供餐质量和餐量标准，随意变更供餐食谱等情况，或在供餐质量评议中学生满意度较低，经约谈警告后，仍不改正的；</w:t>
      </w:r>
    </w:p>
    <w:p w14:paraId="57B97869">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⑥擅自转包、分包供餐业务或存在擅自变更配餐生产地址、擅自更换履约人等违约行为；</w:t>
      </w:r>
    </w:p>
    <w:p w14:paraId="01A29BD9">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⑦出现其他违反法律法规及有关规定的行为。</w:t>
      </w:r>
    </w:p>
    <w:p w14:paraId="5D5C9C3F">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⑧存在采购加工法律法规禁止生产经营的食品、使用非食用物质、滥用食品添加剂、降低食品安全保障条件等食品安全问题的；</w:t>
      </w:r>
    </w:p>
    <w:p w14:paraId="719D5B00">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⑨出现降低供餐质量和餐量标准，随意变更供餐食谱等情况，或在供餐质量评议中学生满意度较低，经约谈警告后，仍不改正的；</w:t>
      </w:r>
    </w:p>
    <w:p w14:paraId="3C510475">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⑩擅自转包、分包供餐业务或存在擅自变更配餐生产地址、擅自更换履约人等违约行为；</w:t>
      </w:r>
    </w:p>
    <w:p w14:paraId="4FCAE30C">
      <w:pPr>
        <w:jc w:val="both"/>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⑪出现其他违反法律法规及有关规定的行为。</w:t>
      </w:r>
    </w:p>
    <w:p w14:paraId="20AF0755">
      <w:pPr>
        <w:jc w:val="both"/>
        <w:rPr>
          <w:rFonts w:hint="eastAsia" w:ascii="仿宋" w:hAnsi="仿宋" w:eastAsia="仿宋" w:cs="仿宋"/>
          <w:b/>
          <w:bCs/>
          <w:color w:val="000000"/>
          <w:sz w:val="24"/>
          <w:highlight w:val="none"/>
          <w:lang w:val="en-US" w:eastAsia="zh-CN"/>
        </w:rPr>
      </w:pPr>
    </w:p>
    <w:p w14:paraId="539A04CF">
      <w:pPr>
        <w:jc w:val="both"/>
        <w:rPr>
          <w:rFonts w:hint="default" w:ascii="仿宋" w:hAnsi="仿宋" w:eastAsia="仿宋" w:cs="仿宋"/>
          <w:b/>
          <w:bCs/>
          <w:color w:val="000000"/>
          <w:sz w:val="24"/>
          <w:highlight w:val="none"/>
          <w:lang w:val="en-US" w:eastAsia="zh-CN"/>
        </w:rPr>
        <w:sectPr>
          <w:headerReference r:id="rId9" w:type="default"/>
          <w:footerReference r:id="rId10" w:type="default"/>
          <w:pgSz w:w="16840" w:h="11907" w:orient="landscape"/>
          <w:pgMar w:top="1814" w:right="1474" w:bottom="1814" w:left="1474" w:header="851" w:footer="851" w:gutter="0"/>
          <w:pgNumType w:fmt="decimal"/>
          <w:cols w:space="720" w:num="1"/>
          <w:docGrid w:linePitch="462" w:charSpace="0"/>
        </w:sectPr>
      </w:pPr>
    </w:p>
    <w:p w14:paraId="1AC9625F">
      <w:pPr>
        <w:pStyle w:val="2"/>
        <w:numPr>
          <w:ilvl w:val="0"/>
          <w:numId w:val="0"/>
        </w:numPr>
        <w:tabs>
          <w:tab w:val="left" w:pos="0"/>
        </w:tabs>
        <w:spacing w:before="0" w:after="0" w:line="360" w:lineRule="auto"/>
        <w:jc w:val="center"/>
        <w:rPr>
          <w:rFonts w:hint="eastAsia" w:ascii="仿宋_GB2312" w:eastAsia="仿宋_GB2312"/>
          <w:highlight w:val="none"/>
        </w:rPr>
      </w:pPr>
      <w:bookmarkStart w:id="306" w:name="_Toc7432"/>
      <w:r>
        <w:rPr>
          <w:rFonts w:hint="eastAsia" w:ascii="仿宋_GB2312" w:eastAsia="仿宋_GB2312"/>
          <w:highlight w:val="none"/>
        </w:rPr>
        <w:t>第</w:t>
      </w:r>
      <w:r>
        <w:rPr>
          <w:rFonts w:hint="eastAsia" w:ascii="仿宋_GB2312" w:eastAsia="仿宋_GB2312"/>
          <w:highlight w:val="none"/>
          <w:lang w:eastAsia="zh-CN"/>
        </w:rPr>
        <w:t>六</w:t>
      </w:r>
      <w:r>
        <w:rPr>
          <w:rFonts w:hint="eastAsia" w:ascii="仿宋_GB2312" w:eastAsia="仿宋_GB2312"/>
          <w:highlight w:val="none"/>
        </w:rPr>
        <w:t>章、评标方法和标准</w:t>
      </w:r>
      <w:bookmarkEnd w:id="301"/>
      <w:bookmarkEnd w:id="302"/>
      <w:bookmarkEnd w:id="303"/>
      <w:bookmarkEnd w:id="304"/>
      <w:bookmarkEnd w:id="305"/>
      <w:bookmarkEnd w:id="306"/>
    </w:p>
    <w:p w14:paraId="19D8176C">
      <w:pPr>
        <w:pStyle w:val="11"/>
        <w:tabs>
          <w:tab w:val="clear" w:pos="567"/>
        </w:tabs>
        <w:spacing w:before="0" w:line="240" w:lineRule="atLeast"/>
        <w:ind w:firstLine="540" w:firstLineChars="225"/>
        <w:rPr>
          <w:rFonts w:ascii="仿宋" w:hAnsi="仿宋" w:eastAsia="仿宋" w:cs="仿宋"/>
          <w:highlight w:val="none"/>
        </w:rPr>
      </w:pPr>
    </w:p>
    <w:p w14:paraId="1FED11E4">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1、落实政府采购政策</w:t>
      </w:r>
    </w:p>
    <w:p w14:paraId="2E489A5D">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①根据《政府采购促进中小企业发展管理办法》（财库﹝2020﹞46号）、《关于落实好政府采购支持中小企业发展的通知》（新财购〔2022〕22号）、《财政部司法部关于政府采购支持监狱企业发展有关问题的通知》（财库〔2014〕68号）和《三部门联合发布关于促进残疾人就业政府采购政策的通知》（财库〔2017〕141号）的规定，其中小型、微型及小微企业在投标文件中提交了《中小企业声明函》《残疾人福利性单位声明函》或省级以上监狱管理局、戒毒管理局（含新疆生产建设兵团）出具的属于监狱企业的证明文件的供应商，其报价扣除</w:t>
      </w:r>
      <w:r>
        <w:rPr>
          <w:rFonts w:hint="eastAsia" w:ascii="仿宋" w:hAnsi="仿宋" w:eastAsia="仿宋" w:cs="仿宋"/>
          <w:b w:val="0"/>
          <w:bCs w:val="0"/>
          <w:color w:val="auto"/>
          <w:highlight w:val="none"/>
          <w:lang w:val="en-US" w:eastAsia="zh-CN"/>
        </w:rPr>
        <w:t>10</w:t>
      </w:r>
      <w:r>
        <w:rPr>
          <w:rFonts w:hint="eastAsia" w:ascii="仿宋" w:hAnsi="仿宋" w:eastAsia="仿宋" w:cs="仿宋"/>
          <w:b w:val="0"/>
          <w:bCs w:val="0"/>
          <w:color w:val="auto"/>
          <w:highlight w:val="none"/>
        </w:rPr>
        <w:t>%后参与评审。对于同时属于小型、微型及小微企业、监狱企业或残疾人福利性单位的，不重复进行报价扣除（注：本项目不属于专门面向中小企业项目，产品制造商为小型企业或微型企业的可享受价10%的价格扣除后参与评审）。</w:t>
      </w:r>
    </w:p>
    <w:p w14:paraId="02FBC1E3">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②联合协议中约定，小型、微型企业和监狱企业的协议合同金额占到联合体协议合同总金额40%以上的，可给予联合体4%～6%的价格扣除。（本项目不适用）</w:t>
      </w:r>
    </w:p>
    <w:p w14:paraId="3A8E97DE">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联合体各方均为小型、微型企业和监狱企业的，联合体视同为小型、微型企业和监狱企业。</w:t>
      </w:r>
    </w:p>
    <w:p w14:paraId="63C98F88">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③供应商所投产品如被列入财政部与国家主管部门颁发的节能产品目录或环境标志产品目录或无线局域网产品目录，应提供相关证明，在评标时予以优先采购，具体优惠措施为：投标商所投产品应优先选择《财政部国家发展改革委关于调整公布第二十四期节能产品政府采购清单的通知》（财库〔2018〕73号）、《财政部环境保护部关于调整公布第二十二期环境标志产品政府采购清单的通知》（财库〔2018〕70号）目录内的产品（须提供节能、环保认证证书复印件加盖公章）。</w:t>
      </w:r>
    </w:p>
    <w:p w14:paraId="24E8C70C">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④如采购人所采购产品为政府强制采购的节能产品，供应商所投产品的品牌及型号必须为清单中有效期内产品并提供证明文件，否则其投标将被认定为投标无效。</w:t>
      </w:r>
    </w:p>
    <w:p w14:paraId="756D01CF">
      <w:pPr>
        <w:pStyle w:val="11"/>
        <w:tabs>
          <w:tab w:val="clear" w:pos="567"/>
        </w:tabs>
        <w:spacing w:before="0" w:line="240" w:lineRule="atLeast"/>
        <w:ind w:firstLine="480" w:firstLineChars="200"/>
        <w:rPr>
          <w:rFonts w:hint="eastAsia" w:ascii="仿宋" w:hAnsi="仿宋" w:eastAsia="仿宋" w:cs="仿宋"/>
          <w:b w:val="0"/>
          <w:bCs w:val="0"/>
          <w:color w:val="auto"/>
          <w:highlight w:val="none"/>
          <w:lang w:eastAsia="zh-CN"/>
        </w:rPr>
      </w:pPr>
      <w:r>
        <w:rPr>
          <w:rFonts w:hint="eastAsia" w:ascii="仿宋" w:hAnsi="仿宋" w:eastAsia="仿宋" w:cs="仿宋"/>
          <w:b w:val="0"/>
          <w:bCs w:val="0"/>
          <w:color w:val="auto"/>
          <w:highlight w:val="none"/>
        </w:rPr>
        <w:t>⑤对创新产品或创新型企业的优惠措施为：/</w:t>
      </w:r>
    </w:p>
    <w:p w14:paraId="4B26379C">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2、开标</w:t>
      </w:r>
    </w:p>
    <w:p w14:paraId="1210F650">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2.1开标邀请</w:t>
      </w:r>
    </w:p>
    <w:p w14:paraId="73BBD36C">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（1）开标准备：本项目开标的准备工作由采购组织机构负责落实，开标过程由采购组织机构负责记录；</w:t>
      </w:r>
    </w:p>
    <w:p w14:paraId="4208E94B">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（2）开标主持：本项目开标由采购人或者采购代理机构主持；</w:t>
      </w:r>
    </w:p>
    <w:p w14:paraId="23017EDF">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（3）开标邀请：本项目采用电子交易，采购组织机构将按照招标文件规定的时间通过“新疆政府采购云平台，网址：</w:t>
      </w:r>
      <w:r>
        <w:rPr>
          <w:rFonts w:hint="eastAsia" w:ascii="仿宋" w:hAnsi="仿宋" w:eastAsia="仿宋" w:cs="仿宋"/>
          <w:b w:val="0"/>
          <w:bCs w:val="0"/>
          <w:color w:val="auto"/>
          <w:highlight w:val="none"/>
        </w:rPr>
        <w:fldChar w:fldCharType="begin"/>
      </w:r>
      <w:r>
        <w:rPr>
          <w:rFonts w:hint="eastAsia" w:ascii="仿宋" w:hAnsi="仿宋" w:eastAsia="仿宋" w:cs="仿宋"/>
          <w:b w:val="0"/>
          <w:bCs w:val="0"/>
          <w:color w:val="auto"/>
          <w:highlight w:val="none"/>
        </w:rPr>
        <w:instrText xml:space="preserve"> HYPERLINK "http://www.zcygov.cn" </w:instrText>
      </w:r>
      <w:r>
        <w:rPr>
          <w:rFonts w:hint="eastAsia" w:ascii="仿宋" w:hAnsi="仿宋" w:eastAsia="仿宋" w:cs="仿宋"/>
          <w:b w:val="0"/>
          <w:bCs w:val="0"/>
          <w:color w:val="auto"/>
          <w:highlight w:val="none"/>
        </w:rPr>
        <w:fldChar w:fldCharType="separate"/>
      </w:r>
      <w:r>
        <w:rPr>
          <w:rFonts w:hint="eastAsia" w:ascii="仿宋" w:hAnsi="仿宋" w:eastAsia="仿宋" w:cs="仿宋"/>
          <w:b w:val="0"/>
          <w:bCs w:val="0"/>
          <w:color w:val="auto"/>
          <w:highlight w:val="none"/>
        </w:rPr>
        <w:t>www.zcygov.cn</w:t>
      </w:r>
      <w:r>
        <w:rPr>
          <w:rFonts w:hint="eastAsia" w:ascii="仿宋" w:hAnsi="仿宋" w:eastAsia="仿宋" w:cs="仿宋"/>
          <w:b w:val="0"/>
          <w:bCs w:val="0"/>
          <w:color w:val="auto"/>
          <w:highlight w:val="none"/>
        </w:rPr>
        <w:fldChar w:fldCharType="end"/>
      </w:r>
      <w:r>
        <w:rPr>
          <w:rFonts w:hint="eastAsia" w:ascii="仿宋" w:hAnsi="仿宋" w:eastAsia="仿宋" w:cs="仿宋"/>
          <w:b w:val="0"/>
          <w:bCs w:val="0"/>
          <w:color w:val="auto"/>
          <w:highlight w:val="none"/>
        </w:rPr>
        <w:t>”组织开标、开启投标文件，所有供应商均应当准时在线参加。</w:t>
      </w:r>
    </w:p>
    <w:p w14:paraId="08575EEE">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4）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供应商因未在线参加开标而导致投标文件无法按时解密等一切后果由供应商自行承担。</w:t>
      </w:r>
    </w:p>
    <w:p w14:paraId="0FD2B641">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2.2开标程序</w:t>
      </w:r>
    </w:p>
    <w:p w14:paraId="13F58BAD">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（1）开标时间到后，主持人宣布开标会议开始。</w:t>
      </w:r>
    </w:p>
    <w:p w14:paraId="77D5E583">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（2）投标文件解密（解密规定见《供应商须知前附表》）。</w:t>
      </w:r>
    </w:p>
    <w:p w14:paraId="3CEDCF4E">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（3）投标文件解密异常情况处理（处理办法见《13、突发情况处理》）。</w:t>
      </w:r>
    </w:p>
    <w:p w14:paraId="789F0812">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（4）公布投标文件解密情况（投标文件成功解密的供应商名单等信息）。</w:t>
      </w:r>
    </w:p>
    <w:p w14:paraId="4B1336C0">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5）开启标书信息（资格证明文件、商务技术文件）。标书信息开启后，首先由采购人或采购代理机构或评标小组成员依法对供应商的资格证明文件进行审查，审查结束公布供应商的资格符合情况。资格审查未获通过的供应商，其符合性不再进入评审。</w:t>
      </w:r>
    </w:p>
    <w:p w14:paraId="393888C3">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（6）通过资格性审查的供应商，评标小组成员依法对供应商的符合性证明文件进行审查，审查结束公布供应商的符合性审查情况。符合性审查未获通过的供应商，其不再进入商务技术评分环节。</w:t>
      </w:r>
    </w:p>
    <w:p w14:paraId="1A7DA1DE">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（7）评标小组成员依法对供应商通过符合性审查投标文件进行商务技术评分。</w:t>
      </w:r>
    </w:p>
    <w:p w14:paraId="3868CAE1">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（8）商务技术评分结束，评标小组成员根据中小企业政策对供应商进行价格评审；</w:t>
      </w:r>
    </w:p>
    <w:p w14:paraId="6DF4165A">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（9）评标小组成员提交推荐供应商。</w:t>
      </w:r>
    </w:p>
    <w:p w14:paraId="37F887AC">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特别情况说明：</w:t>
      </w:r>
    </w:p>
    <w:p w14:paraId="54CE8C95">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（1）本项目采用电子交易，如遇“新疆政府采购云平台”电子化开标或评标程序调整的，按调整后程序执行。</w:t>
      </w:r>
    </w:p>
    <w:p w14:paraId="097EF1B3">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（2）开标过程中需要相关当事人进行签字或盖章确认的材料将通过“政府采购云平台”</w:t>
      </w:r>
    </w:p>
    <w:p w14:paraId="3C83A994">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进行，若因“政府采购云平台”技术问题无法进行签字或盖章确认的，采购组织机构将通过电子邮件等形式予以确认，请供应商保证办理投标事宜人员电话畅通、网络在线，签字或盖章确认的时间为20分钟。如未及时签字或盖章确认的，视为无异议。</w:t>
      </w:r>
    </w:p>
    <w:p w14:paraId="104B4996">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2.3供应商资格审查：</w:t>
      </w:r>
    </w:p>
    <w:p w14:paraId="729067EC">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开标（标书信息开启）后，采购人或采购代理机构或评标小组成员首先依法对供应商的资格文件进行审查，审查各供应商的资格符合情况。采购人或采购代理机构或评标小组成员对供应商所提交的资格证明材料仅负责审核的责任。如发现供应商所提交的资格证明材料不合法或与事实不符，采购人可取消其中标（成交）资格并追究供应商的法律责任。</w:t>
      </w:r>
    </w:p>
    <w:p w14:paraId="6BDACC03">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（2）供应商提交的资格证明材料无法证明其符合招标文件规定的“供应商资格要求”的，采购人或采购代理机构将对其作“资格审查不合格”处理（无效投标），并不再将其投标提交评标委员会进行后续评审。</w:t>
      </w:r>
    </w:p>
    <w:p w14:paraId="7F97020F">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（3）供应商信用记录查询与使用：见《供应商须知前附表》。</w:t>
      </w:r>
    </w:p>
    <w:p w14:paraId="5F56036E">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3、评审工作的组织</w:t>
      </w:r>
    </w:p>
    <w:p w14:paraId="49C5FF39">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采购人或采购代理机构负责组织本项目的评审工作，并依据《政府采购货物和服务招标投标管理办法（财政部第87号令）》第四十五条的相关规定履行职责。</w:t>
      </w:r>
    </w:p>
    <w:p w14:paraId="59FDF201">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4、评标委员会的组建</w:t>
      </w:r>
    </w:p>
    <w:p w14:paraId="7C600697">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4.1评标委员会由采购人或采购代理机构依法组建，成员由采购人代表和评标专家组成，成员人数为7人或以上单数，其中评标专家不少于成员总数的三分之二。</w:t>
      </w:r>
    </w:p>
    <w:p w14:paraId="23ADC30B">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4.2按照《中华人民共和国政府采购法》《中华人民共和国政府采购法实施条例》及本项目本级和上级财政部门的有关规定依法在政采云平台随机抽取7人，组成评标小组，负责本项目的评标工作。</w:t>
      </w:r>
    </w:p>
    <w:p w14:paraId="2F1E5F1F">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5、评标委员会的职责</w:t>
      </w:r>
    </w:p>
    <w:p w14:paraId="47AFE1F4">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5.1审查、评价投标文件是否符合招标文件的商务、技术等实质性要求。</w:t>
      </w:r>
    </w:p>
    <w:p w14:paraId="728621E2">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5.2要求供应商对投标文件有关事项作出澄清或者说明。</w:t>
      </w:r>
    </w:p>
    <w:p w14:paraId="572A808D">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5.3对投标文件进行比较和评价。</w:t>
      </w:r>
    </w:p>
    <w:p w14:paraId="0FA92F50">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5.4确定中标候选人名单，以及根据采购人委托直接确定中标人。</w:t>
      </w:r>
    </w:p>
    <w:p w14:paraId="409A79AB">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5.5向采购人、采购代理机构或者有关部门报告评标中发现的违法行为。</w:t>
      </w:r>
    </w:p>
    <w:p w14:paraId="0EE44A2C">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6、评标原则</w:t>
      </w:r>
    </w:p>
    <w:p w14:paraId="5905500C">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6.1评标委员会将遵循公平、公正、科学的原则，对供应商提交的投标文件进行综合评审，评标委员会按照招标文件规定的评标细则进行评分。</w:t>
      </w:r>
    </w:p>
    <w:p w14:paraId="0A0BED66">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6.2客观公正对待所有供应商，对所有投标评价均采用相同的程序和标准。</w:t>
      </w:r>
    </w:p>
    <w:p w14:paraId="2E39EDBA">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6.3评标委员会成员对需要共同认定的事项存在争议的，按照少数服从多数的原则作出结论。持不同意见的评标委员会成员应当在评标报告上签署不同意见及理由，否则视为同意评标报告。</w:t>
      </w:r>
    </w:p>
    <w:p w14:paraId="229D3522">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6.4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成交）人推荐资格；评审得分相同的，由采购人或者采购人委托评标委员会按照招标文件规定的方式确定一个供应商获得中标（成交）人推荐资格，招标文件未规定的采取随机抽取方式确定，其他同品牌供应商不作为中标（成交）候选人。</w:t>
      </w:r>
    </w:p>
    <w:p w14:paraId="61402E90">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非单一产品采购项目，采购人应当根据采购项目技术构成、产品价格比重等合理确定核心产品，并在招标文件中载明。多家供应商提供的核心产品品牌相同的，按前款规定处理。</w:t>
      </w:r>
    </w:p>
    <w:p w14:paraId="0321ECE6">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7、评委纪律</w:t>
      </w:r>
    </w:p>
    <w:p w14:paraId="6ABA13D5">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7.1评标委员会成员必须严格遵守保密规定，不得携带手机进入评标场所，不得泄露评审的有关情况，任何单位和个人不得干扰、影响评标的正常进行，评标委员会成员不得私下与供应商接触，不得出现新疆政府采购活动现场组织管理办法中规定的其他禁止行为。</w:t>
      </w:r>
    </w:p>
    <w:p w14:paraId="484A6163">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7.2评标专家与供应商有下列利害关系之一的人员，应当回避</w:t>
      </w:r>
    </w:p>
    <w:p w14:paraId="6449E30E">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1）参加采购活动前3年内与供应商存在劳动关系；</w:t>
      </w:r>
    </w:p>
    <w:p w14:paraId="2CAB0203">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2）参加采购活动前3年内担任供应商的董事、监事；</w:t>
      </w:r>
    </w:p>
    <w:p w14:paraId="1250919E">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3）参加采购活动前3年内是供应商的控股股东或者实际控制人；</w:t>
      </w:r>
    </w:p>
    <w:p w14:paraId="4D14807D">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4）与供应商的法定代表人或者负责人有夫妻、直系血亲、三代以内旁系血亲或者近姻亲关系。</w:t>
      </w:r>
    </w:p>
    <w:p w14:paraId="1BD1FB4B">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8、评标程序</w:t>
      </w:r>
    </w:p>
    <w:p w14:paraId="5752587B">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8.1在评标专家中推选评标委员会组长，采购人代表不得担任评标委员会组长。</w:t>
      </w:r>
    </w:p>
    <w:p w14:paraId="7D7CD9C2">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8.2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14:paraId="2CB150AE">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8.3评标专家对符合资格的供应商的投标文件的有效性、符合性、完整性和响应程度进行审查，确定是否对招标文件作出实质性响应。</w:t>
      </w:r>
    </w:p>
    <w:p w14:paraId="1464098A">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8.4评标专家按招标文件规定的评审方法和评审标准，依法独立对供应商投标文件进行评估、比较，并给予评价或打分，不受任何单位和个人的干预。</w:t>
      </w:r>
    </w:p>
    <w:p w14:paraId="6D4EBFC0">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本项目采用：综合评分法，是指投标文件满足招标文件全部实质性要求且按评审因素的量化指标评审得分最高的供应商为成交候选供应商的评审方法。</w:t>
      </w:r>
    </w:p>
    <w:p w14:paraId="2A84F40F">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综合评分法中的价格分统一采用低价优先法计算，即满足招标文件要求且最后报价最低的供应商的价格为招标基准价，其价格分为满分。其他供应商的价格分统一按照下列公式计算：</w:t>
      </w:r>
    </w:p>
    <w:p w14:paraId="6C6670B8">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投标报价得分=（基准价/投标报价）×30%</w:t>
      </w:r>
    </w:p>
    <w:p w14:paraId="0F72110C">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项目评审过程中，不得去掉最后报价中的最高报价和最低报价。</w:t>
      </w:r>
    </w:p>
    <w:p w14:paraId="0622FD40">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8.6评标专家对各供应商投标文件非实质性内容有疑义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14:paraId="6B11D6F6">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8.7评标专家需对采购方工作人员唱票或统计的评审结果进行确认，现场监督员应对评标结果签署监督意见。如发现分值汇总计算错误、分项评分超出评分标准范围、客观评分不一致以及存在评分畸高、畸低情形的，应由相关人员当场改正或作出书面说明；拒不改正又不作书面说明的，由现场监督员如实记载后存入项目档案资料。</w:t>
      </w:r>
    </w:p>
    <w:p w14:paraId="3F2B648E">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8.8评标委员会根据评审汇总情况和招标文件规定推荐中标（成交）候选供应商排序名单。</w:t>
      </w:r>
    </w:p>
    <w:p w14:paraId="191B59A7">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8.9起草评标报告，所有评标专家须在评标报告上签字确认，对自己的评审意见承担法律责任。</w:t>
      </w:r>
    </w:p>
    <w:p w14:paraId="52FB5037">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8.10采购组织机构对评标委员会评标专家进行评价。</w:t>
      </w:r>
    </w:p>
    <w:p w14:paraId="18F86C72">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8.11修改评审结果</w:t>
      </w:r>
    </w:p>
    <w:p w14:paraId="447515A3">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评标结果汇总完成后，除下列情形外，任何人不得修改评标结果：</w:t>
      </w:r>
    </w:p>
    <w:p w14:paraId="270DE819">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（1）分值汇总计算错误的；</w:t>
      </w:r>
    </w:p>
    <w:p w14:paraId="2311A554">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（2）分项评分超出评分标准范围的；</w:t>
      </w:r>
    </w:p>
    <w:p w14:paraId="3F64CA7C">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（3）评标委员会成员对客观评审因素评分不一致的；</w:t>
      </w:r>
    </w:p>
    <w:p w14:paraId="45A2AFE7">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（4）经评标委员会认定评分畸高、畸低的。</w:t>
      </w:r>
    </w:p>
    <w:p w14:paraId="27ECEEB4">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7B3ADDD3">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9、澄清、说明或补正的形式</w:t>
      </w:r>
    </w:p>
    <w:p w14:paraId="35B0F0B6">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9.1对于投标文件中含义不明确、同类问题表述不一致或者有明显文字和计算错误的内容，评标委员会将通过“政府采购云平台”在线询标的方式要求供应商在规定的时间内作出必要的澄清、说明或者补正，供应商澄清、说明或补正时间为20分钟。</w:t>
      </w:r>
    </w:p>
    <w:p w14:paraId="010BA40A">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9.2供应商的澄清、说明或者补正应当通过“政府采购云平台”在线答复的方式提交，并加盖公章（电子印章），或者由法定代表人（负责人）或其授权的代表签字。供应商的澄清、说明或者补正不得超出投标文件的范围或者改变投标文件的实质性内容，不接受供应商主动对投标文件的澄清、说明或者补正。</w:t>
      </w:r>
    </w:p>
    <w:p w14:paraId="67C4E48F">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9.3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2FA266D3">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10、错误修正的原则</w:t>
      </w:r>
    </w:p>
    <w:p w14:paraId="5600112F">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10.1电子交易平台客户端里开标一览表录入的投标报价或优惠率与扫描上传的报价文件信息不一致的，以扫描上传的报价文件信息为准进行修正。</w:t>
      </w:r>
    </w:p>
    <w:p w14:paraId="4EC4DB65">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10.2投标文件报价出现前后不一致的，除招标文件另有规定外，按照下列规定修正：</w:t>
      </w:r>
    </w:p>
    <w:p w14:paraId="4ECCC474">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10.3投标函中表述的内容与报价表中不一致的，以报价表为准；报价表中的内容与报价明细表不一致的，以报价表为准；</w:t>
      </w:r>
    </w:p>
    <w:p w14:paraId="3C750265">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10.4投标文件中的大写金额和小写金额不一致的，以大写金额为准；</w:t>
      </w:r>
    </w:p>
    <w:p w14:paraId="476B9A31">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10.5单价金额小数点或者百分比有明显错位的，以开标一览表的总价为准，并修改单价；</w:t>
      </w:r>
    </w:p>
    <w:p w14:paraId="39AF5B3C">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10.6总价金额与按单价汇总金额不一致的，以单价金额计算结果为准；</w:t>
      </w:r>
    </w:p>
    <w:p w14:paraId="54005D54">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10.7若用文字表示的数值与用数字表示的数值不一致，以文字表示的数值为准；</w:t>
      </w:r>
    </w:p>
    <w:p w14:paraId="223CBA03">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10.8如有多报（指数量超出招标文件需求）、重报（指同一货物重复报价），其投标总价在评标过程中不予调整，如其中标，其合同价按其投标单价予以调整；</w:t>
      </w:r>
    </w:p>
    <w:p w14:paraId="4A4AE9DB">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10.9对不同文字文本投标文件的解释发生异议的，以中文文本为准；</w:t>
      </w:r>
    </w:p>
    <w:p w14:paraId="521806FB">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标的形式，并加盖公章（电子印章）。</w:t>
      </w:r>
    </w:p>
    <w:p w14:paraId="02828F58">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11、有下列情形之一的，投标文件按无效标处理：</w:t>
      </w:r>
    </w:p>
    <w:p w14:paraId="179EBC44">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11.1报名的供应商与参加投标的供应商发生实质性变更的且未提供有效证明的；</w:t>
      </w:r>
    </w:p>
    <w:p w14:paraId="329C1BE9">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11.2供应商提交两份或两份以上内容不同的投标文件，未声明哪一份有效的；</w:t>
      </w:r>
    </w:p>
    <w:p w14:paraId="13F1BF67">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11.3投标文件非供应商法定代表人签署的，未提供或提供无效的法定代表人授权书的；</w:t>
      </w:r>
    </w:p>
    <w:p w14:paraId="65221267">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11.4投标文件内容未按招标文件规定签字或盖章的；</w:t>
      </w:r>
    </w:p>
    <w:p w14:paraId="0D245F77">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11.5投标文件组成漏项或未按规定的格式编制或上传的投标文件内容不全或内容字迹模糊辨认不清的而导致评标活动无法正常进行；</w:t>
      </w:r>
    </w:p>
    <w:p w14:paraId="19302A90">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11.6供应商未按招标文件变更通知更改投标文件的；</w:t>
      </w:r>
    </w:p>
    <w:p w14:paraId="653C38AD">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11.7《开标一览表》和《投标分项报价表》内容不完整且不接受修正意见或字迹不能辨认的或未提供的；</w:t>
      </w:r>
    </w:p>
    <w:p w14:paraId="0B092138">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11.8标项投标报价超过招标文件规定的预算金额或最高限价；</w:t>
      </w:r>
    </w:p>
    <w:p w14:paraId="25E52FB0">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11.9因供应商原因编制错误造成经评标委员会修正后的报价达到或超过投标报价的</w:t>
      </w:r>
    </w:p>
    <w:p w14:paraId="6001AB2D">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0.5%；</w:t>
      </w:r>
    </w:p>
    <w:p w14:paraId="20BBE025">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11.10供应商的报价明显低于其他通过符合性审查供应商的报价，有可能影响产品质量或者不能诚信履约的，且在规定时间内不能合理说明原因并提供证明材料的；</w:t>
      </w:r>
    </w:p>
    <w:p w14:paraId="2DDC5C8E">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11.11未实质性响应招标文件中条款要求的投标文件；</w:t>
      </w:r>
    </w:p>
    <w:p w14:paraId="5B77BB38">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11.12不符合招标范围、技术规格、技术标准的要求无法满足采购人使用要求；</w:t>
      </w:r>
    </w:p>
    <w:p w14:paraId="6B5DA2EE">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11.13投标文件附有采购人不能接受的条款；</w:t>
      </w:r>
    </w:p>
    <w:p w14:paraId="620E92D4">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11.14投标文件中提供了赠品或者与本项目采购无关的其他商品、服务；</w:t>
      </w:r>
    </w:p>
    <w:p w14:paraId="46AAD209">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11.15投标文件中承诺的投标有效期少于招标文件中载明的投标有效期；</w:t>
      </w:r>
    </w:p>
    <w:p w14:paraId="414FF77F">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11.16供应商串通投标，妨碍其他供应商的竞争行为，损害采购人或者其他供应商的合法权益；</w:t>
      </w:r>
    </w:p>
    <w:p w14:paraId="3BF7DEA6">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11.17违反国家及政府部门相关法律、法规、文件规定或经评标委员会认定的其他属于重大偏离；</w:t>
      </w:r>
    </w:p>
    <w:p w14:paraId="7991D201">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12、废标</w:t>
      </w:r>
    </w:p>
    <w:p w14:paraId="03563997">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12.1符合招标文件规定废标情形的；</w:t>
      </w:r>
    </w:p>
    <w:p w14:paraId="70DDD682">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12.2出现影响采购公正的违法、违规行为的；</w:t>
      </w:r>
    </w:p>
    <w:p w14:paraId="2A851EE3">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12.3供应商的报价均超过了采购预算（或最高限价），采购人不能支付的；</w:t>
      </w:r>
    </w:p>
    <w:p w14:paraId="472BA375">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12.4因重大变故，采购任务取消的。</w:t>
      </w:r>
    </w:p>
    <w:p w14:paraId="0DBF5B9C">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13、突发情况处理</w:t>
      </w:r>
    </w:p>
    <w:p w14:paraId="515899F6">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13.1采购过程中出现以下情形，导致电子交易平台无法正常运行，或者无法保证电子交易的公平、公正和安全时，采购组织机构可中止电子交易活动：</w:t>
      </w:r>
    </w:p>
    <w:p w14:paraId="5217AC86">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（1）电子交易平台发生故障而无法登录访问的；</w:t>
      </w:r>
    </w:p>
    <w:p w14:paraId="3EE63119">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（2）电子交易平台应用或数据库出现错误，不能进行正常操作的；</w:t>
      </w:r>
    </w:p>
    <w:p w14:paraId="2659FB38">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（3）电子交易平台发现严重安全漏洞，有潜在泄密危险的；</w:t>
      </w:r>
    </w:p>
    <w:p w14:paraId="106525C0">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（4）病毒发作导致不能进行正常操作的；</w:t>
      </w:r>
    </w:p>
    <w:p w14:paraId="273FDBE3">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（5）其他无法保证电子交易的公平、公正和安全的情况。</w:t>
      </w:r>
    </w:p>
    <w:p w14:paraId="676DDACB">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14:paraId="2E29E090">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13.2采购代理机构或评标小组成员因不可抗力（不可抗力包括但不限于自然灾害、断电、传播疫病等）原因造成电子交易活动无法正常运行的，将采取以下措施：</w:t>
      </w:r>
    </w:p>
    <w:p w14:paraId="0844C495">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（1）短时间内能消除不可抗力因素的，采购代理机构或评标小组成员在消除不可抗力因素后继续组织电子交易活动；</w:t>
      </w:r>
    </w:p>
    <w:p w14:paraId="7FC6774A">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（2）长时间内无法消除不可抗力因素的，采购代理机构或评标小组成员将中止电子交易活动。中止电子交易活动的，采购人应当重新组织政府采购活动。</w:t>
      </w:r>
    </w:p>
    <w:p w14:paraId="59D590C4">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14.保密要求：</w:t>
      </w:r>
    </w:p>
    <w:p w14:paraId="1AD164F4">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采购人、采购代理机构确保评标活动在严格保密的情况下进行。在采购结果确定前，采购人、采购代理机构对评标专家名单保密。与评审工作无关的人员不得进入现场。有关人员须对评审情况以及在评审过程中获悉的国家秘密、商业秘密负有保密责任。</w:t>
      </w:r>
    </w:p>
    <w:p w14:paraId="569A9EA1">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15、定标</w:t>
      </w:r>
    </w:p>
    <w:p w14:paraId="61083581">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15.1采购结果确认（确定中标（成交）供应商）</w:t>
      </w:r>
    </w:p>
    <w:p w14:paraId="080799D8">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采购结果确认（确定中标（成交）供应商）：本项目由采购人根据评标专家提交的《评标报告》，通过“政府采购云平台”依法确认采购结果、确定中标（成交）供应商。具体流程如下：</w:t>
      </w:r>
    </w:p>
    <w:p w14:paraId="7F77313A">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（1）采购代理机构将在评审结束后2个工作日内将评标报告送采购人，同时在政采云平台提交采购结果至采购人确认。</w:t>
      </w:r>
    </w:p>
    <w:p w14:paraId="049BD069">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2）采购人将在收到评标报告之日起5个工作日内，在评标报告推荐的中标（成交）候选供应商名单中按顺序确定中标（成交）供应商，并将确认意见以书面形式回复采购代理机构，同时在政采云平台线上确认采购结果。</w:t>
      </w:r>
    </w:p>
    <w:p w14:paraId="0D4420A2">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15.2采购结果经采购人确认后2个工作日内，采购代理机构将在新疆政府采购网（</w:t>
      </w:r>
      <w:r>
        <w:rPr>
          <w:rFonts w:hint="eastAsia" w:ascii="仿宋" w:hAnsi="仿宋" w:eastAsia="仿宋" w:cs="仿宋"/>
          <w:b w:val="0"/>
          <w:bCs w:val="0"/>
          <w:color w:val="auto"/>
          <w:highlight w:val="none"/>
        </w:rPr>
        <w:fldChar w:fldCharType="begin"/>
      </w:r>
      <w:r>
        <w:rPr>
          <w:rFonts w:hint="eastAsia" w:ascii="仿宋" w:hAnsi="仿宋" w:eastAsia="仿宋" w:cs="仿宋"/>
          <w:b w:val="0"/>
          <w:bCs w:val="0"/>
          <w:color w:val="auto"/>
          <w:highlight w:val="none"/>
        </w:rPr>
        <w:instrText xml:space="preserve"> HYPERLINK "https://www.zjzfcg.gov.cn" </w:instrText>
      </w:r>
      <w:r>
        <w:rPr>
          <w:rFonts w:hint="eastAsia" w:ascii="仿宋" w:hAnsi="仿宋" w:eastAsia="仿宋" w:cs="仿宋"/>
          <w:b w:val="0"/>
          <w:bCs w:val="0"/>
          <w:color w:val="auto"/>
          <w:highlight w:val="none"/>
        </w:rPr>
        <w:fldChar w:fldCharType="separate"/>
      </w:r>
      <w:r>
        <w:rPr>
          <w:rFonts w:hint="eastAsia" w:ascii="仿宋" w:hAnsi="仿宋" w:eastAsia="仿宋" w:cs="仿宋"/>
          <w:b w:val="0"/>
          <w:bCs w:val="0"/>
          <w:color w:val="auto"/>
          <w:highlight w:val="none"/>
        </w:rPr>
        <w:t>www.zjzfcg.gov.cn</w:t>
      </w:r>
      <w:r>
        <w:rPr>
          <w:rFonts w:hint="eastAsia" w:ascii="仿宋" w:hAnsi="仿宋" w:eastAsia="仿宋" w:cs="仿宋"/>
          <w:b w:val="0"/>
          <w:bCs w:val="0"/>
          <w:color w:val="auto"/>
          <w:highlight w:val="none"/>
        </w:rPr>
        <w:fldChar w:fldCharType="end"/>
      </w:r>
      <w:r>
        <w:rPr>
          <w:rFonts w:hint="eastAsia" w:ascii="仿宋" w:hAnsi="仿宋" w:eastAsia="仿宋" w:cs="仿宋"/>
          <w:b w:val="0"/>
          <w:bCs w:val="0"/>
          <w:color w:val="auto"/>
          <w:highlight w:val="none"/>
        </w:rPr>
        <w:t>）上公示采购结果，中标（成交）公示期限为1个工作日。</w:t>
      </w:r>
    </w:p>
    <w:p w14:paraId="2F2CF3AF">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16、中标（成交）通知书</w:t>
      </w:r>
    </w:p>
    <w:p w14:paraId="198A2B3F">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16.1在中标（成交）通知书发出前，采购人将中标（成交）供应商的情况在新疆政府采购网予以公示，公示期为一个工作日。待公示期结束后，采购组织机构向中标（成交）供应商发出中标（成交）通知书。</w:t>
      </w:r>
    </w:p>
    <w:p w14:paraId="7A5A0D01">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16.2中标（成交）通知书作为签订合同的重要依据，对采购人和中标（成交）供应商均具有法律效力。采购人改变中标（成交）结果或者中标（成交）供应商放弃中标（成交）项目的都应承担法律责任。成交供应商不得向他人转让中标（成交）项目，也不得将中标（成交）项目肢解后分别向他人转让。</w:t>
      </w:r>
    </w:p>
    <w:p w14:paraId="1B94339A">
      <w:pPr>
        <w:pStyle w:val="11"/>
        <w:tabs>
          <w:tab w:val="clear" w:pos="567"/>
        </w:tabs>
        <w:spacing w:before="0" w:line="240" w:lineRule="atLeas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17、评标专家推荐中标候选单位的数量：3。（每个标段）</w:t>
      </w:r>
    </w:p>
    <w:p w14:paraId="318858F5">
      <w:pPr>
        <w:pStyle w:val="11"/>
        <w:tabs>
          <w:tab w:val="clear" w:pos="567"/>
        </w:tabs>
        <w:spacing w:before="0" w:line="240" w:lineRule="atLeast"/>
        <w:ind w:firstLine="540" w:firstLineChars="225"/>
        <w:rPr>
          <w:rFonts w:hint="eastAsia" w:ascii="仿宋" w:hAnsi="仿宋" w:eastAsia="仿宋" w:cs="仿宋"/>
          <w:highlight w:val="none"/>
          <w:lang w:val="en-US" w:eastAsia="zh-CN"/>
        </w:rPr>
      </w:pPr>
    </w:p>
    <w:p w14:paraId="25C57269">
      <w:pPr>
        <w:spacing w:line="300" w:lineRule="auto"/>
        <w:jc w:val="center"/>
        <w:rPr>
          <w:rFonts w:hint="eastAsia" w:ascii="仿宋" w:hAnsi="仿宋" w:eastAsia="仿宋" w:cs="仿宋"/>
          <w:b/>
          <w:bCs/>
          <w:sz w:val="24"/>
          <w:highlight w:val="none"/>
        </w:rPr>
      </w:pPr>
      <w:r>
        <w:rPr>
          <w:rFonts w:hint="eastAsia" w:ascii="仿宋" w:hAnsi="仿宋" w:eastAsia="仿宋" w:cs="仿宋"/>
          <w:b/>
          <w:bCs/>
          <w:sz w:val="24"/>
          <w:highlight w:val="none"/>
        </w:rPr>
        <w:br w:type="page"/>
      </w:r>
      <w:r>
        <w:rPr>
          <w:rFonts w:hint="eastAsia" w:ascii="仿宋" w:hAnsi="仿宋" w:eastAsia="仿宋" w:cs="仿宋"/>
          <w:b/>
          <w:bCs/>
          <w:sz w:val="24"/>
          <w:highlight w:val="none"/>
        </w:rPr>
        <w:t>初步评审—资格性审查表</w:t>
      </w:r>
    </w:p>
    <w:tbl>
      <w:tblPr>
        <w:tblStyle w:val="37"/>
        <w:tblpPr w:leftFromText="180" w:rightFromText="180" w:vertAnchor="text" w:horzAnchor="page" w:tblpXSpec="center" w:tblpY="382"/>
        <w:tblOverlap w:val="never"/>
        <w:tblW w:w="98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6900"/>
        <w:gridCol w:w="857"/>
        <w:gridCol w:w="777"/>
        <w:gridCol w:w="808"/>
      </w:tblGrid>
      <w:tr w14:paraId="27790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510" w:type="dxa"/>
            <w:vMerge w:val="restart"/>
            <w:noWrap w:val="0"/>
            <w:vAlign w:val="center"/>
          </w:tcPr>
          <w:p w14:paraId="07413E2F">
            <w:pPr>
              <w:spacing w:line="300" w:lineRule="auto"/>
              <w:jc w:val="center"/>
              <w:rPr>
                <w:rFonts w:hint="eastAsia" w:ascii="仿宋" w:hAnsi="仿宋" w:eastAsia="仿宋" w:cs="仿宋"/>
                <w:b/>
                <w:sz w:val="24"/>
                <w:highlight w:val="none"/>
              </w:rPr>
            </w:pPr>
            <w:r>
              <w:rPr>
                <w:rFonts w:hint="eastAsia" w:ascii="仿宋" w:hAnsi="仿宋" w:eastAsia="仿宋" w:cs="仿宋"/>
                <w:b/>
                <w:sz w:val="24"/>
                <w:highlight w:val="none"/>
              </w:rPr>
              <w:t>序号</w:t>
            </w:r>
          </w:p>
        </w:tc>
        <w:tc>
          <w:tcPr>
            <w:tcW w:w="6900" w:type="dxa"/>
            <w:vMerge w:val="restart"/>
            <w:noWrap w:val="0"/>
            <w:vAlign w:val="center"/>
          </w:tcPr>
          <w:p w14:paraId="1E7F60F0">
            <w:pPr>
              <w:spacing w:line="300" w:lineRule="auto"/>
              <w:jc w:val="center"/>
              <w:rPr>
                <w:rFonts w:hint="eastAsia" w:ascii="仿宋" w:hAnsi="仿宋" w:eastAsia="仿宋" w:cs="仿宋"/>
                <w:b/>
                <w:sz w:val="24"/>
                <w:highlight w:val="none"/>
              </w:rPr>
            </w:pPr>
            <w:r>
              <w:rPr>
                <w:rFonts w:hint="eastAsia" w:ascii="仿宋" w:hAnsi="仿宋" w:eastAsia="仿宋" w:cs="仿宋"/>
                <w:b/>
                <w:sz w:val="24"/>
                <w:highlight w:val="none"/>
              </w:rPr>
              <w:t>评审内容</w:t>
            </w:r>
          </w:p>
        </w:tc>
        <w:tc>
          <w:tcPr>
            <w:tcW w:w="2442" w:type="dxa"/>
            <w:gridSpan w:val="3"/>
            <w:noWrap w:val="0"/>
            <w:vAlign w:val="center"/>
          </w:tcPr>
          <w:p w14:paraId="333D1A66">
            <w:pPr>
              <w:spacing w:line="300" w:lineRule="auto"/>
              <w:jc w:val="center"/>
              <w:rPr>
                <w:rFonts w:hint="eastAsia" w:ascii="仿宋" w:hAnsi="仿宋" w:eastAsia="仿宋" w:cs="仿宋"/>
                <w:b/>
                <w:sz w:val="24"/>
                <w:highlight w:val="none"/>
                <w:lang w:eastAsia="zh-CN"/>
              </w:rPr>
            </w:pPr>
            <w:r>
              <w:rPr>
                <w:rFonts w:hint="eastAsia" w:ascii="仿宋" w:hAnsi="仿宋" w:eastAsia="仿宋" w:cs="仿宋"/>
                <w:b/>
                <w:sz w:val="24"/>
                <w:highlight w:val="none"/>
                <w:lang w:eastAsia="zh-CN"/>
              </w:rPr>
              <w:t>投标人</w:t>
            </w:r>
          </w:p>
        </w:tc>
      </w:tr>
      <w:tr w14:paraId="5167C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510" w:type="dxa"/>
            <w:vMerge w:val="continue"/>
            <w:noWrap w:val="0"/>
            <w:vAlign w:val="center"/>
          </w:tcPr>
          <w:p w14:paraId="0F8DE3D6">
            <w:pPr>
              <w:spacing w:line="300" w:lineRule="auto"/>
              <w:jc w:val="center"/>
              <w:rPr>
                <w:rFonts w:hint="eastAsia" w:ascii="仿宋" w:hAnsi="仿宋" w:eastAsia="仿宋" w:cs="仿宋"/>
                <w:b/>
                <w:sz w:val="24"/>
                <w:highlight w:val="none"/>
              </w:rPr>
            </w:pPr>
          </w:p>
        </w:tc>
        <w:tc>
          <w:tcPr>
            <w:tcW w:w="6900" w:type="dxa"/>
            <w:vMerge w:val="continue"/>
            <w:noWrap w:val="0"/>
            <w:vAlign w:val="center"/>
          </w:tcPr>
          <w:p w14:paraId="23CE5709">
            <w:pPr>
              <w:spacing w:line="300" w:lineRule="auto"/>
              <w:jc w:val="center"/>
              <w:rPr>
                <w:rFonts w:hint="eastAsia" w:ascii="仿宋" w:hAnsi="仿宋" w:eastAsia="仿宋" w:cs="仿宋"/>
                <w:b/>
                <w:sz w:val="24"/>
                <w:highlight w:val="none"/>
              </w:rPr>
            </w:pPr>
          </w:p>
        </w:tc>
        <w:tc>
          <w:tcPr>
            <w:tcW w:w="857" w:type="dxa"/>
            <w:noWrap w:val="0"/>
            <w:vAlign w:val="center"/>
          </w:tcPr>
          <w:p w14:paraId="4282F8C7">
            <w:pPr>
              <w:spacing w:line="300" w:lineRule="auto"/>
              <w:jc w:val="center"/>
              <w:rPr>
                <w:rFonts w:hint="eastAsia" w:ascii="仿宋" w:hAnsi="仿宋" w:eastAsia="仿宋" w:cs="仿宋"/>
                <w:sz w:val="24"/>
                <w:highlight w:val="none"/>
              </w:rPr>
            </w:pPr>
            <w:r>
              <w:rPr>
                <w:rFonts w:hint="eastAsia" w:ascii="仿宋" w:hAnsi="仿宋" w:eastAsia="仿宋" w:cs="仿宋"/>
                <w:sz w:val="24"/>
                <w:highlight w:val="none"/>
              </w:rPr>
              <w:t>是否合格</w:t>
            </w:r>
          </w:p>
        </w:tc>
        <w:tc>
          <w:tcPr>
            <w:tcW w:w="777" w:type="dxa"/>
            <w:noWrap w:val="0"/>
            <w:vAlign w:val="center"/>
          </w:tcPr>
          <w:p w14:paraId="3D21014A">
            <w:pPr>
              <w:spacing w:line="300" w:lineRule="auto"/>
              <w:jc w:val="center"/>
              <w:rPr>
                <w:rFonts w:hint="eastAsia" w:ascii="仿宋" w:hAnsi="仿宋" w:eastAsia="仿宋" w:cs="仿宋"/>
                <w:sz w:val="24"/>
                <w:highlight w:val="none"/>
              </w:rPr>
            </w:pPr>
            <w:r>
              <w:rPr>
                <w:rFonts w:hint="eastAsia" w:ascii="仿宋" w:hAnsi="仿宋" w:eastAsia="仿宋" w:cs="仿宋"/>
                <w:sz w:val="24"/>
                <w:highlight w:val="none"/>
              </w:rPr>
              <w:t>是否合格</w:t>
            </w:r>
          </w:p>
        </w:tc>
        <w:tc>
          <w:tcPr>
            <w:tcW w:w="808" w:type="dxa"/>
            <w:noWrap w:val="0"/>
            <w:vAlign w:val="center"/>
          </w:tcPr>
          <w:p w14:paraId="149A6BE8">
            <w:pPr>
              <w:spacing w:line="300" w:lineRule="auto"/>
              <w:jc w:val="center"/>
              <w:rPr>
                <w:rFonts w:hint="eastAsia" w:ascii="仿宋" w:hAnsi="仿宋" w:eastAsia="仿宋" w:cs="仿宋"/>
                <w:sz w:val="24"/>
                <w:highlight w:val="none"/>
              </w:rPr>
            </w:pPr>
            <w:r>
              <w:rPr>
                <w:rFonts w:hint="eastAsia" w:ascii="仿宋" w:hAnsi="仿宋" w:eastAsia="仿宋" w:cs="仿宋"/>
                <w:sz w:val="24"/>
                <w:highlight w:val="none"/>
              </w:rPr>
              <w:t>是否合格</w:t>
            </w:r>
          </w:p>
        </w:tc>
      </w:tr>
      <w:tr w14:paraId="30867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510" w:type="dxa"/>
            <w:noWrap w:val="0"/>
            <w:vAlign w:val="center"/>
          </w:tcPr>
          <w:p w14:paraId="43C88A97">
            <w:pPr>
              <w:spacing w:line="300" w:lineRule="auto"/>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6900" w:type="dxa"/>
            <w:noWrap w:val="0"/>
            <w:vAlign w:val="center"/>
          </w:tcPr>
          <w:p w14:paraId="3CF97FB5">
            <w:pPr>
              <w:spacing w:line="300" w:lineRule="auto"/>
              <w:rPr>
                <w:rFonts w:hint="eastAsia" w:ascii="仿宋" w:hAnsi="仿宋" w:eastAsia="仿宋" w:cs="仿宋"/>
                <w:sz w:val="24"/>
                <w:highlight w:val="none"/>
              </w:rPr>
            </w:pPr>
            <w:r>
              <w:rPr>
                <w:rFonts w:hint="eastAsia" w:ascii="仿宋" w:hAnsi="仿宋" w:eastAsia="仿宋" w:cs="仿宋"/>
                <w:b/>
                <w:bCs/>
                <w:sz w:val="24"/>
                <w:highlight w:val="none"/>
                <w:lang w:val="zh-CN" w:eastAsia="zh-CN"/>
              </w:rPr>
              <w:t>法人或者其他组织的营业执照等证明文件；</w:t>
            </w:r>
          </w:p>
        </w:tc>
        <w:tc>
          <w:tcPr>
            <w:tcW w:w="857" w:type="dxa"/>
            <w:noWrap w:val="0"/>
            <w:vAlign w:val="top"/>
          </w:tcPr>
          <w:p w14:paraId="18B9D6DB">
            <w:pPr>
              <w:spacing w:line="300" w:lineRule="auto"/>
              <w:rPr>
                <w:rFonts w:hint="eastAsia" w:ascii="仿宋" w:hAnsi="仿宋" w:eastAsia="仿宋" w:cs="仿宋"/>
                <w:sz w:val="24"/>
                <w:highlight w:val="none"/>
              </w:rPr>
            </w:pPr>
          </w:p>
        </w:tc>
        <w:tc>
          <w:tcPr>
            <w:tcW w:w="777" w:type="dxa"/>
            <w:noWrap w:val="0"/>
            <w:vAlign w:val="top"/>
          </w:tcPr>
          <w:p w14:paraId="7B3111A1">
            <w:pPr>
              <w:spacing w:line="300" w:lineRule="auto"/>
              <w:rPr>
                <w:rFonts w:hint="eastAsia" w:ascii="仿宋" w:hAnsi="仿宋" w:eastAsia="仿宋" w:cs="仿宋"/>
                <w:sz w:val="24"/>
                <w:highlight w:val="none"/>
              </w:rPr>
            </w:pPr>
          </w:p>
        </w:tc>
        <w:tc>
          <w:tcPr>
            <w:tcW w:w="808" w:type="dxa"/>
            <w:noWrap w:val="0"/>
            <w:vAlign w:val="top"/>
          </w:tcPr>
          <w:p w14:paraId="44996AB7">
            <w:pPr>
              <w:spacing w:line="300" w:lineRule="auto"/>
              <w:rPr>
                <w:rFonts w:hint="eastAsia" w:ascii="仿宋" w:hAnsi="仿宋" w:eastAsia="仿宋" w:cs="仿宋"/>
                <w:sz w:val="24"/>
                <w:highlight w:val="none"/>
              </w:rPr>
            </w:pPr>
          </w:p>
        </w:tc>
      </w:tr>
      <w:tr w14:paraId="5AAA9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510" w:type="dxa"/>
            <w:noWrap w:val="0"/>
            <w:vAlign w:val="center"/>
          </w:tcPr>
          <w:p w14:paraId="2BCE5D03">
            <w:pPr>
              <w:spacing w:line="300" w:lineRule="auto"/>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6900" w:type="dxa"/>
            <w:noWrap w:val="0"/>
            <w:vAlign w:val="center"/>
          </w:tcPr>
          <w:p w14:paraId="55327947">
            <w:pPr>
              <w:spacing w:line="300" w:lineRule="auto"/>
              <w:rPr>
                <w:rFonts w:hint="eastAsia" w:ascii="仿宋" w:hAnsi="仿宋" w:eastAsia="仿宋" w:cs="仿宋"/>
                <w:sz w:val="24"/>
                <w:highlight w:val="none"/>
              </w:rPr>
            </w:pPr>
            <w:r>
              <w:rPr>
                <w:rFonts w:hint="eastAsia" w:ascii="仿宋" w:hAnsi="仿宋" w:eastAsia="仿宋" w:cs="仿宋"/>
                <w:b/>
                <w:color w:val="000000"/>
                <w:kern w:val="0"/>
                <w:sz w:val="24"/>
                <w:szCs w:val="20"/>
                <w:highlight w:val="none"/>
                <w:u w:val="none"/>
                <w:lang w:val="zh-CN" w:eastAsia="zh-CN" w:bidi="ar-SA"/>
              </w:rPr>
              <w:t>法定代表人授权书及被委托人身份证扫描件(法定代表人投标提供法定代表人身份证明及身份证扫描件)</w:t>
            </w:r>
            <w:r>
              <w:rPr>
                <w:rFonts w:hint="eastAsia" w:ascii="仿宋" w:hAnsi="仿宋" w:eastAsia="仿宋" w:cs="仿宋"/>
                <w:bCs/>
                <w:sz w:val="24"/>
                <w:highlight w:val="none"/>
              </w:rPr>
              <w:t>；</w:t>
            </w:r>
          </w:p>
        </w:tc>
        <w:tc>
          <w:tcPr>
            <w:tcW w:w="857" w:type="dxa"/>
            <w:noWrap w:val="0"/>
            <w:vAlign w:val="top"/>
          </w:tcPr>
          <w:p w14:paraId="73F7605B">
            <w:pPr>
              <w:spacing w:line="300" w:lineRule="auto"/>
              <w:rPr>
                <w:rFonts w:hint="eastAsia" w:ascii="仿宋" w:hAnsi="仿宋" w:eastAsia="仿宋" w:cs="仿宋"/>
                <w:sz w:val="24"/>
                <w:highlight w:val="none"/>
              </w:rPr>
            </w:pPr>
          </w:p>
        </w:tc>
        <w:tc>
          <w:tcPr>
            <w:tcW w:w="777" w:type="dxa"/>
            <w:noWrap w:val="0"/>
            <w:vAlign w:val="top"/>
          </w:tcPr>
          <w:p w14:paraId="3207F8F4">
            <w:pPr>
              <w:spacing w:line="300" w:lineRule="auto"/>
              <w:rPr>
                <w:rFonts w:hint="eastAsia" w:ascii="仿宋" w:hAnsi="仿宋" w:eastAsia="仿宋" w:cs="仿宋"/>
                <w:sz w:val="24"/>
                <w:highlight w:val="none"/>
              </w:rPr>
            </w:pPr>
          </w:p>
        </w:tc>
        <w:tc>
          <w:tcPr>
            <w:tcW w:w="808" w:type="dxa"/>
            <w:noWrap w:val="0"/>
            <w:vAlign w:val="top"/>
          </w:tcPr>
          <w:p w14:paraId="2CBF233F">
            <w:pPr>
              <w:spacing w:line="300" w:lineRule="auto"/>
              <w:rPr>
                <w:rFonts w:hint="eastAsia" w:ascii="仿宋" w:hAnsi="仿宋" w:eastAsia="仿宋" w:cs="仿宋"/>
                <w:sz w:val="24"/>
                <w:highlight w:val="none"/>
              </w:rPr>
            </w:pPr>
          </w:p>
        </w:tc>
      </w:tr>
      <w:tr w14:paraId="77AD9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510" w:type="dxa"/>
            <w:noWrap w:val="0"/>
            <w:vAlign w:val="center"/>
          </w:tcPr>
          <w:p w14:paraId="50F613B0">
            <w:pPr>
              <w:spacing w:line="300" w:lineRule="auto"/>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w:t>
            </w:r>
          </w:p>
        </w:tc>
        <w:tc>
          <w:tcPr>
            <w:tcW w:w="6900" w:type="dxa"/>
            <w:noWrap w:val="0"/>
            <w:vAlign w:val="center"/>
          </w:tcPr>
          <w:p w14:paraId="0772070C">
            <w:pPr>
              <w:spacing w:line="300" w:lineRule="auto"/>
              <w:rPr>
                <w:rFonts w:hint="default" w:ascii="仿宋" w:hAnsi="仿宋" w:eastAsia="仿宋" w:cs="仿宋"/>
                <w:bCs/>
                <w:sz w:val="24"/>
                <w:highlight w:val="none"/>
                <w:lang w:val="en-US" w:eastAsia="zh-CN"/>
              </w:rPr>
            </w:pPr>
            <w:r>
              <w:rPr>
                <w:rFonts w:hint="default" w:ascii="仿宋" w:hAnsi="仿宋" w:eastAsia="仿宋" w:cs="仿宋"/>
                <w:b/>
                <w:color w:val="000000"/>
                <w:kern w:val="0"/>
                <w:sz w:val="24"/>
                <w:szCs w:val="20"/>
                <w:highlight w:val="none"/>
                <w:u w:val="none"/>
                <w:lang w:val="en-US" w:eastAsia="zh-CN" w:bidi="ar-SA"/>
              </w:rPr>
              <w:t>投标人提供依法缴纳的近三个月的社保缴纳记录</w:t>
            </w:r>
          </w:p>
        </w:tc>
        <w:tc>
          <w:tcPr>
            <w:tcW w:w="857" w:type="dxa"/>
            <w:noWrap w:val="0"/>
            <w:vAlign w:val="top"/>
          </w:tcPr>
          <w:p w14:paraId="31DE342F">
            <w:pPr>
              <w:spacing w:line="300" w:lineRule="auto"/>
              <w:rPr>
                <w:rFonts w:hint="eastAsia" w:ascii="仿宋" w:hAnsi="仿宋" w:eastAsia="仿宋" w:cs="仿宋"/>
                <w:sz w:val="24"/>
                <w:highlight w:val="none"/>
              </w:rPr>
            </w:pPr>
          </w:p>
        </w:tc>
        <w:tc>
          <w:tcPr>
            <w:tcW w:w="777" w:type="dxa"/>
            <w:noWrap w:val="0"/>
            <w:vAlign w:val="top"/>
          </w:tcPr>
          <w:p w14:paraId="18D02E30">
            <w:pPr>
              <w:spacing w:line="300" w:lineRule="auto"/>
              <w:rPr>
                <w:rFonts w:hint="eastAsia" w:ascii="仿宋" w:hAnsi="仿宋" w:eastAsia="仿宋" w:cs="仿宋"/>
                <w:sz w:val="24"/>
                <w:highlight w:val="none"/>
              </w:rPr>
            </w:pPr>
          </w:p>
        </w:tc>
        <w:tc>
          <w:tcPr>
            <w:tcW w:w="808" w:type="dxa"/>
            <w:noWrap w:val="0"/>
            <w:vAlign w:val="top"/>
          </w:tcPr>
          <w:p w14:paraId="586DCCD1">
            <w:pPr>
              <w:spacing w:line="300" w:lineRule="auto"/>
              <w:rPr>
                <w:rFonts w:hint="eastAsia" w:ascii="仿宋" w:hAnsi="仿宋" w:eastAsia="仿宋" w:cs="仿宋"/>
                <w:sz w:val="24"/>
                <w:highlight w:val="none"/>
              </w:rPr>
            </w:pPr>
          </w:p>
        </w:tc>
      </w:tr>
      <w:tr w14:paraId="202B6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510" w:type="dxa"/>
            <w:noWrap w:val="0"/>
            <w:vAlign w:val="center"/>
          </w:tcPr>
          <w:p w14:paraId="04948AD1">
            <w:pPr>
              <w:spacing w:line="300" w:lineRule="auto"/>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4</w:t>
            </w:r>
          </w:p>
        </w:tc>
        <w:tc>
          <w:tcPr>
            <w:tcW w:w="6900" w:type="dxa"/>
            <w:noWrap w:val="0"/>
            <w:vAlign w:val="center"/>
          </w:tcPr>
          <w:p w14:paraId="3252EFE3">
            <w:pPr>
              <w:spacing w:line="300" w:lineRule="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投标人提供近三个月的税收良好记录证明(完税证明或税务部门出具的其他证明，非社会保险类)；</w:t>
            </w:r>
          </w:p>
        </w:tc>
        <w:tc>
          <w:tcPr>
            <w:tcW w:w="857" w:type="dxa"/>
            <w:noWrap w:val="0"/>
            <w:vAlign w:val="top"/>
          </w:tcPr>
          <w:p w14:paraId="7A890B3F">
            <w:pPr>
              <w:spacing w:line="300" w:lineRule="auto"/>
              <w:rPr>
                <w:rFonts w:hint="eastAsia" w:ascii="仿宋" w:hAnsi="仿宋" w:eastAsia="仿宋" w:cs="仿宋"/>
                <w:sz w:val="24"/>
                <w:highlight w:val="none"/>
              </w:rPr>
            </w:pPr>
          </w:p>
        </w:tc>
        <w:tc>
          <w:tcPr>
            <w:tcW w:w="777" w:type="dxa"/>
            <w:noWrap w:val="0"/>
            <w:vAlign w:val="top"/>
          </w:tcPr>
          <w:p w14:paraId="1456E086">
            <w:pPr>
              <w:spacing w:line="300" w:lineRule="auto"/>
              <w:rPr>
                <w:rFonts w:hint="eastAsia" w:ascii="仿宋" w:hAnsi="仿宋" w:eastAsia="仿宋" w:cs="仿宋"/>
                <w:sz w:val="24"/>
                <w:highlight w:val="none"/>
              </w:rPr>
            </w:pPr>
          </w:p>
        </w:tc>
        <w:tc>
          <w:tcPr>
            <w:tcW w:w="808" w:type="dxa"/>
            <w:noWrap w:val="0"/>
            <w:vAlign w:val="top"/>
          </w:tcPr>
          <w:p w14:paraId="7A588A11">
            <w:pPr>
              <w:spacing w:line="300" w:lineRule="auto"/>
              <w:rPr>
                <w:rFonts w:hint="eastAsia" w:ascii="仿宋" w:hAnsi="仿宋" w:eastAsia="仿宋" w:cs="仿宋"/>
                <w:sz w:val="24"/>
                <w:highlight w:val="none"/>
              </w:rPr>
            </w:pPr>
          </w:p>
        </w:tc>
      </w:tr>
      <w:tr w14:paraId="49CFB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510" w:type="dxa"/>
            <w:noWrap w:val="0"/>
            <w:vAlign w:val="center"/>
          </w:tcPr>
          <w:p w14:paraId="5678385B">
            <w:pPr>
              <w:spacing w:line="300" w:lineRule="auto"/>
              <w:jc w:val="center"/>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5</w:t>
            </w:r>
          </w:p>
        </w:tc>
        <w:tc>
          <w:tcPr>
            <w:tcW w:w="6900" w:type="dxa"/>
            <w:noWrap w:val="0"/>
            <w:vAlign w:val="center"/>
          </w:tcPr>
          <w:p w14:paraId="5EBC33E6">
            <w:pPr>
              <w:widowControl/>
              <w:jc w:val="left"/>
              <w:rPr>
                <w:rFonts w:hint="eastAsia" w:ascii="仿宋" w:hAnsi="仿宋" w:eastAsia="仿宋" w:cs="仿宋"/>
                <w:bCs/>
                <w:sz w:val="24"/>
                <w:highlight w:val="none"/>
              </w:rPr>
            </w:pPr>
            <w:r>
              <w:rPr>
                <w:rFonts w:hint="eastAsia" w:ascii="仿宋" w:hAnsi="仿宋" w:eastAsia="仿宋" w:cs="仿宋"/>
                <w:b/>
                <w:color w:val="000000"/>
                <w:kern w:val="0"/>
                <w:sz w:val="24"/>
                <w:szCs w:val="20"/>
                <w:highlight w:val="none"/>
                <w:u w:val="none"/>
                <w:lang w:val="zh-CN" w:eastAsia="zh-CN" w:bidi="ar-SA"/>
              </w:rPr>
              <w:t>具有2024年度财务审计报告(新成立公司提供开标前六个月内任意一个月有效银行资信证明)</w:t>
            </w:r>
          </w:p>
        </w:tc>
        <w:tc>
          <w:tcPr>
            <w:tcW w:w="857" w:type="dxa"/>
            <w:noWrap w:val="0"/>
            <w:vAlign w:val="top"/>
          </w:tcPr>
          <w:p w14:paraId="2BF5A8C8">
            <w:pPr>
              <w:spacing w:line="300" w:lineRule="auto"/>
              <w:rPr>
                <w:rFonts w:hint="eastAsia" w:ascii="仿宋" w:hAnsi="仿宋" w:eastAsia="仿宋" w:cs="仿宋"/>
                <w:sz w:val="24"/>
                <w:highlight w:val="none"/>
              </w:rPr>
            </w:pPr>
          </w:p>
        </w:tc>
        <w:tc>
          <w:tcPr>
            <w:tcW w:w="777" w:type="dxa"/>
            <w:noWrap w:val="0"/>
            <w:vAlign w:val="top"/>
          </w:tcPr>
          <w:p w14:paraId="1F54B686">
            <w:pPr>
              <w:spacing w:line="300" w:lineRule="auto"/>
              <w:rPr>
                <w:rFonts w:hint="eastAsia" w:ascii="仿宋" w:hAnsi="仿宋" w:eastAsia="仿宋" w:cs="仿宋"/>
                <w:sz w:val="24"/>
                <w:highlight w:val="none"/>
              </w:rPr>
            </w:pPr>
          </w:p>
        </w:tc>
        <w:tc>
          <w:tcPr>
            <w:tcW w:w="808" w:type="dxa"/>
            <w:noWrap w:val="0"/>
            <w:vAlign w:val="top"/>
          </w:tcPr>
          <w:p w14:paraId="2A6A4133">
            <w:pPr>
              <w:spacing w:line="300" w:lineRule="auto"/>
              <w:rPr>
                <w:rFonts w:hint="eastAsia" w:ascii="仿宋" w:hAnsi="仿宋" w:eastAsia="仿宋" w:cs="仿宋"/>
                <w:sz w:val="24"/>
                <w:highlight w:val="none"/>
              </w:rPr>
            </w:pPr>
          </w:p>
        </w:tc>
      </w:tr>
      <w:tr w14:paraId="4780F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510" w:type="dxa"/>
            <w:noWrap w:val="0"/>
            <w:vAlign w:val="center"/>
          </w:tcPr>
          <w:p w14:paraId="46E7A600">
            <w:pPr>
              <w:spacing w:line="300" w:lineRule="auto"/>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6</w:t>
            </w:r>
          </w:p>
        </w:tc>
        <w:tc>
          <w:tcPr>
            <w:tcW w:w="6900" w:type="dxa"/>
            <w:noWrap w:val="0"/>
            <w:vAlign w:val="center"/>
          </w:tcPr>
          <w:p w14:paraId="750D4303">
            <w:pPr>
              <w:spacing w:line="300" w:lineRule="auto"/>
              <w:rPr>
                <w:rFonts w:hint="eastAsia" w:ascii="仿宋" w:hAnsi="仿宋" w:eastAsia="仿宋" w:cs="仿宋"/>
                <w:sz w:val="24"/>
                <w:highlight w:val="none"/>
              </w:rPr>
            </w:pPr>
            <w:r>
              <w:rPr>
                <w:rFonts w:hint="eastAsia" w:ascii="仿宋" w:hAnsi="仿宋" w:eastAsia="仿宋" w:cs="仿宋"/>
                <w:b/>
                <w:color w:val="000000"/>
                <w:kern w:val="0"/>
                <w:sz w:val="24"/>
                <w:szCs w:val="20"/>
                <w:highlight w:val="none"/>
                <w:u w:val="none"/>
                <w:lang w:val="zh-CN" w:eastAsia="zh-CN" w:bidi="ar-SA"/>
              </w:rPr>
              <w:t>投标单位在“信用中国”(www.creditchina.gov.cn)网站上未列入重大税收违法失信主体、严重失信主体名单查询，在中国政府采购网(www.ccgp.gov.cn)网站上未列入政府采购严重违法失信行为记录名单;(以资格审查小组于递交投标文件截至当天在“信用中国”(www.creditchina.gov.cn)和中国政府采购网(www.ccgp.gov.cn)网站查询结果为准)</w:t>
            </w:r>
            <w:r>
              <w:rPr>
                <w:rFonts w:hint="eastAsia" w:ascii="仿宋" w:hAnsi="仿宋" w:eastAsia="仿宋" w:cs="仿宋"/>
                <w:sz w:val="24"/>
                <w:highlight w:val="none"/>
              </w:rPr>
              <w:t>；</w:t>
            </w:r>
          </w:p>
        </w:tc>
        <w:tc>
          <w:tcPr>
            <w:tcW w:w="857" w:type="dxa"/>
            <w:noWrap w:val="0"/>
            <w:vAlign w:val="top"/>
          </w:tcPr>
          <w:p w14:paraId="0FF2E53F">
            <w:pPr>
              <w:spacing w:line="300" w:lineRule="auto"/>
              <w:rPr>
                <w:rFonts w:hint="eastAsia" w:ascii="仿宋" w:hAnsi="仿宋" w:eastAsia="仿宋" w:cs="仿宋"/>
                <w:sz w:val="24"/>
                <w:highlight w:val="none"/>
              </w:rPr>
            </w:pPr>
          </w:p>
        </w:tc>
        <w:tc>
          <w:tcPr>
            <w:tcW w:w="777" w:type="dxa"/>
            <w:noWrap w:val="0"/>
            <w:vAlign w:val="top"/>
          </w:tcPr>
          <w:p w14:paraId="3412D960">
            <w:pPr>
              <w:spacing w:line="300" w:lineRule="auto"/>
              <w:rPr>
                <w:rFonts w:hint="eastAsia" w:ascii="仿宋" w:hAnsi="仿宋" w:eastAsia="仿宋" w:cs="仿宋"/>
                <w:sz w:val="24"/>
                <w:highlight w:val="none"/>
              </w:rPr>
            </w:pPr>
          </w:p>
        </w:tc>
        <w:tc>
          <w:tcPr>
            <w:tcW w:w="808" w:type="dxa"/>
            <w:noWrap w:val="0"/>
            <w:vAlign w:val="top"/>
          </w:tcPr>
          <w:p w14:paraId="67F5D1E9">
            <w:pPr>
              <w:spacing w:line="300" w:lineRule="auto"/>
              <w:rPr>
                <w:rFonts w:hint="eastAsia" w:ascii="仿宋" w:hAnsi="仿宋" w:eastAsia="仿宋" w:cs="仿宋"/>
                <w:sz w:val="24"/>
                <w:highlight w:val="none"/>
              </w:rPr>
            </w:pPr>
          </w:p>
        </w:tc>
      </w:tr>
      <w:tr w14:paraId="53EF8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510" w:type="dxa"/>
            <w:noWrap w:val="0"/>
            <w:vAlign w:val="center"/>
          </w:tcPr>
          <w:p w14:paraId="697B26AA">
            <w:pPr>
              <w:spacing w:line="300" w:lineRule="auto"/>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7</w:t>
            </w:r>
          </w:p>
        </w:tc>
        <w:tc>
          <w:tcPr>
            <w:tcW w:w="6900" w:type="dxa"/>
            <w:noWrap w:val="0"/>
            <w:vAlign w:val="center"/>
          </w:tcPr>
          <w:p w14:paraId="4A9C53F8">
            <w:pPr>
              <w:spacing w:line="300" w:lineRule="auto"/>
              <w:rPr>
                <w:rFonts w:hint="eastAsia" w:ascii="仿宋" w:hAnsi="仿宋" w:eastAsia="仿宋" w:cs="仿宋"/>
                <w:sz w:val="24"/>
                <w:highlight w:val="none"/>
              </w:rPr>
            </w:pPr>
            <w:r>
              <w:rPr>
                <w:rFonts w:hint="eastAsia" w:ascii="仿宋" w:hAnsi="仿宋" w:eastAsia="仿宋" w:cs="仿宋"/>
                <w:b/>
                <w:color w:val="000000"/>
                <w:kern w:val="0"/>
                <w:sz w:val="24"/>
                <w:szCs w:val="20"/>
                <w:highlight w:val="none"/>
                <w:u w:val="none"/>
                <w:lang w:val="zh-CN" w:eastAsia="zh-CN" w:bidi="ar-SA"/>
              </w:rPr>
              <w:t>投标人提供针对本次项目《反商业贿赂承诺书》</w:t>
            </w:r>
            <w:r>
              <w:rPr>
                <w:rFonts w:hint="eastAsia" w:ascii="仿宋" w:hAnsi="仿宋" w:eastAsia="仿宋" w:cs="仿宋"/>
                <w:sz w:val="24"/>
                <w:highlight w:val="none"/>
              </w:rPr>
              <w:t>；</w:t>
            </w:r>
          </w:p>
        </w:tc>
        <w:tc>
          <w:tcPr>
            <w:tcW w:w="857" w:type="dxa"/>
            <w:noWrap w:val="0"/>
            <w:vAlign w:val="top"/>
          </w:tcPr>
          <w:p w14:paraId="4D1FF0D3">
            <w:pPr>
              <w:spacing w:line="300" w:lineRule="auto"/>
              <w:rPr>
                <w:rFonts w:hint="eastAsia" w:ascii="仿宋" w:hAnsi="仿宋" w:eastAsia="仿宋" w:cs="仿宋"/>
                <w:sz w:val="24"/>
                <w:highlight w:val="none"/>
              </w:rPr>
            </w:pPr>
          </w:p>
        </w:tc>
        <w:tc>
          <w:tcPr>
            <w:tcW w:w="777" w:type="dxa"/>
            <w:noWrap w:val="0"/>
            <w:vAlign w:val="top"/>
          </w:tcPr>
          <w:p w14:paraId="06C2FF10">
            <w:pPr>
              <w:spacing w:line="300" w:lineRule="auto"/>
              <w:rPr>
                <w:rFonts w:hint="eastAsia" w:ascii="仿宋" w:hAnsi="仿宋" w:eastAsia="仿宋" w:cs="仿宋"/>
                <w:sz w:val="24"/>
                <w:highlight w:val="none"/>
              </w:rPr>
            </w:pPr>
          </w:p>
        </w:tc>
        <w:tc>
          <w:tcPr>
            <w:tcW w:w="808" w:type="dxa"/>
            <w:noWrap w:val="0"/>
            <w:vAlign w:val="top"/>
          </w:tcPr>
          <w:p w14:paraId="6DAC4961">
            <w:pPr>
              <w:spacing w:line="300" w:lineRule="auto"/>
              <w:rPr>
                <w:rFonts w:hint="eastAsia" w:ascii="仿宋" w:hAnsi="仿宋" w:eastAsia="仿宋" w:cs="仿宋"/>
                <w:sz w:val="24"/>
                <w:highlight w:val="none"/>
              </w:rPr>
            </w:pPr>
          </w:p>
        </w:tc>
      </w:tr>
      <w:tr w14:paraId="129C7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510" w:type="dxa"/>
            <w:noWrap w:val="0"/>
            <w:vAlign w:val="center"/>
          </w:tcPr>
          <w:p w14:paraId="36B292B5">
            <w:pPr>
              <w:spacing w:line="300" w:lineRule="auto"/>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8</w:t>
            </w:r>
          </w:p>
        </w:tc>
        <w:tc>
          <w:tcPr>
            <w:tcW w:w="6900" w:type="dxa"/>
            <w:noWrap w:val="0"/>
            <w:vAlign w:val="center"/>
          </w:tcPr>
          <w:p w14:paraId="2C3C65AE">
            <w:pPr>
              <w:spacing w:line="300" w:lineRule="auto"/>
              <w:rPr>
                <w:rFonts w:hint="eastAsia" w:ascii="仿宋" w:hAnsi="仿宋" w:eastAsia="仿宋" w:cs="仿宋"/>
                <w:sz w:val="24"/>
                <w:highlight w:val="none"/>
              </w:rPr>
            </w:pPr>
            <w:r>
              <w:rPr>
                <w:rFonts w:hint="eastAsia" w:ascii="仿宋" w:hAnsi="仿宋" w:eastAsia="仿宋" w:cs="仿宋"/>
                <w:b/>
                <w:color w:val="000000"/>
                <w:kern w:val="0"/>
                <w:sz w:val="24"/>
                <w:szCs w:val="20"/>
                <w:highlight w:val="none"/>
                <w:u w:val="none"/>
                <w:lang w:val="en-US" w:eastAsia="zh-CN" w:bidi="ar-SA"/>
              </w:rPr>
              <w:t>投标人参加政府采购活动前3年内在经营活动中没有重大违法违规记录的书面声明</w:t>
            </w:r>
            <w:r>
              <w:rPr>
                <w:rFonts w:hint="eastAsia" w:ascii="仿宋" w:hAnsi="仿宋" w:eastAsia="仿宋" w:cs="仿宋"/>
                <w:sz w:val="24"/>
                <w:szCs w:val="24"/>
                <w:highlight w:val="none"/>
                <w:lang w:eastAsia="zh-CN"/>
              </w:rPr>
              <w:t>；</w:t>
            </w:r>
          </w:p>
        </w:tc>
        <w:tc>
          <w:tcPr>
            <w:tcW w:w="857" w:type="dxa"/>
            <w:noWrap w:val="0"/>
            <w:vAlign w:val="top"/>
          </w:tcPr>
          <w:p w14:paraId="484872F7">
            <w:pPr>
              <w:spacing w:line="300" w:lineRule="auto"/>
              <w:rPr>
                <w:rFonts w:hint="eastAsia" w:ascii="仿宋" w:hAnsi="仿宋" w:eastAsia="仿宋" w:cs="仿宋"/>
                <w:sz w:val="24"/>
                <w:highlight w:val="none"/>
              </w:rPr>
            </w:pPr>
          </w:p>
        </w:tc>
        <w:tc>
          <w:tcPr>
            <w:tcW w:w="777" w:type="dxa"/>
            <w:noWrap w:val="0"/>
            <w:vAlign w:val="top"/>
          </w:tcPr>
          <w:p w14:paraId="537DD109">
            <w:pPr>
              <w:spacing w:line="300" w:lineRule="auto"/>
              <w:rPr>
                <w:rFonts w:hint="eastAsia" w:ascii="仿宋" w:hAnsi="仿宋" w:eastAsia="仿宋" w:cs="仿宋"/>
                <w:sz w:val="24"/>
                <w:highlight w:val="none"/>
              </w:rPr>
            </w:pPr>
          </w:p>
        </w:tc>
        <w:tc>
          <w:tcPr>
            <w:tcW w:w="808" w:type="dxa"/>
            <w:noWrap w:val="0"/>
            <w:vAlign w:val="top"/>
          </w:tcPr>
          <w:p w14:paraId="583C3C5D">
            <w:pPr>
              <w:spacing w:line="300" w:lineRule="auto"/>
              <w:rPr>
                <w:rFonts w:hint="eastAsia" w:ascii="仿宋" w:hAnsi="仿宋" w:eastAsia="仿宋" w:cs="仿宋"/>
                <w:sz w:val="24"/>
                <w:highlight w:val="none"/>
              </w:rPr>
            </w:pPr>
          </w:p>
        </w:tc>
      </w:tr>
      <w:tr w14:paraId="7E372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510" w:type="dxa"/>
            <w:noWrap w:val="0"/>
            <w:vAlign w:val="center"/>
          </w:tcPr>
          <w:p w14:paraId="2E7A1AA7">
            <w:pPr>
              <w:spacing w:line="300" w:lineRule="auto"/>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9</w:t>
            </w:r>
          </w:p>
        </w:tc>
        <w:tc>
          <w:tcPr>
            <w:tcW w:w="6900" w:type="dxa"/>
            <w:noWrap w:val="0"/>
            <w:vAlign w:val="center"/>
          </w:tcPr>
          <w:p w14:paraId="05AA46EF">
            <w:pPr>
              <w:spacing w:line="300" w:lineRule="auto"/>
              <w:rPr>
                <w:rFonts w:hint="eastAsia" w:ascii="仿宋" w:hAnsi="仿宋" w:eastAsia="仿宋" w:cs="仿宋"/>
                <w:sz w:val="24"/>
                <w:szCs w:val="24"/>
                <w:highlight w:val="none"/>
                <w:lang w:eastAsia="zh-CN"/>
              </w:rPr>
            </w:pPr>
            <w:r>
              <w:rPr>
                <w:rFonts w:hint="eastAsia" w:ascii="仿宋" w:hAnsi="仿宋" w:eastAsia="仿宋" w:cs="仿宋"/>
                <w:b/>
                <w:color w:val="000000"/>
                <w:kern w:val="0"/>
                <w:sz w:val="24"/>
                <w:szCs w:val="20"/>
                <w:highlight w:val="none"/>
                <w:u w:val="none"/>
                <w:lang w:val="zh-CN" w:eastAsia="zh-CN" w:bidi="ar-SA"/>
              </w:rPr>
              <w:t>保证金</w:t>
            </w:r>
            <w:r>
              <w:rPr>
                <w:rFonts w:hint="eastAsia" w:ascii="仿宋" w:hAnsi="仿宋" w:eastAsia="仿宋" w:cs="仿宋"/>
                <w:b/>
                <w:color w:val="000000"/>
                <w:kern w:val="0"/>
                <w:sz w:val="24"/>
                <w:szCs w:val="20"/>
                <w:highlight w:val="none"/>
                <w:u w:val="none"/>
                <w:lang w:val="en-US" w:eastAsia="zh-CN" w:bidi="ar-SA"/>
              </w:rPr>
              <w:t>缴纳的</w:t>
            </w:r>
            <w:r>
              <w:rPr>
                <w:rFonts w:hint="eastAsia" w:ascii="仿宋" w:hAnsi="仿宋" w:eastAsia="仿宋" w:cs="仿宋"/>
                <w:b/>
                <w:color w:val="000000"/>
                <w:kern w:val="0"/>
                <w:sz w:val="24"/>
                <w:szCs w:val="20"/>
                <w:highlight w:val="none"/>
                <w:u w:val="none"/>
                <w:lang w:val="zh-CN" w:eastAsia="zh-CN" w:bidi="ar-SA"/>
              </w:rPr>
              <w:t>有效凭证</w:t>
            </w:r>
            <w:r>
              <w:rPr>
                <w:rFonts w:hint="eastAsia" w:ascii="仿宋" w:hAnsi="仿宋" w:eastAsia="仿宋" w:cs="仿宋"/>
                <w:sz w:val="24"/>
                <w:szCs w:val="24"/>
                <w:highlight w:val="none"/>
                <w:lang w:eastAsia="zh-CN"/>
              </w:rPr>
              <w:t>；</w:t>
            </w:r>
          </w:p>
        </w:tc>
        <w:tc>
          <w:tcPr>
            <w:tcW w:w="857" w:type="dxa"/>
            <w:noWrap w:val="0"/>
            <w:vAlign w:val="top"/>
          </w:tcPr>
          <w:p w14:paraId="62D63AD6">
            <w:pPr>
              <w:spacing w:line="300" w:lineRule="auto"/>
              <w:rPr>
                <w:rFonts w:hint="eastAsia" w:ascii="仿宋" w:hAnsi="仿宋" w:eastAsia="仿宋" w:cs="仿宋"/>
                <w:sz w:val="24"/>
                <w:highlight w:val="none"/>
              </w:rPr>
            </w:pPr>
          </w:p>
        </w:tc>
        <w:tc>
          <w:tcPr>
            <w:tcW w:w="777" w:type="dxa"/>
            <w:noWrap w:val="0"/>
            <w:vAlign w:val="top"/>
          </w:tcPr>
          <w:p w14:paraId="46BF04CD">
            <w:pPr>
              <w:spacing w:line="300" w:lineRule="auto"/>
              <w:rPr>
                <w:rFonts w:hint="eastAsia" w:ascii="仿宋" w:hAnsi="仿宋" w:eastAsia="仿宋" w:cs="仿宋"/>
                <w:sz w:val="24"/>
                <w:highlight w:val="none"/>
              </w:rPr>
            </w:pPr>
          </w:p>
        </w:tc>
        <w:tc>
          <w:tcPr>
            <w:tcW w:w="808" w:type="dxa"/>
            <w:noWrap w:val="0"/>
            <w:vAlign w:val="top"/>
          </w:tcPr>
          <w:p w14:paraId="256E096C">
            <w:pPr>
              <w:spacing w:line="300" w:lineRule="auto"/>
              <w:rPr>
                <w:rFonts w:hint="eastAsia" w:ascii="仿宋" w:hAnsi="仿宋" w:eastAsia="仿宋" w:cs="仿宋"/>
                <w:sz w:val="24"/>
                <w:highlight w:val="none"/>
              </w:rPr>
            </w:pPr>
          </w:p>
        </w:tc>
      </w:tr>
      <w:tr w14:paraId="386C4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510" w:type="dxa"/>
            <w:noWrap w:val="0"/>
            <w:vAlign w:val="center"/>
          </w:tcPr>
          <w:p w14:paraId="7EF2C5BB">
            <w:pPr>
              <w:spacing w:line="300" w:lineRule="auto"/>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10</w:t>
            </w:r>
          </w:p>
        </w:tc>
        <w:tc>
          <w:tcPr>
            <w:tcW w:w="6900" w:type="dxa"/>
            <w:noWrap w:val="0"/>
            <w:vAlign w:val="center"/>
          </w:tcPr>
          <w:p w14:paraId="6649EE6D">
            <w:pPr>
              <w:spacing w:line="300" w:lineRule="auto"/>
              <w:rPr>
                <w:rFonts w:hint="eastAsia" w:ascii="仿宋" w:hAnsi="仿宋" w:eastAsia="仿宋" w:cs="仿宋"/>
                <w:b/>
                <w:color w:val="000000"/>
                <w:kern w:val="0"/>
                <w:sz w:val="24"/>
                <w:szCs w:val="20"/>
                <w:highlight w:val="none"/>
                <w:u w:val="none"/>
                <w:lang w:val="zh-CN" w:eastAsia="zh-CN" w:bidi="ar-SA"/>
              </w:rPr>
            </w:pPr>
            <w:r>
              <w:rPr>
                <w:rFonts w:hint="eastAsia" w:ascii="仿宋" w:hAnsi="仿宋" w:eastAsia="仿宋" w:cs="仿宋"/>
                <w:b/>
                <w:bCs/>
                <w:color w:val="000000"/>
                <w:sz w:val="24"/>
                <w:szCs w:val="24"/>
                <w:highlight w:val="none"/>
                <w:lang w:val="en-US" w:eastAsia="zh-CN"/>
              </w:rPr>
              <w:t>提供有效的《食品经营许可证》或《食品生产许可证》</w:t>
            </w:r>
          </w:p>
        </w:tc>
        <w:tc>
          <w:tcPr>
            <w:tcW w:w="857" w:type="dxa"/>
            <w:noWrap w:val="0"/>
            <w:vAlign w:val="top"/>
          </w:tcPr>
          <w:p w14:paraId="7A2263C7">
            <w:pPr>
              <w:spacing w:line="300" w:lineRule="auto"/>
              <w:rPr>
                <w:rFonts w:hint="eastAsia" w:ascii="仿宋" w:hAnsi="仿宋" w:eastAsia="仿宋" w:cs="仿宋"/>
                <w:sz w:val="24"/>
                <w:highlight w:val="none"/>
              </w:rPr>
            </w:pPr>
          </w:p>
        </w:tc>
        <w:tc>
          <w:tcPr>
            <w:tcW w:w="777" w:type="dxa"/>
            <w:noWrap w:val="0"/>
            <w:vAlign w:val="top"/>
          </w:tcPr>
          <w:p w14:paraId="656B3BDD">
            <w:pPr>
              <w:spacing w:line="300" w:lineRule="auto"/>
              <w:rPr>
                <w:rFonts w:hint="eastAsia" w:ascii="仿宋" w:hAnsi="仿宋" w:eastAsia="仿宋" w:cs="仿宋"/>
                <w:sz w:val="24"/>
                <w:highlight w:val="none"/>
              </w:rPr>
            </w:pPr>
          </w:p>
        </w:tc>
        <w:tc>
          <w:tcPr>
            <w:tcW w:w="808" w:type="dxa"/>
            <w:noWrap w:val="0"/>
            <w:vAlign w:val="top"/>
          </w:tcPr>
          <w:p w14:paraId="28B395D5">
            <w:pPr>
              <w:spacing w:line="300" w:lineRule="auto"/>
              <w:rPr>
                <w:rFonts w:hint="eastAsia" w:ascii="仿宋" w:hAnsi="仿宋" w:eastAsia="仿宋" w:cs="仿宋"/>
                <w:sz w:val="24"/>
                <w:highlight w:val="none"/>
              </w:rPr>
            </w:pPr>
          </w:p>
        </w:tc>
      </w:tr>
      <w:tr w14:paraId="4DE34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510" w:type="dxa"/>
            <w:noWrap w:val="0"/>
            <w:vAlign w:val="center"/>
          </w:tcPr>
          <w:p w14:paraId="5052BE0E">
            <w:pPr>
              <w:spacing w:line="300" w:lineRule="auto"/>
              <w:rPr>
                <w:rFonts w:hint="eastAsia" w:ascii="仿宋" w:hAnsi="仿宋" w:eastAsia="仿宋" w:cs="仿宋"/>
                <w:sz w:val="24"/>
                <w:highlight w:val="none"/>
              </w:rPr>
            </w:pPr>
          </w:p>
        </w:tc>
        <w:tc>
          <w:tcPr>
            <w:tcW w:w="6900" w:type="dxa"/>
            <w:noWrap w:val="0"/>
            <w:vAlign w:val="center"/>
          </w:tcPr>
          <w:p w14:paraId="670F9CE1">
            <w:pPr>
              <w:spacing w:line="300" w:lineRule="auto"/>
              <w:rPr>
                <w:rFonts w:hint="eastAsia" w:ascii="仿宋" w:hAnsi="仿宋" w:eastAsia="仿宋" w:cs="仿宋"/>
                <w:sz w:val="24"/>
                <w:highlight w:val="none"/>
              </w:rPr>
            </w:pPr>
            <w:r>
              <w:rPr>
                <w:rFonts w:hint="eastAsia" w:ascii="仿宋" w:hAnsi="仿宋" w:eastAsia="仿宋" w:cs="仿宋"/>
                <w:sz w:val="24"/>
                <w:highlight w:val="none"/>
              </w:rPr>
              <w:t>结论</w:t>
            </w:r>
            <w:r>
              <w:rPr>
                <w:rFonts w:hint="eastAsia" w:ascii="仿宋" w:hAnsi="仿宋" w:eastAsia="仿宋" w:cs="仿宋"/>
                <w:sz w:val="24"/>
                <w:highlight w:val="none"/>
                <w:lang w:eastAsia="zh-CN"/>
              </w:rPr>
              <w:t>：</w:t>
            </w:r>
            <w:r>
              <w:rPr>
                <w:rFonts w:hint="eastAsia" w:ascii="仿宋" w:hAnsi="仿宋" w:eastAsia="仿宋" w:cs="仿宋"/>
                <w:spacing w:val="-2"/>
                <w:sz w:val="24"/>
                <w:highlight w:val="none"/>
              </w:rPr>
              <w:t>通过评审打“√”，未通过评审打“×”</w:t>
            </w:r>
          </w:p>
        </w:tc>
        <w:tc>
          <w:tcPr>
            <w:tcW w:w="857" w:type="dxa"/>
            <w:noWrap w:val="0"/>
            <w:vAlign w:val="top"/>
          </w:tcPr>
          <w:p w14:paraId="6C3B5D1C">
            <w:pPr>
              <w:spacing w:line="300" w:lineRule="auto"/>
              <w:rPr>
                <w:rFonts w:hint="eastAsia" w:ascii="仿宋" w:hAnsi="仿宋" w:eastAsia="仿宋" w:cs="仿宋"/>
                <w:sz w:val="24"/>
                <w:highlight w:val="none"/>
              </w:rPr>
            </w:pPr>
          </w:p>
        </w:tc>
        <w:tc>
          <w:tcPr>
            <w:tcW w:w="777" w:type="dxa"/>
            <w:noWrap w:val="0"/>
            <w:vAlign w:val="top"/>
          </w:tcPr>
          <w:p w14:paraId="78E469EF">
            <w:pPr>
              <w:spacing w:line="300" w:lineRule="auto"/>
              <w:rPr>
                <w:rFonts w:hint="eastAsia" w:ascii="仿宋" w:hAnsi="仿宋" w:eastAsia="仿宋" w:cs="仿宋"/>
                <w:sz w:val="24"/>
                <w:highlight w:val="none"/>
              </w:rPr>
            </w:pPr>
          </w:p>
        </w:tc>
        <w:tc>
          <w:tcPr>
            <w:tcW w:w="808" w:type="dxa"/>
            <w:noWrap w:val="0"/>
            <w:vAlign w:val="top"/>
          </w:tcPr>
          <w:p w14:paraId="689DFE24">
            <w:pPr>
              <w:spacing w:line="300" w:lineRule="auto"/>
              <w:rPr>
                <w:rFonts w:hint="eastAsia" w:ascii="仿宋" w:hAnsi="仿宋" w:eastAsia="仿宋" w:cs="仿宋"/>
                <w:sz w:val="24"/>
                <w:highlight w:val="none"/>
              </w:rPr>
            </w:pPr>
          </w:p>
        </w:tc>
      </w:tr>
    </w:tbl>
    <w:p w14:paraId="3BDB055A">
      <w:pPr>
        <w:spacing w:line="360" w:lineRule="auto"/>
        <w:rPr>
          <w:rFonts w:hint="eastAsia" w:ascii="仿宋" w:hAnsi="仿宋" w:eastAsia="仿宋" w:cs="仿宋"/>
          <w:highlight w:val="none"/>
        </w:rPr>
      </w:pPr>
      <w:r>
        <w:rPr>
          <w:rFonts w:hint="eastAsia" w:ascii="仿宋" w:hAnsi="仿宋" w:eastAsia="仿宋" w:cs="仿宋"/>
          <w:sz w:val="24"/>
          <w:highlight w:val="none"/>
        </w:rPr>
        <w:t>注：★</w:t>
      </w:r>
      <w:r>
        <w:rPr>
          <w:rFonts w:hint="eastAsia" w:ascii="仿宋" w:hAnsi="仿宋" w:eastAsia="仿宋" w:cs="仿宋"/>
          <w:b/>
          <w:bCs/>
          <w:sz w:val="24"/>
          <w:highlight w:val="none"/>
        </w:rPr>
        <w:t>备注：如果投标文件中有一项未通过上述审查标准，评标委员会将认定整个投标文件未响应招标文件而予以废标处理。</w:t>
      </w:r>
    </w:p>
    <w:p w14:paraId="2D5C5766">
      <w:pPr>
        <w:widowControl/>
        <w:spacing w:line="400" w:lineRule="exact"/>
        <w:rPr>
          <w:rFonts w:hint="eastAsia" w:ascii="仿宋" w:hAnsi="仿宋" w:eastAsia="仿宋" w:cs="仿宋"/>
          <w:bCs/>
          <w:sz w:val="24"/>
          <w:highlight w:val="none"/>
        </w:rPr>
      </w:pPr>
      <w:r>
        <w:rPr>
          <w:rFonts w:hint="eastAsia" w:ascii="仿宋" w:hAnsi="仿宋" w:eastAsia="仿宋" w:cs="仿宋"/>
          <w:sz w:val="24"/>
          <w:highlight w:val="none"/>
        </w:rPr>
        <w:t>1.</w:t>
      </w:r>
      <w:r>
        <w:rPr>
          <w:rFonts w:hint="eastAsia" w:ascii="仿宋" w:hAnsi="仿宋" w:eastAsia="仿宋" w:cs="仿宋"/>
          <w:bCs/>
          <w:sz w:val="24"/>
          <w:highlight w:val="none"/>
        </w:rPr>
        <w:t>《中华人民共和国政府采购法》</w:t>
      </w:r>
    </w:p>
    <w:p w14:paraId="27689700">
      <w:pPr>
        <w:pStyle w:val="32"/>
        <w:spacing w:before="75" w:beforeAutospacing="0" w:after="75" w:afterAutospacing="0" w:line="400" w:lineRule="exact"/>
        <w:rPr>
          <w:rFonts w:hint="eastAsia" w:ascii="仿宋" w:hAnsi="仿宋" w:eastAsia="仿宋" w:cs="仿宋"/>
          <w:color w:val="000000"/>
          <w:highlight w:val="none"/>
        </w:rPr>
      </w:pPr>
      <w:r>
        <w:rPr>
          <w:rFonts w:hint="eastAsia" w:ascii="仿宋" w:hAnsi="仿宋" w:eastAsia="仿宋" w:cs="仿宋"/>
          <w:highlight w:val="none"/>
        </w:rPr>
        <w:t>2.财政部第87号令《政府采购货物和服务招标投标管理办法</w:t>
      </w:r>
      <w:r>
        <w:rPr>
          <w:rFonts w:hint="eastAsia" w:ascii="仿宋" w:hAnsi="仿宋" w:eastAsia="仿宋" w:cs="仿宋"/>
          <w:bCs/>
          <w:sz w:val="24"/>
          <w:highlight w:val="none"/>
        </w:rPr>
        <w:t>》</w:t>
      </w:r>
    </w:p>
    <w:p w14:paraId="0D5597A8">
      <w:pPr>
        <w:spacing w:line="360" w:lineRule="auto"/>
        <w:jc w:val="center"/>
        <w:rPr>
          <w:rFonts w:hint="eastAsia" w:ascii="仿宋" w:hAnsi="仿宋" w:eastAsia="仿宋" w:cs="仿宋"/>
          <w:b/>
          <w:sz w:val="24"/>
          <w:highlight w:val="none"/>
          <w:lang w:val="en-US" w:eastAsia="zh-CN"/>
        </w:rPr>
      </w:pPr>
      <w:bookmarkStart w:id="307" w:name="_Toc507399904"/>
      <w:r>
        <w:rPr>
          <w:rFonts w:hint="eastAsia" w:ascii="仿宋" w:hAnsi="仿宋" w:eastAsia="仿宋" w:cs="仿宋"/>
          <w:b/>
          <w:sz w:val="24"/>
          <w:highlight w:val="none"/>
        </w:rPr>
        <w:br w:type="page"/>
      </w:r>
      <w:r>
        <w:rPr>
          <w:rFonts w:hint="eastAsia" w:ascii="仿宋" w:hAnsi="仿宋" w:eastAsia="仿宋" w:cs="仿宋"/>
          <w:b/>
          <w:sz w:val="24"/>
          <w:highlight w:val="none"/>
        </w:rPr>
        <w:t>初步审查</w:t>
      </w:r>
      <w:r>
        <w:rPr>
          <w:rFonts w:hint="eastAsia" w:ascii="仿宋" w:hAnsi="仿宋" w:eastAsia="仿宋" w:cs="仿宋"/>
          <w:b/>
          <w:sz w:val="24"/>
          <w:highlight w:val="none"/>
          <w:lang w:val="en-US" w:eastAsia="zh-CN"/>
        </w:rPr>
        <w:t>-符合性审查表</w:t>
      </w:r>
    </w:p>
    <w:tbl>
      <w:tblPr>
        <w:tblStyle w:val="37"/>
        <w:tblW w:w="9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6427"/>
        <w:gridCol w:w="609"/>
        <w:gridCol w:w="627"/>
        <w:gridCol w:w="521"/>
        <w:gridCol w:w="655"/>
      </w:tblGrid>
      <w:tr w14:paraId="1502C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6927" w:type="dxa"/>
            <w:gridSpan w:val="2"/>
            <w:vMerge w:val="restart"/>
            <w:noWrap w:val="0"/>
            <w:vAlign w:val="center"/>
          </w:tcPr>
          <w:p w14:paraId="4A386E40">
            <w:pPr>
              <w:spacing w:line="360" w:lineRule="auto"/>
              <w:jc w:val="center"/>
              <w:rPr>
                <w:rFonts w:hint="eastAsia" w:ascii="仿宋" w:hAnsi="仿宋" w:eastAsia="仿宋" w:cs="仿宋"/>
                <w:b/>
                <w:szCs w:val="21"/>
                <w:highlight w:val="none"/>
              </w:rPr>
            </w:pPr>
            <w:r>
              <w:rPr>
                <w:rFonts w:hint="eastAsia" w:ascii="仿宋" w:hAnsi="仿宋" w:eastAsia="仿宋" w:cs="仿宋"/>
                <w:b/>
                <w:szCs w:val="21"/>
                <w:highlight w:val="none"/>
              </w:rPr>
              <w:t>评审内容</w:t>
            </w:r>
          </w:p>
        </w:tc>
        <w:tc>
          <w:tcPr>
            <w:tcW w:w="2412" w:type="dxa"/>
            <w:gridSpan w:val="4"/>
            <w:noWrap w:val="0"/>
            <w:vAlign w:val="center"/>
          </w:tcPr>
          <w:p w14:paraId="73126107">
            <w:pPr>
              <w:spacing w:line="360" w:lineRule="auto"/>
              <w:jc w:val="center"/>
              <w:rPr>
                <w:rFonts w:hint="eastAsia" w:ascii="仿宋" w:hAnsi="仿宋" w:eastAsia="仿宋" w:cs="仿宋"/>
                <w:b/>
                <w:szCs w:val="21"/>
                <w:highlight w:val="none"/>
              </w:rPr>
            </w:pPr>
            <w:r>
              <w:rPr>
                <w:rFonts w:hint="eastAsia" w:ascii="仿宋" w:hAnsi="仿宋" w:eastAsia="仿宋" w:cs="仿宋"/>
                <w:b/>
                <w:szCs w:val="21"/>
                <w:highlight w:val="none"/>
              </w:rPr>
              <w:t>投标企业名称</w:t>
            </w:r>
          </w:p>
        </w:tc>
      </w:tr>
      <w:tr w14:paraId="32278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6927" w:type="dxa"/>
            <w:gridSpan w:val="2"/>
            <w:vMerge w:val="continue"/>
            <w:noWrap w:val="0"/>
            <w:vAlign w:val="center"/>
          </w:tcPr>
          <w:p w14:paraId="1CFA9248">
            <w:pPr>
              <w:widowControl/>
              <w:spacing w:line="360" w:lineRule="auto"/>
              <w:jc w:val="left"/>
              <w:rPr>
                <w:rFonts w:hint="eastAsia" w:ascii="仿宋" w:hAnsi="仿宋" w:eastAsia="仿宋" w:cs="仿宋"/>
                <w:b/>
                <w:szCs w:val="21"/>
                <w:highlight w:val="none"/>
              </w:rPr>
            </w:pPr>
          </w:p>
        </w:tc>
        <w:tc>
          <w:tcPr>
            <w:tcW w:w="609" w:type="dxa"/>
            <w:noWrap w:val="0"/>
            <w:vAlign w:val="top"/>
          </w:tcPr>
          <w:p w14:paraId="360181FD">
            <w:pPr>
              <w:spacing w:line="360" w:lineRule="auto"/>
              <w:jc w:val="center"/>
              <w:rPr>
                <w:rFonts w:hint="eastAsia" w:ascii="仿宋" w:hAnsi="仿宋" w:eastAsia="仿宋" w:cs="仿宋"/>
                <w:b/>
                <w:szCs w:val="21"/>
                <w:highlight w:val="none"/>
              </w:rPr>
            </w:pPr>
            <w:r>
              <w:rPr>
                <w:rFonts w:hint="eastAsia" w:ascii="仿宋" w:hAnsi="仿宋" w:eastAsia="仿宋" w:cs="仿宋"/>
                <w:b/>
                <w:szCs w:val="21"/>
                <w:highlight w:val="none"/>
              </w:rPr>
              <w:t>1</w:t>
            </w:r>
          </w:p>
        </w:tc>
        <w:tc>
          <w:tcPr>
            <w:tcW w:w="627" w:type="dxa"/>
            <w:noWrap w:val="0"/>
            <w:vAlign w:val="top"/>
          </w:tcPr>
          <w:p w14:paraId="594B9C90">
            <w:pPr>
              <w:spacing w:line="360" w:lineRule="auto"/>
              <w:jc w:val="center"/>
              <w:rPr>
                <w:rFonts w:hint="eastAsia" w:ascii="仿宋" w:hAnsi="仿宋" w:eastAsia="仿宋" w:cs="仿宋"/>
                <w:b/>
                <w:szCs w:val="21"/>
                <w:highlight w:val="none"/>
              </w:rPr>
            </w:pPr>
            <w:r>
              <w:rPr>
                <w:rFonts w:hint="eastAsia" w:ascii="仿宋" w:hAnsi="仿宋" w:eastAsia="仿宋" w:cs="仿宋"/>
                <w:b/>
                <w:szCs w:val="21"/>
                <w:highlight w:val="none"/>
              </w:rPr>
              <w:t>2</w:t>
            </w:r>
          </w:p>
        </w:tc>
        <w:tc>
          <w:tcPr>
            <w:tcW w:w="521" w:type="dxa"/>
            <w:noWrap w:val="0"/>
            <w:vAlign w:val="center"/>
          </w:tcPr>
          <w:p w14:paraId="049B4AF5">
            <w:pPr>
              <w:spacing w:line="360" w:lineRule="auto"/>
              <w:jc w:val="center"/>
              <w:rPr>
                <w:rFonts w:hint="eastAsia" w:ascii="仿宋" w:hAnsi="仿宋" w:eastAsia="仿宋" w:cs="仿宋"/>
                <w:b/>
                <w:szCs w:val="21"/>
                <w:highlight w:val="none"/>
              </w:rPr>
            </w:pPr>
            <w:r>
              <w:rPr>
                <w:rFonts w:hint="eastAsia" w:ascii="仿宋" w:hAnsi="仿宋" w:eastAsia="仿宋" w:cs="仿宋"/>
                <w:b/>
                <w:szCs w:val="21"/>
                <w:highlight w:val="none"/>
              </w:rPr>
              <w:t>3</w:t>
            </w:r>
          </w:p>
        </w:tc>
        <w:tc>
          <w:tcPr>
            <w:tcW w:w="655" w:type="dxa"/>
            <w:noWrap w:val="0"/>
            <w:vAlign w:val="center"/>
          </w:tcPr>
          <w:p w14:paraId="7C7C08AE">
            <w:pPr>
              <w:spacing w:line="360" w:lineRule="auto"/>
              <w:jc w:val="center"/>
              <w:rPr>
                <w:rFonts w:hint="eastAsia" w:ascii="仿宋" w:hAnsi="仿宋" w:eastAsia="仿宋" w:cs="仿宋"/>
                <w:b/>
                <w:szCs w:val="21"/>
                <w:highlight w:val="none"/>
              </w:rPr>
            </w:pPr>
            <w:r>
              <w:rPr>
                <w:rFonts w:hint="eastAsia" w:ascii="仿宋" w:hAnsi="仿宋" w:eastAsia="仿宋" w:cs="仿宋"/>
                <w:b/>
                <w:szCs w:val="21"/>
                <w:highlight w:val="none"/>
              </w:rPr>
              <w:t>…</w:t>
            </w:r>
          </w:p>
        </w:tc>
      </w:tr>
      <w:tr w14:paraId="7870F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500" w:type="dxa"/>
            <w:noWrap w:val="0"/>
            <w:vAlign w:val="center"/>
          </w:tcPr>
          <w:p w14:paraId="3D6179F1">
            <w:pPr>
              <w:spacing w:line="300" w:lineRule="auto"/>
              <w:rPr>
                <w:rFonts w:hint="eastAsia" w:ascii="仿宋" w:hAnsi="仿宋" w:eastAsia="仿宋" w:cs="仿宋"/>
                <w:bCs/>
                <w:sz w:val="24"/>
                <w:highlight w:val="none"/>
              </w:rPr>
            </w:pPr>
            <w:r>
              <w:rPr>
                <w:rFonts w:hint="eastAsia" w:ascii="仿宋" w:hAnsi="仿宋" w:eastAsia="仿宋" w:cs="仿宋"/>
                <w:bCs/>
                <w:sz w:val="24"/>
                <w:highlight w:val="none"/>
              </w:rPr>
              <w:t>1</w:t>
            </w:r>
          </w:p>
        </w:tc>
        <w:tc>
          <w:tcPr>
            <w:tcW w:w="6427" w:type="dxa"/>
            <w:noWrap w:val="0"/>
            <w:vAlign w:val="top"/>
          </w:tcPr>
          <w:p w14:paraId="5314B703">
            <w:pPr>
              <w:spacing w:before="149" w:line="220" w:lineRule="auto"/>
              <w:ind w:left="166" w:leftChars="0"/>
              <w:rPr>
                <w:rFonts w:hint="eastAsia" w:ascii="仿宋" w:hAnsi="仿宋" w:eastAsia="仿宋" w:cs="仿宋"/>
                <w:bCs/>
                <w:sz w:val="24"/>
                <w:highlight w:val="none"/>
              </w:rPr>
            </w:pPr>
            <w:r>
              <w:rPr>
                <w:rFonts w:ascii="楷体" w:hAnsi="楷体" w:eastAsia="楷体" w:cs="楷体"/>
                <w:spacing w:val="-1"/>
                <w:sz w:val="24"/>
                <w:szCs w:val="24"/>
              </w:rPr>
              <w:t>各供应商报价</w:t>
            </w:r>
            <w:r>
              <w:rPr>
                <w:rFonts w:hint="eastAsia" w:ascii="楷体" w:hAnsi="楷体" w:eastAsia="楷体" w:cs="楷体"/>
                <w:spacing w:val="-1"/>
                <w:sz w:val="24"/>
                <w:szCs w:val="24"/>
                <w:lang w:val="en-US" w:eastAsia="zh-CN"/>
              </w:rPr>
              <w:t>未</w:t>
            </w:r>
            <w:r>
              <w:rPr>
                <w:rFonts w:ascii="楷体" w:hAnsi="楷体" w:eastAsia="楷体" w:cs="楷体"/>
                <w:spacing w:val="-1"/>
                <w:sz w:val="24"/>
                <w:szCs w:val="24"/>
              </w:rPr>
              <w:t>高于预算金额；</w:t>
            </w:r>
          </w:p>
        </w:tc>
        <w:tc>
          <w:tcPr>
            <w:tcW w:w="609" w:type="dxa"/>
            <w:noWrap w:val="0"/>
            <w:vAlign w:val="center"/>
          </w:tcPr>
          <w:p w14:paraId="549376A7">
            <w:pPr>
              <w:spacing w:line="360" w:lineRule="auto"/>
              <w:rPr>
                <w:rFonts w:hint="eastAsia" w:ascii="宋体" w:hAnsi="宋体" w:cs="宋体"/>
                <w:kern w:val="0"/>
                <w:szCs w:val="21"/>
                <w:highlight w:val="none"/>
              </w:rPr>
            </w:pPr>
          </w:p>
        </w:tc>
        <w:tc>
          <w:tcPr>
            <w:tcW w:w="627" w:type="dxa"/>
            <w:noWrap w:val="0"/>
            <w:vAlign w:val="center"/>
          </w:tcPr>
          <w:p w14:paraId="50D54EEC">
            <w:pPr>
              <w:spacing w:line="360" w:lineRule="auto"/>
              <w:rPr>
                <w:rFonts w:hint="eastAsia" w:ascii="宋体" w:hAnsi="宋体" w:cs="宋体"/>
                <w:kern w:val="0"/>
                <w:szCs w:val="21"/>
                <w:highlight w:val="none"/>
              </w:rPr>
            </w:pPr>
          </w:p>
        </w:tc>
        <w:tc>
          <w:tcPr>
            <w:tcW w:w="521" w:type="dxa"/>
            <w:noWrap w:val="0"/>
            <w:vAlign w:val="top"/>
          </w:tcPr>
          <w:p w14:paraId="0AAB245F">
            <w:pPr>
              <w:spacing w:line="360" w:lineRule="auto"/>
              <w:rPr>
                <w:rFonts w:hint="eastAsia" w:ascii="宋体" w:hAnsi="宋体" w:cs="宋体"/>
                <w:kern w:val="0"/>
                <w:szCs w:val="21"/>
                <w:highlight w:val="none"/>
              </w:rPr>
            </w:pPr>
          </w:p>
        </w:tc>
        <w:tc>
          <w:tcPr>
            <w:tcW w:w="655" w:type="dxa"/>
            <w:noWrap w:val="0"/>
            <w:vAlign w:val="top"/>
          </w:tcPr>
          <w:p w14:paraId="0EA7E552">
            <w:pPr>
              <w:spacing w:line="360" w:lineRule="auto"/>
              <w:rPr>
                <w:rFonts w:hint="eastAsia" w:ascii="宋体" w:hAnsi="宋体" w:cs="宋体"/>
                <w:kern w:val="0"/>
                <w:szCs w:val="21"/>
                <w:highlight w:val="none"/>
              </w:rPr>
            </w:pPr>
          </w:p>
        </w:tc>
      </w:tr>
      <w:tr w14:paraId="4F11F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500" w:type="dxa"/>
            <w:noWrap w:val="0"/>
            <w:vAlign w:val="center"/>
          </w:tcPr>
          <w:p w14:paraId="0938933F">
            <w:pPr>
              <w:spacing w:line="300" w:lineRule="auto"/>
              <w:rPr>
                <w:rFonts w:hint="eastAsia" w:ascii="仿宋" w:hAnsi="仿宋" w:eastAsia="仿宋" w:cs="仿宋"/>
                <w:bCs/>
                <w:sz w:val="24"/>
                <w:highlight w:val="none"/>
              </w:rPr>
            </w:pPr>
            <w:r>
              <w:rPr>
                <w:rFonts w:hint="eastAsia" w:ascii="仿宋" w:hAnsi="仿宋" w:eastAsia="仿宋" w:cs="仿宋"/>
                <w:bCs/>
                <w:sz w:val="24"/>
                <w:highlight w:val="none"/>
              </w:rPr>
              <w:t>2</w:t>
            </w:r>
          </w:p>
        </w:tc>
        <w:tc>
          <w:tcPr>
            <w:tcW w:w="6427" w:type="dxa"/>
            <w:noWrap w:val="0"/>
            <w:vAlign w:val="top"/>
          </w:tcPr>
          <w:p w14:paraId="6138008F">
            <w:pPr>
              <w:spacing w:before="248" w:line="220" w:lineRule="auto"/>
              <w:ind w:left="178" w:leftChars="0"/>
              <w:rPr>
                <w:rFonts w:hint="eastAsia" w:ascii="仿宋" w:hAnsi="仿宋" w:eastAsia="仿宋" w:cs="仿宋"/>
                <w:bCs/>
                <w:sz w:val="24"/>
                <w:highlight w:val="none"/>
              </w:rPr>
            </w:pPr>
            <w:r>
              <w:rPr>
                <w:rFonts w:hint="eastAsia" w:ascii="楷体" w:hAnsi="楷体" w:eastAsia="楷体" w:cs="楷体"/>
                <w:spacing w:val="-1"/>
                <w:sz w:val="24"/>
                <w:szCs w:val="24"/>
              </w:rPr>
              <w:t>法定代表人不是同一个人的两个及两个以上法人、母公司、全资子公司及其控股公司在同一项目中同时参加开标的</w:t>
            </w:r>
            <w:r>
              <w:rPr>
                <w:rFonts w:ascii="楷体" w:hAnsi="楷体" w:eastAsia="楷体" w:cs="楷体"/>
                <w:spacing w:val="-1"/>
                <w:sz w:val="24"/>
                <w:szCs w:val="24"/>
              </w:rPr>
              <w:t>；</w:t>
            </w:r>
          </w:p>
        </w:tc>
        <w:tc>
          <w:tcPr>
            <w:tcW w:w="609" w:type="dxa"/>
            <w:noWrap w:val="0"/>
            <w:vAlign w:val="center"/>
          </w:tcPr>
          <w:p w14:paraId="2B8B4635">
            <w:pPr>
              <w:spacing w:line="360" w:lineRule="auto"/>
              <w:rPr>
                <w:rFonts w:hint="eastAsia" w:ascii="宋体" w:hAnsi="宋体" w:cs="宋体"/>
                <w:kern w:val="0"/>
                <w:szCs w:val="21"/>
                <w:highlight w:val="none"/>
              </w:rPr>
            </w:pPr>
          </w:p>
        </w:tc>
        <w:tc>
          <w:tcPr>
            <w:tcW w:w="627" w:type="dxa"/>
            <w:noWrap w:val="0"/>
            <w:vAlign w:val="center"/>
          </w:tcPr>
          <w:p w14:paraId="67E04983">
            <w:pPr>
              <w:spacing w:line="360" w:lineRule="auto"/>
              <w:rPr>
                <w:rFonts w:hint="eastAsia" w:ascii="宋体" w:hAnsi="宋体" w:cs="宋体"/>
                <w:kern w:val="0"/>
                <w:szCs w:val="21"/>
                <w:highlight w:val="none"/>
              </w:rPr>
            </w:pPr>
          </w:p>
        </w:tc>
        <w:tc>
          <w:tcPr>
            <w:tcW w:w="521" w:type="dxa"/>
            <w:noWrap w:val="0"/>
            <w:vAlign w:val="top"/>
          </w:tcPr>
          <w:p w14:paraId="7DFB3846">
            <w:pPr>
              <w:spacing w:line="360" w:lineRule="auto"/>
              <w:rPr>
                <w:rFonts w:hint="eastAsia" w:ascii="宋体" w:hAnsi="宋体" w:cs="宋体"/>
                <w:kern w:val="0"/>
                <w:szCs w:val="21"/>
                <w:highlight w:val="none"/>
              </w:rPr>
            </w:pPr>
          </w:p>
        </w:tc>
        <w:tc>
          <w:tcPr>
            <w:tcW w:w="655" w:type="dxa"/>
            <w:noWrap w:val="0"/>
            <w:vAlign w:val="top"/>
          </w:tcPr>
          <w:p w14:paraId="775C2BE3">
            <w:pPr>
              <w:spacing w:line="360" w:lineRule="auto"/>
              <w:rPr>
                <w:rFonts w:hint="eastAsia" w:ascii="宋体" w:hAnsi="宋体" w:cs="宋体"/>
                <w:kern w:val="0"/>
                <w:szCs w:val="21"/>
                <w:highlight w:val="none"/>
              </w:rPr>
            </w:pPr>
          </w:p>
        </w:tc>
      </w:tr>
      <w:tr w14:paraId="4D372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500" w:type="dxa"/>
            <w:noWrap w:val="0"/>
            <w:vAlign w:val="center"/>
          </w:tcPr>
          <w:p w14:paraId="14D2F514">
            <w:pPr>
              <w:spacing w:line="300" w:lineRule="auto"/>
              <w:rPr>
                <w:rFonts w:hint="eastAsia" w:ascii="仿宋" w:hAnsi="仿宋" w:eastAsia="仿宋" w:cs="仿宋"/>
                <w:bCs/>
                <w:sz w:val="24"/>
                <w:highlight w:val="none"/>
              </w:rPr>
            </w:pPr>
            <w:r>
              <w:rPr>
                <w:rFonts w:hint="eastAsia" w:ascii="仿宋" w:hAnsi="仿宋" w:eastAsia="仿宋" w:cs="仿宋"/>
                <w:bCs/>
                <w:sz w:val="24"/>
                <w:highlight w:val="none"/>
              </w:rPr>
              <w:t>3</w:t>
            </w:r>
          </w:p>
        </w:tc>
        <w:tc>
          <w:tcPr>
            <w:tcW w:w="6427" w:type="dxa"/>
            <w:noWrap w:val="0"/>
            <w:vAlign w:val="top"/>
          </w:tcPr>
          <w:p w14:paraId="079E230A">
            <w:pPr>
              <w:spacing w:before="248" w:line="220" w:lineRule="auto"/>
              <w:ind w:left="178" w:leftChars="0"/>
              <w:jc w:val="both"/>
              <w:rPr>
                <w:rFonts w:hint="eastAsia" w:ascii="仿宋" w:hAnsi="仿宋" w:eastAsia="仿宋" w:cs="仿宋"/>
                <w:bCs/>
                <w:sz w:val="24"/>
                <w:highlight w:val="none"/>
              </w:rPr>
            </w:pPr>
            <w:r>
              <w:rPr>
                <w:rFonts w:hint="eastAsia" w:ascii="楷体" w:hAnsi="楷体" w:eastAsia="楷体" w:cs="楷体"/>
                <w:spacing w:val="-1"/>
                <w:sz w:val="24"/>
                <w:szCs w:val="24"/>
                <w:lang w:eastAsia="zh-CN"/>
              </w:rPr>
              <w:t>投标文件附有采购人不能接受的条件</w:t>
            </w:r>
          </w:p>
        </w:tc>
        <w:tc>
          <w:tcPr>
            <w:tcW w:w="609" w:type="dxa"/>
            <w:noWrap w:val="0"/>
            <w:vAlign w:val="center"/>
          </w:tcPr>
          <w:p w14:paraId="6753C9DC">
            <w:pPr>
              <w:spacing w:line="360" w:lineRule="auto"/>
              <w:rPr>
                <w:rFonts w:hint="eastAsia" w:ascii="宋体" w:hAnsi="宋体" w:cs="宋体"/>
                <w:kern w:val="0"/>
                <w:szCs w:val="21"/>
                <w:highlight w:val="none"/>
              </w:rPr>
            </w:pPr>
          </w:p>
        </w:tc>
        <w:tc>
          <w:tcPr>
            <w:tcW w:w="627" w:type="dxa"/>
            <w:noWrap w:val="0"/>
            <w:vAlign w:val="center"/>
          </w:tcPr>
          <w:p w14:paraId="0D58BA30">
            <w:pPr>
              <w:spacing w:line="360" w:lineRule="auto"/>
              <w:rPr>
                <w:rFonts w:hint="eastAsia" w:ascii="宋体" w:hAnsi="宋体" w:cs="宋体"/>
                <w:kern w:val="0"/>
                <w:szCs w:val="21"/>
                <w:highlight w:val="none"/>
              </w:rPr>
            </w:pPr>
          </w:p>
        </w:tc>
        <w:tc>
          <w:tcPr>
            <w:tcW w:w="521" w:type="dxa"/>
            <w:noWrap w:val="0"/>
            <w:vAlign w:val="top"/>
          </w:tcPr>
          <w:p w14:paraId="5719515F">
            <w:pPr>
              <w:spacing w:line="360" w:lineRule="auto"/>
              <w:rPr>
                <w:rFonts w:hint="eastAsia" w:ascii="宋体" w:hAnsi="宋体" w:cs="宋体"/>
                <w:kern w:val="0"/>
                <w:szCs w:val="21"/>
                <w:highlight w:val="none"/>
              </w:rPr>
            </w:pPr>
          </w:p>
        </w:tc>
        <w:tc>
          <w:tcPr>
            <w:tcW w:w="655" w:type="dxa"/>
            <w:noWrap w:val="0"/>
            <w:vAlign w:val="top"/>
          </w:tcPr>
          <w:p w14:paraId="213650DC">
            <w:pPr>
              <w:spacing w:line="360" w:lineRule="auto"/>
              <w:rPr>
                <w:rFonts w:hint="eastAsia" w:ascii="宋体" w:hAnsi="宋体" w:cs="宋体"/>
                <w:kern w:val="0"/>
                <w:szCs w:val="21"/>
                <w:highlight w:val="none"/>
              </w:rPr>
            </w:pPr>
          </w:p>
        </w:tc>
      </w:tr>
      <w:tr w14:paraId="3466F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500" w:type="dxa"/>
            <w:noWrap w:val="0"/>
            <w:vAlign w:val="center"/>
          </w:tcPr>
          <w:p w14:paraId="2A4EFDDE">
            <w:pPr>
              <w:spacing w:line="300" w:lineRule="auto"/>
              <w:rPr>
                <w:rFonts w:hint="eastAsia" w:ascii="仿宋" w:hAnsi="仿宋" w:eastAsia="仿宋" w:cs="仿宋"/>
                <w:bCs/>
                <w:sz w:val="24"/>
                <w:highlight w:val="none"/>
              </w:rPr>
            </w:pPr>
            <w:r>
              <w:rPr>
                <w:rFonts w:hint="eastAsia" w:ascii="仿宋" w:hAnsi="仿宋" w:eastAsia="仿宋" w:cs="仿宋"/>
                <w:bCs/>
                <w:sz w:val="24"/>
                <w:highlight w:val="none"/>
              </w:rPr>
              <w:t>4</w:t>
            </w:r>
          </w:p>
        </w:tc>
        <w:tc>
          <w:tcPr>
            <w:tcW w:w="6427" w:type="dxa"/>
            <w:noWrap w:val="0"/>
            <w:vAlign w:val="center"/>
          </w:tcPr>
          <w:p w14:paraId="1E02329C">
            <w:pPr>
              <w:spacing w:line="218" w:lineRule="auto"/>
              <w:ind w:left="174" w:leftChars="0"/>
              <w:jc w:val="left"/>
              <w:rPr>
                <w:rFonts w:hint="eastAsia" w:ascii="仿宋" w:hAnsi="仿宋" w:eastAsia="仿宋" w:cs="仿宋"/>
                <w:bCs/>
                <w:sz w:val="24"/>
                <w:highlight w:val="none"/>
              </w:rPr>
            </w:pPr>
            <w:r>
              <w:rPr>
                <w:rFonts w:hint="eastAsia" w:ascii="楷体" w:hAnsi="楷体" w:eastAsia="楷体" w:cs="楷体"/>
                <w:spacing w:val="-3"/>
                <w:sz w:val="24"/>
                <w:szCs w:val="24"/>
              </w:rPr>
              <w:t>投标文件按照招标文件要求编写、签署；符合招标文件要求的</w:t>
            </w:r>
            <w:r>
              <w:rPr>
                <w:rFonts w:ascii="楷体" w:hAnsi="楷体" w:eastAsia="楷体" w:cs="楷体"/>
                <w:spacing w:val="-3"/>
                <w:sz w:val="24"/>
                <w:szCs w:val="24"/>
              </w:rPr>
              <w:t>；</w:t>
            </w:r>
          </w:p>
        </w:tc>
        <w:tc>
          <w:tcPr>
            <w:tcW w:w="609" w:type="dxa"/>
            <w:noWrap w:val="0"/>
            <w:vAlign w:val="center"/>
          </w:tcPr>
          <w:p w14:paraId="77B0CBC9">
            <w:pPr>
              <w:spacing w:line="360" w:lineRule="auto"/>
              <w:rPr>
                <w:rFonts w:hint="eastAsia" w:ascii="宋体" w:hAnsi="宋体" w:cs="宋体"/>
                <w:kern w:val="0"/>
                <w:szCs w:val="21"/>
                <w:highlight w:val="none"/>
              </w:rPr>
            </w:pPr>
          </w:p>
        </w:tc>
        <w:tc>
          <w:tcPr>
            <w:tcW w:w="627" w:type="dxa"/>
            <w:noWrap w:val="0"/>
            <w:vAlign w:val="center"/>
          </w:tcPr>
          <w:p w14:paraId="403562EC">
            <w:pPr>
              <w:spacing w:line="360" w:lineRule="auto"/>
              <w:rPr>
                <w:rFonts w:hint="eastAsia" w:ascii="宋体" w:hAnsi="宋体" w:cs="宋体"/>
                <w:kern w:val="0"/>
                <w:szCs w:val="21"/>
                <w:highlight w:val="none"/>
              </w:rPr>
            </w:pPr>
          </w:p>
        </w:tc>
        <w:tc>
          <w:tcPr>
            <w:tcW w:w="521" w:type="dxa"/>
            <w:noWrap w:val="0"/>
            <w:vAlign w:val="top"/>
          </w:tcPr>
          <w:p w14:paraId="59480F81">
            <w:pPr>
              <w:spacing w:line="360" w:lineRule="auto"/>
              <w:rPr>
                <w:rFonts w:hint="eastAsia" w:ascii="宋体" w:hAnsi="宋体" w:cs="宋体"/>
                <w:kern w:val="0"/>
                <w:szCs w:val="21"/>
                <w:highlight w:val="none"/>
              </w:rPr>
            </w:pPr>
          </w:p>
        </w:tc>
        <w:tc>
          <w:tcPr>
            <w:tcW w:w="655" w:type="dxa"/>
            <w:noWrap w:val="0"/>
            <w:vAlign w:val="top"/>
          </w:tcPr>
          <w:p w14:paraId="5DC1F2E8">
            <w:pPr>
              <w:spacing w:line="360" w:lineRule="auto"/>
              <w:rPr>
                <w:rFonts w:hint="eastAsia" w:ascii="宋体" w:hAnsi="宋体" w:cs="宋体"/>
                <w:kern w:val="0"/>
                <w:szCs w:val="21"/>
                <w:highlight w:val="none"/>
              </w:rPr>
            </w:pPr>
          </w:p>
        </w:tc>
      </w:tr>
      <w:tr w14:paraId="4582A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500" w:type="dxa"/>
            <w:noWrap w:val="0"/>
            <w:vAlign w:val="center"/>
          </w:tcPr>
          <w:p w14:paraId="7803348B">
            <w:pPr>
              <w:spacing w:line="300" w:lineRule="auto"/>
              <w:rPr>
                <w:rFonts w:hint="eastAsia" w:ascii="仿宋" w:hAnsi="仿宋" w:eastAsia="仿宋" w:cs="仿宋"/>
                <w:bCs/>
                <w:sz w:val="24"/>
                <w:highlight w:val="none"/>
              </w:rPr>
            </w:pPr>
            <w:r>
              <w:rPr>
                <w:rFonts w:hint="eastAsia" w:ascii="仿宋" w:hAnsi="仿宋" w:eastAsia="仿宋" w:cs="仿宋"/>
                <w:bCs/>
                <w:sz w:val="24"/>
                <w:highlight w:val="none"/>
              </w:rPr>
              <w:t>5</w:t>
            </w:r>
          </w:p>
        </w:tc>
        <w:tc>
          <w:tcPr>
            <w:tcW w:w="6427" w:type="dxa"/>
            <w:noWrap w:val="0"/>
            <w:vAlign w:val="top"/>
          </w:tcPr>
          <w:p w14:paraId="3839FA26">
            <w:pPr>
              <w:spacing w:before="151" w:line="218" w:lineRule="auto"/>
              <w:ind w:left="178" w:leftChars="0"/>
              <w:rPr>
                <w:rFonts w:hint="eastAsia" w:ascii="仿宋" w:hAnsi="仿宋" w:eastAsia="仿宋" w:cs="仿宋"/>
                <w:bCs/>
                <w:sz w:val="24"/>
                <w:highlight w:val="none"/>
              </w:rPr>
            </w:pPr>
            <w:r>
              <w:rPr>
                <w:rFonts w:hint="eastAsia" w:ascii="楷体" w:hAnsi="楷体" w:eastAsia="楷体" w:cs="楷体"/>
                <w:spacing w:val="-1"/>
                <w:sz w:val="24"/>
                <w:szCs w:val="24"/>
                <w:lang w:eastAsia="zh-CN"/>
              </w:rPr>
              <w:t>投标文件中投标有效期满足招标文件要求的</w:t>
            </w:r>
            <w:r>
              <w:rPr>
                <w:rFonts w:ascii="楷体" w:hAnsi="楷体" w:eastAsia="楷体" w:cs="楷体"/>
                <w:spacing w:val="-1"/>
                <w:sz w:val="24"/>
                <w:szCs w:val="24"/>
              </w:rPr>
              <w:t>；</w:t>
            </w:r>
          </w:p>
        </w:tc>
        <w:tc>
          <w:tcPr>
            <w:tcW w:w="609" w:type="dxa"/>
            <w:noWrap w:val="0"/>
            <w:vAlign w:val="center"/>
          </w:tcPr>
          <w:p w14:paraId="48483EDF">
            <w:pPr>
              <w:spacing w:line="360" w:lineRule="auto"/>
              <w:rPr>
                <w:rFonts w:hint="eastAsia" w:ascii="宋体" w:hAnsi="宋体" w:cs="宋体"/>
                <w:kern w:val="0"/>
                <w:szCs w:val="21"/>
                <w:highlight w:val="none"/>
              </w:rPr>
            </w:pPr>
          </w:p>
        </w:tc>
        <w:tc>
          <w:tcPr>
            <w:tcW w:w="627" w:type="dxa"/>
            <w:noWrap w:val="0"/>
            <w:vAlign w:val="center"/>
          </w:tcPr>
          <w:p w14:paraId="336A85B6">
            <w:pPr>
              <w:spacing w:line="360" w:lineRule="auto"/>
              <w:rPr>
                <w:rFonts w:hint="eastAsia" w:ascii="宋体" w:hAnsi="宋体" w:cs="宋体"/>
                <w:kern w:val="0"/>
                <w:szCs w:val="21"/>
                <w:highlight w:val="none"/>
              </w:rPr>
            </w:pPr>
          </w:p>
        </w:tc>
        <w:tc>
          <w:tcPr>
            <w:tcW w:w="521" w:type="dxa"/>
            <w:noWrap w:val="0"/>
            <w:vAlign w:val="top"/>
          </w:tcPr>
          <w:p w14:paraId="1E993CDC">
            <w:pPr>
              <w:spacing w:line="360" w:lineRule="auto"/>
              <w:rPr>
                <w:rFonts w:hint="eastAsia" w:ascii="宋体" w:hAnsi="宋体" w:cs="宋体"/>
                <w:kern w:val="0"/>
                <w:szCs w:val="21"/>
                <w:highlight w:val="none"/>
              </w:rPr>
            </w:pPr>
          </w:p>
        </w:tc>
        <w:tc>
          <w:tcPr>
            <w:tcW w:w="655" w:type="dxa"/>
            <w:noWrap w:val="0"/>
            <w:vAlign w:val="top"/>
          </w:tcPr>
          <w:p w14:paraId="47BBAC50">
            <w:pPr>
              <w:spacing w:line="360" w:lineRule="auto"/>
              <w:rPr>
                <w:rFonts w:hint="eastAsia" w:ascii="宋体" w:hAnsi="宋体" w:cs="宋体"/>
                <w:kern w:val="0"/>
                <w:szCs w:val="21"/>
                <w:highlight w:val="none"/>
              </w:rPr>
            </w:pPr>
          </w:p>
        </w:tc>
      </w:tr>
      <w:tr w14:paraId="6CF14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500" w:type="dxa"/>
            <w:noWrap w:val="0"/>
            <w:vAlign w:val="center"/>
          </w:tcPr>
          <w:p w14:paraId="72A7FEF6">
            <w:pPr>
              <w:spacing w:line="300" w:lineRule="auto"/>
              <w:rPr>
                <w:rFonts w:hint="eastAsia" w:ascii="仿宋" w:hAnsi="仿宋" w:eastAsia="仿宋" w:cs="仿宋"/>
                <w:bCs/>
                <w:sz w:val="24"/>
                <w:highlight w:val="none"/>
              </w:rPr>
            </w:pPr>
            <w:r>
              <w:rPr>
                <w:rFonts w:hint="eastAsia" w:ascii="仿宋" w:hAnsi="仿宋" w:eastAsia="仿宋" w:cs="仿宋"/>
                <w:bCs/>
                <w:sz w:val="24"/>
                <w:highlight w:val="none"/>
              </w:rPr>
              <w:t>6</w:t>
            </w:r>
          </w:p>
        </w:tc>
        <w:tc>
          <w:tcPr>
            <w:tcW w:w="6427" w:type="dxa"/>
            <w:noWrap w:val="0"/>
            <w:vAlign w:val="top"/>
          </w:tcPr>
          <w:p w14:paraId="0E3BB232">
            <w:pPr>
              <w:spacing w:before="151" w:line="218" w:lineRule="auto"/>
              <w:ind w:left="171" w:leftChars="0"/>
              <w:rPr>
                <w:rFonts w:hint="eastAsia" w:ascii="仿宋" w:hAnsi="仿宋" w:eastAsia="仿宋" w:cs="仿宋"/>
                <w:bCs/>
                <w:sz w:val="24"/>
                <w:highlight w:val="none"/>
              </w:rPr>
            </w:pPr>
            <w:r>
              <w:rPr>
                <w:rFonts w:hint="eastAsia" w:ascii="楷体" w:hAnsi="楷体" w:eastAsia="楷体" w:cs="楷体"/>
                <w:spacing w:val="-1"/>
                <w:sz w:val="24"/>
                <w:szCs w:val="24"/>
                <w:lang w:val="en-US" w:eastAsia="zh-CN"/>
              </w:rPr>
              <w:t>符合招标文件中规定的其他实质性要求</w:t>
            </w:r>
            <w:r>
              <w:rPr>
                <w:rFonts w:ascii="楷体" w:hAnsi="楷体" w:eastAsia="楷体" w:cs="楷体"/>
                <w:spacing w:val="-1"/>
                <w:sz w:val="24"/>
                <w:szCs w:val="24"/>
              </w:rPr>
              <w:t>；</w:t>
            </w:r>
          </w:p>
        </w:tc>
        <w:tc>
          <w:tcPr>
            <w:tcW w:w="609" w:type="dxa"/>
            <w:noWrap w:val="0"/>
            <w:vAlign w:val="center"/>
          </w:tcPr>
          <w:p w14:paraId="397965D8">
            <w:pPr>
              <w:spacing w:line="360" w:lineRule="auto"/>
              <w:rPr>
                <w:rFonts w:hint="eastAsia" w:ascii="宋体" w:hAnsi="宋体" w:cs="宋体"/>
                <w:kern w:val="0"/>
                <w:szCs w:val="21"/>
                <w:highlight w:val="none"/>
              </w:rPr>
            </w:pPr>
          </w:p>
        </w:tc>
        <w:tc>
          <w:tcPr>
            <w:tcW w:w="627" w:type="dxa"/>
            <w:noWrap w:val="0"/>
            <w:vAlign w:val="center"/>
          </w:tcPr>
          <w:p w14:paraId="5B49A8FB">
            <w:pPr>
              <w:spacing w:line="360" w:lineRule="auto"/>
              <w:rPr>
                <w:rFonts w:hint="eastAsia" w:ascii="宋体" w:hAnsi="宋体" w:cs="宋体"/>
                <w:kern w:val="0"/>
                <w:szCs w:val="21"/>
                <w:highlight w:val="none"/>
              </w:rPr>
            </w:pPr>
          </w:p>
        </w:tc>
        <w:tc>
          <w:tcPr>
            <w:tcW w:w="521" w:type="dxa"/>
            <w:noWrap w:val="0"/>
            <w:vAlign w:val="top"/>
          </w:tcPr>
          <w:p w14:paraId="55F9AFE5">
            <w:pPr>
              <w:spacing w:line="360" w:lineRule="auto"/>
              <w:rPr>
                <w:rFonts w:hint="eastAsia" w:ascii="宋体" w:hAnsi="宋体" w:cs="宋体"/>
                <w:kern w:val="0"/>
                <w:szCs w:val="21"/>
                <w:highlight w:val="none"/>
              </w:rPr>
            </w:pPr>
          </w:p>
        </w:tc>
        <w:tc>
          <w:tcPr>
            <w:tcW w:w="655" w:type="dxa"/>
            <w:noWrap w:val="0"/>
            <w:vAlign w:val="top"/>
          </w:tcPr>
          <w:p w14:paraId="5208E8B3">
            <w:pPr>
              <w:spacing w:line="360" w:lineRule="auto"/>
              <w:rPr>
                <w:rFonts w:hint="eastAsia" w:ascii="宋体" w:hAnsi="宋体" w:cs="宋体"/>
                <w:kern w:val="0"/>
                <w:szCs w:val="21"/>
                <w:highlight w:val="none"/>
              </w:rPr>
            </w:pPr>
          </w:p>
        </w:tc>
      </w:tr>
      <w:tr w14:paraId="7D6EC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6927" w:type="dxa"/>
            <w:gridSpan w:val="2"/>
            <w:noWrap w:val="0"/>
            <w:vAlign w:val="top"/>
          </w:tcPr>
          <w:p w14:paraId="167F098D">
            <w:pPr>
              <w:spacing w:line="300" w:lineRule="auto"/>
              <w:rPr>
                <w:rFonts w:hint="eastAsia" w:ascii="仿宋" w:hAnsi="仿宋" w:eastAsia="仿宋" w:cs="仿宋"/>
                <w:bCs/>
                <w:sz w:val="24"/>
                <w:highlight w:val="none"/>
              </w:rPr>
            </w:pPr>
            <w:r>
              <w:rPr>
                <w:rFonts w:hint="eastAsia" w:ascii="仿宋" w:hAnsi="仿宋" w:eastAsia="仿宋" w:cs="仿宋"/>
                <w:bCs/>
                <w:sz w:val="24"/>
                <w:highlight w:val="none"/>
              </w:rPr>
              <w:t>结论：</w:t>
            </w:r>
            <w:r>
              <w:rPr>
                <w:rFonts w:hint="eastAsia" w:ascii="仿宋" w:hAnsi="仿宋" w:eastAsia="仿宋" w:cs="仿宋"/>
                <w:spacing w:val="-2"/>
                <w:sz w:val="24"/>
                <w:highlight w:val="none"/>
              </w:rPr>
              <w:t>通过评审打“√”，未通过评审打“×”</w:t>
            </w:r>
          </w:p>
          <w:p w14:paraId="7BF1097A">
            <w:pPr>
              <w:spacing w:line="300" w:lineRule="auto"/>
              <w:rPr>
                <w:rFonts w:hint="eastAsia" w:ascii="仿宋" w:hAnsi="仿宋" w:eastAsia="仿宋" w:cs="仿宋"/>
                <w:bCs/>
                <w:sz w:val="24"/>
                <w:highlight w:val="none"/>
              </w:rPr>
            </w:pPr>
            <w:r>
              <w:rPr>
                <w:rFonts w:hint="eastAsia" w:ascii="仿宋" w:hAnsi="仿宋" w:eastAsia="仿宋" w:cs="仿宋"/>
                <w:bCs/>
                <w:sz w:val="24"/>
                <w:highlight w:val="none"/>
              </w:rPr>
              <w:t>未通过初步评审的，为无效投标。</w:t>
            </w:r>
          </w:p>
        </w:tc>
        <w:tc>
          <w:tcPr>
            <w:tcW w:w="609" w:type="dxa"/>
            <w:noWrap w:val="0"/>
            <w:vAlign w:val="top"/>
          </w:tcPr>
          <w:p w14:paraId="080F15F9">
            <w:pPr>
              <w:spacing w:line="360" w:lineRule="auto"/>
              <w:rPr>
                <w:rFonts w:hint="eastAsia" w:ascii="宋体" w:hAnsi="宋体" w:cs="宋体"/>
                <w:kern w:val="0"/>
                <w:szCs w:val="21"/>
                <w:highlight w:val="none"/>
              </w:rPr>
            </w:pPr>
          </w:p>
        </w:tc>
        <w:tc>
          <w:tcPr>
            <w:tcW w:w="627" w:type="dxa"/>
            <w:noWrap w:val="0"/>
            <w:vAlign w:val="top"/>
          </w:tcPr>
          <w:p w14:paraId="539293EF">
            <w:pPr>
              <w:spacing w:line="360" w:lineRule="auto"/>
              <w:rPr>
                <w:rFonts w:hint="eastAsia" w:ascii="宋体" w:hAnsi="宋体" w:cs="宋体"/>
                <w:kern w:val="0"/>
                <w:szCs w:val="21"/>
                <w:highlight w:val="none"/>
              </w:rPr>
            </w:pPr>
          </w:p>
        </w:tc>
        <w:tc>
          <w:tcPr>
            <w:tcW w:w="521" w:type="dxa"/>
            <w:noWrap w:val="0"/>
            <w:vAlign w:val="top"/>
          </w:tcPr>
          <w:p w14:paraId="6190DD41">
            <w:pPr>
              <w:spacing w:line="360" w:lineRule="auto"/>
              <w:rPr>
                <w:rFonts w:hint="eastAsia" w:ascii="宋体" w:hAnsi="宋体" w:cs="宋体"/>
                <w:kern w:val="0"/>
                <w:szCs w:val="21"/>
                <w:highlight w:val="none"/>
              </w:rPr>
            </w:pPr>
          </w:p>
        </w:tc>
        <w:tc>
          <w:tcPr>
            <w:tcW w:w="655" w:type="dxa"/>
            <w:noWrap w:val="0"/>
            <w:vAlign w:val="top"/>
          </w:tcPr>
          <w:p w14:paraId="30B97A3D">
            <w:pPr>
              <w:spacing w:line="360" w:lineRule="auto"/>
              <w:rPr>
                <w:rFonts w:hint="eastAsia" w:ascii="宋体" w:hAnsi="宋体" w:cs="宋体"/>
                <w:kern w:val="0"/>
                <w:szCs w:val="21"/>
                <w:highlight w:val="none"/>
              </w:rPr>
            </w:pPr>
          </w:p>
        </w:tc>
      </w:tr>
    </w:tbl>
    <w:p w14:paraId="02BB97F5">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说明：</w:t>
      </w:r>
    </w:p>
    <w:p w14:paraId="06DF85CD">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（1）上述各项中用“√”表示通过，“×”表示不通过；</w:t>
      </w:r>
    </w:p>
    <w:p w14:paraId="07D57CD1">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（2）上述各项中如有一项为“×”，则结论为“×”，表示该投标文件中存在重大偏差，不能通过初步评审；评委对某一分项评审认为不合格时，必须要写明原因。</w:t>
      </w:r>
    </w:p>
    <w:p w14:paraId="24754C14">
      <w:pPr>
        <w:spacing w:line="360" w:lineRule="exact"/>
        <w:rPr>
          <w:rFonts w:hint="eastAsia" w:eastAsia="仿宋"/>
          <w:color w:val="auto"/>
          <w:highlight w:val="none"/>
        </w:rPr>
      </w:pPr>
      <w:r>
        <w:rPr>
          <w:rFonts w:hint="eastAsia" w:ascii="仿宋" w:hAnsi="仿宋" w:eastAsia="仿宋" w:cs="仿宋"/>
          <w:color w:val="auto"/>
          <w:sz w:val="24"/>
          <w:highlight w:val="none"/>
        </w:rPr>
        <w:t>（3）投标文件最终合格与否，以所有评委的评审意见中少数服从多数为原则定论。</w:t>
      </w:r>
    </w:p>
    <w:p w14:paraId="7970EDFA">
      <w:pPr>
        <w:spacing w:line="360" w:lineRule="auto"/>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rPr>
        <w:t>备注：如果投标文件中有一项未通过上述审查标准，评标委员会将认定整个投标文件未响应招标文件而予以废标处理。</w:t>
      </w:r>
    </w:p>
    <w:p w14:paraId="7015F0C9">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br w:type="page"/>
      </w:r>
    </w:p>
    <w:tbl>
      <w:tblPr>
        <w:tblStyle w:val="37"/>
        <w:tblW w:w="9380" w:type="dxa"/>
        <w:tblInd w:w="-402" w:type="dxa"/>
        <w:tblLayout w:type="fixed"/>
        <w:tblCellMar>
          <w:top w:w="0" w:type="dxa"/>
          <w:left w:w="108" w:type="dxa"/>
          <w:bottom w:w="0" w:type="dxa"/>
          <w:right w:w="108" w:type="dxa"/>
        </w:tblCellMar>
      </w:tblPr>
      <w:tblGrid>
        <w:gridCol w:w="2624"/>
        <w:gridCol w:w="4866"/>
        <w:gridCol w:w="653"/>
        <w:gridCol w:w="620"/>
        <w:gridCol w:w="617"/>
      </w:tblGrid>
      <w:tr w14:paraId="5450D7A1">
        <w:tblPrEx>
          <w:tblCellMar>
            <w:top w:w="0" w:type="dxa"/>
            <w:left w:w="108" w:type="dxa"/>
            <w:bottom w:w="0" w:type="dxa"/>
            <w:right w:w="108" w:type="dxa"/>
          </w:tblCellMar>
        </w:tblPrEx>
        <w:trPr>
          <w:trHeight w:val="528" w:hRule="atLeast"/>
        </w:trPr>
        <w:tc>
          <w:tcPr>
            <w:tcW w:w="9380" w:type="dxa"/>
            <w:gridSpan w:val="5"/>
            <w:tcBorders>
              <w:top w:val="nil"/>
              <w:left w:val="nil"/>
              <w:bottom w:val="single" w:color="auto" w:sz="4" w:space="0"/>
              <w:right w:val="nil"/>
            </w:tcBorders>
            <w:noWrap w:val="0"/>
            <w:vAlign w:val="center"/>
          </w:tcPr>
          <w:p w14:paraId="5D1945CE">
            <w:pPr>
              <w:widowControl/>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商务符合性审查表</w:t>
            </w:r>
          </w:p>
        </w:tc>
      </w:tr>
      <w:tr w14:paraId="2910FC07">
        <w:tblPrEx>
          <w:tblCellMar>
            <w:top w:w="0" w:type="dxa"/>
            <w:left w:w="108" w:type="dxa"/>
            <w:bottom w:w="0" w:type="dxa"/>
            <w:right w:w="108" w:type="dxa"/>
          </w:tblCellMar>
        </w:tblPrEx>
        <w:trPr>
          <w:trHeight w:val="890" w:hRule="atLeast"/>
        </w:trPr>
        <w:tc>
          <w:tcPr>
            <w:tcW w:w="7490" w:type="dxa"/>
            <w:gridSpan w:val="2"/>
            <w:tcBorders>
              <w:top w:val="single" w:color="auto" w:sz="4" w:space="0"/>
              <w:left w:val="single" w:color="auto" w:sz="4" w:space="0"/>
              <w:bottom w:val="single" w:color="auto" w:sz="4" w:space="0"/>
              <w:right w:val="single" w:color="auto" w:sz="4" w:space="0"/>
            </w:tcBorders>
            <w:noWrap w:val="0"/>
            <w:vAlign w:val="center"/>
          </w:tcPr>
          <w:p w14:paraId="0AD7A6CD">
            <w:pPr>
              <w:widowControl/>
              <w:jc w:val="center"/>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审查事项</w:t>
            </w:r>
          </w:p>
        </w:tc>
        <w:tc>
          <w:tcPr>
            <w:tcW w:w="1890" w:type="dxa"/>
            <w:gridSpan w:val="3"/>
            <w:tcBorders>
              <w:top w:val="single" w:color="auto" w:sz="4" w:space="0"/>
              <w:left w:val="single" w:color="auto" w:sz="4" w:space="0"/>
              <w:bottom w:val="single" w:color="auto" w:sz="4" w:space="0"/>
              <w:right w:val="single" w:color="auto" w:sz="4" w:space="0"/>
            </w:tcBorders>
            <w:noWrap w:val="0"/>
            <w:vAlign w:val="center"/>
          </w:tcPr>
          <w:p w14:paraId="4D25DE49">
            <w:pPr>
              <w:widowControl/>
              <w:jc w:val="center"/>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lang w:eastAsia="zh-CN"/>
              </w:rPr>
              <w:t>供应商</w:t>
            </w:r>
            <w:r>
              <w:rPr>
                <w:rFonts w:hint="eastAsia" w:ascii="仿宋" w:hAnsi="仿宋" w:eastAsia="仿宋" w:cs="仿宋"/>
                <w:b/>
                <w:color w:val="auto"/>
                <w:kern w:val="0"/>
                <w:sz w:val="24"/>
                <w:szCs w:val="24"/>
              </w:rPr>
              <w:t>名称及审查情况</w:t>
            </w:r>
          </w:p>
        </w:tc>
      </w:tr>
      <w:tr w14:paraId="23BEE4F9">
        <w:tblPrEx>
          <w:tblCellMar>
            <w:top w:w="0" w:type="dxa"/>
            <w:left w:w="108" w:type="dxa"/>
            <w:bottom w:w="0" w:type="dxa"/>
            <w:right w:w="108" w:type="dxa"/>
          </w:tblCellMar>
        </w:tblPrEx>
        <w:trPr>
          <w:trHeight w:val="1322" w:hRule="atLeast"/>
        </w:trPr>
        <w:tc>
          <w:tcPr>
            <w:tcW w:w="2624" w:type="dxa"/>
            <w:tcBorders>
              <w:top w:val="single" w:color="auto" w:sz="4" w:space="0"/>
              <w:left w:val="single" w:color="auto" w:sz="4" w:space="0"/>
              <w:bottom w:val="single" w:color="auto" w:sz="4" w:space="0"/>
              <w:right w:val="single" w:color="auto" w:sz="4" w:space="0"/>
            </w:tcBorders>
            <w:noWrap w:val="0"/>
            <w:vAlign w:val="center"/>
          </w:tcPr>
          <w:p w14:paraId="15520BE7">
            <w:pPr>
              <w:widowControl/>
              <w:jc w:val="left"/>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lang w:val="en-US" w:eastAsia="zh-CN"/>
              </w:rPr>
              <w:t>招标</w:t>
            </w:r>
            <w:r>
              <w:rPr>
                <w:rFonts w:hint="eastAsia" w:ascii="仿宋" w:hAnsi="仿宋" w:eastAsia="仿宋" w:cs="仿宋"/>
                <w:b/>
                <w:color w:val="auto"/>
                <w:kern w:val="0"/>
                <w:sz w:val="24"/>
                <w:szCs w:val="24"/>
              </w:rPr>
              <w:t>文件条款（</w:t>
            </w:r>
            <w:r>
              <w:rPr>
                <w:rFonts w:hint="eastAsia" w:ascii="仿宋" w:hAnsi="仿宋" w:eastAsia="仿宋" w:cs="仿宋"/>
                <w:b/>
                <w:color w:val="auto"/>
                <w:kern w:val="0"/>
                <w:sz w:val="24"/>
                <w:szCs w:val="24"/>
                <w:lang w:eastAsia="zh-CN"/>
              </w:rPr>
              <w:t>供应商</w:t>
            </w:r>
            <w:r>
              <w:rPr>
                <w:rFonts w:hint="eastAsia" w:ascii="仿宋" w:hAnsi="仿宋" w:eastAsia="仿宋" w:cs="仿宋"/>
                <w:b/>
                <w:color w:val="auto"/>
                <w:kern w:val="0"/>
                <w:sz w:val="24"/>
                <w:szCs w:val="24"/>
              </w:rPr>
              <w:t>须知、</w:t>
            </w:r>
            <w:r>
              <w:rPr>
                <w:rFonts w:hint="eastAsia" w:ascii="仿宋" w:hAnsi="仿宋" w:eastAsia="仿宋" w:cs="仿宋"/>
                <w:b/>
                <w:color w:val="auto"/>
                <w:kern w:val="0"/>
                <w:sz w:val="24"/>
                <w:szCs w:val="24"/>
                <w:lang w:eastAsia="zh-CN"/>
              </w:rPr>
              <w:t>供应商</w:t>
            </w:r>
            <w:r>
              <w:rPr>
                <w:rFonts w:hint="eastAsia" w:ascii="仿宋" w:hAnsi="仿宋" w:eastAsia="仿宋" w:cs="仿宋"/>
                <w:b/>
                <w:color w:val="auto"/>
                <w:kern w:val="0"/>
                <w:sz w:val="24"/>
                <w:szCs w:val="24"/>
              </w:rPr>
              <w:t>须知资料表条款号）</w:t>
            </w:r>
          </w:p>
        </w:tc>
        <w:tc>
          <w:tcPr>
            <w:tcW w:w="4866" w:type="dxa"/>
            <w:tcBorders>
              <w:top w:val="single" w:color="auto" w:sz="4" w:space="0"/>
              <w:left w:val="single" w:color="auto" w:sz="4" w:space="0"/>
              <w:bottom w:val="single" w:color="auto" w:sz="4" w:space="0"/>
              <w:right w:val="single" w:color="auto" w:sz="4" w:space="0"/>
            </w:tcBorders>
            <w:noWrap w:val="0"/>
            <w:vAlign w:val="center"/>
          </w:tcPr>
          <w:p w14:paraId="26055C5B">
            <w:pPr>
              <w:widowControl/>
              <w:jc w:val="center"/>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本项目要求</w:t>
            </w:r>
          </w:p>
        </w:tc>
        <w:tc>
          <w:tcPr>
            <w:tcW w:w="653" w:type="dxa"/>
            <w:tcBorders>
              <w:top w:val="single" w:color="auto" w:sz="4" w:space="0"/>
              <w:left w:val="single" w:color="auto" w:sz="4" w:space="0"/>
              <w:bottom w:val="single" w:color="auto" w:sz="4" w:space="0"/>
              <w:right w:val="single" w:color="auto" w:sz="4" w:space="0"/>
            </w:tcBorders>
            <w:noWrap w:val="0"/>
            <w:vAlign w:val="center"/>
          </w:tcPr>
          <w:p w14:paraId="3E159046">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620" w:type="dxa"/>
            <w:tcBorders>
              <w:top w:val="single" w:color="auto" w:sz="4" w:space="0"/>
              <w:left w:val="nil"/>
              <w:bottom w:val="single" w:color="auto" w:sz="4" w:space="0"/>
              <w:right w:val="single" w:color="auto" w:sz="4" w:space="0"/>
            </w:tcBorders>
            <w:noWrap w:val="0"/>
            <w:vAlign w:val="center"/>
          </w:tcPr>
          <w:p w14:paraId="1D282819">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617" w:type="dxa"/>
            <w:tcBorders>
              <w:top w:val="single" w:color="auto" w:sz="4" w:space="0"/>
              <w:left w:val="nil"/>
              <w:bottom w:val="single" w:color="auto" w:sz="4" w:space="0"/>
              <w:right w:val="single" w:color="auto" w:sz="4" w:space="0"/>
            </w:tcBorders>
            <w:noWrap w:val="0"/>
            <w:vAlign w:val="center"/>
          </w:tcPr>
          <w:p w14:paraId="21AF6674">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14:paraId="7996DE2C">
        <w:tblPrEx>
          <w:tblCellMar>
            <w:top w:w="0" w:type="dxa"/>
            <w:left w:w="108" w:type="dxa"/>
            <w:bottom w:w="0" w:type="dxa"/>
            <w:right w:w="108" w:type="dxa"/>
          </w:tblCellMar>
        </w:tblPrEx>
        <w:trPr>
          <w:trHeight w:val="734" w:hRule="atLeast"/>
        </w:trPr>
        <w:tc>
          <w:tcPr>
            <w:tcW w:w="2624" w:type="dxa"/>
            <w:tcBorders>
              <w:top w:val="single" w:color="auto" w:sz="4" w:space="0"/>
              <w:left w:val="single" w:color="auto" w:sz="4" w:space="0"/>
              <w:bottom w:val="single" w:color="auto" w:sz="4" w:space="0"/>
              <w:right w:val="single" w:color="auto" w:sz="4" w:space="0"/>
            </w:tcBorders>
            <w:noWrap w:val="0"/>
            <w:vAlign w:val="center"/>
          </w:tcPr>
          <w:p w14:paraId="21193EA7">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联合体规定（1.4）</w:t>
            </w:r>
          </w:p>
        </w:tc>
        <w:tc>
          <w:tcPr>
            <w:tcW w:w="4866" w:type="dxa"/>
            <w:tcBorders>
              <w:top w:val="single" w:color="auto" w:sz="4" w:space="0"/>
              <w:left w:val="nil"/>
              <w:bottom w:val="single" w:color="auto" w:sz="4" w:space="0"/>
              <w:right w:val="single" w:color="auto" w:sz="4" w:space="0"/>
            </w:tcBorders>
            <w:noWrap w:val="0"/>
            <w:vAlign w:val="center"/>
          </w:tcPr>
          <w:p w14:paraId="05E27CF6">
            <w:pPr>
              <w:widowControl/>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highlight w:val="none"/>
              </w:rPr>
              <w:t>本项目</w:t>
            </w:r>
            <w:r>
              <w:rPr>
                <w:rFonts w:hint="eastAsia" w:ascii="仿宋" w:hAnsi="仿宋" w:eastAsia="仿宋" w:cs="仿宋"/>
                <w:i/>
                <w:iCs/>
                <w:color w:val="auto"/>
                <w:kern w:val="0"/>
                <w:sz w:val="24"/>
                <w:szCs w:val="24"/>
                <w:highlight w:val="none"/>
                <w:u w:val="single"/>
                <w:lang w:eastAsia="zh-CN"/>
              </w:rPr>
              <w:t>不</w:t>
            </w:r>
            <w:r>
              <w:rPr>
                <w:rFonts w:hint="eastAsia" w:ascii="仿宋" w:hAnsi="仿宋" w:eastAsia="仿宋" w:cs="仿宋"/>
                <w:i/>
                <w:iCs/>
                <w:color w:val="auto"/>
                <w:kern w:val="0"/>
                <w:sz w:val="24"/>
                <w:szCs w:val="24"/>
                <w:highlight w:val="none"/>
                <w:u w:val="single"/>
              </w:rPr>
              <w:t>接受</w:t>
            </w:r>
            <w:r>
              <w:rPr>
                <w:rFonts w:hint="eastAsia" w:ascii="仿宋" w:hAnsi="仿宋" w:eastAsia="仿宋" w:cs="仿宋"/>
                <w:color w:val="auto"/>
                <w:kern w:val="0"/>
                <w:sz w:val="24"/>
                <w:szCs w:val="24"/>
                <w:highlight w:val="none"/>
              </w:rPr>
              <w:t>联合体</w:t>
            </w:r>
            <w:r>
              <w:rPr>
                <w:rFonts w:hint="eastAsia" w:ascii="仿宋" w:hAnsi="仿宋" w:eastAsia="仿宋" w:cs="仿宋"/>
                <w:color w:val="auto"/>
                <w:kern w:val="0"/>
                <w:sz w:val="24"/>
                <w:szCs w:val="24"/>
                <w:highlight w:val="none"/>
                <w:lang w:val="en-US" w:eastAsia="zh-CN"/>
              </w:rPr>
              <w:t>投标</w:t>
            </w:r>
          </w:p>
        </w:tc>
        <w:tc>
          <w:tcPr>
            <w:tcW w:w="653" w:type="dxa"/>
            <w:tcBorders>
              <w:top w:val="single" w:color="auto" w:sz="4" w:space="0"/>
              <w:left w:val="nil"/>
              <w:bottom w:val="single" w:color="auto" w:sz="4" w:space="0"/>
              <w:right w:val="single" w:color="auto" w:sz="4" w:space="0"/>
            </w:tcBorders>
            <w:noWrap w:val="0"/>
            <w:vAlign w:val="center"/>
          </w:tcPr>
          <w:p w14:paraId="1FA08745">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620" w:type="dxa"/>
            <w:tcBorders>
              <w:top w:val="single" w:color="auto" w:sz="4" w:space="0"/>
              <w:left w:val="nil"/>
              <w:bottom w:val="single" w:color="auto" w:sz="4" w:space="0"/>
              <w:right w:val="single" w:color="auto" w:sz="4" w:space="0"/>
            </w:tcBorders>
            <w:noWrap w:val="0"/>
            <w:vAlign w:val="center"/>
          </w:tcPr>
          <w:p w14:paraId="139A4BB4">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617" w:type="dxa"/>
            <w:tcBorders>
              <w:top w:val="single" w:color="auto" w:sz="4" w:space="0"/>
              <w:left w:val="nil"/>
              <w:bottom w:val="single" w:color="auto" w:sz="4" w:space="0"/>
              <w:right w:val="single" w:color="auto" w:sz="4" w:space="0"/>
            </w:tcBorders>
            <w:noWrap w:val="0"/>
            <w:vAlign w:val="center"/>
          </w:tcPr>
          <w:p w14:paraId="7495215E">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14:paraId="1E89EA55">
        <w:tblPrEx>
          <w:tblCellMar>
            <w:top w:w="0" w:type="dxa"/>
            <w:left w:w="108" w:type="dxa"/>
            <w:bottom w:w="0" w:type="dxa"/>
            <w:right w:w="108" w:type="dxa"/>
          </w:tblCellMar>
        </w:tblPrEx>
        <w:trPr>
          <w:trHeight w:val="890" w:hRule="atLeast"/>
        </w:trPr>
        <w:tc>
          <w:tcPr>
            <w:tcW w:w="2624" w:type="dxa"/>
            <w:tcBorders>
              <w:top w:val="single" w:color="auto" w:sz="4" w:space="0"/>
              <w:left w:val="single" w:color="auto" w:sz="4" w:space="0"/>
              <w:bottom w:val="single" w:color="auto" w:sz="4" w:space="0"/>
              <w:right w:val="single" w:color="auto" w:sz="4" w:space="0"/>
            </w:tcBorders>
            <w:noWrap w:val="0"/>
            <w:vAlign w:val="center"/>
          </w:tcPr>
          <w:p w14:paraId="40FCDED6">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供应商的关联性</w:t>
            </w:r>
          </w:p>
          <w:p w14:paraId="641BC4CB">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（1.5）</w:t>
            </w:r>
          </w:p>
        </w:tc>
        <w:tc>
          <w:tcPr>
            <w:tcW w:w="4866" w:type="dxa"/>
            <w:tcBorders>
              <w:top w:val="single" w:color="auto" w:sz="4" w:space="0"/>
              <w:left w:val="nil"/>
              <w:bottom w:val="single" w:color="auto" w:sz="4" w:space="0"/>
              <w:right w:val="single" w:color="auto" w:sz="4" w:space="0"/>
            </w:tcBorders>
            <w:noWrap w:val="0"/>
            <w:vAlign w:val="center"/>
          </w:tcPr>
          <w:p w14:paraId="424F658A">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在同一标包内，单位负责人为非同一人或者不存在直接控股、管理关系的不同供应商。</w:t>
            </w:r>
          </w:p>
        </w:tc>
        <w:tc>
          <w:tcPr>
            <w:tcW w:w="653" w:type="dxa"/>
            <w:tcBorders>
              <w:top w:val="single" w:color="auto" w:sz="4" w:space="0"/>
              <w:left w:val="nil"/>
              <w:bottom w:val="single" w:color="auto" w:sz="4" w:space="0"/>
              <w:right w:val="single" w:color="auto" w:sz="4" w:space="0"/>
            </w:tcBorders>
            <w:noWrap w:val="0"/>
            <w:vAlign w:val="center"/>
          </w:tcPr>
          <w:p w14:paraId="52B49AE8">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620" w:type="dxa"/>
            <w:tcBorders>
              <w:top w:val="single" w:color="auto" w:sz="4" w:space="0"/>
              <w:left w:val="nil"/>
              <w:bottom w:val="single" w:color="auto" w:sz="4" w:space="0"/>
              <w:right w:val="single" w:color="auto" w:sz="4" w:space="0"/>
            </w:tcBorders>
            <w:noWrap w:val="0"/>
            <w:vAlign w:val="center"/>
          </w:tcPr>
          <w:p w14:paraId="04E09E4E">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617" w:type="dxa"/>
            <w:tcBorders>
              <w:top w:val="single" w:color="auto" w:sz="4" w:space="0"/>
              <w:left w:val="nil"/>
              <w:bottom w:val="single" w:color="auto" w:sz="4" w:space="0"/>
              <w:right w:val="single" w:color="auto" w:sz="4" w:space="0"/>
            </w:tcBorders>
            <w:noWrap w:val="0"/>
            <w:vAlign w:val="center"/>
          </w:tcPr>
          <w:p w14:paraId="4BDF1F08">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14:paraId="68E9AD15">
        <w:tblPrEx>
          <w:tblCellMar>
            <w:top w:w="0" w:type="dxa"/>
            <w:left w:w="108" w:type="dxa"/>
            <w:bottom w:w="0" w:type="dxa"/>
            <w:right w:w="108" w:type="dxa"/>
          </w:tblCellMar>
        </w:tblPrEx>
        <w:trPr>
          <w:trHeight w:val="890" w:hRule="atLeast"/>
        </w:trPr>
        <w:tc>
          <w:tcPr>
            <w:tcW w:w="2624" w:type="dxa"/>
            <w:tcBorders>
              <w:top w:val="single" w:color="auto" w:sz="4" w:space="0"/>
              <w:left w:val="single" w:color="auto" w:sz="4" w:space="0"/>
              <w:bottom w:val="single" w:color="auto" w:sz="4" w:space="0"/>
              <w:right w:val="single" w:color="auto" w:sz="4" w:space="0"/>
            </w:tcBorders>
            <w:noWrap w:val="0"/>
            <w:vAlign w:val="center"/>
          </w:tcPr>
          <w:p w14:paraId="69CEC01A">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未发现影响采购人决策行为（1.5）</w:t>
            </w:r>
          </w:p>
        </w:tc>
        <w:tc>
          <w:tcPr>
            <w:tcW w:w="4866" w:type="dxa"/>
            <w:tcBorders>
              <w:top w:val="single" w:color="auto" w:sz="4" w:space="0"/>
              <w:left w:val="nil"/>
              <w:bottom w:val="single" w:color="auto" w:sz="4" w:space="0"/>
              <w:right w:val="single" w:color="auto" w:sz="4" w:space="0"/>
            </w:tcBorders>
            <w:noWrap w:val="0"/>
            <w:vAlign w:val="center"/>
          </w:tcPr>
          <w:p w14:paraId="278FD954">
            <w:pPr>
              <w:widowControl/>
              <w:jc w:val="center"/>
              <w:rPr>
                <w:rFonts w:hint="eastAsia" w:ascii="仿宋" w:hAnsi="仿宋" w:eastAsia="仿宋" w:cs="仿宋"/>
                <w:color w:val="auto"/>
                <w:kern w:val="0"/>
                <w:sz w:val="24"/>
                <w:szCs w:val="24"/>
              </w:rPr>
            </w:pPr>
            <w:r>
              <w:rPr>
                <w:rFonts w:hint="eastAsia" w:ascii="仿宋" w:hAnsi="仿宋" w:eastAsia="仿宋" w:cs="仿宋"/>
                <w:color w:val="auto"/>
                <w:sz w:val="24"/>
                <w:szCs w:val="24"/>
              </w:rPr>
              <w:t>供应商在</w:t>
            </w:r>
            <w:r>
              <w:rPr>
                <w:rFonts w:hint="eastAsia" w:ascii="仿宋" w:hAnsi="仿宋" w:eastAsia="仿宋" w:cs="仿宋"/>
                <w:color w:val="auto"/>
                <w:sz w:val="24"/>
                <w:szCs w:val="24"/>
                <w:lang w:val="en-US" w:eastAsia="zh-CN"/>
              </w:rPr>
              <w:t>投标</w:t>
            </w:r>
            <w:r>
              <w:rPr>
                <w:rFonts w:hint="eastAsia" w:ascii="仿宋" w:hAnsi="仿宋" w:eastAsia="仿宋" w:cs="仿宋"/>
                <w:color w:val="auto"/>
                <w:sz w:val="24"/>
                <w:szCs w:val="24"/>
              </w:rPr>
              <w:t>过程中未向采购人提供、给予任何有价值的物品，影响其正常决策行为。</w:t>
            </w:r>
          </w:p>
        </w:tc>
        <w:tc>
          <w:tcPr>
            <w:tcW w:w="653" w:type="dxa"/>
            <w:tcBorders>
              <w:top w:val="single" w:color="auto" w:sz="4" w:space="0"/>
              <w:left w:val="nil"/>
              <w:bottom w:val="single" w:color="auto" w:sz="4" w:space="0"/>
              <w:right w:val="single" w:color="auto" w:sz="4" w:space="0"/>
            </w:tcBorders>
            <w:noWrap w:val="0"/>
            <w:vAlign w:val="center"/>
          </w:tcPr>
          <w:p w14:paraId="03644737">
            <w:pPr>
              <w:widowControl/>
              <w:jc w:val="left"/>
              <w:rPr>
                <w:rFonts w:hint="eastAsia" w:ascii="仿宋" w:hAnsi="仿宋" w:eastAsia="仿宋" w:cs="仿宋"/>
                <w:color w:val="auto"/>
                <w:kern w:val="0"/>
                <w:sz w:val="24"/>
                <w:szCs w:val="24"/>
              </w:rPr>
            </w:pPr>
          </w:p>
        </w:tc>
        <w:tc>
          <w:tcPr>
            <w:tcW w:w="620" w:type="dxa"/>
            <w:tcBorders>
              <w:top w:val="single" w:color="auto" w:sz="4" w:space="0"/>
              <w:left w:val="nil"/>
              <w:bottom w:val="single" w:color="auto" w:sz="4" w:space="0"/>
              <w:right w:val="single" w:color="auto" w:sz="4" w:space="0"/>
            </w:tcBorders>
            <w:noWrap w:val="0"/>
            <w:vAlign w:val="center"/>
          </w:tcPr>
          <w:p w14:paraId="3B7A5D78">
            <w:pPr>
              <w:widowControl/>
              <w:jc w:val="left"/>
              <w:rPr>
                <w:rFonts w:hint="eastAsia" w:ascii="仿宋" w:hAnsi="仿宋" w:eastAsia="仿宋" w:cs="仿宋"/>
                <w:color w:val="auto"/>
                <w:kern w:val="0"/>
                <w:sz w:val="24"/>
                <w:szCs w:val="24"/>
              </w:rPr>
            </w:pPr>
          </w:p>
        </w:tc>
        <w:tc>
          <w:tcPr>
            <w:tcW w:w="617" w:type="dxa"/>
            <w:tcBorders>
              <w:top w:val="single" w:color="auto" w:sz="4" w:space="0"/>
              <w:left w:val="nil"/>
              <w:bottom w:val="single" w:color="auto" w:sz="4" w:space="0"/>
              <w:right w:val="single" w:color="auto" w:sz="4" w:space="0"/>
            </w:tcBorders>
            <w:noWrap w:val="0"/>
            <w:vAlign w:val="center"/>
          </w:tcPr>
          <w:p w14:paraId="59C2888D">
            <w:pPr>
              <w:widowControl/>
              <w:jc w:val="left"/>
              <w:rPr>
                <w:rFonts w:hint="eastAsia" w:ascii="仿宋" w:hAnsi="仿宋" w:eastAsia="仿宋" w:cs="仿宋"/>
                <w:color w:val="auto"/>
                <w:kern w:val="0"/>
                <w:sz w:val="24"/>
                <w:szCs w:val="24"/>
              </w:rPr>
            </w:pPr>
          </w:p>
        </w:tc>
      </w:tr>
      <w:tr w14:paraId="1F625257">
        <w:tblPrEx>
          <w:tblCellMar>
            <w:top w:w="0" w:type="dxa"/>
            <w:left w:w="108" w:type="dxa"/>
            <w:bottom w:w="0" w:type="dxa"/>
            <w:right w:w="108" w:type="dxa"/>
          </w:tblCellMar>
        </w:tblPrEx>
        <w:trPr>
          <w:trHeight w:val="1322" w:hRule="atLeast"/>
        </w:trPr>
        <w:tc>
          <w:tcPr>
            <w:tcW w:w="2624" w:type="dxa"/>
            <w:tcBorders>
              <w:top w:val="single" w:color="auto" w:sz="4" w:space="0"/>
              <w:left w:val="single" w:color="auto" w:sz="4" w:space="0"/>
              <w:bottom w:val="single" w:color="auto" w:sz="4" w:space="0"/>
              <w:right w:val="single" w:color="auto" w:sz="4" w:space="0"/>
            </w:tcBorders>
            <w:noWrap w:val="0"/>
            <w:vAlign w:val="center"/>
          </w:tcPr>
          <w:p w14:paraId="0989DE6C">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未包含价格调整要求</w:t>
            </w:r>
          </w:p>
          <w:p w14:paraId="2DDCCBFA">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（11.4）</w:t>
            </w:r>
          </w:p>
        </w:tc>
        <w:tc>
          <w:tcPr>
            <w:tcW w:w="4866" w:type="dxa"/>
            <w:tcBorders>
              <w:top w:val="single" w:color="auto" w:sz="4" w:space="0"/>
              <w:left w:val="nil"/>
              <w:bottom w:val="single" w:color="auto" w:sz="4" w:space="0"/>
              <w:right w:val="single" w:color="auto" w:sz="4" w:space="0"/>
            </w:tcBorders>
            <w:noWrap w:val="0"/>
            <w:vAlign w:val="center"/>
          </w:tcPr>
          <w:p w14:paraId="2C09172B">
            <w:pPr>
              <w:widowControl/>
              <w:jc w:val="center"/>
              <w:rPr>
                <w:rFonts w:hint="eastAsia" w:ascii="仿宋" w:hAnsi="仿宋" w:eastAsia="仿宋" w:cs="仿宋"/>
                <w:color w:val="auto"/>
                <w:sz w:val="24"/>
                <w:szCs w:val="24"/>
              </w:rPr>
            </w:pPr>
            <w:r>
              <w:rPr>
                <w:rFonts w:hint="eastAsia" w:ascii="仿宋" w:hAnsi="仿宋" w:eastAsia="仿宋" w:cs="仿宋"/>
                <w:color w:val="auto"/>
                <w:sz w:val="24"/>
                <w:szCs w:val="24"/>
              </w:rPr>
              <w:t>供应商所报的各分项报价在合同履行过程中是固定不变的，不得以任何理由予以变更。</w:t>
            </w:r>
          </w:p>
        </w:tc>
        <w:tc>
          <w:tcPr>
            <w:tcW w:w="653" w:type="dxa"/>
            <w:tcBorders>
              <w:top w:val="single" w:color="auto" w:sz="4" w:space="0"/>
              <w:left w:val="nil"/>
              <w:bottom w:val="single" w:color="auto" w:sz="4" w:space="0"/>
              <w:right w:val="single" w:color="auto" w:sz="4" w:space="0"/>
            </w:tcBorders>
            <w:noWrap w:val="0"/>
            <w:vAlign w:val="center"/>
          </w:tcPr>
          <w:p w14:paraId="76E590B8">
            <w:pPr>
              <w:widowControl/>
              <w:jc w:val="left"/>
              <w:rPr>
                <w:rFonts w:hint="eastAsia" w:ascii="仿宋" w:hAnsi="仿宋" w:eastAsia="仿宋" w:cs="仿宋"/>
                <w:color w:val="auto"/>
                <w:kern w:val="0"/>
                <w:sz w:val="24"/>
                <w:szCs w:val="24"/>
              </w:rPr>
            </w:pPr>
          </w:p>
        </w:tc>
        <w:tc>
          <w:tcPr>
            <w:tcW w:w="620" w:type="dxa"/>
            <w:tcBorders>
              <w:top w:val="single" w:color="auto" w:sz="4" w:space="0"/>
              <w:left w:val="nil"/>
              <w:bottom w:val="single" w:color="auto" w:sz="4" w:space="0"/>
              <w:right w:val="single" w:color="auto" w:sz="4" w:space="0"/>
            </w:tcBorders>
            <w:noWrap w:val="0"/>
            <w:vAlign w:val="center"/>
          </w:tcPr>
          <w:p w14:paraId="508D3FCF">
            <w:pPr>
              <w:widowControl/>
              <w:jc w:val="left"/>
              <w:rPr>
                <w:rFonts w:hint="eastAsia" w:ascii="仿宋" w:hAnsi="仿宋" w:eastAsia="仿宋" w:cs="仿宋"/>
                <w:color w:val="auto"/>
                <w:kern w:val="0"/>
                <w:sz w:val="24"/>
                <w:szCs w:val="24"/>
              </w:rPr>
            </w:pPr>
          </w:p>
        </w:tc>
        <w:tc>
          <w:tcPr>
            <w:tcW w:w="617" w:type="dxa"/>
            <w:tcBorders>
              <w:top w:val="single" w:color="auto" w:sz="4" w:space="0"/>
              <w:left w:val="nil"/>
              <w:bottom w:val="single" w:color="auto" w:sz="4" w:space="0"/>
              <w:right w:val="single" w:color="auto" w:sz="4" w:space="0"/>
            </w:tcBorders>
            <w:noWrap w:val="0"/>
            <w:vAlign w:val="center"/>
          </w:tcPr>
          <w:p w14:paraId="3362B4EA">
            <w:pPr>
              <w:widowControl/>
              <w:jc w:val="left"/>
              <w:rPr>
                <w:rFonts w:hint="eastAsia" w:ascii="仿宋" w:hAnsi="仿宋" w:eastAsia="仿宋" w:cs="仿宋"/>
                <w:color w:val="auto"/>
                <w:kern w:val="0"/>
                <w:sz w:val="24"/>
                <w:szCs w:val="24"/>
              </w:rPr>
            </w:pPr>
          </w:p>
        </w:tc>
      </w:tr>
      <w:tr w14:paraId="20854CA0">
        <w:tblPrEx>
          <w:tblCellMar>
            <w:top w:w="0" w:type="dxa"/>
            <w:left w:w="108" w:type="dxa"/>
            <w:bottom w:w="0" w:type="dxa"/>
            <w:right w:w="108" w:type="dxa"/>
          </w:tblCellMar>
        </w:tblPrEx>
        <w:trPr>
          <w:trHeight w:val="734" w:hRule="atLeast"/>
        </w:trPr>
        <w:tc>
          <w:tcPr>
            <w:tcW w:w="2624" w:type="dxa"/>
            <w:tcBorders>
              <w:top w:val="single" w:color="auto" w:sz="4" w:space="0"/>
              <w:left w:val="single" w:color="auto" w:sz="4" w:space="0"/>
              <w:bottom w:val="single" w:color="auto" w:sz="4" w:space="0"/>
              <w:right w:val="single" w:color="auto" w:sz="4" w:space="0"/>
            </w:tcBorders>
            <w:noWrap w:val="0"/>
            <w:vAlign w:val="center"/>
          </w:tcPr>
          <w:p w14:paraId="61CAE7E2">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保证金（12.1）</w:t>
            </w:r>
          </w:p>
        </w:tc>
        <w:tc>
          <w:tcPr>
            <w:tcW w:w="4866" w:type="dxa"/>
            <w:tcBorders>
              <w:top w:val="single" w:color="auto" w:sz="4" w:space="0"/>
              <w:left w:val="nil"/>
              <w:bottom w:val="single" w:color="auto" w:sz="4" w:space="0"/>
              <w:right w:val="single" w:color="auto" w:sz="4" w:space="0"/>
            </w:tcBorders>
            <w:noWrap w:val="0"/>
            <w:vAlign w:val="center"/>
          </w:tcPr>
          <w:p w14:paraId="45A89463">
            <w:pPr>
              <w:widowControl/>
              <w:jc w:val="center"/>
              <w:rPr>
                <w:rFonts w:hint="eastAsia" w:ascii="仿宋" w:hAnsi="仿宋" w:eastAsia="仿宋" w:cs="仿宋"/>
                <w:color w:val="auto"/>
                <w:kern w:val="0"/>
                <w:sz w:val="24"/>
                <w:szCs w:val="24"/>
              </w:rPr>
            </w:pPr>
            <w:r>
              <w:rPr>
                <w:rFonts w:hint="eastAsia" w:ascii="仿宋" w:hAnsi="仿宋" w:eastAsia="仿宋" w:cs="仿宋"/>
                <w:color w:val="auto"/>
                <w:sz w:val="24"/>
                <w:szCs w:val="24"/>
              </w:rPr>
              <w:t>符合</w:t>
            </w:r>
            <w:r>
              <w:rPr>
                <w:rFonts w:hint="eastAsia" w:ascii="仿宋" w:hAnsi="仿宋" w:eastAsia="仿宋" w:cs="仿宋"/>
                <w:color w:val="auto"/>
                <w:sz w:val="24"/>
                <w:szCs w:val="24"/>
                <w:lang w:val="en-US" w:eastAsia="zh-CN"/>
              </w:rPr>
              <w:t>招标</w:t>
            </w:r>
            <w:r>
              <w:rPr>
                <w:rFonts w:hint="eastAsia" w:ascii="仿宋" w:hAnsi="仿宋" w:eastAsia="仿宋" w:cs="仿宋"/>
                <w:color w:val="auto"/>
                <w:sz w:val="24"/>
                <w:szCs w:val="24"/>
              </w:rPr>
              <w:t>文件要求</w:t>
            </w:r>
          </w:p>
        </w:tc>
        <w:tc>
          <w:tcPr>
            <w:tcW w:w="653" w:type="dxa"/>
            <w:tcBorders>
              <w:top w:val="single" w:color="auto" w:sz="4" w:space="0"/>
              <w:left w:val="nil"/>
              <w:bottom w:val="single" w:color="auto" w:sz="4" w:space="0"/>
              <w:right w:val="single" w:color="auto" w:sz="4" w:space="0"/>
            </w:tcBorders>
            <w:noWrap w:val="0"/>
            <w:vAlign w:val="center"/>
          </w:tcPr>
          <w:p w14:paraId="0C2BF269">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620" w:type="dxa"/>
            <w:tcBorders>
              <w:top w:val="single" w:color="auto" w:sz="4" w:space="0"/>
              <w:left w:val="nil"/>
              <w:bottom w:val="single" w:color="auto" w:sz="4" w:space="0"/>
              <w:right w:val="single" w:color="auto" w:sz="4" w:space="0"/>
            </w:tcBorders>
            <w:noWrap w:val="0"/>
            <w:vAlign w:val="center"/>
          </w:tcPr>
          <w:p w14:paraId="2A3AE2CB">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617" w:type="dxa"/>
            <w:tcBorders>
              <w:top w:val="single" w:color="auto" w:sz="4" w:space="0"/>
              <w:left w:val="nil"/>
              <w:bottom w:val="single" w:color="auto" w:sz="4" w:space="0"/>
              <w:right w:val="single" w:color="auto" w:sz="4" w:space="0"/>
            </w:tcBorders>
            <w:noWrap w:val="0"/>
            <w:vAlign w:val="center"/>
          </w:tcPr>
          <w:p w14:paraId="13B69885">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14:paraId="6D4D55BE">
        <w:tblPrEx>
          <w:tblCellMar>
            <w:top w:w="0" w:type="dxa"/>
            <w:left w:w="108" w:type="dxa"/>
            <w:bottom w:w="0" w:type="dxa"/>
            <w:right w:w="108" w:type="dxa"/>
          </w:tblCellMar>
        </w:tblPrEx>
        <w:trPr>
          <w:trHeight w:val="890" w:hRule="atLeast"/>
        </w:trPr>
        <w:tc>
          <w:tcPr>
            <w:tcW w:w="2624" w:type="dxa"/>
            <w:tcBorders>
              <w:top w:val="single" w:color="auto" w:sz="4" w:space="0"/>
              <w:left w:val="single" w:color="auto" w:sz="4" w:space="0"/>
              <w:bottom w:val="single" w:color="auto" w:sz="4" w:space="0"/>
              <w:right w:val="single" w:color="auto" w:sz="4" w:space="0"/>
            </w:tcBorders>
            <w:noWrap w:val="0"/>
            <w:vAlign w:val="center"/>
          </w:tcPr>
          <w:p w14:paraId="75BF2D9A">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投标</w:t>
            </w:r>
            <w:r>
              <w:rPr>
                <w:rFonts w:hint="eastAsia" w:ascii="仿宋" w:hAnsi="仿宋" w:eastAsia="仿宋" w:cs="仿宋"/>
                <w:color w:val="auto"/>
                <w:kern w:val="0"/>
                <w:sz w:val="24"/>
                <w:szCs w:val="24"/>
              </w:rPr>
              <w:t>有效期满足要求（13.1）</w:t>
            </w:r>
          </w:p>
        </w:tc>
        <w:tc>
          <w:tcPr>
            <w:tcW w:w="4866" w:type="dxa"/>
            <w:tcBorders>
              <w:top w:val="single" w:color="auto" w:sz="4" w:space="0"/>
              <w:left w:val="nil"/>
              <w:bottom w:val="single" w:color="auto" w:sz="4" w:space="0"/>
              <w:right w:val="single" w:color="auto" w:sz="4" w:space="0"/>
            </w:tcBorders>
            <w:noWrap w:val="0"/>
            <w:vAlign w:val="center"/>
          </w:tcPr>
          <w:p w14:paraId="4B263C4D">
            <w:pPr>
              <w:widowControl/>
              <w:jc w:val="center"/>
              <w:rPr>
                <w:rFonts w:hint="eastAsia" w:ascii="仿宋" w:hAnsi="仿宋" w:eastAsia="仿宋" w:cs="仿宋"/>
                <w:color w:val="auto"/>
                <w:sz w:val="24"/>
                <w:szCs w:val="24"/>
              </w:rPr>
            </w:pPr>
            <w:r>
              <w:rPr>
                <w:rFonts w:hint="eastAsia" w:ascii="仿宋" w:hAnsi="仿宋" w:eastAsia="仿宋" w:cs="仿宋"/>
                <w:color w:val="auto"/>
                <w:sz w:val="24"/>
                <w:szCs w:val="24"/>
              </w:rPr>
              <w:t>自提交</w:t>
            </w:r>
            <w:r>
              <w:rPr>
                <w:rFonts w:hint="eastAsia" w:ascii="仿宋" w:hAnsi="仿宋" w:eastAsia="仿宋" w:cs="仿宋"/>
                <w:color w:val="auto"/>
                <w:sz w:val="24"/>
                <w:szCs w:val="24"/>
                <w:lang w:val="en-US" w:eastAsia="zh-CN"/>
              </w:rPr>
              <w:t>投标</w:t>
            </w:r>
            <w:r>
              <w:rPr>
                <w:rFonts w:hint="eastAsia" w:ascii="仿宋" w:hAnsi="仿宋" w:eastAsia="仿宋" w:cs="仿宋"/>
                <w:color w:val="auto"/>
                <w:sz w:val="24"/>
                <w:szCs w:val="24"/>
              </w:rPr>
              <w:t>文件截止之日起</w:t>
            </w:r>
            <w:r>
              <w:rPr>
                <w:rFonts w:hint="eastAsia" w:ascii="仿宋" w:hAnsi="仿宋" w:eastAsia="仿宋" w:cs="仿宋"/>
                <w:color w:val="auto"/>
                <w:sz w:val="24"/>
                <w:szCs w:val="24"/>
                <w:u w:val="single"/>
              </w:rPr>
              <w:t>90日</w:t>
            </w:r>
            <w:r>
              <w:rPr>
                <w:rFonts w:hint="eastAsia" w:ascii="仿宋" w:hAnsi="仿宋" w:eastAsia="仿宋" w:cs="仿宋"/>
                <w:color w:val="auto"/>
                <w:sz w:val="24"/>
                <w:szCs w:val="24"/>
              </w:rPr>
              <w:t>历日内</w:t>
            </w:r>
          </w:p>
        </w:tc>
        <w:tc>
          <w:tcPr>
            <w:tcW w:w="653" w:type="dxa"/>
            <w:tcBorders>
              <w:top w:val="single" w:color="auto" w:sz="4" w:space="0"/>
              <w:left w:val="nil"/>
              <w:bottom w:val="single" w:color="auto" w:sz="4" w:space="0"/>
              <w:right w:val="single" w:color="auto" w:sz="4" w:space="0"/>
            </w:tcBorders>
            <w:noWrap w:val="0"/>
            <w:vAlign w:val="center"/>
          </w:tcPr>
          <w:p w14:paraId="7E1E28CB">
            <w:pPr>
              <w:widowControl/>
              <w:jc w:val="left"/>
              <w:rPr>
                <w:rFonts w:hint="eastAsia" w:ascii="仿宋" w:hAnsi="仿宋" w:eastAsia="仿宋" w:cs="仿宋"/>
                <w:color w:val="auto"/>
                <w:kern w:val="0"/>
                <w:sz w:val="24"/>
                <w:szCs w:val="24"/>
              </w:rPr>
            </w:pPr>
          </w:p>
        </w:tc>
        <w:tc>
          <w:tcPr>
            <w:tcW w:w="620" w:type="dxa"/>
            <w:tcBorders>
              <w:top w:val="single" w:color="auto" w:sz="4" w:space="0"/>
              <w:left w:val="nil"/>
              <w:bottom w:val="single" w:color="auto" w:sz="4" w:space="0"/>
              <w:right w:val="single" w:color="auto" w:sz="4" w:space="0"/>
            </w:tcBorders>
            <w:noWrap w:val="0"/>
            <w:vAlign w:val="center"/>
          </w:tcPr>
          <w:p w14:paraId="5EF618DC">
            <w:pPr>
              <w:widowControl/>
              <w:jc w:val="left"/>
              <w:rPr>
                <w:rFonts w:hint="eastAsia" w:ascii="仿宋" w:hAnsi="仿宋" w:eastAsia="仿宋" w:cs="仿宋"/>
                <w:color w:val="auto"/>
                <w:kern w:val="0"/>
                <w:sz w:val="24"/>
                <w:szCs w:val="24"/>
              </w:rPr>
            </w:pPr>
          </w:p>
        </w:tc>
        <w:tc>
          <w:tcPr>
            <w:tcW w:w="617" w:type="dxa"/>
            <w:tcBorders>
              <w:top w:val="single" w:color="auto" w:sz="4" w:space="0"/>
              <w:left w:val="nil"/>
              <w:bottom w:val="single" w:color="auto" w:sz="4" w:space="0"/>
              <w:right w:val="single" w:color="auto" w:sz="4" w:space="0"/>
            </w:tcBorders>
            <w:noWrap w:val="0"/>
            <w:vAlign w:val="center"/>
          </w:tcPr>
          <w:p w14:paraId="5C86A380">
            <w:pPr>
              <w:widowControl/>
              <w:jc w:val="left"/>
              <w:rPr>
                <w:rFonts w:hint="eastAsia" w:ascii="仿宋" w:hAnsi="仿宋" w:eastAsia="仿宋" w:cs="仿宋"/>
                <w:color w:val="auto"/>
                <w:kern w:val="0"/>
                <w:sz w:val="24"/>
                <w:szCs w:val="24"/>
              </w:rPr>
            </w:pPr>
          </w:p>
        </w:tc>
      </w:tr>
      <w:tr w14:paraId="1A1117E1">
        <w:tblPrEx>
          <w:tblCellMar>
            <w:top w:w="0" w:type="dxa"/>
            <w:left w:w="108" w:type="dxa"/>
            <w:bottom w:w="0" w:type="dxa"/>
            <w:right w:w="108" w:type="dxa"/>
          </w:tblCellMar>
        </w:tblPrEx>
        <w:trPr>
          <w:trHeight w:val="890" w:hRule="atLeast"/>
        </w:trPr>
        <w:tc>
          <w:tcPr>
            <w:tcW w:w="2624" w:type="dxa"/>
            <w:tcBorders>
              <w:top w:val="single" w:color="auto" w:sz="4" w:space="0"/>
              <w:left w:val="single" w:color="auto" w:sz="4" w:space="0"/>
              <w:bottom w:val="single" w:color="auto" w:sz="4" w:space="0"/>
              <w:right w:val="single" w:color="auto" w:sz="4" w:space="0"/>
            </w:tcBorders>
            <w:noWrap w:val="0"/>
            <w:vAlign w:val="center"/>
          </w:tcPr>
          <w:p w14:paraId="79AD7CBA">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响应文件的签署和盖章符合要求（14.2、14.4）</w:t>
            </w:r>
          </w:p>
        </w:tc>
        <w:tc>
          <w:tcPr>
            <w:tcW w:w="4866" w:type="dxa"/>
            <w:tcBorders>
              <w:top w:val="single" w:color="auto" w:sz="4" w:space="0"/>
              <w:left w:val="nil"/>
              <w:bottom w:val="single" w:color="auto" w:sz="4" w:space="0"/>
              <w:right w:val="single" w:color="auto" w:sz="4" w:space="0"/>
            </w:tcBorders>
            <w:noWrap w:val="0"/>
            <w:vAlign w:val="center"/>
          </w:tcPr>
          <w:p w14:paraId="7AB98282">
            <w:pPr>
              <w:widowControl/>
              <w:jc w:val="center"/>
              <w:rPr>
                <w:rFonts w:hint="eastAsia" w:ascii="仿宋" w:hAnsi="仿宋" w:eastAsia="仿宋" w:cs="仿宋"/>
                <w:color w:val="auto"/>
                <w:kern w:val="0"/>
                <w:sz w:val="24"/>
                <w:szCs w:val="24"/>
              </w:rPr>
            </w:pPr>
            <w:r>
              <w:rPr>
                <w:rFonts w:hint="eastAsia" w:ascii="仿宋" w:hAnsi="仿宋" w:eastAsia="仿宋" w:cs="仿宋"/>
                <w:color w:val="auto"/>
                <w:sz w:val="24"/>
                <w:szCs w:val="24"/>
              </w:rPr>
              <w:t>按照</w:t>
            </w:r>
            <w:r>
              <w:rPr>
                <w:rFonts w:hint="eastAsia" w:ascii="仿宋" w:hAnsi="仿宋" w:eastAsia="仿宋" w:cs="仿宋"/>
                <w:color w:val="auto"/>
                <w:sz w:val="24"/>
                <w:szCs w:val="24"/>
                <w:lang w:val="en-US" w:eastAsia="zh-CN"/>
              </w:rPr>
              <w:t>投标</w:t>
            </w:r>
            <w:r>
              <w:rPr>
                <w:rFonts w:hint="eastAsia" w:ascii="仿宋" w:hAnsi="仿宋" w:eastAsia="仿宋" w:cs="仿宋"/>
                <w:color w:val="auto"/>
                <w:sz w:val="24"/>
                <w:szCs w:val="24"/>
              </w:rPr>
              <w:t>文件规定要求签署、盖章。</w:t>
            </w:r>
          </w:p>
        </w:tc>
        <w:tc>
          <w:tcPr>
            <w:tcW w:w="653" w:type="dxa"/>
            <w:tcBorders>
              <w:top w:val="single" w:color="auto" w:sz="4" w:space="0"/>
              <w:left w:val="nil"/>
              <w:bottom w:val="single" w:color="auto" w:sz="4" w:space="0"/>
              <w:right w:val="single" w:color="auto" w:sz="4" w:space="0"/>
            </w:tcBorders>
            <w:noWrap w:val="0"/>
            <w:vAlign w:val="center"/>
          </w:tcPr>
          <w:p w14:paraId="06ABE9B4">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620" w:type="dxa"/>
            <w:tcBorders>
              <w:top w:val="single" w:color="auto" w:sz="4" w:space="0"/>
              <w:left w:val="nil"/>
              <w:bottom w:val="single" w:color="auto" w:sz="4" w:space="0"/>
              <w:right w:val="single" w:color="auto" w:sz="4" w:space="0"/>
            </w:tcBorders>
            <w:noWrap w:val="0"/>
            <w:vAlign w:val="center"/>
          </w:tcPr>
          <w:p w14:paraId="69F8C313">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617" w:type="dxa"/>
            <w:tcBorders>
              <w:top w:val="single" w:color="auto" w:sz="4" w:space="0"/>
              <w:left w:val="nil"/>
              <w:bottom w:val="single" w:color="auto" w:sz="4" w:space="0"/>
              <w:right w:val="single" w:color="auto" w:sz="4" w:space="0"/>
            </w:tcBorders>
            <w:noWrap w:val="0"/>
            <w:vAlign w:val="center"/>
          </w:tcPr>
          <w:p w14:paraId="71FC69ED">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14:paraId="30B2A720">
        <w:tblPrEx>
          <w:tblCellMar>
            <w:top w:w="0" w:type="dxa"/>
            <w:left w:w="108" w:type="dxa"/>
            <w:bottom w:w="0" w:type="dxa"/>
            <w:right w:w="108" w:type="dxa"/>
          </w:tblCellMar>
        </w:tblPrEx>
        <w:trPr>
          <w:trHeight w:val="1322" w:hRule="atLeast"/>
        </w:trPr>
        <w:tc>
          <w:tcPr>
            <w:tcW w:w="2624" w:type="dxa"/>
            <w:tcBorders>
              <w:top w:val="single" w:color="auto" w:sz="4" w:space="0"/>
              <w:left w:val="single" w:color="auto" w:sz="4" w:space="0"/>
              <w:bottom w:val="single" w:color="auto" w:sz="4" w:space="0"/>
              <w:right w:val="single" w:color="auto" w:sz="4" w:space="0"/>
            </w:tcBorders>
            <w:noWrap w:val="0"/>
            <w:vAlign w:val="center"/>
          </w:tcPr>
          <w:p w14:paraId="6FAFB60D">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接受价格的算术修正</w:t>
            </w:r>
          </w:p>
          <w:p w14:paraId="7BEC5E54">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（20.3）</w:t>
            </w:r>
          </w:p>
        </w:tc>
        <w:tc>
          <w:tcPr>
            <w:tcW w:w="4866" w:type="dxa"/>
            <w:tcBorders>
              <w:top w:val="single" w:color="auto" w:sz="4" w:space="0"/>
              <w:left w:val="nil"/>
              <w:bottom w:val="single" w:color="auto" w:sz="4" w:space="0"/>
              <w:right w:val="single" w:color="auto" w:sz="4" w:space="0"/>
            </w:tcBorders>
            <w:noWrap w:val="0"/>
            <w:vAlign w:val="center"/>
          </w:tcPr>
          <w:p w14:paraId="40E8A054">
            <w:pPr>
              <w:widowControl/>
              <w:jc w:val="center"/>
              <w:rPr>
                <w:rFonts w:hint="eastAsia" w:ascii="仿宋" w:hAnsi="仿宋" w:eastAsia="仿宋" w:cs="仿宋"/>
                <w:color w:val="auto"/>
                <w:kern w:val="0"/>
                <w:sz w:val="24"/>
                <w:szCs w:val="24"/>
              </w:rPr>
            </w:pPr>
            <w:r>
              <w:rPr>
                <w:rFonts w:hint="eastAsia" w:ascii="仿宋" w:hAnsi="仿宋" w:eastAsia="仿宋" w:cs="仿宋"/>
                <w:color w:val="auto"/>
                <w:sz w:val="24"/>
                <w:szCs w:val="24"/>
                <w:lang w:val="en-US" w:eastAsia="zh-CN"/>
              </w:rPr>
              <w:t>投标</w:t>
            </w:r>
            <w:r>
              <w:rPr>
                <w:rFonts w:hint="eastAsia" w:ascii="仿宋" w:hAnsi="仿宋" w:eastAsia="仿宋" w:cs="仿宋"/>
                <w:color w:val="auto"/>
                <w:sz w:val="24"/>
                <w:szCs w:val="24"/>
              </w:rPr>
              <w:t>文件报价出现前后不一致的，应按照</w:t>
            </w:r>
            <w:r>
              <w:rPr>
                <w:rFonts w:hint="eastAsia" w:ascii="仿宋" w:hAnsi="仿宋" w:eastAsia="仿宋" w:cs="仿宋"/>
                <w:color w:val="auto"/>
                <w:sz w:val="24"/>
                <w:szCs w:val="24"/>
                <w:lang w:val="en-US" w:eastAsia="zh-CN"/>
              </w:rPr>
              <w:t>招标</w:t>
            </w:r>
            <w:r>
              <w:rPr>
                <w:rFonts w:hint="eastAsia" w:ascii="仿宋" w:hAnsi="仿宋" w:eastAsia="仿宋" w:cs="仿宋"/>
                <w:color w:val="auto"/>
                <w:sz w:val="24"/>
                <w:szCs w:val="24"/>
              </w:rPr>
              <w:t>文件规定的顺序修正。修正后的报价经供应商确认后产生约束力。</w:t>
            </w:r>
          </w:p>
        </w:tc>
        <w:tc>
          <w:tcPr>
            <w:tcW w:w="653" w:type="dxa"/>
            <w:tcBorders>
              <w:top w:val="single" w:color="auto" w:sz="4" w:space="0"/>
              <w:left w:val="nil"/>
              <w:bottom w:val="single" w:color="auto" w:sz="4" w:space="0"/>
              <w:right w:val="single" w:color="auto" w:sz="4" w:space="0"/>
            </w:tcBorders>
            <w:noWrap w:val="0"/>
            <w:vAlign w:val="center"/>
          </w:tcPr>
          <w:p w14:paraId="1AD40444">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620" w:type="dxa"/>
            <w:tcBorders>
              <w:top w:val="single" w:color="auto" w:sz="4" w:space="0"/>
              <w:left w:val="nil"/>
              <w:bottom w:val="single" w:color="auto" w:sz="4" w:space="0"/>
              <w:right w:val="single" w:color="auto" w:sz="4" w:space="0"/>
            </w:tcBorders>
            <w:noWrap w:val="0"/>
            <w:vAlign w:val="center"/>
          </w:tcPr>
          <w:p w14:paraId="652AE199">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617" w:type="dxa"/>
            <w:tcBorders>
              <w:top w:val="single" w:color="auto" w:sz="4" w:space="0"/>
              <w:left w:val="nil"/>
              <w:bottom w:val="single" w:color="auto" w:sz="4" w:space="0"/>
              <w:right w:val="single" w:color="auto" w:sz="4" w:space="0"/>
            </w:tcBorders>
            <w:noWrap w:val="0"/>
            <w:vAlign w:val="center"/>
          </w:tcPr>
          <w:p w14:paraId="56711C24">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14:paraId="7A594880">
        <w:tblPrEx>
          <w:tblCellMar>
            <w:top w:w="0" w:type="dxa"/>
            <w:left w:w="108" w:type="dxa"/>
            <w:bottom w:w="0" w:type="dxa"/>
            <w:right w:w="108" w:type="dxa"/>
          </w:tblCellMar>
        </w:tblPrEx>
        <w:trPr>
          <w:trHeight w:val="490" w:hRule="atLeast"/>
        </w:trPr>
        <w:tc>
          <w:tcPr>
            <w:tcW w:w="7490" w:type="dxa"/>
            <w:gridSpan w:val="2"/>
            <w:tcBorders>
              <w:top w:val="single" w:color="auto" w:sz="4" w:space="0"/>
              <w:left w:val="single" w:color="auto" w:sz="4" w:space="0"/>
              <w:bottom w:val="single" w:color="auto" w:sz="4" w:space="0"/>
              <w:right w:val="single" w:color="auto" w:sz="4" w:space="0"/>
            </w:tcBorders>
            <w:noWrap w:val="0"/>
            <w:vAlign w:val="center"/>
          </w:tcPr>
          <w:p w14:paraId="3B88C54A">
            <w:pPr>
              <w:widowControl/>
              <w:jc w:val="left"/>
              <w:rPr>
                <w:rFonts w:hint="eastAsia" w:ascii="仿宋" w:hAnsi="仿宋" w:eastAsia="仿宋" w:cs="仿宋"/>
                <w:b/>
                <w:color w:val="auto"/>
                <w:sz w:val="24"/>
                <w:szCs w:val="24"/>
              </w:rPr>
            </w:pPr>
            <w:r>
              <w:rPr>
                <w:rFonts w:hint="eastAsia" w:ascii="仿宋" w:hAnsi="仿宋" w:eastAsia="仿宋" w:cs="仿宋"/>
                <w:b/>
                <w:color w:val="auto"/>
                <w:kern w:val="0"/>
                <w:sz w:val="24"/>
                <w:szCs w:val="24"/>
              </w:rPr>
              <w:t>结论:通过评审打“√”，未通过评审打“×”</w:t>
            </w:r>
          </w:p>
        </w:tc>
        <w:tc>
          <w:tcPr>
            <w:tcW w:w="653" w:type="dxa"/>
            <w:tcBorders>
              <w:top w:val="single" w:color="auto" w:sz="4" w:space="0"/>
              <w:left w:val="nil"/>
              <w:bottom w:val="single" w:color="auto" w:sz="4" w:space="0"/>
              <w:right w:val="single" w:color="auto" w:sz="4" w:space="0"/>
            </w:tcBorders>
            <w:noWrap w:val="0"/>
            <w:vAlign w:val="center"/>
          </w:tcPr>
          <w:p w14:paraId="38694572">
            <w:pPr>
              <w:widowControl/>
              <w:jc w:val="center"/>
              <w:rPr>
                <w:rFonts w:hint="eastAsia" w:ascii="仿宋" w:hAnsi="仿宋" w:eastAsia="仿宋" w:cs="仿宋"/>
                <w:color w:val="auto"/>
                <w:kern w:val="0"/>
                <w:sz w:val="24"/>
                <w:szCs w:val="24"/>
              </w:rPr>
            </w:pPr>
          </w:p>
        </w:tc>
        <w:tc>
          <w:tcPr>
            <w:tcW w:w="620" w:type="dxa"/>
            <w:tcBorders>
              <w:top w:val="single" w:color="auto" w:sz="4" w:space="0"/>
              <w:left w:val="nil"/>
              <w:bottom w:val="single" w:color="auto" w:sz="4" w:space="0"/>
              <w:right w:val="single" w:color="auto" w:sz="4" w:space="0"/>
            </w:tcBorders>
            <w:noWrap w:val="0"/>
            <w:vAlign w:val="center"/>
          </w:tcPr>
          <w:p w14:paraId="4879C3E4">
            <w:pPr>
              <w:widowControl/>
              <w:jc w:val="center"/>
              <w:rPr>
                <w:rFonts w:hint="eastAsia" w:ascii="仿宋" w:hAnsi="仿宋" w:eastAsia="仿宋" w:cs="仿宋"/>
                <w:color w:val="auto"/>
                <w:kern w:val="0"/>
                <w:sz w:val="24"/>
                <w:szCs w:val="24"/>
              </w:rPr>
            </w:pPr>
          </w:p>
        </w:tc>
        <w:tc>
          <w:tcPr>
            <w:tcW w:w="617" w:type="dxa"/>
            <w:tcBorders>
              <w:top w:val="single" w:color="auto" w:sz="4" w:space="0"/>
              <w:left w:val="nil"/>
              <w:bottom w:val="single" w:color="auto" w:sz="4" w:space="0"/>
              <w:right w:val="single" w:color="auto" w:sz="4" w:space="0"/>
            </w:tcBorders>
            <w:noWrap w:val="0"/>
            <w:vAlign w:val="center"/>
          </w:tcPr>
          <w:p w14:paraId="3F8E8635">
            <w:pPr>
              <w:widowControl/>
              <w:jc w:val="center"/>
              <w:rPr>
                <w:rFonts w:hint="eastAsia" w:ascii="仿宋" w:hAnsi="仿宋" w:eastAsia="仿宋" w:cs="仿宋"/>
                <w:color w:val="auto"/>
                <w:kern w:val="0"/>
                <w:sz w:val="24"/>
                <w:szCs w:val="24"/>
              </w:rPr>
            </w:pPr>
          </w:p>
        </w:tc>
      </w:tr>
    </w:tbl>
    <w:p w14:paraId="72DC5B8A">
      <w:pPr>
        <w:spacing w:line="360" w:lineRule="auto"/>
        <w:rPr>
          <w:rFonts w:hint="eastAsia" w:ascii="仿宋" w:hAnsi="仿宋" w:eastAsia="仿宋" w:cs="仿宋"/>
          <w:b/>
          <w:bCs/>
          <w:sz w:val="24"/>
          <w:highlight w:val="none"/>
        </w:rPr>
        <w:sectPr>
          <w:pgSz w:w="11907" w:h="16840"/>
          <w:pgMar w:top="1474" w:right="1814" w:bottom="1474" w:left="1814" w:header="851" w:footer="851" w:gutter="0"/>
          <w:pgNumType w:fmt="decimal"/>
          <w:cols w:space="720" w:num="1"/>
          <w:docGrid w:linePitch="462" w:charSpace="0"/>
        </w:sectPr>
      </w:pPr>
      <w:r>
        <w:rPr>
          <w:rFonts w:hint="eastAsia" w:ascii="仿宋" w:hAnsi="仿宋" w:eastAsia="仿宋" w:cs="仿宋"/>
          <w:sz w:val="24"/>
          <w:highlight w:val="none"/>
        </w:rPr>
        <w:t>★</w:t>
      </w:r>
      <w:r>
        <w:rPr>
          <w:rFonts w:hint="eastAsia" w:ascii="仿宋" w:hAnsi="仿宋" w:eastAsia="仿宋" w:cs="仿宋"/>
          <w:b/>
          <w:bCs/>
          <w:sz w:val="24"/>
          <w:highlight w:val="none"/>
        </w:rPr>
        <w:t>备注：如果投标文件中有一项未通过上述审查标准，评标委员会将认定整个投标文件未响应招标文件而予以废标处理。</w:t>
      </w:r>
    </w:p>
    <w:bookmarkEnd w:id="307"/>
    <w:p w14:paraId="21C37010">
      <w:pPr>
        <w:pStyle w:val="11"/>
        <w:spacing w:before="133" w:line="189" w:lineRule="auto"/>
        <w:jc w:val="center"/>
        <w:outlineLvl w:val="1"/>
        <w:rPr>
          <w:b/>
          <w:bCs/>
          <w:spacing w:val="11"/>
          <w:sz w:val="31"/>
          <w:szCs w:val="31"/>
        </w:rPr>
      </w:pPr>
      <w:r>
        <w:rPr>
          <w:b/>
          <w:bCs/>
          <w:spacing w:val="11"/>
          <w:sz w:val="31"/>
          <w:szCs w:val="31"/>
        </w:rPr>
        <w:t>综合评分法评分标准</w:t>
      </w:r>
    </w:p>
    <w:p w14:paraId="12FD5DF9">
      <w:pPr>
        <w:pStyle w:val="11"/>
        <w:spacing w:before="133" w:line="189" w:lineRule="auto"/>
        <w:jc w:val="center"/>
        <w:outlineLvl w:val="1"/>
        <w:rPr>
          <w:b/>
          <w:bCs/>
          <w:spacing w:val="11"/>
          <w:sz w:val="31"/>
          <w:szCs w:val="31"/>
        </w:rPr>
      </w:pPr>
      <w:r>
        <w:rPr>
          <w:b/>
          <w:bCs/>
          <w:spacing w:val="11"/>
          <w:sz w:val="31"/>
          <w:szCs w:val="31"/>
        </w:rPr>
        <w:t>第一</w:t>
      </w:r>
      <w:r>
        <w:rPr>
          <w:rFonts w:hint="eastAsia"/>
          <w:b/>
          <w:bCs/>
          <w:spacing w:val="11"/>
          <w:sz w:val="31"/>
          <w:szCs w:val="31"/>
          <w:lang w:eastAsia="zh-CN"/>
        </w:rPr>
        <w:t>包</w:t>
      </w:r>
    </w:p>
    <w:p w14:paraId="500BF48E">
      <w:pPr>
        <w:pStyle w:val="11"/>
        <w:spacing w:before="133" w:line="189" w:lineRule="auto"/>
        <w:jc w:val="center"/>
        <w:outlineLvl w:val="1"/>
        <w:rPr>
          <w:b/>
          <w:bCs/>
          <w:spacing w:val="11"/>
          <w:sz w:val="31"/>
          <w:szCs w:val="31"/>
        </w:rPr>
      </w:pPr>
    </w:p>
    <w:tbl>
      <w:tblPr>
        <w:tblStyle w:val="90"/>
        <w:tblW w:w="1037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0"/>
        <w:gridCol w:w="1232"/>
        <w:gridCol w:w="600"/>
        <w:gridCol w:w="6402"/>
        <w:gridCol w:w="1291"/>
      </w:tblGrid>
      <w:tr w14:paraId="4E6172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4" w:hRule="atLeast"/>
        </w:trPr>
        <w:tc>
          <w:tcPr>
            <w:tcW w:w="850" w:type="dxa"/>
            <w:vAlign w:val="top"/>
          </w:tcPr>
          <w:p w14:paraId="62811EB5">
            <w:pPr>
              <w:pStyle w:val="89"/>
              <w:spacing w:before="165" w:line="240" w:lineRule="auto"/>
              <w:ind w:left="216"/>
              <w:rPr>
                <w:rFonts w:hint="eastAsia" w:ascii="仿宋" w:hAnsi="仿宋" w:eastAsia="仿宋" w:cs="仿宋"/>
                <w:sz w:val="24"/>
                <w:szCs w:val="24"/>
              </w:rPr>
            </w:pPr>
            <w:r>
              <w:rPr>
                <w:rFonts w:hint="eastAsia" w:ascii="仿宋" w:hAnsi="仿宋" w:eastAsia="仿宋" w:cs="仿宋"/>
                <w:b/>
                <w:bCs/>
                <w:spacing w:val="7"/>
                <w:sz w:val="24"/>
                <w:szCs w:val="24"/>
              </w:rPr>
              <w:t>序号</w:t>
            </w:r>
          </w:p>
        </w:tc>
        <w:tc>
          <w:tcPr>
            <w:tcW w:w="1232" w:type="dxa"/>
            <w:vAlign w:val="center"/>
          </w:tcPr>
          <w:p w14:paraId="0825B8DC">
            <w:pPr>
              <w:pStyle w:val="89"/>
              <w:spacing w:before="35" w:line="240" w:lineRule="auto"/>
              <w:ind w:left="298" w:right="197" w:hanging="103"/>
              <w:jc w:val="center"/>
              <w:rPr>
                <w:rFonts w:hint="eastAsia" w:ascii="仿宋" w:hAnsi="仿宋" w:eastAsia="仿宋" w:cs="仿宋"/>
                <w:sz w:val="24"/>
                <w:szCs w:val="24"/>
              </w:rPr>
            </w:pPr>
            <w:r>
              <w:rPr>
                <w:rFonts w:hint="eastAsia" w:ascii="仿宋" w:hAnsi="仿宋" w:eastAsia="仿宋" w:cs="仿宋"/>
                <w:b/>
                <w:bCs/>
                <w:spacing w:val="8"/>
                <w:sz w:val="24"/>
                <w:szCs w:val="24"/>
              </w:rPr>
              <w:t>评分因素</w:t>
            </w:r>
            <w:r>
              <w:rPr>
                <w:rFonts w:hint="eastAsia" w:ascii="仿宋" w:hAnsi="仿宋" w:eastAsia="仿宋" w:cs="仿宋"/>
                <w:b/>
                <w:bCs/>
                <w:spacing w:val="9"/>
                <w:sz w:val="24"/>
                <w:szCs w:val="24"/>
              </w:rPr>
              <w:t>及权重</w:t>
            </w:r>
          </w:p>
        </w:tc>
        <w:tc>
          <w:tcPr>
            <w:tcW w:w="600" w:type="dxa"/>
            <w:vAlign w:val="center"/>
          </w:tcPr>
          <w:p w14:paraId="128C3531">
            <w:pPr>
              <w:pStyle w:val="89"/>
              <w:spacing w:before="37" w:line="240" w:lineRule="auto"/>
              <w:ind w:left="192"/>
              <w:jc w:val="center"/>
              <w:rPr>
                <w:rFonts w:hint="eastAsia" w:ascii="仿宋" w:hAnsi="仿宋" w:eastAsia="仿宋" w:cs="仿宋"/>
                <w:sz w:val="24"/>
                <w:szCs w:val="24"/>
              </w:rPr>
            </w:pPr>
            <w:r>
              <w:rPr>
                <w:rFonts w:hint="eastAsia" w:ascii="仿宋" w:hAnsi="仿宋" w:eastAsia="仿宋" w:cs="仿宋"/>
                <w:b/>
                <w:bCs/>
                <w:spacing w:val="6"/>
                <w:sz w:val="24"/>
                <w:szCs w:val="24"/>
              </w:rPr>
              <w:t>分</w:t>
            </w:r>
          </w:p>
          <w:p w14:paraId="41D3B6AC">
            <w:pPr>
              <w:pStyle w:val="89"/>
              <w:spacing w:line="240" w:lineRule="auto"/>
              <w:ind w:left="192"/>
              <w:jc w:val="center"/>
              <w:rPr>
                <w:rFonts w:hint="eastAsia" w:ascii="仿宋" w:hAnsi="仿宋" w:eastAsia="仿宋" w:cs="仿宋"/>
                <w:sz w:val="24"/>
                <w:szCs w:val="24"/>
              </w:rPr>
            </w:pPr>
            <w:r>
              <w:rPr>
                <w:rFonts w:hint="eastAsia" w:ascii="仿宋" w:hAnsi="仿宋" w:eastAsia="仿宋" w:cs="仿宋"/>
                <w:b/>
                <w:bCs/>
                <w:spacing w:val="6"/>
                <w:sz w:val="24"/>
                <w:szCs w:val="24"/>
              </w:rPr>
              <w:t>值</w:t>
            </w:r>
          </w:p>
        </w:tc>
        <w:tc>
          <w:tcPr>
            <w:tcW w:w="6402" w:type="dxa"/>
            <w:vAlign w:val="center"/>
          </w:tcPr>
          <w:p w14:paraId="146EEA84">
            <w:pPr>
              <w:pStyle w:val="89"/>
              <w:spacing w:before="34" w:line="240" w:lineRule="auto"/>
              <w:jc w:val="center"/>
              <w:rPr>
                <w:rFonts w:hint="eastAsia" w:ascii="仿宋" w:hAnsi="仿宋" w:eastAsia="仿宋" w:cs="仿宋"/>
                <w:sz w:val="24"/>
                <w:szCs w:val="24"/>
              </w:rPr>
            </w:pPr>
            <w:r>
              <w:rPr>
                <w:rFonts w:hint="eastAsia" w:ascii="仿宋" w:hAnsi="仿宋" w:eastAsia="仿宋" w:cs="仿宋"/>
                <w:b/>
                <w:bCs/>
                <w:spacing w:val="8"/>
                <w:sz w:val="24"/>
                <w:szCs w:val="24"/>
              </w:rPr>
              <w:t>评分标准</w:t>
            </w:r>
          </w:p>
          <w:p w14:paraId="76BF2D0C">
            <w:pPr>
              <w:pStyle w:val="89"/>
              <w:spacing w:before="1" w:line="240" w:lineRule="auto"/>
              <w:jc w:val="center"/>
              <w:rPr>
                <w:rFonts w:hint="eastAsia" w:ascii="仿宋" w:hAnsi="仿宋" w:eastAsia="仿宋" w:cs="仿宋"/>
                <w:sz w:val="24"/>
                <w:szCs w:val="24"/>
              </w:rPr>
            </w:pPr>
            <w:r>
              <w:rPr>
                <w:rFonts w:hint="eastAsia" w:ascii="仿宋" w:hAnsi="仿宋" w:eastAsia="仿宋" w:cs="仿宋"/>
                <w:b/>
                <w:bCs/>
                <w:sz w:val="24"/>
                <w:szCs w:val="24"/>
              </w:rPr>
              <w:t>价格：30分</w:t>
            </w:r>
            <w:r>
              <w:rPr>
                <w:rFonts w:hint="eastAsia" w:cs="仿宋"/>
                <w:b/>
                <w:bCs/>
                <w:sz w:val="24"/>
                <w:szCs w:val="24"/>
                <w:lang w:eastAsia="zh-CN"/>
              </w:rPr>
              <w:t>、</w:t>
            </w:r>
            <w:r>
              <w:rPr>
                <w:rFonts w:hint="eastAsia" w:ascii="仿宋" w:hAnsi="仿宋" w:eastAsia="仿宋" w:cs="仿宋"/>
                <w:b/>
                <w:bCs/>
                <w:sz w:val="24"/>
                <w:szCs w:val="24"/>
              </w:rPr>
              <w:t>商务及技术：70分</w:t>
            </w:r>
          </w:p>
        </w:tc>
        <w:tc>
          <w:tcPr>
            <w:tcW w:w="1291" w:type="dxa"/>
            <w:vAlign w:val="top"/>
          </w:tcPr>
          <w:p w14:paraId="2052D54E">
            <w:pPr>
              <w:pStyle w:val="89"/>
              <w:spacing w:before="165" w:line="240" w:lineRule="auto"/>
              <w:ind w:left="434"/>
              <w:rPr>
                <w:rFonts w:hint="eastAsia" w:ascii="仿宋" w:hAnsi="仿宋" w:eastAsia="仿宋" w:cs="仿宋"/>
                <w:sz w:val="24"/>
                <w:szCs w:val="24"/>
              </w:rPr>
            </w:pPr>
            <w:r>
              <w:rPr>
                <w:rFonts w:hint="eastAsia" w:ascii="仿宋" w:hAnsi="仿宋" w:eastAsia="仿宋" w:cs="仿宋"/>
                <w:b/>
                <w:bCs/>
                <w:spacing w:val="7"/>
                <w:sz w:val="24"/>
                <w:szCs w:val="24"/>
              </w:rPr>
              <w:t>说明</w:t>
            </w:r>
          </w:p>
        </w:tc>
      </w:tr>
      <w:tr w14:paraId="001E0D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4" w:hRule="atLeast"/>
        </w:trPr>
        <w:tc>
          <w:tcPr>
            <w:tcW w:w="850" w:type="dxa"/>
            <w:vAlign w:val="top"/>
          </w:tcPr>
          <w:p w14:paraId="5660DC98">
            <w:pPr>
              <w:spacing w:line="240" w:lineRule="auto"/>
              <w:rPr>
                <w:rFonts w:hint="eastAsia" w:ascii="仿宋" w:hAnsi="仿宋" w:eastAsia="仿宋" w:cs="仿宋"/>
                <w:sz w:val="24"/>
                <w:szCs w:val="24"/>
              </w:rPr>
            </w:pPr>
          </w:p>
          <w:p w14:paraId="4B105C4B">
            <w:pPr>
              <w:pStyle w:val="89"/>
              <w:spacing w:before="86" w:line="240" w:lineRule="auto"/>
              <w:ind w:left="110"/>
              <w:rPr>
                <w:rFonts w:hint="eastAsia" w:ascii="仿宋" w:hAnsi="仿宋" w:eastAsia="仿宋" w:cs="仿宋"/>
                <w:sz w:val="24"/>
                <w:szCs w:val="24"/>
              </w:rPr>
            </w:pPr>
            <w:r>
              <w:rPr>
                <w:rFonts w:hint="eastAsia" w:ascii="仿宋" w:hAnsi="仿宋" w:eastAsia="仿宋" w:cs="仿宋"/>
                <w:b/>
                <w:bCs/>
                <w:spacing w:val="8"/>
                <w:sz w:val="24"/>
                <w:szCs w:val="24"/>
              </w:rPr>
              <w:t>价格评</w:t>
            </w:r>
          </w:p>
          <w:p w14:paraId="72137705">
            <w:pPr>
              <w:pStyle w:val="89"/>
              <w:spacing w:before="1" w:line="240" w:lineRule="auto"/>
              <w:ind w:left="109"/>
              <w:rPr>
                <w:rFonts w:hint="eastAsia" w:ascii="仿宋" w:hAnsi="仿宋" w:eastAsia="仿宋" w:cs="仿宋"/>
                <w:sz w:val="24"/>
                <w:szCs w:val="24"/>
              </w:rPr>
            </w:pPr>
            <w:r>
              <w:rPr>
                <w:rFonts w:hint="eastAsia" w:ascii="仿宋" w:hAnsi="仿宋" w:eastAsia="仿宋" w:cs="仿宋"/>
                <w:b/>
                <w:bCs/>
                <w:spacing w:val="8"/>
                <w:sz w:val="24"/>
                <w:szCs w:val="24"/>
              </w:rPr>
              <w:t>分标准</w:t>
            </w:r>
          </w:p>
        </w:tc>
        <w:tc>
          <w:tcPr>
            <w:tcW w:w="1232" w:type="dxa"/>
            <w:vAlign w:val="center"/>
          </w:tcPr>
          <w:p w14:paraId="4E91904B">
            <w:pPr>
              <w:pStyle w:val="89"/>
              <w:spacing w:before="86" w:line="240" w:lineRule="auto"/>
              <w:ind w:left="194"/>
              <w:jc w:val="center"/>
              <w:rPr>
                <w:rFonts w:hint="eastAsia" w:ascii="仿宋" w:hAnsi="仿宋" w:eastAsia="仿宋" w:cs="仿宋"/>
                <w:sz w:val="24"/>
                <w:szCs w:val="24"/>
              </w:rPr>
            </w:pPr>
            <w:r>
              <w:rPr>
                <w:rFonts w:hint="eastAsia" w:ascii="仿宋" w:hAnsi="仿宋" w:eastAsia="仿宋" w:cs="仿宋"/>
                <w:spacing w:val="8"/>
                <w:sz w:val="24"/>
                <w:szCs w:val="24"/>
              </w:rPr>
              <w:t>投标报价</w:t>
            </w:r>
          </w:p>
        </w:tc>
        <w:tc>
          <w:tcPr>
            <w:tcW w:w="600" w:type="dxa"/>
            <w:vAlign w:val="top"/>
          </w:tcPr>
          <w:p w14:paraId="25FE0180">
            <w:pPr>
              <w:spacing w:line="240" w:lineRule="auto"/>
              <w:rPr>
                <w:rFonts w:hint="eastAsia" w:ascii="仿宋" w:hAnsi="仿宋" w:eastAsia="仿宋" w:cs="仿宋"/>
                <w:sz w:val="24"/>
                <w:szCs w:val="24"/>
              </w:rPr>
            </w:pPr>
          </w:p>
          <w:p w14:paraId="4A48DFDE">
            <w:pPr>
              <w:pStyle w:val="89"/>
              <w:spacing w:before="85" w:line="240" w:lineRule="auto"/>
              <w:ind w:left="188"/>
              <w:rPr>
                <w:rFonts w:hint="eastAsia" w:ascii="仿宋" w:hAnsi="仿宋" w:eastAsia="仿宋" w:cs="仿宋"/>
                <w:sz w:val="24"/>
                <w:szCs w:val="24"/>
              </w:rPr>
            </w:pPr>
            <w:r>
              <w:rPr>
                <w:rFonts w:hint="eastAsia" w:ascii="仿宋" w:hAnsi="仿宋" w:eastAsia="仿宋" w:cs="仿宋"/>
                <w:spacing w:val="-3"/>
                <w:position w:val="3"/>
                <w:sz w:val="24"/>
                <w:szCs w:val="24"/>
              </w:rPr>
              <w:t>30</w:t>
            </w:r>
          </w:p>
        </w:tc>
        <w:tc>
          <w:tcPr>
            <w:tcW w:w="6402" w:type="dxa"/>
            <w:vAlign w:val="top"/>
          </w:tcPr>
          <w:p w14:paraId="432D42A0">
            <w:pPr>
              <w:pStyle w:val="89"/>
              <w:spacing w:before="27" w:line="240" w:lineRule="auto"/>
              <w:ind w:left="106" w:right="203" w:firstLine="1"/>
              <w:jc w:val="both"/>
              <w:rPr>
                <w:rFonts w:hint="eastAsia" w:ascii="仿宋" w:hAnsi="仿宋" w:eastAsia="仿宋" w:cs="仿宋"/>
                <w:sz w:val="24"/>
                <w:szCs w:val="24"/>
              </w:rPr>
            </w:pPr>
            <w:r>
              <w:rPr>
                <w:rFonts w:hint="eastAsia" w:ascii="仿宋" w:hAnsi="仿宋" w:eastAsia="仿宋" w:cs="仿宋"/>
                <w:spacing w:val="7"/>
                <w:sz w:val="24"/>
                <w:szCs w:val="24"/>
              </w:rPr>
              <w:t>完全满足招标文件参数的投标报价中的最低价为评审基准价，按照</w:t>
            </w:r>
            <w:r>
              <w:rPr>
                <w:rFonts w:hint="eastAsia" w:ascii="仿宋" w:hAnsi="仿宋" w:eastAsia="仿宋" w:cs="仿宋"/>
                <w:spacing w:val="12"/>
                <w:sz w:val="24"/>
                <w:szCs w:val="24"/>
              </w:rPr>
              <w:t>下列公式计算每个供应商的投标价格得分。投标报价得分</w:t>
            </w:r>
            <w:r>
              <w:rPr>
                <w:rFonts w:hint="eastAsia" w:ascii="仿宋" w:hAnsi="仿宋" w:eastAsia="仿宋" w:cs="仿宋"/>
                <w:spacing w:val="-20"/>
                <w:sz w:val="24"/>
                <w:szCs w:val="24"/>
              </w:rPr>
              <w:t>＝（</w:t>
            </w:r>
            <w:r>
              <w:rPr>
                <w:rFonts w:hint="eastAsia" w:ascii="仿宋" w:hAnsi="仿宋" w:eastAsia="仿宋" w:cs="仿宋"/>
                <w:spacing w:val="12"/>
                <w:sz w:val="24"/>
                <w:szCs w:val="24"/>
              </w:rPr>
              <w:t>基准</w:t>
            </w:r>
            <w:r>
              <w:rPr>
                <w:rFonts w:hint="eastAsia" w:ascii="仿宋" w:hAnsi="仿宋" w:eastAsia="仿宋" w:cs="仿宋"/>
                <w:spacing w:val="2"/>
                <w:sz w:val="24"/>
                <w:szCs w:val="24"/>
              </w:rPr>
              <w:t>价/投标报价）×价格权重×100。</w:t>
            </w:r>
          </w:p>
          <w:p w14:paraId="68FAA621">
            <w:pPr>
              <w:pStyle w:val="89"/>
              <w:spacing w:before="2" w:line="240" w:lineRule="auto"/>
              <w:ind w:left="108" w:right="204" w:hanging="24"/>
              <w:rPr>
                <w:rFonts w:hint="eastAsia" w:ascii="仿宋" w:hAnsi="仿宋" w:eastAsia="仿宋" w:cs="仿宋"/>
                <w:sz w:val="24"/>
                <w:szCs w:val="24"/>
              </w:rPr>
            </w:pPr>
            <w:r>
              <w:rPr>
                <w:rFonts w:hint="eastAsia" w:ascii="仿宋" w:hAnsi="仿宋" w:eastAsia="仿宋" w:cs="仿宋"/>
                <w:b/>
                <w:bCs/>
                <w:spacing w:val="6"/>
                <w:sz w:val="24"/>
                <w:szCs w:val="24"/>
              </w:rPr>
              <w:t>（注：本项目不专门面向中小企业，供应商所投货物均为小型或微</w:t>
            </w:r>
            <w:r>
              <w:rPr>
                <w:rFonts w:hint="eastAsia" w:ascii="仿宋" w:hAnsi="仿宋" w:eastAsia="仿宋" w:cs="仿宋"/>
                <w:b/>
                <w:bCs/>
                <w:spacing w:val="8"/>
                <w:sz w:val="24"/>
                <w:szCs w:val="24"/>
              </w:rPr>
              <w:t>型企业生产的可享受10%的价格扣除后</w:t>
            </w:r>
            <w:r>
              <w:rPr>
                <w:rFonts w:hint="eastAsia" w:ascii="仿宋" w:hAnsi="仿宋" w:eastAsia="仿宋" w:cs="仿宋"/>
                <w:b/>
                <w:bCs/>
                <w:spacing w:val="7"/>
                <w:sz w:val="24"/>
                <w:szCs w:val="24"/>
              </w:rPr>
              <w:t>参与评审。）</w:t>
            </w:r>
          </w:p>
        </w:tc>
        <w:tc>
          <w:tcPr>
            <w:tcW w:w="1291" w:type="dxa"/>
            <w:vAlign w:val="top"/>
          </w:tcPr>
          <w:p w14:paraId="4315D8D6">
            <w:pPr>
              <w:pStyle w:val="89"/>
              <w:spacing w:before="163" w:line="240" w:lineRule="auto"/>
              <w:ind w:left="110"/>
              <w:rPr>
                <w:rFonts w:hint="eastAsia" w:ascii="仿宋" w:hAnsi="仿宋" w:eastAsia="仿宋" w:cs="仿宋"/>
                <w:sz w:val="24"/>
                <w:szCs w:val="24"/>
              </w:rPr>
            </w:pPr>
            <w:r>
              <w:rPr>
                <w:rFonts w:hint="eastAsia" w:ascii="仿宋" w:hAnsi="仿宋" w:eastAsia="仿宋" w:cs="仿宋"/>
                <w:spacing w:val="13"/>
                <w:sz w:val="24"/>
                <w:szCs w:val="24"/>
              </w:rPr>
              <w:t>投标报价超过采购</w:t>
            </w:r>
            <w:r>
              <w:rPr>
                <w:rFonts w:hint="eastAsia" w:cs="仿宋"/>
                <w:spacing w:val="13"/>
                <w:sz w:val="24"/>
                <w:szCs w:val="24"/>
                <w:lang w:eastAsia="zh-CN"/>
              </w:rPr>
              <w:t>最高限价</w:t>
            </w:r>
            <w:r>
              <w:rPr>
                <w:rFonts w:hint="eastAsia" w:ascii="仿宋" w:hAnsi="仿宋" w:eastAsia="仿宋" w:cs="仿宋"/>
                <w:spacing w:val="13"/>
                <w:sz w:val="24"/>
                <w:szCs w:val="24"/>
              </w:rPr>
              <w:t>的按废标</w:t>
            </w:r>
            <w:r>
              <w:rPr>
                <w:rFonts w:hint="eastAsia" w:ascii="仿宋" w:hAnsi="仿宋" w:eastAsia="仿宋" w:cs="仿宋"/>
                <w:spacing w:val="8"/>
                <w:sz w:val="24"/>
                <w:szCs w:val="24"/>
              </w:rPr>
              <w:t>处理</w:t>
            </w:r>
          </w:p>
        </w:tc>
      </w:tr>
      <w:tr w14:paraId="012423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3" w:hRule="atLeast"/>
        </w:trPr>
        <w:tc>
          <w:tcPr>
            <w:tcW w:w="850" w:type="dxa"/>
            <w:vAlign w:val="top"/>
          </w:tcPr>
          <w:p w14:paraId="3612DA18">
            <w:pPr>
              <w:spacing w:line="240" w:lineRule="auto"/>
              <w:rPr>
                <w:rFonts w:hint="eastAsia" w:ascii="仿宋" w:hAnsi="仿宋" w:eastAsia="仿宋" w:cs="仿宋"/>
                <w:sz w:val="24"/>
                <w:szCs w:val="24"/>
              </w:rPr>
            </w:pPr>
          </w:p>
        </w:tc>
        <w:tc>
          <w:tcPr>
            <w:tcW w:w="1232" w:type="dxa"/>
            <w:vAlign w:val="top"/>
          </w:tcPr>
          <w:p w14:paraId="17A970C1">
            <w:pPr>
              <w:spacing w:line="240" w:lineRule="auto"/>
              <w:rPr>
                <w:rFonts w:hint="eastAsia" w:ascii="仿宋" w:hAnsi="仿宋" w:eastAsia="仿宋" w:cs="仿宋"/>
                <w:sz w:val="24"/>
                <w:szCs w:val="24"/>
              </w:rPr>
            </w:pPr>
          </w:p>
          <w:p w14:paraId="4F4C359B">
            <w:pPr>
              <w:spacing w:line="240" w:lineRule="auto"/>
              <w:rPr>
                <w:rFonts w:hint="eastAsia" w:ascii="仿宋" w:hAnsi="仿宋" w:eastAsia="仿宋" w:cs="仿宋"/>
                <w:sz w:val="24"/>
                <w:szCs w:val="24"/>
              </w:rPr>
            </w:pPr>
          </w:p>
          <w:p w14:paraId="5A4A7333">
            <w:pPr>
              <w:spacing w:line="240" w:lineRule="auto"/>
              <w:rPr>
                <w:rFonts w:hint="eastAsia" w:ascii="仿宋" w:hAnsi="仿宋" w:eastAsia="仿宋" w:cs="仿宋"/>
                <w:sz w:val="24"/>
                <w:szCs w:val="24"/>
              </w:rPr>
            </w:pPr>
          </w:p>
          <w:p w14:paraId="589E54DA">
            <w:pPr>
              <w:spacing w:line="240" w:lineRule="auto"/>
              <w:rPr>
                <w:rFonts w:hint="eastAsia" w:ascii="仿宋" w:hAnsi="仿宋" w:eastAsia="仿宋" w:cs="仿宋"/>
                <w:sz w:val="24"/>
                <w:szCs w:val="24"/>
              </w:rPr>
            </w:pPr>
          </w:p>
          <w:p w14:paraId="76698602">
            <w:pPr>
              <w:pStyle w:val="89"/>
              <w:spacing w:before="85" w:line="240" w:lineRule="auto"/>
              <w:ind w:left="194"/>
              <w:rPr>
                <w:rFonts w:hint="eastAsia" w:ascii="仿宋" w:hAnsi="仿宋" w:eastAsia="仿宋" w:cs="仿宋"/>
                <w:sz w:val="24"/>
                <w:szCs w:val="24"/>
              </w:rPr>
            </w:pPr>
            <w:r>
              <w:rPr>
                <w:rFonts w:hint="eastAsia" w:ascii="仿宋" w:hAnsi="仿宋" w:eastAsia="仿宋" w:cs="仿宋"/>
                <w:spacing w:val="8"/>
                <w:sz w:val="24"/>
                <w:szCs w:val="24"/>
              </w:rPr>
              <w:t>检测报告</w:t>
            </w:r>
          </w:p>
        </w:tc>
        <w:tc>
          <w:tcPr>
            <w:tcW w:w="600" w:type="dxa"/>
            <w:vAlign w:val="top"/>
          </w:tcPr>
          <w:p w14:paraId="18A1152D">
            <w:pPr>
              <w:spacing w:line="240" w:lineRule="auto"/>
              <w:rPr>
                <w:rFonts w:hint="eastAsia" w:ascii="仿宋" w:hAnsi="仿宋" w:eastAsia="仿宋" w:cs="仿宋"/>
                <w:sz w:val="24"/>
                <w:szCs w:val="24"/>
              </w:rPr>
            </w:pPr>
          </w:p>
          <w:p w14:paraId="6413161B">
            <w:pPr>
              <w:spacing w:line="240" w:lineRule="auto"/>
              <w:rPr>
                <w:rFonts w:hint="eastAsia" w:ascii="仿宋" w:hAnsi="仿宋" w:eastAsia="仿宋" w:cs="仿宋"/>
                <w:sz w:val="24"/>
                <w:szCs w:val="24"/>
              </w:rPr>
            </w:pPr>
          </w:p>
          <w:p w14:paraId="5EBA201E">
            <w:pPr>
              <w:spacing w:line="240" w:lineRule="auto"/>
              <w:rPr>
                <w:rFonts w:hint="eastAsia" w:ascii="仿宋" w:hAnsi="仿宋" w:eastAsia="仿宋" w:cs="仿宋"/>
                <w:sz w:val="24"/>
                <w:szCs w:val="24"/>
              </w:rPr>
            </w:pPr>
          </w:p>
          <w:p w14:paraId="63FA5858">
            <w:pPr>
              <w:pStyle w:val="89"/>
              <w:spacing w:before="85" w:line="240" w:lineRule="auto"/>
              <w:ind w:left="235"/>
              <w:rPr>
                <w:rFonts w:hint="eastAsia" w:ascii="仿宋" w:hAnsi="仿宋" w:eastAsia="仿宋" w:cs="仿宋"/>
                <w:sz w:val="24"/>
                <w:szCs w:val="24"/>
              </w:rPr>
            </w:pPr>
            <w:r>
              <w:rPr>
                <w:rFonts w:hint="eastAsia" w:ascii="仿宋" w:hAnsi="仿宋" w:eastAsia="仿宋" w:cs="仿宋"/>
                <w:spacing w:val="3"/>
                <w:position w:val="3"/>
                <w:sz w:val="24"/>
                <w:szCs w:val="24"/>
              </w:rPr>
              <w:t>4</w:t>
            </w:r>
          </w:p>
        </w:tc>
        <w:tc>
          <w:tcPr>
            <w:tcW w:w="6402" w:type="dxa"/>
            <w:vAlign w:val="top"/>
          </w:tcPr>
          <w:p w14:paraId="5E050204">
            <w:pPr>
              <w:pStyle w:val="89"/>
              <w:spacing w:line="240" w:lineRule="auto"/>
              <w:ind w:left="106" w:right="105"/>
              <w:jc w:val="both"/>
              <w:rPr>
                <w:rFonts w:hint="eastAsia" w:ascii="仿宋" w:hAnsi="仿宋" w:eastAsia="仿宋" w:cs="仿宋"/>
                <w:sz w:val="24"/>
                <w:szCs w:val="24"/>
              </w:rPr>
            </w:pPr>
            <w:r>
              <w:rPr>
                <w:rFonts w:hint="eastAsia" w:ascii="仿宋" w:hAnsi="仿宋" w:eastAsia="仿宋" w:cs="仿宋"/>
                <w:spacing w:val="13"/>
                <w:sz w:val="24"/>
                <w:szCs w:val="24"/>
              </w:rPr>
              <w:t>投标人提供符合《中华人民共和国食品安全法》要求的</w:t>
            </w:r>
            <w:r>
              <w:rPr>
                <w:rFonts w:hint="eastAsia" w:ascii="仿宋" w:hAnsi="仿宋" w:eastAsia="仿宋" w:cs="仿宋"/>
                <w:spacing w:val="8"/>
                <w:sz w:val="24"/>
                <w:szCs w:val="24"/>
              </w:rPr>
              <w:t>食品检测机构出具的检测报告，提供的报告无缺页漏页，质量检测结果必须是合格的，并且检测报告结果符合参数要求，不得</w:t>
            </w:r>
            <w:r>
              <w:rPr>
                <w:rFonts w:hint="eastAsia" w:ascii="仿宋" w:hAnsi="仿宋" w:eastAsia="仿宋" w:cs="仿宋"/>
                <w:spacing w:val="6"/>
                <w:sz w:val="24"/>
                <w:szCs w:val="24"/>
              </w:rPr>
              <w:t>提供虚假检验检测报告，提供得4分。否则不得分。</w:t>
            </w:r>
          </w:p>
          <w:p w14:paraId="7B955017">
            <w:pPr>
              <w:pStyle w:val="89"/>
              <w:spacing w:before="3" w:line="240" w:lineRule="auto"/>
              <w:ind w:left="106"/>
              <w:jc w:val="both"/>
              <w:rPr>
                <w:rFonts w:hint="eastAsia" w:ascii="仿宋" w:hAnsi="仿宋" w:eastAsia="仿宋" w:cs="仿宋"/>
                <w:sz w:val="24"/>
                <w:szCs w:val="24"/>
                <w:lang w:eastAsia="zh-CN"/>
              </w:rPr>
            </w:pPr>
            <w:r>
              <w:rPr>
                <w:rFonts w:hint="eastAsia" w:ascii="仿宋" w:hAnsi="仿宋" w:eastAsia="仿宋" w:cs="仿宋"/>
                <w:b/>
                <w:bCs/>
                <w:spacing w:val="10"/>
                <w:sz w:val="24"/>
                <w:szCs w:val="24"/>
              </w:rPr>
              <w:t>备注：并提供检测机构的检测报告复印件（检测机构盖章</w:t>
            </w:r>
            <w:r>
              <w:rPr>
                <w:rFonts w:hint="eastAsia" w:ascii="仿宋" w:hAnsi="仿宋" w:eastAsia="仿宋" w:cs="仿宋"/>
                <w:b/>
                <w:bCs/>
                <w:spacing w:val="-19"/>
                <w:sz w:val="24"/>
                <w:szCs w:val="24"/>
              </w:rPr>
              <w:t>），</w:t>
            </w:r>
            <w:r>
              <w:rPr>
                <w:rFonts w:hint="eastAsia" w:ascii="仿宋" w:hAnsi="仿宋" w:eastAsia="仿宋" w:cs="仿宋"/>
                <w:b/>
                <w:bCs/>
                <w:spacing w:val="10"/>
                <w:sz w:val="24"/>
                <w:szCs w:val="24"/>
              </w:rPr>
              <w:t>提供产品保质期内的检测报告，所投产品提供的检测报告日期为自开标</w:t>
            </w:r>
            <w:r>
              <w:rPr>
                <w:rFonts w:hint="eastAsia" w:ascii="仿宋" w:hAnsi="仿宋" w:eastAsia="仿宋" w:cs="仿宋"/>
                <w:b/>
                <w:bCs/>
                <w:spacing w:val="8"/>
                <w:sz w:val="24"/>
                <w:szCs w:val="24"/>
              </w:rPr>
              <w:t>日前有效期1年内的，其中鸡蛋、牛奶、</w:t>
            </w:r>
            <w:r>
              <w:rPr>
                <w:rFonts w:hint="eastAsia" w:cs="仿宋"/>
                <w:b/>
                <w:bCs/>
                <w:spacing w:val="8"/>
                <w:sz w:val="24"/>
                <w:szCs w:val="24"/>
                <w:lang w:eastAsia="zh-CN"/>
              </w:rPr>
              <w:t>馕、酸奶</w:t>
            </w:r>
            <w:r>
              <w:rPr>
                <w:rFonts w:hint="eastAsia" w:ascii="仿宋" w:hAnsi="仿宋" w:eastAsia="仿宋" w:cs="仿宋"/>
                <w:b/>
                <w:bCs/>
                <w:spacing w:val="8"/>
                <w:sz w:val="24"/>
                <w:szCs w:val="24"/>
              </w:rPr>
              <w:t>提供</w:t>
            </w:r>
            <w:r>
              <w:rPr>
                <w:rFonts w:hint="eastAsia" w:ascii="仿宋" w:hAnsi="仿宋" w:eastAsia="仿宋" w:cs="仿宋"/>
                <w:b/>
                <w:bCs/>
                <w:spacing w:val="7"/>
                <w:sz w:val="24"/>
                <w:szCs w:val="24"/>
              </w:rPr>
              <w:t>的检测报告日</w:t>
            </w:r>
            <w:r>
              <w:rPr>
                <w:rFonts w:hint="eastAsia" w:ascii="仿宋" w:hAnsi="仿宋" w:eastAsia="仿宋" w:cs="仿宋"/>
                <w:b/>
                <w:bCs/>
                <w:spacing w:val="4"/>
                <w:sz w:val="24"/>
                <w:szCs w:val="24"/>
              </w:rPr>
              <w:t>期为自开标日前6个月之内，投标文件里可放与原</w:t>
            </w:r>
            <w:r>
              <w:rPr>
                <w:rFonts w:hint="eastAsia" w:ascii="仿宋" w:hAnsi="仿宋" w:eastAsia="仿宋" w:cs="仿宋"/>
                <w:b/>
                <w:bCs/>
                <w:spacing w:val="3"/>
                <w:sz w:val="24"/>
                <w:szCs w:val="24"/>
              </w:rPr>
              <w:t>件相符的复印件，</w:t>
            </w:r>
            <w:r>
              <w:rPr>
                <w:rFonts w:hint="eastAsia" w:ascii="仿宋" w:hAnsi="仿宋" w:eastAsia="仿宋" w:cs="仿宋"/>
                <w:b/>
                <w:bCs/>
                <w:spacing w:val="8"/>
                <w:sz w:val="24"/>
                <w:szCs w:val="24"/>
              </w:rPr>
              <w:t>复印件加盖投标人公章。</w:t>
            </w:r>
            <w:r>
              <w:rPr>
                <w:rFonts w:hint="eastAsia" w:cs="仿宋"/>
                <w:b/>
                <w:bCs/>
                <w:spacing w:val="8"/>
                <w:sz w:val="24"/>
                <w:szCs w:val="24"/>
                <w:lang w:eastAsia="zh-CN"/>
              </w:rPr>
              <w:t>不提供或提供不全不得分。</w:t>
            </w:r>
          </w:p>
        </w:tc>
        <w:tc>
          <w:tcPr>
            <w:tcW w:w="1291" w:type="dxa"/>
            <w:vAlign w:val="top"/>
          </w:tcPr>
          <w:p w14:paraId="686635A1">
            <w:pPr>
              <w:spacing w:line="240" w:lineRule="auto"/>
              <w:rPr>
                <w:rFonts w:hint="eastAsia" w:ascii="仿宋" w:hAnsi="仿宋" w:eastAsia="仿宋" w:cs="仿宋"/>
                <w:sz w:val="24"/>
                <w:szCs w:val="24"/>
              </w:rPr>
            </w:pPr>
          </w:p>
        </w:tc>
      </w:tr>
      <w:tr w14:paraId="467C9B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4" w:hRule="atLeast"/>
        </w:trPr>
        <w:tc>
          <w:tcPr>
            <w:tcW w:w="850" w:type="dxa"/>
            <w:vMerge w:val="restart"/>
            <w:tcBorders>
              <w:bottom w:val="nil"/>
            </w:tcBorders>
            <w:vAlign w:val="top"/>
          </w:tcPr>
          <w:p w14:paraId="68E50A28">
            <w:pPr>
              <w:spacing w:line="240" w:lineRule="auto"/>
              <w:rPr>
                <w:rFonts w:hint="eastAsia" w:ascii="仿宋" w:hAnsi="仿宋" w:eastAsia="仿宋" w:cs="仿宋"/>
                <w:sz w:val="24"/>
                <w:szCs w:val="24"/>
              </w:rPr>
            </w:pPr>
          </w:p>
          <w:p w14:paraId="6982EDDF">
            <w:pPr>
              <w:spacing w:line="240" w:lineRule="auto"/>
              <w:rPr>
                <w:rFonts w:hint="eastAsia" w:ascii="仿宋" w:hAnsi="仿宋" w:eastAsia="仿宋" w:cs="仿宋"/>
                <w:sz w:val="24"/>
                <w:szCs w:val="24"/>
              </w:rPr>
            </w:pPr>
          </w:p>
          <w:p w14:paraId="3AFA5DE8">
            <w:pPr>
              <w:spacing w:line="240" w:lineRule="auto"/>
              <w:rPr>
                <w:rFonts w:hint="eastAsia" w:ascii="仿宋" w:hAnsi="仿宋" w:eastAsia="仿宋" w:cs="仿宋"/>
                <w:sz w:val="24"/>
                <w:szCs w:val="24"/>
              </w:rPr>
            </w:pPr>
          </w:p>
          <w:p w14:paraId="678EC031">
            <w:pPr>
              <w:spacing w:line="240" w:lineRule="auto"/>
              <w:rPr>
                <w:rFonts w:hint="eastAsia" w:ascii="仿宋" w:hAnsi="仿宋" w:eastAsia="仿宋" w:cs="仿宋"/>
                <w:sz w:val="24"/>
                <w:szCs w:val="24"/>
              </w:rPr>
            </w:pPr>
          </w:p>
          <w:p w14:paraId="6DC13BDF">
            <w:pPr>
              <w:spacing w:line="240" w:lineRule="auto"/>
              <w:rPr>
                <w:rFonts w:hint="eastAsia" w:ascii="仿宋" w:hAnsi="仿宋" w:eastAsia="仿宋" w:cs="仿宋"/>
                <w:sz w:val="24"/>
                <w:szCs w:val="24"/>
              </w:rPr>
            </w:pPr>
          </w:p>
          <w:p w14:paraId="24AE492A">
            <w:pPr>
              <w:spacing w:line="240" w:lineRule="auto"/>
              <w:rPr>
                <w:rFonts w:hint="eastAsia" w:ascii="仿宋" w:hAnsi="仿宋" w:eastAsia="仿宋" w:cs="仿宋"/>
                <w:sz w:val="24"/>
                <w:szCs w:val="24"/>
              </w:rPr>
            </w:pPr>
          </w:p>
          <w:p w14:paraId="16142E1B">
            <w:pPr>
              <w:spacing w:line="240" w:lineRule="auto"/>
              <w:rPr>
                <w:rFonts w:hint="eastAsia" w:ascii="仿宋" w:hAnsi="仿宋" w:eastAsia="仿宋" w:cs="仿宋"/>
                <w:sz w:val="24"/>
                <w:szCs w:val="24"/>
              </w:rPr>
            </w:pPr>
          </w:p>
          <w:p w14:paraId="52502759">
            <w:pPr>
              <w:spacing w:line="240" w:lineRule="auto"/>
              <w:rPr>
                <w:rFonts w:hint="eastAsia" w:ascii="仿宋" w:hAnsi="仿宋" w:eastAsia="仿宋" w:cs="仿宋"/>
                <w:sz w:val="24"/>
                <w:szCs w:val="24"/>
              </w:rPr>
            </w:pPr>
          </w:p>
          <w:p w14:paraId="556048DB">
            <w:pPr>
              <w:spacing w:line="240" w:lineRule="auto"/>
              <w:rPr>
                <w:rFonts w:hint="eastAsia" w:ascii="仿宋" w:hAnsi="仿宋" w:eastAsia="仿宋" w:cs="仿宋"/>
                <w:sz w:val="24"/>
                <w:szCs w:val="24"/>
              </w:rPr>
            </w:pPr>
          </w:p>
          <w:p w14:paraId="5B800480">
            <w:pPr>
              <w:spacing w:line="240" w:lineRule="auto"/>
              <w:rPr>
                <w:rFonts w:hint="eastAsia" w:ascii="仿宋" w:hAnsi="仿宋" w:eastAsia="仿宋" w:cs="仿宋"/>
                <w:sz w:val="24"/>
                <w:szCs w:val="24"/>
              </w:rPr>
            </w:pPr>
          </w:p>
          <w:p w14:paraId="08FEA957">
            <w:pPr>
              <w:spacing w:line="240" w:lineRule="auto"/>
              <w:rPr>
                <w:rFonts w:hint="eastAsia" w:ascii="仿宋" w:hAnsi="仿宋" w:eastAsia="仿宋" w:cs="仿宋"/>
                <w:sz w:val="24"/>
                <w:szCs w:val="24"/>
              </w:rPr>
            </w:pPr>
          </w:p>
          <w:p w14:paraId="2B39378C">
            <w:pPr>
              <w:spacing w:line="240" w:lineRule="auto"/>
              <w:rPr>
                <w:rFonts w:hint="eastAsia" w:ascii="仿宋" w:hAnsi="仿宋" w:eastAsia="仿宋" w:cs="仿宋"/>
                <w:sz w:val="24"/>
                <w:szCs w:val="24"/>
              </w:rPr>
            </w:pPr>
          </w:p>
          <w:p w14:paraId="5FA884A3">
            <w:pPr>
              <w:spacing w:line="240" w:lineRule="auto"/>
              <w:rPr>
                <w:rFonts w:hint="eastAsia" w:ascii="仿宋" w:hAnsi="仿宋" w:eastAsia="仿宋" w:cs="仿宋"/>
                <w:sz w:val="24"/>
                <w:szCs w:val="24"/>
              </w:rPr>
            </w:pPr>
          </w:p>
          <w:p w14:paraId="3CBF8E9B">
            <w:pPr>
              <w:pStyle w:val="89"/>
              <w:spacing w:before="86" w:line="240" w:lineRule="auto"/>
              <w:ind w:left="115"/>
              <w:rPr>
                <w:rFonts w:hint="eastAsia" w:ascii="仿宋" w:hAnsi="仿宋" w:eastAsia="仿宋" w:cs="仿宋"/>
                <w:sz w:val="24"/>
                <w:szCs w:val="24"/>
              </w:rPr>
            </w:pPr>
            <w:r>
              <w:rPr>
                <w:rFonts w:hint="eastAsia" w:ascii="仿宋" w:hAnsi="仿宋" w:eastAsia="仿宋" w:cs="仿宋"/>
                <w:b/>
                <w:bCs/>
                <w:spacing w:val="7"/>
                <w:sz w:val="24"/>
                <w:szCs w:val="24"/>
              </w:rPr>
              <w:t>商务及</w:t>
            </w:r>
          </w:p>
          <w:p w14:paraId="27B09D06">
            <w:pPr>
              <w:pStyle w:val="89"/>
              <w:spacing w:before="1" w:line="240" w:lineRule="auto"/>
              <w:ind w:left="111"/>
              <w:rPr>
                <w:rFonts w:hint="eastAsia" w:ascii="仿宋" w:hAnsi="仿宋" w:eastAsia="仿宋" w:cs="仿宋"/>
                <w:sz w:val="24"/>
                <w:szCs w:val="24"/>
              </w:rPr>
            </w:pPr>
            <w:r>
              <w:rPr>
                <w:rFonts w:hint="eastAsia" w:ascii="仿宋" w:hAnsi="仿宋" w:eastAsia="仿宋" w:cs="仿宋"/>
                <w:b/>
                <w:bCs/>
                <w:spacing w:val="8"/>
                <w:sz w:val="24"/>
                <w:szCs w:val="24"/>
              </w:rPr>
              <w:t>技术评</w:t>
            </w:r>
          </w:p>
          <w:p w14:paraId="1F7099FA">
            <w:pPr>
              <w:pStyle w:val="89"/>
              <w:spacing w:before="1" w:line="240" w:lineRule="auto"/>
              <w:ind w:left="109"/>
              <w:rPr>
                <w:rFonts w:hint="eastAsia" w:ascii="仿宋" w:hAnsi="仿宋" w:eastAsia="仿宋" w:cs="仿宋"/>
                <w:sz w:val="24"/>
                <w:szCs w:val="24"/>
              </w:rPr>
            </w:pPr>
            <w:r>
              <w:rPr>
                <w:rFonts w:hint="eastAsia" w:ascii="仿宋" w:hAnsi="仿宋" w:eastAsia="仿宋" w:cs="仿宋"/>
                <w:b/>
                <w:bCs/>
                <w:spacing w:val="8"/>
                <w:sz w:val="24"/>
                <w:szCs w:val="24"/>
              </w:rPr>
              <w:t>分标准</w:t>
            </w:r>
          </w:p>
        </w:tc>
        <w:tc>
          <w:tcPr>
            <w:tcW w:w="1232" w:type="dxa"/>
            <w:vAlign w:val="top"/>
          </w:tcPr>
          <w:p w14:paraId="29FB825F">
            <w:pPr>
              <w:spacing w:line="240" w:lineRule="auto"/>
              <w:rPr>
                <w:rFonts w:hint="eastAsia" w:ascii="仿宋" w:hAnsi="仿宋" w:eastAsia="仿宋" w:cs="仿宋"/>
                <w:sz w:val="24"/>
                <w:szCs w:val="24"/>
              </w:rPr>
            </w:pPr>
          </w:p>
          <w:p w14:paraId="0B3531E8">
            <w:pPr>
              <w:spacing w:line="240" w:lineRule="auto"/>
              <w:rPr>
                <w:rFonts w:hint="eastAsia" w:ascii="仿宋" w:hAnsi="仿宋" w:eastAsia="仿宋" w:cs="仿宋"/>
                <w:sz w:val="24"/>
                <w:szCs w:val="24"/>
              </w:rPr>
            </w:pPr>
          </w:p>
          <w:p w14:paraId="7CCDFC55">
            <w:pPr>
              <w:spacing w:line="240" w:lineRule="auto"/>
              <w:rPr>
                <w:rFonts w:hint="eastAsia" w:ascii="仿宋" w:hAnsi="仿宋" w:eastAsia="仿宋" w:cs="仿宋"/>
                <w:sz w:val="24"/>
                <w:szCs w:val="24"/>
              </w:rPr>
            </w:pPr>
          </w:p>
          <w:p w14:paraId="7DECEB4F">
            <w:pPr>
              <w:pStyle w:val="89"/>
              <w:spacing w:before="85" w:line="240" w:lineRule="auto"/>
              <w:ind w:left="192"/>
              <w:rPr>
                <w:rFonts w:hint="eastAsia" w:ascii="仿宋" w:hAnsi="仿宋" w:eastAsia="仿宋" w:cs="仿宋"/>
                <w:sz w:val="24"/>
                <w:szCs w:val="24"/>
              </w:rPr>
            </w:pPr>
            <w:r>
              <w:rPr>
                <w:rFonts w:hint="eastAsia" w:ascii="仿宋" w:hAnsi="仿宋" w:eastAsia="仿宋" w:cs="仿宋"/>
                <w:spacing w:val="9"/>
                <w:sz w:val="24"/>
                <w:szCs w:val="24"/>
              </w:rPr>
              <w:t>项实施方</w:t>
            </w:r>
          </w:p>
          <w:p w14:paraId="462197F4">
            <w:pPr>
              <w:pStyle w:val="89"/>
              <w:spacing w:line="240" w:lineRule="auto"/>
              <w:ind w:left="508"/>
              <w:rPr>
                <w:rFonts w:hint="eastAsia" w:ascii="仿宋" w:hAnsi="仿宋" w:eastAsia="仿宋" w:cs="仿宋"/>
                <w:sz w:val="24"/>
                <w:szCs w:val="24"/>
              </w:rPr>
            </w:pPr>
            <w:r>
              <w:rPr>
                <w:rFonts w:hint="eastAsia" w:ascii="仿宋" w:hAnsi="仿宋" w:eastAsia="仿宋" w:cs="仿宋"/>
                <w:spacing w:val="5"/>
                <w:sz w:val="24"/>
                <w:szCs w:val="24"/>
              </w:rPr>
              <w:t>案</w:t>
            </w:r>
          </w:p>
        </w:tc>
        <w:tc>
          <w:tcPr>
            <w:tcW w:w="600" w:type="dxa"/>
            <w:vAlign w:val="top"/>
          </w:tcPr>
          <w:p w14:paraId="423988CE">
            <w:pPr>
              <w:spacing w:line="240" w:lineRule="auto"/>
              <w:rPr>
                <w:rFonts w:hint="eastAsia" w:ascii="仿宋" w:hAnsi="仿宋" w:eastAsia="仿宋" w:cs="仿宋"/>
                <w:sz w:val="24"/>
                <w:szCs w:val="24"/>
              </w:rPr>
            </w:pPr>
          </w:p>
          <w:p w14:paraId="2FFC76BD">
            <w:pPr>
              <w:spacing w:line="240" w:lineRule="auto"/>
              <w:rPr>
                <w:rFonts w:hint="eastAsia" w:ascii="仿宋" w:hAnsi="仿宋" w:eastAsia="仿宋" w:cs="仿宋"/>
                <w:sz w:val="24"/>
                <w:szCs w:val="24"/>
              </w:rPr>
            </w:pPr>
          </w:p>
          <w:p w14:paraId="5B2086C1">
            <w:pPr>
              <w:spacing w:line="240" w:lineRule="auto"/>
              <w:rPr>
                <w:rFonts w:hint="eastAsia" w:ascii="仿宋" w:hAnsi="仿宋" w:eastAsia="仿宋" w:cs="仿宋"/>
                <w:sz w:val="24"/>
                <w:szCs w:val="24"/>
              </w:rPr>
            </w:pPr>
          </w:p>
          <w:p w14:paraId="5F6E7A7D">
            <w:pPr>
              <w:pStyle w:val="89"/>
              <w:spacing w:before="86" w:line="240" w:lineRule="auto"/>
              <w:ind w:left="192"/>
              <w:rPr>
                <w:rFonts w:hint="eastAsia" w:ascii="仿宋" w:hAnsi="仿宋" w:eastAsia="仿宋" w:cs="仿宋"/>
                <w:sz w:val="24"/>
                <w:szCs w:val="24"/>
              </w:rPr>
            </w:pPr>
            <w:r>
              <w:rPr>
                <w:rFonts w:hint="eastAsia" w:ascii="仿宋" w:hAnsi="仿宋" w:eastAsia="仿宋" w:cs="仿宋"/>
                <w:spacing w:val="-5"/>
                <w:position w:val="3"/>
                <w:sz w:val="24"/>
                <w:szCs w:val="24"/>
              </w:rPr>
              <w:t>18</w:t>
            </w:r>
          </w:p>
        </w:tc>
        <w:tc>
          <w:tcPr>
            <w:tcW w:w="6402" w:type="dxa"/>
            <w:vAlign w:val="top"/>
          </w:tcPr>
          <w:p w14:paraId="627A0D3B">
            <w:pPr>
              <w:pStyle w:val="89"/>
              <w:spacing w:before="26" w:line="240" w:lineRule="auto"/>
              <w:ind w:left="106" w:firstLine="2"/>
              <w:jc w:val="both"/>
              <w:rPr>
                <w:rFonts w:hint="eastAsia" w:ascii="仿宋" w:hAnsi="仿宋" w:eastAsia="仿宋" w:cs="仿宋"/>
                <w:sz w:val="24"/>
                <w:szCs w:val="24"/>
              </w:rPr>
            </w:pPr>
            <w:r>
              <w:rPr>
                <w:rFonts w:hint="eastAsia" w:ascii="仿宋" w:hAnsi="仿宋" w:eastAsia="仿宋" w:cs="仿宋"/>
                <w:spacing w:val="11"/>
                <w:sz w:val="24"/>
                <w:szCs w:val="24"/>
              </w:rPr>
              <w:t>需结合项目实际情况</w:t>
            </w:r>
            <w:r>
              <w:rPr>
                <w:rFonts w:hint="eastAsia" w:cs="仿宋"/>
                <w:spacing w:val="11"/>
                <w:sz w:val="24"/>
                <w:szCs w:val="24"/>
                <w:lang w:eastAsia="zh-CN"/>
              </w:rPr>
              <w:t>：</w:t>
            </w:r>
            <w:r>
              <w:rPr>
                <w:rFonts w:hint="eastAsia" w:cs="仿宋"/>
                <w:spacing w:val="11"/>
                <w:sz w:val="24"/>
                <w:szCs w:val="24"/>
                <w:lang w:val="en-US" w:eastAsia="zh-CN"/>
              </w:rPr>
              <w:t>1、</w:t>
            </w:r>
            <w:r>
              <w:rPr>
                <w:rFonts w:hint="eastAsia" w:ascii="仿宋" w:hAnsi="仿宋" w:eastAsia="仿宋" w:cs="仿宋"/>
                <w:spacing w:val="11"/>
                <w:sz w:val="24"/>
                <w:szCs w:val="24"/>
              </w:rPr>
              <w:t>具体特点及实际需求、各个阶段进度安排合理</w:t>
            </w:r>
            <w:r>
              <w:rPr>
                <w:rFonts w:hint="eastAsia" w:ascii="仿宋" w:hAnsi="仿宋" w:eastAsia="仿宋" w:cs="仿宋"/>
                <w:spacing w:val="8"/>
                <w:sz w:val="24"/>
                <w:szCs w:val="24"/>
              </w:rPr>
              <w:t>性、可操作性、实用性；</w:t>
            </w:r>
            <w:r>
              <w:rPr>
                <w:rFonts w:hint="eastAsia" w:cs="仿宋"/>
                <w:spacing w:val="8"/>
                <w:sz w:val="24"/>
                <w:szCs w:val="24"/>
                <w:lang w:val="en-US" w:eastAsia="zh-CN"/>
              </w:rPr>
              <w:t>2、</w:t>
            </w:r>
            <w:r>
              <w:rPr>
                <w:rFonts w:hint="eastAsia" w:ascii="仿宋" w:hAnsi="仿宋" w:eastAsia="仿宋" w:cs="仿宋"/>
                <w:spacing w:val="8"/>
                <w:sz w:val="24"/>
                <w:szCs w:val="24"/>
              </w:rPr>
              <w:t>是否能满足购货方各种需要等方面；</w:t>
            </w:r>
            <w:r>
              <w:rPr>
                <w:rFonts w:hint="eastAsia" w:cs="仿宋"/>
                <w:spacing w:val="8"/>
                <w:sz w:val="24"/>
                <w:szCs w:val="24"/>
                <w:lang w:val="en-US" w:eastAsia="zh-CN"/>
              </w:rPr>
              <w:t>3、</w:t>
            </w:r>
            <w:r>
              <w:rPr>
                <w:rFonts w:hint="eastAsia" w:ascii="仿宋" w:hAnsi="仿宋" w:eastAsia="仿宋" w:cs="仿宋"/>
                <w:spacing w:val="8"/>
                <w:sz w:val="24"/>
                <w:szCs w:val="24"/>
              </w:rPr>
              <w:t>是否有专业的技术人员负责此项目；</w:t>
            </w:r>
            <w:r>
              <w:rPr>
                <w:rFonts w:hint="eastAsia" w:cs="仿宋"/>
                <w:spacing w:val="8"/>
                <w:sz w:val="24"/>
                <w:szCs w:val="24"/>
                <w:lang w:val="en-US" w:eastAsia="zh-CN"/>
              </w:rPr>
              <w:t>4、</w:t>
            </w:r>
            <w:r>
              <w:rPr>
                <w:rFonts w:hint="eastAsia" w:ascii="仿宋" w:hAnsi="仿宋" w:eastAsia="仿宋" w:cs="仿宋"/>
                <w:spacing w:val="8"/>
                <w:sz w:val="24"/>
                <w:szCs w:val="24"/>
              </w:rPr>
              <w:t>各项技术参数是否均满足要求；</w:t>
            </w:r>
            <w:r>
              <w:rPr>
                <w:rFonts w:hint="eastAsia" w:cs="仿宋"/>
                <w:spacing w:val="8"/>
                <w:sz w:val="24"/>
                <w:szCs w:val="24"/>
                <w:lang w:val="en-US" w:eastAsia="zh-CN"/>
              </w:rPr>
              <w:t>5、</w:t>
            </w:r>
            <w:r>
              <w:rPr>
                <w:rFonts w:hint="eastAsia" w:ascii="仿宋" w:hAnsi="仿宋" w:eastAsia="仿宋" w:cs="仿宋"/>
                <w:spacing w:val="8"/>
                <w:sz w:val="24"/>
                <w:szCs w:val="24"/>
              </w:rPr>
              <w:t>在</w:t>
            </w:r>
            <w:r>
              <w:rPr>
                <w:rFonts w:hint="eastAsia" w:ascii="仿宋" w:hAnsi="仿宋" w:eastAsia="仿宋" w:cs="仿宋"/>
                <w:spacing w:val="10"/>
                <w:sz w:val="24"/>
                <w:szCs w:val="24"/>
              </w:rPr>
              <w:t>保证供应食材的质量、方便快捷；</w:t>
            </w:r>
            <w:r>
              <w:rPr>
                <w:rFonts w:hint="eastAsia" w:cs="仿宋"/>
                <w:spacing w:val="10"/>
                <w:sz w:val="24"/>
                <w:szCs w:val="24"/>
                <w:lang w:val="en-US" w:eastAsia="zh-CN"/>
              </w:rPr>
              <w:t>6、</w:t>
            </w:r>
            <w:r>
              <w:rPr>
                <w:rFonts w:hint="eastAsia" w:ascii="仿宋" w:hAnsi="仿宋" w:eastAsia="仿宋" w:cs="仿宋"/>
                <w:spacing w:val="10"/>
                <w:sz w:val="24"/>
                <w:szCs w:val="24"/>
              </w:rPr>
              <w:t>在加工、存储、包装、运输、冷</w:t>
            </w:r>
            <w:r>
              <w:rPr>
                <w:rFonts w:hint="eastAsia" w:ascii="仿宋" w:hAnsi="仿宋" w:eastAsia="仿宋" w:cs="仿宋"/>
                <w:spacing w:val="5"/>
                <w:sz w:val="24"/>
                <w:szCs w:val="24"/>
              </w:rPr>
              <w:t>藏保鲜等方面制定具体方案和详细措施，方案贴合本项目实际情况，</w:t>
            </w:r>
            <w:r>
              <w:rPr>
                <w:rFonts w:hint="eastAsia" w:ascii="仿宋" w:hAnsi="仿宋" w:eastAsia="仿宋" w:cs="仿宋"/>
                <w:spacing w:val="3"/>
                <w:sz w:val="24"/>
                <w:szCs w:val="24"/>
              </w:rPr>
              <w:t>逻辑清晰、方案内容全面，完全满足项目采购需求的得18分；其中</w:t>
            </w:r>
            <w:r>
              <w:rPr>
                <w:rFonts w:hint="eastAsia" w:ascii="仿宋" w:hAnsi="仿宋" w:eastAsia="仿宋" w:cs="仿宋"/>
                <w:spacing w:val="13"/>
                <w:sz w:val="24"/>
                <w:szCs w:val="24"/>
              </w:rPr>
              <w:t>缺项漏项或内容不全面或内容不具体或文字表述不清晰或与项目内</w:t>
            </w:r>
            <w:r>
              <w:rPr>
                <w:rFonts w:hint="eastAsia" w:ascii="仿宋" w:hAnsi="仿宋" w:eastAsia="仿宋" w:cs="仿宋"/>
                <w:spacing w:val="1"/>
                <w:sz w:val="24"/>
                <w:szCs w:val="24"/>
              </w:rPr>
              <w:t>容无关的，每有一项扣3分，扣完为止。</w:t>
            </w:r>
          </w:p>
        </w:tc>
        <w:tc>
          <w:tcPr>
            <w:tcW w:w="1291" w:type="dxa"/>
            <w:vMerge w:val="restart"/>
            <w:tcBorders>
              <w:bottom w:val="nil"/>
            </w:tcBorders>
            <w:vAlign w:val="top"/>
          </w:tcPr>
          <w:p w14:paraId="45F7DDBA">
            <w:pPr>
              <w:spacing w:line="240" w:lineRule="auto"/>
              <w:rPr>
                <w:rFonts w:hint="eastAsia" w:ascii="仿宋" w:hAnsi="仿宋" w:eastAsia="仿宋" w:cs="仿宋"/>
                <w:sz w:val="24"/>
                <w:szCs w:val="24"/>
              </w:rPr>
            </w:pPr>
          </w:p>
        </w:tc>
      </w:tr>
      <w:tr w14:paraId="00EA56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850" w:type="dxa"/>
            <w:vMerge w:val="continue"/>
            <w:tcBorders>
              <w:top w:val="nil"/>
              <w:bottom w:val="nil"/>
            </w:tcBorders>
            <w:vAlign w:val="top"/>
          </w:tcPr>
          <w:p w14:paraId="41489592">
            <w:pPr>
              <w:spacing w:line="240" w:lineRule="auto"/>
              <w:rPr>
                <w:rFonts w:hint="eastAsia" w:ascii="仿宋" w:hAnsi="仿宋" w:eastAsia="仿宋" w:cs="仿宋"/>
                <w:sz w:val="24"/>
                <w:szCs w:val="24"/>
              </w:rPr>
            </w:pPr>
          </w:p>
        </w:tc>
        <w:tc>
          <w:tcPr>
            <w:tcW w:w="1232" w:type="dxa"/>
            <w:vAlign w:val="top"/>
          </w:tcPr>
          <w:p w14:paraId="4BE8999D">
            <w:pPr>
              <w:spacing w:line="240" w:lineRule="auto"/>
              <w:rPr>
                <w:rFonts w:hint="eastAsia" w:ascii="仿宋" w:hAnsi="仿宋" w:eastAsia="仿宋" w:cs="仿宋"/>
                <w:sz w:val="24"/>
                <w:szCs w:val="24"/>
              </w:rPr>
            </w:pPr>
          </w:p>
          <w:p w14:paraId="50D8A13E">
            <w:pPr>
              <w:spacing w:line="240" w:lineRule="auto"/>
              <w:rPr>
                <w:rFonts w:hint="eastAsia" w:ascii="仿宋" w:hAnsi="仿宋" w:eastAsia="仿宋" w:cs="仿宋"/>
                <w:sz w:val="24"/>
                <w:szCs w:val="24"/>
              </w:rPr>
            </w:pPr>
          </w:p>
          <w:p w14:paraId="65703846">
            <w:pPr>
              <w:spacing w:line="240" w:lineRule="auto"/>
              <w:rPr>
                <w:rFonts w:hint="eastAsia" w:ascii="仿宋" w:hAnsi="仿宋" w:eastAsia="仿宋" w:cs="仿宋"/>
                <w:sz w:val="24"/>
                <w:szCs w:val="24"/>
              </w:rPr>
            </w:pPr>
          </w:p>
          <w:p w14:paraId="21203CBB">
            <w:pPr>
              <w:pStyle w:val="89"/>
              <w:spacing w:before="86" w:line="240" w:lineRule="auto"/>
              <w:ind w:left="197"/>
              <w:rPr>
                <w:rFonts w:hint="eastAsia" w:ascii="仿宋" w:hAnsi="仿宋" w:eastAsia="仿宋" w:cs="仿宋"/>
                <w:sz w:val="24"/>
                <w:szCs w:val="24"/>
              </w:rPr>
            </w:pPr>
            <w:r>
              <w:rPr>
                <w:rFonts w:hint="eastAsia" w:ascii="仿宋" w:hAnsi="仿宋" w:eastAsia="仿宋" w:cs="仿宋"/>
                <w:spacing w:val="8"/>
                <w:sz w:val="24"/>
                <w:szCs w:val="24"/>
              </w:rPr>
              <w:t>配送及货</w:t>
            </w:r>
          </w:p>
          <w:p w14:paraId="561DEA9C">
            <w:pPr>
              <w:pStyle w:val="89"/>
              <w:spacing w:line="240" w:lineRule="auto"/>
              <w:ind w:left="194"/>
              <w:rPr>
                <w:rFonts w:hint="eastAsia" w:ascii="仿宋" w:hAnsi="仿宋" w:eastAsia="仿宋" w:cs="仿宋"/>
                <w:sz w:val="24"/>
                <w:szCs w:val="24"/>
              </w:rPr>
            </w:pPr>
            <w:r>
              <w:rPr>
                <w:rFonts w:hint="eastAsia" w:ascii="仿宋" w:hAnsi="仿宋" w:eastAsia="仿宋" w:cs="仿宋"/>
                <w:spacing w:val="9"/>
                <w:sz w:val="24"/>
                <w:szCs w:val="24"/>
              </w:rPr>
              <w:t>源保障能</w:t>
            </w:r>
          </w:p>
          <w:p w14:paraId="630F24AE">
            <w:pPr>
              <w:pStyle w:val="89"/>
              <w:spacing w:line="240" w:lineRule="auto"/>
              <w:ind w:left="510"/>
              <w:rPr>
                <w:rFonts w:hint="eastAsia" w:ascii="仿宋" w:hAnsi="仿宋" w:eastAsia="仿宋" w:cs="仿宋"/>
                <w:sz w:val="24"/>
                <w:szCs w:val="24"/>
              </w:rPr>
            </w:pPr>
            <w:r>
              <w:rPr>
                <w:rFonts w:hint="eastAsia" w:ascii="仿宋" w:hAnsi="仿宋" w:eastAsia="仿宋" w:cs="仿宋"/>
                <w:spacing w:val="4"/>
                <w:sz w:val="24"/>
                <w:szCs w:val="24"/>
              </w:rPr>
              <w:t>力</w:t>
            </w:r>
          </w:p>
        </w:tc>
        <w:tc>
          <w:tcPr>
            <w:tcW w:w="600" w:type="dxa"/>
            <w:vAlign w:val="top"/>
          </w:tcPr>
          <w:p w14:paraId="1A024DBD">
            <w:pPr>
              <w:spacing w:line="240" w:lineRule="auto"/>
              <w:rPr>
                <w:rFonts w:hint="eastAsia" w:ascii="仿宋" w:hAnsi="仿宋" w:eastAsia="仿宋" w:cs="仿宋"/>
                <w:sz w:val="24"/>
                <w:szCs w:val="24"/>
              </w:rPr>
            </w:pPr>
          </w:p>
          <w:p w14:paraId="78A1AFF8">
            <w:pPr>
              <w:spacing w:line="240" w:lineRule="auto"/>
              <w:rPr>
                <w:rFonts w:hint="eastAsia" w:ascii="仿宋" w:hAnsi="仿宋" w:eastAsia="仿宋" w:cs="仿宋"/>
                <w:sz w:val="24"/>
                <w:szCs w:val="24"/>
              </w:rPr>
            </w:pPr>
          </w:p>
          <w:p w14:paraId="3E720E08">
            <w:pPr>
              <w:spacing w:line="240" w:lineRule="auto"/>
              <w:rPr>
                <w:rFonts w:hint="eastAsia" w:ascii="仿宋" w:hAnsi="仿宋" w:eastAsia="仿宋" w:cs="仿宋"/>
                <w:sz w:val="24"/>
                <w:szCs w:val="24"/>
              </w:rPr>
            </w:pPr>
          </w:p>
          <w:p w14:paraId="50F21887">
            <w:pPr>
              <w:pStyle w:val="89"/>
              <w:spacing w:before="85" w:line="240" w:lineRule="auto"/>
              <w:ind w:left="192"/>
              <w:rPr>
                <w:rFonts w:hint="eastAsia" w:ascii="仿宋" w:hAnsi="仿宋" w:eastAsia="仿宋" w:cs="仿宋"/>
                <w:sz w:val="24"/>
                <w:szCs w:val="24"/>
              </w:rPr>
            </w:pPr>
            <w:r>
              <w:rPr>
                <w:rFonts w:hint="eastAsia" w:ascii="仿宋" w:hAnsi="仿宋" w:eastAsia="仿宋" w:cs="仿宋"/>
                <w:spacing w:val="-5"/>
                <w:position w:val="3"/>
                <w:sz w:val="24"/>
                <w:szCs w:val="24"/>
              </w:rPr>
              <w:t>13</w:t>
            </w:r>
          </w:p>
        </w:tc>
        <w:tc>
          <w:tcPr>
            <w:tcW w:w="6402" w:type="dxa"/>
            <w:vAlign w:val="top"/>
          </w:tcPr>
          <w:p w14:paraId="5DF49613">
            <w:pPr>
              <w:pStyle w:val="89"/>
              <w:spacing w:line="240" w:lineRule="auto"/>
              <w:ind w:left="106" w:right="105" w:firstLine="8"/>
              <w:rPr>
                <w:rFonts w:hint="eastAsia" w:ascii="仿宋" w:hAnsi="仿宋" w:eastAsia="仿宋" w:cs="仿宋"/>
                <w:spacing w:val="5"/>
                <w:sz w:val="24"/>
                <w:szCs w:val="24"/>
                <w:highlight w:val="none"/>
              </w:rPr>
            </w:pPr>
            <w:r>
              <w:rPr>
                <w:rFonts w:hint="eastAsia" w:ascii="仿宋" w:hAnsi="仿宋" w:eastAsia="仿宋" w:cs="仿宋"/>
                <w:spacing w:val="5"/>
                <w:sz w:val="24"/>
                <w:szCs w:val="24"/>
                <w:highlight w:val="none"/>
                <w:lang w:val="en-US" w:eastAsia="en-US"/>
              </w:rPr>
              <w:t>1.</w:t>
            </w:r>
            <w:r>
              <w:rPr>
                <w:rFonts w:hint="eastAsia" w:ascii="仿宋" w:hAnsi="仿宋" w:eastAsia="仿宋" w:cs="仿宋"/>
                <w:spacing w:val="5"/>
                <w:sz w:val="24"/>
                <w:szCs w:val="24"/>
                <w:highlight w:val="none"/>
              </w:rPr>
              <w:t>食材配送能力：投标人需提供普通运输车辆15辆、冷藏车辆10辆（每车配一个驾驶员）</w:t>
            </w:r>
          </w:p>
          <w:p w14:paraId="7F386CF6">
            <w:pPr>
              <w:pStyle w:val="89"/>
              <w:spacing w:line="240" w:lineRule="auto"/>
              <w:ind w:left="106" w:right="105" w:firstLine="8"/>
              <w:rPr>
                <w:rFonts w:hint="eastAsia" w:ascii="仿宋" w:hAnsi="仿宋" w:eastAsia="仿宋" w:cs="仿宋"/>
                <w:spacing w:val="5"/>
                <w:sz w:val="24"/>
                <w:szCs w:val="24"/>
                <w:highlight w:val="none"/>
              </w:rPr>
            </w:pPr>
            <w:r>
              <w:rPr>
                <w:rFonts w:hint="eastAsia" w:ascii="仿宋" w:hAnsi="仿宋" w:eastAsia="仿宋" w:cs="仿宋"/>
                <w:spacing w:val="5"/>
                <w:sz w:val="24"/>
                <w:szCs w:val="24"/>
                <w:highlight w:val="none"/>
                <w:lang w:val="en-US" w:eastAsia="zh-CN"/>
              </w:rPr>
              <w:t>2.</w:t>
            </w:r>
            <w:r>
              <w:rPr>
                <w:rFonts w:hint="eastAsia" w:ascii="仿宋" w:hAnsi="仿宋" w:eastAsia="仿宋" w:cs="仿宋"/>
                <w:spacing w:val="5"/>
                <w:sz w:val="24"/>
                <w:szCs w:val="24"/>
                <w:highlight w:val="none"/>
              </w:rPr>
              <w:t>安装GPS，全运输过程监控。</w:t>
            </w:r>
          </w:p>
          <w:p w14:paraId="5906B940">
            <w:pPr>
              <w:pStyle w:val="89"/>
              <w:spacing w:line="240" w:lineRule="auto"/>
              <w:ind w:left="106" w:right="105" w:firstLine="8"/>
              <w:rPr>
                <w:rFonts w:hint="eastAsia" w:ascii="仿宋" w:hAnsi="仿宋" w:eastAsia="仿宋" w:cs="仿宋"/>
                <w:spacing w:val="5"/>
                <w:sz w:val="24"/>
                <w:szCs w:val="24"/>
                <w:highlight w:val="none"/>
              </w:rPr>
            </w:pPr>
            <w:r>
              <w:rPr>
                <w:rFonts w:hint="eastAsia" w:ascii="仿宋" w:hAnsi="仿宋" w:eastAsia="仿宋" w:cs="仿宋"/>
                <w:spacing w:val="5"/>
                <w:sz w:val="24"/>
                <w:szCs w:val="24"/>
                <w:highlight w:val="none"/>
                <w:lang w:val="en-US" w:eastAsia="zh-CN"/>
              </w:rPr>
              <w:t>3.冷藏</w:t>
            </w:r>
            <w:r>
              <w:rPr>
                <w:rFonts w:hint="eastAsia" w:ascii="仿宋" w:hAnsi="仿宋" w:eastAsia="仿宋" w:cs="仿宋"/>
                <w:spacing w:val="5"/>
                <w:sz w:val="24"/>
                <w:szCs w:val="24"/>
                <w:highlight w:val="none"/>
              </w:rPr>
              <w:t>车内装有控温仪，温度控制在在0℃-4℃之间，确保食材新鲜。</w:t>
            </w:r>
          </w:p>
          <w:p w14:paraId="6143D1F7">
            <w:pPr>
              <w:pStyle w:val="89"/>
              <w:spacing w:line="240" w:lineRule="auto"/>
              <w:ind w:left="106" w:right="105" w:firstLine="8"/>
              <w:rPr>
                <w:rFonts w:hint="eastAsia" w:ascii="仿宋" w:hAnsi="仿宋" w:eastAsia="仿宋" w:cs="仿宋"/>
                <w:sz w:val="24"/>
                <w:szCs w:val="24"/>
              </w:rPr>
            </w:pPr>
            <w:r>
              <w:rPr>
                <w:rFonts w:hint="eastAsia" w:ascii="仿宋" w:hAnsi="仿宋" w:eastAsia="仿宋" w:cs="仿宋"/>
                <w:spacing w:val="5"/>
                <w:sz w:val="24"/>
                <w:szCs w:val="24"/>
                <w:highlight w:val="none"/>
              </w:rPr>
              <w:t>提供相关证明材料</w:t>
            </w:r>
            <w:r>
              <w:rPr>
                <w:rFonts w:hint="eastAsia" w:ascii="仿宋" w:hAnsi="仿宋" w:eastAsia="仿宋" w:cs="仿宋"/>
                <w:spacing w:val="10"/>
                <w:sz w:val="24"/>
                <w:szCs w:val="24"/>
                <w:highlight w:val="none"/>
              </w:rPr>
              <w:t>：</w:t>
            </w:r>
            <w:r>
              <w:rPr>
                <w:rFonts w:hint="eastAsia" w:ascii="仿宋" w:hAnsi="仿宋" w:eastAsia="仿宋" w:cs="仿宋"/>
                <w:b/>
                <w:bCs/>
                <w:spacing w:val="10"/>
                <w:sz w:val="24"/>
                <w:szCs w:val="24"/>
                <w:highlight w:val="none"/>
              </w:rPr>
              <w:t>车辆提供车辆行</w:t>
            </w:r>
            <w:r>
              <w:rPr>
                <w:rFonts w:hint="eastAsia" w:ascii="仿宋" w:hAnsi="仿宋" w:eastAsia="仿宋" w:cs="仿宋"/>
                <w:b/>
                <w:bCs/>
                <w:spacing w:val="12"/>
                <w:sz w:val="24"/>
                <w:szCs w:val="24"/>
                <w:highlight w:val="none"/>
              </w:rPr>
              <w:t>驶证、有效期内车辆保险、车辆正面侧面照</w:t>
            </w:r>
            <w:r>
              <w:rPr>
                <w:rFonts w:hint="eastAsia" w:ascii="仿宋" w:hAnsi="仿宋" w:eastAsia="仿宋" w:cs="仿宋"/>
                <w:b/>
                <w:bCs/>
                <w:spacing w:val="11"/>
                <w:sz w:val="24"/>
                <w:szCs w:val="24"/>
                <w:highlight w:val="none"/>
              </w:rPr>
              <w:t>片并体现出清晰的车牌</w:t>
            </w:r>
            <w:r>
              <w:rPr>
                <w:rFonts w:hint="eastAsia" w:ascii="仿宋" w:hAnsi="仿宋" w:eastAsia="仿宋" w:cs="仿宋"/>
                <w:b/>
                <w:bCs/>
                <w:spacing w:val="4"/>
                <w:sz w:val="24"/>
                <w:szCs w:val="24"/>
                <w:highlight w:val="none"/>
              </w:rPr>
              <w:t>号，租赁车辆同时提供租赁合同；驾驶员：提供有效期</w:t>
            </w:r>
            <w:r>
              <w:rPr>
                <w:rFonts w:hint="eastAsia" w:ascii="仿宋" w:hAnsi="仿宋" w:eastAsia="仿宋" w:cs="仿宋"/>
                <w:b/>
                <w:bCs/>
                <w:spacing w:val="3"/>
                <w:sz w:val="24"/>
                <w:szCs w:val="24"/>
                <w:highlight w:val="none"/>
              </w:rPr>
              <w:t>内的劳务合</w:t>
            </w:r>
            <w:r>
              <w:rPr>
                <w:rFonts w:hint="eastAsia" w:ascii="仿宋" w:hAnsi="仿宋" w:eastAsia="仿宋" w:cs="仿宋"/>
                <w:b/>
                <w:bCs/>
                <w:spacing w:val="4"/>
                <w:sz w:val="24"/>
                <w:szCs w:val="24"/>
                <w:highlight w:val="none"/>
              </w:rPr>
              <w:t>同、驾驶证、健康证、意外险，每辆车配备的齐全共计得</w:t>
            </w:r>
            <w:r>
              <w:rPr>
                <w:rFonts w:hint="eastAsia" w:cs="仿宋"/>
                <w:b/>
                <w:bCs/>
                <w:spacing w:val="4"/>
                <w:sz w:val="24"/>
                <w:szCs w:val="24"/>
                <w:highlight w:val="none"/>
                <w:lang w:val="en-US" w:eastAsia="zh-CN"/>
              </w:rPr>
              <w:t>13</w:t>
            </w:r>
            <w:r>
              <w:rPr>
                <w:rFonts w:hint="eastAsia" w:ascii="仿宋" w:hAnsi="仿宋" w:eastAsia="仿宋" w:cs="仿宋"/>
                <w:b/>
                <w:bCs/>
                <w:spacing w:val="4"/>
                <w:sz w:val="24"/>
                <w:szCs w:val="24"/>
                <w:highlight w:val="none"/>
              </w:rPr>
              <w:t>分，</w:t>
            </w:r>
            <w:r>
              <w:rPr>
                <w:rFonts w:hint="eastAsia" w:ascii="仿宋" w:hAnsi="仿宋" w:eastAsia="仿宋" w:cs="仿宋"/>
                <w:b/>
                <w:bCs/>
                <w:spacing w:val="1"/>
                <w:sz w:val="24"/>
                <w:szCs w:val="24"/>
                <w:highlight w:val="none"/>
              </w:rPr>
              <w:t>每漏1项扣1分，扣完为止，不提</w:t>
            </w:r>
            <w:r>
              <w:rPr>
                <w:rFonts w:hint="eastAsia" w:ascii="仿宋" w:hAnsi="仿宋" w:eastAsia="仿宋" w:cs="仿宋"/>
                <w:b/>
                <w:bCs/>
                <w:sz w:val="24"/>
                <w:szCs w:val="24"/>
                <w:highlight w:val="none"/>
              </w:rPr>
              <w:t>供不得分。</w:t>
            </w:r>
          </w:p>
        </w:tc>
        <w:tc>
          <w:tcPr>
            <w:tcW w:w="1291" w:type="dxa"/>
            <w:vMerge w:val="continue"/>
            <w:tcBorders>
              <w:top w:val="nil"/>
              <w:bottom w:val="nil"/>
            </w:tcBorders>
            <w:vAlign w:val="top"/>
          </w:tcPr>
          <w:p w14:paraId="2365E152">
            <w:pPr>
              <w:spacing w:line="240" w:lineRule="auto"/>
              <w:rPr>
                <w:rFonts w:hint="eastAsia" w:ascii="仿宋" w:hAnsi="仿宋" w:eastAsia="仿宋" w:cs="仿宋"/>
                <w:sz w:val="24"/>
                <w:szCs w:val="24"/>
              </w:rPr>
            </w:pPr>
          </w:p>
        </w:tc>
      </w:tr>
      <w:tr w14:paraId="619F51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4" w:hRule="atLeast"/>
        </w:trPr>
        <w:tc>
          <w:tcPr>
            <w:tcW w:w="850" w:type="dxa"/>
            <w:vMerge w:val="continue"/>
            <w:tcBorders>
              <w:top w:val="nil"/>
              <w:bottom w:val="nil"/>
            </w:tcBorders>
            <w:vAlign w:val="top"/>
          </w:tcPr>
          <w:p w14:paraId="1BCE0DD5">
            <w:pPr>
              <w:spacing w:line="240" w:lineRule="auto"/>
              <w:rPr>
                <w:rFonts w:hint="eastAsia" w:ascii="仿宋" w:hAnsi="仿宋" w:eastAsia="仿宋" w:cs="仿宋"/>
                <w:sz w:val="24"/>
                <w:szCs w:val="24"/>
              </w:rPr>
            </w:pPr>
          </w:p>
        </w:tc>
        <w:tc>
          <w:tcPr>
            <w:tcW w:w="1232" w:type="dxa"/>
            <w:vAlign w:val="top"/>
          </w:tcPr>
          <w:p w14:paraId="41F0E9D1">
            <w:pPr>
              <w:spacing w:line="240" w:lineRule="auto"/>
              <w:rPr>
                <w:rFonts w:hint="eastAsia" w:ascii="仿宋" w:hAnsi="仿宋" w:eastAsia="仿宋" w:cs="仿宋"/>
                <w:sz w:val="24"/>
                <w:szCs w:val="24"/>
              </w:rPr>
            </w:pPr>
          </w:p>
          <w:p w14:paraId="5FEE5A97">
            <w:pPr>
              <w:pStyle w:val="89"/>
              <w:spacing w:before="86" w:line="240" w:lineRule="auto"/>
              <w:ind w:left="197"/>
              <w:rPr>
                <w:rFonts w:hint="eastAsia" w:ascii="仿宋" w:hAnsi="仿宋" w:eastAsia="仿宋" w:cs="仿宋"/>
                <w:sz w:val="24"/>
                <w:szCs w:val="24"/>
              </w:rPr>
            </w:pPr>
            <w:r>
              <w:rPr>
                <w:rFonts w:hint="eastAsia" w:ascii="仿宋" w:hAnsi="仿宋" w:eastAsia="仿宋" w:cs="仿宋"/>
                <w:spacing w:val="7"/>
                <w:sz w:val="24"/>
                <w:szCs w:val="24"/>
              </w:rPr>
              <w:t>配送方案</w:t>
            </w:r>
          </w:p>
        </w:tc>
        <w:tc>
          <w:tcPr>
            <w:tcW w:w="600" w:type="dxa"/>
            <w:vAlign w:val="top"/>
          </w:tcPr>
          <w:p w14:paraId="7D4409D7">
            <w:pPr>
              <w:spacing w:line="240" w:lineRule="auto"/>
              <w:rPr>
                <w:rFonts w:hint="eastAsia" w:ascii="仿宋" w:hAnsi="仿宋" w:eastAsia="仿宋" w:cs="仿宋"/>
                <w:sz w:val="24"/>
                <w:szCs w:val="24"/>
              </w:rPr>
            </w:pPr>
          </w:p>
          <w:p w14:paraId="7BC93DAE">
            <w:pPr>
              <w:pStyle w:val="89"/>
              <w:spacing w:before="85" w:line="240" w:lineRule="auto"/>
              <w:ind w:left="192"/>
              <w:rPr>
                <w:rFonts w:hint="eastAsia" w:ascii="仿宋" w:hAnsi="仿宋" w:eastAsia="仿宋" w:cs="仿宋"/>
                <w:sz w:val="24"/>
                <w:szCs w:val="24"/>
              </w:rPr>
            </w:pPr>
            <w:r>
              <w:rPr>
                <w:rFonts w:hint="eastAsia" w:ascii="仿宋" w:hAnsi="仿宋" w:eastAsia="仿宋" w:cs="仿宋"/>
                <w:spacing w:val="-5"/>
                <w:position w:val="3"/>
                <w:sz w:val="24"/>
                <w:szCs w:val="24"/>
              </w:rPr>
              <w:t>10</w:t>
            </w:r>
          </w:p>
        </w:tc>
        <w:tc>
          <w:tcPr>
            <w:tcW w:w="6402" w:type="dxa"/>
            <w:vAlign w:val="top"/>
          </w:tcPr>
          <w:p w14:paraId="41B0C84A">
            <w:pPr>
              <w:pStyle w:val="89"/>
              <w:spacing w:line="240" w:lineRule="auto"/>
              <w:ind w:left="107"/>
              <w:jc w:val="both"/>
              <w:rPr>
                <w:rFonts w:hint="eastAsia" w:ascii="仿宋" w:hAnsi="仿宋" w:eastAsia="仿宋" w:cs="仿宋"/>
                <w:sz w:val="24"/>
                <w:szCs w:val="24"/>
              </w:rPr>
            </w:pPr>
            <w:r>
              <w:rPr>
                <w:rFonts w:hint="eastAsia" w:ascii="仿宋" w:hAnsi="仿宋" w:eastAsia="仿宋" w:cs="仿宋"/>
                <w:spacing w:val="7"/>
                <w:sz w:val="24"/>
                <w:szCs w:val="24"/>
              </w:rPr>
              <w:t>投标人需提供配送服务方案（包含：①、</w:t>
            </w:r>
            <w:r>
              <w:rPr>
                <w:rFonts w:hint="eastAsia" w:ascii="仿宋" w:hAnsi="仿宋" w:eastAsia="仿宋" w:cs="仿宋"/>
                <w:spacing w:val="6"/>
                <w:sz w:val="24"/>
                <w:szCs w:val="24"/>
              </w:rPr>
              <w:t>配送方式及配送过程规划、</w:t>
            </w:r>
            <w:r>
              <w:rPr>
                <w:rFonts w:hint="eastAsia" w:ascii="仿宋" w:hAnsi="仿宋" w:eastAsia="仿宋" w:cs="仿宋"/>
                <w:spacing w:val="9"/>
                <w:sz w:val="24"/>
                <w:szCs w:val="24"/>
              </w:rPr>
              <w:t>②、验货不合格产品的退换方案、退换货流程，③、配送途中食材</w:t>
            </w:r>
            <w:r>
              <w:rPr>
                <w:rFonts w:hint="eastAsia" w:ascii="仿宋" w:hAnsi="仿宋" w:eastAsia="仿宋" w:cs="仿宋"/>
                <w:spacing w:val="5"/>
                <w:sz w:val="24"/>
                <w:szCs w:val="24"/>
              </w:rPr>
              <w:t>安全保障措施，④、食材保鲜的详细供货计划，⑤、食材保鲜措施）</w:t>
            </w:r>
            <w:r>
              <w:rPr>
                <w:rFonts w:hint="eastAsia" w:ascii="仿宋" w:hAnsi="仿宋" w:eastAsia="仿宋" w:cs="仿宋"/>
                <w:spacing w:val="10"/>
                <w:sz w:val="24"/>
                <w:szCs w:val="24"/>
              </w:rPr>
              <w:t>评标委员会根据项目实际情况，有利于项目实施且资料详细完整的</w:t>
            </w:r>
            <w:r>
              <w:rPr>
                <w:rFonts w:hint="eastAsia" w:ascii="仿宋" w:hAnsi="仿宋" w:eastAsia="仿宋" w:cs="仿宋"/>
                <w:spacing w:val="3"/>
                <w:sz w:val="24"/>
                <w:szCs w:val="24"/>
              </w:rPr>
              <w:t>每提供一项得2分，最高10分，提</w:t>
            </w:r>
            <w:r>
              <w:rPr>
                <w:rFonts w:hint="eastAsia" w:ascii="仿宋" w:hAnsi="仿宋" w:eastAsia="仿宋" w:cs="仿宋"/>
                <w:spacing w:val="2"/>
                <w:sz w:val="24"/>
                <w:szCs w:val="24"/>
              </w:rPr>
              <w:t>供不全或不提供不得分。</w:t>
            </w:r>
          </w:p>
        </w:tc>
        <w:tc>
          <w:tcPr>
            <w:tcW w:w="1291" w:type="dxa"/>
            <w:vMerge w:val="continue"/>
            <w:tcBorders>
              <w:top w:val="nil"/>
              <w:bottom w:val="nil"/>
            </w:tcBorders>
            <w:vAlign w:val="top"/>
          </w:tcPr>
          <w:p w14:paraId="57632EBF">
            <w:pPr>
              <w:spacing w:line="240" w:lineRule="auto"/>
              <w:rPr>
                <w:rFonts w:hint="eastAsia" w:ascii="仿宋" w:hAnsi="仿宋" w:eastAsia="仿宋" w:cs="仿宋"/>
                <w:sz w:val="24"/>
                <w:szCs w:val="24"/>
              </w:rPr>
            </w:pPr>
          </w:p>
        </w:tc>
      </w:tr>
      <w:tr w14:paraId="2F7251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50" w:type="dxa"/>
            <w:vMerge w:val="continue"/>
            <w:tcBorders>
              <w:top w:val="nil"/>
            </w:tcBorders>
            <w:vAlign w:val="top"/>
          </w:tcPr>
          <w:p w14:paraId="67E9C4B3">
            <w:pPr>
              <w:spacing w:line="240" w:lineRule="auto"/>
              <w:rPr>
                <w:rFonts w:hint="eastAsia" w:ascii="仿宋" w:hAnsi="仿宋" w:eastAsia="仿宋" w:cs="仿宋"/>
                <w:sz w:val="24"/>
                <w:szCs w:val="24"/>
              </w:rPr>
            </w:pPr>
          </w:p>
        </w:tc>
        <w:tc>
          <w:tcPr>
            <w:tcW w:w="1232" w:type="dxa"/>
            <w:vAlign w:val="top"/>
          </w:tcPr>
          <w:p w14:paraId="0B2277AA">
            <w:pPr>
              <w:spacing w:line="240" w:lineRule="auto"/>
              <w:rPr>
                <w:rFonts w:hint="eastAsia" w:ascii="仿宋" w:hAnsi="仿宋" w:eastAsia="仿宋" w:cs="仿宋"/>
                <w:sz w:val="24"/>
                <w:szCs w:val="24"/>
              </w:rPr>
            </w:pPr>
          </w:p>
          <w:p w14:paraId="58BE68CC">
            <w:pPr>
              <w:spacing w:line="240" w:lineRule="auto"/>
              <w:rPr>
                <w:rFonts w:hint="eastAsia" w:ascii="仿宋" w:hAnsi="仿宋" w:eastAsia="仿宋" w:cs="仿宋"/>
                <w:sz w:val="24"/>
                <w:szCs w:val="24"/>
              </w:rPr>
            </w:pPr>
          </w:p>
          <w:p w14:paraId="0BE87977">
            <w:pPr>
              <w:spacing w:line="240" w:lineRule="auto"/>
              <w:rPr>
                <w:rFonts w:hint="eastAsia" w:ascii="仿宋" w:hAnsi="仿宋" w:eastAsia="仿宋" w:cs="仿宋"/>
                <w:sz w:val="24"/>
                <w:szCs w:val="24"/>
              </w:rPr>
            </w:pPr>
          </w:p>
          <w:p w14:paraId="244FB27F">
            <w:pPr>
              <w:pStyle w:val="89"/>
              <w:spacing w:before="86" w:line="240" w:lineRule="auto"/>
              <w:ind w:left="192"/>
              <w:rPr>
                <w:rFonts w:hint="eastAsia" w:ascii="仿宋" w:hAnsi="仿宋" w:eastAsia="仿宋" w:cs="仿宋"/>
                <w:sz w:val="24"/>
                <w:szCs w:val="24"/>
              </w:rPr>
            </w:pPr>
            <w:r>
              <w:rPr>
                <w:rFonts w:hint="eastAsia" w:ascii="仿宋" w:hAnsi="仿宋" w:eastAsia="仿宋" w:cs="仿宋"/>
                <w:spacing w:val="9"/>
                <w:sz w:val="24"/>
                <w:szCs w:val="24"/>
              </w:rPr>
              <w:t>应急措施</w:t>
            </w:r>
          </w:p>
        </w:tc>
        <w:tc>
          <w:tcPr>
            <w:tcW w:w="600" w:type="dxa"/>
            <w:vAlign w:val="top"/>
          </w:tcPr>
          <w:p w14:paraId="2ECC0E58">
            <w:pPr>
              <w:spacing w:line="240" w:lineRule="auto"/>
              <w:rPr>
                <w:rFonts w:hint="eastAsia" w:ascii="仿宋" w:hAnsi="仿宋" w:eastAsia="仿宋" w:cs="仿宋"/>
                <w:sz w:val="24"/>
                <w:szCs w:val="24"/>
              </w:rPr>
            </w:pPr>
          </w:p>
          <w:p w14:paraId="1CC61510">
            <w:pPr>
              <w:spacing w:line="240" w:lineRule="auto"/>
              <w:rPr>
                <w:rFonts w:hint="eastAsia" w:ascii="仿宋" w:hAnsi="仿宋" w:eastAsia="仿宋" w:cs="仿宋"/>
                <w:sz w:val="24"/>
                <w:szCs w:val="24"/>
              </w:rPr>
            </w:pPr>
          </w:p>
          <w:p w14:paraId="62E9B5EC">
            <w:pPr>
              <w:pStyle w:val="89"/>
              <w:spacing w:before="85" w:line="240" w:lineRule="auto"/>
              <w:ind w:left="251"/>
              <w:rPr>
                <w:rFonts w:hint="eastAsia" w:ascii="仿宋" w:hAnsi="仿宋" w:eastAsia="仿宋" w:cs="仿宋"/>
                <w:sz w:val="24"/>
                <w:szCs w:val="24"/>
              </w:rPr>
            </w:pPr>
            <w:r>
              <w:rPr>
                <w:rFonts w:hint="eastAsia" w:ascii="仿宋" w:hAnsi="仿宋" w:eastAsia="仿宋" w:cs="仿宋"/>
                <w:position w:val="3"/>
                <w:sz w:val="24"/>
                <w:szCs w:val="24"/>
              </w:rPr>
              <w:t>5</w:t>
            </w:r>
          </w:p>
        </w:tc>
        <w:tc>
          <w:tcPr>
            <w:tcW w:w="6402" w:type="dxa"/>
            <w:vAlign w:val="top"/>
          </w:tcPr>
          <w:p w14:paraId="0993754B">
            <w:pPr>
              <w:pStyle w:val="89"/>
              <w:spacing w:before="35" w:line="240" w:lineRule="auto"/>
              <w:ind w:left="105" w:right="103" w:firstLine="1"/>
              <w:jc w:val="both"/>
              <w:rPr>
                <w:rFonts w:hint="eastAsia" w:ascii="仿宋" w:hAnsi="仿宋" w:eastAsia="仿宋" w:cs="仿宋"/>
                <w:sz w:val="24"/>
                <w:szCs w:val="24"/>
              </w:rPr>
            </w:pPr>
            <w:r>
              <w:rPr>
                <w:rFonts w:hint="eastAsia" w:ascii="仿宋" w:hAnsi="仿宋" w:eastAsia="仿宋" w:cs="仿宋"/>
                <w:spacing w:val="10"/>
                <w:sz w:val="24"/>
                <w:szCs w:val="24"/>
              </w:rPr>
              <w:t>针对项目实际情况提供应急措施方案：①、投标人需考虑可能发生</w:t>
            </w:r>
            <w:r>
              <w:rPr>
                <w:rFonts w:hint="eastAsia" w:ascii="仿宋" w:hAnsi="仿宋" w:eastAsia="仿宋" w:cs="仿宋"/>
                <w:spacing w:val="8"/>
                <w:sz w:val="24"/>
                <w:szCs w:val="24"/>
              </w:rPr>
              <w:t>的突发情况，制定详细、可行的食品安全保障方案；②、针对食品</w:t>
            </w:r>
            <w:r>
              <w:rPr>
                <w:rFonts w:hint="eastAsia" w:ascii="仿宋" w:hAnsi="仿宋" w:eastAsia="仿宋" w:cs="仿宋"/>
                <w:spacing w:val="10"/>
                <w:sz w:val="24"/>
                <w:szCs w:val="24"/>
              </w:rPr>
              <w:t>出现不同突发情形提供不同的解决方案；③、食品卫生安全管理应</w:t>
            </w:r>
            <w:r>
              <w:rPr>
                <w:rFonts w:hint="eastAsia" w:ascii="仿宋" w:hAnsi="仿宋" w:eastAsia="仿宋" w:cs="仿宋"/>
                <w:spacing w:val="7"/>
                <w:sz w:val="24"/>
                <w:szCs w:val="24"/>
              </w:rPr>
              <w:t>急预案；④、学生食物中毒应急预案；⑤、防止食</w:t>
            </w:r>
            <w:r>
              <w:rPr>
                <w:rFonts w:hint="eastAsia" w:ascii="仿宋" w:hAnsi="仿宋" w:eastAsia="仿宋" w:cs="仿宋"/>
                <w:spacing w:val="6"/>
                <w:sz w:val="24"/>
                <w:szCs w:val="24"/>
              </w:rPr>
              <w:t>材未能及时送达</w:t>
            </w:r>
            <w:r>
              <w:rPr>
                <w:rFonts w:hint="eastAsia" w:ascii="仿宋" w:hAnsi="仿宋" w:eastAsia="仿宋" w:cs="仿宋"/>
                <w:spacing w:val="9"/>
                <w:sz w:val="24"/>
                <w:szCs w:val="24"/>
              </w:rPr>
              <w:t>应急预案；评标委员会根据项目实际情况</w:t>
            </w:r>
            <w:r>
              <w:rPr>
                <w:rFonts w:hint="eastAsia" w:ascii="仿宋" w:hAnsi="仿宋" w:eastAsia="仿宋" w:cs="仿宋"/>
                <w:spacing w:val="8"/>
                <w:sz w:val="24"/>
                <w:szCs w:val="24"/>
              </w:rPr>
              <w:t>，有利于项目实施且资料</w:t>
            </w:r>
            <w:r>
              <w:rPr>
                <w:rFonts w:hint="eastAsia" w:ascii="仿宋" w:hAnsi="仿宋" w:eastAsia="仿宋" w:cs="仿宋"/>
                <w:spacing w:val="5"/>
                <w:sz w:val="24"/>
                <w:szCs w:val="24"/>
              </w:rPr>
              <w:t>详细完整的每提供一项得1分，最高5分，提供不全或不提供不得分。</w:t>
            </w:r>
          </w:p>
        </w:tc>
        <w:tc>
          <w:tcPr>
            <w:tcW w:w="1291" w:type="dxa"/>
            <w:vMerge w:val="continue"/>
            <w:tcBorders>
              <w:top w:val="nil"/>
            </w:tcBorders>
            <w:vAlign w:val="top"/>
          </w:tcPr>
          <w:p w14:paraId="012E256C">
            <w:pPr>
              <w:spacing w:line="240" w:lineRule="auto"/>
              <w:rPr>
                <w:rFonts w:hint="eastAsia" w:ascii="仿宋" w:hAnsi="仿宋" w:eastAsia="仿宋" w:cs="仿宋"/>
                <w:sz w:val="24"/>
                <w:szCs w:val="24"/>
              </w:rPr>
            </w:pPr>
          </w:p>
        </w:tc>
      </w:tr>
      <w:tr w14:paraId="53D4A2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08" w:hRule="atLeast"/>
        </w:trPr>
        <w:tc>
          <w:tcPr>
            <w:tcW w:w="850" w:type="dxa"/>
            <w:vMerge w:val="restart"/>
            <w:tcBorders>
              <w:bottom w:val="nil"/>
            </w:tcBorders>
            <w:vAlign w:val="top"/>
          </w:tcPr>
          <w:p w14:paraId="0F67EED6">
            <w:pPr>
              <w:rPr>
                <w:rFonts w:hint="eastAsia" w:ascii="仿宋" w:hAnsi="仿宋" w:eastAsia="仿宋" w:cs="仿宋"/>
                <w:sz w:val="24"/>
                <w:szCs w:val="24"/>
              </w:rPr>
            </w:pPr>
          </w:p>
        </w:tc>
        <w:tc>
          <w:tcPr>
            <w:tcW w:w="1232" w:type="dxa"/>
            <w:vAlign w:val="top"/>
          </w:tcPr>
          <w:p w14:paraId="6BC0EA45">
            <w:pPr>
              <w:spacing w:line="277" w:lineRule="auto"/>
              <w:rPr>
                <w:rFonts w:hint="eastAsia" w:ascii="仿宋" w:hAnsi="仿宋" w:eastAsia="仿宋" w:cs="仿宋"/>
                <w:sz w:val="24"/>
                <w:szCs w:val="24"/>
              </w:rPr>
            </w:pPr>
          </w:p>
          <w:p w14:paraId="368EB4E0">
            <w:pPr>
              <w:spacing w:line="278" w:lineRule="auto"/>
              <w:rPr>
                <w:rFonts w:hint="eastAsia" w:ascii="仿宋" w:hAnsi="仿宋" w:eastAsia="仿宋" w:cs="仿宋"/>
                <w:sz w:val="24"/>
                <w:szCs w:val="24"/>
              </w:rPr>
            </w:pPr>
          </w:p>
          <w:p w14:paraId="681130E2">
            <w:pPr>
              <w:spacing w:line="278" w:lineRule="auto"/>
              <w:rPr>
                <w:rFonts w:hint="eastAsia" w:ascii="仿宋" w:hAnsi="仿宋" w:eastAsia="仿宋" w:cs="仿宋"/>
                <w:sz w:val="24"/>
                <w:szCs w:val="24"/>
              </w:rPr>
            </w:pPr>
          </w:p>
          <w:p w14:paraId="2AD3CF50">
            <w:pPr>
              <w:spacing w:line="278" w:lineRule="auto"/>
              <w:rPr>
                <w:rFonts w:hint="eastAsia" w:ascii="仿宋" w:hAnsi="仿宋" w:eastAsia="仿宋" w:cs="仿宋"/>
                <w:sz w:val="24"/>
                <w:szCs w:val="24"/>
              </w:rPr>
            </w:pPr>
          </w:p>
          <w:p w14:paraId="0E4025C4">
            <w:pPr>
              <w:pStyle w:val="89"/>
              <w:spacing w:before="86" w:line="190" w:lineRule="auto"/>
              <w:ind w:left="193"/>
              <w:rPr>
                <w:rFonts w:hint="eastAsia" w:ascii="仿宋" w:hAnsi="仿宋" w:eastAsia="仿宋" w:cs="仿宋"/>
                <w:sz w:val="24"/>
                <w:szCs w:val="24"/>
              </w:rPr>
            </w:pPr>
            <w:r>
              <w:rPr>
                <w:rFonts w:hint="eastAsia" w:ascii="仿宋" w:hAnsi="仿宋" w:eastAsia="仿宋" w:cs="仿宋"/>
                <w:spacing w:val="8"/>
                <w:sz w:val="24"/>
                <w:szCs w:val="24"/>
              </w:rPr>
              <w:t>仓储能力</w:t>
            </w:r>
          </w:p>
        </w:tc>
        <w:tc>
          <w:tcPr>
            <w:tcW w:w="600" w:type="dxa"/>
            <w:vAlign w:val="top"/>
          </w:tcPr>
          <w:p w14:paraId="1532B358">
            <w:pPr>
              <w:spacing w:line="268" w:lineRule="auto"/>
              <w:rPr>
                <w:rFonts w:hint="eastAsia" w:ascii="仿宋" w:hAnsi="仿宋" w:eastAsia="仿宋" w:cs="仿宋"/>
                <w:sz w:val="24"/>
                <w:szCs w:val="24"/>
              </w:rPr>
            </w:pPr>
          </w:p>
          <w:p w14:paraId="2C5055E4">
            <w:pPr>
              <w:spacing w:line="268" w:lineRule="auto"/>
              <w:rPr>
                <w:rFonts w:hint="eastAsia" w:ascii="仿宋" w:hAnsi="仿宋" w:eastAsia="仿宋" w:cs="仿宋"/>
                <w:sz w:val="24"/>
                <w:szCs w:val="24"/>
              </w:rPr>
            </w:pPr>
          </w:p>
          <w:p w14:paraId="60469A61">
            <w:pPr>
              <w:spacing w:line="269" w:lineRule="auto"/>
              <w:rPr>
                <w:rFonts w:hint="eastAsia" w:ascii="仿宋" w:hAnsi="仿宋" w:eastAsia="仿宋" w:cs="仿宋"/>
                <w:sz w:val="24"/>
                <w:szCs w:val="24"/>
              </w:rPr>
            </w:pPr>
          </w:p>
          <w:p w14:paraId="1AC89324">
            <w:pPr>
              <w:spacing w:line="269" w:lineRule="auto"/>
              <w:rPr>
                <w:rFonts w:hint="eastAsia" w:ascii="仿宋" w:hAnsi="仿宋" w:eastAsia="仿宋" w:cs="仿宋"/>
                <w:sz w:val="24"/>
                <w:szCs w:val="24"/>
              </w:rPr>
            </w:pPr>
          </w:p>
          <w:p w14:paraId="4EDFA2D2">
            <w:pPr>
              <w:pStyle w:val="89"/>
              <w:spacing w:before="86" w:line="359" w:lineRule="exact"/>
              <w:ind w:left="245"/>
              <w:rPr>
                <w:rFonts w:hint="eastAsia" w:ascii="仿宋" w:hAnsi="仿宋" w:eastAsia="仿宋" w:cs="仿宋"/>
                <w:sz w:val="24"/>
                <w:szCs w:val="24"/>
              </w:rPr>
            </w:pPr>
            <w:r>
              <w:rPr>
                <w:rFonts w:hint="eastAsia" w:ascii="仿宋" w:hAnsi="仿宋" w:eastAsia="仿宋" w:cs="仿宋"/>
                <w:position w:val="3"/>
                <w:sz w:val="24"/>
                <w:szCs w:val="24"/>
              </w:rPr>
              <w:t>6</w:t>
            </w:r>
          </w:p>
        </w:tc>
        <w:tc>
          <w:tcPr>
            <w:tcW w:w="6402" w:type="dxa"/>
            <w:vAlign w:val="top"/>
          </w:tcPr>
          <w:p w14:paraId="146AE12F">
            <w:pPr>
              <w:pStyle w:val="89"/>
              <w:spacing w:before="5" w:line="192" w:lineRule="auto"/>
              <w:ind w:left="105" w:right="207" w:firstLine="1"/>
              <w:rPr>
                <w:rFonts w:hint="eastAsia" w:ascii="仿宋" w:hAnsi="仿宋" w:eastAsia="仿宋" w:cs="仿宋"/>
                <w:sz w:val="24"/>
                <w:szCs w:val="24"/>
              </w:rPr>
            </w:pPr>
            <w:r>
              <w:rPr>
                <w:rFonts w:hint="eastAsia" w:ascii="仿宋" w:hAnsi="仿宋" w:eastAsia="仿宋" w:cs="仿宋"/>
                <w:spacing w:val="6"/>
                <w:sz w:val="24"/>
                <w:szCs w:val="24"/>
              </w:rPr>
              <w:t>投标人具备冷藏库、仓储，企业冷库与仓储面积5</w:t>
            </w:r>
            <w:r>
              <w:rPr>
                <w:rFonts w:hint="eastAsia" w:ascii="仿宋" w:hAnsi="仿宋" w:eastAsia="仿宋" w:cs="仿宋"/>
                <w:spacing w:val="5"/>
                <w:sz w:val="24"/>
                <w:szCs w:val="24"/>
              </w:rPr>
              <w:t>000㎡及以上得6</w:t>
            </w:r>
            <w:r>
              <w:rPr>
                <w:rFonts w:hint="eastAsia" w:ascii="仿宋" w:hAnsi="仿宋" w:eastAsia="仿宋" w:cs="仿宋"/>
                <w:spacing w:val="3"/>
                <w:sz w:val="24"/>
                <w:szCs w:val="24"/>
              </w:rPr>
              <w:t>分；</w:t>
            </w:r>
          </w:p>
          <w:p w14:paraId="69FC6303">
            <w:pPr>
              <w:pStyle w:val="89"/>
              <w:spacing w:before="1" w:line="191" w:lineRule="auto"/>
              <w:ind w:left="105" w:right="104" w:firstLine="1"/>
              <w:rPr>
                <w:rFonts w:hint="eastAsia" w:ascii="仿宋" w:hAnsi="仿宋" w:eastAsia="仿宋" w:cs="仿宋"/>
                <w:sz w:val="24"/>
                <w:szCs w:val="24"/>
              </w:rPr>
            </w:pPr>
            <w:r>
              <w:rPr>
                <w:rFonts w:hint="eastAsia" w:ascii="仿宋" w:hAnsi="仿宋" w:eastAsia="仿宋" w:cs="仿宋"/>
                <w:spacing w:val="1"/>
                <w:sz w:val="24"/>
                <w:szCs w:val="24"/>
              </w:rPr>
              <w:t>投标人具备冷藏库、仓储，企业冷库与仓储面积2000㎡-5000㎡得3</w:t>
            </w:r>
            <w:r>
              <w:rPr>
                <w:rFonts w:hint="eastAsia" w:ascii="仿宋" w:hAnsi="仿宋" w:eastAsia="仿宋" w:cs="仿宋"/>
                <w:spacing w:val="3"/>
                <w:sz w:val="24"/>
                <w:szCs w:val="24"/>
              </w:rPr>
              <w:t>分；</w:t>
            </w:r>
          </w:p>
          <w:p w14:paraId="31D71429">
            <w:pPr>
              <w:pStyle w:val="89"/>
              <w:spacing w:before="1" w:line="204" w:lineRule="auto"/>
              <w:ind w:left="105" w:right="104" w:firstLine="1"/>
              <w:rPr>
                <w:rFonts w:hint="eastAsia" w:ascii="仿宋" w:hAnsi="仿宋" w:eastAsia="仿宋" w:cs="仿宋"/>
                <w:sz w:val="24"/>
                <w:szCs w:val="24"/>
              </w:rPr>
            </w:pPr>
            <w:r>
              <w:rPr>
                <w:rFonts w:hint="eastAsia" w:ascii="仿宋" w:hAnsi="仿宋" w:eastAsia="仿宋" w:cs="仿宋"/>
                <w:spacing w:val="1"/>
                <w:sz w:val="24"/>
                <w:szCs w:val="24"/>
              </w:rPr>
              <w:t>投标人具备冷藏库、仓储，企业冷库与仓储面积1000㎡-2000㎡得1</w:t>
            </w:r>
            <w:r>
              <w:rPr>
                <w:rFonts w:hint="eastAsia" w:ascii="仿宋" w:hAnsi="仿宋" w:eastAsia="仿宋" w:cs="仿宋"/>
                <w:spacing w:val="5"/>
                <w:sz w:val="24"/>
                <w:szCs w:val="24"/>
              </w:rPr>
              <w:t>分。少于1000㎡不得分。</w:t>
            </w:r>
          </w:p>
          <w:p w14:paraId="121A2EC1">
            <w:pPr>
              <w:pStyle w:val="89"/>
              <w:spacing w:before="1" w:line="240" w:lineRule="auto"/>
              <w:ind w:left="106" w:right="83"/>
              <w:jc w:val="both"/>
              <w:rPr>
                <w:rFonts w:hint="eastAsia" w:ascii="仿宋" w:hAnsi="仿宋" w:eastAsia="仿宋" w:cs="仿宋"/>
                <w:sz w:val="24"/>
                <w:szCs w:val="24"/>
                <w:lang w:eastAsia="zh-CN"/>
              </w:rPr>
            </w:pPr>
            <w:r>
              <w:rPr>
                <w:rFonts w:hint="eastAsia" w:ascii="仿宋" w:hAnsi="仿宋" w:eastAsia="仿宋" w:cs="仿宋"/>
                <w:b/>
                <w:bCs/>
                <w:spacing w:val="9"/>
                <w:sz w:val="24"/>
                <w:szCs w:val="24"/>
              </w:rPr>
              <w:t>本项目要求投标人提供产权佐证或租赁合同文件、实景彩色照片等证明材料。并提供中标后在甲方项目所在地设置符合要求的仓库承诺书且中</w:t>
            </w:r>
            <w:r>
              <w:rPr>
                <w:rFonts w:hint="eastAsia" w:ascii="仿宋" w:hAnsi="仿宋" w:eastAsia="仿宋" w:cs="仿宋"/>
                <w:b/>
                <w:bCs/>
                <w:spacing w:val="8"/>
                <w:sz w:val="24"/>
                <w:szCs w:val="24"/>
              </w:rPr>
              <w:t>标后甲方将进行现场查验。上述资料全部提供视为一套有效证明材料，</w:t>
            </w:r>
            <w:r>
              <w:rPr>
                <w:rFonts w:hint="eastAsia" w:ascii="仿宋" w:hAnsi="仿宋" w:eastAsia="仿宋" w:cs="仿宋"/>
                <w:b/>
                <w:bCs/>
                <w:spacing w:val="9"/>
                <w:sz w:val="24"/>
                <w:szCs w:val="24"/>
              </w:rPr>
              <w:t>提供不全或未提供不得分</w:t>
            </w:r>
            <w:r>
              <w:rPr>
                <w:rFonts w:hint="eastAsia" w:cs="仿宋"/>
                <w:b/>
                <w:bCs/>
                <w:spacing w:val="9"/>
                <w:sz w:val="24"/>
                <w:szCs w:val="24"/>
                <w:lang w:eastAsia="zh-CN"/>
              </w:rPr>
              <w:t>。</w:t>
            </w:r>
          </w:p>
        </w:tc>
        <w:tc>
          <w:tcPr>
            <w:tcW w:w="1291" w:type="dxa"/>
            <w:vMerge w:val="restart"/>
            <w:tcBorders>
              <w:bottom w:val="nil"/>
            </w:tcBorders>
            <w:vAlign w:val="top"/>
          </w:tcPr>
          <w:p w14:paraId="071BAAAB">
            <w:pPr>
              <w:rPr>
                <w:rFonts w:hint="eastAsia" w:ascii="仿宋" w:hAnsi="仿宋" w:eastAsia="仿宋" w:cs="仿宋"/>
                <w:sz w:val="24"/>
                <w:szCs w:val="24"/>
              </w:rPr>
            </w:pPr>
          </w:p>
        </w:tc>
      </w:tr>
      <w:tr w14:paraId="01095F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3" w:hRule="atLeast"/>
        </w:trPr>
        <w:tc>
          <w:tcPr>
            <w:tcW w:w="850" w:type="dxa"/>
            <w:vMerge w:val="continue"/>
            <w:tcBorders>
              <w:top w:val="nil"/>
            </w:tcBorders>
            <w:vAlign w:val="top"/>
          </w:tcPr>
          <w:p w14:paraId="73396C74">
            <w:pPr>
              <w:rPr>
                <w:rFonts w:hint="eastAsia" w:ascii="仿宋" w:hAnsi="仿宋" w:eastAsia="仿宋" w:cs="仿宋"/>
                <w:sz w:val="24"/>
                <w:szCs w:val="24"/>
              </w:rPr>
            </w:pPr>
          </w:p>
        </w:tc>
        <w:tc>
          <w:tcPr>
            <w:tcW w:w="1232" w:type="dxa"/>
            <w:vAlign w:val="top"/>
          </w:tcPr>
          <w:p w14:paraId="20666AB6">
            <w:pPr>
              <w:spacing w:line="281" w:lineRule="auto"/>
              <w:rPr>
                <w:rFonts w:hint="eastAsia" w:ascii="仿宋" w:hAnsi="仿宋" w:eastAsia="仿宋" w:cs="仿宋"/>
                <w:sz w:val="24"/>
                <w:szCs w:val="24"/>
              </w:rPr>
            </w:pPr>
          </w:p>
          <w:p w14:paraId="3ACB6974">
            <w:pPr>
              <w:spacing w:line="281" w:lineRule="auto"/>
              <w:rPr>
                <w:rFonts w:hint="eastAsia" w:ascii="仿宋" w:hAnsi="仿宋" w:eastAsia="仿宋" w:cs="仿宋"/>
                <w:sz w:val="24"/>
                <w:szCs w:val="24"/>
              </w:rPr>
            </w:pPr>
          </w:p>
          <w:p w14:paraId="22EF0847">
            <w:pPr>
              <w:spacing w:line="282" w:lineRule="auto"/>
              <w:rPr>
                <w:rFonts w:hint="eastAsia" w:ascii="仿宋" w:hAnsi="仿宋" w:eastAsia="仿宋" w:cs="仿宋"/>
                <w:sz w:val="24"/>
                <w:szCs w:val="24"/>
              </w:rPr>
            </w:pPr>
          </w:p>
          <w:p w14:paraId="2A7BE25B">
            <w:pPr>
              <w:spacing w:line="282" w:lineRule="auto"/>
              <w:rPr>
                <w:rFonts w:hint="eastAsia" w:ascii="仿宋" w:hAnsi="仿宋" w:eastAsia="仿宋" w:cs="仿宋"/>
                <w:sz w:val="24"/>
                <w:szCs w:val="24"/>
              </w:rPr>
            </w:pPr>
          </w:p>
          <w:p w14:paraId="195F0862">
            <w:pPr>
              <w:spacing w:line="282" w:lineRule="auto"/>
              <w:rPr>
                <w:rFonts w:hint="eastAsia" w:ascii="仿宋" w:hAnsi="仿宋" w:eastAsia="仿宋" w:cs="仿宋"/>
                <w:sz w:val="24"/>
                <w:szCs w:val="24"/>
              </w:rPr>
            </w:pPr>
          </w:p>
          <w:p w14:paraId="0D0650D5">
            <w:pPr>
              <w:pStyle w:val="89"/>
              <w:spacing w:before="86" w:line="182" w:lineRule="auto"/>
              <w:ind w:left="194"/>
              <w:rPr>
                <w:rFonts w:hint="eastAsia" w:ascii="仿宋" w:hAnsi="仿宋" w:eastAsia="仿宋" w:cs="仿宋"/>
                <w:sz w:val="24"/>
                <w:szCs w:val="24"/>
              </w:rPr>
            </w:pPr>
            <w:r>
              <w:rPr>
                <w:rFonts w:hint="eastAsia" w:ascii="仿宋" w:hAnsi="仿宋" w:eastAsia="仿宋" w:cs="仿宋"/>
                <w:spacing w:val="8"/>
                <w:sz w:val="24"/>
                <w:szCs w:val="24"/>
              </w:rPr>
              <w:t>人员安排</w:t>
            </w:r>
          </w:p>
          <w:p w14:paraId="0D0F659A">
            <w:pPr>
              <w:pStyle w:val="89"/>
              <w:spacing w:before="1" w:line="188" w:lineRule="auto"/>
              <w:ind w:left="197"/>
              <w:rPr>
                <w:rFonts w:hint="eastAsia" w:ascii="仿宋" w:hAnsi="仿宋" w:eastAsia="仿宋" w:cs="仿宋"/>
                <w:sz w:val="24"/>
                <w:szCs w:val="24"/>
              </w:rPr>
            </w:pPr>
            <w:r>
              <w:rPr>
                <w:rFonts w:hint="eastAsia" w:ascii="仿宋" w:hAnsi="仿宋" w:eastAsia="仿宋" w:cs="仿宋"/>
                <w:spacing w:val="7"/>
                <w:sz w:val="24"/>
                <w:szCs w:val="24"/>
              </w:rPr>
              <w:t>配置情况</w:t>
            </w:r>
          </w:p>
        </w:tc>
        <w:tc>
          <w:tcPr>
            <w:tcW w:w="600" w:type="dxa"/>
            <w:vAlign w:val="top"/>
          </w:tcPr>
          <w:p w14:paraId="0227FD95">
            <w:pPr>
              <w:spacing w:line="249" w:lineRule="auto"/>
              <w:rPr>
                <w:rFonts w:hint="eastAsia" w:ascii="仿宋" w:hAnsi="仿宋" w:eastAsia="仿宋" w:cs="仿宋"/>
                <w:sz w:val="24"/>
                <w:szCs w:val="24"/>
              </w:rPr>
            </w:pPr>
          </w:p>
          <w:p w14:paraId="2352188E">
            <w:pPr>
              <w:spacing w:line="250" w:lineRule="auto"/>
              <w:rPr>
                <w:rFonts w:hint="eastAsia" w:ascii="仿宋" w:hAnsi="仿宋" w:eastAsia="仿宋" w:cs="仿宋"/>
                <w:sz w:val="24"/>
                <w:szCs w:val="24"/>
              </w:rPr>
            </w:pPr>
          </w:p>
          <w:p w14:paraId="78C765BD">
            <w:pPr>
              <w:spacing w:line="250" w:lineRule="auto"/>
              <w:rPr>
                <w:rFonts w:hint="eastAsia" w:ascii="仿宋" w:hAnsi="仿宋" w:eastAsia="仿宋" w:cs="仿宋"/>
                <w:sz w:val="24"/>
                <w:szCs w:val="24"/>
              </w:rPr>
            </w:pPr>
          </w:p>
          <w:p w14:paraId="1B4906D9">
            <w:pPr>
              <w:spacing w:line="250" w:lineRule="auto"/>
              <w:rPr>
                <w:rFonts w:hint="eastAsia" w:ascii="仿宋" w:hAnsi="仿宋" w:eastAsia="仿宋" w:cs="仿宋"/>
                <w:sz w:val="24"/>
                <w:szCs w:val="24"/>
              </w:rPr>
            </w:pPr>
          </w:p>
          <w:p w14:paraId="51269D31">
            <w:pPr>
              <w:spacing w:line="250" w:lineRule="auto"/>
              <w:rPr>
                <w:rFonts w:hint="eastAsia" w:ascii="仿宋" w:hAnsi="仿宋" w:eastAsia="仿宋" w:cs="仿宋"/>
                <w:sz w:val="24"/>
                <w:szCs w:val="24"/>
              </w:rPr>
            </w:pPr>
          </w:p>
          <w:p w14:paraId="28A14979">
            <w:pPr>
              <w:spacing w:line="250" w:lineRule="auto"/>
              <w:rPr>
                <w:rFonts w:hint="eastAsia" w:ascii="仿宋" w:hAnsi="仿宋" w:eastAsia="仿宋" w:cs="仿宋"/>
                <w:sz w:val="24"/>
                <w:szCs w:val="24"/>
              </w:rPr>
            </w:pPr>
          </w:p>
          <w:p w14:paraId="7DBF1658">
            <w:pPr>
              <w:pStyle w:val="89"/>
              <w:spacing w:before="86" w:line="359" w:lineRule="exact"/>
              <w:ind w:left="192"/>
              <w:rPr>
                <w:rFonts w:hint="eastAsia" w:ascii="仿宋" w:hAnsi="仿宋" w:eastAsia="仿宋" w:cs="仿宋"/>
                <w:sz w:val="24"/>
                <w:szCs w:val="24"/>
              </w:rPr>
            </w:pPr>
            <w:r>
              <w:rPr>
                <w:rFonts w:hint="eastAsia" w:ascii="仿宋" w:hAnsi="仿宋" w:eastAsia="仿宋" w:cs="仿宋"/>
                <w:spacing w:val="-5"/>
                <w:position w:val="3"/>
                <w:sz w:val="24"/>
                <w:szCs w:val="24"/>
              </w:rPr>
              <w:t>10</w:t>
            </w:r>
          </w:p>
        </w:tc>
        <w:tc>
          <w:tcPr>
            <w:tcW w:w="6402" w:type="dxa"/>
            <w:vAlign w:val="top"/>
          </w:tcPr>
          <w:p w14:paraId="06AE6625">
            <w:pPr>
              <w:pStyle w:val="89"/>
              <w:spacing w:before="71" w:line="240" w:lineRule="auto"/>
              <w:ind w:left="106" w:right="102" w:firstLine="15"/>
              <w:jc w:val="both"/>
              <w:rPr>
                <w:rFonts w:hint="eastAsia" w:ascii="仿宋" w:hAnsi="仿宋" w:eastAsia="仿宋" w:cs="仿宋"/>
                <w:sz w:val="24"/>
                <w:szCs w:val="24"/>
                <w:lang w:eastAsia="zh-CN"/>
              </w:rPr>
            </w:pPr>
            <w:r>
              <w:rPr>
                <w:rFonts w:hint="eastAsia" w:ascii="仿宋" w:hAnsi="仿宋" w:eastAsia="仿宋" w:cs="仿宋"/>
                <w:spacing w:val="3"/>
                <w:sz w:val="24"/>
                <w:szCs w:val="24"/>
              </w:rPr>
              <w:t>1.为确保食品安全、及时处理食材订单、核对账目、食材配送等工作顺利开展，以保障学校（幼儿园）按时供餐，需配备专职的工作人员，</w:t>
            </w:r>
            <w:r>
              <w:rPr>
                <w:rFonts w:hint="eastAsia" w:ascii="仿宋" w:hAnsi="仿宋" w:eastAsia="仿宋" w:cs="仿宋"/>
                <w:spacing w:val="8"/>
                <w:sz w:val="24"/>
                <w:szCs w:val="24"/>
              </w:rPr>
              <w:t>并明确职责分工</w:t>
            </w:r>
            <w:r>
              <w:rPr>
                <w:rFonts w:hint="eastAsia" w:cs="仿宋"/>
                <w:spacing w:val="8"/>
                <w:sz w:val="24"/>
                <w:szCs w:val="24"/>
                <w:lang w:eastAsia="zh-CN"/>
              </w:rPr>
              <w:t>：</w:t>
            </w:r>
          </w:p>
          <w:p w14:paraId="1A198CE4">
            <w:pPr>
              <w:pStyle w:val="89"/>
              <w:spacing w:before="34" w:line="240" w:lineRule="auto"/>
              <w:ind w:left="107"/>
              <w:rPr>
                <w:rFonts w:hint="eastAsia" w:ascii="仿宋" w:hAnsi="仿宋" w:eastAsia="仿宋" w:cs="仿宋"/>
                <w:sz w:val="24"/>
                <w:szCs w:val="24"/>
              </w:rPr>
            </w:pPr>
            <w:r>
              <w:rPr>
                <w:rFonts w:hint="eastAsia" w:ascii="仿宋" w:hAnsi="仿宋" w:eastAsia="仿宋" w:cs="仿宋"/>
                <w:spacing w:val="3"/>
                <w:sz w:val="24"/>
                <w:szCs w:val="24"/>
              </w:rPr>
              <w:t>投入本项目配送人员≥30人，得6分</w:t>
            </w:r>
            <w:r>
              <w:rPr>
                <w:rFonts w:hint="eastAsia" w:cs="仿宋"/>
                <w:spacing w:val="3"/>
                <w:sz w:val="24"/>
                <w:szCs w:val="24"/>
                <w:lang w:eastAsia="zh-CN"/>
              </w:rPr>
              <w:t>；</w:t>
            </w:r>
            <w:r>
              <w:rPr>
                <w:rFonts w:hint="eastAsia" w:ascii="仿宋" w:hAnsi="仿宋" w:eastAsia="仿宋" w:cs="仿宋"/>
                <w:spacing w:val="5"/>
                <w:sz w:val="24"/>
                <w:szCs w:val="24"/>
              </w:rPr>
              <w:t>投入本项目配送人员&lt;30人但≥10人</w:t>
            </w:r>
            <w:r>
              <w:rPr>
                <w:rFonts w:hint="eastAsia" w:ascii="仿宋" w:hAnsi="仿宋" w:eastAsia="仿宋" w:cs="仿宋"/>
                <w:spacing w:val="4"/>
                <w:sz w:val="24"/>
                <w:szCs w:val="24"/>
              </w:rPr>
              <w:t>，得3分</w:t>
            </w:r>
            <w:r>
              <w:rPr>
                <w:rFonts w:hint="eastAsia" w:cs="仿宋"/>
                <w:spacing w:val="4"/>
                <w:sz w:val="24"/>
                <w:szCs w:val="24"/>
                <w:lang w:eastAsia="zh-CN"/>
              </w:rPr>
              <w:t>；</w:t>
            </w:r>
            <w:r>
              <w:rPr>
                <w:rFonts w:hint="eastAsia" w:ascii="仿宋" w:hAnsi="仿宋" w:eastAsia="仿宋" w:cs="仿宋"/>
                <w:spacing w:val="4"/>
                <w:sz w:val="24"/>
                <w:szCs w:val="24"/>
              </w:rPr>
              <w:t>投入本项目配送人员&lt;10人，得1分。</w:t>
            </w:r>
          </w:p>
          <w:p w14:paraId="44821A14">
            <w:pPr>
              <w:pStyle w:val="89"/>
              <w:spacing w:before="1" w:line="240" w:lineRule="auto"/>
              <w:ind w:left="105" w:right="150" w:firstLine="8"/>
              <w:jc w:val="both"/>
              <w:rPr>
                <w:rFonts w:hint="eastAsia" w:ascii="仿宋" w:hAnsi="仿宋" w:eastAsia="仿宋" w:cs="仿宋"/>
                <w:sz w:val="24"/>
                <w:szCs w:val="24"/>
              </w:rPr>
            </w:pPr>
            <w:r>
              <w:rPr>
                <w:rFonts w:hint="eastAsia" w:ascii="仿宋" w:hAnsi="仿宋" w:eastAsia="仿宋" w:cs="仿宋"/>
                <w:spacing w:val="11"/>
                <w:sz w:val="24"/>
                <w:szCs w:val="24"/>
              </w:rPr>
              <w:t>2.投标人配齐食品安全总监和食品质量</w:t>
            </w:r>
            <w:r>
              <w:rPr>
                <w:rFonts w:hint="eastAsia" w:cs="仿宋"/>
                <w:spacing w:val="11"/>
                <w:sz w:val="24"/>
                <w:szCs w:val="24"/>
                <w:lang w:val="en-US" w:eastAsia="zh-CN"/>
              </w:rPr>
              <w:t>检验</w:t>
            </w:r>
            <w:r>
              <w:rPr>
                <w:rFonts w:hint="eastAsia" w:ascii="仿宋" w:hAnsi="仿宋" w:eastAsia="仿宋" w:cs="仿宋"/>
                <w:spacing w:val="11"/>
                <w:sz w:val="24"/>
                <w:szCs w:val="24"/>
              </w:rPr>
              <w:t>员，专门负责食品安全工</w:t>
            </w:r>
            <w:r>
              <w:rPr>
                <w:rFonts w:hint="eastAsia" w:ascii="仿宋" w:hAnsi="仿宋" w:eastAsia="仿宋" w:cs="仿宋"/>
                <w:spacing w:val="-2"/>
                <w:sz w:val="24"/>
                <w:szCs w:val="24"/>
              </w:rPr>
              <w:t>作，配备1名食品安全总监（2分</w:t>
            </w:r>
            <w:r>
              <w:rPr>
                <w:rFonts w:hint="eastAsia" w:ascii="仿宋" w:hAnsi="仿宋" w:eastAsia="仿宋" w:cs="仿宋"/>
                <w:spacing w:val="-40"/>
                <w:w w:val="90"/>
                <w:sz w:val="24"/>
                <w:szCs w:val="24"/>
              </w:rPr>
              <w:t>）；</w:t>
            </w:r>
            <w:r>
              <w:rPr>
                <w:rFonts w:hint="eastAsia" w:ascii="仿宋" w:hAnsi="仿宋" w:eastAsia="仿宋" w:cs="仿宋"/>
                <w:spacing w:val="-2"/>
                <w:sz w:val="24"/>
                <w:szCs w:val="24"/>
              </w:rPr>
              <w:t>配备一名食品质量</w:t>
            </w:r>
            <w:r>
              <w:rPr>
                <w:rFonts w:hint="eastAsia" w:cs="仿宋"/>
                <w:spacing w:val="-2"/>
                <w:sz w:val="24"/>
                <w:szCs w:val="24"/>
                <w:lang w:val="en-US" w:eastAsia="zh-CN"/>
              </w:rPr>
              <w:t>检验</w:t>
            </w:r>
            <w:r>
              <w:rPr>
                <w:rFonts w:hint="eastAsia" w:ascii="仿宋" w:hAnsi="仿宋" w:eastAsia="仿宋" w:cs="仿宋"/>
                <w:spacing w:val="-2"/>
                <w:sz w:val="24"/>
                <w:szCs w:val="24"/>
              </w:rPr>
              <w:t>员（2分</w:t>
            </w:r>
            <w:r>
              <w:rPr>
                <w:rFonts w:hint="eastAsia" w:ascii="仿宋" w:hAnsi="仿宋" w:eastAsia="仿宋" w:cs="仿宋"/>
                <w:spacing w:val="-3"/>
                <w:sz w:val="24"/>
                <w:szCs w:val="24"/>
              </w:rPr>
              <w:t>）。</w:t>
            </w:r>
            <w:r>
              <w:rPr>
                <w:rFonts w:hint="eastAsia" w:ascii="仿宋" w:hAnsi="仿宋" w:eastAsia="仿宋" w:cs="仿宋"/>
                <w:spacing w:val="4"/>
                <w:sz w:val="24"/>
                <w:szCs w:val="24"/>
              </w:rPr>
              <w:t>满分4分。</w:t>
            </w:r>
          </w:p>
          <w:p w14:paraId="4C4C1264">
            <w:pPr>
              <w:pStyle w:val="89"/>
              <w:spacing w:before="2" w:line="189" w:lineRule="auto"/>
              <w:ind w:left="106" w:right="108"/>
              <w:jc w:val="both"/>
              <w:rPr>
                <w:rFonts w:hint="eastAsia" w:ascii="仿宋" w:hAnsi="仿宋" w:eastAsia="仿宋" w:cs="仿宋"/>
                <w:sz w:val="24"/>
                <w:szCs w:val="24"/>
              </w:rPr>
            </w:pPr>
            <w:r>
              <w:rPr>
                <w:rFonts w:hint="eastAsia" w:ascii="仿宋" w:hAnsi="仿宋" w:eastAsia="仿宋" w:cs="仿宋"/>
                <w:b/>
                <w:bCs/>
                <w:spacing w:val="6"/>
                <w:sz w:val="24"/>
                <w:szCs w:val="24"/>
              </w:rPr>
              <w:t>注：</w:t>
            </w:r>
            <w:r>
              <w:rPr>
                <w:rFonts w:hint="eastAsia" w:cs="仿宋"/>
                <w:b/>
                <w:bCs/>
                <w:spacing w:val="6"/>
                <w:sz w:val="24"/>
                <w:szCs w:val="24"/>
                <w:lang w:val="en-US" w:eastAsia="zh-CN"/>
              </w:rPr>
              <w:t>以上人员</w:t>
            </w:r>
            <w:r>
              <w:rPr>
                <w:rFonts w:hint="eastAsia" w:ascii="仿宋" w:hAnsi="仿宋" w:eastAsia="仿宋" w:cs="仿宋"/>
                <w:b/>
                <w:bCs/>
                <w:spacing w:val="6"/>
                <w:sz w:val="24"/>
                <w:szCs w:val="24"/>
              </w:rPr>
              <w:t>须提供人员</w:t>
            </w:r>
            <w:r>
              <w:rPr>
                <w:rFonts w:hint="eastAsia" w:cs="仿宋"/>
                <w:b/>
                <w:bCs/>
                <w:spacing w:val="6"/>
                <w:sz w:val="24"/>
                <w:szCs w:val="24"/>
                <w:lang w:val="en-US" w:eastAsia="zh-CN"/>
              </w:rPr>
              <w:t>近3个月</w:t>
            </w:r>
            <w:r>
              <w:rPr>
                <w:rFonts w:hint="eastAsia" w:ascii="仿宋" w:hAnsi="仿宋" w:eastAsia="仿宋" w:cs="仿宋"/>
                <w:b/>
                <w:bCs/>
                <w:spacing w:val="6"/>
                <w:sz w:val="24"/>
                <w:szCs w:val="24"/>
              </w:rPr>
              <w:t>的社保、有效期内</w:t>
            </w:r>
            <w:r>
              <w:rPr>
                <w:rFonts w:hint="eastAsia" w:ascii="仿宋" w:hAnsi="仿宋" w:eastAsia="仿宋" w:cs="仿宋"/>
                <w:b/>
                <w:bCs/>
                <w:spacing w:val="5"/>
                <w:sz w:val="24"/>
                <w:szCs w:val="24"/>
              </w:rPr>
              <w:t>的健康证明、劳务合同</w:t>
            </w:r>
            <w:r>
              <w:rPr>
                <w:rFonts w:hint="eastAsia" w:ascii="仿宋" w:hAnsi="仿宋" w:eastAsia="仿宋" w:cs="仿宋"/>
                <w:b/>
                <w:bCs/>
                <w:spacing w:val="9"/>
                <w:sz w:val="24"/>
                <w:szCs w:val="24"/>
              </w:rPr>
              <w:t>、身份证、联系方式等相关资料。</w:t>
            </w:r>
            <w:r>
              <w:rPr>
                <w:rFonts w:hint="eastAsia" w:ascii="仿宋" w:hAnsi="仿宋" w:eastAsia="仿宋" w:cs="仿宋"/>
                <w:b/>
                <w:bCs/>
                <w:spacing w:val="8"/>
                <w:sz w:val="24"/>
                <w:szCs w:val="24"/>
              </w:rPr>
              <w:t>提供不全或不提供不得分。</w:t>
            </w:r>
          </w:p>
        </w:tc>
        <w:tc>
          <w:tcPr>
            <w:tcW w:w="1291" w:type="dxa"/>
            <w:vMerge w:val="continue"/>
            <w:tcBorders>
              <w:top w:val="nil"/>
            </w:tcBorders>
            <w:vAlign w:val="top"/>
          </w:tcPr>
          <w:p w14:paraId="404D2890">
            <w:pPr>
              <w:rPr>
                <w:rFonts w:hint="eastAsia" w:ascii="仿宋" w:hAnsi="仿宋" w:eastAsia="仿宋" w:cs="仿宋"/>
                <w:sz w:val="24"/>
                <w:szCs w:val="24"/>
              </w:rPr>
            </w:pPr>
          </w:p>
        </w:tc>
      </w:tr>
      <w:tr w14:paraId="738139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9" w:hRule="atLeast"/>
        </w:trPr>
        <w:tc>
          <w:tcPr>
            <w:tcW w:w="850" w:type="dxa"/>
            <w:vAlign w:val="top"/>
          </w:tcPr>
          <w:p w14:paraId="6226C47C">
            <w:pPr>
              <w:rPr>
                <w:rFonts w:hint="eastAsia" w:ascii="仿宋" w:hAnsi="仿宋" w:eastAsia="仿宋" w:cs="仿宋"/>
                <w:sz w:val="24"/>
                <w:szCs w:val="24"/>
              </w:rPr>
            </w:pPr>
          </w:p>
        </w:tc>
        <w:tc>
          <w:tcPr>
            <w:tcW w:w="1232" w:type="dxa"/>
            <w:vAlign w:val="top"/>
          </w:tcPr>
          <w:p w14:paraId="235F04B8">
            <w:pPr>
              <w:spacing w:line="284" w:lineRule="auto"/>
              <w:rPr>
                <w:rFonts w:hint="eastAsia" w:ascii="仿宋" w:hAnsi="仿宋" w:eastAsia="仿宋" w:cs="仿宋"/>
                <w:sz w:val="24"/>
                <w:szCs w:val="24"/>
              </w:rPr>
            </w:pPr>
          </w:p>
          <w:p w14:paraId="6CD1B553">
            <w:pPr>
              <w:spacing w:line="284" w:lineRule="auto"/>
              <w:rPr>
                <w:rFonts w:hint="eastAsia" w:ascii="仿宋" w:hAnsi="仿宋" w:eastAsia="仿宋" w:cs="仿宋"/>
                <w:sz w:val="24"/>
                <w:szCs w:val="24"/>
              </w:rPr>
            </w:pPr>
          </w:p>
          <w:p w14:paraId="5FF49399">
            <w:pPr>
              <w:spacing w:line="284" w:lineRule="auto"/>
              <w:rPr>
                <w:rFonts w:hint="eastAsia" w:ascii="仿宋" w:hAnsi="仿宋" w:eastAsia="仿宋" w:cs="仿宋"/>
                <w:sz w:val="24"/>
                <w:szCs w:val="24"/>
              </w:rPr>
            </w:pPr>
          </w:p>
          <w:p w14:paraId="1CCF2CC8">
            <w:pPr>
              <w:pStyle w:val="89"/>
              <w:spacing w:before="86" w:line="190" w:lineRule="auto"/>
              <w:ind w:left="192"/>
              <w:rPr>
                <w:rFonts w:hint="eastAsia" w:ascii="仿宋" w:hAnsi="仿宋" w:eastAsia="仿宋" w:cs="仿宋"/>
                <w:sz w:val="24"/>
                <w:szCs w:val="24"/>
              </w:rPr>
            </w:pPr>
            <w:r>
              <w:rPr>
                <w:rFonts w:hint="eastAsia" w:ascii="仿宋" w:hAnsi="仿宋" w:eastAsia="仿宋" w:cs="仿宋"/>
                <w:spacing w:val="9"/>
                <w:sz w:val="24"/>
                <w:szCs w:val="24"/>
              </w:rPr>
              <w:t>售后服务</w:t>
            </w:r>
          </w:p>
        </w:tc>
        <w:tc>
          <w:tcPr>
            <w:tcW w:w="600" w:type="dxa"/>
            <w:vAlign w:val="top"/>
          </w:tcPr>
          <w:p w14:paraId="7220A1A3">
            <w:pPr>
              <w:spacing w:line="271" w:lineRule="auto"/>
              <w:rPr>
                <w:rFonts w:hint="eastAsia" w:ascii="仿宋" w:hAnsi="仿宋" w:eastAsia="仿宋" w:cs="仿宋"/>
                <w:sz w:val="24"/>
                <w:szCs w:val="24"/>
              </w:rPr>
            </w:pPr>
          </w:p>
          <w:p w14:paraId="41C17331">
            <w:pPr>
              <w:spacing w:line="271" w:lineRule="auto"/>
              <w:rPr>
                <w:rFonts w:hint="eastAsia" w:ascii="仿宋" w:hAnsi="仿宋" w:eastAsia="仿宋" w:cs="仿宋"/>
                <w:sz w:val="24"/>
                <w:szCs w:val="24"/>
              </w:rPr>
            </w:pPr>
          </w:p>
          <w:p w14:paraId="263CF554">
            <w:pPr>
              <w:spacing w:line="272" w:lineRule="auto"/>
              <w:rPr>
                <w:rFonts w:hint="eastAsia" w:ascii="仿宋" w:hAnsi="仿宋" w:eastAsia="仿宋" w:cs="仿宋"/>
                <w:sz w:val="24"/>
                <w:szCs w:val="24"/>
              </w:rPr>
            </w:pPr>
          </w:p>
          <w:p w14:paraId="69FB5019">
            <w:pPr>
              <w:pStyle w:val="89"/>
              <w:spacing w:before="86" w:line="362" w:lineRule="exact"/>
              <w:ind w:left="235"/>
              <w:rPr>
                <w:rFonts w:hint="eastAsia" w:ascii="仿宋" w:hAnsi="仿宋" w:eastAsia="仿宋" w:cs="仿宋"/>
                <w:sz w:val="24"/>
                <w:szCs w:val="24"/>
              </w:rPr>
            </w:pPr>
            <w:r>
              <w:rPr>
                <w:rFonts w:hint="eastAsia" w:ascii="仿宋" w:hAnsi="仿宋" w:eastAsia="仿宋" w:cs="仿宋"/>
                <w:spacing w:val="3"/>
                <w:position w:val="3"/>
                <w:sz w:val="24"/>
                <w:szCs w:val="24"/>
              </w:rPr>
              <w:t>4</w:t>
            </w:r>
          </w:p>
        </w:tc>
        <w:tc>
          <w:tcPr>
            <w:tcW w:w="6402" w:type="dxa"/>
            <w:vAlign w:val="top"/>
          </w:tcPr>
          <w:p w14:paraId="60D6BBFF">
            <w:pPr>
              <w:pStyle w:val="89"/>
              <w:spacing w:before="31" w:line="240" w:lineRule="auto"/>
              <w:ind w:left="105" w:right="105"/>
              <w:jc w:val="both"/>
              <w:rPr>
                <w:rFonts w:hint="eastAsia" w:ascii="仿宋" w:hAnsi="仿宋" w:eastAsia="仿宋" w:cs="仿宋"/>
                <w:spacing w:val="-20"/>
                <w:sz w:val="24"/>
                <w:szCs w:val="24"/>
              </w:rPr>
            </w:pPr>
            <w:r>
              <w:rPr>
                <w:rFonts w:hint="eastAsia" w:cs="仿宋"/>
                <w:spacing w:val="11"/>
                <w:sz w:val="24"/>
                <w:szCs w:val="24"/>
                <w:lang w:val="en-US" w:eastAsia="zh-CN"/>
              </w:rPr>
              <w:t>1、</w:t>
            </w:r>
            <w:r>
              <w:rPr>
                <w:rFonts w:hint="eastAsia" w:ascii="仿宋" w:hAnsi="仿宋" w:eastAsia="仿宋" w:cs="仿宋"/>
                <w:spacing w:val="11"/>
                <w:sz w:val="24"/>
                <w:szCs w:val="24"/>
              </w:rPr>
              <w:t>换货的人员保障，方案上要有专职售后服务回访、退</w:t>
            </w:r>
            <w:r>
              <w:rPr>
                <w:rFonts w:hint="eastAsia" w:ascii="仿宋" w:hAnsi="仿宋" w:eastAsia="仿宋" w:cs="仿宋"/>
                <w:spacing w:val="10"/>
                <w:sz w:val="24"/>
                <w:szCs w:val="24"/>
              </w:rPr>
              <w:t>还需求处理人</w:t>
            </w:r>
            <w:r>
              <w:rPr>
                <w:rFonts w:hint="eastAsia" w:ascii="仿宋" w:hAnsi="仿宋" w:eastAsia="仿宋" w:cs="仿宋"/>
                <w:spacing w:val="3"/>
                <w:sz w:val="24"/>
                <w:szCs w:val="24"/>
              </w:rPr>
              <w:t>员，有专职处理人员≧5人得2分（提供</w:t>
            </w:r>
            <w:r>
              <w:rPr>
                <w:rFonts w:hint="eastAsia" w:cs="仿宋"/>
                <w:spacing w:val="3"/>
                <w:sz w:val="24"/>
                <w:szCs w:val="24"/>
                <w:lang w:val="en-US" w:eastAsia="zh-CN"/>
              </w:rPr>
              <w:t>近3个月的</w:t>
            </w:r>
            <w:r>
              <w:rPr>
                <w:rFonts w:hint="eastAsia" w:ascii="仿宋" w:hAnsi="仿宋" w:eastAsia="仿宋" w:cs="仿宋"/>
                <w:spacing w:val="3"/>
                <w:sz w:val="24"/>
                <w:szCs w:val="24"/>
              </w:rPr>
              <w:t>社保证明文件</w:t>
            </w:r>
            <w:r>
              <w:rPr>
                <w:rFonts w:hint="eastAsia" w:ascii="仿宋" w:hAnsi="仿宋" w:eastAsia="仿宋" w:cs="仿宋"/>
                <w:spacing w:val="2"/>
                <w:sz w:val="24"/>
                <w:szCs w:val="24"/>
              </w:rPr>
              <w:t>，未</w:t>
            </w:r>
            <w:r>
              <w:rPr>
                <w:rFonts w:hint="eastAsia" w:ascii="仿宋" w:hAnsi="仿宋" w:eastAsia="仿宋" w:cs="仿宋"/>
                <w:spacing w:val="9"/>
                <w:sz w:val="24"/>
                <w:szCs w:val="24"/>
              </w:rPr>
              <w:t>提供不得分</w:t>
            </w:r>
            <w:r>
              <w:rPr>
                <w:rFonts w:hint="eastAsia" w:ascii="仿宋" w:hAnsi="仿宋" w:eastAsia="仿宋" w:cs="仿宋"/>
                <w:spacing w:val="-20"/>
                <w:sz w:val="24"/>
                <w:szCs w:val="24"/>
              </w:rPr>
              <w:t>），</w:t>
            </w:r>
          </w:p>
          <w:p w14:paraId="735CB30B">
            <w:pPr>
              <w:pStyle w:val="89"/>
              <w:spacing w:before="31" w:line="240" w:lineRule="auto"/>
              <w:ind w:left="105" w:right="105"/>
              <w:jc w:val="both"/>
              <w:rPr>
                <w:rFonts w:hint="eastAsia" w:ascii="仿宋" w:hAnsi="仿宋" w:eastAsia="仿宋" w:cs="仿宋"/>
                <w:sz w:val="24"/>
                <w:szCs w:val="24"/>
                <w:lang w:eastAsia="zh-CN"/>
              </w:rPr>
            </w:pPr>
            <w:r>
              <w:rPr>
                <w:rFonts w:hint="eastAsia" w:cs="仿宋"/>
                <w:spacing w:val="9"/>
                <w:sz w:val="24"/>
                <w:szCs w:val="24"/>
                <w:lang w:val="en-US" w:eastAsia="zh-CN"/>
              </w:rPr>
              <w:t>2、</w:t>
            </w:r>
            <w:r>
              <w:rPr>
                <w:rFonts w:hint="eastAsia" w:ascii="仿宋" w:hAnsi="仿宋" w:eastAsia="仿宋" w:cs="仿宋"/>
                <w:spacing w:val="9"/>
                <w:sz w:val="24"/>
                <w:szCs w:val="24"/>
              </w:rPr>
              <w:t>退换货方案完整，对本项目具有</w:t>
            </w:r>
            <w:r>
              <w:rPr>
                <w:rFonts w:hint="eastAsia" w:ascii="仿宋" w:hAnsi="仿宋" w:eastAsia="仿宋" w:cs="仿宋"/>
                <w:spacing w:val="8"/>
                <w:sz w:val="24"/>
                <w:szCs w:val="24"/>
              </w:rPr>
              <w:t>建设性意见，得2</w:t>
            </w:r>
            <w:r>
              <w:rPr>
                <w:rFonts w:hint="eastAsia" w:ascii="仿宋" w:hAnsi="仿宋" w:eastAsia="仿宋" w:cs="仿宋"/>
                <w:spacing w:val="-2"/>
                <w:sz w:val="24"/>
                <w:szCs w:val="24"/>
              </w:rPr>
              <w:t>分</w:t>
            </w:r>
            <w:r>
              <w:rPr>
                <w:rFonts w:hint="eastAsia" w:cs="仿宋"/>
                <w:spacing w:val="-2"/>
                <w:sz w:val="24"/>
                <w:szCs w:val="24"/>
                <w:lang w:eastAsia="zh-CN"/>
              </w:rPr>
              <w:t>。</w:t>
            </w:r>
            <w:r>
              <w:rPr>
                <w:rFonts w:hint="eastAsia" w:cs="仿宋"/>
                <w:spacing w:val="-2"/>
                <w:sz w:val="24"/>
                <w:szCs w:val="24"/>
                <w:lang w:val="en-US" w:eastAsia="zh-CN"/>
              </w:rPr>
              <w:t>满分</w:t>
            </w:r>
            <w:r>
              <w:rPr>
                <w:rFonts w:hint="eastAsia" w:ascii="仿宋" w:hAnsi="仿宋" w:eastAsia="仿宋" w:cs="仿宋"/>
                <w:spacing w:val="-2"/>
                <w:sz w:val="24"/>
                <w:szCs w:val="24"/>
              </w:rPr>
              <w:t>4分</w:t>
            </w:r>
            <w:r>
              <w:rPr>
                <w:rFonts w:hint="eastAsia" w:cs="仿宋"/>
                <w:spacing w:val="-2"/>
                <w:sz w:val="24"/>
                <w:szCs w:val="24"/>
                <w:lang w:eastAsia="zh-CN"/>
              </w:rPr>
              <w:t>，</w:t>
            </w:r>
            <w:r>
              <w:rPr>
                <w:rFonts w:hint="eastAsia" w:ascii="仿宋" w:hAnsi="仿宋" w:eastAsia="仿宋" w:cs="仿宋"/>
                <w:spacing w:val="1"/>
                <w:sz w:val="24"/>
                <w:szCs w:val="24"/>
              </w:rPr>
              <w:t>不提供不得分</w:t>
            </w:r>
            <w:r>
              <w:rPr>
                <w:rFonts w:hint="eastAsia" w:cs="仿宋"/>
                <w:spacing w:val="1"/>
                <w:sz w:val="24"/>
                <w:szCs w:val="24"/>
                <w:lang w:eastAsia="zh-CN"/>
              </w:rPr>
              <w:t>。</w:t>
            </w:r>
          </w:p>
        </w:tc>
        <w:tc>
          <w:tcPr>
            <w:tcW w:w="1291" w:type="dxa"/>
            <w:vAlign w:val="top"/>
          </w:tcPr>
          <w:p w14:paraId="67EBE7A1">
            <w:pPr>
              <w:rPr>
                <w:rFonts w:hint="eastAsia" w:ascii="仿宋" w:hAnsi="仿宋" w:eastAsia="仿宋" w:cs="仿宋"/>
                <w:sz w:val="24"/>
                <w:szCs w:val="24"/>
              </w:rPr>
            </w:pPr>
          </w:p>
        </w:tc>
      </w:tr>
      <w:tr w14:paraId="5A9F12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trPr>
        <w:tc>
          <w:tcPr>
            <w:tcW w:w="10375" w:type="dxa"/>
            <w:gridSpan w:val="5"/>
            <w:vAlign w:val="center"/>
          </w:tcPr>
          <w:p w14:paraId="2C1AA889">
            <w:pPr>
              <w:pStyle w:val="89"/>
              <w:spacing w:before="35" w:line="240" w:lineRule="auto"/>
              <w:ind w:left="111" w:right="184" w:firstLine="1"/>
              <w:jc w:val="center"/>
              <w:rPr>
                <w:rFonts w:hint="eastAsia" w:ascii="仿宋" w:hAnsi="仿宋" w:eastAsia="仿宋" w:cs="仿宋"/>
                <w:sz w:val="24"/>
                <w:szCs w:val="24"/>
              </w:rPr>
            </w:pPr>
            <w:r>
              <w:rPr>
                <w:rFonts w:hint="eastAsia" w:ascii="仿宋" w:hAnsi="仿宋" w:eastAsia="仿宋" w:cs="仿宋"/>
                <w:spacing w:val="7"/>
                <w:sz w:val="24"/>
                <w:szCs w:val="24"/>
              </w:rPr>
              <w:t>上述评分细则中，“不具体”系指只做了简要分析，并未结合本项目采购需</w:t>
            </w:r>
            <w:r>
              <w:rPr>
                <w:rFonts w:hint="eastAsia" w:ascii="仿宋" w:hAnsi="仿宋" w:eastAsia="仿宋" w:cs="仿宋"/>
                <w:spacing w:val="6"/>
                <w:sz w:val="24"/>
                <w:szCs w:val="24"/>
              </w:rPr>
              <w:t>求的实际情况和服务要求做详细的</w:t>
            </w:r>
            <w:r>
              <w:rPr>
                <w:rFonts w:hint="eastAsia" w:ascii="仿宋" w:hAnsi="仿宋" w:eastAsia="仿宋" w:cs="仿宋"/>
                <w:spacing w:val="9"/>
                <w:sz w:val="24"/>
                <w:szCs w:val="24"/>
              </w:rPr>
              <w:t>论述或提出解决方案等不具体情形。</w:t>
            </w:r>
          </w:p>
        </w:tc>
      </w:tr>
    </w:tbl>
    <w:p w14:paraId="1CB54374">
      <w:pPr>
        <w:rPr>
          <w:rFonts w:ascii="Arial"/>
          <w:sz w:val="21"/>
        </w:rPr>
      </w:pPr>
    </w:p>
    <w:p w14:paraId="52B2BF50">
      <w:pPr>
        <w:rPr>
          <w:rFonts w:ascii="Arial" w:hAnsi="Arial" w:eastAsia="Arial" w:cs="Arial"/>
          <w:sz w:val="21"/>
          <w:szCs w:val="21"/>
        </w:rPr>
        <w:sectPr>
          <w:footerReference r:id="rId11" w:type="default"/>
          <w:pgSz w:w="11905" w:h="16839"/>
          <w:pgMar w:top="400" w:right="557" w:bottom="1194" w:left="967" w:header="0" w:footer="960" w:gutter="0"/>
          <w:pgNumType w:fmt="decimal"/>
          <w:cols w:space="720" w:num="1"/>
        </w:sectPr>
      </w:pPr>
    </w:p>
    <w:p w14:paraId="7C25C421">
      <w:pPr>
        <w:pStyle w:val="11"/>
        <w:spacing w:before="133" w:line="189" w:lineRule="auto"/>
        <w:jc w:val="center"/>
        <w:outlineLvl w:val="1"/>
        <w:rPr>
          <w:b/>
          <w:bCs/>
          <w:spacing w:val="11"/>
          <w:sz w:val="31"/>
          <w:szCs w:val="31"/>
        </w:rPr>
      </w:pPr>
      <w:r>
        <w:rPr>
          <w:b/>
          <w:bCs/>
          <w:spacing w:val="11"/>
          <w:sz w:val="31"/>
          <w:szCs w:val="31"/>
        </w:rPr>
        <w:t>综合评分法评分标准</w:t>
      </w:r>
    </w:p>
    <w:p w14:paraId="5B0F0AC2">
      <w:pPr>
        <w:pStyle w:val="11"/>
        <w:spacing w:before="133" w:line="189" w:lineRule="auto"/>
        <w:jc w:val="center"/>
        <w:outlineLvl w:val="1"/>
        <w:rPr>
          <w:b/>
          <w:bCs/>
          <w:spacing w:val="11"/>
          <w:sz w:val="31"/>
          <w:szCs w:val="31"/>
        </w:rPr>
      </w:pPr>
      <w:r>
        <w:rPr>
          <w:b/>
          <w:bCs/>
          <w:spacing w:val="11"/>
          <w:sz w:val="31"/>
          <w:szCs w:val="31"/>
        </w:rPr>
        <w:t>第二</w:t>
      </w:r>
      <w:r>
        <w:rPr>
          <w:rFonts w:hint="eastAsia"/>
          <w:b/>
          <w:bCs/>
          <w:spacing w:val="11"/>
          <w:sz w:val="31"/>
          <w:szCs w:val="31"/>
          <w:lang w:eastAsia="zh-CN"/>
        </w:rPr>
        <w:t>包</w:t>
      </w:r>
    </w:p>
    <w:p w14:paraId="5580733E">
      <w:pPr>
        <w:pStyle w:val="11"/>
        <w:spacing w:before="133" w:line="189" w:lineRule="auto"/>
        <w:ind w:left="1467"/>
        <w:outlineLvl w:val="1"/>
        <w:rPr>
          <w:rFonts w:hint="eastAsia"/>
          <w:b/>
          <w:bCs/>
          <w:spacing w:val="11"/>
          <w:sz w:val="31"/>
          <w:szCs w:val="31"/>
          <w:lang w:eastAsia="zh-CN"/>
        </w:rPr>
      </w:pPr>
    </w:p>
    <w:tbl>
      <w:tblPr>
        <w:tblStyle w:val="90"/>
        <w:tblW w:w="10405" w:type="dxa"/>
        <w:tblInd w:w="-63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0"/>
        <w:gridCol w:w="1389"/>
        <w:gridCol w:w="520"/>
        <w:gridCol w:w="5553"/>
        <w:gridCol w:w="1893"/>
      </w:tblGrid>
      <w:tr w14:paraId="16B725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1050" w:type="dxa"/>
            <w:vAlign w:val="center"/>
          </w:tcPr>
          <w:p w14:paraId="62D69DBB">
            <w:pPr>
              <w:pStyle w:val="89"/>
              <w:spacing w:before="165" w:line="240" w:lineRule="auto"/>
              <w:ind w:left="216"/>
              <w:jc w:val="center"/>
              <w:rPr>
                <w:rFonts w:hint="eastAsia" w:ascii="仿宋" w:hAnsi="仿宋" w:eastAsia="仿宋" w:cs="仿宋"/>
                <w:sz w:val="24"/>
                <w:szCs w:val="24"/>
              </w:rPr>
            </w:pPr>
            <w:r>
              <w:rPr>
                <w:rFonts w:hint="eastAsia" w:ascii="仿宋" w:hAnsi="仿宋" w:eastAsia="仿宋" w:cs="仿宋"/>
                <w:b/>
                <w:bCs/>
                <w:spacing w:val="7"/>
                <w:sz w:val="24"/>
                <w:szCs w:val="24"/>
              </w:rPr>
              <w:t>序号</w:t>
            </w:r>
          </w:p>
        </w:tc>
        <w:tc>
          <w:tcPr>
            <w:tcW w:w="1389" w:type="dxa"/>
            <w:vAlign w:val="center"/>
          </w:tcPr>
          <w:p w14:paraId="079F01CC">
            <w:pPr>
              <w:pStyle w:val="89"/>
              <w:spacing w:before="32" w:line="240" w:lineRule="auto"/>
              <w:ind w:left="298" w:right="197" w:hanging="103"/>
              <w:jc w:val="center"/>
              <w:rPr>
                <w:rFonts w:hint="eastAsia" w:ascii="仿宋" w:hAnsi="仿宋" w:eastAsia="仿宋" w:cs="仿宋"/>
                <w:sz w:val="24"/>
                <w:szCs w:val="24"/>
              </w:rPr>
            </w:pPr>
            <w:r>
              <w:rPr>
                <w:rFonts w:hint="eastAsia" w:ascii="仿宋" w:hAnsi="仿宋" w:eastAsia="仿宋" w:cs="仿宋"/>
                <w:b/>
                <w:bCs/>
                <w:spacing w:val="8"/>
                <w:sz w:val="24"/>
                <w:szCs w:val="24"/>
              </w:rPr>
              <w:t>评分因素</w:t>
            </w:r>
            <w:r>
              <w:rPr>
                <w:rFonts w:hint="eastAsia" w:ascii="仿宋" w:hAnsi="仿宋" w:eastAsia="仿宋" w:cs="仿宋"/>
                <w:b/>
                <w:bCs/>
                <w:spacing w:val="9"/>
                <w:sz w:val="24"/>
                <w:szCs w:val="24"/>
              </w:rPr>
              <w:t>及权重</w:t>
            </w:r>
          </w:p>
        </w:tc>
        <w:tc>
          <w:tcPr>
            <w:tcW w:w="520" w:type="dxa"/>
            <w:vAlign w:val="center"/>
          </w:tcPr>
          <w:p w14:paraId="2E60A553">
            <w:pPr>
              <w:pStyle w:val="89"/>
              <w:spacing w:before="35" w:line="240" w:lineRule="auto"/>
              <w:ind w:left="192"/>
              <w:jc w:val="center"/>
              <w:rPr>
                <w:rFonts w:hint="eastAsia" w:ascii="仿宋" w:hAnsi="仿宋" w:eastAsia="仿宋" w:cs="仿宋"/>
                <w:sz w:val="24"/>
                <w:szCs w:val="24"/>
              </w:rPr>
            </w:pPr>
            <w:r>
              <w:rPr>
                <w:rFonts w:hint="eastAsia" w:ascii="仿宋" w:hAnsi="仿宋" w:eastAsia="仿宋" w:cs="仿宋"/>
                <w:b/>
                <w:bCs/>
                <w:spacing w:val="6"/>
                <w:sz w:val="24"/>
                <w:szCs w:val="24"/>
              </w:rPr>
              <w:t>分</w:t>
            </w:r>
          </w:p>
          <w:p w14:paraId="111973F8">
            <w:pPr>
              <w:pStyle w:val="89"/>
              <w:spacing w:line="240" w:lineRule="auto"/>
              <w:ind w:left="192"/>
              <w:jc w:val="center"/>
              <w:rPr>
                <w:rFonts w:hint="eastAsia" w:ascii="仿宋" w:hAnsi="仿宋" w:eastAsia="仿宋" w:cs="仿宋"/>
                <w:sz w:val="24"/>
                <w:szCs w:val="24"/>
              </w:rPr>
            </w:pPr>
            <w:r>
              <w:rPr>
                <w:rFonts w:hint="eastAsia" w:ascii="仿宋" w:hAnsi="仿宋" w:eastAsia="仿宋" w:cs="仿宋"/>
                <w:b/>
                <w:bCs/>
                <w:spacing w:val="6"/>
                <w:sz w:val="24"/>
                <w:szCs w:val="24"/>
              </w:rPr>
              <w:t>值</w:t>
            </w:r>
          </w:p>
        </w:tc>
        <w:tc>
          <w:tcPr>
            <w:tcW w:w="5553" w:type="dxa"/>
            <w:vAlign w:val="center"/>
          </w:tcPr>
          <w:p w14:paraId="3ACDA1C1">
            <w:pPr>
              <w:pStyle w:val="89"/>
              <w:spacing w:before="32" w:line="240" w:lineRule="auto"/>
              <w:jc w:val="center"/>
              <w:rPr>
                <w:rFonts w:hint="eastAsia" w:ascii="仿宋" w:hAnsi="仿宋" w:eastAsia="仿宋" w:cs="仿宋"/>
                <w:sz w:val="24"/>
                <w:szCs w:val="24"/>
              </w:rPr>
            </w:pPr>
            <w:r>
              <w:rPr>
                <w:rFonts w:hint="eastAsia" w:ascii="仿宋" w:hAnsi="仿宋" w:eastAsia="仿宋" w:cs="仿宋"/>
                <w:b/>
                <w:bCs/>
                <w:spacing w:val="8"/>
                <w:sz w:val="24"/>
                <w:szCs w:val="24"/>
              </w:rPr>
              <w:t>评分标准</w:t>
            </w:r>
          </w:p>
          <w:p w14:paraId="7EE62433">
            <w:pPr>
              <w:pStyle w:val="89"/>
              <w:spacing w:line="240" w:lineRule="auto"/>
              <w:jc w:val="center"/>
              <w:rPr>
                <w:rFonts w:hint="eastAsia" w:ascii="仿宋" w:hAnsi="仿宋" w:eastAsia="仿宋" w:cs="仿宋"/>
                <w:sz w:val="24"/>
                <w:szCs w:val="24"/>
              </w:rPr>
            </w:pPr>
            <w:r>
              <w:rPr>
                <w:rFonts w:hint="eastAsia" w:ascii="仿宋" w:hAnsi="仿宋" w:eastAsia="仿宋" w:cs="仿宋"/>
                <w:b/>
                <w:bCs/>
                <w:sz w:val="24"/>
                <w:szCs w:val="24"/>
              </w:rPr>
              <w:t>价格：30分</w:t>
            </w:r>
            <w:r>
              <w:rPr>
                <w:rFonts w:hint="eastAsia" w:cs="仿宋"/>
                <w:b/>
                <w:bCs/>
                <w:sz w:val="24"/>
                <w:szCs w:val="24"/>
                <w:lang w:eastAsia="zh-CN"/>
              </w:rPr>
              <w:t>，</w:t>
            </w:r>
            <w:r>
              <w:rPr>
                <w:rFonts w:hint="eastAsia" w:ascii="仿宋" w:hAnsi="仿宋" w:eastAsia="仿宋" w:cs="仿宋"/>
                <w:b/>
                <w:bCs/>
                <w:sz w:val="24"/>
                <w:szCs w:val="24"/>
              </w:rPr>
              <w:t>商务及技术：70分</w:t>
            </w:r>
          </w:p>
        </w:tc>
        <w:tc>
          <w:tcPr>
            <w:tcW w:w="1893" w:type="dxa"/>
            <w:vAlign w:val="center"/>
          </w:tcPr>
          <w:p w14:paraId="35D87E61">
            <w:pPr>
              <w:pStyle w:val="89"/>
              <w:spacing w:before="165" w:line="240" w:lineRule="auto"/>
              <w:ind w:left="434"/>
              <w:jc w:val="center"/>
              <w:rPr>
                <w:rFonts w:hint="eastAsia" w:ascii="仿宋" w:hAnsi="仿宋" w:eastAsia="仿宋" w:cs="仿宋"/>
                <w:sz w:val="24"/>
                <w:szCs w:val="24"/>
              </w:rPr>
            </w:pPr>
            <w:r>
              <w:rPr>
                <w:rFonts w:hint="eastAsia" w:ascii="仿宋" w:hAnsi="仿宋" w:eastAsia="仿宋" w:cs="仿宋"/>
                <w:b/>
                <w:bCs/>
                <w:spacing w:val="7"/>
                <w:sz w:val="24"/>
                <w:szCs w:val="24"/>
              </w:rPr>
              <w:t>说明</w:t>
            </w:r>
          </w:p>
        </w:tc>
      </w:tr>
      <w:tr w14:paraId="438605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7" w:hRule="atLeast"/>
        </w:trPr>
        <w:tc>
          <w:tcPr>
            <w:tcW w:w="1050" w:type="dxa"/>
            <w:vAlign w:val="top"/>
          </w:tcPr>
          <w:p w14:paraId="787E3327">
            <w:pPr>
              <w:spacing w:line="240" w:lineRule="auto"/>
              <w:rPr>
                <w:rFonts w:hint="eastAsia" w:ascii="仿宋" w:hAnsi="仿宋" w:eastAsia="仿宋" w:cs="仿宋"/>
                <w:sz w:val="24"/>
                <w:szCs w:val="24"/>
              </w:rPr>
            </w:pPr>
          </w:p>
          <w:p w14:paraId="46ECA8A0">
            <w:pPr>
              <w:pStyle w:val="89"/>
              <w:spacing w:before="86" w:line="240" w:lineRule="auto"/>
              <w:ind w:left="110"/>
              <w:rPr>
                <w:rFonts w:hint="eastAsia" w:ascii="仿宋" w:hAnsi="仿宋" w:eastAsia="仿宋" w:cs="仿宋"/>
                <w:sz w:val="24"/>
                <w:szCs w:val="24"/>
              </w:rPr>
            </w:pPr>
            <w:r>
              <w:rPr>
                <w:rFonts w:hint="eastAsia" w:ascii="仿宋" w:hAnsi="仿宋" w:eastAsia="仿宋" w:cs="仿宋"/>
                <w:b/>
                <w:bCs/>
                <w:spacing w:val="8"/>
                <w:sz w:val="24"/>
                <w:szCs w:val="24"/>
              </w:rPr>
              <w:t>价格评</w:t>
            </w:r>
          </w:p>
          <w:p w14:paraId="2811F908">
            <w:pPr>
              <w:pStyle w:val="89"/>
              <w:spacing w:before="1" w:line="240" w:lineRule="auto"/>
              <w:ind w:left="109"/>
              <w:rPr>
                <w:rFonts w:hint="eastAsia" w:ascii="仿宋" w:hAnsi="仿宋" w:eastAsia="仿宋" w:cs="仿宋"/>
                <w:sz w:val="24"/>
                <w:szCs w:val="24"/>
              </w:rPr>
            </w:pPr>
            <w:r>
              <w:rPr>
                <w:rFonts w:hint="eastAsia" w:ascii="仿宋" w:hAnsi="仿宋" w:eastAsia="仿宋" w:cs="仿宋"/>
                <w:b/>
                <w:bCs/>
                <w:spacing w:val="8"/>
                <w:sz w:val="24"/>
                <w:szCs w:val="24"/>
              </w:rPr>
              <w:t>分标准</w:t>
            </w:r>
          </w:p>
        </w:tc>
        <w:tc>
          <w:tcPr>
            <w:tcW w:w="1389" w:type="dxa"/>
            <w:vAlign w:val="top"/>
          </w:tcPr>
          <w:p w14:paraId="5D157BE2">
            <w:pPr>
              <w:spacing w:line="240" w:lineRule="auto"/>
              <w:rPr>
                <w:rFonts w:hint="eastAsia" w:ascii="仿宋" w:hAnsi="仿宋" w:eastAsia="仿宋" w:cs="仿宋"/>
                <w:sz w:val="24"/>
                <w:szCs w:val="24"/>
              </w:rPr>
            </w:pPr>
          </w:p>
          <w:p w14:paraId="232BEF37">
            <w:pPr>
              <w:pStyle w:val="89"/>
              <w:spacing w:before="86" w:line="240" w:lineRule="auto"/>
              <w:ind w:left="194"/>
              <w:rPr>
                <w:rFonts w:hint="eastAsia" w:ascii="仿宋" w:hAnsi="仿宋" w:eastAsia="仿宋" w:cs="仿宋"/>
                <w:sz w:val="24"/>
                <w:szCs w:val="24"/>
              </w:rPr>
            </w:pPr>
            <w:r>
              <w:rPr>
                <w:rFonts w:hint="eastAsia" w:ascii="仿宋" w:hAnsi="仿宋" w:eastAsia="仿宋" w:cs="仿宋"/>
                <w:spacing w:val="8"/>
                <w:sz w:val="24"/>
                <w:szCs w:val="24"/>
              </w:rPr>
              <w:t>投标报价</w:t>
            </w:r>
          </w:p>
        </w:tc>
        <w:tc>
          <w:tcPr>
            <w:tcW w:w="520" w:type="dxa"/>
            <w:vAlign w:val="top"/>
          </w:tcPr>
          <w:p w14:paraId="253FE5CB">
            <w:pPr>
              <w:spacing w:line="240" w:lineRule="auto"/>
              <w:rPr>
                <w:rFonts w:hint="eastAsia" w:ascii="仿宋" w:hAnsi="仿宋" w:eastAsia="仿宋" w:cs="仿宋"/>
                <w:sz w:val="24"/>
                <w:szCs w:val="24"/>
              </w:rPr>
            </w:pPr>
          </w:p>
          <w:p w14:paraId="365E6DFA">
            <w:pPr>
              <w:pStyle w:val="89"/>
              <w:spacing w:before="86" w:line="240" w:lineRule="auto"/>
              <w:ind w:left="188"/>
              <w:rPr>
                <w:rFonts w:hint="eastAsia" w:ascii="仿宋" w:hAnsi="仿宋" w:eastAsia="仿宋" w:cs="仿宋"/>
                <w:sz w:val="24"/>
                <w:szCs w:val="24"/>
              </w:rPr>
            </w:pPr>
            <w:r>
              <w:rPr>
                <w:rFonts w:hint="eastAsia" w:ascii="仿宋" w:hAnsi="仿宋" w:eastAsia="仿宋" w:cs="仿宋"/>
                <w:spacing w:val="-3"/>
                <w:position w:val="3"/>
                <w:sz w:val="24"/>
                <w:szCs w:val="24"/>
              </w:rPr>
              <w:t>30</w:t>
            </w:r>
          </w:p>
        </w:tc>
        <w:tc>
          <w:tcPr>
            <w:tcW w:w="5553" w:type="dxa"/>
            <w:vAlign w:val="top"/>
          </w:tcPr>
          <w:p w14:paraId="1DFF3AA3">
            <w:pPr>
              <w:pStyle w:val="89"/>
              <w:spacing w:before="27" w:line="240" w:lineRule="auto"/>
              <w:ind w:left="106" w:right="203" w:firstLine="1"/>
              <w:jc w:val="both"/>
              <w:rPr>
                <w:rFonts w:hint="eastAsia" w:ascii="仿宋" w:hAnsi="仿宋" w:eastAsia="仿宋" w:cs="仿宋"/>
                <w:sz w:val="24"/>
                <w:szCs w:val="24"/>
              </w:rPr>
            </w:pPr>
            <w:r>
              <w:rPr>
                <w:rFonts w:hint="eastAsia" w:ascii="仿宋" w:hAnsi="仿宋" w:eastAsia="仿宋" w:cs="仿宋"/>
                <w:sz w:val="24"/>
                <w:szCs w:val="24"/>
              </w:rPr>
              <w:t>1、满足招标文件要求且投标下浮率最高为评标基准价，其价格分为满分(30 分)； 2、其他合格投标人的投标报价得分按如下公式计算：投标报价得分=（1-评标基准价）/（1-投标报价）×30。</w:t>
            </w:r>
          </w:p>
          <w:p w14:paraId="1A78B237">
            <w:pPr>
              <w:pStyle w:val="89"/>
              <w:spacing w:before="2" w:line="240" w:lineRule="auto"/>
              <w:ind w:left="108" w:right="204" w:hanging="24"/>
              <w:rPr>
                <w:rFonts w:hint="eastAsia" w:ascii="仿宋" w:hAnsi="仿宋" w:eastAsia="仿宋" w:cs="仿宋"/>
                <w:sz w:val="24"/>
                <w:szCs w:val="24"/>
              </w:rPr>
            </w:pPr>
            <w:r>
              <w:rPr>
                <w:rFonts w:hint="eastAsia" w:ascii="仿宋" w:hAnsi="仿宋" w:eastAsia="仿宋" w:cs="仿宋"/>
                <w:b/>
                <w:bCs/>
                <w:spacing w:val="6"/>
                <w:sz w:val="24"/>
                <w:szCs w:val="24"/>
              </w:rPr>
              <w:t>（注：本项目不专门面向中小企业，供应商所投货物均为小型或微</w:t>
            </w:r>
            <w:r>
              <w:rPr>
                <w:rFonts w:hint="eastAsia" w:ascii="仿宋" w:hAnsi="仿宋" w:eastAsia="仿宋" w:cs="仿宋"/>
                <w:b/>
                <w:bCs/>
                <w:spacing w:val="8"/>
                <w:sz w:val="24"/>
                <w:szCs w:val="24"/>
              </w:rPr>
              <w:t>型企业生产的可享受10%的价格扣除后</w:t>
            </w:r>
            <w:r>
              <w:rPr>
                <w:rFonts w:hint="eastAsia" w:ascii="仿宋" w:hAnsi="仿宋" w:eastAsia="仿宋" w:cs="仿宋"/>
                <w:b/>
                <w:bCs/>
                <w:spacing w:val="7"/>
                <w:sz w:val="24"/>
                <w:szCs w:val="24"/>
              </w:rPr>
              <w:t>参与评审。）</w:t>
            </w:r>
          </w:p>
        </w:tc>
        <w:tc>
          <w:tcPr>
            <w:tcW w:w="1893" w:type="dxa"/>
            <w:vAlign w:val="top"/>
          </w:tcPr>
          <w:p w14:paraId="37224CD3">
            <w:pPr>
              <w:pStyle w:val="89"/>
              <w:spacing w:before="161" w:line="240" w:lineRule="auto"/>
              <w:ind w:left="110"/>
              <w:rPr>
                <w:rFonts w:hint="eastAsia" w:ascii="仿宋" w:hAnsi="仿宋" w:eastAsia="仿宋" w:cs="仿宋"/>
                <w:sz w:val="24"/>
                <w:szCs w:val="24"/>
              </w:rPr>
            </w:pPr>
            <w:r>
              <w:rPr>
                <w:rFonts w:hint="eastAsia" w:ascii="仿宋" w:hAnsi="仿宋" w:eastAsia="仿宋" w:cs="仿宋"/>
                <w:spacing w:val="13"/>
                <w:sz w:val="24"/>
                <w:szCs w:val="24"/>
              </w:rPr>
              <w:t>投标报价超</w:t>
            </w:r>
          </w:p>
          <w:p w14:paraId="0796BE20">
            <w:pPr>
              <w:pStyle w:val="89"/>
              <w:spacing w:before="1" w:line="240" w:lineRule="auto"/>
              <w:ind w:left="111"/>
              <w:rPr>
                <w:rFonts w:hint="eastAsia" w:ascii="仿宋" w:hAnsi="仿宋" w:eastAsia="仿宋" w:cs="仿宋"/>
                <w:sz w:val="24"/>
                <w:szCs w:val="24"/>
              </w:rPr>
            </w:pPr>
            <w:r>
              <w:rPr>
                <w:rFonts w:hint="eastAsia" w:ascii="仿宋" w:hAnsi="仿宋" w:eastAsia="仿宋" w:cs="仿宋"/>
                <w:spacing w:val="13"/>
                <w:sz w:val="24"/>
                <w:szCs w:val="24"/>
              </w:rPr>
              <w:t>过采购预算</w:t>
            </w:r>
          </w:p>
          <w:p w14:paraId="67107946">
            <w:pPr>
              <w:pStyle w:val="89"/>
              <w:spacing w:before="2" w:line="240" w:lineRule="auto"/>
              <w:ind w:left="109" w:right="107"/>
              <w:rPr>
                <w:rFonts w:hint="eastAsia" w:ascii="仿宋" w:hAnsi="仿宋" w:eastAsia="仿宋" w:cs="仿宋"/>
                <w:sz w:val="24"/>
                <w:szCs w:val="24"/>
              </w:rPr>
            </w:pPr>
            <w:r>
              <w:rPr>
                <w:rFonts w:hint="eastAsia" w:ascii="仿宋" w:hAnsi="仿宋" w:eastAsia="仿宋" w:cs="仿宋"/>
                <w:spacing w:val="13"/>
                <w:sz w:val="24"/>
                <w:szCs w:val="24"/>
              </w:rPr>
              <w:t>价的按废标</w:t>
            </w:r>
            <w:r>
              <w:rPr>
                <w:rFonts w:hint="eastAsia" w:ascii="仿宋" w:hAnsi="仿宋" w:eastAsia="仿宋" w:cs="仿宋"/>
                <w:spacing w:val="8"/>
                <w:sz w:val="24"/>
                <w:szCs w:val="24"/>
              </w:rPr>
              <w:t>处理</w:t>
            </w:r>
          </w:p>
        </w:tc>
      </w:tr>
      <w:tr w14:paraId="2E7624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8" w:hRule="atLeast"/>
        </w:trPr>
        <w:tc>
          <w:tcPr>
            <w:tcW w:w="1050" w:type="dxa"/>
            <w:vAlign w:val="top"/>
          </w:tcPr>
          <w:p w14:paraId="6C07DA95">
            <w:pPr>
              <w:spacing w:line="240" w:lineRule="auto"/>
              <w:rPr>
                <w:rFonts w:hint="eastAsia" w:ascii="仿宋" w:hAnsi="仿宋" w:eastAsia="仿宋" w:cs="仿宋"/>
                <w:sz w:val="24"/>
                <w:szCs w:val="24"/>
              </w:rPr>
            </w:pPr>
          </w:p>
        </w:tc>
        <w:tc>
          <w:tcPr>
            <w:tcW w:w="1389" w:type="dxa"/>
            <w:vAlign w:val="top"/>
          </w:tcPr>
          <w:p w14:paraId="5D71F8A6">
            <w:pPr>
              <w:spacing w:line="240" w:lineRule="auto"/>
              <w:rPr>
                <w:rFonts w:hint="eastAsia" w:ascii="仿宋" w:hAnsi="仿宋" w:eastAsia="仿宋" w:cs="仿宋"/>
                <w:sz w:val="24"/>
                <w:szCs w:val="24"/>
              </w:rPr>
            </w:pPr>
          </w:p>
          <w:p w14:paraId="7B2AE56B">
            <w:pPr>
              <w:spacing w:line="240" w:lineRule="auto"/>
              <w:rPr>
                <w:rFonts w:hint="eastAsia" w:ascii="仿宋" w:hAnsi="仿宋" w:eastAsia="仿宋" w:cs="仿宋"/>
                <w:sz w:val="24"/>
                <w:szCs w:val="24"/>
              </w:rPr>
            </w:pPr>
          </w:p>
          <w:p w14:paraId="4B53DFBF">
            <w:pPr>
              <w:spacing w:line="240" w:lineRule="auto"/>
              <w:rPr>
                <w:rFonts w:hint="eastAsia" w:ascii="仿宋" w:hAnsi="仿宋" w:eastAsia="仿宋" w:cs="仿宋"/>
                <w:sz w:val="24"/>
                <w:szCs w:val="24"/>
              </w:rPr>
            </w:pPr>
          </w:p>
          <w:p w14:paraId="21B93EB7">
            <w:pPr>
              <w:pStyle w:val="89"/>
              <w:spacing w:before="85" w:line="240" w:lineRule="auto"/>
              <w:ind w:left="194"/>
              <w:rPr>
                <w:rFonts w:hint="eastAsia" w:ascii="仿宋" w:hAnsi="仿宋" w:eastAsia="仿宋" w:cs="仿宋"/>
                <w:sz w:val="24"/>
                <w:szCs w:val="24"/>
              </w:rPr>
            </w:pPr>
            <w:r>
              <w:rPr>
                <w:rFonts w:hint="eastAsia" w:ascii="仿宋" w:hAnsi="仿宋" w:eastAsia="仿宋" w:cs="仿宋"/>
                <w:spacing w:val="8"/>
                <w:sz w:val="24"/>
                <w:szCs w:val="24"/>
              </w:rPr>
              <w:t>检测报告</w:t>
            </w:r>
          </w:p>
        </w:tc>
        <w:tc>
          <w:tcPr>
            <w:tcW w:w="520" w:type="dxa"/>
            <w:vAlign w:val="top"/>
          </w:tcPr>
          <w:p w14:paraId="473D05FF">
            <w:pPr>
              <w:spacing w:line="240" w:lineRule="auto"/>
              <w:rPr>
                <w:rFonts w:hint="eastAsia" w:ascii="仿宋" w:hAnsi="仿宋" w:eastAsia="仿宋" w:cs="仿宋"/>
                <w:sz w:val="24"/>
                <w:szCs w:val="24"/>
              </w:rPr>
            </w:pPr>
          </w:p>
          <w:p w14:paraId="39E57839">
            <w:pPr>
              <w:spacing w:line="240" w:lineRule="auto"/>
              <w:rPr>
                <w:rFonts w:hint="eastAsia" w:ascii="仿宋" w:hAnsi="仿宋" w:eastAsia="仿宋" w:cs="仿宋"/>
                <w:sz w:val="24"/>
                <w:szCs w:val="24"/>
              </w:rPr>
            </w:pPr>
          </w:p>
          <w:p w14:paraId="24CCE3FA">
            <w:pPr>
              <w:spacing w:line="240" w:lineRule="auto"/>
              <w:rPr>
                <w:rFonts w:hint="eastAsia" w:ascii="仿宋" w:hAnsi="仿宋" w:eastAsia="仿宋" w:cs="仿宋"/>
                <w:sz w:val="24"/>
                <w:szCs w:val="24"/>
              </w:rPr>
            </w:pPr>
          </w:p>
          <w:p w14:paraId="68304D8B">
            <w:pPr>
              <w:pStyle w:val="89"/>
              <w:spacing w:before="85" w:line="240" w:lineRule="auto"/>
              <w:ind w:left="248"/>
              <w:rPr>
                <w:rFonts w:hint="eastAsia" w:ascii="仿宋" w:hAnsi="仿宋" w:eastAsia="仿宋" w:cs="仿宋"/>
                <w:sz w:val="24"/>
                <w:szCs w:val="24"/>
              </w:rPr>
            </w:pPr>
            <w:r>
              <w:rPr>
                <w:rFonts w:hint="eastAsia" w:ascii="仿宋" w:hAnsi="仿宋" w:eastAsia="仿宋" w:cs="仿宋"/>
                <w:position w:val="3"/>
                <w:sz w:val="24"/>
                <w:szCs w:val="24"/>
              </w:rPr>
              <w:t>3</w:t>
            </w:r>
          </w:p>
        </w:tc>
        <w:tc>
          <w:tcPr>
            <w:tcW w:w="5553" w:type="dxa"/>
            <w:vAlign w:val="top"/>
          </w:tcPr>
          <w:p w14:paraId="75226747">
            <w:pPr>
              <w:pStyle w:val="89"/>
              <w:spacing w:line="240" w:lineRule="auto"/>
              <w:ind w:left="105" w:right="125" w:firstLine="1"/>
              <w:jc w:val="both"/>
              <w:rPr>
                <w:rFonts w:hint="eastAsia" w:ascii="仿宋" w:hAnsi="仿宋" w:eastAsia="仿宋" w:cs="仿宋"/>
                <w:sz w:val="24"/>
                <w:szCs w:val="24"/>
              </w:rPr>
            </w:pPr>
            <w:r>
              <w:rPr>
                <w:rFonts w:hint="eastAsia" w:ascii="仿宋" w:hAnsi="仿宋" w:eastAsia="仿宋" w:cs="仿宋"/>
                <w:spacing w:val="7"/>
                <w:sz w:val="24"/>
                <w:szCs w:val="24"/>
              </w:rPr>
              <w:t>提供相关证明材料（包括但</w:t>
            </w:r>
            <w:r>
              <w:rPr>
                <w:rFonts w:hint="eastAsia" w:ascii="仿宋" w:hAnsi="仿宋" w:eastAsia="仿宋" w:cs="仿宋"/>
                <w:spacing w:val="10"/>
                <w:sz w:val="24"/>
                <w:szCs w:val="24"/>
              </w:rPr>
              <w:t>不限于符合《中华人民共和国食品安全法》要求的食品检测机构出具的检测报告或检疫合格证等</w:t>
            </w:r>
            <w:r>
              <w:rPr>
                <w:rFonts w:hint="eastAsia" w:ascii="仿宋" w:hAnsi="仿宋" w:eastAsia="仿宋" w:cs="仿宋"/>
                <w:spacing w:val="-22"/>
                <w:sz w:val="24"/>
                <w:szCs w:val="24"/>
              </w:rPr>
              <w:t>），</w:t>
            </w:r>
            <w:r>
              <w:rPr>
                <w:rFonts w:hint="eastAsia" w:ascii="仿宋" w:hAnsi="仿宋" w:eastAsia="仿宋" w:cs="仿宋"/>
                <w:spacing w:val="9"/>
                <w:sz w:val="24"/>
                <w:szCs w:val="24"/>
              </w:rPr>
              <w:t>提供的报告无</w:t>
            </w:r>
            <w:r>
              <w:rPr>
                <w:rFonts w:hint="eastAsia" w:ascii="仿宋" w:hAnsi="仿宋" w:eastAsia="仿宋" w:cs="仿宋"/>
                <w:spacing w:val="5"/>
                <w:sz w:val="24"/>
                <w:szCs w:val="24"/>
              </w:rPr>
              <w:t>缺页漏页，质量检测结果必须是合格的，并且检测报告结果符合参</w:t>
            </w:r>
            <w:r>
              <w:rPr>
                <w:rFonts w:hint="eastAsia" w:ascii="仿宋" w:hAnsi="仿宋" w:eastAsia="仿宋" w:cs="仿宋"/>
                <w:spacing w:val="3"/>
                <w:sz w:val="24"/>
                <w:szCs w:val="24"/>
              </w:rPr>
              <w:t>数要求，不得提供虚假检验检测报告，提供得3分。否则不得分。</w:t>
            </w:r>
          </w:p>
          <w:p w14:paraId="0AB9F314">
            <w:pPr>
              <w:pStyle w:val="89"/>
              <w:spacing w:before="2" w:line="240" w:lineRule="auto"/>
              <w:ind w:left="107" w:right="179"/>
              <w:jc w:val="both"/>
              <w:rPr>
                <w:rFonts w:hint="eastAsia" w:ascii="仿宋" w:hAnsi="仿宋" w:eastAsia="仿宋" w:cs="仿宋"/>
                <w:sz w:val="24"/>
                <w:szCs w:val="24"/>
              </w:rPr>
            </w:pPr>
            <w:r>
              <w:rPr>
                <w:rFonts w:hint="eastAsia" w:ascii="仿宋" w:hAnsi="仿宋" w:eastAsia="仿宋" w:cs="仿宋"/>
                <w:b/>
                <w:bCs/>
                <w:spacing w:val="7"/>
                <w:sz w:val="24"/>
                <w:szCs w:val="24"/>
              </w:rPr>
              <w:t>备注：并提供检测机构的检测报告复印件（检测机构盖章）或检疫</w:t>
            </w:r>
            <w:r>
              <w:rPr>
                <w:rFonts w:hint="eastAsia" w:ascii="仿宋" w:hAnsi="仿宋" w:eastAsia="仿宋" w:cs="仿宋"/>
                <w:b/>
                <w:bCs/>
                <w:spacing w:val="6"/>
                <w:sz w:val="24"/>
                <w:szCs w:val="24"/>
              </w:rPr>
              <w:t>合格证日期为自开标日前6个月之内，投标文件里可放与原件相符</w:t>
            </w:r>
            <w:r>
              <w:rPr>
                <w:rFonts w:hint="eastAsia" w:ascii="仿宋" w:hAnsi="仿宋" w:eastAsia="仿宋" w:cs="仿宋"/>
                <w:b/>
                <w:bCs/>
                <w:spacing w:val="5"/>
                <w:sz w:val="24"/>
                <w:szCs w:val="24"/>
              </w:rPr>
              <w:t>的复印件，复印件加盖投标人公章。</w:t>
            </w:r>
          </w:p>
        </w:tc>
        <w:tc>
          <w:tcPr>
            <w:tcW w:w="1893" w:type="dxa"/>
            <w:vAlign w:val="top"/>
          </w:tcPr>
          <w:p w14:paraId="0A55E254">
            <w:pPr>
              <w:spacing w:line="240" w:lineRule="auto"/>
              <w:rPr>
                <w:rFonts w:hint="eastAsia" w:ascii="仿宋" w:hAnsi="仿宋" w:eastAsia="仿宋" w:cs="仿宋"/>
                <w:sz w:val="24"/>
                <w:szCs w:val="24"/>
              </w:rPr>
            </w:pPr>
          </w:p>
        </w:tc>
      </w:tr>
      <w:tr w14:paraId="180A39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1" w:hRule="atLeast"/>
        </w:trPr>
        <w:tc>
          <w:tcPr>
            <w:tcW w:w="1050" w:type="dxa"/>
            <w:vMerge w:val="restart"/>
            <w:tcBorders>
              <w:bottom w:val="nil"/>
            </w:tcBorders>
            <w:vAlign w:val="top"/>
          </w:tcPr>
          <w:p w14:paraId="1E84B142">
            <w:pPr>
              <w:spacing w:line="240" w:lineRule="auto"/>
              <w:rPr>
                <w:rFonts w:hint="eastAsia" w:ascii="仿宋" w:hAnsi="仿宋" w:eastAsia="仿宋" w:cs="仿宋"/>
                <w:sz w:val="24"/>
                <w:szCs w:val="24"/>
              </w:rPr>
            </w:pPr>
          </w:p>
          <w:p w14:paraId="7052859B">
            <w:pPr>
              <w:spacing w:line="240" w:lineRule="auto"/>
              <w:rPr>
                <w:rFonts w:hint="eastAsia" w:ascii="仿宋" w:hAnsi="仿宋" w:eastAsia="仿宋" w:cs="仿宋"/>
                <w:sz w:val="24"/>
                <w:szCs w:val="24"/>
              </w:rPr>
            </w:pPr>
          </w:p>
          <w:p w14:paraId="2E512D45">
            <w:pPr>
              <w:spacing w:line="240" w:lineRule="auto"/>
              <w:rPr>
                <w:rFonts w:hint="eastAsia" w:ascii="仿宋" w:hAnsi="仿宋" w:eastAsia="仿宋" w:cs="仿宋"/>
                <w:sz w:val="24"/>
                <w:szCs w:val="24"/>
              </w:rPr>
            </w:pPr>
          </w:p>
          <w:p w14:paraId="5EA513FB">
            <w:pPr>
              <w:spacing w:line="240" w:lineRule="auto"/>
              <w:rPr>
                <w:rFonts w:hint="eastAsia" w:ascii="仿宋" w:hAnsi="仿宋" w:eastAsia="仿宋" w:cs="仿宋"/>
                <w:sz w:val="24"/>
                <w:szCs w:val="24"/>
              </w:rPr>
            </w:pPr>
          </w:p>
          <w:p w14:paraId="172664D6">
            <w:pPr>
              <w:spacing w:line="240" w:lineRule="auto"/>
              <w:rPr>
                <w:rFonts w:hint="eastAsia" w:ascii="仿宋" w:hAnsi="仿宋" w:eastAsia="仿宋" w:cs="仿宋"/>
                <w:sz w:val="24"/>
                <w:szCs w:val="24"/>
              </w:rPr>
            </w:pPr>
          </w:p>
          <w:p w14:paraId="64C756BC">
            <w:pPr>
              <w:spacing w:line="240" w:lineRule="auto"/>
              <w:rPr>
                <w:rFonts w:hint="eastAsia" w:ascii="仿宋" w:hAnsi="仿宋" w:eastAsia="仿宋" w:cs="仿宋"/>
                <w:sz w:val="24"/>
                <w:szCs w:val="24"/>
              </w:rPr>
            </w:pPr>
          </w:p>
          <w:p w14:paraId="68034C64">
            <w:pPr>
              <w:spacing w:line="240" w:lineRule="auto"/>
              <w:rPr>
                <w:rFonts w:hint="eastAsia" w:ascii="仿宋" w:hAnsi="仿宋" w:eastAsia="仿宋" w:cs="仿宋"/>
                <w:sz w:val="24"/>
                <w:szCs w:val="24"/>
              </w:rPr>
            </w:pPr>
          </w:p>
          <w:p w14:paraId="02D439F4">
            <w:pPr>
              <w:spacing w:line="240" w:lineRule="auto"/>
              <w:rPr>
                <w:rFonts w:hint="eastAsia" w:ascii="仿宋" w:hAnsi="仿宋" w:eastAsia="仿宋" w:cs="仿宋"/>
                <w:sz w:val="24"/>
                <w:szCs w:val="24"/>
              </w:rPr>
            </w:pPr>
          </w:p>
          <w:p w14:paraId="3232D636">
            <w:pPr>
              <w:spacing w:line="240" w:lineRule="auto"/>
              <w:rPr>
                <w:rFonts w:hint="eastAsia" w:ascii="仿宋" w:hAnsi="仿宋" w:eastAsia="仿宋" w:cs="仿宋"/>
                <w:sz w:val="24"/>
                <w:szCs w:val="24"/>
              </w:rPr>
            </w:pPr>
          </w:p>
          <w:p w14:paraId="65FB5053">
            <w:pPr>
              <w:spacing w:line="240" w:lineRule="auto"/>
              <w:rPr>
                <w:rFonts w:hint="eastAsia" w:ascii="仿宋" w:hAnsi="仿宋" w:eastAsia="仿宋" w:cs="仿宋"/>
                <w:sz w:val="24"/>
                <w:szCs w:val="24"/>
              </w:rPr>
            </w:pPr>
          </w:p>
          <w:p w14:paraId="6D04278D">
            <w:pPr>
              <w:spacing w:line="240" w:lineRule="auto"/>
              <w:rPr>
                <w:rFonts w:hint="eastAsia" w:ascii="仿宋" w:hAnsi="仿宋" w:eastAsia="仿宋" w:cs="仿宋"/>
                <w:sz w:val="24"/>
                <w:szCs w:val="24"/>
              </w:rPr>
            </w:pPr>
          </w:p>
          <w:p w14:paraId="1769C2D0">
            <w:pPr>
              <w:spacing w:line="240" w:lineRule="auto"/>
              <w:rPr>
                <w:rFonts w:hint="eastAsia" w:ascii="仿宋" w:hAnsi="仿宋" w:eastAsia="仿宋" w:cs="仿宋"/>
                <w:sz w:val="24"/>
                <w:szCs w:val="24"/>
              </w:rPr>
            </w:pPr>
          </w:p>
          <w:p w14:paraId="6F4DFDC5">
            <w:pPr>
              <w:spacing w:line="240" w:lineRule="auto"/>
              <w:rPr>
                <w:rFonts w:hint="eastAsia" w:ascii="仿宋" w:hAnsi="仿宋" w:eastAsia="仿宋" w:cs="仿宋"/>
                <w:sz w:val="24"/>
                <w:szCs w:val="24"/>
              </w:rPr>
            </w:pPr>
          </w:p>
          <w:p w14:paraId="4207B8EC">
            <w:pPr>
              <w:pStyle w:val="89"/>
              <w:spacing w:before="86" w:line="240" w:lineRule="auto"/>
              <w:ind w:left="115"/>
              <w:rPr>
                <w:rFonts w:hint="eastAsia" w:ascii="仿宋" w:hAnsi="仿宋" w:eastAsia="仿宋" w:cs="仿宋"/>
                <w:sz w:val="24"/>
                <w:szCs w:val="24"/>
              </w:rPr>
            </w:pPr>
            <w:r>
              <w:rPr>
                <w:rFonts w:hint="eastAsia" w:ascii="仿宋" w:hAnsi="仿宋" w:eastAsia="仿宋" w:cs="仿宋"/>
                <w:b/>
                <w:bCs/>
                <w:spacing w:val="7"/>
                <w:sz w:val="24"/>
                <w:szCs w:val="24"/>
              </w:rPr>
              <w:t>商务及</w:t>
            </w:r>
          </w:p>
          <w:p w14:paraId="357CC7A3">
            <w:pPr>
              <w:pStyle w:val="89"/>
              <w:spacing w:line="240" w:lineRule="auto"/>
              <w:ind w:left="111"/>
              <w:rPr>
                <w:rFonts w:hint="eastAsia" w:ascii="仿宋" w:hAnsi="仿宋" w:eastAsia="仿宋" w:cs="仿宋"/>
                <w:sz w:val="24"/>
                <w:szCs w:val="24"/>
              </w:rPr>
            </w:pPr>
            <w:r>
              <w:rPr>
                <w:rFonts w:hint="eastAsia" w:ascii="仿宋" w:hAnsi="仿宋" w:eastAsia="仿宋" w:cs="仿宋"/>
                <w:b/>
                <w:bCs/>
                <w:spacing w:val="8"/>
                <w:sz w:val="24"/>
                <w:szCs w:val="24"/>
              </w:rPr>
              <w:t>技术评</w:t>
            </w:r>
          </w:p>
          <w:p w14:paraId="35909FA6">
            <w:pPr>
              <w:pStyle w:val="89"/>
              <w:spacing w:before="1" w:line="240" w:lineRule="auto"/>
              <w:ind w:left="109"/>
              <w:rPr>
                <w:rFonts w:hint="eastAsia" w:ascii="仿宋" w:hAnsi="仿宋" w:eastAsia="仿宋" w:cs="仿宋"/>
                <w:sz w:val="24"/>
                <w:szCs w:val="24"/>
              </w:rPr>
            </w:pPr>
            <w:r>
              <w:rPr>
                <w:rFonts w:hint="eastAsia" w:ascii="仿宋" w:hAnsi="仿宋" w:eastAsia="仿宋" w:cs="仿宋"/>
                <w:b/>
                <w:bCs/>
                <w:spacing w:val="8"/>
                <w:sz w:val="24"/>
                <w:szCs w:val="24"/>
              </w:rPr>
              <w:t>分标准</w:t>
            </w:r>
          </w:p>
        </w:tc>
        <w:tc>
          <w:tcPr>
            <w:tcW w:w="1389" w:type="dxa"/>
            <w:vAlign w:val="top"/>
          </w:tcPr>
          <w:p w14:paraId="7C551EAC">
            <w:pPr>
              <w:spacing w:line="240" w:lineRule="auto"/>
              <w:rPr>
                <w:rFonts w:hint="eastAsia" w:ascii="仿宋" w:hAnsi="仿宋" w:eastAsia="仿宋" w:cs="仿宋"/>
                <w:sz w:val="24"/>
                <w:szCs w:val="24"/>
              </w:rPr>
            </w:pPr>
          </w:p>
          <w:p w14:paraId="418ADDF5">
            <w:pPr>
              <w:spacing w:line="240" w:lineRule="auto"/>
              <w:rPr>
                <w:rFonts w:hint="eastAsia" w:ascii="仿宋" w:hAnsi="仿宋" w:eastAsia="仿宋" w:cs="仿宋"/>
                <w:sz w:val="24"/>
                <w:szCs w:val="24"/>
              </w:rPr>
            </w:pPr>
          </w:p>
          <w:p w14:paraId="501AB105">
            <w:pPr>
              <w:spacing w:line="240" w:lineRule="auto"/>
              <w:rPr>
                <w:rFonts w:hint="eastAsia" w:ascii="仿宋" w:hAnsi="仿宋" w:eastAsia="仿宋" w:cs="仿宋"/>
                <w:sz w:val="24"/>
                <w:szCs w:val="24"/>
              </w:rPr>
            </w:pPr>
          </w:p>
          <w:p w14:paraId="7806DB07">
            <w:pPr>
              <w:pStyle w:val="89"/>
              <w:spacing w:before="85" w:line="240" w:lineRule="auto"/>
              <w:ind w:left="192"/>
              <w:rPr>
                <w:rFonts w:hint="eastAsia" w:ascii="仿宋" w:hAnsi="仿宋" w:eastAsia="仿宋" w:cs="仿宋"/>
                <w:sz w:val="24"/>
                <w:szCs w:val="24"/>
              </w:rPr>
            </w:pPr>
            <w:r>
              <w:rPr>
                <w:rFonts w:hint="eastAsia" w:ascii="仿宋" w:hAnsi="仿宋" w:eastAsia="仿宋" w:cs="仿宋"/>
                <w:spacing w:val="9"/>
                <w:sz w:val="24"/>
                <w:szCs w:val="24"/>
              </w:rPr>
              <w:t>项目实施</w:t>
            </w:r>
            <w:r>
              <w:rPr>
                <w:rFonts w:hint="eastAsia" w:ascii="仿宋" w:hAnsi="仿宋" w:eastAsia="仿宋" w:cs="仿宋"/>
                <w:spacing w:val="7"/>
                <w:sz w:val="24"/>
                <w:szCs w:val="24"/>
              </w:rPr>
              <w:t>方案</w:t>
            </w:r>
          </w:p>
        </w:tc>
        <w:tc>
          <w:tcPr>
            <w:tcW w:w="520" w:type="dxa"/>
            <w:vAlign w:val="top"/>
          </w:tcPr>
          <w:p w14:paraId="6D5A293A">
            <w:pPr>
              <w:spacing w:line="240" w:lineRule="auto"/>
              <w:rPr>
                <w:rFonts w:hint="eastAsia" w:ascii="仿宋" w:hAnsi="仿宋" w:eastAsia="仿宋" w:cs="仿宋"/>
                <w:sz w:val="24"/>
                <w:szCs w:val="24"/>
              </w:rPr>
            </w:pPr>
          </w:p>
          <w:p w14:paraId="3E5518CF">
            <w:pPr>
              <w:spacing w:line="240" w:lineRule="auto"/>
              <w:rPr>
                <w:rFonts w:hint="eastAsia" w:ascii="仿宋" w:hAnsi="仿宋" w:eastAsia="仿宋" w:cs="仿宋"/>
                <w:sz w:val="24"/>
                <w:szCs w:val="24"/>
              </w:rPr>
            </w:pPr>
          </w:p>
          <w:p w14:paraId="40A5A62F">
            <w:pPr>
              <w:spacing w:line="240" w:lineRule="auto"/>
              <w:rPr>
                <w:rFonts w:hint="eastAsia" w:ascii="仿宋" w:hAnsi="仿宋" w:eastAsia="仿宋" w:cs="仿宋"/>
                <w:sz w:val="24"/>
                <w:szCs w:val="24"/>
              </w:rPr>
            </w:pPr>
          </w:p>
          <w:p w14:paraId="25E3C45B">
            <w:pPr>
              <w:pStyle w:val="89"/>
              <w:spacing w:before="86" w:line="240" w:lineRule="auto"/>
              <w:ind w:left="192"/>
              <w:rPr>
                <w:rFonts w:hint="eastAsia" w:ascii="仿宋" w:hAnsi="仿宋" w:eastAsia="仿宋" w:cs="仿宋"/>
                <w:sz w:val="24"/>
                <w:szCs w:val="24"/>
              </w:rPr>
            </w:pPr>
            <w:r>
              <w:rPr>
                <w:rFonts w:hint="eastAsia" w:ascii="仿宋" w:hAnsi="仿宋" w:eastAsia="仿宋" w:cs="仿宋"/>
                <w:spacing w:val="-5"/>
                <w:position w:val="3"/>
                <w:sz w:val="24"/>
                <w:szCs w:val="24"/>
              </w:rPr>
              <w:t>18</w:t>
            </w:r>
          </w:p>
        </w:tc>
        <w:tc>
          <w:tcPr>
            <w:tcW w:w="5553" w:type="dxa"/>
            <w:vAlign w:val="top"/>
          </w:tcPr>
          <w:p w14:paraId="636C640B">
            <w:pPr>
              <w:pStyle w:val="89"/>
              <w:spacing w:before="26" w:line="240" w:lineRule="auto"/>
              <w:ind w:left="106" w:firstLine="2"/>
              <w:jc w:val="both"/>
              <w:rPr>
                <w:rFonts w:hint="eastAsia" w:ascii="仿宋" w:hAnsi="仿宋" w:eastAsia="仿宋" w:cs="仿宋"/>
                <w:sz w:val="24"/>
                <w:szCs w:val="24"/>
              </w:rPr>
            </w:pPr>
            <w:r>
              <w:rPr>
                <w:rFonts w:hint="eastAsia" w:ascii="仿宋" w:hAnsi="仿宋" w:eastAsia="仿宋" w:cs="仿宋"/>
                <w:spacing w:val="11"/>
                <w:sz w:val="24"/>
                <w:szCs w:val="24"/>
              </w:rPr>
              <w:t>需结合项目实际情况</w:t>
            </w:r>
            <w:r>
              <w:rPr>
                <w:rFonts w:hint="eastAsia" w:cs="仿宋"/>
                <w:spacing w:val="11"/>
                <w:sz w:val="24"/>
                <w:szCs w:val="24"/>
                <w:lang w:eastAsia="zh-CN"/>
              </w:rPr>
              <w:t>：</w:t>
            </w:r>
            <w:r>
              <w:rPr>
                <w:rFonts w:hint="eastAsia" w:cs="仿宋"/>
                <w:spacing w:val="11"/>
                <w:sz w:val="24"/>
                <w:szCs w:val="24"/>
                <w:lang w:val="en-US" w:eastAsia="zh-CN"/>
              </w:rPr>
              <w:t>1、</w:t>
            </w:r>
            <w:r>
              <w:rPr>
                <w:rFonts w:hint="eastAsia" w:ascii="仿宋" w:hAnsi="仿宋" w:eastAsia="仿宋" w:cs="仿宋"/>
                <w:spacing w:val="11"/>
                <w:sz w:val="24"/>
                <w:szCs w:val="24"/>
              </w:rPr>
              <w:t>具体特点及实际需求、各个阶段进度安排合理</w:t>
            </w:r>
            <w:r>
              <w:rPr>
                <w:rFonts w:hint="eastAsia" w:ascii="仿宋" w:hAnsi="仿宋" w:eastAsia="仿宋" w:cs="仿宋"/>
                <w:spacing w:val="8"/>
                <w:sz w:val="24"/>
                <w:szCs w:val="24"/>
              </w:rPr>
              <w:t>性、可操作性、实用性；</w:t>
            </w:r>
            <w:r>
              <w:rPr>
                <w:rFonts w:hint="eastAsia" w:cs="仿宋"/>
                <w:spacing w:val="8"/>
                <w:sz w:val="24"/>
                <w:szCs w:val="24"/>
                <w:lang w:val="en-US" w:eastAsia="zh-CN"/>
              </w:rPr>
              <w:t>2、</w:t>
            </w:r>
            <w:r>
              <w:rPr>
                <w:rFonts w:hint="eastAsia" w:ascii="仿宋" w:hAnsi="仿宋" w:eastAsia="仿宋" w:cs="仿宋"/>
                <w:spacing w:val="8"/>
                <w:sz w:val="24"/>
                <w:szCs w:val="24"/>
              </w:rPr>
              <w:t>是否能满足购货方各种需要等方面；</w:t>
            </w:r>
            <w:r>
              <w:rPr>
                <w:rFonts w:hint="eastAsia" w:cs="仿宋"/>
                <w:spacing w:val="8"/>
                <w:sz w:val="24"/>
                <w:szCs w:val="24"/>
                <w:lang w:val="en-US" w:eastAsia="zh-CN"/>
              </w:rPr>
              <w:t>3、</w:t>
            </w:r>
            <w:r>
              <w:rPr>
                <w:rFonts w:hint="eastAsia" w:ascii="仿宋" w:hAnsi="仿宋" w:eastAsia="仿宋" w:cs="仿宋"/>
                <w:spacing w:val="8"/>
                <w:sz w:val="24"/>
                <w:szCs w:val="24"/>
              </w:rPr>
              <w:t>是否有专业的技术人员负责此项目；</w:t>
            </w:r>
            <w:r>
              <w:rPr>
                <w:rFonts w:hint="eastAsia" w:cs="仿宋"/>
                <w:spacing w:val="8"/>
                <w:sz w:val="24"/>
                <w:szCs w:val="24"/>
                <w:lang w:val="en-US" w:eastAsia="zh-CN"/>
              </w:rPr>
              <w:t>4、</w:t>
            </w:r>
            <w:r>
              <w:rPr>
                <w:rFonts w:hint="eastAsia" w:ascii="仿宋" w:hAnsi="仿宋" w:eastAsia="仿宋" w:cs="仿宋"/>
                <w:spacing w:val="8"/>
                <w:sz w:val="24"/>
                <w:szCs w:val="24"/>
              </w:rPr>
              <w:t>各项技术参数是否均满足要求；</w:t>
            </w:r>
            <w:r>
              <w:rPr>
                <w:rFonts w:hint="eastAsia" w:cs="仿宋"/>
                <w:spacing w:val="8"/>
                <w:sz w:val="24"/>
                <w:szCs w:val="24"/>
                <w:lang w:val="en-US" w:eastAsia="zh-CN"/>
              </w:rPr>
              <w:t>5、</w:t>
            </w:r>
            <w:r>
              <w:rPr>
                <w:rFonts w:hint="eastAsia" w:ascii="仿宋" w:hAnsi="仿宋" w:eastAsia="仿宋" w:cs="仿宋"/>
                <w:spacing w:val="8"/>
                <w:sz w:val="24"/>
                <w:szCs w:val="24"/>
              </w:rPr>
              <w:t>在</w:t>
            </w:r>
            <w:r>
              <w:rPr>
                <w:rFonts w:hint="eastAsia" w:ascii="仿宋" w:hAnsi="仿宋" w:eastAsia="仿宋" w:cs="仿宋"/>
                <w:spacing w:val="10"/>
                <w:sz w:val="24"/>
                <w:szCs w:val="24"/>
              </w:rPr>
              <w:t>保证供应食材的质量、方便快捷；</w:t>
            </w:r>
            <w:r>
              <w:rPr>
                <w:rFonts w:hint="eastAsia" w:cs="仿宋"/>
                <w:spacing w:val="10"/>
                <w:sz w:val="24"/>
                <w:szCs w:val="24"/>
                <w:lang w:val="en-US" w:eastAsia="zh-CN"/>
              </w:rPr>
              <w:t>6、</w:t>
            </w:r>
            <w:r>
              <w:rPr>
                <w:rFonts w:hint="eastAsia" w:ascii="仿宋" w:hAnsi="仿宋" w:eastAsia="仿宋" w:cs="仿宋"/>
                <w:spacing w:val="10"/>
                <w:sz w:val="24"/>
                <w:szCs w:val="24"/>
              </w:rPr>
              <w:t>在加工、存储、包装、运输、冷</w:t>
            </w:r>
            <w:r>
              <w:rPr>
                <w:rFonts w:hint="eastAsia" w:ascii="仿宋" w:hAnsi="仿宋" w:eastAsia="仿宋" w:cs="仿宋"/>
                <w:spacing w:val="5"/>
                <w:sz w:val="24"/>
                <w:szCs w:val="24"/>
              </w:rPr>
              <w:t>藏保鲜等方面制定具体方案和详细措施，方案贴合本项目实际情况，</w:t>
            </w:r>
            <w:r>
              <w:rPr>
                <w:rFonts w:hint="eastAsia" w:ascii="仿宋" w:hAnsi="仿宋" w:eastAsia="仿宋" w:cs="仿宋"/>
                <w:spacing w:val="3"/>
                <w:sz w:val="24"/>
                <w:szCs w:val="24"/>
              </w:rPr>
              <w:t>逻辑清晰、方案内容全面，完全满足项目采购需求的得18分；其中</w:t>
            </w:r>
            <w:r>
              <w:rPr>
                <w:rFonts w:hint="eastAsia" w:ascii="仿宋" w:hAnsi="仿宋" w:eastAsia="仿宋" w:cs="仿宋"/>
                <w:spacing w:val="13"/>
                <w:sz w:val="24"/>
                <w:szCs w:val="24"/>
              </w:rPr>
              <w:t>缺项漏项或内容不全面或内容不具体或文字表述不清晰或与项目内</w:t>
            </w:r>
            <w:r>
              <w:rPr>
                <w:rFonts w:hint="eastAsia" w:ascii="仿宋" w:hAnsi="仿宋" w:eastAsia="仿宋" w:cs="仿宋"/>
                <w:spacing w:val="1"/>
                <w:sz w:val="24"/>
                <w:szCs w:val="24"/>
              </w:rPr>
              <w:t>容无关的，每有一项扣3分，扣完为止。</w:t>
            </w:r>
          </w:p>
        </w:tc>
        <w:tc>
          <w:tcPr>
            <w:tcW w:w="1893" w:type="dxa"/>
            <w:vMerge w:val="restart"/>
            <w:tcBorders>
              <w:bottom w:val="nil"/>
            </w:tcBorders>
            <w:vAlign w:val="top"/>
          </w:tcPr>
          <w:p w14:paraId="09AC4F29">
            <w:pPr>
              <w:spacing w:line="240" w:lineRule="auto"/>
              <w:rPr>
                <w:rFonts w:hint="eastAsia" w:ascii="仿宋" w:hAnsi="仿宋" w:eastAsia="仿宋" w:cs="仿宋"/>
                <w:sz w:val="24"/>
                <w:szCs w:val="24"/>
              </w:rPr>
            </w:pPr>
          </w:p>
        </w:tc>
      </w:tr>
      <w:tr w14:paraId="48CD8B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2" w:hRule="atLeast"/>
        </w:trPr>
        <w:tc>
          <w:tcPr>
            <w:tcW w:w="1050" w:type="dxa"/>
            <w:vMerge w:val="continue"/>
            <w:tcBorders>
              <w:top w:val="nil"/>
              <w:bottom w:val="nil"/>
            </w:tcBorders>
            <w:vAlign w:val="top"/>
          </w:tcPr>
          <w:p w14:paraId="447794EE">
            <w:pPr>
              <w:spacing w:line="240" w:lineRule="auto"/>
              <w:rPr>
                <w:rFonts w:hint="eastAsia" w:ascii="仿宋" w:hAnsi="仿宋" w:eastAsia="仿宋" w:cs="仿宋"/>
                <w:sz w:val="24"/>
                <w:szCs w:val="24"/>
              </w:rPr>
            </w:pPr>
          </w:p>
        </w:tc>
        <w:tc>
          <w:tcPr>
            <w:tcW w:w="1389" w:type="dxa"/>
            <w:vAlign w:val="top"/>
          </w:tcPr>
          <w:p w14:paraId="623EA798">
            <w:pPr>
              <w:spacing w:line="240" w:lineRule="auto"/>
              <w:rPr>
                <w:rFonts w:hint="eastAsia" w:ascii="仿宋" w:hAnsi="仿宋" w:eastAsia="仿宋" w:cs="仿宋"/>
                <w:sz w:val="24"/>
                <w:szCs w:val="24"/>
              </w:rPr>
            </w:pPr>
          </w:p>
          <w:p w14:paraId="078EC8E5">
            <w:pPr>
              <w:spacing w:line="240" w:lineRule="auto"/>
              <w:rPr>
                <w:rFonts w:hint="eastAsia" w:ascii="仿宋" w:hAnsi="仿宋" w:eastAsia="仿宋" w:cs="仿宋"/>
                <w:sz w:val="24"/>
                <w:szCs w:val="24"/>
              </w:rPr>
            </w:pPr>
          </w:p>
          <w:p w14:paraId="49854EC1">
            <w:pPr>
              <w:spacing w:line="240" w:lineRule="auto"/>
              <w:rPr>
                <w:rFonts w:hint="eastAsia" w:ascii="仿宋" w:hAnsi="仿宋" w:eastAsia="仿宋" w:cs="仿宋"/>
                <w:sz w:val="24"/>
                <w:szCs w:val="24"/>
              </w:rPr>
            </w:pPr>
          </w:p>
          <w:p w14:paraId="2A6F962F">
            <w:pPr>
              <w:pStyle w:val="89"/>
              <w:spacing w:before="86" w:line="240" w:lineRule="auto"/>
              <w:ind w:left="197"/>
              <w:rPr>
                <w:rFonts w:hint="eastAsia" w:ascii="仿宋" w:hAnsi="仿宋" w:eastAsia="仿宋" w:cs="仿宋"/>
                <w:sz w:val="24"/>
                <w:szCs w:val="24"/>
              </w:rPr>
            </w:pPr>
            <w:r>
              <w:rPr>
                <w:rFonts w:hint="eastAsia" w:ascii="仿宋" w:hAnsi="仿宋" w:eastAsia="仿宋" w:cs="仿宋"/>
                <w:spacing w:val="8"/>
                <w:sz w:val="24"/>
                <w:szCs w:val="24"/>
              </w:rPr>
              <w:t>配送及货</w:t>
            </w:r>
          </w:p>
          <w:p w14:paraId="7EEE9A77">
            <w:pPr>
              <w:pStyle w:val="89"/>
              <w:spacing w:line="240" w:lineRule="auto"/>
              <w:ind w:left="194"/>
              <w:rPr>
                <w:rFonts w:hint="eastAsia" w:ascii="仿宋" w:hAnsi="仿宋" w:eastAsia="仿宋" w:cs="仿宋"/>
                <w:sz w:val="24"/>
                <w:szCs w:val="24"/>
              </w:rPr>
            </w:pPr>
            <w:r>
              <w:rPr>
                <w:rFonts w:hint="eastAsia" w:ascii="仿宋" w:hAnsi="仿宋" w:eastAsia="仿宋" w:cs="仿宋"/>
                <w:spacing w:val="9"/>
                <w:sz w:val="24"/>
                <w:szCs w:val="24"/>
              </w:rPr>
              <w:t>源保障能</w:t>
            </w:r>
          </w:p>
          <w:p w14:paraId="0490AD84">
            <w:pPr>
              <w:pStyle w:val="89"/>
              <w:spacing w:line="240" w:lineRule="auto"/>
              <w:ind w:left="510"/>
              <w:rPr>
                <w:rFonts w:hint="eastAsia" w:ascii="仿宋" w:hAnsi="仿宋" w:eastAsia="仿宋" w:cs="仿宋"/>
                <w:sz w:val="24"/>
                <w:szCs w:val="24"/>
              </w:rPr>
            </w:pPr>
            <w:r>
              <w:rPr>
                <w:rFonts w:hint="eastAsia" w:ascii="仿宋" w:hAnsi="仿宋" w:eastAsia="仿宋" w:cs="仿宋"/>
                <w:spacing w:val="4"/>
                <w:sz w:val="24"/>
                <w:szCs w:val="24"/>
              </w:rPr>
              <w:t>力</w:t>
            </w:r>
          </w:p>
        </w:tc>
        <w:tc>
          <w:tcPr>
            <w:tcW w:w="520" w:type="dxa"/>
            <w:vAlign w:val="top"/>
          </w:tcPr>
          <w:p w14:paraId="1FE47AC7">
            <w:pPr>
              <w:spacing w:line="240" w:lineRule="auto"/>
              <w:rPr>
                <w:rFonts w:hint="eastAsia" w:ascii="仿宋" w:hAnsi="仿宋" w:eastAsia="仿宋" w:cs="仿宋"/>
                <w:sz w:val="24"/>
                <w:szCs w:val="24"/>
              </w:rPr>
            </w:pPr>
          </w:p>
          <w:p w14:paraId="291B474B">
            <w:pPr>
              <w:spacing w:line="240" w:lineRule="auto"/>
              <w:rPr>
                <w:rFonts w:hint="eastAsia" w:ascii="仿宋" w:hAnsi="仿宋" w:eastAsia="仿宋" w:cs="仿宋"/>
                <w:sz w:val="24"/>
                <w:szCs w:val="24"/>
              </w:rPr>
            </w:pPr>
          </w:p>
          <w:p w14:paraId="67E7371B">
            <w:pPr>
              <w:spacing w:line="240" w:lineRule="auto"/>
              <w:rPr>
                <w:rFonts w:hint="eastAsia" w:ascii="仿宋" w:hAnsi="仿宋" w:eastAsia="仿宋" w:cs="仿宋"/>
                <w:sz w:val="24"/>
                <w:szCs w:val="24"/>
              </w:rPr>
            </w:pPr>
          </w:p>
          <w:p w14:paraId="051372C7">
            <w:pPr>
              <w:pStyle w:val="89"/>
              <w:spacing w:before="86" w:line="240" w:lineRule="auto"/>
              <w:ind w:left="192"/>
              <w:rPr>
                <w:rFonts w:hint="eastAsia" w:ascii="仿宋" w:hAnsi="仿宋" w:eastAsia="仿宋" w:cs="仿宋"/>
                <w:sz w:val="24"/>
                <w:szCs w:val="24"/>
              </w:rPr>
            </w:pPr>
            <w:r>
              <w:rPr>
                <w:rFonts w:hint="eastAsia" w:ascii="仿宋" w:hAnsi="仿宋" w:eastAsia="仿宋" w:cs="仿宋"/>
                <w:spacing w:val="-5"/>
                <w:position w:val="3"/>
                <w:sz w:val="24"/>
                <w:szCs w:val="24"/>
              </w:rPr>
              <w:t>14</w:t>
            </w:r>
          </w:p>
        </w:tc>
        <w:tc>
          <w:tcPr>
            <w:tcW w:w="5553" w:type="dxa"/>
            <w:vAlign w:val="top"/>
          </w:tcPr>
          <w:p w14:paraId="31497379">
            <w:pPr>
              <w:pStyle w:val="89"/>
              <w:spacing w:line="240" w:lineRule="auto"/>
              <w:ind w:left="106" w:right="105" w:firstLine="8"/>
              <w:rPr>
                <w:rFonts w:hint="eastAsia" w:ascii="仿宋" w:hAnsi="仿宋" w:eastAsia="仿宋" w:cs="仿宋"/>
                <w:spacing w:val="5"/>
                <w:sz w:val="24"/>
                <w:szCs w:val="24"/>
                <w:highlight w:val="none"/>
              </w:rPr>
            </w:pPr>
            <w:r>
              <w:rPr>
                <w:rFonts w:hint="eastAsia" w:ascii="仿宋" w:hAnsi="仿宋" w:eastAsia="仿宋" w:cs="仿宋"/>
                <w:spacing w:val="5"/>
                <w:sz w:val="24"/>
                <w:szCs w:val="24"/>
                <w:highlight w:val="none"/>
                <w:lang w:val="en-US" w:eastAsia="en-US"/>
              </w:rPr>
              <w:t>1.</w:t>
            </w:r>
            <w:r>
              <w:rPr>
                <w:rFonts w:hint="eastAsia" w:ascii="仿宋" w:hAnsi="仿宋" w:eastAsia="仿宋" w:cs="仿宋"/>
                <w:spacing w:val="5"/>
                <w:sz w:val="24"/>
                <w:szCs w:val="24"/>
                <w:highlight w:val="none"/>
              </w:rPr>
              <w:t>食材配送能力：投标人需提供普通运输车辆15辆、冷藏车辆10辆（每车配一个驾驶员）</w:t>
            </w:r>
          </w:p>
          <w:p w14:paraId="700F1632">
            <w:pPr>
              <w:pStyle w:val="89"/>
              <w:spacing w:line="240" w:lineRule="auto"/>
              <w:ind w:left="106" w:right="105" w:firstLine="8"/>
              <w:rPr>
                <w:rFonts w:hint="eastAsia" w:ascii="仿宋" w:hAnsi="仿宋" w:eastAsia="仿宋" w:cs="仿宋"/>
                <w:spacing w:val="5"/>
                <w:sz w:val="24"/>
                <w:szCs w:val="24"/>
                <w:highlight w:val="none"/>
              </w:rPr>
            </w:pPr>
            <w:r>
              <w:rPr>
                <w:rFonts w:hint="eastAsia" w:ascii="仿宋" w:hAnsi="仿宋" w:eastAsia="仿宋" w:cs="仿宋"/>
                <w:spacing w:val="5"/>
                <w:sz w:val="24"/>
                <w:szCs w:val="24"/>
                <w:highlight w:val="none"/>
                <w:lang w:val="en-US" w:eastAsia="zh-CN"/>
              </w:rPr>
              <w:t>2.</w:t>
            </w:r>
            <w:r>
              <w:rPr>
                <w:rFonts w:hint="eastAsia" w:ascii="仿宋" w:hAnsi="仿宋" w:eastAsia="仿宋" w:cs="仿宋"/>
                <w:spacing w:val="5"/>
                <w:sz w:val="24"/>
                <w:szCs w:val="24"/>
                <w:highlight w:val="none"/>
              </w:rPr>
              <w:t>安装GPS，全运输过程监控。</w:t>
            </w:r>
          </w:p>
          <w:p w14:paraId="765F7EAB">
            <w:pPr>
              <w:pStyle w:val="89"/>
              <w:spacing w:line="240" w:lineRule="auto"/>
              <w:ind w:left="106" w:right="105" w:firstLine="8"/>
              <w:rPr>
                <w:rFonts w:hint="eastAsia" w:ascii="仿宋" w:hAnsi="仿宋" w:eastAsia="仿宋" w:cs="仿宋"/>
                <w:spacing w:val="5"/>
                <w:sz w:val="24"/>
                <w:szCs w:val="24"/>
                <w:highlight w:val="none"/>
              </w:rPr>
            </w:pPr>
            <w:r>
              <w:rPr>
                <w:rFonts w:hint="eastAsia" w:ascii="仿宋" w:hAnsi="仿宋" w:eastAsia="仿宋" w:cs="仿宋"/>
                <w:spacing w:val="5"/>
                <w:sz w:val="24"/>
                <w:szCs w:val="24"/>
                <w:highlight w:val="none"/>
                <w:lang w:val="en-US" w:eastAsia="zh-CN"/>
              </w:rPr>
              <w:t>3.冷藏</w:t>
            </w:r>
            <w:r>
              <w:rPr>
                <w:rFonts w:hint="eastAsia" w:ascii="仿宋" w:hAnsi="仿宋" w:eastAsia="仿宋" w:cs="仿宋"/>
                <w:spacing w:val="5"/>
                <w:sz w:val="24"/>
                <w:szCs w:val="24"/>
                <w:highlight w:val="none"/>
              </w:rPr>
              <w:t>车内装有控温仪，温度控制在在0℃-4℃之间，确保食材新鲜。</w:t>
            </w:r>
          </w:p>
          <w:p w14:paraId="3A7FBEBF">
            <w:pPr>
              <w:pStyle w:val="89"/>
              <w:spacing w:before="7" w:line="240" w:lineRule="auto"/>
              <w:ind w:left="106" w:right="39" w:firstLine="16"/>
              <w:rPr>
                <w:rFonts w:hint="eastAsia" w:ascii="仿宋" w:hAnsi="仿宋" w:eastAsia="仿宋" w:cs="仿宋"/>
                <w:sz w:val="24"/>
                <w:szCs w:val="24"/>
              </w:rPr>
            </w:pPr>
            <w:r>
              <w:rPr>
                <w:rFonts w:hint="eastAsia" w:ascii="仿宋" w:hAnsi="仿宋" w:eastAsia="仿宋" w:cs="仿宋"/>
                <w:spacing w:val="5"/>
                <w:sz w:val="24"/>
                <w:szCs w:val="24"/>
                <w:highlight w:val="none"/>
              </w:rPr>
              <w:t>提供相关证明材料</w:t>
            </w:r>
            <w:r>
              <w:rPr>
                <w:rFonts w:hint="eastAsia" w:ascii="仿宋" w:hAnsi="仿宋" w:eastAsia="仿宋" w:cs="仿宋"/>
                <w:spacing w:val="10"/>
                <w:sz w:val="24"/>
                <w:szCs w:val="24"/>
                <w:highlight w:val="none"/>
              </w:rPr>
              <w:t>：</w:t>
            </w:r>
            <w:r>
              <w:rPr>
                <w:rFonts w:hint="eastAsia" w:ascii="仿宋" w:hAnsi="仿宋" w:eastAsia="仿宋" w:cs="仿宋"/>
                <w:b/>
                <w:bCs/>
                <w:spacing w:val="10"/>
                <w:sz w:val="24"/>
                <w:szCs w:val="24"/>
                <w:highlight w:val="none"/>
              </w:rPr>
              <w:t>车辆提供车辆行</w:t>
            </w:r>
            <w:r>
              <w:rPr>
                <w:rFonts w:hint="eastAsia" w:ascii="仿宋" w:hAnsi="仿宋" w:eastAsia="仿宋" w:cs="仿宋"/>
                <w:b/>
                <w:bCs/>
                <w:spacing w:val="12"/>
                <w:sz w:val="24"/>
                <w:szCs w:val="24"/>
                <w:highlight w:val="none"/>
              </w:rPr>
              <w:t>驶证、有效期内车辆保险、车辆正面侧面照</w:t>
            </w:r>
            <w:r>
              <w:rPr>
                <w:rFonts w:hint="eastAsia" w:ascii="仿宋" w:hAnsi="仿宋" w:eastAsia="仿宋" w:cs="仿宋"/>
                <w:b/>
                <w:bCs/>
                <w:spacing w:val="11"/>
                <w:sz w:val="24"/>
                <w:szCs w:val="24"/>
                <w:highlight w:val="none"/>
              </w:rPr>
              <w:t>片并体现出清晰的车牌</w:t>
            </w:r>
            <w:r>
              <w:rPr>
                <w:rFonts w:hint="eastAsia" w:ascii="仿宋" w:hAnsi="仿宋" w:eastAsia="仿宋" w:cs="仿宋"/>
                <w:b/>
                <w:bCs/>
                <w:spacing w:val="4"/>
                <w:sz w:val="24"/>
                <w:szCs w:val="24"/>
                <w:highlight w:val="none"/>
              </w:rPr>
              <w:t>号，租赁车辆同时提供租赁合同；驾驶员：提供有效期</w:t>
            </w:r>
            <w:r>
              <w:rPr>
                <w:rFonts w:hint="eastAsia" w:ascii="仿宋" w:hAnsi="仿宋" w:eastAsia="仿宋" w:cs="仿宋"/>
                <w:b/>
                <w:bCs/>
                <w:spacing w:val="3"/>
                <w:sz w:val="24"/>
                <w:szCs w:val="24"/>
                <w:highlight w:val="none"/>
              </w:rPr>
              <w:t>内的劳务合</w:t>
            </w:r>
            <w:r>
              <w:rPr>
                <w:rFonts w:hint="eastAsia" w:ascii="仿宋" w:hAnsi="仿宋" w:eastAsia="仿宋" w:cs="仿宋"/>
                <w:b/>
                <w:bCs/>
                <w:spacing w:val="4"/>
                <w:sz w:val="24"/>
                <w:szCs w:val="24"/>
                <w:highlight w:val="none"/>
              </w:rPr>
              <w:t>同、驾驶证、健康证、意外险，每辆车配备的齐全共计得</w:t>
            </w:r>
            <w:r>
              <w:rPr>
                <w:rFonts w:hint="eastAsia" w:cs="仿宋"/>
                <w:b/>
                <w:bCs/>
                <w:spacing w:val="4"/>
                <w:sz w:val="24"/>
                <w:szCs w:val="24"/>
                <w:highlight w:val="none"/>
                <w:lang w:val="en-US" w:eastAsia="zh-CN"/>
              </w:rPr>
              <w:t>14</w:t>
            </w:r>
            <w:r>
              <w:rPr>
                <w:rFonts w:hint="eastAsia" w:ascii="仿宋" w:hAnsi="仿宋" w:eastAsia="仿宋" w:cs="仿宋"/>
                <w:b/>
                <w:bCs/>
                <w:spacing w:val="4"/>
                <w:sz w:val="24"/>
                <w:szCs w:val="24"/>
                <w:highlight w:val="none"/>
              </w:rPr>
              <w:t>分，</w:t>
            </w:r>
            <w:r>
              <w:rPr>
                <w:rFonts w:hint="eastAsia" w:ascii="仿宋" w:hAnsi="仿宋" w:eastAsia="仿宋" w:cs="仿宋"/>
                <w:b/>
                <w:bCs/>
                <w:spacing w:val="1"/>
                <w:sz w:val="24"/>
                <w:szCs w:val="24"/>
                <w:highlight w:val="none"/>
              </w:rPr>
              <w:t>每漏1项扣1分，扣完为止，不提</w:t>
            </w:r>
            <w:r>
              <w:rPr>
                <w:rFonts w:hint="eastAsia" w:ascii="仿宋" w:hAnsi="仿宋" w:eastAsia="仿宋" w:cs="仿宋"/>
                <w:b/>
                <w:bCs/>
                <w:sz w:val="24"/>
                <w:szCs w:val="24"/>
                <w:highlight w:val="none"/>
              </w:rPr>
              <w:t>供不得分。</w:t>
            </w:r>
          </w:p>
        </w:tc>
        <w:tc>
          <w:tcPr>
            <w:tcW w:w="1893" w:type="dxa"/>
            <w:vMerge w:val="continue"/>
            <w:tcBorders>
              <w:top w:val="nil"/>
              <w:bottom w:val="nil"/>
            </w:tcBorders>
            <w:vAlign w:val="top"/>
          </w:tcPr>
          <w:p w14:paraId="23A2CBD5">
            <w:pPr>
              <w:spacing w:line="240" w:lineRule="auto"/>
              <w:rPr>
                <w:rFonts w:hint="eastAsia" w:ascii="仿宋" w:hAnsi="仿宋" w:eastAsia="仿宋" w:cs="仿宋"/>
                <w:sz w:val="24"/>
                <w:szCs w:val="24"/>
              </w:rPr>
            </w:pPr>
          </w:p>
        </w:tc>
      </w:tr>
      <w:tr w14:paraId="38C502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9" w:hRule="atLeast"/>
        </w:trPr>
        <w:tc>
          <w:tcPr>
            <w:tcW w:w="1050" w:type="dxa"/>
            <w:vMerge w:val="continue"/>
            <w:tcBorders>
              <w:top w:val="nil"/>
              <w:bottom w:val="nil"/>
            </w:tcBorders>
            <w:vAlign w:val="top"/>
          </w:tcPr>
          <w:p w14:paraId="21C2F36A">
            <w:pPr>
              <w:spacing w:line="240" w:lineRule="auto"/>
              <w:rPr>
                <w:rFonts w:hint="eastAsia" w:ascii="仿宋" w:hAnsi="仿宋" w:eastAsia="仿宋" w:cs="仿宋"/>
                <w:sz w:val="24"/>
                <w:szCs w:val="24"/>
              </w:rPr>
            </w:pPr>
          </w:p>
        </w:tc>
        <w:tc>
          <w:tcPr>
            <w:tcW w:w="1389" w:type="dxa"/>
            <w:vAlign w:val="top"/>
          </w:tcPr>
          <w:p w14:paraId="0E64801B">
            <w:pPr>
              <w:spacing w:line="240" w:lineRule="auto"/>
              <w:rPr>
                <w:rFonts w:hint="eastAsia" w:ascii="仿宋" w:hAnsi="仿宋" w:eastAsia="仿宋" w:cs="仿宋"/>
                <w:sz w:val="24"/>
                <w:szCs w:val="24"/>
              </w:rPr>
            </w:pPr>
          </w:p>
          <w:p w14:paraId="76420709">
            <w:pPr>
              <w:pStyle w:val="89"/>
              <w:spacing w:before="86" w:line="240" w:lineRule="auto"/>
              <w:ind w:left="197"/>
              <w:rPr>
                <w:rFonts w:hint="eastAsia" w:ascii="仿宋" w:hAnsi="仿宋" w:eastAsia="仿宋" w:cs="仿宋"/>
                <w:sz w:val="24"/>
                <w:szCs w:val="24"/>
              </w:rPr>
            </w:pPr>
            <w:r>
              <w:rPr>
                <w:rFonts w:hint="eastAsia" w:ascii="仿宋" w:hAnsi="仿宋" w:eastAsia="仿宋" w:cs="仿宋"/>
                <w:spacing w:val="7"/>
                <w:sz w:val="24"/>
                <w:szCs w:val="24"/>
              </w:rPr>
              <w:t>配送方案</w:t>
            </w:r>
          </w:p>
        </w:tc>
        <w:tc>
          <w:tcPr>
            <w:tcW w:w="520" w:type="dxa"/>
            <w:vAlign w:val="top"/>
          </w:tcPr>
          <w:p w14:paraId="3A9E3B14">
            <w:pPr>
              <w:spacing w:line="240" w:lineRule="auto"/>
              <w:rPr>
                <w:rFonts w:hint="eastAsia" w:ascii="仿宋" w:hAnsi="仿宋" w:eastAsia="仿宋" w:cs="仿宋"/>
                <w:sz w:val="24"/>
                <w:szCs w:val="24"/>
              </w:rPr>
            </w:pPr>
          </w:p>
          <w:p w14:paraId="69EC62BF">
            <w:pPr>
              <w:pStyle w:val="89"/>
              <w:spacing w:before="85" w:line="240" w:lineRule="auto"/>
              <w:ind w:left="192"/>
              <w:rPr>
                <w:rFonts w:hint="eastAsia" w:ascii="仿宋" w:hAnsi="仿宋" w:eastAsia="仿宋" w:cs="仿宋"/>
                <w:sz w:val="24"/>
                <w:szCs w:val="24"/>
              </w:rPr>
            </w:pPr>
            <w:r>
              <w:rPr>
                <w:rFonts w:hint="eastAsia" w:ascii="仿宋" w:hAnsi="仿宋" w:eastAsia="仿宋" w:cs="仿宋"/>
                <w:spacing w:val="-5"/>
                <w:position w:val="3"/>
                <w:sz w:val="24"/>
                <w:szCs w:val="24"/>
              </w:rPr>
              <w:t>10</w:t>
            </w:r>
          </w:p>
        </w:tc>
        <w:tc>
          <w:tcPr>
            <w:tcW w:w="5553" w:type="dxa"/>
            <w:vAlign w:val="top"/>
          </w:tcPr>
          <w:p w14:paraId="629BF4AC">
            <w:pPr>
              <w:pStyle w:val="89"/>
              <w:spacing w:line="240" w:lineRule="auto"/>
              <w:ind w:left="107"/>
              <w:jc w:val="both"/>
              <w:rPr>
                <w:rFonts w:hint="eastAsia" w:ascii="仿宋" w:hAnsi="仿宋" w:eastAsia="仿宋" w:cs="仿宋"/>
                <w:sz w:val="24"/>
                <w:szCs w:val="24"/>
              </w:rPr>
            </w:pPr>
            <w:r>
              <w:rPr>
                <w:rFonts w:hint="eastAsia" w:ascii="仿宋" w:hAnsi="仿宋" w:eastAsia="仿宋" w:cs="仿宋"/>
                <w:spacing w:val="7"/>
                <w:sz w:val="24"/>
                <w:szCs w:val="24"/>
              </w:rPr>
              <w:t>投标人需提供配送服务方案（包含：①、</w:t>
            </w:r>
            <w:r>
              <w:rPr>
                <w:rFonts w:hint="eastAsia" w:ascii="仿宋" w:hAnsi="仿宋" w:eastAsia="仿宋" w:cs="仿宋"/>
                <w:spacing w:val="6"/>
                <w:sz w:val="24"/>
                <w:szCs w:val="24"/>
              </w:rPr>
              <w:t>配送方式及配送过程规划、</w:t>
            </w:r>
            <w:r>
              <w:rPr>
                <w:rFonts w:hint="eastAsia" w:ascii="仿宋" w:hAnsi="仿宋" w:eastAsia="仿宋" w:cs="仿宋"/>
                <w:spacing w:val="9"/>
                <w:sz w:val="24"/>
                <w:szCs w:val="24"/>
              </w:rPr>
              <w:t>②、验货不合格产品的退换方案、退换货流程，③、配送途中食材</w:t>
            </w:r>
            <w:r>
              <w:rPr>
                <w:rFonts w:hint="eastAsia" w:ascii="仿宋" w:hAnsi="仿宋" w:eastAsia="仿宋" w:cs="仿宋"/>
                <w:spacing w:val="5"/>
                <w:sz w:val="24"/>
                <w:szCs w:val="24"/>
              </w:rPr>
              <w:t>安全保障措施，④、食材保鲜的详细供货计划，⑤、食材保鲜措施）</w:t>
            </w:r>
            <w:r>
              <w:rPr>
                <w:rFonts w:hint="eastAsia" w:ascii="仿宋" w:hAnsi="仿宋" w:eastAsia="仿宋" w:cs="仿宋"/>
                <w:spacing w:val="10"/>
                <w:sz w:val="24"/>
                <w:szCs w:val="24"/>
              </w:rPr>
              <w:t>评标委员会根据项目实际情况，有利于项目实施且资料详细完整的</w:t>
            </w:r>
            <w:r>
              <w:rPr>
                <w:rFonts w:hint="eastAsia" w:ascii="仿宋" w:hAnsi="仿宋" w:eastAsia="仿宋" w:cs="仿宋"/>
                <w:spacing w:val="3"/>
                <w:sz w:val="24"/>
                <w:szCs w:val="24"/>
              </w:rPr>
              <w:t>每提供一项得2分，最高10分，提</w:t>
            </w:r>
            <w:r>
              <w:rPr>
                <w:rFonts w:hint="eastAsia" w:ascii="仿宋" w:hAnsi="仿宋" w:eastAsia="仿宋" w:cs="仿宋"/>
                <w:spacing w:val="2"/>
                <w:sz w:val="24"/>
                <w:szCs w:val="24"/>
              </w:rPr>
              <w:t>供不全或不提供不得分。</w:t>
            </w:r>
          </w:p>
        </w:tc>
        <w:tc>
          <w:tcPr>
            <w:tcW w:w="1893" w:type="dxa"/>
            <w:vMerge w:val="continue"/>
            <w:tcBorders>
              <w:top w:val="nil"/>
              <w:bottom w:val="nil"/>
            </w:tcBorders>
            <w:vAlign w:val="top"/>
          </w:tcPr>
          <w:p w14:paraId="6C6890DE">
            <w:pPr>
              <w:spacing w:line="240" w:lineRule="auto"/>
              <w:rPr>
                <w:rFonts w:hint="eastAsia" w:ascii="仿宋" w:hAnsi="仿宋" w:eastAsia="仿宋" w:cs="仿宋"/>
                <w:sz w:val="24"/>
                <w:szCs w:val="24"/>
              </w:rPr>
            </w:pPr>
          </w:p>
        </w:tc>
      </w:tr>
      <w:tr w14:paraId="5F816B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13" w:hRule="atLeast"/>
        </w:trPr>
        <w:tc>
          <w:tcPr>
            <w:tcW w:w="1050" w:type="dxa"/>
            <w:vMerge w:val="continue"/>
            <w:tcBorders>
              <w:top w:val="nil"/>
            </w:tcBorders>
            <w:vAlign w:val="top"/>
          </w:tcPr>
          <w:p w14:paraId="309066D0">
            <w:pPr>
              <w:spacing w:line="240" w:lineRule="auto"/>
              <w:rPr>
                <w:rFonts w:hint="eastAsia" w:ascii="仿宋" w:hAnsi="仿宋" w:eastAsia="仿宋" w:cs="仿宋"/>
                <w:sz w:val="24"/>
                <w:szCs w:val="24"/>
              </w:rPr>
            </w:pPr>
          </w:p>
        </w:tc>
        <w:tc>
          <w:tcPr>
            <w:tcW w:w="1389" w:type="dxa"/>
            <w:vAlign w:val="top"/>
          </w:tcPr>
          <w:p w14:paraId="61738EB1">
            <w:pPr>
              <w:spacing w:line="240" w:lineRule="auto"/>
              <w:rPr>
                <w:rFonts w:hint="eastAsia" w:ascii="仿宋" w:hAnsi="仿宋" w:eastAsia="仿宋" w:cs="仿宋"/>
                <w:sz w:val="24"/>
                <w:szCs w:val="24"/>
              </w:rPr>
            </w:pPr>
          </w:p>
          <w:p w14:paraId="729C4D67">
            <w:pPr>
              <w:spacing w:line="240" w:lineRule="auto"/>
              <w:rPr>
                <w:rFonts w:hint="eastAsia" w:ascii="仿宋" w:hAnsi="仿宋" w:eastAsia="仿宋" w:cs="仿宋"/>
                <w:sz w:val="24"/>
                <w:szCs w:val="24"/>
              </w:rPr>
            </w:pPr>
          </w:p>
          <w:p w14:paraId="2B860AB3">
            <w:pPr>
              <w:spacing w:line="240" w:lineRule="auto"/>
              <w:rPr>
                <w:rFonts w:hint="eastAsia" w:ascii="仿宋" w:hAnsi="仿宋" w:eastAsia="仿宋" w:cs="仿宋"/>
                <w:sz w:val="24"/>
                <w:szCs w:val="24"/>
              </w:rPr>
            </w:pPr>
          </w:p>
          <w:p w14:paraId="14E7824F">
            <w:pPr>
              <w:pStyle w:val="89"/>
              <w:spacing w:before="86" w:line="240" w:lineRule="auto"/>
              <w:ind w:left="192"/>
              <w:rPr>
                <w:rFonts w:hint="eastAsia" w:ascii="仿宋" w:hAnsi="仿宋" w:eastAsia="仿宋" w:cs="仿宋"/>
                <w:sz w:val="24"/>
                <w:szCs w:val="24"/>
              </w:rPr>
            </w:pPr>
            <w:r>
              <w:rPr>
                <w:rFonts w:hint="eastAsia" w:ascii="仿宋" w:hAnsi="仿宋" w:eastAsia="仿宋" w:cs="仿宋"/>
                <w:spacing w:val="9"/>
                <w:sz w:val="24"/>
                <w:szCs w:val="24"/>
              </w:rPr>
              <w:t>应急措施</w:t>
            </w:r>
          </w:p>
        </w:tc>
        <w:tc>
          <w:tcPr>
            <w:tcW w:w="520" w:type="dxa"/>
            <w:vAlign w:val="top"/>
          </w:tcPr>
          <w:p w14:paraId="384C9826">
            <w:pPr>
              <w:spacing w:line="240" w:lineRule="auto"/>
              <w:rPr>
                <w:rFonts w:hint="eastAsia" w:ascii="仿宋" w:hAnsi="仿宋" w:eastAsia="仿宋" w:cs="仿宋"/>
                <w:sz w:val="24"/>
                <w:szCs w:val="24"/>
              </w:rPr>
            </w:pPr>
          </w:p>
          <w:p w14:paraId="0DA8C553">
            <w:pPr>
              <w:spacing w:line="240" w:lineRule="auto"/>
              <w:rPr>
                <w:rFonts w:hint="eastAsia" w:ascii="仿宋" w:hAnsi="仿宋" w:eastAsia="仿宋" w:cs="仿宋"/>
                <w:sz w:val="24"/>
                <w:szCs w:val="24"/>
              </w:rPr>
            </w:pPr>
          </w:p>
          <w:p w14:paraId="7E655F29">
            <w:pPr>
              <w:pStyle w:val="89"/>
              <w:spacing w:before="85" w:line="240" w:lineRule="auto"/>
              <w:ind w:left="251"/>
              <w:rPr>
                <w:rFonts w:hint="eastAsia" w:ascii="仿宋" w:hAnsi="仿宋" w:eastAsia="仿宋" w:cs="仿宋"/>
                <w:sz w:val="24"/>
                <w:szCs w:val="24"/>
              </w:rPr>
            </w:pPr>
            <w:r>
              <w:rPr>
                <w:rFonts w:hint="eastAsia" w:ascii="仿宋" w:hAnsi="仿宋" w:eastAsia="仿宋" w:cs="仿宋"/>
                <w:position w:val="3"/>
                <w:sz w:val="24"/>
                <w:szCs w:val="24"/>
              </w:rPr>
              <w:t>5</w:t>
            </w:r>
          </w:p>
        </w:tc>
        <w:tc>
          <w:tcPr>
            <w:tcW w:w="5553" w:type="dxa"/>
            <w:vAlign w:val="top"/>
          </w:tcPr>
          <w:p w14:paraId="44CAD8CF">
            <w:pPr>
              <w:pStyle w:val="89"/>
              <w:spacing w:before="35" w:line="240" w:lineRule="auto"/>
              <w:ind w:left="105" w:right="103" w:firstLine="1"/>
              <w:jc w:val="both"/>
              <w:rPr>
                <w:rFonts w:hint="eastAsia" w:ascii="仿宋" w:hAnsi="仿宋" w:eastAsia="仿宋" w:cs="仿宋"/>
                <w:sz w:val="24"/>
                <w:szCs w:val="24"/>
              </w:rPr>
            </w:pPr>
            <w:r>
              <w:rPr>
                <w:rFonts w:hint="eastAsia" w:ascii="仿宋" w:hAnsi="仿宋" w:eastAsia="仿宋" w:cs="仿宋"/>
                <w:spacing w:val="10"/>
                <w:sz w:val="24"/>
                <w:szCs w:val="24"/>
              </w:rPr>
              <w:t>针对项目实际情况提供应急措施方案：①、投标人需考虑可能发生</w:t>
            </w:r>
            <w:r>
              <w:rPr>
                <w:rFonts w:hint="eastAsia" w:ascii="仿宋" w:hAnsi="仿宋" w:eastAsia="仿宋" w:cs="仿宋"/>
                <w:spacing w:val="8"/>
                <w:sz w:val="24"/>
                <w:szCs w:val="24"/>
              </w:rPr>
              <w:t>的突发情况，制定详细、可行的食品安全保障方案；②、针对食品</w:t>
            </w:r>
            <w:r>
              <w:rPr>
                <w:rFonts w:hint="eastAsia" w:ascii="仿宋" w:hAnsi="仿宋" w:eastAsia="仿宋" w:cs="仿宋"/>
                <w:spacing w:val="10"/>
                <w:sz w:val="24"/>
                <w:szCs w:val="24"/>
              </w:rPr>
              <w:t>出现不同突发情形提供不同的解决方案；③、食品卫生安全管理应</w:t>
            </w:r>
            <w:r>
              <w:rPr>
                <w:rFonts w:hint="eastAsia" w:ascii="仿宋" w:hAnsi="仿宋" w:eastAsia="仿宋" w:cs="仿宋"/>
                <w:spacing w:val="7"/>
                <w:sz w:val="24"/>
                <w:szCs w:val="24"/>
              </w:rPr>
              <w:t>急预案；④、学生食物中毒应急预案；⑤、防止食</w:t>
            </w:r>
            <w:r>
              <w:rPr>
                <w:rFonts w:hint="eastAsia" w:ascii="仿宋" w:hAnsi="仿宋" w:eastAsia="仿宋" w:cs="仿宋"/>
                <w:spacing w:val="6"/>
                <w:sz w:val="24"/>
                <w:szCs w:val="24"/>
              </w:rPr>
              <w:t>材未能及时送达</w:t>
            </w:r>
            <w:r>
              <w:rPr>
                <w:rFonts w:hint="eastAsia" w:ascii="仿宋" w:hAnsi="仿宋" w:eastAsia="仿宋" w:cs="仿宋"/>
                <w:spacing w:val="9"/>
                <w:sz w:val="24"/>
                <w:szCs w:val="24"/>
              </w:rPr>
              <w:t>应急预案；评标委员会根据项目实际情况</w:t>
            </w:r>
            <w:r>
              <w:rPr>
                <w:rFonts w:hint="eastAsia" w:ascii="仿宋" w:hAnsi="仿宋" w:eastAsia="仿宋" w:cs="仿宋"/>
                <w:spacing w:val="8"/>
                <w:sz w:val="24"/>
                <w:szCs w:val="24"/>
              </w:rPr>
              <w:t>，有利于项目实施且资料</w:t>
            </w:r>
            <w:r>
              <w:rPr>
                <w:rFonts w:hint="eastAsia" w:ascii="仿宋" w:hAnsi="仿宋" w:eastAsia="仿宋" w:cs="仿宋"/>
                <w:spacing w:val="5"/>
                <w:sz w:val="24"/>
                <w:szCs w:val="24"/>
              </w:rPr>
              <w:t>详细完整的每提供一项得1分，最高5分，提供不全或不提供不得分。</w:t>
            </w:r>
          </w:p>
        </w:tc>
        <w:tc>
          <w:tcPr>
            <w:tcW w:w="1893" w:type="dxa"/>
            <w:vMerge w:val="continue"/>
            <w:tcBorders>
              <w:top w:val="nil"/>
            </w:tcBorders>
            <w:vAlign w:val="top"/>
          </w:tcPr>
          <w:p w14:paraId="67E81220">
            <w:pPr>
              <w:spacing w:line="240" w:lineRule="auto"/>
              <w:rPr>
                <w:rFonts w:hint="eastAsia" w:ascii="仿宋" w:hAnsi="仿宋" w:eastAsia="仿宋" w:cs="仿宋"/>
                <w:sz w:val="24"/>
                <w:szCs w:val="24"/>
              </w:rPr>
            </w:pPr>
          </w:p>
        </w:tc>
      </w:tr>
      <w:tr w14:paraId="55DD54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1050" w:type="dxa"/>
            <w:vMerge w:val="restart"/>
            <w:tcBorders>
              <w:bottom w:val="nil"/>
            </w:tcBorders>
            <w:vAlign w:val="top"/>
          </w:tcPr>
          <w:p w14:paraId="5DBC71BC">
            <w:pPr>
              <w:spacing w:line="240" w:lineRule="auto"/>
              <w:rPr>
                <w:rFonts w:hint="eastAsia" w:ascii="仿宋" w:hAnsi="仿宋" w:eastAsia="仿宋" w:cs="仿宋"/>
                <w:sz w:val="24"/>
                <w:szCs w:val="24"/>
              </w:rPr>
            </w:pPr>
          </w:p>
        </w:tc>
        <w:tc>
          <w:tcPr>
            <w:tcW w:w="1389" w:type="dxa"/>
            <w:vAlign w:val="top"/>
          </w:tcPr>
          <w:p w14:paraId="6F035C22">
            <w:pPr>
              <w:spacing w:line="240" w:lineRule="auto"/>
              <w:rPr>
                <w:rFonts w:hint="eastAsia" w:ascii="仿宋" w:hAnsi="仿宋" w:eastAsia="仿宋" w:cs="仿宋"/>
                <w:sz w:val="24"/>
                <w:szCs w:val="24"/>
              </w:rPr>
            </w:pPr>
          </w:p>
          <w:p w14:paraId="146ACE07">
            <w:pPr>
              <w:spacing w:line="240" w:lineRule="auto"/>
              <w:rPr>
                <w:rFonts w:hint="eastAsia" w:ascii="仿宋" w:hAnsi="仿宋" w:eastAsia="仿宋" w:cs="仿宋"/>
                <w:sz w:val="24"/>
                <w:szCs w:val="24"/>
              </w:rPr>
            </w:pPr>
          </w:p>
          <w:p w14:paraId="07762980">
            <w:pPr>
              <w:spacing w:line="240" w:lineRule="auto"/>
              <w:rPr>
                <w:rFonts w:hint="eastAsia" w:ascii="仿宋" w:hAnsi="仿宋" w:eastAsia="仿宋" w:cs="仿宋"/>
                <w:sz w:val="24"/>
                <w:szCs w:val="24"/>
              </w:rPr>
            </w:pPr>
          </w:p>
          <w:p w14:paraId="3E7AE2C1">
            <w:pPr>
              <w:spacing w:line="240" w:lineRule="auto"/>
              <w:rPr>
                <w:rFonts w:hint="eastAsia" w:ascii="仿宋" w:hAnsi="仿宋" w:eastAsia="仿宋" w:cs="仿宋"/>
                <w:sz w:val="24"/>
                <w:szCs w:val="24"/>
              </w:rPr>
            </w:pPr>
          </w:p>
          <w:p w14:paraId="5E5B8315">
            <w:pPr>
              <w:pStyle w:val="89"/>
              <w:spacing w:before="86" w:line="240" w:lineRule="auto"/>
              <w:rPr>
                <w:rFonts w:hint="eastAsia" w:ascii="仿宋" w:hAnsi="仿宋" w:eastAsia="仿宋" w:cs="仿宋"/>
                <w:sz w:val="24"/>
                <w:szCs w:val="24"/>
              </w:rPr>
            </w:pPr>
            <w:r>
              <w:rPr>
                <w:rFonts w:hint="eastAsia" w:ascii="仿宋" w:hAnsi="仿宋" w:eastAsia="仿宋" w:cs="仿宋"/>
                <w:spacing w:val="8"/>
                <w:sz w:val="24"/>
                <w:szCs w:val="24"/>
              </w:rPr>
              <w:t>仓储能力</w:t>
            </w:r>
          </w:p>
        </w:tc>
        <w:tc>
          <w:tcPr>
            <w:tcW w:w="520" w:type="dxa"/>
            <w:vAlign w:val="top"/>
          </w:tcPr>
          <w:p w14:paraId="2F93CE03">
            <w:pPr>
              <w:spacing w:line="240" w:lineRule="auto"/>
              <w:rPr>
                <w:rFonts w:hint="eastAsia" w:ascii="仿宋" w:hAnsi="仿宋" w:eastAsia="仿宋" w:cs="仿宋"/>
                <w:sz w:val="24"/>
                <w:szCs w:val="24"/>
              </w:rPr>
            </w:pPr>
          </w:p>
          <w:p w14:paraId="714E397F">
            <w:pPr>
              <w:spacing w:line="240" w:lineRule="auto"/>
              <w:rPr>
                <w:rFonts w:hint="eastAsia" w:ascii="仿宋" w:hAnsi="仿宋" w:eastAsia="仿宋" w:cs="仿宋"/>
                <w:sz w:val="24"/>
                <w:szCs w:val="24"/>
              </w:rPr>
            </w:pPr>
          </w:p>
          <w:p w14:paraId="1415E0D7">
            <w:pPr>
              <w:spacing w:line="240" w:lineRule="auto"/>
              <w:rPr>
                <w:rFonts w:hint="eastAsia" w:ascii="仿宋" w:hAnsi="仿宋" w:eastAsia="仿宋" w:cs="仿宋"/>
                <w:sz w:val="24"/>
                <w:szCs w:val="24"/>
              </w:rPr>
            </w:pPr>
          </w:p>
          <w:p w14:paraId="737B0CFF">
            <w:pPr>
              <w:pStyle w:val="89"/>
              <w:spacing w:before="86" w:line="240" w:lineRule="auto"/>
              <w:ind w:left="245"/>
              <w:rPr>
                <w:rFonts w:hint="eastAsia" w:ascii="仿宋" w:hAnsi="仿宋" w:eastAsia="仿宋" w:cs="仿宋"/>
                <w:sz w:val="24"/>
                <w:szCs w:val="24"/>
              </w:rPr>
            </w:pPr>
            <w:r>
              <w:rPr>
                <w:rFonts w:hint="eastAsia" w:ascii="仿宋" w:hAnsi="仿宋" w:eastAsia="仿宋" w:cs="仿宋"/>
                <w:position w:val="3"/>
                <w:sz w:val="24"/>
                <w:szCs w:val="24"/>
              </w:rPr>
              <w:t>6</w:t>
            </w:r>
          </w:p>
        </w:tc>
        <w:tc>
          <w:tcPr>
            <w:tcW w:w="5553" w:type="dxa"/>
            <w:vAlign w:val="top"/>
          </w:tcPr>
          <w:p w14:paraId="6CA86FDC">
            <w:pPr>
              <w:pStyle w:val="89"/>
              <w:spacing w:before="5" w:line="240" w:lineRule="auto"/>
              <w:ind w:left="105" w:right="207" w:firstLine="1"/>
              <w:rPr>
                <w:rFonts w:hint="eastAsia" w:ascii="仿宋" w:hAnsi="仿宋" w:eastAsia="仿宋" w:cs="仿宋"/>
                <w:sz w:val="24"/>
                <w:szCs w:val="24"/>
              </w:rPr>
            </w:pPr>
            <w:r>
              <w:rPr>
                <w:rFonts w:hint="eastAsia" w:ascii="仿宋" w:hAnsi="仿宋" w:eastAsia="仿宋" w:cs="仿宋"/>
                <w:spacing w:val="6"/>
                <w:sz w:val="24"/>
                <w:szCs w:val="24"/>
              </w:rPr>
              <w:t>投标人具备冷藏库、仓储，企业冷库与仓储面积5</w:t>
            </w:r>
            <w:r>
              <w:rPr>
                <w:rFonts w:hint="eastAsia" w:ascii="仿宋" w:hAnsi="仿宋" w:eastAsia="仿宋" w:cs="仿宋"/>
                <w:spacing w:val="5"/>
                <w:sz w:val="24"/>
                <w:szCs w:val="24"/>
              </w:rPr>
              <w:t>000㎡及以上得6</w:t>
            </w:r>
            <w:r>
              <w:rPr>
                <w:rFonts w:hint="eastAsia" w:ascii="仿宋" w:hAnsi="仿宋" w:eastAsia="仿宋" w:cs="仿宋"/>
                <w:spacing w:val="3"/>
                <w:sz w:val="24"/>
                <w:szCs w:val="24"/>
              </w:rPr>
              <w:t>分；</w:t>
            </w:r>
          </w:p>
          <w:p w14:paraId="467807DF">
            <w:pPr>
              <w:pStyle w:val="89"/>
              <w:spacing w:before="1" w:line="240" w:lineRule="auto"/>
              <w:ind w:left="105" w:right="104" w:firstLine="1"/>
              <w:rPr>
                <w:rFonts w:hint="eastAsia" w:ascii="仿宋" w:hAnsi="仿宋" w:eastAsia="仿宋" w:cs="仿宋"/>
                <w:sz w:val="24"/>
                <w:szCs w:val="24"/>
              </w:rPr>
            </w:pPr>
            <w:r>
              <w:rPr>
                <w:rFonts w:hint="eastAsia" w:ascii="仿宋" w:hAnsi="仿宋" w:eastAsia="仿宋" w:cs="仿宋"/>
                <w:spacing w:val="1"/>
                <w:sz w:val="24"/>
                <w:szCs w:val="24"/>
              </w:rPr>
              <w:t>投标人具备冷藏库、仓储，企业冷库与仓储面积2000㎡-5000㎡得3</w:t>
            </w:r>
            <w:r>
              <w:rPr>
                <w:rFonts w:hint="eastAsia" w:ascii="仿宋" w:hAnsi="仿宋" w:eastAsia="仿宋" w:cs="仿宋"/>
                <w:sz w:val="24"/>
                <w:szCs w:val="24"/>
              </w:rPr>
              <w:t>分；投标人具备冷藏库、仓储，企业冷库与仓储面积1000㎡-2000㎡</w:t>
            </w:r>
            <w:r>
              <w:rPr>
                <w:rFonts w:hint="eastAsia" w:ascii="仿宋" w:hAnsi="仿宋" w:eastAsia="仿宋" w:cs="仿宋"/>
                <w:spacing w:val="4"/>
                <w:sz w:val="24"/>
                <w:szCs w:val="24"/>
              </w:rPr>
              <w:t>得1分。少于1000㎡不得分。</w:t>
            </w:r>
            <w:r>
              <w:rPr>
                <w:rFonts w:hint="eastAsia" w:ascii="仿宋" w:hAnsi="仿宋" w:eastAsia="仿宋" w:cs="仿宋"/>
                <w:b/>
                <w:bCs/>
                <w:spacing w:val="9"/>
                <w:sz w:val="24"/>
                <w:szCs w:val="24"/>
              </w:rPr>
              <w:t>本项目要求投标人提供产权佐证或租赁合同文件、实景彩色照片等证明材料。并提供中标后在甲方项目所在地设置符合要求的仓库承诺书且中</w:t>
            </w:r>
            <w:r>
              <w:rPr>
                <w:rFonts w:hint="eastAsia" w:ascii="仿宋" w:hAnsi="仿宋" w:eastAsia="仿宋" w:cs="仿宋"/>
                <w:b/>
                <w:bCs/>
                <w:spacing w:val="8"/>
                <w:sz w:val="24"/>
                <w:szCs w:val="24"/>
              </w:rPr>
              <w:t>标后甲方将进行现场查验。上述资料全部提供视为一套有效证明材料，</w:t>
            </w:r>
            <w:r>
              <w:rPr>
                <w:rFonts w:hint="eastAsia" w:ascii="仿宋" w:hAnsi="仿宋" w:eastAsia="仿宋" w:cs="仿宋"/>
                <w:b/>
                <w:bCs/>
                <w:spacing w:val="9"/>
                <w:sz w:val="24"/>
                <w:szCs w:val="24"/>
              </w:rPr>
              <w:t>提供不全或未提供不得分</w:t>
            </w:r>
          </w:p>
        </w:tc>
        <w:tc>
          <w:tcPr>
            <w:tcW w:w="1893" w:type="dxa"/>
            <w:vMerge w:val="restart"/>
            <w:tcBorders>
              <w:bottom w:val="nil"/>
            </w:tcBorders>
            <w:vAlign w:val="top"/>
          </w:tcPr>
          <w:p w14:paraId="6D9103BA">
            <w:pPr>
              <w:spacing w:line="240" w:lineRule="auto"/>
              <w:rPr>
                <w:rFonts w:hint="eastAsia" w:ascii="仿宋" w:hAnsi="仿宋" w:eastAsia="仿宋" w:cs="仿宋"/>
                <w:sz w:val="24"/>
                <w:szCs w:val="24"/>
              </w:rPr>
            </w:pPr>
          </w:p>
        </w:tc>
      </w:tr>
      <w:tr w14:paraId="4EE51B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2" w:hRule="atLeast"/>
        </w:trPr>
        <w:tc>
          <w:tcPr>
            <w:tcW w:w="1050" w:type="dxa"/>
            <w:vMerge w:val="continue"/>
            <w:tcBorders>
              <w:top w:val="nil"/>
            </w:tcBorders>
            <w:vAlign w:val="top"/>
          </w:tcPr>
          <w:p w14:paraId="4112852D">
            <w:pPr>
              <w:spacing w:line="240" w:lineRule="auto"/>
              <w:rPr>
                <w:rFonts w:hint="eastAsia" w:ascii="仿宋" w:hAnsi="仿宋" w:eastAsia="仿宋" w:cs="仿宋"/>
                <w:sz w:val="24"/>
                <w:szCs w:val="24"/>
              </w:rPr>
            </w:pPr>
          </w:p>
        </w:tc>
        <w:tc>
          <w:tcPr>
            <w:tcW w:w="1389" w:type="dxa"/>
            <w:vAlign w:val="top"/>
          </w:tcPr>
          <w:p w14:paraId="116D3492">
            <w:pPr>
              <w:spacing w:line="240" w:lineRule="auto"/>
              <w:rPr>
                <w:rFonts w:hint="eastAsia" w:ascii="仿宋" w:hAnsi="仿宋" w:eastAsia="仿宋" w:cs="仿宋"/>
                <w:sz w:val="24"/>
                <w:szCs w:val="24"/>
              </w:rPr>
            </w:pPr>
          </w:p>
          <w:p w14:paraId="34BDB08E">
            <w:pPr>
              <w:spacing w:line="240" w:lineRule="auto"/>
              <w:rPr>
                <w:rFonts w:hint="eastAsia" w:ascii="仿宋" w:hAnsi="仿宋" w:eastAsia="仿宋" w:cs="仿宋"/>
                <w:sz w:val="24"/>
                <w:szCs w:val="24"/>
              </w:rPr>
            </w:pPr>
          </w:p>
          <w:p w14:paraId="0D411422">
            <w:pPr>
              <w:spacing w:line="240" w:lineRule="auto"/>
              <w:rPr>
                <w:rFonts w:hint="eastAsia" w:ascii="仿宋" w:hAnsi="仿宋" w:eastAsia="仿宋" w:cs="仿宋"/>
                <w:sz w:val="24"/>
                <w:szCs w:val="24"/>
              </w:rPr>
            </w:pPr>
          </w:p>
          <w:p w14:paraId="76460F17">
            <w:pPr>
              <w:spacing w:line="240" w:lineRule="auto"/>
              <w:rPr>
                <w:rFonts w:hint="eastAsia" w:ascii="仿宋" w:hAnsi="仿宋" w:eastAsia="仿宋" w:cs="仿宋"/>
                <w:sz w:val="24"/>
                <w:szCs w:val="24"/>
              </w:rPr>
            </w:pPr>
          </w:p>
          <w:p w14:paraId="0A1F6D3F">
            <w:pPr>
              <w:spacing w:line="240" w:lineRule="auto"/>
              <w:rPr>
                <w:rFonts w:hint="eastAsia" w:ascii="仿宋" w:hAnsi="仿宋" w:eastAsia="仿宋" w:cs="仿宋"/>
                <w:sz w:val="24"/>
                <w:szCs w:val="24"/>
              </w:rPr>
            </w:pPr>
          </w:p>
          <w:p w14:paraId="46593597">
            <w:pPr>
              <w:pStyle w:val="89"/>
              <w:spacing w:before="86" w:line="240" w:lineRule="auto"/>
              <w:ind w:left="194"/>
              <w:rPr>
                <w:rFonts w:hint="eastAsia" w:ascii="仿宋" w:hAnsi="仿宋" w:eastAsia="仿宋" w:cs="仿宋"/>
                <w:sz w:val="24"/>
                <w:szCs w:val="24"/>
              </w:rPr>
            </w:pPr>
            <w:r>
              <w:rPr>
                <w:rFonts w:hint="eastAsia" w:ascii="仿宋" w:hAnsi="仿宋" w:eastAsia="仿宋" w:cs="仿宋"/>
                <w:spacing w:val="8"/>
                <w:sz w:val="24"/>
                <w:szCs w:val="24"/>
              </w:rPr>
              <w:t>人员安排</w:t>
            </w:r>
          </w:p>
          <w:p w14:paraId="21CFD25D">
            <w:pPr>
              <w:pStyle w:val="89"/>
              <w:spacing w:before="1" w:line="240" w:lineRule="auto"/>
              <w:ind w:left="197"/>
              <w:rPr>
                <w:rFonts w:hint="eastAsia" w:ascii="仿宋" w:hAnsi="仿宋" w:eastAsia="仿宋" w:cs="仿宋"/>
                <w:sz w:val="24"/>
                <w:szCs w:val="24"/>
              </w:rPr>
            </w:pPr>
            <w:r>
              <w:rPr>
                <w:rFonts w:hint="eastAsia" w:ascii="仿宋" w:hAnsi="仿宋" w:eastAsia="仿宋" w:cs="仿宋"/>
                <w:spacing w:val="7"/>
                <w:sz w:val="24"/>
                <w:szCs w:val="24"/>
              </w:rPr>
              <w:t>配置情况</w:t>
            </w:r>
          </w:p>
        </w:tc>
        <w:tc>
          <w:tcPr>
            <w:tcW w:w="520" w:type="dxa"/>
            <w:vAlign w:val="top"/>
          </w:tcPr>
          <w:p w14:paraId="25AE73C2">
            <w:pPr>
              <w:spacing w:line="240" w:lineRule="auto"/>
              <w:rPr>
                <w:rFonts w:hint="eastAsia" w:ascii="仿宋" w:hAnsi="仿宋" w:eastAsia="仿宋" w:cs="仿宋"/>
                <w:sz w:val="24"/>
                <w:szCs w:val="24"/>
              </w:rPr>
            </w:pPr>
          </w:p>
          <w:p w14:paraId="248778EF">
            <w:pPr>
              <w:spacing w:line="240" w:lineRule="auto"/>
              <w:rPr>
                <w:rFonts w:hint="eastAsia" w:ascii="仿宋" w:hAnsi="仿宋" w:eastAsia="仿宋" w:cs="仿宋"/>
                <w:sz w:val="24"/>
                <w:szCs w:val="24"/>
              </w:rPr>
            </w:pPr>
          </w:p>
          <w:p w14:paraId="59E8989D">
            <w:pPr>
              <w:spacing w:line="240" w:lineRule="auto"/>
              <w:rPr>
                <w:rFonts w:hint="eastAsia" w:ascii="仿宋" w:hAnsi="仿宋" w:eastAsia="仿宋" w:cs="仿宋"/>
                <w:sz w:val="24"/>
                <w:szCs w:val="24"/>
              </w:rPr>
            </w:pPr>
          </w:p>
          <w:p w14:paraId="623722D9">
            <w:pPr>
              <w:spacing w:line="240" w:lineRule="auto"/>
              <w:rPr>
                <w:rFonts w:hint="eastAsia" w:ascii="仿宋" w:hAnsi="仿宋" w:eastAsia="仿宋" w:cs="仿宋"/>
                <w:sz w:val="24"/>
                <w:szCs w:val="24"/>
              </w:rPr>
            </w:pPr>
          </w:p>
          <w:p w14:paraId="71FF5222">
            <w:pPr>
              <w:spacing w:line="240" w:lineRule="auto"/>
              <w:rPr>
                <w:rFonts w:hint="eastAsia" w:ascii="仿宋" w:hAnsi="仿宋" w:eastAsia="仿宋" w:cs="仿宋"/>
                <w:sz w:val="24"/>
                <w:szCs w:val="24"/>
              </w:rPr>
            </w:pPr>
          </w:p>
          <w:p w14:paraId="22490800">
            <w:pPr>
              <w:spacing w:line="240" w:lineRule="auto"/>
              <w:rPr>
                <w:rFonts w:hint="eastAsia" w:ascii="仿宋" w:hAnsi="仿宋" w:eastAsia="仿宋" w:cs="仿宋"/>
                <w:sz w:val="24"/>
                <w:szCs w:val="24"/>
              </w:rPr>
            </w:pPr>
          </w:p>
          <w:p w14:paraId="548E4733">
            <w:pPr>
              <w:pStyle w:val="89"/>
              <w:spacing w:before="86" w:line="240" w:lineRule="auto"/>
              <w:ind w:left="192"/>
              <w:rPr>
                <w:rFonts w:hint="eastAsia" w:ascii="仿宋" w:hAnsi="仿宋" w:eastAsia="仿宋" w:cs="仿宋"/>
                <w:sz w:val="24"/>
                <w:szCs w:val="24"/>
              </w:rPr>
            </w:pPr>
            <w:r>
              <w:rPr>
                <w:rFonts w:hint="eastAsia" w:ascii="仿宋" w:hAnsi="仿宋" w:eastAsia="仿宋" w:cs="仿宋"/>
                <w:spacing w:val="-5"/>
                <w:position w:val="3"/>
                <w:sz w:val="24"/>
                <w:szCs w:val="24"/>
              </w:rPr>
              <w:t>10</w:t>
            </w:r>
          </w:p>
        </w:tc>
        <w:tc>
          <w:tcPr>
            <w:tcW w:w="5553" w:type="dxa"/>
            <w:vAlign w:val="top"/>
          </w:tcPr>
          <w:p w14:paraId="3108CD00">
            <w:pPr>
              <w:pStyle w:val="89"/>
              <w:spacing w:before="71" w:line="240" w:lineRule="auto"/>
              <w:ind w:left="106" w:right="102" w:firstLine="15"/>
              <w:jc w:val="both"/>
              <w:rPr>
                <w:rFonts w:hint="eastAsia" w:ascii="仿宋" w:hAnsi="仿宋" w:eastAsia="仿宋" w:cs="仿宋"/>
                <w:sz w:val="24"/>
                <w:szCs w:val="24"/>
                <w:lang w:eastAsia="zh-CN"/>
              </w:rPr>
            </w:pPr>
            <w:r>
              <w:rPr>
                <w:rFonts w:hint="eastAsia" w:ascii="仿宋" w:hAnsi="仿宋" w:eastAsia="仿宋" w:cs="仿宋"/>
                <w:spacing w:val="3"/>
                <w:sz w:val="24"/>
                <w:szCs w:val="24"/>
              </w:rPr>
              <w:t>1.为确保食品安全、及时处理食材订单、核对账目、食材配送等工作顺利开展，以保障学校（幼儿园）按时供餐，需配备专职的工作人员，</w:t>
            </w:r>
            <w:r>
              <w:rPr>
                <w:rFonts w:hint="eastAsia" w:ascii="仿宋" w:hAnsi="仿宋" w:eastAsia="仿宋" w:cs="仿宋"/>
                <w:spacing w:val="8"/>
                <w:sz w:val="24"/>
                <w:szCs w:val="24"/>
              </w:rPr>
              <w:t>并明确职责分工</w:t>
            </w:r>
            <w:r>
              <w:rPr>
                <w:rFonts w:hint="eastAsia" w:cs="仿宋"/>
                <w:spacing w:val="8"/>
                <w:sz w:val="24"/>
                <w:szCs w:val="24"/>
                <w:lang w:eastAsia="zh-CN"/>
              </w:rPr>
              <w:t>：</w:t>
            </w:r>
          </w:p>
          <w:p w14:paraId="6EBE978B">
            <w:pPr>
              <w:pStyle w:val="89"/>
              <w:spacing w:before="34" w:line="240" w:lineRule="auto"/>
              <w:ind w:left="107"/>
              <w:rPr>
                <w:rFonts w:hint="eastAsia" w:ascii="仿宋" w:hAnsi="仿宋" w:eastAsia="仿宋" w:cs="仿宋"/>
                <w:sz w:val="24"/>
                <w:szCs w:val="24"/>
              </w:rPr>
            </w:pPr>
            <w:r>
              <w:rPr>
                <w:rFonts w:hint="eastAsia" w:ascii="仿宋" w:hAnsi="仿宋" w:eastAsia="仿宋" w:cs="仿宋"/>
                <w:spacing w:val="3"/>
                <w:sz w:val="24"/>
                <w:szCs w:val="24"/>
              </w:rPr>
              <w:t>投入本项目配送人员≥30人，得6分</w:t>
            </w:r>
            <w:r>
              <w:rPr>
                <w:rFonts w:hint="eastAsia" w:cs="仿宋"/>
                <w:spacing w:val="3"/>
                <w:sz w:val="24"/>
                <w:szCs w:val="24"/>
                <w:lang w:eastAsia="zh-CN"/>
              </w:rPr>
              <w:t>；</w:t>
            </w:r>
            <w:r>
              <w:rPr>
                <w:rFonts w:hint="eastAsia" w:ascii="仿宋" w:hAnsi="仿宋" w:eastAsia="仿宋" w:cs="仿宋"/>
                <w:spacing w:val="5"/>
                <w:sz w:val="24"/>
                <w:szCs w:val="24"/>
              </w:rPr>
              <w:t>投入本项目配送人员&lt;30人但≥10人</w:t>
            </w:r>
            <w:r>
              <w:rPr>
                <w:rFonts w:hint="eastAsia" w:ascii="仿宋" w:hAnsi="仿宋" w:eastAsia="仿宋" w:cs="仿宋"/>
                <w:spacing w:val="4"/>
                <w:sz w:val="24"/>
                <w:szCs w:val="24"/>
              </w:rPr>
              <w:t>，得3分</w:t>
            </w:r>
            <w:r>
              <w:rPr>
                <w:rFonts w:hint="eastAsia" w:cs="仿宋"/>
                <w:spacing w:val="4"/>
                <w:sz w:val="24"/>
                <w:szCs w:val="24"/>
                <w:lang w:eastAsia="zh-CN"/>
              </w:rPr>
              <w:t>；</w:t>
            </w:r>
            <w:r>
              <w:rPr>
                <w:rFonts w:hint="eastAsia" w:ascii="仿宋" w:hAnsi="仿宋" w:eastAsia="仿宋" w:cs="仿宋"/>
                <w:spacing w:val="4"/>
                <w:sz w:val="24"/>
                <w:szCs w:val="24"/>
              </w:rPr>
              <w:t>投入本项目配送人员&lt;10人，得1分。</w:t>
            </w:r>
          </w:p>
          <w:p w14:paraId="22C6692B">
            <w:pPr>
              <w:pStyle w:val="89"/>
              <w:spacing w:before="1" w:line="240" w:lineRule="auto"/>
              <w:ind w:left="105" w:right="150" w:firstLine="8"/>
              <w:jc w:val="both"/>
              <w:rPr>
                <w:rFonts w:hint="eastAsia" w:ascii="仿宋" w:hAnsi="仿宋" w:eastAsia="仿宋" w:cs="仿宋"/>
                <w:sz w:val="24"/>
                <w:szCs w:val="24"/>
              </w:rPr>
            </w:pPr>
            <w:r>
              <w:rPr>
                <w:rFonts w:hint="eastAsia" w:ascii="仿宋" w:hAnsi="仿宋" w:eastAsia="仿宋" w:cs="仿宋"/>
                <w:spacing w:val="11"/>
                <w:sz w:val="24"/>
                <w:szCs w:val="24"/>
              </w:rPr>
              <w:t>2.投标人配齐食品安全总监和食品质量</w:t>
            </w:r>
            <w:r>
              <w:rPr>
                <w:rFonts w:hint="eastAsia" w:cs="仿宋"/>
                <w:spacing w:val="11"/>
                <w:sz w:val="24"/>
                <w:szCs w:val="24"/>
                <w:lang w:val="en-US" w:eastAsia="zh-CN"/>
              </w:rPr>
              <w:t>检验</w:t>
            </w:r>
            <w:r>
              <w:rPr>
                <w:rFonts w:hint="eastAsia" w:ascii="仿宋" w:hAnsi="仿宋" w:eastAsia="仿宋" w:cs="仿宋"/>
                <w:spacing w:val="11"/>
                <w:sz w:val="24"/>
                <w:szCs w:val="24"/>
              </w:rPr>
              <w:t>员，专门负责食品安全工</w:t>
            </w:r>
            <w:r>
              <w:rPr>
                <w:rFonts w:hint="eastAsia" w:ascii="仿宋" w:hAnsi="仿宋" w:eastAsia="仿宋" w:cs="仿宋"/>
                <w:spacing w:val="-2"/>
                <w:sz w:val="24"/>
                <w:szCs w:val="24"/>
              </w:rPr>
              <w:t>作，配备1名食品安全总监（2分</w:t>
            </w:r>
            <w:r>
              <w:rPr>
                <w:rFonts w:hint="eastAsia" w:ascii="仿宋" w:hAnsi="仿宋" w:eastAsia="仿宋" w:cs="仿宋"/>
                <w:spacing w:val="-40"/>
                <w:w w:val="90"/>
                <w:sz w:val="24"/>
                <w:szCs w:val="24"/>
              </w:rPr>
              <w:t>）；</w:t>
            </w:r>
            <w:r>
              <w:rPr>
                <w:rFonts w:hint="eastAsia" w:ascii="仿宋" w:hAnsi="仿宋" w:eastAsia="仿宋" w:cs="仿宋"/>
                <w:spacing w:val="-2"/>
                <w:sz w:val="24"/>
                <w:szCs w:val="24"/>
              </w:rPr>
              <w:t>配备一名食品质量</w:t>
            </w:r>
            <w:r>
              <w:rPr>
                <w:rFonts w:hint="eastAsia" w:cs="仿宋"/>
                <w:spacing w:val="-2"/>
                <w:sz w:val="24"/>
                <w:szCs w:val="24"/>
                <w:lang w:val="en-US" w:eastAsia="zh-CN"/>
              </w:rPr>
              <w:t>检验</w:t>
            </w:r>
            <w:r>
              <w:rPr>
                <w:rFonts w:hint="eastAsia" w:ascii="仿宋" w:hAnsi="仿宋" w:eastAsia="仿宋" w:cs="仿宋"/>
                <w:spacing w:val="-2"/>
                <w:sz w:val="24"/>
                <w:szCs w:val="24"/>
              </w:rPr>
              <w:t>员（2分</w:t>
            </w:r>
            <w:r>
              <w:rPr>
                <w:rFonts w:hint="eastAsia" w:ascii="仿宋" w:hAnsi="仿宋" w:eastAsia="仿宋" w:cs="仿宋"/>
                <w:spacing w:val="-3"/>
                <w:sz w:val="24"/>
                <w:szCs w:val="24"/>
              </w:rPr>
              <w:t>）。</w:t>
            </w:r>
            <w:r>
              <w:rPr>
                <w:rFonts w:hint="eastAsia" w:ascii="仿宋" w:hAnsi="仿宋" w:eastAsia="仿宋" w:cs="仿宋"/>
                <w:spacing w:val="4"/>
                <w:sz w:val="24"/>
                <w:szCs w:val="24"/>
              </w:rPr>
              <w:t>满分4分。</w:t>
            </w:r>
          </w:p>
          <w:p w14:paraId="29D17360">
            <w:pPr>
              <w:pStyle w:val="89"/>
              <w:spacing w:before="2" w:line="240" w:lineRule="auto"/>
              <w:ind w:left="106" w:right="103"/>
              <w:jc w:val="both"/>
              <w:rPr>
                <w:rFonts w:hint="eastAsia" w:ascii="仿宋" w:hAnsi="仿宋" w:eastAsia="仿宋" w:cs="仿宋"/>
                <w:sz w:val="24"/>
                <w:szCs w:val="24"/>
              </w:rPr>
            </w:pPr>
            <w:r>
              <w:rPr>
                <w:rFonts w:hint="eastAsia" w:ascii="仿宋" w:hAnsi="仿宋" w:eastAsia="仿宋" w:cs="仿宋"/>
                <w:b/>
                <w:bCs/>
                <w:spacing w:val="6"/>
                <w:sz w:val="24"/>
                <w:szCs w:val="24"/>
              </w:rPr>
              <w:t>注：</w:t>
            </w:r>
            <w:r>
              <w:rPr>
                <w:rFonts w:hint="eastAsia" w:cs="仿宋"/>
                <w:b/>
                <w:bCs/>
                <w:spacing w:val="6"/>
                <w:sz w:val="24"/>
                <w:szCs w:val="24"/>
                <w:lang w:val="en-US" w:eastAsia="zh-CN"/>
              </w:rPr>
              <w:t>以上人员</w:t>
            </w:r>
            <w:r>
              <w:rPr>
                <w:rFonts w:hint="eastAsia" w:ascii="仿宋" w:hAnsi="仿宋" w:eastAsia="仿宋" w:cs="仿宋"/>
                <w:b/>
                <w:bCs/>
                <w:spacing w:val="6"/>
                <w:sz w:val="24"/>
                <w:szCs w:val="24"/>
              </w:rPr>
              <w:t>须提供人员</w:t>
            </w:r>
            <w:r>
              <w:rPr>
                <w:rFonts w:hint="eastAsia" w:cs="仿宋"/>
                <w:b/>
                <w:bCs/>
                <w:spacing w:val="6"/>
                <w:sz w:val="24"/>
                <w:szCs w:val="24"/>
                <w:lang w:val="en-US" w:eastAsia="zh-CN"/>
              </w:rPr>
              <w:t>近3个月</w:t>
            </w:r>
            <w:r>
              <w:rPr>
                <w:rFonts w:hint="eastAsia" w:ascii="仿宋" w:hAnsi="仿宋" w:eastAsia="仿宋" w:cs="仿宋"/>
                <w:b/>
                <w:bCs/>
                <w:spacing w:val="6"/>
                <w:sz w:val="24"/>
                <w:szCs w:val="24"/>
              </w:rPr>
              <w:t>的社保、有效期内</w:t>
            </w:r>
            <w:r>
              <w:rPr>
                <w:rFonts w:hint="eastAsia" w:ascii="仿宋" w:hAnsi="仿宋" w:eastAsia="仿宋" w:cs="仿宋"/>
                <w:b/>
                <w:bCs/>
                <w:spacing w:val="5"/>
                <w:sz w:val="24"/>
                <w:szCs w:val="24"/>
              </w:rPr>
              <w:t>的健康证明、劳务合同、</w:t>
            </w:r>
            <w:r>
              <w:rPr>
                <w:rFonts w:hint="eastAsia" w:ascii="仿宋" w:hAnsi="仿宋" w:eastAsia="仿宋" w:cs="仿宋"/>
                <w:b/>
                <w:bCs/>
                <w:spacing w:val="9"/>
                <w:sz w:val="24"/>
                <w:szCs w:val="24"/>
              </w:rPr>
              <w:t>身份证、联系方式等相关资料。</w:t>
            </w:r>
            <w:r>
              <w:rPr>
                <w:rFonts w:hint="eastAsia" w:ascii="仿宋" w:hAnsi="仿宋" w:eastAsia="仿宋" w:cs="仿宋"/>
                <w:b/>
                <w:bCs/>
                <w:spacing w:val="8"/>
                <w:sz w:val="24"/>
                <w:szCs w:val="24"/>
              </w:rPr>
              <w:t>提供不全或不提供不得分。</w:t>
            </w:r>
          </w:p>
        </w:tc>
        <w:tc>
          <w:tcPr>
            <w:tcW w:w="1893" w:type="dxa"/>
            <w:vMerge w:val="continue"/>
            <w:tcBorders>
              <w:top w:val="nil"/>
            </w:tcBorders>
            <w:vAlign w:val="top"/>
          </w:tcPr>
          <w:p w14:paraId="2C897268">
            <w:pPr>
              <w:spacing w:line="240" w:lineRule="auto"/>
              <w:rPr>
                <w:rFonts w:hint="eastAsia" w:ascii="仿宋" w:hAnsi="仿宋" w:eastAsia="仿宋" w:cs="仿宋"/>
                <w:sz w:val="24"/>
                <w:szCs w:val="24"/>
              </w:rPr>
            </w:pPr>
          </w:p>
        </w:tc>
      </w:tr>
      <w:tr w14:paraId="337641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7" w:hRule="atLeast"/>
        </w:trPr>
        <w:tc>
          <w:tcPr>
            <w:tcW w:w="1050" w:type="dxa"/>
            <w:vAlign w:val="top"/>
          </w:tcPr>
          <w:p w14:paraId="210E07FA">
            <w:pPr>
              <w:spacing w:line="240" w:lineRule="auto"/>
              <w:rPr>
                <w:rFonts w:hint="eastAsia" w:ascii="仿宋" w:hAnsi="仿宋" w:eastAsia="仿宋" w:cs="仿宋"/>
                <w:sz w:val="24"/>
                <w:szCs w:val="24"/>
              </w:rPr>
            </w:pPr>
          </w:p>
        </w:tc>
        <w:tc>
          <w:tcPr>
            <w:tcW w:w="1389" w:type="dxa"/>
            <w:vAlign w:val="top"/>
          </w:tcPr>
          <w:p w14:paraId="12F8853C">
            <w:pPr>
              <w:spacing w:line="240" w:lineRule="auto"/>
              <w:rPr>
                <w:rFonts w:hint="eastAsia" w:ascii="仿宋" w:hAnsi="仿宋" w:eastAsia="仿宋" w:cs="仿宋"/>
                <w:sz w:val="24"/>
                <w:szCs w:val="24"/>
              </w:rPr>
            </w:pPr>
          </w:p>
          <w:p w14:paraId="6D41F932">
            <w:pPr>
              <w:spacing w:line="240" w:lineRule="auto"/>
              <w:rPr>
                <w:rFonts w:hint="eastAsia" w:ascii="仿宋" w:hAnsi="仿宋" w:eastAsia="仿宋" w:cs="仿宋"/>
                <w:sz w:val="24"/>
                <w:szCs w:val="24"/>
              </w:rPr>
            </w:pPr>
          </w:p>
          <w:p w14:paraId="32107307">
            <w:pPr>
              <w:spacing w:line="240" w:lineRule="auto"/>
              <w:rPr>
                <w:rFonts w:hint="eastAsia" w:ascii="仿宋" w:hAnsi="仿宋" w:eastAsia="仿宋" w:cs="仿宋"/>
                <w:sz w:val="24"/>
                <w:szCs w:val="24"/>
              </w:rPr>
            </w:pPr>
          </w:p>
          <w:p w14:paraId="200CBD95">
            <w:pPr>
              <w:pStyle w:val="89"/>
              <w:spacing w:before="86" w:line="240" w:lineRule="auto"/>
              <w:ind w:left="192"/>
              <w:rPr>
                <w:rFonts w:hint="eastAsia" w:ascii="仿宋" w:hAnsi="仿宋" w:eastAsia="仿宋" w:cs="仿宋"/>
                <w:sz w:val="24"/>
                <w:szCs w:val="24"/>
              </w:rPr>
            </w:pPr>
            <w:r>
              <w:rPr>
                <w:rFonts w:hint="eastAsia" w:ascii="仿宋" w:hAnsi="仿宋" w:eastAsia="仿宋" w:cs="仿宋"/>
                <w:spacing w:val="9"/>
                <w:sz w:val="24"/>
                <w:szCs w:val="24"/>
              </w:rPr>
              <w:t>售后服务</w:t>
            </w:r>
          </w:p>
        </w:tc>
        <w:tc>
          <w:tcPr>
            <w:tcW w:w="520" w:type="dxa"/>
            <w:vAlign w:val="top"/>
          </w:tcPr>
          <w:p w14:paraId="4F129B59">
            <w:pPr>
              <w:spacing w:line="240" w:lineRule="auto"/>
              <w:rPr>
                <w:rFonts w:hint="eastAsia" w:ascii="仿宋" w:hAnsi="仿宋" w:eastAsia="仿宋" w:cs="仿宋"/>
                <w:sz w:val="24"/>
                <w:szCs w:val="24"/>
              </w:rPr>
            </w:pPr>
          </w:p>
          <w:p w14:paraId="76302707">
            <w:pPr>
              <w:spacing w:line="240" w:lineRule="auto"/>
              <w:rPr>
                <w:rFonts w:hint="eastAsia" w:ascii="仿宋" w:hAnsi="仿宋" w:eastAsia="仿宋" w:cs="仿宋"/>
                <w:sz w:val="24"/>
                <w:szCs w:val="24"/>
              </w:rPr>
            </w:pPr>
          </w:p>
          <w:p w14:paraId="035073B9">
            <w:pPr>
              <w:spacing w:line="240" w:lineRule="auto"/>
              <w:rPr>
                <w:rFonts w:hint="eastAsia" w:ascii="仿宋" w:hAnsi="仿宋" w:eastAsia="仿宋" w:cs="仿宋"/>
                <w:sz w:val="24"/>
                <w:szCs w:val="24"/>
              </w:rPr>
            </w:pPr>
          </w:p>
          <w:p w14:paraId="22F2439D">
            <w:pPr>
              <w:pStyle w:val="89"/>
              <w:spacing w:before="86" w:line="240" w:lineRule="auto"/>
              <w:ind w:left="235"/>
              <w:rPr>
                <w:rFonts w:hint="eastAsia" w:ascii="仿宋" w:hAnsi="仿宋" w:eastAsia="仿宋" w:cs="仿宋"/>
                <w:sz w:val="24"/>
                <w:szCs w:val="24"/>
              </w:rPr>
            </w:pPr>
            <w:r>
              <w:rPr>
                <w:rFonts w:hint="eastAsia" w:ascii="仿宋" w:hAnsi="仿宋" w:eastAsia="仿宋" w:cs="仿宋"/>
                <w:spacing w:val="3"/>
                <w:position w:val="3"/>
                <w:sz w:val="24"/>
                <w:szCs w:val="24"/>
              </w:rPr>
              <w:t>4</w:t>
            </w:r>
          </w:p>
        </w:tc>
        <w:tc>
          <w:tcPr>
            <w:tcW w:w="5553" w:type="dxa"/>
            <w:vAlign w:val="top"/>
          </w:tcPr>
          <w:p w14:paraId="67F05C38">
            <w:pPr>
              <w:pStyle w:val="89"/>
              <w:spacing w:before="32" w:line="240" w:lineRule="auto"/>
              <w:ind w:left="105" w:right="105"/>
              <w:jc w:val="both"/>
              <w:rPr>
                <w:rFonts w:hint="eastAsia" w:ascii="仿宋" w:hAnsi="仿宋" w:eastAsia="仿宋" w:cs="仿宋"/>
                <w:spacing w:val="-20"/>
                <w:sz w:val="24"/>
                <w:szCs w:val="24"/>
              </w:rPr>
            </w:pPr>
            <w:r>
              <w:rPr>
                <w:rFonts w:hint="eastAsia" w:cs="仿宋"/>
                <w:spacing w:val="11"/>
                <w:sz w:val="24"/>
                <w:szCs w:val="24"/>
                <w:lang w:val="en-US" w:eastAsia="zh-CN"/>
              </w:rPr>
              <w:t>1、</w:t>
            </w:r>
            <w:r>
              <w:rPr>
                <w:rFonts w:hint="eastAsia" w:ascii="仿宋" w:hAnsi="仿宋" w:eastAsia="仿宋" w:cs="仿宋"/>
                <w:spacing w:val="11"/>
                <w:sz w:val="24"/>
                <w:szCs w:val="24"/>
              </w:rPr>
              <w:t>换货的人员保障，方案上要有专职售后服务回访、退</w:t>
            </w:r>
            <w:r>
              <w:rPr>
                <w:rFonts w:hint="eastAsia" w:ascii="仿宋" w:hAnsi="仿宋" w:eastAsia="仿宋" w:cs="仿宋"/>
                <w:spacing w:val="10"/>
                <w:sz w:val="24"/>
                <w:szCs w:val="24"/>
              </w:rPr>
              <w:t>还需求处理人</w:t>
            </w:r>
            <w:r>
              <w:rPr>
                <w:rFonts w:hint="eastAsia" w:ascii="仿宋" w:hAnsi="仿宋" w:eastAsia="仿宋" w:cs="仿宋"/>
                <w:spacing w:val="3"/>
                <w:sz w:val="24"/>
                <w:szCs w:val="24"/>
              </w:rPr>
              <w:t>员，有专职处理人员≧5人得2分（提供</w:t>
            </w:r>
            <w:r>
              <w:rPr>
                <w:rFonts w:hint="eastAsia" w:cs="仿宋"/>
                <w:spacing w:val="3"/>
                <w:sz w:val="24"/>
                <w:szCs w:val="24"/>
                <w:lang w:val="en-US" w:eastAsia="zh-CN"/>
              </w:rPr>
              <w:t>近3个月的</w:t>
            </w:r>
            <w:r>
              <w:rPr>
                <w:rFonts w:hint="eastAsia" w:ascii="仿宋" w:hAnsi="仿宋" w:eastAsia="仿宋" w:cs="仿宋"/>
                <w:spacing w:val="3"/>
                <w:sz w:val="24"/>
                <w:szCs w:val="24"/>
              </w:rPr>
              <w:t>社保证明文件</w:t>
            </w:r>
            <w:r>
              <w:rPr>
                <w:rFonts w:hint="eastAsia" w:ascii="仿宋" w:hAnsi="仿宋" w:eastAsia="仿宋" w:cs="仿宋"/>
                <w:spacing w:val="2"/>
                <w:sz w:val="24"/>
                <w:szCs w:val="24"/>
              </w:rPr>
              <w:t>，未</w:t>
            </w:r>
            <w:r>
              <w:rPr>
                <w:rFonts w:hint="eastAsia" w:ascii="仿宋" w:hAnsi="仿宋" w:eastAsia="仿宋" w:cs="仿宋"/>
                <w:spacing w:val="9"/>
                <w:sz w:val="24"/>
                <w:szCs w:val="24"/>
              </w:rPr>
              <w:t>提供不得分</w:t>
            </w:r>
            <w:r>
              <w:rPr>
                <w:rFonts w:hint="eastAsia" w:ascii="仿宋" w:hAnsi="仿宋" w:eastAsia="仿宋" w:cs="仿宋"/>
                <w:spacing w:val="-20"/>
                <w:sz w:val="24"/>
                <w:szCs w:val="24"/>
              </w:rPr>
              <w:t>）</w:t>
            </w:r>
          </w:p>
          <w:p w14:paraId="2826E6FF">
            <w:pPr>
              <w:pStyle w:val="89"/>
              <w:numPr>
                <w:ilvl w:val="0"/>
                <w:numId w:val="10"/>
              </w:numPr>
              <w:spacing w:before="32" w:line="240" w:lineRule="auto"/>
              <w:ind w:left="105" w:right="105"/>
              <w:jc w:val="both"/>
              <w:rPr>
                <w:rFonts w:hint="eastAsia" w:cs="仿宋"/>
                <w:spacing w:val="-2"/>
                <w:sz w:val="24"/>
                <w:szCs w:val="24"/>
                <w:lang w:eastAsia="zh-CN"/>
              </w:rPr>
            </w:pPr>
            <w:r>
              <w:rPr>
                <w:rFonts w:hint="eastAsia" w:cs="仿宋"/>
                <w:spacing w:val="-20"/>
                <w:sz w:val="24"/>
                <w:szCs w:val="24"/>
                <w:lang w:val="en-US" w:eastAsia="zh-CN"/>
              </w:rPr>
              <w:t>提供</w:t>
            </w:r>
            <w:r>
              <w:rPr>
                <w:rFonts w:hint="eastAsia" w:ascii="仿宋" w:hAnsi="仿宋" w:eastAsia="仿宋" w:cs="仿宋"/>
                <w:spacing w:val="9"/>
                <w:sz w:val="24"/>
                <w:szCs w:val="24"/>
              </w:rPr>
              <w:t>退换货方案完整，对本项目具有</w:t>
            </w:r>
            <w:r>
              <w:rPr>
                <w:rFonts w:hint="eastAsia" w:ascii="仿宋" w:hAnsi="仿宋" w:eastAsia="仿宋" w:cs="仿宋"/>
                <w:spacing w:val="8"/>
                <w:sz w:val="24"/>
                <w:szCs w:val="24"/>
              </w:rPr>
              <w:t>建设性意见，得2</w:t>
            </w:r>
            <w:r>
              <w:rPr>
                <w:rFonts w:hint="eastAsia" w:ascii="仿宋" w:hAnsi="仿宋" w:eastAsia="仿宋" w:cs="仿宋"/>
                <w:spacing w:val="-2"/>
                <w:sz w:val="24"/>
                <w:szCs w:val="24"/>
              </w:rPr>
              <w:t>分</w:t>
            </w:r>
            <w:r>
              <w:rPr>
                <w:rFonts w:hint="eastAsia" w:cs="仿宋"/>
                <w:spacing w:val="-2"/>
                <w:sz w:val="24"/>
                <w:szCs w:val="24"/>
                <w:lang w:eastAsia="zh-CN"/>
              </w:rPr>
              <w:t>。</w:t>
            </w:r>
          </w:p>
          <w:p w14:paraId="09A1F10A">
            <w:pPr>
              <w:pStyle w:val="89"/>
              <w:numPr>
                <w:ilvl w:val="0"/>
                <w:numId w:val="0"/>
              </w:numPr>
              <w:spacing w:before="32" w:line="240" w:lineRule="auto"/>
              <w:ind w:right="105" w:rightChars="0"/>
              <w:jc w:val="both"/>
              <w:rPr>
                <w:rFonts w:hint="eastAsia" w:ascii="仿宋" w:hAnsi="仿宋" w:eastAsia="仿宋" w:cs="仿宋"/>
                <w:sz w:val="24"/>
                <w:szCs w:val="24"/>
              </w:rPr>
            </w:pPr>
            <w:r>
              <w:rPr>
                <w:rFonts w:hint="eastAsia" w:cs="仿宋"/>
                <w:spacing w:val="-2"/>
                <w:sz w:val="24"/>
                <w:szCs w:val="24"/>
                <w:lang w:val="en-US" w:eastAsia="zh-CN"/>
              </w:rPr>
              <w:t>满分</w:t>
            </w:r>
            <w:r>
              <w:rPr>
                <w:rFonts w:hint="eastAsia" w:ascii="仿宋" w:hAnsi="仿宋" w:eastAsia="仿宋" w:cs="仿宋"/>
                <w:spacing w:val="-2"/>
                <w:sz w:val="24"/>
                <w:szCs w:val="24"/>
              </w:rPr>
              <w:t>4分</w:t>
            </w:r>
            <w:r>
              <w:rPr>
                <w:rFonts w:hint="eastAsia" w:cs="仿宋"/>
                <w:spacing w:val="-2"/>
                <w:sz w:val="24"/>
                <w:szCs w:val="24"/>
                <w:lang w:eastAsia="zh-CN"/>
              </w:rPr>
              <w:t>，</w:t>
            </w:r>
            <w:r>
              <w:rPr>
                <w:rFonts w:hint="eastAsia" w:ascii="仿宋" w:hAnsi="仿宋" w:eastAsia="仿宋" w:cs="仿宋"/>
                <w:spacing w:val="1"/>
                <w:sz w:val="24"/>
                <w:szCs w:val="24"/>
              </w:rPr>
              <w:t>不提供不得分</w:t>
            </w:r>
          </w:p>
        </w:tc>
        <w:tc>
          <w:tcPr>
            <w:tcW w:w="1893" w:type="dxa"/>
            <w:vAlign w:val="top"/>
          </w:tcPr>
          <w:p w14:paraId="2EFD053C">
            <w:pPr>
              <w:spacing w:line="240" w:lineRule="auto"/>
              <w:rPr>
                <w:rFonts w:hint="eastAsia" w:ascii="仿宋" w:hAnsi="仿宋" w:eastAsia="仿宋" w:cs="仿宋"/>
                <w:sz w:val="24"/>
                <w:szCs w:val="24"/>
              </w:rPr>
            </w:pPr>
          </w:p>
        </w:tc>
      </w:tr>
      <w:tr w14:paraId="0EFC2D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405" w:type="dxa"/>
            <w:gridSpan w:val="5"/>
            <w:vAlign w:val="top"/>
          </w:tcPr>
          <w:p w14:paraId="0D85A3A1">
            <w:pPr>
              <w:pStyle w:val="89"/>
              <w:spacing w:before="35" w:line="240" w:lineRule="auto"/>
              <w:ind w:left="111" w:right="184" w:firstLine="1"/>
              <w:rPr>
                <w:rFonts w:hint="eastAsia" w:ascii="仿宋" w:hAnsi="仿宋" w:eastAsia="仿宋" w:cs="仿宋"/>
                <w:sz w:val="24"/>
                <w:szCs w:val="24"/>
              </w:rPr>
            </w:pPr>
            <w:r>
              <w:rPr>
                <w:rFonts w:hint="eastAsia" w:ascii="仿宋" w:hAnsi="仿宋" w:eastAsia="仿宋" w:cs="仿宋"/>
                <w:spacing w:val="7"/>
                <w:sz w:val="24"/>
                <w:szCs w:val="24"/>
              </w:rPr>
              <w:t>上述评分细则中，“不具体”系指只做了简要分析，并未结合本项目采购需</w:t>
            </w:r>
            <w:r>
              <w:rPr>
                <w:rFonts w:hint="eastAsia" w:ascii="仿宋" w:hAnsi="仿宋" w:eastAsia="仿宋" w:cs="仿宋"/>
                <w:spacing w:val="6"/>
                <w:sz w:val="24"/>
                <w:szCs w:val="24"/>
              </w:rPr>
              <w:t>求的实际情况和服务要求做详细的</w:t>
            </w:r>
            <w:r>
              <w:rPr>
                <w:rFonts w:hint="eastAsia" w:ascii="仿宋" w:hAnsi="仿宋" w:eastAsia="仿宋" w:cs="仿宋"/>
                <w:spacing w:val="9"/>
                <w:sz w:val="24"/>
                <w:szCs w:val="24"/>
              </w:rPr>
              <w:t>论述或提出解决方案等不具体情形。</w:t>
            </w:r>
          </w:p>
        </w:tc>
      </w:tr>
    </w:tbl>
    <w:p w14:paraId="2314F4DF">
      <w:pPr>
        <w:rPr>
          <w:rFonts w:ascii="Arial"/>
          <w:sz w:val="21"/>
        </w:rPr>
      </w:pPr>
    </w:p>
    <w:p w14:paraId="2662B8F6">
      <w:pPr>
        <w:rPr>
          <w:b/>
          <w:bCs/>
          <w:spacing w:val="11"/>
          <w:sz w:val="31"/>
          <w:szCs w:val="31"/>
        </w:rPr>
      </w:pPr>
      <w:r>
        <w:rPr>
          <w:b/>
          <w:bCs/>
          <w:spacing w:val="11"/>
          <w:sz w:val="31"/>
          <w:szCs w:val="31"/>
        </w:rPr>
        <w:br w:type="page"/>
      </w:r>
    </w:p>
    <w:p w14:paraId="1072C6FE">
      <w:pPr>
        <w:pStyle w:val="11"/>
        <w:spacing w:before="133" w:line="189" w:lineRule="auto"/>
        <w:jc w:val="center"/>
        <w:outlineLvl w:val="1"/>
        <w:rPr>
          <w:b/>
          <w:bCs/>
          <w:spacing w:val="11"/>
          <w:sz w:val="31"/>
          <w:szCs w:val="31"/>
        </w:rPr>
      </w:pPr>
      <w:r>
        <w:rPr>
          <w:b/>
          <w:bCs/>
          <w:spacing w:val="11"/>
          <w:sz w:val="31"/>
          <w:szCs w:val="31"/>
        </w:rPr>
        <w:t>综合评分法评分标准</w:t>
      </w:r>
    </w:p>
    <w:p w14:paraId="4389F530">
      <w:pPr>
        <w:pStyle w:val="11"/>
        <w:spacing w:before="133" w:line="189" w:lineRule="auto"/>
        <w:jc w:val="center"/>
        <w:outlineLvl w:val="1"/>
        <w:rPr>
          <w:sz w:val="31"/>
          <w:szCs w:val="31"/>
        </w:rPr>
      </w:pPr>
      <w:r>
        <w:rPr>
          <w:b/>
          <w:bCs/>
          <w:spacing w:val="11"/>
          <w:sz w:val="31"/>
          <w:szCs w:val="31"/>
        </w:rPr>
        <w:t>第三</w:t>
      </w:r>
      <w:r>
        <w:rPr>
          <w:rFonts w:hint="eastAsia"/>
          <w:b/>
          <w:bCs/>
          <w:spacing w:val="11"/>
          <w:sz w:val="31"/>
          <w:szCs w:val="31"/>
          <w:lang w:eastAsia="zh-CN"/>
        </w:rPr>
        <w:t>包</w:t>
      </w:r>
    </w:p>
    <w:tbl>
      <w:tblPr>
        <w:tblStyle w:val="90"/>
        <w:tblW w:w="96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3"/>
        <w:gridCol w:w="1382"/>
        <w:gridCol w:w="560"/>
        <w:gridCol w:w="5739"/>
        <w:gridCol w:w="1201"/>
        <w:gridCol w:w="3"/>
      </w:tblGrid>
      <w:tr w14:paraId="4C5C3B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989" w:hRule="atLeast"/>
        </w:trPr>
        <w:tc>
          <w:tcPr>
            <w:tcW w:w="793" w:type="dxa"/>
            <w:vAlign w:val="top"/>
          </w:tcPr>
          <w:p w14:paraId="0F0D15F2">
            <w:pPr>
              <w:pStyle w:val="89"/>
              <w:spacing w:before="218" w:line="240" w:lineRule="auto"/>
              <w:ind w:left="216"/>
              <w:rPr>
                <w:rFonts w:hint="eastAsia" w:ascii="仿宋" w:hAnsi="仿宋" w:eastAsia="仿宋" w:cs="仿宋"/>
                <w:sz w:val="24"/>
                <w:szCs w:val="24"/>
              </w:rPr>
            </w:pPr>
            <w:r>
              <w:rPr>
                <w:rFonts w:hint="eastAsia" w:ascii="仿宋" w:hAnsi="仿宋" w:eastAsia="仿宋" w:cs="仿宋"/>
                <w:b/>
                <w:bCs/>
                <w:spacing w:val="7"/>
                <w:sz w:val="24"/>
                <w:szCs w:val="24"/>
              </w:rPr>
              <w:t>序号</w:t>
            </w:r>
          </w:p>
        </w:tc>
        <w:tc>
          <w:tcPr>
            <w:tcW w:w="1382" w:type="dxa"/>
            <w:vAlign w:val="top"/>
          </w:tcPr>
          <w:p w14:paraId="50EE40CB">
            <w:pPr>
              <w:pStyle w:val="89"/>
              <w:spacing w:before="67" w:line="240" w:lineRule="auto"/>
              <w:ind w:left="298" w:right="197" w:hanging="103"/>
              <w:rPr>
                <w:rFonts w:hint="eastAsia" w:ascii="仿宋" w:hAnsi="仿宋" w:eastAsia="仿宋" w:cs="仿宋"/>
                <w:sz w:val="24"/>
                <w:szCs w:val="24"/>
              </w:rPr>
            </w:pPr>
            <w:r>
              <w:rPr>
                <w:rFonts w:hint="eastAsia" w:ascii="仿宋" w:hAnsi="仿宋" w:eastAsia="仿宋" w:cs="仿宋"/>
                <w:b/>
                <w:bCs/>
                <w:spacing w:val="8"/>
                <w:sz w:val="24"/>
                <w:szCs w:val="24"/>
              </w:rPr>
              <w:t>评分因素</w:t>
            </w:r>
            <w:r>
              <w:rPr>
                <w:rFonts w:hint="eastAsia" w:ascii="仿宋" w:hAnsi="仿宋" w:eastAsia="仿宋" w:cs="仿宋"/>
                <w:b/>
                <w:bCs/>
                <w:spacing w:val="9"/>
                <w:sz w:val="24"/>
                <w:szCs w:val="24"/>
              </w:rPr>
              <w:t>及权重</w:t>
            </w:r>
          </w:p>
        </w:tc>
        <w:tc>
          <w:tcPr>
            <w:tcW w:w="560" w:type="dxa"/>
            <w:textDirection w:val="tbRlV"/>
            <w:vAlign w:val="top"/>
          </w:tcPr>
          <w:p w14:paraId="754E562C">
            <w:pPr>
              <w:pStyle w:val="89"/>
              <w:spacing w:before="195" w:line="240" w:lineRule="auto"/>
              <w:ind w:left="67"/>
              <w:rPr>
                <w:rFonts w:hint="eastAsia" w:ascii="仿宋" w:hAnsi="仿宋" w:eastAsia="仿宋" w:cs="仿宋"/>
                <w:sz w:val="24"/>
                <w:szCs w:val="24"/>
              </w:rPr>
            </w:pPr>
            <w:r>
              <w:rPr>
                <w:rFonts w:hint="eastAsia" w:ascii="仿宋" w:hAnsi="仿宋" w:eastAsia="仿宋" w:cs="仿宋"/>
                <w:b/>
                <w:bCs/>
                <w:spacing w:val="4"/>
                <w:sz w:val="24"/>
                <w:szCs w:val="24"/>
              </w:rPr>
              <w:t>分值</w:t>
            </w:r>
          </w:p>
        </w:tc>
        <w:tc>
          <w:tcPr>
            <w:tcW w:w="5739" w:type="dxa"/>
            <w:vAlign w:val="top"/>
          </w:tcPr>
          <w:p w14:paraId="12260A2B">
            <w:pPr>
              <w:pStyle w:val="89"/>
              <w:spacing w:before="65" w:line="240" w:lineRule="auto"/>
              <w:ind w:left="2781"/>
              <w:rPr>
                <w:rFonts w:hint="eastAsia" w:ascii="仿宋" w:hAnsi="仿宋" w:eastAsia="仿宋" w:cs="仿宋"/>
                <w:sz w:val="24"/>
                <w:szCs w:val="24"/>
              </w:rPr>
            </w:pPr>
            <w:r>
              <w:rPr>
                <w:rFonts w:hint="eastAsia" w:ascii="仿宋" w:hAnsi="仿宋" w:eastAsia="仿宋" w:cs="仿宋"/>
                <w:b/>
                <w:bCs/>
                <w:spacing w:val="8"/>
                <w:sz w:val="24"/>
                <w:szCs w:val="24"/>
              </w:rPr>
              <w:t>评分标准</w:t>
            </w:r>
          </w:p>
          <w:p w14:paraId="51A84F7F">
            <w:pPr>
              <w:pStyle w:val="89"/>
              <w:spacing w:before="1" w:line="240" w:lineRule="auto"/>
              <w:ind w:left="1367"/>
              <w:rPr>
                <w:rFonts w:hint="eastAsia" w:ascii="仿宋" w:hAnsi="仿宋" w:eastAsia="仿宋" w:cs="仿宋"/>
                <w:sz w:val="24"/>
                <w:szCs w:val="24"/>
              </w:rPr>
            </w:pPr>
            <w:r>
              <w:rPr>
                <w:rFonts w:hint="eastAsia" w:ascii="仿宋" w:hAnsi="仿宋" w:eastAsia="仿宋" w:cs="仿宋"/>
                <w:b/>
                <w:bCs/>
                <w:sz w:val="24"/>
                <w:szCs w:val="24"/>
              </w:rPr>
              <w:t>价格：30分商务及技术：70分</w:t>
            </w:r>
          </w:p>
        </w:tc>
        <w:tc>
          <w:tcPr>
            <w:tcW w:w="1201" w:type="dxa"/>
            <w:vAlign w:val="top"/>
          </w:tcPr>
          <w:p w14:paraId="650AD9FF">
            <w:pPr>
              <w:pStyle w:val="89"/>
              <w:spacing w:before="218" w:line="240" w:lineRule="auto"/>
              <w:ind w:left="434"/>
              <w:rPr>
                <w:rFonts w:hint="eastAsia" w:ascii="仿宋" w:hAnsi="仿宋" w:eastAsia="仿宋" w:cs="仿宋"/>
                <w:sz w:val="24"/>
                <w:szCs w:val="24"/>
              </w:rPr>
            </w:pPr>
            <w:r>
              <w:rPr>
                <w:rFonts w:hint="eastAsia" w:ascii="仿宋" w:hAnsi="仿宋" w:eastAsia="仿宋" w:cs="仿宋"/>
                <w:b/>
                <w:bCs/>
                <w:spacing w:val="7"/>
                <w:sz w:val="24"/>
                <w:szCs w:val="24"/>
              </w:rPr>
              <w:t>说明</w:t>
            </w:r>
          </w:p>
        </w:tc>
      </w:tr>
      <w:tr w14:paraId="48EEEA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2177" w:hRule="atLeast"/>
        </w:trPr>
        <w:tc>
          <w:tcPr>
            <w:tcW w:w="793" w:type="dxa"/>
            <w:vAlign w:val="top"/>
          </w:tcPr>
          <w:p w14:paraId="6FFBB024">
            <w:pPr>
              <w:spacing w:line="240" w:lineRule="auto"/>
              <w:rPr>
                <w:rFonts w:hint="eastAsia" w:ascii="仿宋" w:hAnsi="仿宋" w:eastAsia="仿宋" w:cs="仿宋"/>
                <w:sz w:val="24"/>
                <w:szCs w:val="24"/>
              </w:rPr>
            </w:pPr>
          </w:p>
          <w:p w14:paraId="390559C4">
            <w:pPr>
              <w:pStyle w:val="89"/>
              <w:spacing w:before="86" w:line="240" w:lineRule="auto"/>
              <w:ind w:left="110"/>
              <w:rPr>
                <w:rFonts w:hint="eastAsia" w:ascii="仿宋" w:hAnsi="仿宋" w:eastAsia="仿宋" w:cs="仿宋"/>
                <w:sz w:val="24"/>
                <w:szCs w:val="24"/>
              </w:rPr>
            </w:pPr>
            <w:r>
              <w:rPr>
                <w:rFonts w:hint="eastAsia" w:ascii="仿宋" w:hAnsi="仿宋" w:eastAsia="仿宋" w:cs="仿宋"/>
                <w:b/>
                <w:bCs/>
                <w:spacing w:val="8"/>
                <w:sz w:val="24"/>
                <w:szCs w:val="24"/>
              </w:rPr>
              <w:t>价格评</w:t>
            </w:r>
          </w:p>
          <w:p w14:paraId="524A4FF5">
            <w:pPr>
              <w:pStyle w:val="89"/>
              <w:spacing w:before="1" w:line="240" w:lineRule="auto"/>
              <w:ind w:left="109"/>
              <w:rPr>
                <w:rFonts w:hint="eastAsia" w:ascii="仿宋" w:hAnsi="仿宋" w:eastAsia="仿宋" w:cs="仿宋"/>
                <w:sz w:val="24"/>
                <w:szCs w:val="24"/>
              </w:rPr>
            </w:pPr>
            <w:r>
              <w:rPr>
                <w:rFonts w:hint="eastAsia" w:ascii="仿宋" w:hAnsi="仿宋" w:eastAsia="仿宋" w:cs="仿宋"/>
                <w:b/>
                <w:bCs/>
                <w:spacing w:val="8"/>
                <w:sz w:val="24"/>
                <w:szCs w:val="24"/>
              </w:rPr>
              <w:t>分标准</w:t>
            </w:r>
          </w:p>
        </w:tc>
        <w:tc>
          <w:tcPr>
            <w:tcW w:w="1382" w:type="dxa"/>
            <w:vAlign w:val="top"/>
          </w:tcPr>
          <w:p w14:paraId="0C4D407F">
            <w:pPr>
              <w:spacing w:line="240" w:lineRule="auto"/>
              <w:rPr>
                <w:rFonts w:hint="eastAsia" w:ascii="仿宋" w:hAnsi="仿宋" w:eastAsia="仿宋" w:cs="仿宋"/>
                <w:sz w:val="24"/>
                <w:szCs w:val="24"/>
              </w:rPr>
            </w:pPr>
          </w:p>
          <w:p w14:paraId="4447E301">
            <w:pPr>
              <w:pStyle w:val="89"/>
              <w:spacing w:before="86" w:line="240" w:lineRule="auto"/>
              <w:ind w:left="194"/>
              <w:rPr>
                <w:rFonts w:hint="eastAsia" w:ascii="仿宋" w:hAnsi="仿宋" w:eastAsia="仿宋" w:cs="仿宋"/>
                <w:sz w:val="24"/>
                <w:szCs w:val="24"/>
              </w:rPr>
            </w:pPr>
            <w:r>
              <w:rPr>
                <w:rFonts w:hint="eastAsia" w:ascii="仿宋" w:hAnsi="仿宋" w:eastAsia="仿宋" w:cs="仿宋"/>
                <w:spacing w:val="8"/>
                <w:sz w:val="24"/>
                <w:szCs w:val="24"/>
              </w:rPr>
              <w:t>投标报价</w:t>
            </w:r>
          </w:p>
        </w:tc>
        <w:tc>
          <w:tcPr>
            <w:tcW w:w="560" w:type="dxa"/>
            <w:vAlign w:val="top"/>
          </w:tcPr>
          <w:p w14:paraId="5BF89599">
            <w:pPr>
              <w:spacing w:line="240" w:lineRule="auto"/>
              <w:rPr>
                <w:rFonts w:hint="eastAsia" w:ascii="仿宋" w:hAnsi="仿宋" w:eastAsia="仿宋" w:cs="仿宋"/>
                <w:sz w:val="24"/>
                <w:szCs w:val="24"/>
              </w:rPr>
            </w:pPr>
          </w:p>
          <w:p w14:paraId="39BDF1DF">
            <w:pPr>
              <w:pStyle w:val="89"/>
              <w:spacing w:before="86" w:line="240" w:lineRule="auto"/>
              <w:ind w:left="188"/>
              <w:rPr>
                <w:rFonts w:hint="eastAsia" w:ascii="仿宋" w:hAnsi="仿宋" w:eastAsia="仿宋" w:cs="仿宋"/>
                <w:sz w:val="24"/>
                <w:szCs w:val="24"/>
              </w:rPr>
            </w:pPr>
            <w:r>
              <w:rPr>
                <w:rFonts w:hint="eastAsia" w:ascii="仿宋" w:hAnsi="仿宋" w:eastAsia="仿宋" w:cs="仿宋"/>
                <w:spacing w:val="-3"/>
                <w:position w:val="3"/>
                <w:sz w:val="24"/>
                <w:szCs w:val="24"/>
              </w:rPr>
              <w:t>30</w:t>
            </w:r>
          </w:p>
        </w:tc>
        <w:tc>
          <w:tcPr>
            <w:tcW w:w="5739" w:type="dxa"/>
            <w:vAlign w:val="top"/>
          </w:tcPr>
          <w:p w14:paraId="3DC6E9E5">
            <w:pPr>
              <w:pStyle w:val="89"/>
              <w:spacing w:before="28" w:line="240" w:lineRule="auto"/>
              <w:ind w:left="106" w:right="203" w:firstLine="1"/>
              <w:jc w:val="both"/>
              <w:rPr>
                <w:rFonts w:hint="eastAsia" w:ascii="仿宋" w:hAnsi="仿宋" w:eastAsia="仿宋" w:cs="仿宋"/>
                <w:sz w:val="24"/>
                <w:szCs w:val="24"/>
              </w:rPr>
            </w:pPr>
            <w:r>
              <w:rPr>
                <w:rFonts w:hint="eastAsia" w:ascii="仿宋" w:hAnsi="仿宋" w:eastAsia="仿宋" w:cs="仿宋"/>
                <w:sz w:val="24"/>
                <w:szCs w:val="24"/>
              </w:rPr>
              <w:t>1、满足招标文件要求且投标下浮率最高为评标基准价，其价格分为满分(30 分)； 2、其他合格投标人的投标报价得分按如下公式计算：投标报价得分=（1-评标 基准价）/（1-投标报价）×30。</w:t>
            </w:r>
          </w:p>
          <w:p w14:paraId="56821710">
            <w:pPr>
              <w:pStyle w:val="89"/>
              <w:spacing w:before="1" w:line="240" w:lineRule="auto"/>
              <w:ind w:left="108" w:right="204" w:hanging="24"/>
              <w:rPr>
                <w:rFonts w:hint="eastAsia" w:ascii="仿宋" w:hAnsi="仿宋" w:eastAsia="仿宋" w:cs="仿宋"/>
                <w:sz w:val="24"/>
                <w:szCs w:val="24"/>
              </w:rPr>
            </w:pPr>
            <w:r>
              <w:rPr>
                <w:rFonts w:hint="eastAsia" w:ascii="仿宋" w:hAnsi="仿宋" w:eastAsia="仿宋" w:cs="仿宋"/>
                <w:b/>
                <w:bCs/>
                <w:spacing w:val="6"/>
                <w:sz w:val="24"/>
                <w:szCs w:val="24"/>
              </w:rPr>
              <w:t>（注：本项目不专门面向中小企业，供应商所投货物均为小型或微</w:t>
            </w:r>
            <w:r>
              <w:rPr>
                <w:rFonts w:hint="eastAsia" w:ascii="仿宋" w:hAnsi="仿宋" w:eastAsia="仿宋" w:cs="仿宋"/>
                <w:b/>
                <w:bCs/>
                <w:spacing w:val="8"/>
                <w:sz w:val="24"/>
                <w:szCs w:val="24"/>
              </w:rPr>
              <w:t>型企业生产的可享受10%的价格扣除后</w:t>
            </w:r>
            <w:r>
              <w:rPr>
                <w:rFonts w:hint="eastAsia" w:ascii="仿宋" w:hAnsi="仿宋" w:eastAsia="仿宋" w:cs="仿宋"/>
                <w:b/>
                <w:bCs/>
                <w:spacing w:val="7"/>
                <w:sz w:val="24"/>
                <w:szCs w:val="24"/>
              </w:rPr>
              <w:t>参与评审。）</w:t>
            </w:r>
          </w:p>
        </w:tc>
        <w:tc>
          <w:tcPr>
            <w:tcW w:w="1201" w:type="dxa"/>
            <w:vAlign w:val="top"/>
          </w:tcPr>
          <w:p w14:paraId="07D66B30">
            <w:pPr>
              <w:pStyle w:val="89"/>
              <w:spacing w:before="114" w:line="240" w:lineRule="auto"/>
              <w:ind w:left="110"/>
              <w:rPr>
                <w:rFonts w:hint="eastAsia" w:ascii="仿宋" w:hAnsi="仿宋" w:eastAsia="仿宋" w:cs="仿宋"/>
                <w:sz w:val="24"/>
                <w:szCs w:val="24"/>
              </w:rPr>
            </w:pPr>
            <w:r>
              <w:rPr>
                <w:rFonts w:hint="eastAsia" w:ascii="仿宋" w:hAnsi="仿宋" w:eastAsia="仿宋" w:cs="仿宋"/>
                <w:spacing w:val="13"/>
                <w:sz w:val="24"/>
                <w:szCs w:val="24"/>
              </w:rPr>
              <w:t>投标报价超</w:t>
            </w:r>
          </w:p>
          <w:p w14:paraId="1237880B">
            <w:pPr>
              <w:pStyle w:val="89"/>
              <w:spacing w:before="29" w:line="240" w:lineRule="auto"/>
              <w:ind w:left="111"/>
              <w:rPr>
                <w:rFonts w:hint="eastAsia" w:ascii="仿宋" w:hAnsi="仿宋" w:eastAsia="仿宋" w:cs="仿宋"/>
                <w:sz w:val="24"/>
                <w:szCs w:val="24"/>
              </w:rPr>
            </w:pPr>
            <w:r>
              <w:rPr>
                <w:rFonts w:hint="eastAsia" w:ascii="仿宋" w:hAnsi="仿宋" w:eastAsia="仿宋" w:cs="仿宋"/>
                <w:spacing w:val="13"/>
                <w:sz w:val="24"/>
                <w:szCs w:val="24"/>
              </w:rPr>
              <w:t>过采购预算</w:t>
            </w:r>
          </w:p>
          <w:p w14:paraId="42A4D8EC">
            <w:pPr>
              <w:pStyle w:val="89"/>
              <w:spacing w:before="30" w:line="240" w:lineRule="auto"/>
              <w:ind w:left="109" w:right="107"/>
              <w:rPr>
                <w:rFonts w:hint="eastAsia" w:ascii="仿宋" w:hAnsi="仿宋" w:eastAsia="仿宋" w:cs="仿宋"/>
                <w:sz w:val="24"/>
                <w:szCs w:val="24"/>
              </w:rPr>
            </w:pPr>
            <w:r>
              <w:rPr>
                <w:rFonts w:hint="eastAsia" w:ascii="仿宋" w:hAnsi="仿宋" w:eastAsia="仿宋" w:cs="仿宋"/>
                <w:spacing w:val="13"/>
                <w:sz w:val="24"/>
                <w:szCs w:val="24"/>
              </w:rPr>
              <w:t>价的按废标</w:t>
            </w:r>
            <w:r>
              <w:rPr>
                <w:rFonts w:hint="eastAsia" w:ascii="仿宋" w:hAnsi="仿宋" w:eastAsia="仿宋" w:cs="仿宋"/>
                <w:spacing w:val="8"/>
                <w:sz w:val="24"/>
                <w:szCs w:val="24"/>
              </w:rPr>
              <w:t>处理</w:t>
            </w:r>
          </w:p>
        </w:tc>
      </w:tr>
      <w:tr w14:paraId="2AC6D8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3072" w:hRule="atLeast"/>
        </w:trPr>
        <w:tc>
          <w:tcPr>
            <w:tcW w:w="793" w:type="dxa"/>
            <w:vMerge w:val="restart"/>
            <w:tcBorders>
              <w:bottom w:val="nil"/>
            </w:tcBorders>
            <w:vAlign w:val="top"/>
          </w:tcPr>
          <w:p w14:paraId="251A05BD">
            <w:pPr>
              <w:spacing w:line="240" w:lineRule="auto"/>
              <w:rPr>
                <w:rFonts w:hint="eastAsia" w:ascii="仿宋" w:hAnsi="仿宋" w:eastAsia="仿宋" w:cs="仿宋"/>
                <w:sz w:val="24"/>
                <w:szCs w:val="24"/>
              </w:rPr>
            </w:pPr>
          </w:p>
        </w:tc>
        <w:tc>
          <w:tcPr>
            <w:tcW w:w="1382" w:type="dxa"/>
            <w:vAlign w:val="top"/>
          </w:tcPr>
          <w:p w14:paraId="52F41DC7">
            <w:pPr>
              <w:spacing w:line="240" w:lineRule="auto"/>
              <w:rPr>
                <w:rFonts w:hint="eastAsia" w:ascii="仿宋" w:hAnsi="仿宋" w:eastAsia="仿宋" w:cs="仿宋"/>
                <w:sz w:val="24"/>
                <w:szCs w:val="24"/>
              </w:rPr>
            </w:pPr>
          </w:p>
          <w:p w14:paraId="0756F356">
            <w:pPr>
              <w:spacing w:line="240" w:lineRule="auto"/>
              <w:rPr>
                <w:rFonts w:hint="eastAsia" w:ascii="仿宋" w:hAnsi="仿宋" w:eastAsia="仿宋" w:cs="仿宋"/>
                <w:sz w:val="24"/>
                <w:szCs w:val="24"/>
              </w:rPr>
            </w:pPr>
          </w:p>
          <w:p w14:paraId="6DB928AF">
            <w:pPr>
              <w:spacing w:line="240" w:lineRule="auto"/>
              <w:rPr>
                <w:rFonts w:hint="eastAsia" w:ascii="仿宋" w:hAnsi="仿宋" w:eastAsia="仿宋" w:cs="仿宋"/>
                <w:sz w:val="24"/>
                <w:szCs w:val="24"/>
              </w:rPr>
            </w:pPr>
          </w:p>
          <w:p w14:paraId="03C85D1A">
            <w:pPr>
              <w:spacing w:line="240" w:lineRule="auto"/>
              <w:rPr>
                <w:rFonts w:hint="eastAsia" w:ascii="仿宋" w:hAnsi="仿宋" w:eastAsia="仿宋" w:cs="仿宋"/>
                <w:sz w:val="24"/>
                <w:szCs w:val="24"/>
              </w:rPr>
            </w:pPr>
          </w:p>
          <w:p w14:paraId="149FEF16">
            <w:pPr>
              <w:pStyle w:val="89"/>
              <w:spacing w:before="85" w:line="240" w:lineRule="auto"/>
              <w:ind w:left="194"/>
              <w:rPr>
                <w:rFonts w:hint="eastAsia" w:ascii="仿宋" w:hAnsi="仿宋" w:eastAsia="仿宋" w:cs="仿宋"/>
                <w:sz w:val="24"/>
                <w:szCs w:val="24"/>
              </w:rPr>
            </w:pPr>
            <w:r>
              <w:rPr>
                <w:rFonts w:hint="eastAsia" w:ascii="仿宋" w:hAnsi="仿宋" w:eastAsia="仿宋" w:cs="仿宋"/>
                <w:spacing w:val="8"/>
                <w:sz w:val="24"/>
                <w:szCs w:val="24"/>
              </w:rPr>
              <w:t>检测报告</w:t>
            </w:r>
          </w:p>
        </w:tc>
        <w:tc>
          <w:tcPr>
            <w:tcW w:w="560" w:type="dxa"/>
            <w:vAlign w:val="top"/>
          </w:tcPr>
          <w:p w14:paraId="6320F175">
            <w:pPr>
              <w:spacing w:line="240" w:lineRule="auto"/>
              <w:rPr>
                <w:rFonts w:hint="eastAsia" w:ascii="仿宋" w:hAnsi="仿宋" w:eastAsia="仿宋" w:cs="仿宋"/>
                <w:sz w:val="24"/>
                <w:szCs w:val="24"/>
              </w:rPr>
            </w:pPr>
          </w:p>
          <w:p w14:paraId="015F5569">
            <w:pPr>
              <w:spacing w:line="240" w:lineRule="auto"/>
              <w:rPr>
                <w:rFonts w:hint="eastAsia" w:ascii="仿宋" w:hAnsi="仿宋" w:eastAsia="仿宋" w:cs="仿宋"/>
                <w:sz w:val="24"/>
                <w:szCs w:val="24"/>
              </w:rPr>
            </w:pPr>
          </w:p>
          <w:p w14:paraId="6B5D5836">
            <w:pPr>
              <w:spacing w:line="240" w:lineRule="auto"/>
              <w:rPr>
                <w:rFonts w:hint="eastAsia" w:ascii="仿宋" w:hAnsi="仿宋" w:eastAsia="仿宋" w:cs="仿宋"/>
                <w:sz w:val="24"/>
                <w:szCs w:val="24"/>
              </w:rPr>
            </w:pPr>
          </w:p>
          <w:p w14:paraId="57CE7B52">
            <w:pPr>
              <w:pStyle w:val="89"/>
              <w:spacing w:before="85" w:line="240" w:lineRule="auto"/>
              <w:ind w:left="235"/>
              <w:rPr>
                <w:rFonts w:hint="eastAsia" w:ascii="仿宋" w:hAnsi="仿宋" w:eastAsia="仿宋" w:cs="仿宋"/>
                <w:sz w:val="24"/>
                <w:szCs w:val="24"/>
              </w:rPr>
            </w:pPr>
            <w:r>
              <w:rPr>
                <w:rFonts w:hint="eastAsia" w:ascii="仿宋" w:hAnsi="仿宋" w:eastAsia="仿宋" w:cs="仿宋"/>
                <w:spacing w:val="3"/>
                <w:position w:val="3"/>
                <w:sz w:val="24"/>
                <w:szCs w:val="24"/>
              </w:rPr>
              <w:t>4</w:t>
            </w:r>
          </w:p>
        </w:tc>
        <w:tc>
          <w:tcPr>
            <w:tcW w:w="5739" w:type="dxa"/>
            <w:vAlign w:val="top"/>
          </w:tcPr>
          <w:p w14:paraId="65251BB3">
            <w:pPr>
              <w:pStyle w:val="89"/>
              <w:spacing w:before="2" w:line="240" w:lineRule="auto"/>
              <w:ind w:left="105" w:right="105" w:firstLine="2"/>
              <w:jc w:val="both"/>
              <w:rPr>
                <w:rFonts w:hint="eastAsia" w:ascii="仿宋" w:hAnsi="仿宋" w:eastAsia="仿宋" w:cs="仿宋"/>
                <w:sz w:val="24"/>
                <w:szCs w:val="24"/>
              </w:rPr>
            </w:pPr>
            <w:r>
              <w:rPr>
                <w:rFonts w:hint="eastAsia" w:ascii="仿宋" w:hAnsi="仿宋" w:eastAsia="仿宋" w:cs="仿宋"/>
                <w:spacing w:val="13"/>
                <w:sz w:val="24"/>
                <w:szCs w:val="24"/>
              </w:rPr>
              <w:t>投标人提供符合《中华人民共和国食品安全法》要求的食品检测机构出具的检测报告（农产品农药残留报告</w:t>
            </w:r>
            <w:r>
              <w:rPr>
                <w:rFonts w:hint="eastAsia" w:ascii="仿宋" w:hAnsi="仿宋" w:eastAsia="仿宋" w:cs="仿宋"/>
                <w:spacing w:val="-19"/>
                <w:sz w:val="24"/>
                <w:szCs w:val="24"/>
              </w:rPr>
              <w:t>），</w:t>
            </w:r>
            <w:r>
              <w:rPr>
                <w:rFonts w:hint="eastAsia" w:ascii="仿宋" w:hAnsi="仿宋" w:eastAsia="仿宋" w:cs="仿宋"/>
                <w:spacing w:val="13"/>
                <w:sz w:val="24"/>
                <w:szCs w:val="24"/>
              </w:rPr>
              <w:t>提</w:t>
            </w:r>
            <w:r>
              <w:rPr>
                <w:rFonts w:hint="eastAsia" w:ascii="仿宋" w:hAnsi="仿宋" w:eastAsia="仿宋" w:cs="仿宋"/>
                <w:spacing w:val="9"/>
                <w:sz w:val="24"/>
                <w:szCs w:val="24"/>
              </w:rPr>
              <w:t>供的报告无缺页漏页，质量检测结果必须</w:t>
            </w:r>
            <w:r>
              <w:rPr>
                <w:rFonts w:hint="eastAsia" w:ascii="仿宋" w:hAnsi="仿宋" w:eastAsia="仿宋" w:cs="仿宋"/>
                <w:spacing w:val="8"/>
                <w:sz w:val="24"/>
                <w:szCs w:val="24"/>
              </w:rPr>
              <w:t>是合格的，并且检测报告</w:t>
            </w:r>
            <w:r>
              <w:rPr>
                <w:rFonts w:hint="eastAsia" w:ascii="仿宋" w:hAnsi="仿宋" w:eastAsia="仿宋" w:cs="仿宋"/>
                <w:spacing w:val="2"/>
                <w:sz w:val="24"/>
                <w:szCs w:val="24"/>
              </w:rPr>
              <w:t>结果符合参数要求，不得提供虚假检验检测报告，满分4分，否则</w:t>
            </w:r>
            <w:r>
              <w:rPr>
                <w:rFonts w:hint="eastAsia" w:ascii="仿宋" w:hAnsi="仿宋" w:eastAsia="仿宋" w:cs="仿宋"/>
                <w:spacing w:val="7"/>
                <w:sz w:val="24"/>
                <w:szCs w:val="24"/>
              </w:rPr>
              <w:t>不得分。</w:t>
            </w:r>
          </w:p>
          <w:p w14:paraId="44F87461">
            <w:pPr>
              <w:pStyle w:val="89"/>
              <w:spacing w:before="3" w:line="240" w:lineRule="auto"/>
              <w:ind w:left="106" w:right="105"/>
              <w:jc w:val="both"/>
              <w:rPr>
                <w:rFonts w:hint="eastAsia" w:ascii="仿宋" w:hAnsi="仿宋" w:eastAsia="仿宋" w:cs="仿宋"/>
                <w:sz w:val="24"/>
                <w:szCs w:val="24"/>
              </w:rPr>
            </w:pPr>
            <w:r>
              <w:rPr>
                <w:rFonts w:hint="eastAsia" w:ascii="仿宋" w:hAnsi="仿宋" w:eastAsia="仿宋" w:cs="仿宋"/>
                <w:b/>
                <w:bCs/>
                <w:spacing w:val="10"/>
                <w:sz w:val="24"/>
                <w:szCs w:val="24"/>
              </w:rPr>
              <w:t>备注：提供</w:t>
            </w:r>
            <w:r>
              <w:rPr>
                <w:rFonts w:hint="eastAsia" w:ascii="仿宋" w:hAnsi="仿宋" w:eastAsia="仿宋" w:cs="仿宋"/>
                <w:b/>
                <w:bCs/>
                <w:spacing w:val="9"/>
                <w:sz w:val="24"/>
                <w:szCs w:val="24"/>
              </w:rPr>
              <w:t>产品保质期内的检测报告，提供的检测报告日期为自开标</w:t>
            </w:r>
            <w:r>
              <w:rPr>
                <w:rFonts w:hint="eastAsia" w:ascii="仿宋" w:hAnsi="仿宋" w:eastAsia="仿宋" w:cs="仿宋"/>
                <w:b/>
                <w:bCs/>
                <w:spacing w:val="8"/>
                <w:sz w:val="24"/>
                <w:szCs w:val="24"/>
              </w:rPr>
              <w:t>日前6个月之内，投标文件里可放与原件相符的复印件，复印件加盖投标人</w:t>
            </w:r>
            <w:r>
              <w:rPr>
                <w:rFonts w:hint="eastAsia" w:ascii="仿宋" w:hAnsi="仿宋" w:eastAsia="仿宋" w:cs="仿宋"/>
                <w:b/>
                <w:bCs/>
                <w:spacing w:val="5"/>
                <w:sz w:val="24"/>
                <w:szCs w:val="24"/>
              </w:rPr>
              <w:t>公章。</w:t>
            </w:r>
          </w:p>
        </w:tc>
        <w:tc>
          <w:tcPr>
            <w:tcW w:w="1201" w:type="dxa"/>
            <w:vAlign w:val="top"/>
          </w:tcPr>
          <w:p w14:paraId="19383551">
            <w:pPr>
              <w:spacing w:line="240" w:lineRule="auto"/>
              <w:rPr>
                <w:rFonts w:hint="eastAsia" w:ascii="仿宋" w:hAnsi="仿宋" w:eastAsia="仿宋" w:cs="仿宋"/>
                <w:sz w:val="24"/>
                <w:szCs w:val="24"/>
              </w:rPr>
            </w:pPr>
          </w:p>
        </w:tc>
      </w:tr>
      <w:tr w14:paraId="5D832D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3093" w:hRule="atLeast"/>
        </w:trPr>
        <w:tc>
          <w:tcPr>
            <w:tcW w:w="793" w:type="dxa"/>
            <w:vMerge w:val="continue"/>
            <w:tcBorders>
              <w:top w:val="nil"/>
              <w:bottom w:val="nil"/>
            </w:tcBorders>
            <w:vAlign w:val="top"/>
          </w:tcPr>
          <w:p w14:paraId="2B8C832B">
            <w:pPr>
              <w:spacing w:line="240" w:lineRule="auto"/>
              <w:rPr>
                <w:rFonts w:hint="eastAsia" w:ascii="仿宋" w:hAnsi="仿宋" w:eastAsia="仿宋" w:cs="仿宋"/>
                <w:sz w:val="24"/>
                <w:szCs w:val="24"/>
              </w:rPr>
            </w:pPr>
          </w:p>
        </w:tc>
        <w:tc>
          <w:tcPr>
            <w:tcW w:w="1382" w:type="dxa"/>
            <w:vAlign w:val="top"/>
          </w:tcPr>
          <w:p w14:paraId="70496534">
            <w:pPr>
              <w:spacing w:line="240" w:lineRule="auto"/>
              <w:rPr>
                <w:rFonts w:hint="eastAsia" w:ascii="仿宋" w:hAnsi="仿宋" w:eastAsia="仿宋" w:cs="仿宋"/>
                <w:sz w:val="24"/>
                <w:szCs w:val="24"/>
              </w:rPr>
            </w:pPr>
          </w:p>
          <w:p w14:paraId="0A6230EE">
            <w:pPr>
              <w:spacing w:line="240" w:lineRule="auto"/>
              <w:rPr>
                <w:rFonts w:hint="eastAsia" w:ascii="仿宋" w:hAnsi="仿宋" w:eastAsia="仿宋" w:cs="仿宋"/>
                <w:sz w:val="24"/>
                <w:szCs w:val="24"/>
              </w:rPr>
            </w:pPr>
          </w:p>
          <w:p w14:paraId="4082B5AE">
            <w:pPr>
              <w:spacing w:line="240" w:lineRule="auto"/>
              <w:rPr>
                <w:rFonts w:hint="eastAsia" w:ascii="仿宋" w:hAnsi="仿宋" w:eastAsia="仿宋" w:cs="仿宋"/>
                <w:sz w:val="24"/>
                <w:szCs w:val="24"/>
              </w:rPr>
            </w:pPr>
          </w:p>
          <w:p w14:paraId="7A321E3B">
            <w:pPr>
              <w:pStyle w:val="89"/>
              <w:spacing w:before="86" w:line="240" w:lineRule="auto"/>
              <w:ind w:left="192"/>
              <w:rPr>
                <w:rFonts w:hint="eastAsia" w:ascii="仿宋" w:hAnsi="仿宋" w:eastAsia="仿宋" w:cs="仿宋"/>
                <w:sz w:val="24"/>
                <w:szCs w:val="24"/>
              </w:rPr>
            </w:pPr>
            <w:r>
              <w:rPr>
                <w:rFonts w:hint="eastAsia" w:ascii="仿宋" w:hAnsi="仿宋" w:eastAsia="仿宋" w:cs="仿宋"/>
                <w:spacing w:val="9"/>
                <w:sz w:val="24"/>
                <w:szCs w:val="24"/>
              </w:rPr>
              <w:t>项目实施</w:t>
            </w:r>
          </w:p>
          <w:p w14:paraId="152C70D2">
            <w:pPr>
              <w:pStyle w:val="89"/>
              <w:spacing w:line="240" w:lineRule="auto"/>
              <w:ind w:left="404"/>
              <w:rPr>
                <w:rFonts w:hint="eastAsia" w:ascii="仿宋" w:hAnsi="仿宋" w:eastAsia="仿宋" w:cs="仿宋"/>
                <w:sz w:val="24"/>
                <w:szCs w:val="24"/>
              </w:rPr>
            </w:pPr>
            <w:r>
              <w:rPr>
                <w:rFonts w:hint="eastAsia" w:ascii="仿宋" w:hAnsi="仿宋" w:eastAsia="仿宋" w:cs="仿宋"/>
                <w:spacing w:val="7"/>
                <w:sz w:val="24"/>
                <w:szCs w:val="24"/>
              </w:rPr>
              <w:t>方案</w:t>
            </w:r>
          </w:p>
        </w:tc>
        <w:tc>
          <w:tcPr>
            <w:tcW w:w="560" w:type="dxa"/>
            <w:vAlign w:val="top"/>
          </w:tcPr>
          <w:p w14:paraId="1786759C">
            <w:pPr>
              <w:spacing w:line="240" w:lineRule="auto"/>
              <w:rPr>
                <w:rFonts w:hint="eastAsia" w:ascii="仿宋" w:hAnsi="仿宋" w:eastAsia="仿宋" w:cs="仿宋"/>
                <w:sz w:val="24"/>
                <w:szCs w:val="24"/>
              </w:rPr>
            </w:pPr>
          </w:p>
          <w:p w14:paraId="2B584D4F">
            <w:pPr>
              <w:spacing w:line="240" w:lineRule="auto"/>
              <w:rPr>
                <w:rFonts w:hint="eastAsia" w:ascii="仿宋" w:hAnsi="仿宋" w:eastAsia="仿宋" w:cs="仿宋"/>
                <w:sz w:val="24"/>
                <w:szCs w:val="24"/>
              </w:rPr>
            </w:pPr>
          </w:p>
          <w:p w14:paraId="54C54C92">
            <w:pPr>
              <w:spacing w:line="240" w:lineRule="auto"/>
              <w:rPr>
                <w:rFonts w:hint="eastAsia" w:ascii="仿宋" w:hAnsi="仿宋" w:eastAsia="仿宋" w:cs="仿宋"/>
                <w:sz w:val="24"/>
                <w:szCs w:val="24"/>
              </w:rPr>
            </w:pPr>
          </w:p>
          <w:p w14:paraId="23BF10FF">
            <w:pPr>
              <w:pStyle w:val="89"/>
              <w:spacing w:before="86" w:line="240" w:lineRule="auto"/>
              <w:ind w:left="192"/>
              <w:rPr>
                <w:rFonts w:hint="eastAsia" w:ascii="仿宋" w:hAnsi="仿宋" w:eastAsia="仿宋" w:cs="仿宋"/>
                <w:sz w:val="24"/>
                <w:szCs w:val="24"/>
              </w:rPr>
            </w:pPr>
            <w:r>
              <w:rPr>
                <w:rFonts w:hint="eastAsia" w:ascii="仿宋" w:hAnsi="仿宋" w:eastAsia="仿宋" w:cs="仿宋"/>
                <w:spacing w:val="-5"/>
                <w:position w:val="3"/>
                <w:sz w:val="24"/>
                <w:szCs w:val="24"/>
              </w:rPr>
              <w:t>18</w:t>
            </w:r>
          </w:p>
        </w:tc>
        <w:tc>
          <w:tcPr>
            <w:tcW w:w="5739" w:type="dxa"/>
            <w:vAlign w:val="top"/>
          </w:tcPr>
          <w:p w14:paraId="7A618053">
            <w:pPr>
              <w:pStyle w:val="89"/>
              <w:spacing w:before="26" w:line="240" w:lineRule="auto"/>
              <w:ind w:left="106" w:firstLine="2"/>
              <w:jc w:val="both"/>
              <w:rPr>
                <w:rFonts w:hint="eastAsia" w:ascii="仿宋" w:hAnsi="仿宋" w:eastAsia="仿宋" w:cs="仿宋"/>
                <w:sz w:val="24"/>
                <w:szCs w:val="24"/>
              </w:rPr>
            </w:pPr>
            <w:r>
              <w:rPr>
                <w:rFonts w:hint="eastAsia" w:ascii="仿宋" w:hAnsi="仿宋" w:eastAsia="仿宋" w:cs="仿宋"/>
                <w:spacing w:val="11"/>
                <w:sz w:val="24"/>
                <w:szCs w:val="24"/>
              </w:rPr>
              <w:t>需结合项目实际情况</w:t>
            </w:r>
            <w:r>
              <w:rPr>
                <w:rFonts w:hint="eastAsia" w:cs="仿宋"/>
                <w:spacing w:val="11"/>
                <w:sz w:val="24"/>
                <w:szCs w:val="24"/>
                <w:lang w:eastAsia="zh-CN"/>
              </w:rPr>
              <w:t>：</w:t>
            </w:r>
            <w:r>
              <w:rPr>
                <w:rFonts w:hint="eastAsia" w:cs="仿宋"/>
                <w:spacing w:val="11"/>
                <w:sz w:val="24"/>
                <w:szCs w:val="24"/>
                <w:lang w:val="en-US" w:eastAsia="zh-CN"/>
              </w:rPr>
              <w:t>1、</w:t>
            </w:r>
            <w:r>
              <w:rPr>
                <w:rFonts w:hint="eastAsia" w:ascii="仿宋" w:hAnsi="仿宋" w:eastAsia="仿宋" w:cs="仿宋"/>
                <w:spacing w:val="11"/>
                <w:sz w:val="24"/>
                <w:szCs w:val="24"/>
              </w:rPr>
              <w:t>具体特点及实际需求、各个阶段进度安排合理</w:t>
            </w:r>
            <w:r>
              <w:rPr>
                <w:rFonts w:hint="eastAsia" w:ascii="仿宋" w:hAnsi="仿宋" w:eastAsia="仿宋" w:cs="仿宋"/>
                <w:spacing w:val="8"/>
                <w:sz w:val="24"/>
                <w:szCs w:val="24"/>
              </w:rPr>
              <w:t>性、可操作性、实用性；</w:t>
            </w:r>
            <w:r>
              <w:rPr>
                <w:rFonts w:hint="eastAsia" w:cs="仿宋"/>
                <w:spacing w:val="8"/>
                <w:sz w:val="24"/>
                <w:szCs w:val="24"/>
                <w:lang w:val="en-US" w:eastAsia="zh-CN"/>
              </w:rPr>
              <w:t>2、</w:t>
            </w:r>
            <w:r>
              <w:rPr>
                <w:rFonts w:hint="eastAsia" w:ascii="仿宋" w:hAnsi="仿宋" w:eastAsia="仿宋" w:cs="仿宋"/>
                <w:spacing w:val="8"/>
                <w:sz w:val="24"/>
                <w:szCs w:val="24"/>
              </w:rPr>
              <w:t>是否能满足购货方各种需要等方面；</w:t>
            </w:r>
            <w:r>
              <w:rPr>
                <w:rFonts w:hint="eastAsia" w:cs="仿宋"/>
                <w:spacing w:val="8"/>
                <w:sz w:val="24"/>
                <w:szCs w:val="24"/>
                <w:lang w:val="en-US" w:eastAsia="zh-CN"/>
              </w:rPr>
              <w:t>3、</w:t>
            </w:r>
            <w:r>
              <w:rPr>
                <w:rFonts w:hint="eastAsia" w:ascii="仿宋" w:hAnsi="仿宋" w:eastAsia="仿宋" w:cs="仿宋"/>
                <w:spacing w:val="8"/>
                <w:sz w:val="24"/>
                <w:szCs w:val="24"/>
              </w:rPr>
              <w:t>是否有专业的技术人员负责此项目；</w:t>
            </w:r>
            <w:r>
              <w:rPr>
                <w:rFonts w:hint="eastAsia" w:cs="仿宋"/>
                <w:spacing w:val="8"/>
                <w:sz w:val="24"/>
                <w:szCs w:val="24"/>
                <w:lang w:val="en-US" w:eastAsia="zh-CN"/>
              </w:rPr>
              <w:t>4、</w:t>
            </w:r>
            <w:r>
              <w:rPr>
                <w:rFonts w:hint="eastAsia" w:ascii="仿宋" w:hAnsi="仿宋" w:eastAsia="仿宋" w:cs="仿宋"/>
                <w:spacing w:val="8"/>
                <w:sz w:val="24"/>
                <w:szCs w:val="24"/>
              </w:rPr>
              <w:t>各项技术参数是否均满足要求；</w:t>
            </w:r>
            <w:r>
              <w:rPr>
                <w:rFonts w:hint="eastAsia" w:cs="仿宋"/>
                <w:spacing w:val="8"/>
                <w:sz w:val="24"/>
                <w:szCs w:val="24"/>
                <w:lang w:val="en-US" w:eastAsia="zh-CN"/>
              </w:rPr>
              <w:t>5、</w:t>
            </w:r>
            <w:r>
              <w:rPr>
                <w:rFonts w:hint="eastAsia" w:ascii="仿宋" w:hAnsi="仿宋" w:eastAsia="仿宋" w:cs="仿宋"/>
                <w:spacing w:val="8"/>
                <w:sz w:val="24"/>
                <w:szCs w:val="24"/>
              </w:rPr>
              <w:t>在</w:t>
            </w:r>
            <w:r>
              <w:rPr>
                <w:rFonts w:hint="eastAsia" w:ascii="仿宋" w:hAnsi="仿宋" w:eastAsia="仿宋" w:cs="仿宋"/>
                <w:spacing w:val="10"/>
                <w:sz w:val="24"/>
                <w:szCs w:val="24"/>
              </w:rPr>
              <w:t>保证供应食材的质量、方便快捷；</w:t>
            </w:r>
            <w:r>
              <w:rPr>
                <w:rFonts w:hint="eastAsia" w:cs="仿宋"/>
                <w:spacing w:val="10"/>
                <w:sz w:val="24"/>
                <w:szCs w:val="24"/>
                <w:lang w:val="en-US" w:eastAsia="zh-CN"/>
              </w:rPr>
              <w:t>6、</w:t>
            </w:r>
            <w:r>
              <w:rPr>
                <w:rFonts w:hint="eastAsia" w:ascii="仿宋" w:hAnsi="仿宋" w:eastAsia="仿宋" w:cs="仿宋"/>
                <w:spacing w:val="10"/>
                <w:sz w:val="24"/>
                <w:szCs w:val="24"/>
              </w:rPr>
              <w:t>在加工、存储、包装、运输、冷</w:t>
            </w:r>
            <w:r>
              <w:rPr>
                <w:rFonts w:hint="eastAsia" w:ascii="仿宋" w:hAnsi="仿宋" w:eastAsia="仿宋" w:cs="仿宋"/>
                <w:spacing w:val="5"/>
                <w:sz w:val="24"/>
                <w:szCs w:val="24"/>
              </w:rPr>
              <w:t>藏保鲜等方面制定具体方案和详细措施，方案贴合本项目实际情况，</w:t>
            </w:r>
            <w:r>
              <w:rPr>
                <w:rFonts w:hint="eastAsia" w:ascii="仿宋" w:hAnsi="仿宋" w:eastAsia="仿宋" w:cs="仿宋"/>
                <w:spacing w:val="3"/>
                <w:sz w:val="24"/>
                <w:szCs w:val="24"/>
              </w:rPr>
              <w:t>逻辑清晰、方案内容全面，完全满足项目采购需求的得18分；其中</w:t>
            </w:r>
            <w:r>
              <w:rPr>
                <w:rFonts w:hint="eastAsia" w:ascii="仿宋" w:hAnsi="仿宋" w:eastAsia="仿宋" w:cs="仿宋"/>
                <w:spacing w:val="13"/>
                <w:sz w:val="24"/>
                <w:szCs w:val="24"/>
              </w:rPr>
              <w:t>缺项漏项或内容不全面或内容不具体或文字表述不清晰或与项目内</w:t>
            </w:r>
            <w:r>
              <w:rPr>
                <w:rFonts w:hint="eastAsia" w:ascii="仿宋" w:hAnsi="仿宋" w:eastAsia="仿宋" w:cs="仿宋"/>
                <w:spacing w:val="1"/>
                <w:sz w:val="24"/>
                <w:szCs w:val="24"/>
              </w:rPr>
              <w:t>容无关的，每有一项扣3分，扣完为止。</w:t>
            </w:r>
          </w:p>
        </w:tc>
        <w:tc>
          <w:tcPr>
            <w:tcW w:w="1201" w:type="dxa"/>
            <w:vMerge w:val="restart"/>
            <w:tcBorders>
              <w:bottom w:val="nil"/>
            </w:tcBorders>
            <w:vAlign w:val="top"/>
          </w:tcPr>
          <w:p w14:paraId="6E0A00A6">
            <w:pPr>
              <w:spacing w:line="240" w:lineRule="auto"/>
              <w:rPr>
                <w:rFonts w:hint="eastAsia" w:ascii="仿宋" w:hAnsi="仿宋" w:eastAsia="仿宋" w:cs="仿宋"/>
                <w:sz w:val="24"/>
                <w:szCs w:val="24"/>
              </w:rPr>
            </w:pPr>
          </w:p>
        </w:tc>
      </w:tr>
      <w:tr w14:paraId="3B204C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3373" w:hRule="atLeast"/>
        </w:trPr>
        <w:tc>
          <w:tcPr>
            <w:tcW w:w="793" w:type="dxa"/>
            <w:vMerge w:val="continue"/>
            <w:tcBorders>
              <w:top w:val="nil"/>
              <w:bottom w:val="nil"/>
            </w:tcBorders>
            <w:vAlign w:val="top"/>
          </w:tcPr>
          <w:p w14:paraId="1CA0EBD5">
            <w:pPr>
              <w:spacing w:line="240" w:lineRule="auto"/>
              <w:rPr>
                <w:rFonts w:hint="eastAsia" w:ascii="仿宋" w:hAnsi="仿宋" w:eastAsia="仿宋" w:cs="仿宋"/>
                <w:sz w:val="24"/>
                <w:szCs w:val="24"/>
              </w:rPr>
            </w:pPr>
          </w:p>
        </w:tc>
        <w:tc>
          <w:tcPr>
            <w:tcW w:w="1382" w:type="dxa"/>
            <w:vAlign w:val="top"/>
          </w:tcPr>
          <w:p w14:paraId="214D0BCD">
            <w:pPr>
              <w:spacing w:line="240" w:lineRule="auto"/>
              <w:rPr>
                <w:rFonts w:hint="eastAsia" w:ascii="仿宋" w:hAnsi="仿宋" w:eastAsia="仿宋" w:cs="仿宋"/>
                <w:sz w:val="24"/>
                <w:szCs w:val="24"/>
              </w:rPr>
            </w:pPr>
          </w:p>
          <w:p w14:paraId="4CF17CCD">
            <w:pPr>
              <w:spacing w:line="240" w:lineRule="auto"/>
              <w:rPr>
                <w:rFonts w:hint="eastAsia" w:ascii="仿宋" w:hAnsi="仿宋" w:eastAsia="仿宋" w:cs="仿宋"/>
                <w:sz w:val="24"/>
                <w:szCs w:val="24"/>
              </w:rPr>
            </w:pPr>
          </w:p>
          <w:p w14:paraId="6EAD98FE">
            <w:pPr>
              <w:spacing w:line="240" w:lineRule="auto"/>
              <w:rPr>
                <w:rFonts w:hint="eastAsia" w:ascii="仿宋" w:hAnsi="仿宋" w:eastAsia="仿宋" w:cs="仿宋"/>
                <w:sz w:val="24"/>
                <w:szCs w:val="24"/>
              </w:rPr>
            </w:pPr>
          </w:p>
          <w:p w14:paraId="699124DC">
            <w:pPr>
              <w:pStyle w:val="89"/>
              <w:spacing w:before="86" w:line="240" w:lineRule="auto"/>
              <w:ind w:left="197"/>
              <w:rPr>
                <w:rFonts w:hint="eastAsia" w:ascii="仿宋" w:hAnsi="仿宋" w:eastAsia="仿宋" w:cs="仿宋"/>
                <w:sz w:val="24"/>
                <w:szCs w:val="24"/>
              </w:rPr>
            </w:pPr>
            <w:r>
              <w:rPr>
                <w:rFonts w:hint="eastAsia" w:ascii="仿宋" w:hAnsi="仿宋" w:eastAsia="仿宋" w:cs="仿宋"/>
                <w:spacing w:val="8"/>
                <w:sz w:val="24"/>
                <w:szCs w:val="24"/>
              </w:rPr>
              <w:t>配送及货</w:t>
            </w:r>
          </w:p>
          <w:p w14:paraId="7421CC8D">
            <w:pPr>
              <w:pStyle w:val="89"/>
              <w:spacing w:before="1" w:line="240" w:lineRule="auto"/>
              <w:ind w:left="194"/>
              <w:rPr>
                <w:rFonts w:hint="eastAsia" w:ascii="仿宋" w:hAnsi="仿宋" w:eastAsia="仿宋" w:cs="仿宋"/>
                <w:sz w:val="24"/>
                <w:szCs w:val="24"/>
              </w:rPr>
            </w:pPr>
            <w:r>
              <w:rPr>
                <w:rFonts w:hint="eastAsia" w:ascii="仿宋" w:hAnsi="仿宋" w:eastAsia="仿宋" w:cs="仿宋"/>
                <w:spacing w:val="9"/>
                <w:sz w:val="24"/>
                <w:szCs w:val="24"/>
              </w:rPr>
              <w:t>源保障能</w:t>
            </w:r>
          </w:p>
          <w:p w14:paraId="3E34702D">
            <w:pPr>
              <w:pStyle w:val="89"/>
              <w:spacing w:line="240" w:lineRule="auto"/>
              <w:ind w:left="510"/>
              <w:rPr>
                <w:rFonts w:hint="eastAsia" w:ascii="仿宋" w:hAnsi="仿宋" w:eastAsia="仿宋" w:cs="仿宋"/>
                <w:sz w:val="24"/>
                <w:szCs w:val="24"/>
              </w:rPr>
            </w:pPr>
            <w:r>
              <w:rPr>
                <w:rFonts w:hint="eastAsia" w:ascii="仿宋" w:hAnsi="仿宋" w:eastAsia="仿宋" w:cs="仿宋"/>
                <w:spacing w:val="4"/>
                <w:sz w:val="24"/>
                <w:szCs w:val="24"/>
              </w:rPr>
              <w:t>力</w:t>
            </w:r>
          </w:p>
        </w:tc>
        <w:tc>
          <w:tcPr>
            <w:tcW w:w="560" w:type="dxa"/>
            <w:vAlign w:val="top"/>
          </w:tcPr>
          <w:p w14:paraId="2C2033D8">
            <w:pPr>
              <w:spacing w:line="240" w:lineRule="auto"/>
              <w:rPr>
                <w:rFonts w:hint="eastAsia" w:ascii="仿宋" w:hAnsi="仿宋" w:eastAsia="仿宋" w:cs="仿宋"/>
                <w:sz w:val="24"/>
                <w:szCs w:val="24"/>
              </w:rPr>
            </w:pPr>
          </w:p>
          <w:p w14:paraId="5C58294B">
            <w:pPr>
              <w:spacing w:line="240" w:lineRule="auto"/>
              <w:rPr>
                <w:rFonts w:hint="eastAsia" w:ascii="仿宋" w:hAnsi="仿宋" w:eastAsia="仿宋" w:cs="仿宋"/>
                <w:sz w:val="24"/>
                <w:szCs w:val="24"/>
              </w:rPr>
            </w:pPr>
          </w:p>
          <w:p w14:paraId="6B862C23">
            <w:pPr>
              <w:spacing w:line="240" w:lineRule="auto"/>
              <w:rPr>
                <w:rFonts w:hint="eastAsia" w:ascii="仿宋" w:hAnsi="仿宋" w:eastAsia="仿宋" w:cs="仿宋"/>
                <w:sz w:val="24"/>
                <w:szCs w:val="24"/>
              </w:rPr>
            </w:pPr>
          </w:p>
          <w:p w14:paraId="2894FA29">
            <w:pPr>
              <w:pStyle w:val="89"/>
              <w:spacing w:before="85" w:line="240" w:lineRule="auto"/>
              <w:ind w:left="192"/>
              <w:rPr>
                <w:rFonts w:hint="eastAsia" w:ascii="仿宋" w:hAnsi="仿宋" w:eastAsia="仿宋" w:cs="仿宋"/>
                <w:sz w:val="24"/>
                <w:szCs w:val="24"/>
              </w:rPr>
            </w:pPr>
            <w:r>
              <w:rPr>
                <w:rFonts w:hint="eastAsia" w:ascii="仿宋" w:hAnsi="仿宋" w:eastAsia="仿宋" w:cs="仿宋"/>
                <w:spacing w:val="-5"/>
                <w:position w:val="3"/>
                <w:sz w:val="24"/>
                <w:szCs w:val="24"/>
              </w:rPr>
              <w:t>13</w:t>
            </w:r>
          </w:p>
        </w:tc>
        <w:tc>
          <w:tcPr>
            <w:tcW w:w="5739" w:type="dxa"/>
            <w:vAlign w:val="top"/>
          </w:tcPr>
          <w:p w14:paraId="6D13BB69">
            <w:pPr>
              <w:pStyle w:val="89"/>
              <w:spacing w:line="240" w:lineRule="auto"/>
              <w:ind w:left="106" w:right="105" w:firstLine="8"/>
              <w:rPr>
                <w:rFonts w:hint="eastAsia" w:ascii="仿宋" w:hAnsi="仿宋" w:eastAsia="仿宋" w:cs="仿宋"/>
                <w:spacing w:val="5"/>
                <w:sz w:val="24"/>
                <w:szCs w:val="24"/>
                <w:highlight w:val="none"/>
              </w:rPr>
            </w:pPr>
            <w:r>
              <w:rPr>
                <w:rFonts w:hint="eastAsia" w:ascii="仿宋" w:hAnsi="仿宋" w:eastAsia="仿宋" w:cs="仿宋"/>
                <w:spacing w:val="5"/>
                <w:sz w:val="24"/>
                <w:szCs w:val="24"/>
                <w:highlight w:val="none"/>
                <w:lang w:val="en-US" w:eastAsia="en-US"/>
              </w:rPr>
              <w:t>1.</w:t>
            </w:r>
            <w:r>
              <w:rPr>
                <w:rFonts w:hint="eastAsia" w:ascii="仿宋" w:hAnsi="仿宋" w:eastAsia="仿宋" w:cs="仿宋"/>
                <w:spacing w:val="5"/>
                <w:sz w:val="24"/>
                <w:szCs w:val="24"/>
                <w:highlight w:val="none"/>
              </w:rPr>
              <w:t>食材配送能力：投标人需提供普通运输车辆15辆、冷藏车辆10辆（每车配一个驾驶员）</w:t>
            </w:r>
          </w:p>
          <w:p w14:paraId="05C10A3F">
            <w:pPr>
              <w:pStyle w:val="89"/>
              <w:spacing w:line="240" w:lineRule="auto"/>
              <w:ind w:left="106" w:right="105" w:firstLine="8"/>
              <w:rPr>
                <w:rFonts w:hint="eastAsia" w:ascii="仿宋" w:hAnsi="仿宋" w:eastAsia="仿宋" w:cs="仿宋"/>
                <w:spacing w:val="5"/>
                <w:sz w:val="24"/>
                <w:szCs w:val="24"/>
                <w:highlight w:val="none"/>
              </w:rPr>
            </w:pPr>
            <w:r>
              <w:rPr>
                <w:rFonts w:hint="eastAsia" w:ascii="仿宋" w:hAnsi="仿宋" w:eastAsia="仿宋" w:cs="仿宋"/>
                <w:spacing w:val="5"/>
                <w:sz w:val="24"/>
                <w:szCs w:val="24"/>
                <w:highlight w:val="none"/>
                <w:lang w:val="en-US" w:eastAsia="zh-CN"/>
              </w:rPr>
              <w:t>2.</w:t>
            </w:r>
            <w:r>
              <w:rPr>
                <w:rFonts w:hint="eastAsia" w:ascii="仿宋" w:hAnsi="仿宋" w:eastAsia="仿宋" w:cs="仿宋"/>
                <w:spacing w:val="5"/>
                <w:sz w:val="24"/>
                <w:szCs w:val="24"/>
                <w:highlight w:val="none"/>
              </w:rPr>
              <w:t>安装GPS，全运输过程监控。</w:t>
            </w:r>
          </w:p>
          <w:p w14:paraId="7127DE18">
            <w:pPr>
              <w:pStyle w:val="89"/>
              <w:spacing w:line="240" w:lineRule="auto"/>
              <w:ind w:left="106" w:right="105" w:firstLine="8"/>
              <w:rPr>
                <w:rFonts w:hint="eastAsia" w:ascii="仿宋" w:hAnsi="仿宋" w:eastAsia="仿宋" w:cs="仿宋"/>
                <w:spacing w:val="5"/>
                <w:sz w:val="24"/>
                <w:szCs w:val="24"/>
                <w:highlight w:val="none"/>
              </w:rPr>
            </w:pPr>
            <w:r>
              <w:rPr>
                <w:rFonts w:hint="eastAsia" w:ascii="仿宋" w:hAnsi="仿宋" w:eastAsia="仿宋" w:cs="仿宋"/>
                <w:spacing w:val="5"/>
                <w:sz w:val="24"/>
                <w:szCs w:val="24"/>
                <w:highlight w:val="none"/>
                <w:lang w:val="en-US" w:eastAsia="zh-CN"/>
              </w:rPr>
              <w:t>3.冷藏</w:t>
            </w:r>
            <w:r>
              <w:rPr>
                <w:rFonts w:hint="eastAsia" w:ascii="仿宋" w:hAnsi="仿宋" w:eastAsia="仿宋" w:cs="仿宋"/>
                <w:spacing w:val="5"/>
                <w:sz w:val="24"/>
                <w:szCs w:val="24"/>
                <w:highlight w:val="none"/>
              </w:rPr>
              <w:t>车内装有控温仪，温度控制在在0℃-4℃之间，确保食材新鲜。</w:t>
            </w:r>
          </w:p>
          <w:p w14:paraId="07B2F9FF">
            <w:pPr>
              <w:pStyle w:val="89"/>
              <w:spacing w:line="240" w:lineRule="auto"/>
              <w:ind w:left="106" w:right="39" w:firstLine="16"/>
              <w:rPr>
                <w:rFonts w:hint="eastAsia" w:ascii="仿宋" w:hAnsi="仿宋" w:eastAsia="仿宋" w:cs="仿宋"/>
                <w:sz w:val="24"/>
                <w:szCs w:val="24"/>
              </w:rPr>
            </w:pPr>
            <w:r>
              <w:rPr>
                <w:rFonts w:hint="eastAsia" w:ascii="仿宋" w:hAnsi="仿宋" w:eastAsia="仿宋" w:cs="仿宋"/>
                <w:spacing w:val="5"/>
                <w:sz w:val="24"/>
                <w:szCs w:val="24"/>
                <w:highlight w:val="none"/>
              </w:rPr>
              <w:t>提供相关证明材料</w:t>
            </w:r>
            <w:r>
              <w:rPr>
                <w:rFonts w:hint="eastAsia" w:ascii="仿宋" w:hAnsi="仿宋" w:eastAsia="仿宋" w:cs="仿宋"/>
                <w:spacing w:val="10"/>
                <w:sz w:val="24"/>
                <w:szCs w:val="24"/>
                <w:highlight w:val="none"/>
              </w:rPr>
              <w:t>：</w:t>
            </w:r>
            <w:r>
              <w:rPr>
                <w:rFonts w:hint="eastAsia" w:ascii="仿宋" w:hAnsi="仿宋" w:eastAsia="仿宋" w:cs="仿宋"/>
                <w:b/>
                <w:bCs/>
                <w:spacing w:val="10"/>
                <w:sz w:val="24"/>
                <w:szCs w:val="24"/>
                <w:highlight w:val="none"/>
              </w:rPr>
              <w:t>车辆提供车辆行</w:t>
            </w:r>
            <w:r>
              <w:rPr>
                <w:rFonts w:hint="eastAsia" w:ascii="仿宋" w:hAnsi="仿宋" w:eastAsia="仿宋" w:cs="仿宋"/>
                <w:b/>
                <w:bCs/>
                <w:spacing w:val="12"/>
                <w:sz w:val="24"/>
                <w:szCs w:val="24"/>
                <w:highlight w:val="none"/>
              </w:rPr>
              <w:t>驶证、有效期内车辆保险、车辆正面侧面照</w:t>
            </w:r>
            <w:r>
              <w:rPr>
                <w:rFonts w:hint="eastAsia" w:ascii="仿宋" w:hAnsi="仿宋" w:eastAsia="仿宋" w:cs="仿宋"/>
                <w:b/>
                <w:bCs/>
                <w:spacing w:val="11"/>
                <w:sz w:val="24"/>
                <w:szCs w:val="24"/>
                <w:highlight w:val="none"/>
              </w:rPr>
              <w:t>片并体现出清晰的车牌</w:t>
            </w:r>
            <w:r>
              <w:rPr>
                <w:rFonts w:hint="eastAsia" w:ascii="仿宋" w:hAnsi="仿宋" w:eastAsia="仿宋" w:cs="仿宋"/>
                <w:b/>
                <w:bCs/>
                <w:spacing w:val="4"/>
                <w:sz w:val="24"/>
                <w:szCs w:val="24"/>
                <w:highlight w:val="none"/>
              </w:rPr>
              <w:t>号，租赁车辆同时提供租赁合同；驾驶员：提供有效期</w:t>
            </w:r>
            <w:r>
              <w:rPr>
                <w:rFonts w:hint="eastAsia" w:ascii="仿宋" w:hAnsi="仿宋" w:eastAsia="仿宋" w:cs="仿宋"/>
                <w:b/>
                <w:bCs/>
                <w:spacing w:val="3"/>
                <w:sz w:val="24"/>
                <w:szCs w:val="24"/>
                <w:highlight w:val="none"/>
              </w:rPr>
              <w:t>内的劳务合</w:t>
            </w:r>
            <w:r>
              <w:rPr>
                <w:rFonts w:hint="eastAsia" w:ascii="仿宋" w:hAnsi="仿宋" w:eastAsia="仿宋" w:cs="仿宋"/>
                <w:b/>
                <w:bCs/>
                <w:spacing w:val="4"/>
                <w:sz w:val="24"/>
                <w:szCs w:val="24"/>
                <w:highlight w:val="none"/>
              </w:rPr>
              <w:t>同、驾驶证、健康证、意外险，每辆车配备的齐全共计得</w:t>
            </w:r>
            <w:r>
              <w:rPr>
                <w:rFonts w:hint="eastAsia" w:cs="仿宋"/>
                <w:b/>
                <w:bCs/>
                <w:spacing w:val="4"/>
                <w:sz w:val="24"/>
                <w:szCs w:val="24"/>
                <w:highlight w:val="none"/>
                <w:lang w:val="en-US" w:eastAsia="zh-CN"/>
              </w:rPr>
              <w:t>13</w:t>
            </w:r>
            <w:r>
              <w:rPr>
                <w:rFonts w:hint="eastAsia" w:ascii="仿宋" w:hAnsi="仿宋" w:eastAsia="仿宋" w:cs="仿宋"/>
                <w:b/>
                <w:bCs/>
                <w:spacing w:val="4"/>
                <w:sz w:val="24"/>
                <w:szCs w:val="24"/>
                <w:highlight w:val="none"/>
              </w:rPr>
              <w:t>分，</w:t>
            </w:r>
            <w:r>
              <w:rPr>
                <w:rFonts w:hint="eastAsia" w:ascii="仿宋" w:hAnsi="仿宋" w:eastAsia="仿宋" w:cs="仿宋"/>
                <w:b/>
                <w:bCs/>
                <w:spacing w:val="1"/>
                <w:sz w:val="24"/>
                <w:szCs w:val="24"/>
                <w:highlight w:val="none"/>
              </w:rPr>
              <w:t>每漏1项扣1分，扣完为止，不提</w:t>
            </w:r>
            <w:r>
              <w:rPr>
                <w:rFonts w:hint="eastAsia" w:ascii="仿宋" w:hAnsi="仿宋" w:eastAsia="仿宋" w:cs="仿宋"/>
                <w:b/>
                <w:bCs/>
                <w:sz w:val="24"/>
                <w:szCs w:val="24"/>
                <w:highlight w:val="none"/>
              </w:rPr>
              <w:t>供不得分。</w:t>
            </w:r>
          </w:p>
        </w:tc>
        <w:tc>
          <w:tcPr>
            <w:tcW w:w="1201" w:type="dxa"/>
            <w:vMerge w:val="continue"/>
            <w:tcBorders>
              <w:top w:val="nil"/>
              <w:bottom w:val="nil"/>
            </w:tcBorders>
            <w:vAlign w:val="top"/>
          </w:tcPr>
          <w:p w14:paraId="68DE7D36">
            <w:pPr>
              <w:spacing w:line="240" w:lineRule="auto"/>
              <w:rPr>
                <w:rFonts w:hint="eastAsia" w:ascii="仿宋" w:hAnsi="仿宋" w:eastAsia="仿宋" w:cs="仿宋"/>
                <w:sz w:val="24"/>
                <w:szCs w:val="24"/>
              </w:rPr>
            </w:pPr>
          </w:p>
        </w:tc>
      </w:tr>
      <w:tr w14:paraId="142E67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1842" w:hRule="atLeast"/>
        </w:trPr>
        <w:tc>
          <w:tcPr>
            <w:tcW w:w="793" w:type="dxa"/>
            <w:vMerge w:val="continue"/>
            <w:tcBorders>
              <w:top w:val="nil"/>
              <w:bottom w:val="nil"/>
            </w:tcBorders>
            <w:vAlign w:val="top"/>
          </w:tcPr>
          <w:p w14:paraId="61B770BF">
            <w:pPr>
              <w:spacing w:line="240" w:lineRule="auto"/>
              <w:rPr>
                <w:rFonts w:hint="eastAsia" w:ascii="仿宋" w:hAnsi="仿宋" w:eastAsia="仿宋" w:cs="仿宋"/>
                <w:sz w:val="24"/>
                <w:szCs w:val="24"/>
              </w:rPr>
            </w:pPr>
          </w:p>
        </w:tc>
        <w:tc>
          <w:tcPr>
            <w:tcW w:w="1382" w:type="dxa"/>
            <w:vAlign w:val="top"/>
          </w:tcPr>
          <w:p w14:paraId="11DC0D94">
            <w:pPr>
              <w:spacing w:line="240" w:lineRule="auto"/>
              <w:rPr>
                <w:rFonts w:hint="eastAsia" w:ascii="仿宋" w:hAnsi="仿宋" w:eastAsia="仿宋" w:cs="仿宋"/>
                <w:sz w:val="24"/>
                <w:szCs w:val="24"/>
              </w:rPr>
            </w:pPr>
          </w:p>
          <w:p w14:paraId="37820CF8">
            <w:pPr>
              <w:pStyle w:val="89"/>
              <w:spacing w:before="86" w:line="240" w:lineRule="auto"/>
              <w:ind w:left="197"/>
              <w:rPr>
                <w:rFonts w:hint="eastAsia" w:ascii="仿宋" w:hAnsi="仿宋" w:eastAsia="仿宋" w:cs="仿宋"/>
                <w:sz w:val="24"/>
                <w:szCs w:val="24"/>
              </w:rPr>
            </w:pPr>
            <w:r>
              <w:rPr>
                <w:rFonts w:hint="eastAsia" w:ascii="仿宋" w:hAnsi="仿宋" w:eastAsia="仿宋" w:cs="仿宋"/>
                <w:spacing w:val="7"/>
                <w:sz w:val="24"/>
                <w:szCs w:val="24"/>
              </w:rPr>
              <w:t>配送方案</w:t>
            </w:r>
          </w:p>
        </w:tc>
        <w:tc>
          <w:tcPr>
            <w:tcW w:w="560" w:type="dxa"/>
            <w:vAlign w:val="top"/>
          </w:tcPr>
          <w:p w14:paraId="4EF85301">
            <w:pPr>
              <w:spacing w:line="240" w:lineRule="auto"/>
              <w:rPr>
                <w:rFonts w:hint="eastAsia" w:ascii="仿宋" w:hAnsi="仿宋" w:eastAsia="仿宋" w:cs="仿宋"/>
                <w:sz w:val="24"/>
                <w:szCs w:val="24"/>
              </w:rPr>
            </w:pPr>
          </w:p>
          <w:p w14:paraId="7AED6549">
            <w:pPr>
              <w:pStyle w:val="89"/>
              <w:spacing w:before="86" w:line="240" w:lineRule="auto"/>
              <w:ind w:left="192"/>
              <w:rPr>
                <w:rFonts w:hint="eastAsia" w:ascii="仿宋" w:hAnsi="仿宋" w:eastAsia="仿宋" w:cs="仿宋"/>
                <w:sz w:val="24"/>
                <w:szCs w:val="24"/>
              </w:rPr>
            </w:pPr>
            <w:r>
              <w:rPr>
                <w:rFonts w:hint="eastAsia" w:ascii="仿宋" w:hAnsi="仿宋" w:eastAsia="仿宋" w:cs="仿宋"/>
                <w:spacing w:val="-5"/>
                <w:position w:val="3"/>
                <w:sz w:val="24"/>
                <w:szCs w:val="24"/>
              </w:rPr>
              <w:t>10</w:t>
            </w:r>
          </w:p>
        </w:tc>
        <w:tc>
          <w:tcPr>
            <w:tcW w:w="5739" w:type="dxa"/>
            <w:vAlign w:val="top"/>
          </w:tcPr>
          <w:p w14:paraId="4BB7D337">
            <w:pPr>
              <w:pStyle w:val="89"/>
              <w:spacing w:line="240" w:lineRule="auto"/>
              <w:ind w:left="107"/>
              <w:jc w:val="both"/>
              <w:rPr>
                <w:rFonts w:hint="eastAsia" w:ascii="仿宋" w:hAnsi="仿宋" w:eastAsia="仿宋" w:cs="仿宋"/>
                <w:sz w:val="24"/>
                <w:szCs w:val="24"/>
              </w:rPr>
            </w:pPr>
            <w:r>
              <w:rPr>
                <w:rFonts w:hint="eastAsia" w:ascii="仿宋" w:hAnsi="仿宋" w:eastAsia="仿宋" w:cs="仿宋"/>
                <w:spacing w:val="7"/>
                <w:sz w:val="24"/>
                <w:szCs w:val="24"/>
              </w:rPr>
              <w:t>投标人需提供配送服务方案（包含：①、</w:t>
            </w:r>
            <w:r>
              <w:rPr>
                <w:rFonts w:hint="eastAsia" w:ascii="仿宋" w:hAnsi="仿宋" w:eastAsia="仿宋" w:cs="仿宋"/>
                <w:spacing w:val="6"/>
                <w:sz w:val="24"/>
                <w:szCs w:val="24"/>
              </w:rPr>
              <w:t>配送方式及配送过程规划、</w:t>
            </w:r>
            <w:r>
              <w:rPr>
                <w:rFonts w:hint="eastAsia" w:ascii="仿宋" w:hAnsi="仿宋" w:eastAsia="仿宋" w:cs="仿宋"/>
                <w:spacing w:val="9"/>
                <w:sz w:val="24"/>
                <w:szCs w:val="24"/>
              </w:rPr>
              <w:t>②、验货不合格产品的退换方案、退换货流程，③、配送途中食材</w:t>
            </w:r>
            <w:r>
              <w:rPr>
                <w:rFonts w:hint="eastAsia" w:ascii="仿宋" w:hAnsi="仿宋" w:eastAsia="仿宋" w:cs="仿宋"/>
                <w:spacing w:val="5"/>
                <w:sz w:val="24"/>
                <w:szCs w:val="24"/>
              </w:rPr>
              <w:t>安全保障措施，④、食材保鲜的详细供货计划，⑤、食材保鲜措施）</w:t>
            </w:r>
            <w:r>
              <w:rPr>
                <w:rFonts w:hint="eastAsia" w:ascii="仿宋" w:hAnsi="仿宋" w:eastAsia="仿宋" w:cs="仿宋"/>
                <w:spacing w:val="10"/>
                <w:sz w:val="24"/>
                <w:szCs w:val="24"/>
              </w:rPr>
              <w:t>评标委员会根据项目实际情况，有利于项目实施且资料详细完整的</w:t>
            </w:r>
            <w:r>
              <w:rPr>
                <w:rFonts w:hint="eastAsia" w:ascii="仿宋" w:hAnsi="仿宋" w:eastAsia="仿宋" w:cs="仿宋"/>
                <w:spacing w:val="3"/>
                <w:sz w:val="24"/>
                <w:szCs w:val="24"/>
              </w:rPr>
              <w:t>每提供一项得2分，最高10分，提</w:t>
            </w:r>
            <w:r>
              <w:rPr>
                <w:rFonts w:hint="eastAsia" w:ascii="仿宋" w:hAnsi="仿宋" w:eastAsia="仿宋" w:cs="仿宋"/>
                <w:spacing w:val="2"/>
                <w:sz w:val="24"/>
                <w:szCs w:val="24"/>
              </w:rPr>
              <w:t>供不全或不提供不得分。</w:t>
            </w:r>
          </w:p>
        </w:tc>
        <w:tc>
          <w:tcPr>
            <w:tcW w:w="1201" w:type="dxa"/>
            <w:vMerge w:val="continue"/>
            <w:tcBorders>
              <w:top w:val="nil"/>
              <w:bottom w:val="nil"/>
            </w:tcBorders>
            <w:vAlign w:val="top"/>
          </w:tcPr>
          <w:p w14:paraId="4535D169">
            <w:pPr>
              <w:spacing w:line="240" w:lineRule="auto"/>
              <w:rPr>
                <w:rFonts w:hint="eastAsia" w:ascii="仿宋" w:hAnsi="仿宋" w:eastAsia="仿宋" w:cs="仿宋"/>
                <w:sz w:val="24"/>
                <w:szCs w:val="24"/>
              </w:rPr>
            </w:pPr>
          </w:p>
        </w:tc>
      </w:tr>
      <w:tr w14:paraId="12E35F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2494" w:hRule="atLeast"/>
        </w:trPr>
        <w:tc>
          <w:tcPr>
            <w:tcW w:w="793" w:type="dxa"/>
            <w:vMerge w:val="continue"/>
            <w:tcBorders>
              <w:top w:val="nil"/>
            </w:tcBorders>
            <w:vAlign w:val="top"/>
          </w:tcPr>
          <w:p w14:paraId="53EBB437">
            <w:pPr>
              <w:spacing w:line="240" w:lineRule="auto"/>
              <w:rPr>
                <w:rFonts w:hint="eastAsia" w:ascii="仿宋" w:hAnsi="仿宋" w:eastAsia="仿宋" w:cs="仿宋"/>
                <w:sz w:val="24"/>
                <w:szCs w:val="24"/>
              </w:rPr>
            </w:pPr>
          </w:p>
        </w:tc>
        <w:tc>
          <w:tcPr>
            <w:tcW w:w="1382" w:type="dxa"/>
            <w:vAlign w:val="top"/>
          </w:tcPr>
          <w:p w14:paraId="26BFA86D">
            <w:pPr>
              <w:spacing w:line="240" w:lineRule="auto"/>
              <w:rPr>
                <w:rFonts w:hint="eastAsia" w:ascii="仿宋" w:hAnsi="仿宋" w:eastAsia="仿宋" w:cs="仿宋"/>
                <w:sz w:val="24"/>
                <w:szCs w:val="24"/>
              </w:rPr>
            </w:pPr>
          </w:p>
          <w:p w14:paraId="7FC2DC43">
            <w:pPr>
              <w:spacing w:line="240" w:lineRule="auto"/>
              <w:rPr>
                <w:rFonts w:hint="eastAsia" w:ascii="仿宋" w:hAnsi="仿宋" w:eastAsia="仿宋" w:cs="仿宋"/>
                <w:sz w:val="24"/>
                <w:szCs w:val="24"/>
              </w:rPr>
            </w:pPr>
          </w:p>
          <w:p w14:paraId="0E90D94E">
            <w:pPr>
              <w:spacing w:line="240" w:lineRule="auto"/>
              <w:rPr>
                <w:rFonts w:hint="eastAsia" w:ascii="仿宋" w:hAnsi="仿宋" w:eastAsia="仿宋" w:cs="仿宋"/>
                <w:sz w:val="24"/>
                <w:szCs w:val="24"/>
              </w:rPr>
            </w:pPr>
          </w:p>
          <w:p w14:paraId="70BF1599">
            <w:pPr>
              <w:pStyle w:val="89"/>
              <w:spacing w:before="86" w:line="240" w:lineRule="auto"/>
              <w:ind w:left="192"/>
              <w:rPr>
                <w:rFonts w:hint="eastAsia" w:ascii="仿宋" w:hAnsi="仿宋" w:eastAsia="仿宋" w:cs="仿宋"/>
                <w:sz w:val="24"/>
                <w:szCs w:val="24"/>
              </w:rPr>
            </w:pPr>
            <w:r>
              <w:rPr>
                <w:rFonts w:hint="eastAsia" w:ascii="仿宋" w:hAnsi="仿宋" w:eastAsia="仿宋" w:cs="仿宋"/>
                <w:spacing w:val="9"/>
                <w:sz w:val="24"/>
                <w:szCs w:val="24"/>
              </w:rPr>
              <w:t>应急措施</w:t>
            </w:r>
          </w:p>
        </w:tc>
        <w:tc>
          <w:tcPr>
            <w:tcW w:w="560" w:type="dxa"/>
            <w:vAlign w:val="top"/>
          </w:tcPr>
          <w:p w14:paraId="3605A404">
            <w:pPr>
              <w:spacing w:line="240" w:lineRule="auto"/>
              <w:rPr>
                <w:rFonts w:hint="eastAsia" w:ascii="仿宋" w:hAnsi="仿宋" w:eastAsia="仿宋" w:cs="仿宋"/>
                <w:sz w:val="24"/>
                <w:szCs w:val="24"/>
              </w:rPr>
            </w:pPr>
          </w:p>
          <w:p w14:paraId="3030B258">
            <w:pPr>
              <w:spacing w:line="240" w:lineRule="auto"/>
              <w:rPr>
                <w:rFonts w:hint="eastAsia" w:ascii="仿宋" w:hAnsi="仿宋" w:eastAsia="仿宋" w:cs="仿宋"/>
                <w:sz w:val="24"/>
                <w:szCs w:val="24"/>
              </w:rPr>
            </w:pPr>
          </w:p>
          <w:p w14:paraId="640C252B">
            <w:pPr>
              <w:pStyle w:val="89"/>
              <w:spacing w:before="86" w:line="240" w:lineRule="auto"/>
              <w:ind w:left="251"/>
              <w:rPr>
                <w:rFonts w:hint="eastAsia" w:ascii="仿宋" w:hAnsi="仿宋" w:eastAsia="仿宋" w:cs="仿宋"/>
                <w:sz w:val="24"/>
                <w:szCs w:val="24"/>
              </w:rPr>
            </w:pPr>
            <w:r>
              <w:rPr>
                <w:rFonts w:hint="eastAsia" w:ascii="仿宋" w:hAnsi="仿宋" w:eastAsia="仿宋" w:cs="仿宋"/>
                <w:position w:val="3"/>
                <w:sz w:val="24"/>
                <w:szCs w:val="24"/>
              </w:rPr>
              <w:t>5</w:t>
            </w:r>
          </w:p>
        </w:tc>
        <w:tc>
          <w:tcPr>
            <w:tcW w:w="5739" w:type="dxa"/>
            <w:vAlign w:val="top"/>
          </w:tcPr>
          <w:p w14:paraId="3ECC1509">
            <w:pPr>
              <w:pStyle w:val="89"/>
              <w:spacing w:before="35" w:line="240" w:lineRule="auto"/>
              <w:ind w:left="105" w:right="103" w:firstLine="1"/>
              <w:jc w:val="both"/>
              <w:rPr>
                <w:rFonts w:hint="eastAsia" w:ascii="仿宋" w:hAnsi="仿宋" w:eastAsia="仿宋" w:cs="仿宋"/>
                <w:sz w:val="24"/>
                <w:szCs w:val="24"/>
              </w:rPr>
            </w:pPr>
            <w:r>
              <w:rPr>
                <w:rFonts w:hint="eastAsia" w:ascii="仿宋" w:hAnsi="仿宋" w:eastAsia="仿宋" w:cs="仿宋"/>
                <w:spacing w:val="10"/>
                <w:sz w:val="24"/>
                <w:szCs w:val="24"/>
              </w:rPr>
              <w:t>针对项目实际情况提供应急措施方案：①、投标人需考虑可能发生</w:t>
            </w:r>
            <w:r>
              <w:rPr>
                <w:rFonts w:hint="eastAsia" w:ascii="仿宋" w:hAnsi="仿宋" w:eastAsia="仿宋" w:cs="仿宋"/>
                <w:spacing w:val="8"/>
                <w:sz w:val="24"/>
                <w:szCs w:val="24"/>
              </w:rPr>
              <w:t>的突发情况，制定详细、可行的食品安全保障方案；②、针对食品</w:t>
            </w:r>
            <w:r>
              <w:rPr>
                <w:rFonts w:hint="eastAsia" w:ascii="仿宋" w:hAnsi="仿宋" w:eastAsia="仿宋" w:cs="仿宋"/>
                <w:spacing w:val="10"/>
                <w:sz w:val="24"/>
                <w:szCs w:val="24"/>
              </w:rPr>
              <w:t>出现不同突发情形提供不同的解决方案；③、食品卫生安全管理应</w:t>
            </w:r>
            <w:r>
              <w:rPr>
                <w:rFonts w:hint="eastAsia" w:ascii="仿宋" w:hAnsi="仿宋" w:eastAsia="仿宋" w:cs="仿宋"/>
                <w:spacing w:val="7"/>
                <w:sz w:val="24"/>
                <w:szCs w:val="24"/>
              </w:rPr>
              <w:t>急预案；④、学生食物中毒应急预案；⑤、防止食</w:t>
            </w:r>
            <w:r>
              <w:rPr>
                <w:rFonts w:hint="eastAsia" w:ascii="仿宋" w:hAnsi="仿宋" w:eastAsia="仿宋" w:cs="仿宋"/>
                <w:spacing w:val="6"/>
                <w:sz w:val="24"/>
                <w:szCs w:val="24"/>
              </w:rPr>
              <w:t>材未能及时送达</w:t>
            </w:r>
            <w:r>
              <w:rPr>
                <w:rFonts w:hint="eastAsia" w:ascii="仿宋" w:hAnsi="仿宋" w:eastAsia="仿宋" w:cs="仿宋"/>
                <w:spacing w:val="9"/>
                <w:sz w:val="24"/>
                <w:szCs w:val="24"/>
              </w:rPr>
              <w:t>应急预案；评标委员会根据项目实际情况</w:t>
            </w:r>
            <w:r>
              <w:rPr>
                <w:rFonts w:hint="eastAsia" w:ascii="仿宋" w:hAnsi="仿宋" w:eastAsia="仿宋" w:cs="仿宋"/>
                <w:spacing w:val="8"/>
                <w:sz w:val="24"/>
                <w:szCs w:val="24"/>
              </w:rPr>
              <w:t>，有利于项目实施且资料</w:t>
            </w:r>
            <w:r>
              <w:rPr>
                <w:rFonts w:hint="eastAsia" w:ascii="仿宋" w:hAnsi="仿宋" w:eastAsia="仿宋" w:cs="仿宋"/>
                <w:spacing w:val="5"/>
                <w:sz w:val="24"/>
                <w:szCs w:val="24"/>
              </w:rPr>
              <w:t>详细完整的每提供一项得1分，最高5分，提供不全或不提供不得分。</w:t>
            </w:r>
          </w:p>
        </w:tc>
        <w:tc>
          <w:tcPr>
            <w:tcW w:w="1201" w:type="dxa"/>
            <w:vMerge w:val="continue"/>
            <w:tcBorders>
              <w:top w:val="nil"/>
            </w:tcBorders>
            <w:vAlign w:val="top"/>
          </w:tcPr>
          <w:p w14:paraId="254B6AA4">
            <w:pPr>
              <w:spacing w:line="240" w:lineRule="auto"/>
              <w:rPr>
                <w:rFonts w:hint="eastAsia" w:ascii="仿宋" w:hAnsi="仿宋" w:eastAsia="仿宋" w:cs="仿宋"/>
                <w:sz w:val="24"/>
                <w:szCs w:val="24"/>
              </w:rPr>
            </w:pPr>
          </w:p>
        </w:tc>
      </w:tr>
      <w:tr w14:paraId="7263EA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793" w:type="dxa"/>
            <w:vMerge w:val="restart"/>
            <w:tcBorders>
              <w:bottom w:val="nil"/>
            </w:tcBorders>
            <w:vAlign w:val="top"/>
          </w:tcPr>
          <w:p w14:paraId="1E313A29">
            <w:pPr>
              <w:spacing w:line="240" w:lineRule="auto"/>
              <w:rPr>
                <w:rFonts w:hint="eastAsia" w:ascii="仿宋" w:hAnsi="仿宋" w:eastAsia="仿宋" w:cs="仿宋"/>
                <w:sz w:val="24"/>
                <w:szCs w:val="24"/>
              </w:rPr>
            </w:pPr>
          </w:p>
        </w:tc>
        <w:tc>
          <w:tcPr>
            <w:tcW w:w="1382" w:type="dxa"/>
            <w:vAlign w:val="top"/>
          </w:tcPr>
          <w:p w14:paraId="0789DBE2">
            <w:pPr>
              <w:spacing w:line="240" w:lineRule="auto"/>
              <w:rPr>
                <w:rFonts w:hint="eastAsia" w:ascii="仿宋" w:hAnsi="仿宋" w:eastAsia="仿宋" w:cs="仿宋"/>
                <w:sz w:val="24"/>
                <w:szCs w:val="24"/>
              </w:rPr>
            </w:pPr>
          </w:p>
          <w:p w14:paraId="23BA84F9">
            <w:pPr>
              <w:spacing w:line="240" w:lineRule="auto"/>
              <w:rPr>
                <w:rFonts w:hint="eastAsia" w:ascii="仿宋" w:hAnsi="仿宋" w:eastAsia="仿宋" w:cs="仿宋"/>
                <w:sz w:val="24"/>
                <w:szCs w:val="24"/>
              </w:rPr>
            </w:pPr>
          </w:p>
          <w:p w14:paraId="650088E5">
            <w:pPr>
              <w:spacing w:line="240" w:lineRule="auto"/>
              <w:rPr>
                <w:rFonts w:hint="eastAsia" w:ascii="仿宋" w:hAnsi="仿宋" w:eastAsia="仿宋" w:cs="仿宋"/>
                <w:sz w:val="24"/>
                <w:szCs w:val="24"/>
              </w:rPr>
            </w:pPr>
          </w:p>
          <w:p w14:paraId="284E2635">
            <w:pPr>
              <w:spacing w:line="240" w:lineRule="auto"/>
              <w:rPr>
                <w:rFonts w:hint="eastAsia" w:ascii="仿宋" w:hAnsi="仿宋" w:eastAsia="仿宋" w:cs="仿宋"/>
                <w:sz w:val="24"/>
                <w:szCs w:val="24"/>
              </w:rPr>
            </w:pPr>
          </w:p>
          <w:p w14:paraId="28ECAE2D">
            <w:pPr>
              <w:pStyle w:val="89"/>
              <w:spacing w:before="86" w:line="240" w:lineRule="auto"/>
              <w:ind w:left="193"/>
              <w:rPr>
                <w:rFonts w:hint="eastAsia" w:ascii="仿宋" w:hAnsi="仿宋" w:eastAsia="仿宋" w:cs="仿宋"/>
                <w:sz w:val="24"/>
                <w:szCs w:val="24"/>
              </w:rPr>
            </w:pPr>
            <w:r>
              <w:rPr>
                <w:rFonts w:hint="eastAsia" w:ascii="仿宋" w:hAnsi="仿宋" w:eastAsia="仿宋" w:cs="仿宋"/>
                <w:spacing w:val="8"/>
                <w:sz w:val="24"/>
                <w:szCs w:val="24"/>
              </w:rPr>
              <w:t>仓储能力</w:t>
            </w:r>
          </w:p>
        </w:tc>
        <w:tc>
          <w:tcPr>
            <w:tcW w:w="560" w:type="dxa"/>
            <w:vAlign w:val="top"/>
          </w:tcPr>
          <w:p w14:paraId="0E759270">
            <w:pPr>
              <w:spacing w:line="240" w:lineRule="auto"/>
              <w:rPr>
                <w:rFonts w:hint="eastAsia" w:ascii="仿宋" w:hAnsi="仿宋" w:eastAsia="仿宋" w:cs="仿宋"/>
                <w:sz w:val="24"/>
                <w:szCs w:val="24"/>
              </w:rPr>
            </w:pPr>
          </w:p>
          <w:p w14:paraId="015A2AA8">
            <w:pPr>
              <w:spacing w:line="240" w:lineRule="auto"/>
              <w:rPr>
                <w:rFonts w:hint="eastAsia" w:ascii="仿宋" w:hAnsi="仿宋" w:eastAsia="仿宋" w:cs="仿宋"/>
                <w:sz w:val="24"/>
                <w:szCs w:val="24"/>
              </w:rPr>
            </w:pPr>
          </w:p>
          <w:p w14:paraId="680A2CFF">
            <w:pPr>
              <w:spacing w:line="240" w:lineRule="auto"/>
              <w:rPr>
                <w:rFonts w:hint="eastAsia" w:ascii="仿宋" w:hAnsi="仿宋" w:eastAsia="仿宋" w:cs="仿宋"/>
                <w:sz w:val="24"/>
                <w:szCs w:val="24"/>
              </w:rPr>
            </w:pPr>
          </w:p>
          <w:p w14:paraId="3E562706">
            <w:pPr>
              <w:spacing w:line="240" w:lineRule="auto"/>
              <w:rPr>
                <w:rFonts w:hint="eastAsia" w:ascii="仿宋" w:hAnsi="仿宋" w:eastAsia="仿宋" w:cs="仿宋"/>
                <w:sz w:val="24"/>
                <w:szCs w:val="24"/>
              </w:rPr>
            </w:pPr>
          </w:p>
          <w:p w14:paraId="0FA1C05D">
            <w:pPr>
              <w:pStyle w:val="89"/>
              <w:spacing w:before="86" w:line="240" w:lineRule="auto"/>
              <w:ind w:left="245"/>
              <w:rPr>
                <w:rFonts w:hint="eastAsia" w:ascii="仿宋" w:hAnsi="仿宋" w:eastAsia="仿宋" w:cs="仿宋"/>
                <w:sz w:val="24"/>
                <w:szCs w:val="24"/>
              </w:rPr>
            </w:pPr>
            <w:r>
              <w:rPr>
                <w:rFonts w:hint="eastAsia" w:ascii="仿宋" w:hAnsi="仿宋" w:eastAsia="仿宋" w:cs="仿宋"/>
                <w:position w:val="3"/>
                <w:sz w:val="24"/>
                <w:szCs w:val="24"/>
              </w:rPr>
              <w:t>6</w:t>
            </w:r>
          </w:p>
        </w:tc>
        <w:tc>
          <w:tcPr>
            <w:tcW w:w="5739" w:type="dxa"/>
            <w:vAlign w:val="top"/>
          </w:tcPr>
          <w:p w14:paraId="2FB75C93">
            <w:pPr>
              <w:pStyle w:val="89"/>
              <w:spacing w:before="5" w:line="240" w:lineRule="auto"/>
              <w:ind w:left="105" w:right="207" w:firstLine="1"/>
              <w:rPr>
                <w:rFonts w:hint="eastAsia" w:ascii="仿宋" w:hAnsi="仿宋" w:eastAsia="仿宋" w:cs="仿宋"/>
                <w:sz w:val="24"/>
                <w:szCs w:val="24"/>
              </w:rPr>
            </w:pPr>
            <w:r>
              <w:rPr>
                <w:rFonts w:hint="eastAsia" w:ascii="仿宋" w:hAnsi="仿宋" w:eastAsia="仿宋" w:cs="仿宋"/>
                <w:spacing w:val="6"/>
                <w:sz w:val="24"/>
                <w:szCs w:val="24"/>
              </w:rPr>
              <w:t>投标人具备冷藏库、仓储，企业冷库与仓储面积5</w:t>
            </w:r>
            <w:r>
              <w:rPr>
                <w:rFonts w:hint="eastAsia" w:ascii="仿宋" w:hAnsi="仿宋" w:eastAsia="仿宋" w:cs="仿宋"/>
                <w:spacing w:val="5"/>
                <w:sz w:val="24"/>
                <w:szCs w:val="24"/>
              </w:rPr>
              <w:t>000㎡及以上得6</w:t>
            </w:r>
            <w:r>
              <w:rPr>
                <w:rFonts w:hint="eastAsia" w:ascii="仿宋" w:hAnsi="仿宋" w:eastAsia="仿宋" w:cs="仿宋"/>
                <w:spacing w:val="3"/>
                <w:sz w:val="24"/>
                <w:szCs w:val="24"/>
              </w:rPr>
              <w:t>分；</w:t>
            </w:r>
          </w:p>
          <w:p w14:paraId="119DBFF4">
            <w:pPr>
              <w:pStyle w:val="89"/>
              <w:spacing w:before="1" w:line="240" w:lineRule="auto"/>
              <w:ind w:left="105" w:right="104" w:firstLine="1"/>
              <w:rPr>
                <w:rFonts w:hint="eastAsia" w:ascii="仿宋" w:hAnsi="仿宋" w:eastAsia="仿宋" w:cs="仿宋"/>
                <w:sz w:val="24"/>
                <w:szCs w:val="24"/>
              </w:rPr>
            </w:pPr>
            <w:r>
              <w:rPr>
                <w:rFonts w:hint="eastAsia" w:ascii="仿宋" w:hAnsi="仿宋" w:eastAsia="仿宋" w:cs="仿宋"/>
                <w:spacing w:val="1"/>
                <w:sz w:val="24"/>
                <w:szCs w:val="24"/>
              </w:rPr>
              <w:t>投标人具备冷藏库、仓储，企业冷库与仓储面积2000㎡-5000㎡得3</w:t>
            </w:r>
            <w:r>
              <w:rPr>
                <w:rFonts w:hint="eastAsia" w:ascii="仿宋" w:hAnsi="仿宋" w:eastAsia="仿宋" w:cs="仿宋"/>
                <w:spacing w:val="3"/>
                <w:sz w:val="24"/>
                <w:szCs w:val="24"/>
              </w:rPr>
              <w:t>分；</w:t>
            </w:r>
          </w:p>
          <w:p w14:paraId="2866DB07">
            <w:pPr>
              <w:pStyle w:val="89"/>
              <w:spacing w:before="1" w:line="240" w:lineRule="auto"/>
              <w:ind w:left="105" w:right="104" w:firstLine="1"/>
              <w:rPr>
                <w:rFonts w:hint="eastAsia" w:ascii="仿宋" w:hAnsi="仿宋" w:eastAsia="仿宋" w:cs="仿宋"/>
                <w:sz w:val="24"/>
                <w:szCs w:val="24"/>
              </w:rPr>
            </w:pPr>
            <w:r>
              <w:rPr>
                <w:rFonts w:hint="eastAsia" w:ascii="仿宋" w:hAnsi="仿宋" w:eastAsia="仿宋" w:cs="仿宋"/>
                <w:spacing w:val="1"/>
                <w:sz w:val="24"/>
                <w:szCs w:val="24"/>
              </w:rPr>
              <w:t>投标人具备冷藏库、仓储，企业冷库与仓储面积1000㎡-2000㎡得1</w:t>
            </w:r>
            <w:r>
              <w:rPr>
                <w:rFonts w:hint="eastAsia" w:ascii="仿宋" w:hAnsi="仿宋" w:eastAsia="仿宋" w:cs="仿宋"/>
                <w:spacing w:val="5"/>
                <w:sz w:val="24"/>
                <w:szCs w:val="24"/>
              </w:rPr>
              <w:t>分。少于1000㎡不得分。</w:t>
            </w:r>
          </w:p>
          <w:p w14:paraId="79F7DFC0">
            <w:pPr>
              <w:pStyle w:val="89"/>
              <w:spacing w:before="1" w:line="240" w:lineRule="auto"/>
              <w:ind w:left="106" w:right="83"/>
              <w:jc w:val="both"/>
              <w:rPr>
                <w:rFonts w:hint="eastAsia" w:ascii="仿宋" w:hAnsi="仿宋" w:eastAsia="仿宋" w:cs="仿宋"/>
                <w:sz w:val="24"/>
                <w:szCs w:val="24"/>
              </w:rPr>
            </w:pPr>
            <w:r>
              <w:rPr>
                <w:rFonts w:hint="eastAsia" w:ascii="仿宋" w:hAnsi="仿宋" w:eastAsia="仿宋" w:cs="仿宋"/>
                <w:b/>
                <w:bCs/>
                <w:spacing w:val="9"/>
                <w:sz w:val="24"/>
                <w:szCs w:val="24"/>
              </w:rPr>
              <w:t>本项目要求投标人提供产权佐证或租赁合同文件、实景彩色照片等证明材料。并提供中标后在甲方项目所在地设置符合要求的仓库承诺书且中</w:t>
            </w:r>
            <w:r>
              <w:rPr>
                <w:rFonts w:hint="eastAsia" w:ascii="仿宋" w:hAnsi="仿宋" w:eastAsia="仿宋" w:cs="仿宋"/>
                <w:b/>
                <w:bCs/>
                <w:spacing w:val="8"/>
                <w:sz w:val="24"/>
                <w:szCs w:val="24"/>
              </w:rPr>
              <w:t>标后甲方将进行现场查验。上述资料全部提供视为一套有效证明材料，</w:t>
            </w:r>
            <w:r>
              <w:rPr>
                <w:rFonts w:hint="eastAsia" w:ascii="仿宋" w:hAnsi="仿宋" w:eastAsia="仿宋" w:cs="仿宋"/>
                <w:b/>
                <w:bCs/>
                <w:spacing w:val="9"/>
                <w:sz w:val="24"/>
                <w:szCs w:val="24"/>
              </w:rPr>
              <w:t>提供不全或未提供不得分</w:t>
            </w:r>
          </w:p>
        </w:tc>
        <w:tc>
          <w:tcPr>
            <w:tcW w:w="1204" w:type="dxa"/>
            <w:gridSpan w:val="2"/>
            <w:vMerge w:val="restart"/>
            <w:tcBorders>
              <w:bottom w:val="nil"/>
            </w:tcBorders>
            <w:vAlign w:val="top"/>
          </w:tcPr>
          <w:p w14:paraId="3052EDCF">
            <w:pPr>
              <w:spacing w:line="240" w:lineRule="auto"/>
              <w:rPr>
                <w:rFonts w:hint="eastAsia" w:ascii="仿宋" w:hAnsi="仿宋" w:eastAsia="仿宋" w:cs="仿宋"/>
                <w:sz w:val="24"/>
                <w:szCs w:val="24"/>
              </w:rPr>
            </w:pPr>
          </w:p>
        </w:tc>
      </w:tr>
      <w:tr w14:paraId="30DE07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3" w:hRule="atLeast"/>
        </w:trPr>
        <w:tc>
          <w:tcPr>
            <w:tcW w:w="793" w:type="dxa"/>
            <w:vMerge w:val="continue"/>
            <w:tcBorders>
              <w:top w:val="nil"/>
              <w:bottom w:val="nil"/>
            </w:tcBorders>
            <w:vAlign w:val="top"/>
          </w:tcPr>
          <w:p w14:paraId="521E5F34">
            <w:pPr>
              <w:spacing w:line="240" w:lineRule="auto"/>
              <w:rPr>
                <w:rFonts w:hint="eastAsia" w:ascii="仿宋" w:hAnsi="仿宋" w:eastAsia="仿宋" w:cs="仿宋"/>
                <w:sz w:val="24"/>
                <w:szCs w:val="24"/>
              </w:rPr>
            </w:pPr>
          </w:p>
        </w:tc>
        <w:tc>
          <w:tcPr>
            <w:tcW w:w="1382" w:type="dxa"/>
            <w:vAlign w:val="top"/>
          </w:tcPr>
          <w:p w14:paraId="139B904F">
            <w:pPr>
              <w:spacing w:line="240" w:lineRule="auto"/>
              <w:rPr>
                <w:rFonts w:hint="eastAsia" w:ascii="仿宋" w:hAnsi="仿宋" w:eastAsia="仿宋" w:cs="仿宋"/>
                <w:sz w:val="24"/>
                <w:szCs w:val="24"/>
              </w:rPr>
            </w:pPr>
          </w:p>
          <w:p w14:paraId="2AC91226">
            <w:pPr>
              <w:spacing w:line="240" w:lineRule="auto"/>
              <w:rPr>
                <w:rFonts w:hint="eastAsia" w:ascii="仿宋" w:hAnsi="仿宋" w:eastAsia="仿宋" w:cs="仿宋"/>
                <w:sz w:val="24"/>
                <w:szCs w:val="24"/>
              </w:rPr>
            </w:pPr>
          </w:p>
          <w:p w14:paraId="54F9F579">
            <w:pPr>
              <w:spacing w:line="240" w:lineRule="auto"/>
              <w:rPr>
                <w:rFonts w:hint="eastAsia" w:ascii="仿宋" w:hAnsi="仿宋" w:eastAsia="仿宋" w:cs="仿宋"/>
                <w:sz w:val="24"/>
                <w:szCs w:val="24"/>
              </w:rPr>
            </w:pPr>
          </w:p>
          <w:p w14:paraId="31A830C8">
            <w:pPr>
              <w:spacing w:line="240" w:lineRule="auto"/>
              <w:rPr>
                <w:rFonts w:hint="eastAsia" w:ascii="仿宋" w:hAnsi="仿宋" w:eastAsia="仿宋" w:cs="仿宋"/>
                <w:sz w:val="24"/>
                <w:szCs w:val="24"/>
              </w:rPr>
            </w:pPr>
          </w:p>
          <w:p w14:paraId="01400481">
            <w:pPr>
              <w:spacing w:line="240" w:lineRule="auto"/>
              <w:rPr>
                <w:rFonts w:hint="eastAsia" w:ascii="仿宋" w:hAnsi="仿宋" w:eastAsia="仿宋" w:cs="仿宋"/>
                <w:sz w:val="24"/>
                <w:szCs w:val="24"/>
              </w:rPr>
            </w:pPr>
          </w:p>
          <w:p w14:paraId="3955FFCA">
            <w:pPr>
              <w:pStyle w:val="89"/>
              <w:spacing w:before="86" w:line="240" w:lineRule="auto"/>
              <w:ind w:left="194"/>
              <w:rPr>
                <w:rFonts w:hint="eastAsia" w:ascii="仿宋" w:hAnsi="仿宋" w:eastAsia="仿宋" w:cs="仿宋"/>
                <w:sz w:val="24"/>
                <w:szCs w:val="24"/>
              </w:rPr>
            </w:pPr>
            <w:r>
              <w:rPr>
                <w:rFonts w:hint="eastAsia" w:ascii="仿宋" w:hAnsi="仿宋" w:eastAsia="仿宋" w:cs="仿宋"/>
                <w:spacing w:val="8"/>
                <w:sz w:val="24"/>
                <w:szCs w:val="24"/>
              </w:rPr>
              <w:t>人员安排</w:t>
            </w:r>
          </w:p>
          <w:p w14:paraId="062B39A3">
            <w:pPr>
              <w:pStyle w:val="89"/>
              <w:spacing w:before="1" w:line="240" w:lineRule="auto"/>
              <w:ind w:left="197"/>
              <w:rPr>
                <w:rFonts w:hint="eastAsia" w:ascii="仿宋" w:hAnsi="仿宋" w:eastAsia="仿宋" w:cs="仿宋"/>
                <w:sz w:val="24"/>
                <w:szCs w:val="24"/>
              </w:rPr>
            </w:pPr>
            <w:r>
              <w:rPr>
                <w:rFonts w:hint="eastAsia" w:ascii="仿宋" w:hAnsi="仿宋" w:eastAsia="仿宋" w:cs="仿宋"/>
                <w:spacing w:val="7"/>
                <w:sz w:val="24"/>
                <w:szCs w:val="24"/>
              </w:rPr>
              <w:t>配置情况</w:t>
            </w:r>
          </w:p>
        </w:tc>
        <w:tc>
          <w:tcPr>
            <w:tcW w:w="560" w:type="dxa"/>
            <w:vAlign w:val="top"/>
          </w:tcPr>
          <w:p w14:paraId="0037C5A9">
            <w:pPr>
              <w:spacing w:line="240" w:lineRule="auto"/>
              <w:rPr>
                <w:rFonts w:hint="eastAsia" w:ascii="仿宋" w:hAnsi="仿宋" w:eastAsia="仿宋" w:cs="仿宋"/>
                <w:sz w:val="24"/>
                <w:szCs w:val="24"/>
              </w:rPr>
            </w:pPr>
          </w:p>
          <w:p w14:paraId="73BD5460">
            <w:pPr>
              <w:spacing w:line="240" w:lineRule="auto"/>
              <w:rPr>
                <w:rFonts w:hint="eastAsia" w:ascii="仿宋" w:hAnsi="仿宋" w:eastAsia="仿宋" w:cs="仿宋"/>
                <w:sz w:val="24"/>
                <w:szCs w:val="24"/>
              </w:rPr>
            </w:pPr>
          </w:p>
          <w:p w14:paraId="3FEF6A09">
            <w:pPr>
              <w:spacing w:line="240" w:lineRule="auto"/>
              <w:rPr>
                <w:rFonts w:hint="eastAsia" w:ascii="仿宋" w:hAnsi="仿宋" w:eastAsia="仿宋" w:cs="仿宋"/>
                <w:sz w:val="24"/>
                <w:szCs w:val="24"/>
              </w:rPr>
            </w:pPr>
          </w:p>
          <w:p w14:paraId="3EE415F6">
            <w:pPr>
              <w:spacing w:line="240" w:lineRule="auto"/>
              <w:rPr>
                <w:rFonts w:hint="eastAsia" w:ascii="仿宋" w:hAnsi="仿宋" w:eastAsia="仿宋" w:cs="仿宋"/>
                <w:sz w:val="24"/>
                <w:szCs w:val="24"/>
              </w:rPr>
            </w:pPr>
          </w:p>
          <w:p w14:paraId="4274ACE7">
            <w:pPr>
              <w:spacing w:line="240" w:lineRule="auto"/>
              <w:rPr>
                <w:rFonts w:hint="eastAsia" w:ascii="仿宋" w:hAnsi="仿宋" w:eastAsia="仿宋" w:cs="仿宋"/>
                <w:sz w:val="24"/>
                <w:szCs w:val="24"/>
              </w:rPr>
            </w:pPr>
          </w:p>
          <w:p w14:paraId="689DBB07">
            <w:pPr>
              <w:spacing w:line="240" w:lineRule="auto"/>
              <w:rPr>
                <w:rFonts w:hint="eastAsia" w:ascii="仿宋" w:hAnsi="仿宋" w:eastAsia="仿宋" w:cs="仿宋"/>
                <w:sz w:val="24"/>
                <w:szCs w:val="24"/>
              </w:rPr>
            </w:pPr>
          </w:p>
          <w:p w14:paraId="02311D59">
            <w:pPr>
              <w:pStyle w:val="89"/>
              <w:spacing w:before="86" w:line="240" w:lineRule="auto"/>
              <w:ind w:left="192"/>
              <w:rPr>
                <w:rFonts w:hint="eastAsia" w:ascii="仿宋" w:hAnsi="仿宋" w:eastAsia="仿宋" w:cs="仿宋"/>
                <w:sz w:val="24"/>
                <w:szCs w:val="24"/>
              </w:rPr>
            </w:pPr>
            <w:r>
              <w:rPr>
                <w:rFonts w:hint="eastAsia" w:ascii="仿宋" w:hAnsi="仿宋" w:eastAsia="仿宋" w:cs="仿宋"/>
                <w:spacing w:val="-5"/>
                <w:position w:val="3"/>
                <w:sz w:val="24"/>
                <w:szCs w:val="24"/>
              </w:rPr>
              <w:t>10</w:t>
            </w:r>
          </w:p>
        </w:tc>
        <w:tc>
          <w:tcPr>
            <w:tcW w:w="5739" w:type="dxa"/>
            <w:vAlign w:val="top"/>
          </w:tcPr>
          <w:p w14:paraId="6E81022D">
            <w:pPr>
              <w:pStyle w:val="89"/>
              <w:spacing w:before="71" w:line="240" w:lineRule="auto"/>
              <w:ind w:left="106" w:right="102" w:firstLine="15"/>
              <w:jc w:val="both"/>
              <w:rPr>
                <w:rFonts w:hint="eastAsia" w:ascii="仿宋" w:hAnsi="仿宋" w:eastAsia="仿宋" w:cs="仿宋"/>
                <w:sz w:val="24"/>
                <w:szCs w:val="24"/>
                <w:lang w:eastAsia="zh-CN"/>
              </w:rPr>
            </w:pPr>
            <w:r>
              <w:rPr>
                <w:rFonts w:hint="eastAsia" w:ascii="仿宋" w:hAnsi="仿宋" w:eastAsia="仿宋" w:cs="仿宋"/>
                <w:spacing w:val="3"/>
                <w:sz w:val="24"/>
                <w:szCs w:val="24"/>
              </w:rPr>
              <w:t>1.为确保食品安全、及时处理食材订单、核对账目、食材配送等工作顺利开展，以保障学校（幼儿园）按时供餐，需配备专职的工作人员，</w:t>
            </w:r>
            <w:r>
              <w:rPr>
                <w:rFonts w:hint="eastAsia" w:ascii="仿宋" w:hAnsi="仿宋" w:eastAsia="仿宋" w:cs="仿宋"/>
                <w:spacing w:val="8"/>
                <w:sz w:val="24"/>
                <w:szCs w:val="24"/>
              </w:rPr>
              <w:t>并明确职责分工</w:t>
            </w:r>
            <w:r>
              <w:rPr>
                <w:rFonts w:hint="eastAsia" w:cs="仿宋"/>
                <w:spacing w:val="8"/>
                <w:sz w:val="24"/>
                <w:szCs w:val="24"/>
                <w:lang w:eastAsia="zh-CN"/>
              </w:rPr>
              <w:t>：</w:t>
            </w:r>
          </w:p>
          <w:p w14:paraId="0C6D2EB9">
            <w:pPr>
              <w:pStyle w:val="89"/>
              <w:spacing w:before="34" w:line="240" w:lineRule="auto"/>
              <w:ind w:left="107"/>
              <w:rPr>
                <w:rFonts w:hint="eastAsia" w:ascii="仿宋" w:hAnsi="仿宋" w:eastAsia="仿宋" w:cs="仿宋"/>
                <w:sz w:val="24"/>
                <w:szCs w:val="24"/>
              </w:rPr>
            </w:pPr>
            <w:r>
              <w:rPr>
                <w:rFonts w:hint="eastAsia" w:ascii="仿宋" w:hAnsi="仿宋" w:eastAsia="仿宋" w:cs="仿宋"/>
                <w:spacing w:val="3"/>
                <w:sz w:val="24"/>
                <w:szCs w:val="24"/>
              </w:rPr>
              <w:t>投入本项目配送人员≥30人，得6分</w:t>
            </w:r>
            <w:r>
              <w:rPr>
                <w:rFonts w:hint="eastAsia" w:cs="仿宋"/>
                <w:spacing w:val="3"/>
                <w:sz w:val="24"/>
                <w:szCs w:val="24"/>
                <w:lang w:eastAsia="zh-CN"/>
              </w:rPr>
              <w:t>；</w:t>
            </w:r>
            <w:r>
              <w:rPr>
                <w:rFonts w:hint="eastAsia" w:ascii="仿宋" w:hAnsi="仿宋" w:eastAsia="仿宋" w:cs="仿宋"/>
                <w:spacing w:val="5"/>
                <w:sz w:val="24"/>
                <w:szCs w:val="24"/>
              </w:rPr>
              <w:t>投入本项目配送人员&lt;30人但≥10人</w:t>
            </w:r>
            <w:r>
              <w:rPr>
                <w:rFonts w:hint="eastAsia" w:ascii="仿宋" w:hAnsi="仿宋" w:eastAsia="仿宋" w:cs="仿宋"/>
                <w:spacing w:val="4"/>
                <w:sz w:val="24"/>
                <w:szCs w:val="24"/>
              </w:rPr>
              <w:t>，得3分</w:t>
            </w:r>
            <w:r>
              <w:rPr>
                <w:rFonts w:hint="eastAsia" w:cs="仿宋"/>
                <w:spacing w:val="4"/>
                <w:sz w:val="24"/>
                <w:szCs w:val="24"/>
                <w:lang w:eastAsia="zh-CN"/>
              </w:rPr>
              <w:t>；</w:t>
            </w:r>
            <w:r>
              <w:rPr>
                <w:rFonts w:hint="eastAsia" w:ascii="仿宋" w:hAnsi="仿宋" w:eastAsia="仿宋" w:cs="仿宋"/>
                <w:spacing w:val="4"/>
                <w:sz w:val="24"/>
                <w:szCs w:val="24"/>
              </w:rPr>
              <w:t>投入本项目配送人员&lt;10人，得1分。</w:t>
            </w:r>
          </w:p>
          <w:p w14:paraId="0DA49F47">
            <w:pPr>
              <w:pStyle w:val="89"/>
              <w:spacing w:before="1" w:line="240" w:lineRule="auto"/>
              <w:ind w:left="105" w:right="150" w:firstLine="8"/>
              <w:jc w:val="both"/>
              <w:rPr>
                <w:rFonts w:hint="eastAsia" w:ascii="仿宋" w:hAnsi="仿宋" w:eastAsia="仿宋" w:cs="仿宋"/>
                <w:sz w:val="24"/>
                <w:szCs w:val="24"/>
              </w:rPr>
            </w:pPr>
            <w:r>
              <w:rPr>
                <w:rFonts w:hint="eastAsia" w:ascii="仿宋" w:hAnsi="仿宋" w:eastAsia="仿宋" w:cs="仿宋"/>
                <w:spacing w:val="11"/>
                <w:sz w:val="24"/>
                <w:szCs w:val="24"/>
              </w:rPr>
              <w:t>2.投标人配齐食品安全总监和食品质量</w:t>
            </w:r>
            <w:r>
              <w:rPr>
                <w:rFonts w:hint="eastAsia" w:cs="仿宋"/>
                <w:spacing w:val="11"/>
                <w:sz w:val="24"/>
                <w:szCs w:val="24"/>
                <w:lang w:val="en-US" w:eastAsia="zh-CN"/>
              </w:rPr>
              <w:t>检验</w:t>
            </w:r>
            <w:r>
              <w:rPr>
                <w:rFonts w:hint="eastAsia" w:ascii="仿宋" w:hAnsi="仿宋" w:eastAsia="仿宋" w:cs="仿宋"/>
                <w:spacing w:val="11"/>
                <w:sz w:val="24"/>
                <w:szCs w:val="24"/>
              </w:rPr>
              <w:t>员，专门负责食品安全工</w:t>
            </w:r>
            <w:r>
              <w:rPr>
                <w:rFonts w:hint="eastAsia" w:ascii="仿宋" w:hAnsi="仿宋" w:eastAsia="仿宋" w:cs="仿宋"/>
                <w:spacing w:val="-2"/>
                <w:sz w:val="24"/>
                <w:szCs w:val="24"/>
              </w:rPr>
              <w:t>作，配备1名食品安全总监（2分</w:t>
            </w:r>
            <w:r>
              <w:rPr>
                <w:rFonts w:hint="eastAsia" w:ascii="仿宋" w:hAnsi="仿宋" w:eastAsia="仿宋" w:cs="仿宋"/>
                <w:spacing w:val="-40"/>
                <w:w w:val="90"/>
                <w:sz w:val="24"/>
                <w:szCs w:val="24"/>
              </w:rPr>
              <w:t>）；</w:t>
            </w:r>
            <w:r>
              <w:rPr>
                <w:rFonts w:hint="eastAsia" w:ascii="仿宋" w:hAnsi="仿宋" w:eastAsia="仿宋" w:cs="仿宋"/>
                <w:spacing w:val="-2"/>
                <w:sz w:val="24"/>
                <w:szCs w:val="24"/>
              </w:rPr>
              <w:t>配备一名食品质量</w:t>
            </w:r>
            <w:r>
              <w:rPr>
                <w:rFonts w:hint="eastAsia" w:cs="仿宋"/>
                <w:spacing w:val="-2"/>
                <w:sz w:val="24"/>
                <w:szCs w:val="24"/>
                <w:lang w:val="en-US" w:eastAsia="zh-CN"/>
              </w:rPr>
              <w:t>检验</w:t>
            </w:r>
            <w:r>
              <w:rPr>
                <w:rFonts w:hint="eastAsia" w:ascii="仿宋" w:hAnsi="仿宋" w:eastAsia="仿宋" w:cs="仿宋"/>
                <w:spacing w:val="-2"/>
                <w:sz w:val="24"/>
                <w:szCs w:val="24"/>
              </w:rPr>
              <w:t>员（2分</w:t>
            </w:r>
            <w:r>
              <w:rPr>
                <w:rFonts w:hint="eastAsia" w:ascii="仿宋" w:hAnsi="仿宋" w:eastAsia="仿宋" w:cs="仿宋"/>
                <w:spacing w:val="-3"/>
                <w:sz w:val="24"/>
                <w:szCs w:val="24"/>
              </w:rPr>
              <w:t>）。</w:t>
            </w:r>
            <w:r>
              <w:rPr>
                <w:rFonts w:hint="eastAsia" w:ascii="仿宋" w:hAnsi="仿宋" w:eastAsia="仿宋" w:cs="仿宋"/>
                <w:spacing w:val="4"/>
                <w:sz w:val="24"/>
                <w:szCs w:val="24"/>
              </w:rPr>
              <w:t>满分4分。</w:t>
            </w:r>
          </w:p>
          <w:p w14:paraId="7290728F">
            <w:pPr>
              <w:pStyle w:val="89"/>
              <w:spacing w:before="2" w:line="240" w:lineRule="auto"/>
              <w:ind w:left="106" w:right="108"/>
              <w:jc w:val="both"/>
              <w:rPr>
                <w:rFonts w:hint="eastAsia" w:ascii="仿宋" w:hAnsi="仿宋" w:eastAsia="仿宋" w:cs="仿宋"/>
                <w:sz w:val="24"/>
                <w:szCs w:val="24"/>
              </w:rPr>
            </w:pPr>
            <w:r>
              <w:rPr>
                <w:rFonts w:hint="eastAsia" w:ascii="仿宋" w:hAnsi="仿宋" w:eastAsia="仿宋" w:cs="仿宋"/>
                <w:b/>
                <w:bCs/>
                <w:spacing w:val="6"/>
                <w:sz w:val="24"/>
                <w:szCs w:val="24"/>
              </w:rPr>
              <w:t>注：</w:t>
            </w:r>
            <w:r>
              <w:rPr>
                <w:rFonts w:hint="eastAsia" w:cs="仿宋"/>
                <w:b/>
                <w:bCs/>
                <w:spacing w:val="6"/>
                <w:sz w:val="24"/>
                <w:szCs w:val="24"/>
                <w:lang w:val="en-US" w:eastAsia="zh-CN"/>
              </w:rPr>
              <w:t>以上人员</w:t>
            </w:r>
            <w:r>
              <w:rPr>
                <w:rFonts w:hint="eastAsia" w:ascii="仿宋" w:hAnsi="仿宋" w:eastAsia="仿宋" w:cs="仿宋"/>
                <w:b/>
                <w:bCs/>
                <w:spacing w:val="6"/>
                <w:sz w:val="24"/>
                <w:szCs w:val="24"/>
              </w:rPr>
              <w:t>须提供人员</w:t>
            </w:r>
            <w:r>
              <w:rPr>
                <w:rFonts w:hint="eastAsia" w:cs="仿宋"/>
                <w:b/>
                <w:bCs/>
                <w:spacing w:val="6"/>
                <w:sz w:val="24"/>
                <w:szCs w:val="24"/>
                <w:lang w:val="en-US" w:eastAsia="zh-CN"/>
              </w:rPr>
              <w:t>近3个月</w:t>
            </w:r>
            <w:r>
              <w:rPr>
                <w:rFonts w:hint="eastAsia" w:ascii="仿宋" w:hAnsi="仿宋" w:eastAsia="仿宋" w:cs="仿宋"/>
                <w:b/>
                <w:bCs/>
                <w:spacing w:val="6"/>
                <w:sz w:val="24"/>
                <w:szCs w:val="24"/>
              </w:rPr>
              <w:t>的社保、有效期内</w:t>
            </w:r>
            <w:r>
              <w:rPr>
                <w:rFonts w:hint="eastAsia" w:ascii="仿宋" w:hAnsi="仿宋" w:eastAsia="仿宋" w:cs="仿宋"/>
                <w:b/>
                <w:bCs/>
                <w:spacing w:val="5"/>
                <w:sz w:val="24"/>
                <w:szCs w:val="24"/>
              </w:rPr>
              <w:t>的健康证明、劳务合同、</w:t>
            </w:r>
            <w:r>
              <w:rPr>
                <w:rFonts w:hint="eastAsia" w:ascii="仿宋" w:hAnsi="仿宋" w:eastAsia="仿宋" w:cs="仿宋"/>
                <w:b/>
                <w:bCs/>
                <w:spacing w:val="9"/>
                <w:sz w:val="24"/>
                <w:szCs w:val="24"/>
              </w:rPr>
              <w:t>身份证、联系方式等相关资料。</w:t>
            </w:r>
            <w:r>
              <w:rPr>
                <w:rFonts w:hint="eastAsia" w:ascii="仿宋" w:hAnsi="仿宋" w:eastAsia="仿宋" w:cs="仿宋"/>
                <w:b/>
                <w:bCs/>
                <w:spacing w:val="8"/>
                <w:sz w:val="24"/>
                <w:szCs w:val="24"/>
              </w:rPr>
              <w:t>提供不全或不提供不得分。</w:t>
            </w:r>
          </w:p>
        </w:tc>
        <w:tc>
          <w:tcPr>
            <w:tcW w:w="1204" w:type="dxa"/>
            <w:gridSpan w:val="2"/>
            <w:vMerge w:val="continue"/>
            <w:tcBorders>
              <w:top w:val="nil"/>
            </w:tcBorders>
            <w:vAlign w:val="top"/>
          </w:tcPr>
          <w:p w14:paraId="475DE674">
            <w:pPr>
              <w:spacing w:line="240" w:lineRule="auto"/>
              <w:rPr>
                <w:rFonts w:hint="eastAsia" w:ascii="仿宋" w:hAnsi="仿宋" w:eastAsia="仿宋" w:cs="仿宋"/>
                <w:sz w:val="24"/>
                <w:szCs w:val="24"/>
              </w:rPr>
            </w:pPr>
          </w:p>
        </w:tc>
      </w:tr>
      <w:tr w14:paraId="7DFA18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1825" w:hRule="atLeast"/>
        </w:trPr>
        <w:tc>
          <w:tcPr>
            <w:tcW w:w="793" w:type="dxa"/>
            <w:vMerge w:val="continue"/>
            <w:tcBorders>
              <w:top w:val="nil"/>
            </w:tcBorders>
            <w:vAlign w:val="top"/>
          </w:tcPr>
          <w:p w14:paraId="2B2D26A3">
            <w:pPr>
              <w:spacing w:line="240" w:lineRule="auto"/>
              <w:rPr>
                <w:rFonts w:hint="eastAsia" w:ascii="仿宋" w:hAnsi="仿宋" w:eastAsia="仿宋" w:cs="仿宋"/>
                <w:sz w:val="24"/>
                <w:szCs w:val="24"/>
              </w:rPr>
            </w:pPr>
          </w:p>
        </w:tc>
        <w:tc>
          <w:tcPr>
            <w:tcW w:w="1382" w:type="dxa"/>
            <w:vAlign w:val="top"/>
          </w:tcPr>
          <w:p w14:paraId="77E0D0A2">
            <w:pPr>
              <w:spacing w:line="240" w:lineRule="auto"/>
              <w:rPr>
                <w:rFonts w:hint="eastAsia" w:ascii="仿宋" w:hAnsi="仿宋" w:eastAsia="仿宋" w:cs="仿宋"/>
                <w:sz w:val="24"/>
                <w:szCs w:val="24"/>
              </w:rPr>
            </w:pPr>
          </w:p>
          <w:p w14:paraId="55DBCCEF">
            <w:pPr>
              <w:spacing w:line="240" w:lineRule="auto"/>
              <w:rPr>
                <w:rFonts w:hint="eastAsia" w:ascii="仿宋" w:hAnsi="仿宋" w:eastAsia="仿宋" w:cs="仿宋"/>
                <w:sz w:val="24"/>
                <w:szCs w:val="24"/>
              </w:rPr>
            </w:pPr>
          </w:p>
          <w:p w14:paraId="36A79F36">
            <w:pPr>
              <w:spacing w:line="240" w:lineRule="auto"/>
              <w:rPr>
                <w:rFonts w:hint="eastAsia" w:ascii="仿宋" w:hAnsi="仿宋" w:eastAsia="仿宋" w:cs="仿宋"/>
                <w:sz w:val="24"/>
                <w:szCs w:val="24"/>
              </w:rPr>
            </w:pPr>
          </w:p>
          <w:p w14:paraId="1A4A8BAE">
            <w:pPr>
              <w:pStyle w:val="89"/>
              <w:spacing w:before="86" w:line="240" w:lineRule="auto"/>
              <w:ind w:left="192"/>
              <w:rPr>
                <w:rFonts w:hint="eastAsia" w:ascii="仿宋" w:hAnsi="仿宋" w:eastAsia="仿宋" w:cs="仿宋"/>
                <w:sz w:val="24"/>
                <w:szCs w:val="24"/>
              </w:rPr>
            </w:pPr>
            <w:r>
              <w:rPr>
                <w:rFonts w:hint="eastAsia" w:ascii="仿宋" w:hAnsi="仿宋" w:eastAsia="仿宋" w:cs="仿宋"/>
                <w:spacing w:val="9"/>
                <w:sz w:val="24"/>
                <w:szCs w:val="24"/>
              </w:rPr>
              <w:t>售后服务</w:t>
            </w:r>
          </w:p>
        </w:tc>
        <w:tc>
          <w:tcPr>
            <w:tcW w:w="560" w:type="dxa"/>
            <w:vAlign w:val="top"/>
          </w:tcPr>
          <w:p w14:paraId="1D96ED87">
            <w:pPr>
              <w:spacing w:line="240" w:lineRule="auto"/>
              <w:rPr>
                <w:rFonts w:hint="eastAsia" w:ascii="仿宋" w:hAnsi="仿宋" w:eastAsia="仿宋" w:cs="仿宋"/>
                <w:sz w:val="24"/>
                <w:szCs w:val="24"/>
              </w:rPr>
            </w:pPr>
          </w:p>
          <w:p w14:paraId="1D1B960A">
            <w:pPr>
              <w:spacing w:line="240" w:lineRule="auto"/>
              <w:rPr>
                <w:rFonts w:hint="eastAsia" w:ascii="仿宋" w:hAnsi="仿宋" w:eastAsia="仿宋" w:cs="仿宋"/>
                <w:sz w:val="24"/>
                <w:szCs w:val="24"/>
              </w:rPr>
            </w:pPr>
          </w:p>
          <w:p w14:paraId="7CF465D7">
            <w:pPr>
              <w:spacing w:line="240" w:lineRule="auto"/>
              <w:rPr>
                <w:rFonts w:hint="eastAsia" w:ascii="仿宋" w:hAnsi="仿宋" w:eastAsia="仿宋" w:cs="仿宋"/>
                <w:sz w:val="24"/>
                <w:szCs w:val="24"/>
              </w:rPr>
            </w:pPr>
          </w:p>
          <w:p w14:paraId="2678823E">
            <w:pPr>
              <w:pStyle w:val="89"/>
              <w:spacing w:before="86" w:line="240" w:lineRule="auto"/>
              <w:ind w:left="235"/>
              <w:rPr>
                <w:rFonts w:hint="eastAsia" w:ascii="仿宋" w:hAnsi="仿宋" w:eastAsia="仿宋" w:cs="仿宋"/>
                <w:sz w:val="24"/>
                <w:szCs w:val="24"/>
              </w:rPr>
            </w:pPr>
            <w:r>
              <w:rPr>
                <w:rFonts w:hint="eastAsia" w:ascii="仿宋" w:hAnsi="仿宋" w:eastAsia="仿宋" w:cs="仿宋"/>
                <w:spacing w:val="3"/>
                <w:position w:val="3"/>
                <w:sz w:val="24"/>
                <w:szCs w:val="24"/>
              </w:rPr>
              <w:t>4</w:t>
            </w:r>
          </w:p>
        </w:tc>
        <w:tc>
          <w:tcPr>
            <w:tcW w:w="5739" w:type="dxa"/>
            <w:vAlign w:val="top"/>
          </w:tcPr>
          <w:p w14:paraId="593E000F">
            <w:pPr>
              <w:pStyle w:val="89"/>
              <w:numPr>
                <w:ilvl w:val="0"/>
                <w:numId w:val="11"/>
              </w:numPr>
              <w:spacing w:before="31" w:line="240" w:lineRule="auto"/>
              <w:ind w:left="105" w:right="105"/>
              <w:jc w:val="both"/>
              <w:rPr>
                <w:rFonts w:hint="eastAsia" w:ascii="仿宋" w:hAnsi="仿宋" w:eastAsia="仿宋" w:cs="仿宋"/>
                <w:spacing w:val="-20"/>
                <w:sz w:val="24"/>
                <w:szCs w:val="24"/>
              </w:rPr>
            </w:pPr>
            <w:r>
              <w:rPr>
                <w:rFonts w:hint="eastAsia" w:ascii="仿宋" w:hAnsi="仿宋" w:eastAsia="仿宋" w:cs="仿宋"/>
                <w:spacing w:val="11"/>
                <w:sz w:val="24"/>
                <w:szCs w:val="24"/>
              </w:rPr>
              <w:t>换货的人员保障，方案上要有专职售后服务回访、退</w:t>
            </w:r>
            <w:r>
              <w:rPr>
                <w:rFonts w:hint="eastAsia" w:ascii="仿宋" w:hAnsi="仿宋" w:eastAsia="仿宋" w:cs="仿宋"/>
                <w:spacing w:val="10"/>
                <w:sz w:val="24"/>
                <w:szCs w:val="24"/>
              </w:rPr>
              <w:t>还需求处理人</w:t>
            </w:r>
            <w:r>
              <w:rPr>
                <w:rFonts w:hint="eastAsia" w:ascii="仿宋" w:hAnsi="仿宋" w:eastAsia="仿宋" w:cs="仿宋"/>
                <w:spacing w:val="3"/>
                <w:sz w:val="24"/>
                <w:szCs w:val="24"/>
              </w:rPr>
              <w:t>员，有专职处理人员≧5人得2分（提供</w:t>
            </w:r>
            <w:r>
              <w:rPr>
                <w:rFonts w:hint="eastAsia" w:cs="仿宋"/>
                <w:spacing w:val="3"/>
                <w:sz w:val="24"/>
                <w:szCs w:val="24"/>
                <w:lang w:eastAsia="zh-CN"/>
              </w:rPr>
              <w:t>近</w:t>
            </w:r>
            <w:r>
              <w:rPr>
                <w:rFonts w:hint="eastAsia" w:cs="仿宋"/>
                <w:spacing w:val="3"/>
                <w:sz w:val="24"/>
                <w:szCs w:val="24"/>
                <w:lang w:val="en-US" w:eastAsia="zh-CN"/>
              </w:rPr>
              <w:t>3个月的社保</w:t>
            </w:r>
            <w:r>
              <w:rPr>
                <w:rFonts w:hint="eastAsia" w:ascii="仿宋" w:hAnsi="仿宋" w:eastAsia="仿宋" w:cs="仿宋"/>
                <w:spacing w:val="3"/>
                <w:sz w:val="24"/>
                <w:szCs w:val="24"/>
              </w:rPr>
              <w:t>证明文件</w:t>
            </w:r>
            <w:r>
              <w:rPr>
                <w:rFonts w:hint="eastAsia" w:ascii="仿宋" w:hAnsi="仿宋" w:eastAsia="仿宋" w:cs="仿宋"/>
                <w:spacing w:val="2"/>
                <w:sz w:val="24"/>
                <w:szCs w:val="24"/>
              </w:rPr>
              <w:t>，未</w:t>
            </w:r>
            <w:r>
              <w:rPr>
                <w:rFonts w:hint="eastAsia" w:ascii="仿宋" w:hAnsi="仿宋" w:eastAsia="仿宋" w:cs="仿宋"/>
                <w:spacing w:val="9"/>
                <w:sz w:val="24"/>
                <w:szCs w:val="24"/>
              </w:rPr>
              <w:t>提供不得分</w:t>
            </w:r>
            <w:r>
              <w:rPr>
                <w:rFonts w:hint="eastAsia" w:ascii="仿宋" w:hAnsi="仿宋" w:eastAsia="仿宋" w:cs="仿宋"/>
                <w:spacing w:val="-20"/>
                <w:sz w:val="24"/>
                <w:szCs w:val="24"/>
              </w:rPr>
              <w:t>）</w:t>
            </w:r>
          </w:p>
          <w:p w14:paraId="4024A10D">
            <w:pPr>
              <w:pStyle w:val="89"/>
              <w:numPr>
                <w:ilvl w:val="0"/>
                <w:numId w:val="0"/>
              </w:numPr>
              <w:spacing w:before="31" w:line="240" w:lineRule="auto"/>
              <w:ind w:right="105" w:rightChars="0"/>
              <w:jc w:val="both"/>
              <w:rPr>
                <w:rFonts w:hint="eastAsia" w:ascii="仿宋" w:hAnsi="仿宋" w:eastAsia="仿宋" w:cs="仿宋"/>
                <w:sz w:val="24"/>
                <w:szCs w:val="24"/>
                <w:lang w:eastAsia="zh-CN"/>
              </w:rPr>
            </w:pPr>
            <w:r>
              <w:rPr>
                <w:rFonts w:hint="eastAsia" w:cs="仿宋"/>
                <w:spacing w:val="-20"/>
                <w:sz w:val="24"/>
                <w:szCs w:val="24"/>
                <w:lang w:val="en-US" w:eastAsia="zh-CN"/>
              </w:rPr>
              <w:t>2、</w:t>
            </w:r>
            <w:r>
              <w:rPr>
                <w:rFonts w:hint="eastAsia" w:ascii="仿宋" w:hAnsi="仿宋" w:eastAsia="仿宋" w:cs="仿宋"/>
                <w:spacing w:val="9"/>
                <w:sz w:val="24"/>
                <w:szCs w:val="24"/>
              </w:rPr>
              <w:t>退换货方案完整，对本项目具有</w:t>
            </w:r>
            <w:r>
              <w:rPr>
                <w:rFonts w:hint="eastAsia" w:ascii="仿宋" w:hAnsi="仿宋" w:eastAsia="仿宋" w:cs="仿宋"/>
                <w:spacing w:val="8"/>
                <w:sz w:val="24"/>
                <w:szCs w:val="24"/>
              </w:rPr>
              <w:t>建设性意见，得2</w:t>
            </w:r>
            <w:r>
              <w:rPr>
                <w:rFonts w:hint="eastAsia" w:ascii="仿宋" w:hAnsi="仿宋" w:eastAsia="仿宋" w:cs="仿宋"/>
                <w:spacing w:val="-2"/>
                <w:sz w:val="24"/>
                <w:szCs w:val="24"/>
              </w:rPr>
              <w:t>分，</w:t>
            </w:r>
            <w:r>
              <w:rPr>
                <w:rFonts w:hint="eastAsia" w:cs="仿宋"/>
                <w:spacing w:val="-2"/>
                <w:sz w:val="24"/>
                <w:szCs w:val="24"/>
                <w:lang w:val="en-US" w:eastAsia="zh-CN"/>
              </w:rPr>
              <w:t>满分</w:t>
            </w:r>
            <w:r>
              <w:rPr>
                <w:rFonts w:hint="eastAsia" w:ascii="仿宋" w:hAnsi="仿宋" w:eastAsia="仿宋" w:cs="仿宋"/>
                <w:spacing w:val="-2"/>
                <w:sz w:val="24"/>
                <w:szCs w:val="24"/>
              </w:rPr>
              <w:t>4分；</w:t>
            </w:r>
            <w:r>
              <w:rPr>
                <w:rFonts w:hint="eastAsia" w:ascii="仿宋" w:hAnsi="仿宋" w:eastAsia="仿宋" w:cs="仿宋"/>
                <w:spacing w:val="1"/>
                <w:sz w:val="24"/>
                <w:szCs w:val="24"/>
              </w:rPr>
              <w:t>不提供不得分</w:t>
            </w:r>
            <w:r>
              <w:rPr>
                <w:rFonts w:hint="eastAsia" w:cs="仿宋"/>
                <w:spacing w:val="1"/>
                <w:sz w:val="24"/>
                <w:szCs w:val="24"/>
                <w:lang w:eastAsia="zh-CN"/>
              </w:rPr>
              <w:t>。</w:t>
            </w:r>
          </w:p>
        </w:tc>
        <w:tc>
          <w:tcPr>
            <w:tcW w:w="1201" w:type="dxa"/>
            <w:vAlign w:val="top"/>
          </w:tcPr>
          <w:p w14:paraId="6E468431">
            <w:pPr>
              <w:spacing w:line="240" w:lineRule="auto"/>
              <w:rPr>
                <w:rFonts w:hint="eastAsia" w:ascii="仿宋" w:hAnsi="仿宋" w:eastAsia="仿宋" w:cs="仿宋"/>
                <w:sz w:val="24"/>
                <w:szCs w:val="24"/>
              </w:rPr>
            </w:pPr>
          </w:p>
        </w:tc>
      </w:tr>
      <w:tr w14:paraId="6031E7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1003" w:hRule="atLeast"/>
        </w:trPr>
        <w:tc>
          <w:tcPr>
            <w:tcW w:w="9675" w:type="dxa"/>
            <w:gridSpan w:val="5"/>
            <w:vAlign w:val="center"/>
          </w:tcPr>
          <w:p w14:paraId="2D5AE69C">
            <w:pPr>
              <w:pStyle w:val="89"/>
              <w:spacing w:before="67" w:line="240" w:lineRule="auto"/>
              <w:ind w:left="111" w:right="184" w:firstLine="1"/>
              <w:jc w:val="center"/>
              <w:rPr>
                <w:rFonts w:hint="eastAsia" w:ascii="仿宋" w:hAnsi="仿宋" w:eastAsia="仿宋" w:cs="仿宋"/>
                <w:sz w:val="24"/>
                <w:szCs w:val="24"/>
              </w:rPr>
            </w:pPr>
            <w:r>
              <w:rPr>
                <w:rFonts w:hint="eastAsia" w:ascii="仿宋" w:hAnsi="仿宋" w:eastAsia="仿宋" w:cs="仿宋"/>
                <w:spacing w:val="7"/>
                <w:sz w:val="24"/>
                <w:szCs w:val="24"/>
              </w:rPr>
              <w:t>上述评分细则中，“不具体”系指只做了简要分析，并未结合本项目采购需</w:t>
            </w:r>
            <w:r>
              <w:rPr>
                <w:rFonts w:hint="eastAsia" w:ascii="仿宋" w:hAnsi="仿宋" w:eastAsia="仿宋" w:cs="仿宋"/>
                <w:spacing w:val="6"/>
                <w:sz w:val="24"/>
                <w:szCs w:val="24"/>
              </w:rPr>
              <w:t>求的实际情况和服务要求做详细的</w:t>
            </w:r>
            <w:r>
              <w:rPr>
                <w:rFonts w:hint="eastAsia" w:ascii="仿宋" w:hAnsi="仿宋" w:eastAsia="仿宋" w:cs="仿宋"/>
                <w:spacing w:val="9"/>
                <w:sz w:val="24"/>
                <w:szCs w:val="24"/>
              </w:rPr>
              <w:t>论述或提出解决方案等不具体情形。</w:t>
            </w:r>
          </w:p>
        </w:tc>
      </w:tr>
    </w:tbl>
    <w:p w14:paraId="67D2AF2F"/>
    <w:p w14:paraId="55056C53">
      <w:pPr>
        <w:pStyle w:val="15"/>
        <w:adjustRightInd w:val="0"/>
        <w:snapToGrid w:val="0"/>
        <w:spacing w:line="682" w:lineRule="exact"/>
        <w:jc w:val="center"/>
        <w:rPr>
          <w:rFonts w:hint="eastAsia" w:ascii="方正小标宋简体" w:hAnsi="宋体" w:eastAsia="方正小标宋简体" w:cs="宋体"/>
          <w:color w:val="000000"/>
          <w:sz w:val="48"/>
          <w:szCs w:val="48"/>
          <w:lang w:eastAsia="zh-CN"/>
        </w:rPr>
      </w:pPr>
      <w:r>
        <w:rPr>
          <w:rFonts w:hint="eastAsia" w:ascii="方正小标宋简体" w:hAnsi="宋体" w:eastAsia="方正小标宋简体" w:cs="宋体"/>
          <w:color w:val="000000"/>
          <w:sz w:val="48"/>
          <w:szCs w:val="48"/>
          <w:lang w:eastAsia="zh-CN"/>
        </w:rPr>
        <w:br w:type="page"/>
      </w:r>
      <w:r>
        <w:rPr>
          <w:rFonts w:hint="eastAsia" w:ascii="方正小标宋简体" w:hAnsi="宋体" w:eastAsia="方正小标宋简体" w:cs="宋体"/>
          <w:color w:val="000000"/>
          <w:sz w:val="48"/>
          <w:szCs w:val="48"/>
          <w:lang w:eastAsia="zh-CN"/>
        </w:rPr>
        <w:t>新疆维吾尔自治区学校食堂食材</w:t>
      </w:r>
    </w:p>
    <w:p w14:paraId="5CF152DB">
      <w:pPr>
        <w:pStyle w:val="15"/>
        <w:adjustRightInd w:val="0"/>
        <w:snapToGrid w:val="0"/>
        <w:spacing w:line="682" w:lineRule="exact"/>
        <w:jc w:val="center"/>
        <w:rPr>
          <w:rFonts w:hint="eastAsia" w:ascii="方正小标宋简体" w:hAnsi="宋体" w:eastAsia="方正小标宋简体" w:cs="宋体"/>
          <w:color w:val="000000"/>
          <w:sz w:val="48"/>
          <w:szCs w:val="48"/>
          <w:lang w:eastAsia="zh-CN"/>
        </w:rPr>
      </w:pPr>
      <w:r>
        <w:rPr>
          <w:rFonts w:hint="eastAsia" w:ascii="方正小标宋简体" w:hAnsi="宋体" w:eastAsia="方正小标宋简体" w:cs="宋体"/>
          <w:color w:val="000000"/>
          <w:sz w:val="48"/>
          <w:szCs w:val="48"/>
          <w:lang w:eastAsia="zh-CN"/>
        </w:rPr>
        <w:t>采购合同</w:t>
      </w:r>
    </w:p>
    <w:p w14:paraId="62B93A59">
      <w:pPr>
        <w:pStyle w:val="15"/>
        <w:adjustRightInd w:val="0"/>
        <w:snapToGrid w:val="0"/>
        <w:spacing w:line="682" w:lineRule="exact"/>
        <w:jc w:val="center"/>
        <w:rPr>
          <w:rFonts w:hint="default" w:ascii="楷体_GB2312" w:hAnsi="宋体" w:eastAsia="楷体_GB2312" w:cs="宋体"/>
          <w:color w:val="000000"/>
          <w:sz w:val="44"/>
          <w:szCs w:val="44"/>
          <w:lang w:val="en"/>
        </w:rPr>
      </w:pPr>
      <w:r>
        <w:rPr>
          <w:rFonts w:hint="eastAsia" w:ascii="楷体_GB2312" w:hAnsi="宋体" w:eastAsia="楷体_GB2312" w:cs="宋体"/>
          <w:color w:val="000000"/>
          <w:sz w:val="44"/>
          <w:szCs w:val="44"/>
        </w:rPr>
        <w:t>（示范文本）</w:t>
      </w:r>
    </w:p>
    <w:p w14:paraId="771F86C5">
      <w:pPr>
        <w:pStyle w:val="15"/>
        <w:adjustRightInd w:val="0"/>
        <w:snapToGrid w:val="0"/>
        <w:spacing w:line="482" w:lineRule="exact"/>
        <w:jc w:val="center"/>
        <w:rPr>
          <w:rFonts w:hint="eastAsia" w:ascii="楷体_GB2312" w:hAnsi="宋体" w:eastAsia="楷体_GB2312" w:cs="宋体"/>
          <w:color w:val="000000"/>
          <w:sz w:val="32"/>
          <w:szCs w:val="32"/>
        </w:rPr>
      </w:pPr>
    </w:p>
    <w:p w14:paraId="7101C1DD">
      <w:pPr>
        <w:pStyle w:val="15"/>
        <w:adjustRightInd w:val="0"/>
        <w:snapToGrid w:val="0"/>
        <w:spacing w:line="482" w:lineRule="exact"/>
        <w:jc w:val="center"/>
        <w:rPr>
          <w:rFonts w:hint="eastAsia" w:ascii="楷体_GB2312" w:hAnsi="宋体" w:eastAsia="楷体_GB2312" w:cs="宋体"/>
          <w:color w:val="000000"/>
          <w:sz w:val="32"/>
          <w:szCs w:val="32"/>
        </w:rPr>
      </w:pPr>
    </w:p>
    <w:p w14:paraId="4BFBEB7D">
      <w:pPr>
        <w:pStyle w:val="15"/>
        <w:adjustRightInd w:val="0"/>
        <w:snapToGrid w:val="0"/>
        <w:spacing w:line="482" w:lineRule="exact"/>
        <w:jc w:val="center"/>
        <w:rPr>
          <w:rFonts w:hint="eastAsia" w:ascii="楷体_GB2312" w:hAnsi="宋体" w:eastAsia="楷体_GB2312" w:cs="宋体"/>
          <w:color w:val="000000"/>
          <w:sz w:val="32"/>
          <w:szCs w:val="32"/>
        </w:rPr>
      </w:pPr>
    </w:p>
    <w:p w14:paraId="01A3A1EE">
      <w:pPr>
        <w:pStyle w:val="15"/>
        <w:adjustRightInd w:val="0"/>
        <w:snapToGrid w:val="0"/>
        <w:spacing w:line="482" w:lineRule="exact"/>
        <w:jc w:val="center"/>
        <w:rPr>
          <w:rFonts w:hint="eastAsia" w:ascii="楷体_GB2312" w:hAnsi="宋体" w:eastAsia="楷体_GB2312" w:cs="宋体"/>
          <w:color w:val="000000"/>
          <w:sz w:val="32"/>
          <w:szCs w:val="32"/>
        </w:rPr>
      </w:pPr>
    </w:p>
    <w:p w14:paraId="58E687BF">
      <w:pPr>
        <w:pStyle w:val="15"/>
        <w:adjustRightInd w:val="0"/>
        <w:snapToGrid w:val="0"/>
        <w:spacing w:line="482" w:lineRule="exact"/>
        <w:jc w:val="center"/>
        <w:rPr>
          <w:rFonts w:hint="eastAsia" w:ascii="楷体_GB2312" w:hAnsi="宋体" w:eastAsia="楷体_GB2312" w:cs="宋体"/>
          <w:color w:val="000000"/>
          <w:sz w:val="32"/>
          <w:szCs w:val="32"/>
        </w:rPr>
      </w:pPr>
    </w:p>
    <w:p w14:paraId="53961D2B">
      <w:pPr>
        <w:pStyle w:val="15"/>
        <w:adjustRightInd w:val="0"/>
        <w:snapToGrid w:val="0"/>
        <w:spacing w:line="482" w:lineRule="exact"/>
        <w:jc w:val="center"/>
        <w:rPr>
          <w:rFonts w:hint="eastAsia" w:ascii="楷体_GB2312" w:hAnsi="宋体" w:eastAsia="楷体_GB2312" w:cs="宋体"/>
          <w:color w:val="000000"/>
          <w:sz w:val="32"/>
          <w:szCs w:val="32"/>
        </w:rPr>
      </w:pPr>
    </w:p>
    <w:p w14:paraId="2FFF8E2A">
      <w:pPr>
        <w:pStyle w:val="15"/>
        <w:adjustRightInd w:val="0"/>
        <w:snapToGrid w:val="0"/>
        <w:spacing w:line="482" w:lineRule="exact"/>
        <w:jc w:val="center"/>
        <w:rPr>
          <w:rFonts w:hint="eastAsia" w:ascii="楷体_GB2312" w:hAnsi="宋体" w:eastAsia="楷体_GB2312" w:cs="宋体"/>
          <w:color w:val="000000"/>
          <w:sz w:val="32"/>
          <w:szCs w:val="32"/>
        </w:rPr>
      </w:pPr>
    </w:p>
    <w:p w14:paraId="40B72407">
      <w:pPr>
        <w:pStyle w:val="15"/>
        <w:adjustRightInd w:val="0"/>
        <w:snapToGrid w:val="0"/>
        <w:spacing w:line="482" w:lineRule="exact"/>
        <w:jc w:val="center"/>
        <w:rPr>
          <w:rFonts w:hint="eastAsia" w:ascii="楷体_GB2312" w:hAnsi="宋体" w:eastAsia="楷体_GB2312" w:cs="宋体"/>
          <w:color w:val="000000"/>
          <w:sz w:val="32"/>
          <w:szCs w:val="32"/>
        </w:rPr>
      </w:pPr>
    </w:p>
    <w:p w14:paraId="19B73D5F">
      <w:pPr>
        <w:pStyle w:val="15"/>
        <w:adjustRightInd w:val="0"/>
        <w:snapToGrid w:val="0"/>
        <w:spacing w:line="482" w:lineRule="exact"/>
        <w:jc w:val="center"/>
        <w:rPr>
          <w:rFonts w:hint="eastAsia" w:ascii="楷体_GB2312" w:hAnsi="宋体" w:eastAsia="楷体_GB2312" w:cs="宋体"/>
          <w:color w:val="000000"/>
          <w:sz w:val="32"/>
          <w:szCs w:val="32"/>
        </w:rPr>
      </w:pPr>
    </w:p>
    <w:p w14:paraId="4AA5A6A5">
      <w:pPr>
        <w:pStyle w:val="15"/>
        <w:adjustRightInd w:val="0"/>
        <w:snapToGrid w:val="0"/>
        <w:spacing w:line="482" w:lineRule="exact"/>
        <w:jc w:val="center"/>
        <w:rPr>
          <w:rFonts w:hint="eastAsia" w:ascii="楷体_GB2312" w:hAnsi="宋体" w:eastAsia="楷体_GB2312" w:cs="宋体"/>
          <w:color w:val="000000"/>
          <w:sz w:val="32"/>
          <w:szCs w:val="32"/>
        </w:rPr>
      </w:pPr>
    </w:p>
    <w:p w14:paraId="34E086D8">
      <w:pPr>
        <w:pStyle w:val="15"/>
        <w:adjustRightInd w:val="0"/>
        <w:snapToGrid w:val="0"/>
        <w:spacing w:line="482" w:lineRule="exact"/>
        <w:jc w:val="both"/>
        <w:rPr>
          <w:rFonts w:hint="eastAsia" w:ascii="楷体_GB2312" w:hAnsi="宋体" w:eastAsia="楷体_GB2312" w:cs="宋体"/>
          <w:color w:val="000000"/>
          <w:sz w:val="32"/>
          <w:szCs w:val="32"/>
        </w:rPr>
      </w:pPr>
    </w:p>
    <w:p w14:paraId="378C1FEE">
      <w:pPr>
        <w:pStyle w:val="15"/>
        <w:adjustRightInd w:val="0"/>
        <w:snapToGrid w:val="0"/>
        <w:spacing w:line="482" w:lineRule="exact"/>
        <w:jc w:val="both"/>
        <w:rPr>
          <w:rFonts w:hint="eastAsia" w:ascii="楷体_GB2312" w:hAnsi="宋体" w:eastAsia="楷体_GB2312" w:cs="宋体"/>
          <w:color w:val="000000"/>
          <w:sz w:val="32"/>
          <w:szCs w:val="32"/>
        </w:rPr>
      </w:pPr>
    </w:p>
    <w:p w14:paraId="29831277">
      <w:pPr>
        <w:pStyle w:val="15"/>
        <w:adjustRightInd w:val="0"/>
        <w:snapToGrid w:val="0"/>
        <w:spacing w:line="482" w:lineRule="exact"/>
        <w:jc w:val="center"/>
        <w:rPr>
          <w:rFonts w:hint="eastAsia" w:ascii="楷体_GB2312" w:hAnsi="宋体" w:eastAsia="楷体_GB2312" w:cs="宋体"/>
          <w:color w:val="000000"/>
          <w:sz w:val="32"/>
          <w:szCs w:val="32"/>
        </w:rPr>
      </w:pPr>
    </w:p>
    <w:p w14:paraId="20FFEC1E">
      <w:pPr>
        <w:pStyle w:val="15"/>
        <w:adjustRightInd w:val="0"/>
        <w:snapToGrid w:val="0"/>
        <w:spacing w:line="482" w:lineRule="exact"/>
        <w:jc w:val="center"/>
        <w:rPr>
          <w:rFonts w:hint="eastAsia" w:ascii="楷体_GB2312" w:hAnsi="宋体" w:eastAsia="楷体_GB2312" w:cs="宋体"/>
          <w:color w:val="000000"/>
          <w:sz w:val="32"/>
          <w:szCs w:val="32"/>
        </w:rPr>
      </w:pPr>
    </w:p>
    <w:p w14:paraId="15FB794A">
      <w:pPr>
        <w:pStyle w:val="15"/>
        <w:adjustRightInd w:val="0"/>
        <w:snapToGrid w:val="0"/>
        <w:spacing w:line="482" w:lineRule="exact"/>
        <w:jc w:val="center"/>
        <w:rPr>
          <w:rFonts w:hint="eastAsia" w:ascii="楷体_GB2312" w:hAnsi="宋体" w:eastAsia="楷体_GB2312" w:cs="宋体"/>
          <w:color w:val="000000"/>
          <w:spacing w:val="18"/>
          <w:sz w:val="32"/>
          <w:szCs w:val="32"/>
          <w:lang w:eastAsia="zh-CN"/>
        </w:rPr>
      </w:pPr>
      <w:r>
        <w:rPr>
          <w:rFonts w:hint="eastAsia" w:ascii="楷体_GB2312" w:hAnsi="宋体" w:eastAsia="楷体_GB2312" w:cs="宋体"/>
          <w:color w:val="000000"/>
          <w:spacing w:val="18"/>
          <w:sz w:val="32"/>
          <w:szCs w:val="32"/>
          <w:lang w:eastAsia="zh-CN"/>
        </w:rPr>
        <w:t>新疆维吾尔自治区市场监督管理局</w:t>
      </w:r>
      <w:r>
        <w:rPr>
          <w:color w:val="000000"/>
          <w:sz w:val="32"/>
        </w:rPr>
        <mc:AlternateContent>
          <mc:Choice Requires="wps">
            <w:drawing>
              <wp:anchor distT="0" distB="0" distL="114300" distR="114300" simplePos="0" relativeHeight="251664384" behindDoc="0" locked="0" layoutInCell="1" allowOverlap="1">
                <wp:simplePos x="0" y="0"/>
                <wp:positionH relativeFrom="column">
                  <wp:posOffset>4558665</wp:posOffset>
                </wp:positionH>
                <wp:positionV relativeFrom="paragraph">
                  <wp:posOffset>81915</wp:posOffset>
                </wp:positionV>
                <wp:extent cx="638175" cy="390525"/>
                <wp:effectExtent l="7620" t="7620" r="20955" b="20955"/>
                <wp:wrapNone/>
                <wp:docPr id="6" name="文本框 12"/>
                <wp:cNvGraphicFramePr/>
                <a:graphic xmlns:a="http://schemas.openxmlformats.org/drawingml/2006/main">
                  <a:graphicData uri="http://schemas.microsoft.com/office/word/2010/wordprocessingShape">
                    <wps:wsp>
                      <wps:cNvSpPr txBox="1"/>
                      <wps:spPr>
                        <a:xfrm>
                          <a:off x="0" y="0"/>
                          <a:ext cx="638175" cy="390525"/>
                        </a:xfrm>
                        <a:prstGeom prst="rect">
                          <a:avLst/>
                        </a:prstGeom>
                        <a:gradFill rotWithShape="0">
                          <a:gsLst>
                            <a:gs pos="0">
                              <a:srgbClr val="FFFFFF"/>
                            </a:gs>
                            <a:gs pos="100000">
                              <a:srgbClr val="FFFFFF"/>
                            </a:gs>
                          </a:gsLst>
                          <a:lin ang="0"/>
                          <a:tileRect/>
                        </a:gradFill>
                        <a:ln w="15875" cap="flat" cmpd="sng">
                          <a:solidFill>
                            <a:srgbClr val="FFFFFF"/>
                          </a:solidFill>
                          <a:prstDash val="solid"/>
                          <a:miter/>
                          <a:headEnd type="none" w="med" len="med"/>
                          <a:tailEnd type="none" w="med" len="med"/>
                        </a:ln>
                        <a:effectLst/>
                      </wps:spPr>
                      <wps:txbx>
                        <w:txbxContent>
                          <w:p w14:paraId="630740F9">
                            <w:p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制定</w:t>
                            </w:r>
                          </w:p>
                        </w:txbxContent>
                      </wps:txbx>
                      <wps:bodyPr vert="horz" wrap="square" anchor="t" anchorCtr="0" upright="1"/>
                    </wps:wsp>
                  </a:graphicData>
                </a:graphic>
              </wp:anchor>
            </w:drawing>
          </mc:Choice>
          <mc:Fallback>
            <w:pict>
              <v:shape id="文本框 12" o:spid="_x0000_s1026" o:spt="202" type="#_x0000_t202" style="position:absolute;left:0pt;margin-left:358.95pt;margin-top:6.45pt;height:30.75pt;width:50.25pt;z-index:251664384;mso-width-relative:page;mso-height-relative:page;" fillcolor="#FFFFFF" filled="t" stroked="t" coordsize="21600,21600" o:gfxdata="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XxJuktkAAAAJAQAADwAAAAAAAAABACAAAAAiAAAAZHJzL2Rvd25yZXYueG1sUEsBAhQA&#10;FAAAAAgAh07iQPyYh0hjAgAA/wQAAA4AAAAAAAAAAQAgAAAAKAEAAGRycy9lMm9Eb2MueG1sUEsF&#10;BgAAAAAGAAYAWQEAAP0FAAAAAA==&#10;">
                <v:fill type="gradient" on="t" color2="#FFFFFF" angle="90" focus="100%" focussize="0,0">
                  <o:fill type="gradientUnscaled" v:ext="backwardCompatible"/>
                </v:fill>
                <v:stroke weight="1.25pt" color="#FFFFFF" joinstyle="miter"/>
                <v:imagedata o:title=""/>
                <o:lock v:ext="edit" aspectratio="f"/>
                <v:textbox>
                  <w:txbxContent>
                    <w:p w14:paraId="630740F9">
                      <w:p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制定</w:t>
                      </w:r>
                    </w:p>
                  </w:txbxContent>
                </v:textbox>
              </v:shape>
            </w:pict>
          </mc:Fallback>
        </mc:AlternateContent>
      </w:r>
    </w:p>
    <w:p w14:paraId="1BBC6D69">
      <w:pPr>
        <w:pStyle w:val="15"/>
        <w:adjustRightInd w:val="0"/>
        <w:snapToGrid w:val="0"/>
        <w:spacing w:line="482" w:lineRule="exact"/>
        <w:ind w:right="105"/>
        <w:jc w:val="center"/>
        <w:rPr>
          <w:rFonts w:hint="eastAsia" w:ascii="楷体_GB2312" w:hAnsi="宋体" w:eastAsia="楷体_GB2312" w:cs="宋体"/>
          <w:color w:val="000000"/>
          <w:sz w:val="32"/>
          <w:szCs w:val="32"/>
          <w:lang w:eastAsia="zh-CN"/>
        </w:rPr>
      </w:pPr>
      <w:r>
        <w:rPr>
          <w:rFonts w:hint="eastAsia" w:ascii="楷体_GB2312" w:hAnsi="宋体" w:eastAsia="楷体_GB2312" w:cs="宋体"/>
          <w:color w:val="000000"/>
          <w:sz w:val="32"/>
          <w:szCs w:val="32"/>
          <w:lang w:eastAsia="zh-CN"/>
        </w:rPr>
        <w:t>新疆维吾尔自治区教育厅</w:t>
      </w:r>
    </w:p>
    <w:p w14:paraId="53269E09">
      <w:pPr>
        <w:spacing w:line="205" w:lineRule="auto"/>
        <w:rPr>
          <w:rFonts w:ascii="微软雅黑" w:hAnsi="微软雅黑" w:eastAsia="微软雅黑" w:cs="微软雅黑"/>
          <w:color w:val="000000"/>
          <w:sz w:val="31"/>
          <w:szCs w:val="31"/>
        </w:rPr>
        <w:sectPr>
          <w:footerReference r:id="rId12" w:type="default"/>
          <w:pgSz w:w="11906" w:h="16839"/>
          <w:pgMar w:top="2098" w:right="1474" w:bottom="1984" w:left="1587" w:header="0" w:footer="1531" w:gutter="0"/>
          <w:pgNumType w:fmt="decimal"/>
          <w:cols w:space="720" w:num="1"/>
          <w:rtlGutter w:val="0"/>
          <w:docGrid w:linePitch="1" w:charSpace="0"/>
        </w:sectPr>
      </w:pPr>
    </w:p>
    <w:p w14:paraId="4D6B562D">
      <w:pPr>
        <w:pStyle w:val="3"/>
        <w:spacing w:before="0" w:beforeAutospacing="0" w:after="0" w:afterAutospacing="0" w:line="360" w:lineRule="auto"/>
        <w:ind w:left="0" w:leftChars="0" w:firstLine="0" w:firstLineChars="0"/>
        <w:jc w:val="center"/>
        <w:rPr>
          <w:color w:val="000000"/>
        </w:rPr>
      </w:pPr>
      <w:bookmarkStart w:id="308" w:name="_Toc26912"/>
      <w:bookmarkStart w:id="309" w:name="_Toc21529"/>
      <w:r>
        <w:rPr>
          <w:rFonts w:ascii="宋体" w:hAnsi="宋体" w:cs="宋体"/>
          <w:color w:val="000000"/>
        </w:rPr>
        <w:t>使用说明</w:t>
      </w:r>
      <w:bookmarkEnd w:id="308"/>
      <w:bookmarkEnd w:id="309"/>
    </w:p>
    <w:p w14:paraId="47DD8041">
      <w:pPr>
        <w:pStyle w:val="88"/>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0" w:firstLine="440" w:firstLineChars="200"/>
        <w:jc w:val="both"/>
        <w:textAlignment w:val="auto"/>
        <w:rPr>
          <w:rFonts w:hint="eastAsia" w:ascii="方正书宋_GBK" w:hAnsi="方正书宋_GBK" w:eastAsia="方正书宋_GBK" w:cs="方正书宋_GBK"/>
          <w:color w:val="000000"/>
          <w:spacing w:val="0"/>
          <w:w w:val="100"/>
          <w:kern w:val="0"/>
          <w:sz w:val="22"/>
          <w:szCs w:val="22"/>
          <w:lang w:val="en-US" w:eastAsia="zh-CN" w:bidi="zh-CN"/>
        </w:rPr>
      </w:pPr>
      <w:r>
        <w:rPr>
          <w:rFonts w:hint="eastAsia" w:ascii="方正书宋_GBK" w:hAnsi="方正书宋_GBK" w:eastAsia="方正书宋_GBK" w:cs="方正书宋_GBK"/>
          <w:color w:val="000000"/>
          <w:spacing w:val="0"/>
          <w:w w:val="100"/>
          <w:kern w:val="0"/>
          <w:sz w:val="22"/>
          <w:szCs w:val="22"/>
          <w:lang w:val="en-US" w:eastAsia="zh-CN" w:bidi="zh-CN"/>
        </w:rPr>
        <w:t>一、为规范学校与企业的权利义务，维护双方合法权益，确保学校食堂大宗食材的安全和质量，根据《中华人民共和国民法典》及相关法律法规、规章制度要求，制定本《合同示范文本》。</w:t>
      </w:r>
    </w:p>
    <w:p w14:paraId="239EFA2A">
      <w:pPr>
        <w:pStyle w:val="88"/>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0" w:firstLine="440" w:firstLineChars="200"/>
        <w:jc w:val="both"/>
        <w:textAlignment w:val="auto"/>
        <w:rPr>
          <w:rFonts w:hint="eastAsia" w:ascii="方正书宋_GBK" w:hAnsi="方正书宋_GBK" w:eastAsia="方正书宋_GBK" w:cs="方正书宋_GBK"/>
          <w:color w:val="000000"/>
          <w:spacing w:val="0"/>
          <w:w w:val="100"/>
          <w:kern w:val="0"/>
          <w:sz w:val="22"/>
          <w:szCs w:val="22"/>
          <w:lang w:val="en-US" w:eastAsia="zh-CN" w:bidi="zh-CN"/>
        </w:rPr>
      </w:pPr>
      <w:r>
        <w:rPr>
          <w:rFonts w:hint="eastAsia" w:ascii="方正书宋_GBK" w:hAnsi="方正书宋_GBK" w:eastAsia="方正书宋_GBK" w:cs="方正书宋_GBK"/>
          <w:color w:val="000000"/>
          <w:spacing w:val="0"/>
          <w:w w:val="100"/>
          <w:kern w:val="0"/>
          <w:sz w:val="22"/>
          <w:szCs w:val="22"/>
          <w:lang w:val="en-US" w:eastAsia="zh-CN" w:bidi="zh-CN"/>
        </w:rPr>
        <w:t>二、本《合同示范文本》供新疆维吾尔自治区行政区域内的学校与企业之间签订学校食堂大宗食材采购合同时参照使用。</w:t>
      </w:r>
    </w:p>
    <w:p w14:paraId="3DC124AD">
      <w:pPr>
        <w:pStyle w:val="88"/>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0" w:firstLine="440" w:firstLineChars="200"/>
        <w:jc w:val="both"/>
        <w:textAlignment w:val="auto"/>
        <w:rPr>
          <w:rFonts w:hint="eastAsia" w:ascii="方正书宋_GBK" w:hAnsi="方正书宋_GBK" w:eastAsia="方正书宋_GBK" w:cs="方正书宋_GBK"/>
          <w:color w:val="000000"/>
          <w:spacing w:val="0"/>
          <w:w w:val="100"/>
          <w:kern w:val="0"/>
          <w:sz w:val="22"/>
          <w:szCs w:val="22"/>
          <w:lang w:val="en-US" w:eastAsia="zh-CN" w:bidi="zh-CN"/>
        </w:rPr>
      </w:pPr>
      <w:r>
        <w:rPr>
          <w:rFonts w:hint="eastAsia" w:ascii="方正书宋_GBK" w:hAnsi="方正书宋_GBK" w:eastAsia="方正书宋_GBK" w:cs="方正书宋_GBK"/>
          <w:color w:val="000000"/>
          <w:spacing w:val="0"/>
          <w:w w:val="100"/>
          <w:kern w:val="0"/>
          <w:sz w:val="22"/>
          <w:szCs w:val="22"/>
          <w:lang w:val="en-US" w:eastAsia="zh-CN" w:bidi="zh-CN"/>
        </w:rPr>
        <w:t>三、本《合同示范文本》由新疆维吾尔自治区市场监督管理局和新疆维吾尔自治区教育厅共同制定发布并负责解释。</w:t>
      </w:r>
    </w:p>
    <w:p w14:paraId="571F2140">
      <w:pPr>
        <w:pStyle w:val="88"/>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0" w:firstLine="440" w:firstLineChars="200"/>
        <w:jc w:val="both"/>
        <w:textAlignment w:val="auto"/>
        <w:rPr>
          <w:rFonts w:hint="eastAsia" w:ascii="方正书宋_GBK" w:hAnsi="方正书宋_GBK" w:eastAsia="方正书宋_GBK" w:cs="方正书宋_GBK"/>
          <w:color w:val="000000"/>
          <w:spacing w:val="0"/>
          <w:w w:val="100"/>
          <w:kern w:val="0"/>
          <w:sz w:val="22"/>
          <w:szCs w:val="22"/>
          <w:lang w:val="en-US" w:eastAsia="zh-CN" w:bidi="zh-CN"/>
        </w:rPr>
      </w:pPr>
      <w:r>
        <w:rPr>
          <w:rFonts w:hint="eastAsia" w:ascii="方正书宋_GBK" w:hAnsi="方正书宋_GBK" w:eastAsia="方正书宋_GBK" w:cs="方正书宋_GBK"/>
          <w:color w:val="000000"/>
          <w:spacing w:val="0"/>
          <w:w w:val="100"/>
          <w:kern w:val="0"/>
          <w:sz w:val="22"/>
          <w:szCs w:val="22"/>
          <w:lang w:val="en-US" w:eastAsia="zh-CN" w:bidi="zh-CN"/>
        </w:rPr>
        <w:t>四、当事人参照本《合同示范文本》订立合同的，应充分理解合同中条款的内容，并自行承担合同订立履行所发生的法律后果。当事人对合同条款理解发生争议时，应按照有关法律法规规定对条款进行解释。</w:t>
      </w:r>
    </w:p>
    <w:p w14:paraId="686C80BE">
      <w:pPr>
        <w:pStyle w:val="88"/>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0" w:firstLine="440" w:firstLineChars="200"/>
        <w:jc w:val="both"/>
        <w:textAlignment w:val="auto"/>
        <w:rPr>
          <w:rFonts w:hint="eastAsia" w:ascii="方正书宋_GBK" w:hAnsi="方正书宋_GBK" w:eastAsia="方正书宋_GBK" w:cs="方正书宋_GBK"/>
          <w:color w:val="000000"/>
          <w:spacing w:val="0"/>
          <w:w w:val="100"/>
          <w:kern w:val="0"/>
          <w:sz w:val="22"/>
          <w:szCs w:val="22"/>
          <w:lang w:val="en-US" w:eastAsia="zh-CN" w:bidi="zh-CN"/>
        </w:rPr>
      </w:pPr>
      <w:r>
        <w:rPr>
          <w:rFonts w:hint="eastAsia" w:ascii="方正书宋_GBK" w:hAnsi="方正书宋_GBK" w:eastAsia="方正书宋_GBK" w:cs="方正书宋_GBK"/>
          <w:color w:val="000000"/>
          <w:spacing w:val="0"/>
          <w:w w:val="100"/>
          <w:kern w:val="0"/>
          <w:sz w:val="22"/>
          <w:szCs w:val="22"/>
          <w:lang w:val="en-US" w:eastAsia="zh-CN" w:bidi="zh-CN"/>
        </w:rPr>
        <w:t>五、合同当事人参照本《合同示范文本》订立合同时，可以根据实际情况修改、增补合同内容。但是对文本中的格式条款如果进行了修改、增补的，不得以“合同示范文本”名义使用。</w:t>
      </w:r>
    </w:p>
    <w:p w14:paraId="234B224A">
      <w:pPr>
        <w:pStyle w:val="88"/>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0" w:firstLine="440" w:firstLineChars="200"/>
        <w:jc w:val="both"/>
        <w:textAlignment w:val="auto"/>
        <w:rPr>
          <w:rFonts w:hint="default" w:ascii="方正书宋_GBK" w:hAnsi="方正书宋_GBK" w:eastAsia="方正书宋_GBK" w:cs="方正书宋_GBK"/>
          <w:color w:val="000000"/>
          <w:spacing w:val="0"/>
          <w:w w:val="100"/>
          <w:kern w:val="0"/>
          <w:sz w:val="22"/>
          <w:szCs w:val="22"/>
          <w:lang w:val="en-US" w:eastAsia="zh-CN" w:bidi="zh-CN"/>
        </w:rPr>
      </w:pPr>
      <w:r>
        <w:rPr>
          <w:rFonts w:hint="eastAsia" w:ascii="方正书宋_GBK" w:hAnsi="方正书宋_GBK" w:eastAsia="方正书宋_GBK" w:cs="方正书宋_GBK"/>
          <w:color w:val="000000"/>
          <w:spacing w:val="0"/>
          <w:w w:val="100"/>
          <w:kern w:val="0"/>
          <w:sz w:val="22"/>
          <w:szCs w:val="22"/>
          <w:lang w:val="en-US" w:eastAsia="zh-CN" w:bidi="zh-CN"/>
        </w:rPr>
        <w:t>六、本《合同示范文本》中所称的学校食堂食材采购是指：学校对具有相关资质、规模、技术、服务质量等方面优势的供应商为学校自办食堂或委托管理服务性质的食堂提供米、面、油、肉、蛋、奶等大宗原材料进行统一配送服务的购买行为。</w:t>
      </w:r>
    </w:p>
    <w:p w14:paraId="39E11FA0">
      <w:pPr>
        <w:pStyle w:val="88"/>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0" w:firstLine="440" w:firstLineChars="200"/>
        <w:jc w:val="both"/>
        <w:textAlignment w:val="auto"/>
        <w:rPr>
          <w:rFonts w:hint="eastAsia" w:ascii="方正书宋_GBK" w:hAnsi="方正书宋_GBK" w:eastAsia="方正书宋_GBK" w:cs="方正书宋_GBK"/>
          <w:color w:val="000000"/>
          <w:spacing w:val="0"/>
          <w:w w:val="100"/>
          <w:kern w:val="0"/>
          <w:sz w:val="22"/>
          <w:szCs w:val="22"/>
          <w:lang w:val="en-US" w:eastAsia="zh-CN" w:bidi="zh-CN"/>
        </w:rPr>
      </w:pPr>
      <w:r>
        <w:rPr>
          <w:rFonts w:hint="eastAsia" w:ascii="方正书宋_GBK" w:hAnsi="方正书宋_GBK" w:eastAsia="方正书宋_GBK" w:cs="方正书宋_GBK"/>
          <w:color w:val="000000"/>
          <w:spacing w:val="0"/>
          <w:w w:val="100"/>
          <w:kern w:val="0"/>
          <w:sz w:val="22"/>
          <w:szCs w:val="22"/>
          <w:lang w:val="en-US" w:eastAsia="zh-CN" w:bidi="zh-CN"/>
        </w:rPr>
        <w:t>七、本《合同示范文本》中所称的学校是指：普通中小学校、中等职业学校、高等教育学校、特殊教育学校、专门学校等，包括幼儿园、小学、初中、高中和大学。</w:t>
      </w:r>
    </w:p>
    <w:p w14:paraId="56A1652E">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right="0" w:firstLine="440" w:firstLineChars="200"/>
        <w:textAlignment w:val="auto"/>
        <w:rPr>
          <w:rFonts w:hint="eastAsia" w:ascii="方正书宋_GBK" w:hAnsi="方正书宋_GBK" w:eastAsia="方正书宋_GBK" w:cs="方正书宋_GBK"/>
          <w:color w:val="000000"/>
          <w:spacing w:val="0"/>
          <w:w w:val="100"/>
          <w:sz w:val="22"/>
          <w:szCs w:val="22"/>
          <w:lang w:val="en-US" w:eastAsia="zh-CN"/>
        </w:rPr>
      </w:pPr>
      <w:r>
        <w:rPr>
          <w:rFonts w:hint="eastAsia" w:ascii="方正书宋_GBK" w:hAnsi="方正书宋_GBK" w:eastAsia="方正书宋_GBK" w:cs="方正书宋_GBK"/>
          <w:color w:val="000000"/>
          <w:spacing w:val="0"/>
          <w:w w:val="100"/>
          <w:sz w:val="22"/>
          <w:szCs w:val="22"/>
          <w:lang w:val="en-US" w:eastAsia="zh-CN"/>
        </w:rPr>
        <w:t>八、为保证合同条款的全面、准确，请在“新疆维吾尔自治区市场监督管理局”门户网站（www</w:t>
      </w:r>
      <w:r>
        <w:rPr>
          <w:rFonts w:hint="eastAsia" w:ascii="方正书宋_GBK" w:hAnsi="方正书宋_GBK" w:eastAsia="方正书宋_GBK" w:cs="方正书宋_GBK"/>
          <w:color w:val="000000"/>
          <w:spacing w:val="0"/>
          <w:w w:val="100"/>
          <w:sz w:val="22"/>
          <w:szCs w:val="22"/>
          <w:lang w:val="en" w:eastAsia="zh-CN"/>
        </w:rPr>
        <w:t>.xjaic.gov.cn</w:t>
      </w:r>
      <w:r>
        <w:rPr>
          <w:rFonts w:hint="eastAsia" w:ascii="方正书宋_GBK" w:hAnsi="方正书宋_GBK" w:eastAsia="方正书宋_GBK" w:cs="方正书宋_GBK"/>
          <w:color w:val="000000"/>
          <w:spacing w:val="0"/>
          <w:w w:val="100"/>
          <w:sz w:val="22"/>
          <w:szCs w:val="22"/>
          <w:lang w:val="en-US" w:eastAsia="zh-CN"/>
        </w:rPr>
        <w:t>）“合同示范文本”模块、“新疆维吾尔自治区教育厅”门户网站（</w:t>
      </w:r>
      <w:r>
        <w:rPr>
          <w:rFonts w:hint="default" w:ascii="方正书宋_GBK" w:hAnsi="方正书宋_GBK" w:eastAsia="方正书宋_GBK" w:cs="方正书宋_GBK"/>
          <w:color w:val="000000"/>
          <w:spacing w:val="0"/>
          <w:w w:val="100"/>
          <w:sz w:val="22"/>
          <w:szCs w:val="22"/>
          <w:lang w:val="en" w:eastAsia="zh-CN"/>
        </w:rPr>
        <w:t>jyt.xinjiang.gov.cn</w:t>
      </w:r>
      <w:r>
        <w:rPr>
          <w:rFonts w:hint="eastAsia" w:ascii="方正书宋_GBK" w:hAnsi="方正书宋_GBK" w:eastAsia="方正书宋_GBK" w:cs="方正书宋_GBK"/>
          <w:color w:val="000000"/>
          <w:spacing w:val="0"/>
          <w:w w:val="100"/>
          <w:sz w:val="22"/>
          <w:szCs w:val="22"/>
          <w:lang w:val="en-US" w:eastAsia="zh-CN"/>
        </w:rPr>
        <w:t>）相关栏目等渠道下载本《合同示范文本》，任何单位和个人不得出于商业目的擅自翻印和出售《合同示范文本》。</w:t>
      </w:r>
    </w:p>
    <w:p w14:paraId="3F552E8A">
      <w:pPr>
        <w:pStyle w:val="88"/>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0" w:firstLine="440" w:firstLineChars="200"/>
        <w:jc w:val="both"/>
        <w:textAlignment w:val="auto"/>
        <w:rPr>
          <w:rFonts w:hint="eastAsia" w:ascii="方正书宋_GBK" w:hAnsi="方正书宋_GBK" w:eastAsia="方正书宋_GBK" w:cs="方正书宋_GBK"/>
          <w:color w:val="000000"/>
          <w:spacing w:val="0"/>
          <w:w w:val="100"/>
          <w:kern w:val="0"/>
          <w:sz w:val="22"/>
          <w:szCs w:val="22"/>
          <w:lang w:val="en-US" w:eastAsia="zh-CN" w:bidi="zh-CN"/>
        </w:rPr>
        <w:sectPr>
          <w:footerReference r:id="rId13" w:type="default"/>
          <w:pgSz w:w="11906" w:h="16839"/>
          <w:pgMar w:top="2098" w:right="1474" w:bottom="1984" w:left="1587" w:header="0" w:footer="1531" w:gutter="0"/>
          <w:pgNumType w:fmt="decimal"/>
          <w:cols w:space="720" w:num="1"/>
          <w:rtlGutter w:val="0"/>
          <w:docGrid w:linePitch="1" w:charSpace="0"/>
        </w:sectPr>
      </w:pPr>
    </w:p>
    <w:p w14:paraId="58C242A0">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i w:val="0"/>
          <w:iCs w:val="0"/>
          <w:caps w:val="0"/>
          <w:color w:val="000000"/>
          <w:spacing w:val="4"/>
          <w:sz w:val="44"/>
          <w:szCs w:val="44"/>
          <w:shd w:val="clear" w:color="auto" w:fill="FFFFFF"/>
        </w:rPr>
      </w:pPr>
      <w:r>
        <w:rPr>
          <w:rFonts w:hint="eastAsia" w:ascii="方正小标宋简体" w:hAnsi="方正小标宋简体" w:eastAsia="方正小标宋简体" w:cs="方正小标宋简体"/>
          <w:i w:val="0"/>
          <w:iCs w:val="0"/>
          <w:caps w:val="0"/>
          <w:color w:val="000000"/>
          <w:spacing w:val="4"/>
          <w:sz w:val="44"/>
          <w:szCs w:val="44"/>
          <w:shd w:val="clear" w:color="auto" w:fill="FFFFFF"/>
          <w:lang w:eastAsia="zh-CN"/>
        </w:rPr>
        <w:t>新疆维吾尔自治区</w:t>
      </w:r>
      <w:r>
        <w:rPr>
          <w:rFonts w:hint="eastAsia" w:ascii="方正小标宋简体" w:hAnsi="方正小标宋简体" w:eastAsia="方正小标宋简体" w:cs="方正小标宋简体"/>
          <w:i w:val="0"/>
          <w:iCs w:val="0"/>
          <w:caps w:val="0"/>
          <w:color w:val="000000"/>
          <w:spacing w:val="4"/>
          <w:sz w:val="44"/>
          <w:szCs w:val="44"/>
          <w:shd w:val="clear" w:color="auto" w:fill="FFFFFF"/>
        </w:rPr>
        <w:t>学校食堂食材</w:t>
      </w:r>
    </w:p>
    <w:p w14:paraId="4CDF61A2">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i w:val="0"/>
          <w:iCs w:val="0"/>
          <w:caps w:val="0"/>
          <w:color w:val="000000"/>
          <w:spacing w:val="4"/>
          <w:sz w:val="32"/>
          <w:szCs w:val="32"/>
          <w:shd w:val="clear" w:color="auto" w:fill="FFFFFF"/>
        </w:rPr>
      </w:pPr>
      <w:r>
        <w:rPr>
          <w:rFonts w:hint="eastAsia" w:ascii="方正小标宋简体" w:hAnsi="方正小标宋简体" w:eastAsia="方正小标宋简体" w:cs="方正小标宋简体"/>
          <w:i w:val="0"/>
          <w:iCs w:val="0"/>
          <w:caps w:val="0"/>
          <w:color w:val="000000"/>
          <w:spacing w:val="4"/>
          <w:sz w:val="44"/>
          <w:szCs w:val="44"/>
          <w:shd w:val="clear" w:color="auto" w:fill="FFFFFF"/>
        </w:rPr>
        <w:t>采购合同</w:t>
      </w:r>
    </w:p>
    <w:p w14:paraId="2869B320">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56" w:firstLineChars="200"/>
        <w:jc w:val="both"/>
        <w:textAlignment w:val="auto"/>
        <w:rPr>
          <w:rFonts w:hint="eastAsia" w:ascii="仿宋_GB2312" w:hAnsi="仿宋_GB2312" w:eastAsia="仿宋_GB2312" w:cs="仿宋_GB2312"/>
          <w:i w:val="0"/>
          <w:iCs w:val="0"/>
          <w:caps w:val="0"/>
          <w:color w:val="000000"/>
          <w:spacing w:val="4"/>
          <w:sz w:val="32"/>
          <w:szCs w:val="32"/>
          <w:shd w:val="clear" w:color="auto" w:fill="FFFFFF"/>
        </w:rPr>
      </w:pPr>
    </w:p>
    <w:p w14:paraId="45A6B626">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4"/>
          <w:sz w:val="24"/>
          <w:szCs w:val="24"/>
          <w:shd w:val="clear" w:color="auto" w:fill="FFFFFF"/>
        </w:rPr>
        <w:t>甲方</w:t>
      </w:r>
      <w:r>
        <w:rPr>
          <w:rFonts w:hint="eastAsia" w:ascii="宋体" w:hAnsi="宋体" w:eastAsia="宋体" w:cs="宋体"/>
          <w:i w:val="0"/>
          <w:iCs w:val="0"/>
          <w:caps w:val="0"/>
          <w:color w:val="000000"/>
          <w:spacing w:val="4"/>
          <w:sz w:val="24"/>
          <w:szCs w:val="24"/>
          <w:shd w:val="clear" w:color="auto" w:fill="FFFFFF"/>
          <w:lang w:eastAsia="zh-CN"/>
        </w:rPr>
        <w:t>（学校方）</w:t>
      </w:r>
      <w:r>
        <w:rPr>
          <w:rFonts w:hint="eastAsia" w:ascii="宋体" w:hAnsi="宋体" w:eastAsia="宋体" w:cs="宋体"/>
          <w:i w:val="0"/>
          <w:iCs w:val="0"/>
          <w:caps w:val="0"/>
          <w:color w:val="000000"/>
          <w:spacing w:val="4"/>
          <w:sz w:val="24"/>
          <w:szCs w:val="24"/>
          <w:shd w:val="clear" w:color="auto" w:fill="FFFFFF"/>
        </w:rPr>
        <w:t>：</w:t>
      </w:r>
    </w:p>
    <w:p w14:paraId="2E275A05">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4"/>
          <w:sz w:val="24"/>
          <w:szCs w:val="24"/>
          <w:shd w:val="clear" w:color="auto" w:fill="FFFFFF"/>
        </w:rPr>
        <w:t>统一社会信用代码：</w:t>
      </w:r>
    </w:p>
    <w:p w14:paraId="70805A6F">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4"/>
          <w:sz w:val="24"/>
          <w:szCs w:val="24"/>
          <w:shd w:val="clear" w:color="auto" w:fill="FFFFFF"/>
        </w:rPr>
        <w:t>乙方</w:t>
      </w:r>
      <w:r>
        <w:rPr>
          <w:rFonts w:hint="eastAsia" w:ascii="宋体" w:hAnsi="宋体" w:eastAsia="宋体" w:cs="宋体"/>
          <w:i w:val="0"/>
          <w:iCs w:val="0"/>
          <w:caps w:val="0"/>
          <w:color w:val="000000"/>
          <w:spacing w:val="4"/>
          <w:sz w:val="24"/>
          <w:szCs w:val="24"/>
          <w:shd w:val="clear" w:color="auto" w:fill="FFFFFF"/>
          <w:lang w:eastAsia="zh-CN"/>
        </w:rPr>
        <w:t>（供货方）</w:t>
      </w:r>
      <w:r>
        <w:rPr>
          <w:rFonts w:hint="eastAsia" w:ascii="宋体" w:hAnsi="宋体" w:eastAsia="宋体" w:cs="宋体"/>
          <w:i w:val="0"/>
          <w:iCs w:val="0"/>
          <w:caps w:val="0"/>
          <w:color w:val="000000"/>
          <w:spacing w:val="4"/>
          <w:sz w:val="24"/>
          <w:szCs w:val="24"/>
          <w:shd w:val="clear" w:color="auto" w:fill="FFFFFF"/>
        </w:rPr>
        <w:t>：</w:t>
      </w:r>
    </w:p>
    <w:p w14:paraId="69CB4E5D">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rPr>
        <w:t>统一社会信用代码：</w:t>
      </w:r>
    </w:p>
    <w:p w14:paraId="2154D835">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p>
    <w:p w14:paraId="3F4C7AFF">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4"/>
          <w:sz w:val="24"/>
          <w:szCs w:val="24"/>
          <w:shd w:val="clear" w:color="auto" w:fill="FFFFFF"/>
        </w:rPr>
        <w:t>依据《中华人民共和国民法典》《招投标文件》《中标通知书》及其他法律、法规、规章规定，遵循平等、自愿、公平和诚实信用原则，经甲乙双方协商一致，就学校食堂采购食材事宜，签订本合同</w:t>
      </w:r>
      <w:r>
        <w:rPr>
          <w:rFonts w:hint="eastAsia" w:ascii="宋体" w:hAnsi="宋体" w:cs="宋体"/>
          <w:i w:val="0"/>
          <w:iCs w:val="0"/>
          <w:caps w:val="0"/>
          <w:color w:val="000000"/>
          <w:spacing w:val="4"/>
          <w:sz w:val="24"/>
          <w:szCs w:val="24"/>
          <w:shd w:val="clear" w:color="auto" w:fill="FFFFFF"/>
          <w:lang w:eastAsia="zh-CN"/>
        </w:rPr>
        <w:t>，食材</w:t>
      </w:r>
      <w:r>
        <w:rPr>
          <w:rFonts w:hint="eastAsia" w:ascii="宋体" w:hAnsi="宋体" w:eastAsia="宋体" w:cs="宋体"/>
          <w:i w:val="0"/>
          <w:iCs w:val="0"/>
          <w:caps w:val="0"/>
          <w:color w:val="000000"/>
          <w:spacing w:val="4"/>
          <w:sz w:val="24"/>
          <w:szCs w:val="24"/>
          <w:shd w:val="clear" w:color="auto" w:fill="FFFFFF"/>
        </w:rPr>
        <w:t>具体质量要求详见</w:t>
      </w:r>
      <w:r>
        <w:rPr>
          <w:rFonts w:hint="eastAsia" w:ascii="宋体" w:hAnsi="宋体" w:cs="宋体"/>
          <w:i w:val="0"/>
          <w:iCs w:val="0"/>
          <w:caps w:val="0"/>
          <w:color w:val="000000"/>
          <w:spacing w:val="4"/>
          <w:sz w:val="24"/>
          <w:szCs w:val="24"/>
          <w:shd w:val="clear" w:color="auto" w:fill="FFFFFF"/>
          <w:lang w:eastAsia="zh-CN"/>
        </w:rPr>
        <w:t>附件《</w:t>
      </w:r>
      <w:r>
        <w:rPr>
          <w:rFonts w:hint="eastAsia" w:ascii="宋体" w:hAnsi="宋体" w:eastAsia="宋体" w:cs="宋体"/>
          <w:i w:val="0"/>
          <w:iCs w:val="0"/>
          <w:caps w:val="0"/>
          <w:color w:val="000000"/>
          <w:spacing w:val="4"/>
          <w:sz w:val="24"/>
          <w:szCs w:val="24"/>
          <w:shd w:val="clear" w:color="auto" w:fill="FFFFFF"/>
          <w:lang w:val="en-US" w:eastAsia="zh-CN"/>
        </w:rPr>
        <w:t>学校大宗食材原（辅）料</w:t>
      </w:r>
      <w:r>
        <w:rPr>
          <w:rFonts w:hint="eastAsia" w:ascii="宋体" w:hAnsi="宋体" w:eastAsia="宋体" w:cs="宋体"/>
          <w:i w:val="0"/>
          <w:iCs w:val="0"/>
          <w:caps w:val="0"/>
          <w:color w:val="000000"/>
          <w:spacing w:val="4"/>
          <w:sz w:val="24"/>
          <w:szCs w:val="24"/>
          <w:shd w:val="clear" w:color="auto" w:fill="FFFFFF"/>
        </w:rPr>
        <w:t>技术及质量要求表</w:t>
      </w:r>
      <w:r>
        <w:rPr>
          <w:rFonts w:hint="eastAsia" w:ascii="宋体" w:hAnsi="宋体" w:cs="宋体"/>
          <w:i w:val="0"/>
          <w:iCs w:val="0"/>
          <w:caps w:val="0"/>
          <w:color w:val="000000"/>
          <w:spacing w:val="4"/>
          <w:sz w:val="24"/>
          <w:szCs w:val="24"/>
          <w:shd w:val="clear" w:color="auto" w:fill="FFFFFF"/>
          <w:lang w:eastAsia="zh-CN"/>
        </w:rPr>
        <w:t>》</w:t>
      </w:r>
      <w:r>
        <w:rPr>
          <w:rFonts w:hint="eastAsia" w:ascii="宋体" w:hAnsi="宋体" w:eastAsia="宋体" w:cs="宋体"/>
          <w:i w:val="0"/>
          <w:iCs w:val="0"/>
          <w:caps w:val="0"/>
          <w:color w:val="000000"/>
          <w:spacing w:val="4"/>
          <w:sz w:val="24"/>
          <w:szCs w:val="24"/>
          <w:shd w:val="clear" w:color="auto" w:fill="FFFFFF"/>
        </w:rPr>
        <w:t>。</w:t>
      </w:r>
    </w:p>
    <w:p w14:paraId="5610217B">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color w:val="000000"/>
          <w:sz w:val="24"/>
          <w:szCs w:val="24"/>
        </w:rPr>
      </w:pPr>
      <w:r>
        <w:rPr>
          <w:rFonts w:hint="eastAsia" w:ascii="宋体" w:hAnsi="宋体" w:eastAsia="宋体" w:cs="宋体"/>
          <w:b/>
          <w:bCs/>
          <w:i w:val="0"/>
          <w:iCs w:val="0"/>
          <w:caps w:val="0"/>
          <w:color w:val="000000"/>
          <w:spacing w:val="4"/>
          <w:sz w:val="24"/>
          <w:szCs w:val="24"/>
          <w:shd w:val="clear" w:color="auto" w:fill="FFFFFF"/>
          <w:lang w:eastAsia="zh-CN"/>
        </w:rPr>
        <w:t>一</w:t>
      </w:r>
      <w:r>
        <w:rPr>
          <w:rFonts w:hint="eastAsia" w:ascii="宋体" w:hAnsi="宋体" w:eastAsia="宋体" w:cs="宋体"/>
          <w:b/>
          <w:bCs/>
          <w:i w:val="0"/>
          <w:iCs w:val="0"/>
          <w:caps w:val="0"/>
          <w:color w:val="000000"/>
          <w:spacing w:val="4"/>
          <w:sz w:val="24"/>
          <w:szCs w:val="24"/>
          <w:shd w:val="clear" w:color="auto" w:fill="FFFFFF"/>
          <w:lang w:val="en-US" w:eastAsia="zh-CN"/>
        </w:rPr>
        <w:t>、</w:t>
      </w:r>
      <w:r>
        <w:rPr>
          <w:rFonts w:hint="eastAsia" w:ascii="宋体" w:hAnsi="宋体" w:eastAsia="宋体" w:cs="宋体"/>
          <w:b/>
          <w:bCs/>
          <w:i w:val="0"/>
          <w:iCs w:val="0"/>
          <w:caps w:val="0"/>
          <w:color w:val="000000"/>
          <w:spacing w:val="4"/>
          <w:sz w:val="24"/>
          <w:szCs w:val="24"/>
          <w:shd w:val="clear" w:color="auto" w:fill="FFFFFF"/>
        </w:rPr>
        <w:t>合同期限</w:t>
      </w:r>
    </w:p>
    <w:p w14:paraId="55C29425">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496" w:firstLineChars="200"/>
        <w:jc w:val="both"/>
        <w:textAlignment w:val="auto"/>
        <w:rPr>
          <w:rFonts w:hint="eastAsia" w:ascii="宋体" w:hAnsi="宋体" w:eastAsia="宋体" w:cs="宋体"/>
          <w:color w:val="000000"/>
          <w:spacing w:val="-18"/>
          <w:sz w:val="24"/>
          <w:szCs w:val="24"/>
          <w:lang w:val="en-US" w:eastAsia="zh-CN"/>
        </w:rPr>
      </w:pPr>
      <w:r>
        <w:rPr>
          <w:rFonts w:hint="eastAsia" w:ascii="宋体" w:hAnsi="宋体" w:eastAsia="宋体" w:cs="宋体"/>
          <w:i w:val="0"/>
          <w:iCs w:val="0"/>
          <w:caps w:val="0"/>
          <w:color w:val="000000"/>
          <w:spacing w:val="4"/>
          <w:sz w:val="24"/>
          <w:szCs w:val="24"/>
          <w:shd w:val="clear" w:color="auto" w:fill="FFFFFF"/>
        </w:rPr>
        <w:t>供货服务期年，即：年月日至年月日止；合同一年一签，即</w:t>
      </w:r>
      <w:r>
        <w:rPr>
          <w:rFonts w:hint="eastAsia" w:ascii="宋体" w:hAnsi="宋体" w:cs="宋体"/>
          <w:i w:val="0"/>
          <w:iCs w:val="0"/>
          <w:caps w:val="0"/>
          <w:color w:val="000000"/>
          <w:spacing w:val="4"/>
          <w:sz w:val="24"/>
          <w:szCs w:val="24"/>
          <w:shd w:val="clear" w:color="auto" w:fill="FFFFFF"/>
          <w:lang w:eastAsia="zh-CN"/>
        </w:rPr>
        <w:t>：</w:t>
      </w:r>
      <w:r>
        <w:rPr>
          <w:rFonts w:hint="eastAsia" w:ascii="宋体" w:hAnsi="宋体" w:cs="宋体"/>
          <w:i w:val="0"/>
          <w:iCs w:val="0"/>
          <w:caps w:val="0"/>
          <w:color w:val="000000"/>
          <w:spacing w:val="4"/>
          <w:sz w:val="24"/>
          <w:szCs w:val="24"/>
          <w:u w:val="none"/>
          <w:shd w:val="clear" w:color="auto" w:fill="FFFFFF"/>
          <w:lang w:val="en-US" w:eastAsia="zh-CN"/>
        </w:rPr>
        <w:t>年月</w:t>
      </w:r>
      <w:r>
        <w:rPr>
          <w:rFonts w:hint="eastAsia" w:ascii="宋体" w:hAnsi="宋体" w:eastAsia="宋体" w:cs="宋体"/>
          <w:i w:val="0"/>
          <w:iCs w:val="0"/>
          <w:caps w:val="0"/>
          <w:color w:val="000000"/>
          <w:spacing w:val="4"/>
          <w:sz w:val="24"/>
          <w:szCs w:val="24"/>
          <w:shd w:val="clear" w:color="auto" w:fill="FFFFFF"/>
        </w:rPr>
        <w:t>日至年月日止。</w:t>
      </w:r>
      <w:r>
        <w:rPr>
          <w:rFonts w:hint="eastAsia" w:ascii="宋体" w:hAnsi="宋体" w:eastAsia="宋体" w:cs="宋体"/>
          <w:snapToGrid w:val="0"/>
          <w:color w:val="000000"/>
          <w:spacing w:val="-3"/>
          <w:kern w:val="0"/>
          <w:sz w:val="24"/>
          <w:szCs w:val="24"/>
          <w:lang w:val="en-US" w:eastAsia="zh-CN" w:bidi="ar-SA"/>
        </w:rPr>
        <w:t>如采用招投标方式确定管理服务对象的，则本合同期限与招投标文件保持一致。</w:t>
      </w:r>
    </w:p>
    <w:p w14:paraId="3DADD499">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4"/>
          <w:sz w:val="24"/>
          <w:szCs w:val="24"/>
          <w:shd w:val="clear" w:color="auto" w:fill="FFFFFF"/>
        </w:rPr>
        <w:t>服务期内，国家、</w:t>
      </w:r>
      <w:r>
        <w:rPr>
          <w:rFonts w:hint="eastAsia" w:ascii="宋体" w:hAnsi="宋体" w:eastAsia="宋体" w:cs="宋体"/>
          <w:i w:val="0"/>
          <w:iCs w:val="0"/>
          <w:caps w:val="0"/>
          <w:color w:val="000000"/>
          <w:spacing w:val="4"/>
          <w:sz w:val="24"/>
          <w:szCs w:val="24"/>
          <w:shd w:val="clear" w:color="auto" w:fill="FFFFFF"/>
          <w:lang w:eastAsia="zh-CN"/>
        </w:rPr>
        <w:t>自治区</w:t>
      </w:r>
      <w:r>
        <w:rPr>
          <w:rFonts w:hint="eastAsia" w:ascii="宋体" w:hAnsi="宋体" w:eastAsia="宋体" w:cs="宋体"/>
          <w:i w:val="0"/>
          <w:iCs w:val="0"/>
          <w:caps w:val="0"/>
          <w:color w:val="000000"/>
          <w:spacing w:val="4"/>
          <w:sz w:val="24"/>
          <w:szCs w:val="24"/>
          <w:shd w:val="clear" w:color="auto" w:fill="FFFFFF"/>
        </w:rPr>
        <w:t>如发布新的规定，按照国家、</w:t>
      </w:r>
      <w:r>
        <w:rPr>
          <w:rFonts w:hint="eastAsia" w:ascii="宋体" w:hAnsi="宋体" w:eastAsia="宋体" w:cs="宋体"/>
          <w:i w:val="0"/>
          <w:iCs w:val="0"/>
          <w:caps w:val="0"/>
          <w:color w:val="000000"/>
          <w:spacing w:val="4"/>
          <w:sz w:val="24"/>
          <w:szCs w:val="24"/>
          <w:shd w:val="clear" w:color="auto" w:fill="FFFFFF"/>
          <w:lang w:eastAsia="zh-CN"/>
        </w:rPr>
        <w:t>自治区</w:t>
      </w:r>
      <w:r>
        <w:rPr>
          <w:rFonts w:hint="eastAsia" w:ascii="宋体" w:hAnsi="宋体" w:eastAsia="宋体" w:cs="宋体"/>
          <w:i w:val="0"/>
          <w:iCs w:val="0"/>
          <w:caps w:val="0"/>
          <w:color w:val="000000"/>
          <w:spacing w:val="4"/>
          <w:sz w:val="24"/>
          <w:szCs w:val="24"/>
          <w:shd w:val="clear" w:color="auto" w:fill="FFFFFF"/>
        </w:rPr>
        <w:t>新的规定执行。</w:t>
      </w:r>
    </w:p>
    <w:p w14:paraId="1D14CFF0">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i w:val="0"/>
          <w:iCs w:val="0"/>
          <w:caps w:val="0"/>
          <w:color w:val="000000"/>
          <w:spacing w:val="4"/>
          <w:sz w:val="24"/>
          <w:szCs w:val="24"/>
          <w:shd w:val="clear" w:color="auto" w:fill="FFFFFF"/>
          <w:lang w:eastAsia="zh-CN"/>
        </w:rPr>
      </w:pPr>
      <w:r>
        <w:rPr>
          <w:rFonts w:hint="eastAsia" w:ascii="宋体" w:hAnsi="宋体" w:eastAsia="宋体" w:cs="宋体"/>
          <w:b/>
          <w:bCs/>
          <w:i w:val="0"/>
          <w:iCs w:val="0"/>
          <w:caps w:val="0"/>
          <w:color w:val="000000"/>
          <w:spacing w:val="4"/>
          <w:sz w:val="24"/>
          <w:szCs w:val="24"/>
          <w:shd w:val="clear" w:color="auto" w:fill="FFFFFF"/>
          <w:lang w:eastAsia="zh-CN"/>
        </w:rPr>
        <w:t>二、合同金额、食材供应的品种及单价</w:t>
      </w:r>
    </w:p>
    <w:p w14:paraId="21195698">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4"/>
          <w:sz w:val="24"/>
          <w:szCs w:val="24"/>
          <w:shd w:val="clear" w:color="auto" w:fill="FFFFFF"/>
          <w:lang w:eastAsia="zh-CN"/>
        </w:rPr>
        <w:t>（一）</w:t>
      </w:r>
      <w:r>
        <w:rPr>
          <w:rFonts w:hint="eastAsia" w:ascii="宋体" w:hAnsi="宋体" w:eastAsia="宋体" w:cs="宋体"/>
          <w:i w:val="0"/>
          <w:iCs w:val="0"/>
          <w:caps w:val="0"/>
          <w:color w:val="000000"/>
          <w:spacing w:val="4"/>
          <w:sz w:val="24"/>
          <w:szCs w:val="24"/>
          <w:shd w:val="clear" w:color="auto" w:fill="FFFFFF"/>
        </w:rPr>
        <w:t>预计年采购金额为万元（本合同具体金额：学校按照国家</w:t>
      </w:r>
      <w:r>
        <w:rPr>
          <w:rFonts w:hint="eastAsia" w:ascii="宋体" w:hAnsi="宋体" w:eastAsia="宋体" w:cs="宋体"/>
          <w:i w:val="0"/>
          <w:iCs w:val="0"/>
          <w:caps w:val="0"/>
          <w:color w:val="000000"/>
          <w:spacing w:val="4"/>
          <w:sz w:val="24"/>
          <w:szCs w:val="24"/>
          <w:shd w:val="clear" w:color="auto" w:fill="FFFFFF"/>
          <w:lang w:eastAsia="zh-CN"/>
        </w:rPr>
        <w:t>和自治区</w:t>
      </w:r>
      <w:r>
        <w:rPr>
          <w:rFonts w:hint="eastAsia" w:ascii="宋体" w:hAnsi="宋体" w:eastAsia="宋体" w:cs="宋体"/>
          <w:i w:val="0"/>
          <w:iCs w:val="0"/>
          <w:caps w:val="0"/>
          <w:color w:val="000000"/>
          <w:spacing w:val="4"/>
          <w:sz w:val="24"/>
          <w:szCs w:val="24"/>
          <w:shd w:val="clear" w:color="auto" w:fill="FFFFFF"/>
        </w:rPr>
        <w:t>有关规定采购贫困地区农副产品之外的实际发生采购金额</w:t>
      </w:r>
      <w:r>
        <w:rPr>
          <w:rFonts w:hint="eastAsia" w:ascii="宋体" w:hAnsi="宋体" w:cs="宋体"/>
          <w:i w:val="0"/>
          <w:iCs w:val="0"/>
          <w:caps w:val="0"/>
          <w:color w:val="000000"/>
          <w:spacing w:val="4"/>
          <w:sz w:val="24"/>
          <w:szCs w:val="24"/>
          <w:shd w:val="clear" w:color="auto" w:fill="FFFFFF"/>
          <w:lang w:eastAsia="zh-CN"/>
        </w:rPr>
        <w:t>，</w:t>
      </w:r>
      <w:r>
        <w:rPr>
          <w:rFonts w:hint="eastAsia" w:ascii="宋体" w:hAnsi="宋体" w:eastAsia="宋体" w:cs="宋体"/>
          <w:b w:val="0"/>
          <w:bCs w:val="0"/>
          <w:color w:val="000000"/>
          <w:sz w:val="24"/>
          <w:szCs w:val="24"/>
          <w:u w:val="none"/>
        </w:rPr>
        <w:t>最终以实际配送数量和范围进行结算</w:t>
      </w:r>
      <w:r>
        <w:rPr>
          <w:rFonts w:hint="eastAsia" w:ascii="宋体" w:hAnsi="宋体" w:eastAsia="宋体" w:cs="宋体"/>
          <w:i w:val="0"/>
          <w:iCs w:val="0"/>
          <w:caps w:val="0"/>
          <w:color w:val="000000"/>
          <w:spacing w:val="4"/>
          <w:sz w:val="24"/>
          <w:szCs w:val="24"/>
          <w:shd w:val="clear" w:color="auto" w:fill="FFFFFF"/>
        </w:rPr>
        <w:t>）。</w:t>
      </w:r>
    </w:p>
    <w:p w14:paraId="5665833B">
      <w:pPr>
        <w:rPr>
          <w:rFonts w:hint="eastAsia" w:eastAsia="宋体"/>
          <w:lang w:val="en-US" w:eastAsia="zh-CN"/>
        </w:rPr>
      </w:pPr>
      <w:r>
        <w:rPr>
          <w:rFonts w:hint="eastAsia"/>
          <w:lang w:eastAsia="zh-CN"/>
        </w:rPr>
        <w:t>（二）本次招标实行定点采购的食堂原（辅）材料为以下项目：大米、面粉、食用油、调味品、肉、禽蛋、蔬菜、豆制品、水果等食品。</w:t>
      </w:r>
    </w:p>
    <w:p w14:paraId="1516CF4A">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color w:val="000000"/>
          <w:sz w:val="24"/>
          <w:szCs w:val="24"/>
        </w:rPr>
      </w:pPr>
      <w:r>
        <w:rPr>
          <w:rFonts w:hint="eastAsia" w:ascii="宋体" w:hAnsi="宋体" w:eastAsia="宋体" w:cs="宋体"/>
          <w:b/>
          <w:bCs/>
          <w:i w:val="0"/>
          <w:iCs w:val="0"/>
          <w:caps w:val="0"/>
          <w:color w:val="000000"/>
          <w:spacing w:val="4"/>
          <w:sz w:val="24"/>
          <w:szCs w:val="24"/>
          <w:shd w:val="clear" w:color="auto" w:fill="FFFFFF"/>
          <w:lang w:eastAsia="zh-CN"/>
        </w:rPr>
        <w:t>三、交货地点、时间、数量及验收</w:t>
      </w:r>
    </w:p>
    <w:p w14:paraId="06FEAABD">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lang w:eastAsia="zh-CN"/>
        </w:rPr>
      </w:pPr>
      <w:r>
        <w:rPr>
          <w:rFonts w:hint="eastAsia" w:ascii="宋体" w:hAnsi="宋体" w:eastAsia="宋体" w:cs="宋体"/>
          <w:i w:val="0"/>
          <w:iCs w:val="0"/>
          <w:caps w:val="0"/>
          <w:color w:val="000000"/>
          <w:spacing w:val="4"/>
          <w:sz w:val="24"/>
          <w:szCs w:val="24"/>
          <w:shd w:val="clear" w:color="auto" w:fill="FFFFFF"/>
          <w:lang w:eastAsia="zh-CN"/>
        </w:rPr>
        <w:t>（一）</w:t>
      </w:r>
      <w:r>
        <w:rPr>
          <w:rFonts w:hint="eastAsia" w:ascii="宋体" w:hAnsi="宋体" w:eastAsia="宋体" w:cs="宋体"/>
          <w:i w:val="0"/>
          <w:iCs w:val="0"/>
          <w:caps w:val="0"/>
          <w:color w:val="000000"/>
          <w:spacing w:val="4"/>
          <w:sz w:val="24"/>
          <w:szCs w:val="24"/>
          <w:shd w:val="clear" w:color="auto" w:fill="FFFFFF"/>
        </w:rPr>
        <w:t>交货地点：乙方根据配送范围内学校具体要求将产品送至指定地方即配送目标学校内，原则上送至学校食堂</w:t>
      </w:r>
      <w:r>
        <w:rPr>
          <w:rFonts w:hint="eastAsia" w:ascii="宋体" w:hAnsi="宋体" w:eastAsia="宋体" w:cs="宋体"/>
          <w:i w:val="0"/>
          <w:iCs w:val="0"/>
          <w:caps w:val="0"/>
          <w:color w:val="000000"/>
          <w:spacing w:val="4"/>
          <w:sz w:val="24"/>
          <w:szCs w:val="24"/>
          <w:shd w:val="clear" w:color="auto" w:fill="FFFFFF"/>
          <w:lang w:eastAsia="zh-CN"/>
        </w:rPr>
        <w:t>。</w:t>
      </w:r>
    </w:p>
    <w:p w14:paraId="645E4EAD">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w:t>
      </w:r>
      <w:r>
        <w:rPr>
          <w:rFonts w:hint="eastAsia" w:ascii="宋体" w:hAnsi="宋体" w:cs="宋体"/>
          <w:i w:val="0"/>
          <w:iCs w:val="0"/>
          <w:caps w:val="0"/>
          <w:color w:val="000000"/>
          <w:spacing w:val="4"/>
          <w:sz w:val="24"/>
          <w:szCs w:val="24"/>
          <w:shd w:val="clear" w:color="auto" w:fill="FFFFFF"/>
          <w:lang w:eastAsia="zh-CN"/>
        </w:rPr>
        <w:t>二</w:t>
      </w:r>
      <w:r>
        <w:rPr>
          <w:rFonts w:hint="eastAsia" w:ascii="宋体" w:hAnsi="宋体" w:eastAsia="宋体" w:cs="宋体"/>
          <w:i w:val="0"/>
          <w:iCs w:val="0"/>
          <w:caps w:val="0"/>
          <w:color w:val="000000"/>
          <w:spacing w:val="4"/>
          <w:sz w:val="24"/>
          <w:szCs w:val="24"/>
          <w:shd w:val="clear" w:color="auto" w:fill="FFFFFF"/>
          <w:lang w:eastAsia="zh-CN"/>
        </w:rPr>
        <w:t>）数量：</w:t>
      </w:r>
      <w:r>
        <w:rPr>
          <w:rFonts w:hint="eastAsia" w:ascii="宋体" w:hAnsi="宋体" w:eastAsia="宋体" w:cs="宋体"/>
          <w:i w:val="0"/>
          <w:iCs w:val="0"/>
          <w:caps w:val="0"/>
          <w:color w:val="000000"/>
          <w:spacing w:val="4"/>
          <w:sz w:val="24"/>
          <w:szCs w:val="24"/>
          <w:shd w:val="clear" w:color="auto" w:fill="FFFFFF"/>
        </w:rPr>
        <w:t>以甲乙双方签字确认后的配送验收单为准。</w:t>
      </w:r>
    </w:p>
    <w:p w14:paraId="23164098">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lang w:eastAsia="zh-CN"/>
        </w:rPr>
      </w:pPr>
      <w:r>
        <w:rPr>
          <w:rFonts w:hint="eastAsia" w:ascii="宋体" w:hAnsi="宋体" w:eastAsia="宋体" w:cs="宋体"/>
          <w:i w:val="0"/>
          <w:iCs w:val="0"/>
          <w:caps w:val="0"/>
          <w:color w:val="000000"/>
          <w:spacing w:val="4"/>
          <w:sz w:val="24"/>
          <w:szCs w:val="24"/>
          <w:shd w:val="clear" w:color="auto" w:fill="FFFFFF"/>
          <w:lang w:eastAsia="zh-CN"/>
        </w:rPr>
        <w:t>（</w:t>
      </w:r>
      <w:r>
        <w:rPr>
          <w:rFonts w:hint="eastAsia" w:ascii="宋体" w:hAnsi="宋体" w:cs="宋体"/>
          <w:i w:val="0"/>
          <w:iCs w:val="0"/>
          <w:caps w:val="0"/>
          <w:color w:val="000000"/>
          <w:spacing w:val="4"/>
          <w:sz w:val="24"/>
          <w:szCs w:val="24"/>
          <w:shd w:val="clear" w:color="auto" w:fill="FFFFFF"/>
          <w:lang w:eastAsia="zh-CN"/>
        </w:rPr>
        <w:t>三</w:t>
      </w:r>
      <w:r>
        <w:rPr>
          <w:rFonts w:hint="eastAsia" w:ascii="宋体" w:hAnsi="宋体" w:eastAsia="宋体" w:cs="宋体"/>
          <w:i w:val="0"/>
          <w:iCs w:val="0"/>
          <w:caps w:val="0"/>
          <w:color w:val="000000"/>
          <w:spacing w:val="4"/>
          <w:sz w:val="24"/>
          <w:szCs w:val="24"/>
          <w:shd w:val="clear" w:color="auto" w:fill="FFFFFF"/>
          <w:lang w:eastAsia="zh-CN"/>
        </w:rPr>
        <w:t>）验收：</w:t>
      </w:r>
    </w:p>
    <w:p w14:paraId="2B45830A">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val="en-US" w:eastAsia="zh-CN"/>
        </w:rPr>
        <w:t>1.</w:t>
      </w:r>
      <w:r>
        <w:rPr>
          <w:rFonts w:hint="eastAsia" w:ascii="宋体" w:hAnsi="宋体" w:eastAsia="宋体" w:cs="宋体"/>
          <w:i w:val="0"/>
          <w:iCs w:val="0"/>
          <w:caps w:val="0"/>
          <w:color w:val="000000"/>
          <w:spacing w:val="4"/>
          <w:sz w:val="24"/>
          <w:szCs w:val="24"/>
          <w:shd w:val="clear" w:color="auto" w:fill="FFFFFF"/>
        </w:rPr>
        <w:t>在收到配送货物的现场，由甲方指定负责人按照确定的订货清单验收。</w:t>
      </w:r>
    </w:p>
    <w:p w14:paraId="19A060C5">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val="en-US" w:eastAsia="zh-CN"/>
        </w:rPr>
        <w:t>2.</w:t>
      </w:r>
      <w:r>
        <w:rPr>
          <w:rFonts w:hint="eastAsia" w:ascii="宋体" w:hAnsi="宋体" w:eastAsia="宋体" w:cs="宋体"/>
          <w:i w:val="0"/>
          <w:iCs w:val="0"/>
          <w:caps w:val="0"/>
          <w:color w:val="000000"/>
          <w:spacing w:val="4"/>
          <w:sz w:val="24"/>
          <w:szCs w:val="24"/>
          <w:shd w:val="clear" w:color="auto" w:fill="FFFFFF"/>
        </w:rPr>
        <w:t>如甲方对产品的质量、数量、等级、包装有异议的，应在验收时向乙方提出。</w:t>
      </w:r>
    </w:p>
    <w:p w14:paraId="3D612FB4">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val="en-US" w:eastAsia="zh-CN"/>
        </w:rPr>
        <w:t>3.</w:t>
      </w:r>
      <w:r>
        <w:rPr>
          <w:rFonts w:hint="eastAsia" w:ascii="宋体" w:hAnsi="宋体" w:eastAsia="宋体" w:cs="宋体"/>
          <w:i w:val="0"/>
          <w:iCs w:val="0"/>
          <w:caps w:val="0"/>
          <w:color w:val="000000"/>
          <w:spacing w:val="4"/>
          <w:sz w:val="24"/>
          <w:szCs w:val="24"/>
          <w:shd w:val="clear" w:color="auto" w:fill="FFFFFF"/>
        </w:rPr>
        <w:t>甲乙双方验收合格后，应在配送验收清单上签字确认。</w:t>
      </w:r>
    </w:p>
    <w:p w14:paraId="5C645074">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val="en-US" w:eastAsia="zh-CN"/>
        </w:rPr>
        <w:t>4.</w:t>
      </w:r>
      <w:r>
        <w:rPr>
          <w:rFonts w:hint="eastAsia" w:ascii="宋体" w:hAnsi="宋体" w:eastAsia="宋体" w:cs="宋体"/>
          <w:i w:val="0"/>
          <w:iCs w:val="0"/>
          <w:caps w:val="0"/>
          <w:color w:val="000000"/>
          <w:spacing w:val="4"/>
          <w:sz w:val="24"/>
          <w:szCs w:val="24"/>
          <w:shd w:val="clear" w:color="auto" w:fill="FFFFFF"/>
        </w:rPr>
        <w:t>对不符合质量的品种，甲方有权退货和要求乙方换货，乙方应及时处理、解决，不得影响学校为学生供餐。</w:t>
      </w:r>
    </w:p>
    <w:p w14:paraId="1FA56C4A">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i w:val="0"/>
          <w:iCs w:val="0"/>
          <w:caps w:val="0"/>
          <w:color w:val="000000"/>
          <w:spacing w:val="4"/>
          <w:sz w:val="24"/>
          <w:szCs w:val="24"/>
          <w:shd w:val="clear" w:color="auto" w:fill="FFFFFF"/>
        </w:rPr>
      </w:pPr>
      <w:r>
        <w:rPr>
          <w:rFonts w:hint="eastAsia" w:ascii="宋体" w:hAnsi="宋体" w:eastAsia="宋体" w:cs="宋体"/>
          <w:b/>
          <w:bCs/>
          <w:i w:val="0"/>
          <w:iCs w:val="0"/>
          <w:caps w:val="0"/>
          <w:color w:val="000000"/>
          <w:spacing w:val="4"/>
          <w:sz w:val="24"/>
          <w:szCs w:val="24"/>
          <w:shd w:val="clear" w:color="auto" w:fill="FFFFFF"/>
          <w:lang w:eastAsia="zh-CN"/>
        </w:rPr>
        <w:t>四、结算及付款方式</w:t>
      </w:r>
    </w:p>
    <w:p w14:paraId="5676733A">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（一）</w:t>
      </w:r>
      <w:r>
        <w:rPr>
          <w:rFonts w:hint="eastAsia" w:ascii="宋体" w:hAnsi="宋体" w:eastAsia="宋体" w:cs="宋体"/>
          <w:i w:val="0"/>
          <w:iCs w:val="0"/>
          <w:caps w:val="0"/>
          <w:color w:val="000000"/>
          <w:spacing w:val="4"/>
          <w:sz w:val="24"/>
          <w:szCs w:val="24"/>
          <w:shd w:val="clear" w:color="auto" w:fill="FFFFFF"/>
        </w:rPr>
        <w:t>甲乙双方应在月底完成当月供货有关情况核对工作。</w:t>
      </w:r>
    </w:p>
    <w:p w14:paraId="302186FE">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（二）</w:t>
      </w:r>
      <w:r>
        <w:rPr>
          <w:rFonts w:hint="eastAsia" w:ascii="宋体" w:hAnsi="宋体" w:eastAsia="宋体" w:cs="宋体"/>
          <w:i w:val="0"/>
          <w:iCs w:val="0"/>
          <w:caps w:val="0"/>
          <w:color w:val="000000"/>
          <w:spacing w:val="4"/>
          <w:sz w:val="24"/>
          <w:szCs w:val="24"/>
          <w:shd w:val="clear" w:color="auto" w:fill="FFFFFF"/>
        </w:rPr>
        <w:t>乙方应于次月第一周，向甲方提供上月货款的正规发票，甲方经核实无异议后，在收到发票</w:t>
      </w:r>
      <w:r>
        <w:rPr>
          <w:rFonts w:hint="eastAsia" w:ascii="宋体" w:hAnsi="宋体" w:cs="宋体"/>
          <w:i w:val="0"/>
          <w:iCs w:val="0"/>
          <w:caps w:val="0"/>
          <w:color w:val="000000"/>
          <w:spacing w:val="4"/>
          <w:sz w:val="24"/>
          <w:szCs w:val="24"/>
          <w:u w:val="none"/>
          <w:shd w:val="clear" w:color="auto" w:fill="FFFFFF"/>
          <w:lang w:val="en-US" w:eastAsia="zh-CN"/>
        </w:rPr>
        <w:t>个</w:t>
      </w:r>
      <w:r>
        <w:rPr>
          <w:rFonts w:hint="eastAsia" w:ascii="宋体" w:hAnsi="宋体" w:eastAsia="宋体" w:cs="宋体"/>
          <w:i w:val="0"/>
          <w:iCs w:val="0"/>
          <w:caps w:val="0"/>
          <w:color w:val="000000"/>
          <w:spacing w:val="4"/>
          <w:sz w:val="24"/>
          <w:szCs w:val="24"/>
          <w:shd w:val="clear" w:color="auto" w:fill="FFFFFF"/>
        </w:rPr>
        <w:t>工作日内将上月采购款支付给乙方。</w:t>
      </w:r>
    </w:p>
    <w:p w14:paraId="51A58C45">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（三）</w:t>
      </w:r>
      <w:r>
        <w:rPr>
          <w:rFonts w:hint="eastAsia" w:ascii="宋体" w:hAnsi="宋体" w:eastAsia="宋体" w:cs="宋体"/>
          <w:i w:val="0"/>
          <w:iCs w:val="0"/>
          <w:caps w:val="0"/>
          <w:color w:val="000000"/>
          <w:spacing w:val="4"/>
          <w:sz w:val="24"/>
          <w:szCs w:val="24"/>
          <w:shd w:val="clear" w:color="auto" w:fill="FFFFFF"/>
        </w:rPr>
        <w:t>付款方式：公对公银行转账或公对个人（农户）银行转账。</w:t>
      </w:r>
    </w:p>
    <w:p w14:paraId="44EB02A3">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left"/>
        <w:textAlignment w:val="auto"/>
        <w:rPr>
          <w:rFonts w:hint="eastAsia" w:ascii="宋体" w:hAnsi="宋体" w:eastAsia="宋体" w:cs="宋体"/>
          <w:i w:val="0"/>
          <w:iCs w:val="0"/>
          <w:caps w:val="0"/>
          <w:color w:val="000000"/>
          <w:spacing w:val="4"/>
          <w:sz w:val="24"/>
          <w:szCs w:val="24"/>
          <w:shd w:val="clear" w:color="auto" w:fill="FFFFFF"/>
          <w:lang w:eastAsia="zh-CN"/>
        </w:rPr>
      </w:pPr>
      <w:r>
        <w:rPr>
          <w:rFonts w:hint="eastAsia" w:ascii="宋体" w:hAnsi="宋体" w:cs="宋体"/>
          <w:i w:val="0"/>
          <w:iCs w:val="0"/>
          <w:caps w:val="0"/>
          <w:color w:val="000000"/>
          <w:spacing w:val="4"/>
          <w:sz w:val="24"/>
          <w:szCs w:val="24"/>
          <w:shd w:val="clear" w:color="auto" w:fill="FFFFFF"/>
          <w:lang w:eastAsia="zh-CN"/>
        </w:rPr>
        <w:t>（四）其他结算方式：</w:t>
      </w:r>
      <w:r>
        <w:rPr>
          <w:rFonts w:ascii="宋体" w:hAnsi="宋体" w:cs="宋体"/>
          <w:color w:val="000000"/>
          <w:u w:val="single"/>
        </w:rPr>
        <w:t>             </w:t>
      </w:r>
    </w:p>
    <w:p w14:paraId="4908D3FE">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w:t>
      </w:r>
      <w:r>
        <w:rPr>
          <w:rFonts w:hint="eastAsia" w:ascii="宋体" w:hAnsi="宋体" w:cs="宋体"/>
          <w:i w:val="0"/>
          <w:iCs w:val="0"/>
          <w:caps w:val="0"/>
          <w:color w:val="000000"/>
          <w:spacing w:val="4"/>
          <w:sz w:val="24"/>
          <w:szCs w:val="24"/>
          <w:shd w:val="clear" w:color="auto" w:fill="FFFFFF"/>
          <w:lang w:eastAsia="zh-CN"/>
        </w:rPr>
        <w:t>五</w:t>
      </w:r>
      <w:r>
        <w:rPr>
          <w:rFonts w:hint="eastAsia" w:ascii="宋体" w:hAnsi="宋体" w:eastAsia="宋体" w:cs="宋体"/>
          <w:i w:val="0"/>
          <w:iCs w:val="0"/>
          <w:caps w:val="0"/>
          <w:color w:val="000000"/>
          <w:spacing w:val="4"/>
          <w:sz w:val="24"/>
          <w:szCs w:val="24"/>
          <w:shd w:val="clear" w:color="auto" w:fill="FFFFFF"/>
          <w:lang w:eastAsia="zh-CN"/>
        </w:rPr>
        <w:t>）</w:t>
      </w:r>
      <w:r>
        <w:rPr>
          <w:rFonts w:hint="eastAsia" w:ascii="宋体" w:hAnsi="宋体" w:eastAsia="宋体" w:cs="宋体"/>
          <w:i w:val="0"/>
          <w:iCs w:val="0"/>
          <w:caps w:val="0"/>
          <w:color w:val="000000"/>
          <w:spacing w:val="4"/>
          <w:sz w:val="24"/>
          <w:szCs w:val="24"/>
          <w:shd w:val="clear" w:color="auto" w:fill="FFFFFF"/>
        </w:rPr>
        <w:t>合同期满或中途解除合同，双方应当按照本合同的约定进行对账和结算，确定未结算的价款，甲方在确定价款后内，一次性结算乙方的所有款项。</w:t>
      </w:r>
    </w:p>
    <w:p w14:paraId="6E0F6F9B">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i w:val="0"/>
          <w:iCs w:val="0"/>
          <w:caps w:val="0"/>
          <w:color w:val="000000"/>
          <w:spacing w:val="4"/>
          <w:sz w:val="24"/>
          <w:szCs w:val="24"/>
          <w:shd w:val="clear" w:color="auto" w:fill="FFFFFF"/>
          <w:lang w:eastAsia="zh-CN"/>
        </w:rPr>
      </w:pPr>
      <w:r>
        <w:rPr>
          <w:rFonts w:hint="eastAsia" w:ascii="宋体" w:hAnsi="宋体" w:eastAsia="宋体" w:cs="宋体"/>
          <w:b/>
          <w:bCs/>
          <w:i w:val="0"/>
          <w:iCs w:val="0"/>
          <w:caps w:val="0"/>
          <w:color w:val="000000"/>
          <w:spacing w:val="4"/>
          <w:sz w:val="24"/>
          <w:szCs w:val="24"/>
          <w:shd w:val="clear" w:color="auto" w:fill="FFFFFF"/>
          <w:lang w:eastAsia="zh-CN"/>
        </w:rPr>
        <w:t>五、履约保证金</w:t>
      </w:r>
    </w:p>
    <w:p w14:paraId="03C979A3">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default" w:ascii="宋体" w:hAnsi="宋体" w:eastAsia="宋体" w:cs="宋体"/>
          <w:i w:val="0"/>
          <w:iCs w:val="0"/>
          <w:caps w:val="0"/>
          <w:color w:val="000000"/>
          <w:spacing w:val="4"/>
          <w:sz w:val="24"/>
          <w:szCs w:val="24"/>
          <w:u w:val="single"/>
          <w:shd w:val="clear" w:color="auto" w:fill="FFFFFF"/>
          <w:lang w:val="en-US" w:eastAsia="zh-CN"/>
        </w:rPr>
      </w:pPr>
      <w:r>
        <w:rPr>
          <w:rFonts w:hint="eastAsia" w:ascii="宋体" w:hAnsi="宋体" w:eastAsia="宋体" w:cs="宋体"/>
          <w:i w:val="0"/>
          <w:iCs w:val="0"/>
          <w:caps w:val="0"/>
          <w:color w:val="000000"/>
          <w:spacing w:val="4"/>
          <w:sz w:val="24"/>
          <w:szCs w:val="24"/>
          <w:shd w:val="clear" w:color="auto" w:fill="FFFFFF"/>
          <w:lang w:eastAsia="zh-CN"/>
        </w:rPr>
        <w:t>（一）</w:t>
      </w:r>
      <w:r>
        <w:rPr>
          <w:rFonts w:hint="eastAsia" w:ascii="宋体" w:hAnsi="宋体" w:eastAsia="宋体" w:cs="宋体"/>
          <w:snapToGrid w:val="0"/>
          <w:color w:val="000000"/>
          <w:spacing w:val="-4"/>
          <w:kern w:val="0"/>
          <w:sz w:val="24"/>
          <w:szCs w:val="24"/>
          <w:lang w:val="en-US" w:eastAsia="en-US" w:bidi="ar-SA"/>
        </w:rPr>
        <w:t>乙方在签订合同后</w:t>
      </w:r>
      <w:r>
        <w:rPr>
          <w:rFonts w:hint="eastAsia" w:ascii="宋体" w:hAnsi="宋体" w:eastAsia="宋体" w:cs="宋体"/>
          <w:snapToGrid w:val="0"/>
          <w:color w:val="000000"/>
          <w:spacing w:val="-4"/>
          <w:kern w:val="0"/>
          <w:sz w:val="24"/>
          <w:szCs w:val="24"/>
          <w:u w:val="single"/>
          <w:lang w:val="en-US" w:eastAsia="en-US" w:bidi="ar-SA"/>
        </w:rPr>
        <w:t>   </w:t>
      </w:r>
      <w:r>
        <w:rPr>
          <w:rFonts w:hint="eastAsia" w:ascii="宋体" w:hAnsi="宋体" w:eastAsia="宋体" w:cs="宋体"/>
          <w:snapToGrid w:val="0"/>
          <w:color w:val="000000"/>
          <w:spacing w:val="-4"/>
          <w:kern w:val="0"/>
          <w:sz w:val="24"/>
          <w:szCs w:val="24"/>
          <w:lang w:val="en-US" w:eastAsia="en-US" w:bidi="ar-SA"/>
        </w:rPr>
        <w:t>个工作日内，向甲方提供履约保证金或银行开具的履约保函。其中履约保证金、保函金额</w:t>
      </w:r>
      <w:r>
        <w:rPr>
          <w:rFonts w:hint="eastAsia" w:ascii="宋体" w:hAnsi="宋体" w:eastAsia="宋体" w:cs="宋体"/>
          <w:snapToGrid w:val="0"/>
          <w:color w:val="000000"/>
          <w:spacing w:val="-4"/>
          <w:kern w:val="0"/>
          <w:sz w:val="24"/>
          <w:szCs w:val="24"/>
          <w:u w:val="single"/>
          <w:lang w:val="en-US" w:eastAsia="en-US" w:bidi="ar-SA"/>
        </w:rPr>
        <w:t>   </w:t>
      </w:r>
      <w:r>
        <w:rPr>
          <w:rFonts w:hint="eastAsia" w:ascii="宋体" w:hAnsi="宋体" w:eastAsia="宋体" w:cs="宋体"/>
          <w:snapToGrid w:val="0"/>
          <w:color w:val="000000"/>
          <w:spacing w:val="-4"/>
          <w:kern w:val="0"/>
          <w:sz w:val="24"/>
          <w:szCs w:val="24"/>
          <w:lang w:val="en-US" w:eastAsia="en-US" w:bidi="ar-SA"/>
        </w:rPr>
        <w:t>万元，期限</w:t>
      </w:r>
      <w:r>
        <w:rPr>
          <w:rFonts w:hint="eastAsia" w:ascii="宋体" w:hAnsi="宋体" w:eastAsia="宋体" w:cs="宋体"/>
          <w:snapToGrid w:val="0"/>
          <w:color w:val="000000"/>
          <w:spacing w:val="-4"/>
          <w:kern w:val="0"/>
          <w:sz w:val="24"/>
          <w:szCs w:val="24"/>
          <w:u w:val="single"/>
          <w:lang w:val="en-US" w:eastAsia="en-US" w:bidi="ar-SA"/>
        </w:rPr>
        <w:t>   </w:t>
      </w:r>
      <w:r>
        <w:rPr>
          <w:rFonts w:hint="eastAsia" w:ascii="宋体" w:hAnsi="宋体" w:eastAsia="宋体" w:cs="宋体"/>
          <w:snapToGrid w:val="0"/>
          <w:color w:val="000000"/>
          <w:spacing w:val="-4"/>
          <w:kern w:val="0"/>
          <w:sz w:val="24"/>
          <w:szCs w:val="24"/>
          <w:lang w:val="en-US" w:eastAsia="en-US" w:bidi="ar-SA"/>
        </w:rPr>
        <w:t>年。如超期未提供保函原件，将</w:t>
      </w:r>
      <w:r>
        <w:rPr>
          <w:rFonts w:hint="eastAsia" w:ascii="宋体" w:hAnsi="宋体" w:eastAsia="宋体" w:cs="宋体"/>
          <w:snapToGrid w:val="0"/>
          <w:color w:val="000000"/>
          <w:spacing w:val="-4"/>
          <w:kern w:val="0"/>
          <w:sz w:val="24"/>
          <w:szCs w:val="24"/>
          <w:lang w:val="en-US" w:eastAsia="zh-CN" w:bidi="ar-SA"/>
        </w:rPr>
        <w:t>视为乙方无故单方解除合同，因此造成甲方损失的，乙方应当予以赔偿。</w:t>
      </w:r>
    </w:p>
    <w:p w14:paraId="65242B9E">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（二）</w:t>
      </w:r>
      <w:r>
        <w:rPr>
          <w:rFonts w:hint="eastAsia" w:ascii="宋体" w:hAnsi="宋体" w:eastAsia="宋体" w:cs="宋体"/>
          <w:i w:val="0"/>
          <w:iCs w:val="0"/>
          <w:caps w:val="0"/>
          <w:color w:val="000000"/>
          <w:spacing w:val="4"/>
          <w:sz w:val="24"/>
          <w:szCs w:val="24"/>
          <w:shd w:val="clear" w:color="auto" w:fill="FFFFFF"/>
        </w:rPr>
        <w:t>保证金用于以下用途：</w:t>
      </w:r>
    </w:p>
    <w:p w14:paraId="639B5BF0">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val="en-US" w:eastAsia="zh-CN"/>
        </w:rPr>
        <w:t>1.</w:t>
      </w:r>
      <w:r>
        <w:rPr>
          <w:rFonts w:hint="eastAsia" w:ascii="宋体" w:hAnsi="宋体" w:eastAsia="宋体" w:cs="宋体"/>
          <w:i w:val="0"/>
          <w:iCs w:val="0"/>
          <w:caps w:val="0"/>
          <w:color w:val="000000"/>
          <w:spacing w:val="4"/>
          <w:sz w:val="24"/>
          <w:szCs w:val="24"/>
          <w:shd w:val="clear" w:color="auto" w:fill="FFFFFF"/>
        </w:rPr>
        <w:t>因食材原因导致食品安全事故时，用于第一时间救治师生，乙方需无条件配合甲方启用履约保证金；</w:t>
      </w:r>
    </w:p>
    <w:p w14:paraId="7A935789">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val="en-US" w:eastAsia="zh-CN"/>
        </w:rPr>
        <w:t>2.</w:t>
      </w:r>
      <w:r>
        <w:rPr>
          <w:rFonts w:hint="eastAsia" w:ascii="宋体" w:hAnsi="宋体" w:eastAsia="宋体" w:cs="宋体"/>
          <w:i w:val="0"/>
          <w:iCs w:val="0"/>
          <w:caps w:val="0"/>
          <w:color w:val="000000"/>
          <w:spacing w:val="4"/>
          <w:sz w:val="24"/>
          <w:szCs w:val="24"/>
          <w:shd w:val="clear" w:color="auto" w:fill="FFFFFF"/>
        </w:rPr>
        <w:t>因乙方原因不能履约，导致学校、师生经济损失的，甲方有权单方面启用履约保证金予以赔付。</w:t>
      </w:r>
    </w:p>
    <w:p w14:paraId="54DDF962">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（三）</w:t>
      </w:r>
      <w:r>
        <w:rPr>
          <w:rFonts w:hint="eastAsia" w:ascii="宋体" w:hAnsi="宋体" w:eastAsia="宋体" w:cs="宋体"/>
          <w:i w:val="0"/>
          <w:iCs w:val="0"/>
          <w:caps w:val="0"/>
          <w:color w:val="000000"/>
          <w:spacing w:val="4"/>
          <w:sz w:val="24"/>
          <w:szCs w:val="24"/>
          <w:shd w:val="clear" w:color="auto" w:fill="FFFFFF"/>
        </w:rPr>
        <w:t>当保证金不足时，乙方应当在个工作日内补足保证金。</w:t>
      </w:r>
    </w:p>
    <w:p w14:paraId="3BF8E180">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（四）</w:t>
      </w:r>
      <w:r>
        <w:rPr>
          <w:rFonts w:hint="eastAsia" w:ascii="宋体" w:hAnsi="宋体" w:eastAsia="宋体" w:cs="宋体"/>
          <w:i w:val="0"/>
          <w:iCs w:val="0"/>
          <w:caps w:val="0"/>
          <w:color w:val="000000"/>
          <w:spacing w:val="4"/>
          <w:sz w:val="24"/>
          <w:szCs w:val="24"/>
          <w:shd w:val="clear" w:color="auto" w:fill="FFFFFF"/>
        </w:rPr>
        <w:t>当合同履行期满，甲方应当个工作日内，将保证</w:t>
      </w:r>
      <w:r>
        <w:rPr>
          <w:rFonts w:hint="eastAsia" w:ascii="宋体" w:hAnsi="宋体" w:cs="宋体"/>
          <w:i w:val="0"/>
          <w:iCs w:val="0"/>
          <w:caps w:val="0"/>
          <w:color w:val="000000"/>
          <w:spacing w:val="4"/>
          <w:sz w:val="24"/>
          <w:szCs w:val="24"/>
          <w:shd w:val="clear" w:color="auto" w:fill="FFFFFF"/>
          <w:lang w:eastAsia="zh-CN"/>
        </w:rPr>
        <w:t>金</w:t>
      </w:r>
      <w:r>
        <w:rPr>
          <w:rFonts w:hint="eastAsia" w:ascii="宋体" w:hAnsi="宋体" w:eastAsia="宋体" w:cs="宋体"/>
          <w:i w:val="0"/>
          <w:iCs w:val="0"/>
          <w:caps w:val="0"/>
          <w:color w:val="000000"/>
          <w:spacing w:val="4"/>
          <w:sz w:val="24"/>
          <w:szCs w:val="24"/>
          <w:shd w:val="clear" w:color="auto" w:fill="FFFFFF"/>
        </w:rPr>
        <w:t>返还给乙方。</w:t>
      </w:r>
    </w:p>
    <w:p w14:paraId="5AB3049D">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i w:val="0"/>
          <w:iCs w:val="0"/>
          <w:caps w:val="0"/>
          <w:color w:val="000000"/>
          <w:spacing w:val="4"/>
          <w:sz w:val="24"/>
          <w:szCs w:val="24"/>
          <w:shd w:val="clear" w:color="auto" w:fill="FFFFFF"/>
          <w:lang w:eastAsia="zh-CN"/>
        </w:rPr>
      </w:pPr>
      <w:r>
        <w:rPr>
          <w:rFonts w:hint="eastAsia" w:ascii="宋体" w:hAnsi="宋体" w:eastAsia="宋体" w:cs="宋体"/>
          <w:b/>
          <w:bCs/>
          <w:i w:val="0"/>
          <w:iCs w:val="0"/>
          <w:caps w:val="0"/>
          <w:color w:val="000000"/>
          <w:spacing w:val="4"/>
          <w:sz w:val="24"/>
          <w:szCs w:val="24"/>
          <w:shd w:val="clear" w:color="auto" w:fill="FFFFFF"/>
          <w:lang w:eastAsia="zh-CN"/>
        </w:rPr>
        <w:t>六、食材质量要求</w:t>
      </w:r>
    </w:p>
    <w:p w14:paraId="218F86EB">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（一）食材标准：</w:t>
      </w:r>
      <w:r>
        <w:rPr>
          <w:rFonts w:hint="eastAsia" w:ascii="宋体" w:hAnsi="宋体" w:eastAsia="宋体" w:cs="宋体"/>
          <w:i w:val="0"/>
          <w:iCs w:val="0"/>
          <w:caps w:val="0"/>
          <w:color w:val="000000"/>
          <w:spacing w:val="4"/>
          <w:sz w:val="24"/>
          <w:szCs w:val="24"/>
          <w:shd w:val="clear" w:color="auto" w:fill="FFFFFF"/>
        </w:rPr>
        <w:t>必须符合国家有关食品安全标准，乙方须提供所供食材的检测合格报告。没有国家标准的，必须符合行业标准，既没有国家标准和行业标准的应确保食材的新鲜、健康。</w:t>
      </w:r>
    </w:p>
    <w:p w14:paraId="739C21C9">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（二）食材质量：</w:t>
      </w:r>
      <w:r>
        <w:rPr>
          <w:rFonts w:hint="eastAsia" w:ascii="宋体" w:hAnsi="宋体" w:eastAsia="宋体" w:cs="宋体"/>
          <w:i w:val="0"/>
          <w:iCs w:val="0"/>
          <w:caps w:val="0"/>
          <w:color w:val="000000"/>
          <w:spacing w:val="4"/>
          <w:sz w:val="24"/>
          <w:szCs w:val="24"/>
          <w:shd w:val="clear" w:color="auto" w:fill="FFFFFF"/>
        </w:rPr>
        <w:t>乙方在承包采购服务期间要严把质量关，明确进货渠道，建立台账，杜绝“三无”产品</w:t>
      </w:r>
      <w:r>
        <w:rPr>
          <w:rFonts w:hint="eastAsia" w:ascii="宋体" w:hAnsi="宋体" w:eastAsia="宋体" w:cs="宋体"/>
          <w:i w:val="0"/>
          <w:iCs w:val="0"/>
          <w:caps w:val="0"/>
          <w:color w:val="000000"/>
          <w:spacing w:val="4"/>
          <w:sz w:val="24"/>
          <w:szCs w:val="24"/>
          <w:shd w:val="clear" w:color="auto" w:fill="FFFFFF"/>
          <w:lang w:eastAsia="zh-CN"/>
        </w:rPr>
        <w:t>、</w:t>
      </w:r>
      <w:r>
        <w:rPr>
          <w:rFonts w:hint="eastAsia" w:ascii="宋体" w:hAnsi="宋体" w:eastAsia="宋体" w:cs="宋体"/>
          <w:i w:val="0"/>
          <w:iCs w:val="0"/>
          <w:caps w:val="0"/>
          <w:color w:val="000000"/>
          <w:spacing w:val="4"/>
          <w:sz w:val="24"/>
          <w:szCs w:val="24"/>
          <w:shd w:val="clear" w:color="auto" w:fill="FFFFFF"/>
        </w:rPr>
        <w:t>劣质原料进校园</w:t>
      </w:r>
      <w:r>
        <w:rPr>
          <w:rFonts w:hint="eastAsia" w:ascii="宋体" w:hAnsi="宋体" w:eastAsia="宋体" w:cs="宋体"/>
          <w:i w:val="0"/>
          <w:iCs w:val="0"/>
          <w:caps w:val="0"/>
          <w:color w:val="000000"/>
          <w:spacing w:val="4"/>
          <w:sz w:val="24"/>
          <w:szCs w:val="24"/>
          <w:shd w:val="clear" w:color="auto" w:fill="FFFFFF"/>
          <w:lang w:eastAsia="zh-CN"/>
        </w:rPr>
        <w:t>。</w:t>
      </w:r>
      <w:r>
        <w:rPr>
          <w:rFonts w:hint="eastAsia" w:ascii="宋体" w:hAnsi="宋体" w:eastAsia="宋体" w:cs="宋体"/>
          <w:i w:val="0"/>
          <w:iCs w:val="0"/>
          <w:caps w:val="0"/>
          <w:color w:val="000000"/>
          <w:spacing w:val="4"/>
          <w:sz w:val="24"/>
          <w:szCs w:val="24"/>
          <w:shd w:val="clear" w:color="auto" w:fill="FFFFFF"/>
        </w:rPr>
        <w:t>乙方提供甲方所需食材同时随货附带加盖相应货物生产厂家资质（若乙方为经销商则应提供厂家资质及经销商资质）、质量承诺保证书等说明材料及检验、检疫报告、台账记录及其他甲方要求提供的证明文件。供应</w:t>
      </w:r>
      <w:r>
        <w:rPr>
          <w:rFonts w:hint="eastAsia" w:ascii="宋体" w:hAnsi="宋体" w:eastAsia="宋体" w:cs="宋体"/>
          <w:i w:val="0"/>
          <w:iCs w:val="0"/>
          <w:caps w:val="0"/>
          <w:color w:val="000000"/>
          <w:spacing w:val="4"/>
          <w:sz w:val="24"/>
          <w:szCs w:val="24"/>
          <w:shd w:val="clear" w:color="auto" w:fill="FFFFFF"/>
          <w:lang w:eastAsia="zh-CN"/>
        </w:rPr>
        <w:t>的食</w:t>
      </w:r>
      <w:r>
        <w:rPr>
          <w:rFonts w:hint="eastAsia" w:ascii="宋体" w:hAnsi="宋体" w:eastAsia="宋体" w:cs="宋体"/>
          <w:i w:val="0"/>
          <w:iCs w:val="0"/>
          <w:caps w:val="0"/>
          <w:color w:val="000000"/>
          <w:spacing w:val="4"/>
          <w:sz w:val="24"/>
          <w:szCs w:val="24"/>
          <w:shd w:val="clear" w:color="auto" w:fill="FFFFFF"/>
        </w:rPr>
        <w:t>材要适合实际操作，减少边角余料，合理节约，降低成本，杜绝浪费。如出现质量问题，乙方应无条件退货或换货。</w:t>
      </w:r>
    </w:p>
    <w:p w14:paraId="2D737127">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lang w:eastAsia="zh-CN"/>
        </w:rPr>
      </w:pPr>
      <w:r>
        <w:rPr>
          <w:rFonts w:hint="eastAsia" w:ascii="宋体" w:hAnsi="宋体" w:eastAsia="宋体" w:cs="宋体"/>
          <w:i w:val="0"/>
          <w:iCs w:val="0"/>
          <w:caps w:val="0"/>
          <w:color w:val="000000"/>
          <w:spacing w:val="4"/>
          <w:sz w:val="24"/>
          <w:szCs w:val="24"/>
          <w:shd w:val="clear" w:color="auto" w:fill="FFFFFF"/>
          <w:lang w:eastAsia="zh-CN"/>
        </w:rPr>
        <w:t>（三）</w:t>
      </w:r>
      <w:r>
        <w:rPr>
          <w:rFonts w:hint="eastAsia" w:ascii="宋体" w:hAnsi="宋体" w:eastAsia="宋体" w:cs="宋体"/>
          <w:i w:val="0"/>
          <w:iCs w:val="0"/>
          <w:caps w:val="0"/>
          <w:color w:val="000000"/>
          <w:spacing w:val="4"/>
          <w:sz w:val="24"/>
          <w:szCs w:val="24"/>
          <w:shd w:val="clear" w:color="auto" w:fill="FFFFFF"/>
        </w:rPr>
        <w:t>外包装应符合食品安全规定。</w:t>
      </w:r>
    </w:p>
    <w:p w14:paraId="4A12F71C">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i w:val="0"/>
          <w:iCs w:val="0"/>
          <w:caps w:val="0"/>
          <w:color w:val="000000"/>
          <w:spacing w:val="4"/>
          <w:sz w:val="24"/>
          <w:szCs w:val="24"/>
          <w:shd w:val="clear" w:color="auto" w:fill="FFFFFF"/>
          <w:lang w:eastAsia="zh-CN"/>
        </w:rPr>
      </w:pPr>
      <w:r>
        <w:rPr>
          <w:rFonts w:hint="eastAsia" w:ascii="宋体" w:hAnsi="宋体" w:eastAsia="宋体" w:cs="宋体"/>
          <w:b/>
          <w:bCs/>
          <w:i w:val="0"/>
          <w:iCs w:val="0"/>
          <w:caps w:val="0"/>
          <w:color w:val="000000"/>
          <w:spacing w:val="4"/>
          <w:sz w:val="24"/>
          <w:szCs w:val="24"/>
          <w:shd w:val="clear" w:color="auto" w:fill="FFFFFF"/>
          <w:lang w:eastAsia="zh-CN"/>
        </w:rPr>
        <w:t>七、供应方式</w:t>
      </w:r>
    </w:p>
    <w:p w14:paraId="3731A0F4">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rPr>
        <w:t>为确保供餐质量，有效降低采购成本，学校（点）食堂实行食品原料采购“统一采购、统一配</w:t>
      </w:r>
      <w:r>
        <w:rPr>
          <w:rFonts w:hint="eastAsia" w:ascii="宋体" w:hAnsi="宋体" w:cs="宋体"/>
          <w:i w:val="0"/>
          <w:iCs w:val="0"/>
          <w:caps w:val="0"/>
          <w:color w:val="000000"/>
          <w:spacing w:val="4"/>
          <w:sz w:val="24"/>
          <w:szCs w:val="24"/>
          <w:shd w:val="clear" w:color="auto" w:fill="FFFFFF"/>
          <w:lang w:eastAsia="zh-CN"/>
        </w:rPr>
        <w:t>送”。</w:t>
      </w:r>
      <w:r>
        <w:rPr>
          <w:rFonts w:hint="eastAsia" w:ascii="宋体" w:hAnsi="宋体" w:eastAsia="宋体" w:cs="宋体"/>
          <w:i w:val="0"/>
          <w:iCs w:val="0"/>
          <w:caps w:val="0"/>
          <w:color w:val="000000"/>
          <w:spacing w:val="4"/>
          <w:sz w:val="24"/>
          <w:szCs w:val="24"/>
          <w:shd w:val="clear" w:color="auto" w:fill="FFFFFF"/>
        </w:rPr>
        <w:t>以</w:t>
      </w:r>
      <w:r>
        <w:rPr>
          <w:rFonts w:hint="eastAsia" w:ascii="宋体" w:hAnsi="宋体" w:eastAsia="宋体" w:cs="宋体"/>
          <w:i w:val="0"/>
          <w:iCs w:val="0"/>
          <w:caps w:val="0"/>
          <w:color w:val="000000"/>
          <w:spacing w:val="4"/>
          <w:sz w:val="24"/>
          <w:szCs w:val="24"/>
          <w:shd w:val="clear" w:color="auto" w:fill="FFFFFF"/>
          <w:lang w:val="en-US" w:eastAsia="zh-CN"/>
        </w:rPr>
        <w:t>乙方</w:t>
      </w:r>
      <w:r>
        <w:rPr>
          <w:rFonts w:hint="eastAsia" w:ascii="宋体" w:hAnsi="宋体" w:eastAsia="宋体" w:cs="宋体"/>
          <w:i w:val="0"/>
          <w:iCs w:val="0"/>
          <w:caps w:val="0"/>
          <w:color w:val="000000"/>
          <w:spacing w:val="4"/>
          <w:sz w:val="24"/>
          <w:szCs w:val="24"/>
          <w:shd w:val="clear" w:color="auto" w:fill="FFFFFF"/>
        </w:rPr>
        <w:t>为主体全面负责学生食品供应安全，负责学校食品原材料与副食品的采购与配送及食材检验，做好相关自检记录，并按食品安全要求和财务要求向学校提供相关票证。</w:t>
      </w:r>
    </w:p>
    <w:p w14:paraId="20FEDC67">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i w:val="0"/>
          <w:iCs w:val="0"/>
          <w:caps w:val="0"/>
          <w:color w:val="000000"/>
          <w:spacing w:val="4"/>
          <w:sz w:val="24"/>
          <w:szCs w:val="24"/>
          <w:shd w:val="clear" w:color="auto" w:fill="FFFFFF"/>
          <w:lang w:eastAsia="zh-CN"/>
        </w:rPr>
      </w:pPr>
      <w:r>
        <w:rPr>
          <w:rFonts w:hint="eastAsia" w:ascii="宋体" w:hAnsi="宋体" w:eastAsia="宋体" w:cs="宋体"/>
          <w:b/>
          <w:bCs/>
          <w:i w:val="0"/>
          <w:iCs w:val="0"/>
          <w:caps w:val="0"/>
          <w:color w:val="000000"/>
          <w:spacing w:val="4"/>
          <w:sz w:val="24"/>
          <w:szCs w:val="24"/>
          <w:shd w:val="clear" w:color="auto" w:fill="FFFFFF"/>
          <w:lang w:eastAsia="zh-CN"/>
        </w:rPr>
        <w:t>八、配送要求</w:t>
      </w:r>
    </w:p>
    <w:p w14:paraId="3C8755C0">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lang w:val="en-US" w:eastAsia="zh-CN"/>
        </w:rPr>
      </w:pPr>
      <w:r>
        <w:rPr>
          <w:rFonts w:hint="eastAsia" w:ascii="宋体" w:hAnsi="宋体" w:eastAsia="宋体" w:cs="宋体"/>
          <w:i w:val="0"/>
          <w:iCs w:val="0"/>
          <w:caps w:val="0"/>
          <w:color w:val="000000"/>
          <w:spacing w:val="4"/>
          <w:sz w:val="24"/>
          <w:szCs w:val="24"/>
          <w:shd w:val="clear" w:color="auto" w:fill="FFFFFF"/>
          <w:lang w:val="en-US" w:eastAsia="zh-CN"/>
        </w:rPr>
        <w:t>（一）由各学校根据实际情况制定用餐食谱，</w:t>
      </w:r>
      <w:r>
        <w:rPr>
          <w:rFonts w:hint="eastAsia" w:ascii="宋体" w:hAnsi="宋体" w:eastAsia="宋体" w:cs="宋体"/>
          <w:i w:val="0"/>
          <w:iCs w:val="0"/>
          <w:caps w:val="0"/>
          <w:color w:val="000000"/>
          <w:spacing w:val="4"/>
          <w:sz w:val="24"/>
          <w:szCs w:val="24"/>
          <w:shd w:val="clear" w:color="auto" w:fill="FFFFFF"/>
        </w:rPr>
        <w:t>乙方</w:t>
      </w:r>
      <w:r>
        <w:rPr>
          <w:rFonts w:hint="eastAsia" w:ascii="宋体" w:hAnsi="宋体" w:eastAsia="宋体" w:cs="宋体"/>
          <w:i w:val="0"/>
          <w:iCs w:val="0"/>
          <w:caps w:val="0"/>
          <w:color w:val="000000"/>
          <w:spacing w:val="4"/>
          <w:sz w:val="24"/>
          <w:szCs w:val="24"/>
          <w:shd w:val="clear" w:color="auto" w:fill="FFFFFF"/>
          <w:lang w:val="en-US" w:eastAsia="zh-CN"/>
        </w:rPr>
        <w:t>按学校提供的食谱进行配送。</w:t>
      </w:r>
    </w:p>
    <w:p w14:paraId="499A0697">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lang w:val="en-US" w:eastAsia="zh-CN"/>
        </w:rPr>
      </w:pPr>
      <w:r>
        <w:rPr>
          <w:rFonts w:hint="eastAsia" w:ascii="宋体" w:hAnsi="宋体" w:eastAsia="宋体" w:cs="宋体"/>
          <w:i w:val="0"/>
          <w:iCs w:val="0"/>
          <w:caps w:val="0"/>
          <w:color w:val="000000"/>
          <w:spacing w:val="4"/>
          <w:sz w:val="24"/>
          <w:szCs w:val="24"/>
          <w:shd w:val="clear" w:color="auto" w:fill="FFFFFF"/>
          <w:lang w:val="en-US" w:eastAsia="zh-CN"/>
        </w:rPr>
        <w:t>（二）确定食谱后通知学校提前</w:t>
      </w:r>
      <w:r>
        <w:rPr>
          <w:rFonts w:hint="eastAsia" w:ascii="宋体" w:hAnsi="宋体" w:cs="宋体"/>
          <w:i w:val="0"/>
          <w:iCs w:val="0"/>
          <w:caps w:val="0"/>
          <w:color w:val="000000"/>
          <w:spacing w:val="4"/>
          <w:sz w:val="24"/>
          <w:szCs w:val="24"/>
          <w:u w:val="none"/>
          <w:shd w:val="clear" w:color="auto" w:fill="FFFFFF"/>
          <w:lang w:val="en-US" w:eastAsia="zh-CN"/>
        </w:rPr>
        <w:t>天</w:t>
      </w:r>
      <w:r>
        <w:rPr>
          <w:rFonts w:hint="eastAsia" w:ascii="宋体" w:hAnsi="宋体" w:eastAsia="宋体" w:cs="宋体"/>
          <w:i w:val="0"/>
          <w:iCs w:val="0"/>
          <w:caps w:val="0"/>
          <w:color w:val="000000"/>
          <w:spacing w:val="4"/>
          <w:sz w:val="24"/>
          <w:szCs w:val="24"/>
          <w:shd w:val="clear" w:color="auto" w:fill="FFFFFF"/>
          <w:lang w:val="en-US" w:eastAsia="zh-CN"/>
        </w:rPr>
        <w:t>把周需求量提交给</w:t>
      </w:r>
      <w:r>
        <w:rPr>
          <w:rFonts w:hint="eastAsia" w:ascii="宋体" w:hAnsi="宋体" w:eastAsia="宋体" w:cs="宋体"/>
          <w:i w:val="0"/>
          <w:iCs w:val="0"/>
          <w:caps w:val="0"/>
          <w:color w:val="000000"/>
          <w:spacing w:val="4"/>
          <w:sz w:val="24"/>
          <w:szCs w:val="24"/>
          <w:shd w:val="clear" w:color="auto" w:fill="FFFFFF"/>
        </w:rPr>
        <w:t>乙方</w:t>
      </w:r>
      <w:r>
        <w:rPr>
          <w:rFonts w:hint="eastAsia" w:ascii="宋体" w:hAnsi="宋体" w:eastAsia="宋体" w:cs="宋体"/>
          <w:i w:val="0"/>
          <w:iCs w:val="0"/>
          <w:caps w:val="0"/>
          <w:color w:val="000000"/>
          <w:spacing w:val="4"/>
          <w:sz w:val="24"/>
          <w:szCs w:val="24"/>
          <w:shd w:val="clear" w:color="auto" w:fill="FFFFFF"/>
          <w:lang w:val="en-US" w:eastAsia="zh-CN"/>
        </w:rPr>
        <w:t>，</w:t>
      </w:r>
      <w:r>
        <w:rPr>
          <w:rFonts w:hint="eastAsia" w:ascii="宋体" w:hAnsi="宋体" w:eastAsia="宋体" w:cs="宋体"/>
          <w:i w:val="0"/>
          <w:iCs w:val="0"/>
          <w:caps w:val="0"/>
          <w:color w:val="000000"/>
          <w:spacing w:val="4"/>
          <w:sz w:val="24"/>
          <w:szCs w:val="24"/>
          <w:shd w:val="clear" w:color="auto" w:fill="FFFFFF"/>
        </w:rPr>
        <w:t>乙方</w:t>
      </w:r>
      <w:r>
        <w:rPr>
          <w:rFonts w:hint="eastAsia" w:ascii="宋体" w:hAnsi="宋体" w:eastAsia="宋体" w:cs="宋体"/>
          <w:i w:val="0"/>
          <w:iCs w:val="0"/>
          <w:caps w:val="0"/>
          <w:color w:val="000000"/>
          <w:spacing w:val="4"/>
          <w:sz w:val="24"/>
          <w:szCs w:val="24"/>
          <w:shd w:val="clear" w:color="auto" w:fill="FFFFFF"/>
          <w:lang w:val="en-US" w:eastAsia="zh-CN"/>
        </w:rPr>
        <w:t>按学校要求进行配送。</w:t>
      </w:r>
    </w:p>
    <w:p w14:paraId="7BC0BEB9">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lang w:val="en-US" w:eastAsia="zh-CN"/>
        </w:rPr>
      </w:pPr>
      <w:r>
        <w:rPr>
          <w:rFonts w:hint="eastAsia" w:ascii="宋体" w:hAnsi="宋体" w:eastAsia="宋体" w:cs="宋体"/>
          <w:i w:val="0"/>
          <w:iCs w:val="0"/>
          <w:caps w:val="0"/>
          <w:color w:val="000000"/>
          <w:spacing w:val="4"/>
          <w:sz w:val="24"/>
          <w:szCs w:val="24"/>
          <w:shd w:val="clear" w:color="auto" w:fill="FFFFFF"/>
          <w:lang w:val="en-US" w:eastAsia="zh-CN"/>
        </w:rPr>
        <w:t>（三）</w:t>
      </w:r>
      <w:r>
        <w:rPr>
          <w:rFonts w:hint="eastAsia" w:ascii="宋体" w:hAnsi="宋体" w:eastAsia="宋体" w:cs="宋体"/>
          <w:i w:val="0"/>
          <w:iCs w:val="0"/>
          <w:caps w:val="0"/>
          <w:color w:val="000000"/>
          <w:spacing w:val="4"/>
          <w:sz w:val="24"/>
          <w:szCs w:val="24"/>
          <w:shd w:val="clear" w:color="auto" w:fill="FFFFFF"/>
        </w:rPr>
        <w:t>乙方</w:t>
      </w:r>
      <w:r>
        <w:rPr>
          <w:rFonts w:hint="eastAsia" w:ascii="宋体" w:hAnsi="宋体" w:eastAsia="宋体" w:cs="宋体"/>
          <w:i w:val="0"/>
          <w:iCs w:val="0"/>
          <w:caps w:val="0"/>
          <w:color w:val="000000"/>
          <w:spacing w:val="4"/>
          <w:sz w:val="24"/>
          <w:szCs w:val="24"/>
          <w:shd w:val="clear" w:color="auto" w:fill="FFFFFF"/>
          <w:lang w:val="en-US" w:eastAsia="zh-CN"/>
        </w:rPr>
        <w:t>按照学校提供的购货申请单内容和要求进行配送，具体的配送时间根据各个学校的实际情况确定，并随货开据食品原料配送单。</w:t>
      </w:r>
    </w:p>
    <w:p w14:paraId="1D837C68">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lang w:val="en-US" w:eastAsia="zh-CN"/>
        </w:rPr>
      </w:pPr>
      <w:r>
        <w:rPr>
          <w:rFonts w:hint="eastAsia" w:ascii="宋体" w:hAnsi="宋体" w:eastAsia="宋体" w:cs="宋体"/>
          <w:i w:val="0"/>
          <w:iCs w:val="0"/>
          <w:caps w:val="0"/>
          <w:color w:val="000000"/>
          <w:spacing w:val="4"/>
          <w:sz w:val="24"/>
          <w:szCs w:val="24"/>
          <w:shd w:val="clear" w:color="auto" w:fill="FFFFFF"/>
          <w:lang w:val="en-US" w:eastAsia="zh-CN"/>
        </w:rPr>
        <w:t>（四）学校食品管理员查验食品原料，校领导审核无误后，分别在食品配送单上签名确认，学校根据配送单做好台账及公示工作。</w:t>
      </w:r>
    </w:p>
    <w:p w14:paraId="0D40D16B">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lang w:val="en-US" w:eastAsia="zh-CN"/>
        </w:rPr>
      </w:pPr>
      <w:r>
        <w:rPr>
          <w:rFonts w:hint="eastAsia" w:ascii="宋体" w:hAnsi="宋体" w:eastAsia="宋体" w:cs="宋体"/>
          <w:i w:val="0"/>
          <w:iCs w:val="0"/>
          <w:caps w:val="0"/>
          <w:color w:val="000000"/>
          <w:spacing w:val="4"/>
          <w:sz w:val="24"/>
          <w:szCs w:val="24"/>
          <w:shd w:val="clear" w:color="auto" w:fill="FFFFFF"/>
          <w:lang w:val="en-US" w:eastAsia="zh-CN"/>
        </w:rPr>
        <w:t>（五）每月底</w:t>
      </w:r>
      <w:r>
        <w:rPr>
          <w:rFonts w:hint="eastAsia" w:ascii="宋体" w:hAnsi="宋体" w:eastAsia="宋体" w:cs="宋体"/>
          <w:i w:val="0"/>
          <w:iCs w:val="0"/>
          <w:caps w:val="0"/>
          <w:color w:val="000000"/>
          <w:spacing w:val="4"/>
          <w:sz w:val="24"/>
          <w:szCs w:val="24"/>
          <w:shd w:val="clear" w:color="auto" w:fill="FFFFFF"/>
        </w:rPr>
        <w:t>乙方</w:t>
      </w:r>
      <w:r>
        <w:rPr>
          <w:rFonts w:hint="eastAsia" w:ascii="宋体" w:hAnsi="宋体" w:eastAsia="宋体" w:cs="宋体"/>
          <w:i w:val="0"/>
          <w:iCs w:val="0"/>
          <w:caps w:val="0"/>
          <w:color w:val="000000"/>
          <w:spacing w:val="4"/>
          <w:sz w:val="24"/>
          <w:szCs w:val="24"/>
          <w:shd w:val="clear" w:color="auto" w:fill="FFFFFF"/>
          <w:lang w:val="en-US" w:eastAsia="zh-CN"/>
        </w:rPr>
        <w:t>据实开具税务发票直接与学校结算。</w:t>
      </w:r>
    </w:p>
    <w:p w14:paraId="1389EDC4">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lang w:val="en-US" w:eastAsia="zh-CN"/>
        </w:rPr>
      </w:pPr>
      <w:r>
        <w:rPr>
          <w:rFonts w:hint="eastAsia" w:ascii="宋体" w:hAnsi="宋体" w:eastAsia="宋体" w:cs="宋体"/>
          <w:i w:val="0"/>
          <w:iCs w:val="0"/>
          <w:caps w:val="0"/>
          <w:color w:val="000000"/>
          <w:spacing w:val="4"/>
          <w:sz w:val="24"/>
          <w:szCs w:val="24"/>
          <w:shd w:val="clear" w:color="auto" w:fill="FFFFFF"/>
          <w:lang w:val="en-US" w:eastAsia="zh-CN"/>
        </w:rPr>
        <w:t>（六）原料的接收查验。</w:t>
      </w:r>
      <w:r>
        <w:rPr>
          <w:rFonts w:hint="eastAsia" w:ascii="宋体" w:hAnsi="宋体" w:eastAsia="宋体" w:cs="宋体"/>
          <w:i w:val="0"/>
          <w:iCs w:val="0"/>
          <w:caps w:val="0"/>
          <w:color w:val="000000"/>
          <w:spacing w:val="4"/>
          <w:sz w:val="24"/>
          <w:szCs w:val="24"/>
          <w:shd w:val="clear" w:color="auto" w:fill="FFFFFF"/>
        </w:rPr>
        <w:t>乙方</w:t>
      </w:r>
      <w:r>
        <w:rPr>
          <w:rFonts w:hint="eastAsia" w:ascii="宋体" w:hAnsi="宋体" w:eastAsia="宋体" w:cs="宋体"/>
          <w:i w:val="0"/>
          <w:iCs w:val="0"/>
          <w:caps w:val="0"/>
          <w:color w:val="000000"/>
          <w:spacing w:val="4"/>
          <w:sz w:val="24"/>
          <w:szCs w:val="24"/>
          <w:shd w:val="clear" w:color="auto" w:fill="FFFFFF"/>
          <w:lang w:val="en-US" w:eastAsia="zh-CN"/>
        </w:rPr>
        <w:t>必须按照学校选定的中标品牌供应食品原料，必须确保食品原料的质量。</w:t>
      </w:r>
      <w:r>
        <w:rPr>
          <w:rFonts w:hint="eastAsia" w:ascii="宋体" w:hAnsi="宋体" w:eastAsia="宋体" w:cs="宋体"/>
          <w:i w:val="0"/>
          <w:iCs w:val="0"/>
          <w:caps w:val="0"/>
          <w:color w:val="000000"/>
          <w:spacing w:val="4"/>
          <w:sz w:val="24"/>
          <w:szCs w:val="24"/>
          <w:shd w:val="clear" w:color="auto" w:fill="FFFFFF"/>
        </w:rPr>
        <w:t>乙方</w:t>
      </w:r>
      <w:r>
        <w:rPr>
          <w:rFonts w:hint="eastAsia" w:ascii="宋体" w:hAnsi="宋体" w:eastAsia="宋体" w:cs="宋体"/>
          <w:i w:val="0"/>
          <w:iCs w:val="0"/>
          <w:caps w:val="0"/>
          <w:color w:val="000000"/>
          <w:spacing w:val="4"/>
          <w:sz w:val="24"/>
          <w:szCs w:val="24"/>
          <w:shd w:val="clear" w:color="auto" w:fill="FFFFFF"/>
          <w:lang w:val="en-US" w:eastAsia="zh-CN"/>
        </w:rPr>
        <w:t>配送食品原料时，必须向采购学校提供产品检验检测相关报告</w:t>
      </w:r>
      <w:r>
        <w:rPr>
          <w:rFonts w:hint="eastAsia" w:ascii="宋体" w:hAnsi="宋体" w:cs="宋体"/>
          <w:i w:val="0"/>
          <w:iCs w:val="0"/>
          <w:caps w:val="0"/>
          <w:color w:val="000000"/>
          <w:spacing w:val="4"/>
          <w:sz w:val="24"/>
          <w:szCs w:val="24"/>
          <w:shd w:val="clear" w:color="auto" w:fill="FFFFFF"/>
          <w:lang w:val="en-US" w:eastAsia="zh-CN"/>
        </w:rPr>
        <w:t>、</w:t>
      </w:r>
      <w:r>
        <w:rPr>
          <w:rFonts w:hint="eastAsia" w:ascii="宋体" w:hAnsi="宋体" w:eastAsia="宋体" w:cs="宋体"/>
          <w:i w:val="0"/>
          <w:iCs w:val="0"/>
          <w:caps w:val="0"/>
          <w:color w:val="000000"/>
          <w:spacing w:val="4"/>
          <w:sz w:val="24"/>
          <w:szCs w:val="24"/>
          <w:shd w:val="clear" w:color="auto" w:fill="FFFFFF"/>
          <w:lang w:val="en-US" w:eastAsia="zh-CN"/>
        </w:rPr>
        <w:t>生产厂家的出厂抽检报告</w:t>
      </w:r>
      <w:r>
        <w:rPr>
          <w:rFonts w:hint="eastAsia" w:ascii="宋体" w:hAnsi="宋体" w:cs="宋体"/>
          <w:i w:val="0"/>
          <w:iCs w:val="0"/>
          <w:caps w:val="0"/>
          <w:color w:val="000000"/>
          <w:spacing w:val="4"/>
          <w:sz w:val="24"/>
          <w:szCs w:val="24"/>
          <w:shd w:val="clear" w:color="auto" w:fill="FFFFFF"/>
          <w:lang w:val="en-US" w:eastAsia="zh-CN"/>
        </w:rPr>
        <w:t>及</w:t>
      </w:r>
      <w:r>
        <w:rPr>
          <w:rFonts w:hint="eastAsia" w:ascii="宋体" w:hAnsi="宋体" w:eastAsia="宋体" w:cs="宋体"/>
          <w:i w:val="0"/>
          <w:iCs w:val="0"/>
          <w:caps w:val="0"/>
          <w:color w:val="000000"/>
          <w:spacing w:val="4"/>
          <w:sz w:val="24"/>
          <w:szCs w:val="24"/>
          <w:shd w:val="clear" w:color="auto" w:fill="FFFFFF"/>
          <w:lang w:val="en-US" w:eastAsia="zh-CN"/>
        </w:rPr>
        <w:t>产品检验合格证</w:t>
      </w:r>
      <w:r>
        <w:rPr>
          <w:rFonts w:hint="eastAsia" w:ascii="宋体" w:hAnsi="宋体" w:cs="宋体"/>
          <w:i w:val="0"/>
          <w:iCs w:val="0"/>
          <w:caps w:val="0"/>
          <w:color w:val="000000"/>
          <w:spacing w:val="4"/>
          <w:sz w:val="24"/>
          <w:szCs w:val="24"/>
          <w:shd w:val="clear" w:color="auto" w:fill="FFFFFF"/>
          <w:lang w:val="en-US" w:eastAsia="zh-CN"/>
        </w:rPr>
        <w:t>或每批次</w:t>
      </w:r>
      <w:r>
        <w:rPr>
          <w:rFonts w:hint="eastAsia" w:ascii="宋体" w:hAnsi="宋体" w:eastAsia="宋体" w:cs="宋体"/>
          <w:i w:val="0"/>
          <w:iCs w:val="0"/>
          <w:caps w:val="0"/>
          <w:color w:val="000000"/>
          <w:spacing w:val="4"/>
          <w:sz w:val="24"/>
          <w:szCs w:val="24"/>
          <w:shd w:val="clear" w:color="auto" w:fill="FFFFFF"/>
          <w:lang w:val="en-US" w:eastAsia="zh-CN"/>
        </w:rPr>
        <w:t>动物检疫合格证明等国家规定的其它有效证明材料。</w:t>
      </w:r>
    </w:p>
    <w:p w14:paraId="4C34480E">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lang w:val="en-US" w:eastAsia="zh-CN"/>
        </w:rPr>
      </w:pPr>
      <w:r>
        <w:rPr>
          <w:rFonts w:hint="eastAsia" w:ascii="宋体" w:hAnsi="宋体" w:eastAsia="宋体" w:cs="宋体"/>
          <w:i w:val="0"/>
          <w:iCs w:val="0"/>
          <w:caps w:val="0"/>
          <w:color w:val="000000"/>
          <w:spacing w:val="4"/>
          <w:sz w:val="24"/>
          <w:szCs w:val="24"/>
          <w:shd w:val="clear" w:color="auto" w:fill="FFFFFF"/>
          <w:lang w:val="en-US" w:eastAsia="zh-CN"/>
        </w:rPr>
        <w:t>（七）食品储存。配备必要的食品原料储藏保鲜设施，配备良好的通风、防潮、防鼠、防虫、防蝇、防霉变等设施并能正常使用；食品原料储藏应当分类、分架、离地安全管理，遵循先进先出的原则摆放，不同区域应有明显标识，建立健全进出库管理制度，并落实双人管理；</w:t>
      </w:r>
      <w:r>
        <w:rPr>
          <w:rFonts w:hint="eastAsia" w:ascii="宋体" w:hAnsi="宋体" w:eastAsia="宋体" w:cs="宋体"/>
          <w:i w:val="0"/>
          <w:iCs w:val="0"/>
          <w:caps w:val="0"/>
          <w:color w:val="000000"/>
          <w:spacing w:val="4"/>
          <w:sz w:val="24"/>
          <w:szCs w:val="24"/>
          <w:shd w:val="clear" w:color="auto" w:fill="FFFFFF"/>
        </w:rPr>
        <w:t>乙方</w:t>
      </w:r>
      <w:r>
        <w:rPr>
          <w:rFonts w:hint="eastAsia" w:ascii="宋体" w:hAnsi="宋体" w:eastAsia="宋体" w:cs="宋体"/>
          <w:i w:val="0"/>
          <w:iCs w:val="0"/>
          <w:caps w:val="0"/>
          <w:color w:val="000000"/>
          <w:spacing w:val="4"/>
          <w:sz w:val="24"/>
          <w:szCs w:val="24"/>
          <w:shd w:val="clear" w:color="auto" w:fill="FFFFFF"/>
          <w:lang w:val="en-US" w:eastAsia="zh-CN"/>
        </w:rPr>
        <w:t>须</w:t>
      </w:r>
      <w:r>
        <w:rPr>
          <w:rFonts w:hint="eastAsia" w:ascii="宋体" w:hAnsi="宋体" w:cs="宋体"/>
          <w:i w:val="0"/>
          <w:iCs w:val="0"/>
          <w:caps w:val="0"/>
          <w:color w:val="000000"/>
          <w:spacing w:val="4"/>
          <w:sz w:val="24"/>
          <w:szCs w:val="24"/>
          <w:shd w:val="clear" w:color="auto" w:fill="FFFFFF"/>
          <w:lang w:val="en-US" w:eastAsia="zh-CN"/>
        </w:rPr>
        <w:t>免费</w:t>
      </w:r>
      <w:r>
        <w:rPr>
          <w:rFonts w:hint="eastAsia" w:ascii="宋体" w:hAnsi="宋体" w:eastAsia="宋体" w:cs="宋体"/>
          <w:i w:val="0"/>
          <w:iCs w:val="0"/>
          <w:caps w:val="0"/>
          <w:color w:val="000000"/>
          <w:spacing w:val="4"/>
          <w:sz w:val="24"/>
          <w:szCs w:val="24"/>
          <w:shd w:val="clear" w:color="auto" w:fill="FFFFFF"/>
          <w:lang w:val="en-US" w:eastAsia="zh-CN"/>
        </w:rPr>
        <w:t>指导学校建立符合食品安全标准的储藏仓库。</w:t>
      </w:r>
    </w:p>
    <w:p w14:paraId="080F2C0B">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lang w:val="en-US" w:eastAsia="zh-CN"/>
        </w:rPr>
      </w:pPr>
      <w:r>
        <w:rPr>
          <w:rFonts w:hint="eastAsia" w:ascii="宋体" w:hAnsi="宋体" w:eastAsia="宋体" w:cs="宋体"/>
          <w:i w:val="0"/>
          <w:iCs w:val="0"/>
          <w:caps w:val="0"/>
          <w:color w:val="000000"/>
          <w:spacing w:val="4"/>
          <w:sz w:val="24"/>
          <w:szCs w:val="24"/>
          <w:shd w:val="clear" w:color="auto" w:fill="FFFFFF"/>
          <w:lang w:val="en-US" w:eastAsia="zh-CN"/>
        </w:rPr>
        <w:t>（八）应急保障。</w:t>
      </w:r>
      <w:r>
        <w:rPr>
          <w:rFonts w:hint="eastAsia" w:ascii="宋体" w:hAnsi="宋体" w:eastAsia="宋体" w:cs="宋体"/>
          <w:i w:val="0"/>
          <w:iCs w:val="0"/>
          <w:caps w:val="0"/>
          <w:color w:val="000000"/>
          <w:spacing w:val="4"/>
          <w:sz w:val="24"/>
          <w:szCs w:val="24"/>
          <w:shd w:val="clear" w:color="auto" w:fill="FFFFFF"/>
        </w:rPr>
        <w:t>乙方</w:t>
      </w:r>
      <w:r>
        <w:rPr>
          <w:rFonts w:hint="eastAsia" w:ascii="宋体" w:hAnsi="宋体" w:eastAsia="宋体" w:cs="宋体"/>
          <w:i w:val="0"/>
          <w:iCs w:val="0"/>
          <w:caps w:val="0"/>
          <w:color w:val="000000"/>
          <w:spacing w:val="4"/>
          <w:sz w:val="24"/>
          <w:szCs w:val="24"/>
          <w:shd w:val="clear" w:color="auto" w:fill="FFFFFF"/>
          <w:lang w:val="en-US" w:eastAsia="zh-CN"/>
        </w:rPr>
        <w:t>须自备应急车辆一台或多台。当运输车辆在配送途中出现故障时，可迅速补上；</w:t>
      </w:r>
      <w:r>
        <w:rPr>
          <w:rFonts w:hint="eastAsia" w:ascii="宋体" w:hAnsi="宋体" w:eastAsia="宋体" w:cs="宋体"/>
          <w:i w:val="0"/>
          <w:iCs w:val="0"/>
          <w:caps w:val="0"/>
          <w:color w:val="000000"/>
          <w:spacing w:val="4"/>
          <w:sz w:val="24"/>
          <w:szCs w:val="24"/>
          <w:shd w:val="clear" w:color="auto" w:fill="FFFFFF"/>
        </w:rPr>
        <w:t>乙方</w:t>
      </w:r>
      <w:r>
        <w:rPr>
          <w:rFonts w:hint="eastAsia" w:ascii="宋体" w:hAnsi="宋体" w:eastAsia="宋体" w:cs="宋体"/>
          <w:i w:val="0"/>
          <w:iCs w:val="0"/>
          <w:caps w:val="0"/>
          <w:color w:val="000000"/>
          <w:spacing w:val="4"/>
          <w:sz w:val="24"/>
          <w:szCs w:val="24"/>
          <w:shd w:val="clear" w:color="auto" w:fill="FFFFFF"/>
          <w:lang w:val="en-US" w:eastAsia="zh-CN"/>
        </w:rPr>
        <w:t>须随时关注天气预报，特殊天气情况下，应提前准备雨衣、电筒、发电机等。提前检查车辆等设备是否正常运转。应加派人手，积极做好配送准备。</w:t>
      </w:r>
    </w:p>
    <w:p w14:paraId="6AE78886">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default" w:ascii="宋体" w:hAnsi="宋体" w:eastAsia="宋体" w:cs="宋体"/>
          <w:i w:val="0"/>
          <w:iCs w:val="0"/>
          <w:caps w:val="0"/>
          <w:color w:val="000000"/>
          <w:spacing w:val="4"/>
          <w:sz w:val="24"/>
          <w:szCs w:val="24"/>
          <w:shd w:val="clear" w:color="auto" w:fill="FFFFFF"/>
          <w:lang w:val="en-US" w:eastAsia="zh-CN"/>
        </w:rPr>
      </w:pPr>
      <w:r>
        <w:rPr>
          <w:rFonts w:hint="eastAsia" w:ascii="宋体" w:hAnsi="宋体" w:cs="宋体"/>
          <w:i w:val="0"/>
          <w:iCs w:val="0"/>
          <w:caps w:val="0"/>
          <w:color w:val="000000"/>
          <w:spacing w:val="4"/>
          <w:sz w:val="24"/>
          <w:szCs w:val="24"/>
          <w:shd w:val="clear" w:color="auto" w:fill="FFFFFF"/>
          <w:lang w:val="en-US" w:eastAsia="zh-CN"/>
        </w:rPr>
        <w:t>（九）其他要求：。</w:t>
      </w:r>
    </w:p>
    <w:p w14:paraId="789B28CC">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i w:val="0"/>
          <w:iCs w:val="0"/>
          <w:caps w:val="0"/>
          <w:color w:val="000000"/>
          <w:spacing w:val="4"/>
          <w:sz w:val="24"/>
          <w:szCs w:val="24"/>
          <w:shd w:val="clear" w:color="auto" w:fill="FFFFFF"/>
          <w:lang w:eastAsia="zh-CN"/>
        </w:rPr>
      </w:pPr>
      <w:r>
        <w:rPr>
          <w:rFonts w:hint="eastAsia" w:ascii="宋体" w:hAnsi="宋体" w:eastAsia="宋体" w:cs="宋体"/>
          <w:b/>
          <w:bCs/>
          <w:i w:val="0"/>
          <w:iCs w:val="0"/>
          <w:caps w:val="0"/>
          <w:color w:val="000000"/>
          <w:spacing w:val="4"/>
          <w:sz w:val="24"/>
          <w:szCs w:val="24"/>
          <w:shd w:val="clear" w:color="auto" w:fill="FFFFFF"/>
          <w:lang w:eastAsia="zh-CN"/>
        </w:rPr>
        <w:t>九、包装和运输</w:t>
      </w:r>
    </w:p>
    <w:p w14:paraId="166FFEFE">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val="en-US" w:eastAsia="zh-CN"/>
        </w:rPr>
        <w:t>（一）包装与保护：乙方所提供的食品在装卸、运输和仓储过程中应有足够的包装保护，防止食品受潮、被腐蚀以及其他不可预见的损坏。贮存、运输和装卸食品的容器、工具和设备应当安全、无害，保持清洁，防止食品污染，并符合保证食品安全所需的温度、湿度等特殊要求，不得将食品与有毒、有害物品一同贮存、运输。</w:t>
      </w:r>
    </w:p>
    <w:p w14:paraId="72FF8D43">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rPr>
        <w:t>（二）由乙方负责完成食品运输过程中的全部工作内容，并安全送达到甲方</w:t>
      </w:r>
      <w:r>
        <w:rPr>
          <w:rFonts w:hint="eastAsia" w:ascii="宋体" w:hAnsi="宋体" w:eastAsia="宋体" w:cs="宋体"/>
          <w:i w:val="0"/>
          <w:iCs w:val="0"/>
          <w:caps w:val="0"/>
          <w:color w:val="000000"/>
          <w:spacing w:val="4"/>
          <w:sz w:val="24"/>
          <w:szCs w:val="24"/>
          <w:shd w:val="clear" w:color="auto" w:fill="FFFFFF"/>
          <w:lang w:val="en-US" w:eastAsia="zh-CN"/>
        </w:rPr>
        <w:t>或者各学校</w:t>
      </w:r>
      <w:r>
        <w:rPr>
          <w:rFonts w:hint="eastAsia" w:ascii="宋体" w:hAnsi="宋体" w:eastAsia="宋体" w:cs="宋体"/>
          <w:i w:val="0"/>
          <w:iCs w:val="0"/>
          <w:caps w:val="0"/>
          <w:color w:val="000000"/>
          <w:spacing w:val="4"/>
          <w:sz w:val="24"/>
          <w:szCs w:val="24"/>
          <w:shd w:val="clear" w:color="auto" w:fill="FFFFFF"/>
        </w:rPr>
        <w:t>指定交货地点。</w:t>
      </w:r>
    </w:p>
    <w:p w14:paraId="0BFFAB59">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default" w:ascii="宋体" w:hAnsi="宋体" w:eastAsia="宋体" w:cs="宋体"/>
          <w:i w:val="0"/>
          <w:iCs w:val="0"/>
          <w:caps w:val="0"/>
          <w:color w:val="000000"/>
          <w:spacing w:val="4"/>
          <w:sz w:val="24"/>
          <w:szCs w:val="24"/>
          <w:shd w:val="clear" w:color="auto" w:fill="FFFFFF"/>
          <w:lang w:val="en-US" w:eastAsia="zh-CN"/>
        </w:rPr>
      </w:pPr>
      <w:r>
        <w:rPr>
          <w:rFonts w:hint="eastAsia" w:ascii="宋体" w:hAnsi="宋体" w:cs="宋体"/>
          <w:i w:val="0"/>
          <w:iCs w:val="0"/>
          <w:caps w:val="0"/>
          <w:color w:val="000000"/>
          <w:spacing w:val="4"/>
          <w:sz w:val="24"/>
          <w:szCs w:val="24"/>
          <w:shd w:val="clear" w:color="auto" w:fill="FFFFFF"/>
          <w:lang w:eastAsia="zh-CN"/>
        </w:rPr>
        <w:t>（</w:t>
      </w:r>
      <w:r>
        <w:rPr>
          <w:rFonts w:hint="eastAsia" w:ascii="宋体" w:hAnsi="宋体" w:cs="宋体"/>
          <w:i w:val="0"/>
          <w:iCs w:val="0"/>
          <w:caps w:val="0"/>
          <w:color w:val="000000"/>
          <w:spacing w:val="4"/>
          <w:sz w:val="24"/>
          <w:szCs w:val="24"/>
          <w:shd w:val="clear" w:color="auto" w:fill="FFFFFF"/>
          <w:lang w:val="en-US" w:eastAsia="zh-CN"/>
        </w:rPr>
        <w:t>三）。</w:t>
      </w:r>
    </w:p>
    <w:p w14:paraId="68A7AE33">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i w:val="0"/>
          <w:iCs w:val="0"/>
          <w:caps w:val="0"/>
          <w:color w:val="000000"/>
          <w:spacing w:val="4"/>
          <w:sz w:val="24"/>
          <w:szCs w:val="24"/>
          <w:shd w:val="clear" w:color="auto" w:fill="FFFFFF"/>
          <w:lang w:eastAsia="zh-CN"/>
        </w:rPr>
      </w:pPr>
      <w:r>
        <w:rPr>
          <w:rFonts w:hint="eastAsia" w:ascii="宋体" w:hAnsi="宋体" w:eastAsia="宋体" w:cs="宋体"/>
          <w:b/>
          <w:bCs/>
          <w:i w:val="0"/>
          <w:iCs w:val="0"/>
          <w:caps w:val="0"/>
          <w:color w:val="000000"/>
          <w:spacing w:val="4"/>
          <w:sz w:val="24"/>
          <w:szCs w:val="24"/>
          <w:shd w:val="clear" w:color="auto" w:fill="FFFFFF"/>
          <w:lang w:eastAsia="zh-CN"/>
        </w:rPr>
        <w:t>十、</w:t>
      </w:r>
      <w:r>
        <w:rPr>
          <w:rFonts w:hint="eastAsia" w:ascii="宋体" w:hAnsi="宋体" w:eastAsia="宋体" w:cs="宋体"/>
          <w:b/>
          <w:bCs/>
          <w:i w:val="0"/>
          <w:iCs w:val="0"/>
          <w:caps w:val="0"/>
          <w:color w:val="000000"/>
          <w:spacing w:val="4"/>
          <w:sz w:val="24"/>
          <w:szCs w:val="24"/>
          <w:shd w:val="clear" w:color="auto" w:fill="FFFFFF"/>
          <w:lang w:val="en-US" w:eastAsia="zh-CN"/>
        </w:rPr>
        <w:t>食材</w:t>
      </w:r>
      <w:r>
        <w:rPr>
          <w:rFonts w:hint="eastAsia" w:ascii="宋体" w:hAnsi="宋体" w:eastAsia="宋体" w:cs="宋体"/>
          <w:b/>
          <w:bCs/>
          <w:i w:val="0"/>
          <w:iCs w:val="0"/>
          <w:caps w:val="0"/>
          <w:color w:val="000000"/>
          <w:spacing w:val="4"/>
          <w:sz w:val="24"/>
          <w:szCs w:val="24"/>
          <w:shd w:val="clear" w:color="auto" w:fill="FFFFFF"/>
          <w:lang w:eastAsia="zh-CN"/>
        </w:rPr>
        <w:t>验收</w:t>
      </w:r>
    </w:p>
    <w:p w14:paraId="00D4BDDA">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rPr>
        <w:t>（一）学校指定专人按国家相关标准</w:t>
      </w:r>
      <w:r>
        <w:rPr>
          <w:rFonts w:hint="eastAsia" w:ascii="宋体" w:hAnsi="宋体" w:eastAsia="宋体" w:cs="宋体"/>
          <w:i w:val="0"/>
          <w:iCs w:val="0"/>
          <w:caps w:val="0"/>
          <w:color w:val="000000"/>
          <w:spacing w:val="4"/>
          <w:sz w:val="24"/>
          <w:szCs w:val="24"/>
          <w:shd w:val="clear" w:color="auto" w:fill="FFFFFF"/>
          <w:lang w:val="en-US" w:eastAsia="zh-CN"/>
        </w:rPr>
        <w:t>进行</w:t>
      </w:r>
      <w:r>
        <w:rPr>
          <w:rFonts w:hint="eastAsia" w:ascii="宋体" w:hAnsi="宋体" w:eastAsia="宋体" w:cs="宋体"/>
          <w:i w:val="0"/>
          <w:iCs w:val="0"/>
          <w:caps w:val="0"/>
          <w:color w:val="000000"/>
          <w:spacing w:val="4"/>
          <w:sz w:val="24"/>
          <w:szCs w:val="24"/>
          <w:shd w:val="clear" w:color="auto" w:fill="FFFFFF"/>
        </w:rPr>
        <w:t>验收，不符合相关标准的</w:t>
      </w:r>
      <w:r>
        <w:rPr>
          <w:rFonts w:hint="eastAsia" w:ascii="宋体" w:hAnsi="宋体" w:eastAsia="宋体" w:cs="宋体"/>
          <w:i w:val="0"/>
          <w:iCs w:val="0"/>
          <w:caps w:val="0"/>
          <w:color w:val="000000"/>
          <w:spacing w:val="4"/>
          <w:sz w:val="24"/>
          <w:szCs w:val="24"/>
          <w:shd w:val="clear" w:color="auto" w:fill="FFFFFF"/>
          <w:lang w:val="en-US" w:eastAsia="zh-CN"/>
        </w:rPr>
        <w:t>食材</w:t>
      </w:r>
      <w:r>
        <w:rPr>
          <w:rFonts w:hint="eastAsia" w:ascii="宋体" w:hAnsi="宋体" w:eastAsia="宋体" w:cs="宋体"/>
          <w:i w:val="0"/>
          <w:iCs w:val="0"/>
          <w:caps w:val="0"/>
          <w:color w:val="000000"/>
          <w:spacing w:val="4"/>
          <w:sz w:val="24"/>
          <w:szCs w:val="24"/>
          <w:shd w:val="clear" w:color="auto" w:fill="FFFFFF"/>
        </w:rPr>
        <w:t>乙方应及时调换，并不得影响甲方</w:t>
      </w:r>
      <w:r>
        <w:rPr>
          <w:rFonts w:hint="eastAsia" w:ascii="宋体" w:hAnsi="宋体" w:eastAsia="宋体" w:cs="宋体"/>
          <w:i w:val="0"/>
          <w:iCs w:val="0"/>
          <w:caps w:val="0"/>
          <w:color w:val="000000"/>
          <w:spacing w:val="4"/>
          <w:sz w:val="24"/>
          <w:szCs w:val="24"/>
          <w:shd w:val="clear" w:color="auto" w:fill="FFFFFF"/>
          <w:lang w:val="en-US" w:eastAsia="zh-CN"/>
        </w:rPr>
        <w:t>及学校</w:t>
      </w:r>
      <w:r>
        <w:rPr>
          <w:rFonts w:hint="eastAsia" w:ascii="宋体" w:hAnsi="宋体" w:eastAsia="宋体" w:cs="宋体"/>
          <w:i w:val="0"/>
          <w:iCs w:val="0"/>
          <w:caps w:val="0"/>
          <w:color w:val="000000"/>
          <w:spacing w:val="4"/>
          <w:sz w:val="24"/>
          <w:szCs w:val="24"/>
          <w:shd w:val="clear" w:color="auto" w:fill="FFFFFF"/>
        </w:rPr>
        <w:t>的正常</w:t>
      </w:r>
      <w:r>
        <w:rPr>
          <w:rFonts w:hint="eastAsia" w:ascii="宋体" w:hAnsi="宋体" w:eastAsia="宋体" w:cs="宋体"/>
          <w:i w:val="0"/>
          <w:iCs w:val="0"/>
          <w:caps w:val="0"/>
          <w:color w:val="000000"/>
          <w:spacing w:val="4"/>
          <w:sz w:val="24"/>
          <w:szCs w:val="24"/>
          <w:shd w:val="clear" w:color="auto" w:fill="FFFFFF"/>
          <w:lang w:val="en-US" w:eastAsia="zh-CN"/>
        </w:rPr>
        <w:t>工作</w:t>
      </w:r>
      <w:r>
        <w:rPr>
          <w:rFonts w:hint="eastAsia" w:ascii="宋体" w:hAnsi="宋体" w:eastAsia="宋体" w:cs="宋体"/>
          <w:i w:val="0"/>
          <w:iCs w:val="0"/>
          <w:caps w:val="0"/>
          <w:color w:val="000000"/>
          <w:spacing w:val="4"/>
          <w:sz w:val="24"/>
          <w:szCs w:val="24"/>
          <w:shd w:val="clear" w:color="auto" w:fill="FFFFFF"/>
        </w:rPr>
        <w:t>。</w:t>
      </w:r>
    </w:p>
    <w:p w14:paraId="17D5A9AA">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rPr>
        <w:t>（二）送货单一式四联，经</w:t>
      </w:r>
      <w:r>
        <w:rPr>
          <w:rFonts w:hint="eastAsia" w:ascii="宋体" w:hAnsi="宋体" w:eastAsia="宋体" w:cs="宋体"/>
          <w:i w:val="0"/>
          <w:iCs w:val="0"/>
          <w:caps w:val="0"/>
          <w:color w:val="000000"/>
          <w:spacing w:val="4"/>
          <w:sz w:val="24"/>
          <w:szCs w:val="24"/>
          <w:shd w:val="clear" w:color="auto" w:fill="FFFFFF"/>
          <w:lang w:eastAsia="zh-CN"/>
        </w:rPr>
        <w:t>学校</w:t>
      </w:r>
      <w:r>
        <w:rPr>
          <w:rFonts w:hint="eastAsia" w:ascii="宋体" w:hAnsi="宋体" w:eastAsia="宋体" w:cs="宋体"/>
          <w:i w:val="0"/>
          <w:iCs w:val="0"/>
          <w:caps w:val="0"/>
          <w:color w:val="000000"/>
          <w:spacing w:val="4"/>
          <w:sz w:val="24"/>
          <w:szCs w:val="24"/>
          <w:shd w:val="clear" w:color="auto" w:fill="FFFFFF"/>
        </w:rPr>
        <w:t>食堂管理员、主管及乙方库房、送货人签字后各自留存（白联：乙方财务，红联：乙方与学校对账，蓝联和黄联给学校食堂和学校财务各一份）作为结算依据。</w:t>
      </w:r>
    </w:p>
    <w:p w14:paraId="1C5B8DE8">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default" w:ascii="宋体" w:hAnsi="宋体" w:eastAsia="宋体" w:cs="宋体"/>
          <w:i w:val="0"/>
          <w:iCs w:val="0"/>
          <w:caps w:val="0"/>
          <w:color w:val="000000"/>
          <w:spacing w:val="4"/>
          <w:sz w:val="24"/>
          <w:szCs w:val="24"/>
          <w:shd w:val="clear" w:color="auto" w:fill="FFFFFF"/>
          <w:lang w:val="en-US" w:eastAsia="zh-CN"/>
        </w:rPr>
      </w:pPr>
      <w:r>
        <w:rPr>
          <w:rFonts w:hint="eastAsia" w:ascii="宋体" w:hAnsi="宋体" w:cs="宋体"/>
          <w:i w:val="0"/>
          <w:iCs w:val="0"/>
          <w:caps w:val="0"/>
          <w:color w:val="000000"/>
          <w:spacing w:val="4"/>
          <w:sz w:val="24"/>
          <w:szCs w:val="24"/>
          <w:shd w:val="clear" w:color="auto" w:fill="FFFFFF"/>
          <w:lang w:eastAsia="zh-CN"/>
        </w:rPr>
        <w:t>（</w:t>
      </w:r>
      <w:r>
        <w:rPr>
          <w:rFonts w:hint="eastAsia" w:ascii="宋体" w:hAnsi="宋体" w:cs="宋体"/>
          <w:i w:val="0"/>
          <w:iCs w:val="0"/>
          <w:caps w:val="0"/>
          <w:color w:val="000000"/>
          <w:spacing w:val="4"/>
          <w:sz w:val="24"/>
          <w:szCs w:val="24"/>
          <w:shd w:val="clear" w:color="auto" w:fill="FFFFFF"/>
          <w:lang w:val="en-US" w:eastAsia="zh-CN"/>
        </w:rPr>
        <w:t>三）。</w:t>
      </w:r>
    </w:p>
    <w:p w14:paraId="638F32B7">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i w:val="0"/>
          <w:iCs w:val="0"/>
          <w:caps w:val="0"/>
          <w:color w:val="000000"/>
          <w:spacing w:val="4"/>
          <w:sz w:val="24"/>
          <w:szCs w:val="24"/>
          <w:shd w:val="clear" w:color="auto" w:fill="FFFFFF"/>
          <w:lang w:eastAsia="zh-CN"/>
        </w:rPr>
      </w:pPr>
      <w:r>
        <w:rPr>
          <w:rFonts w:hint="eastAsia" w:ascii="宋体" w:hAnsi="宋体" w:eastAsia="宋体" w:cs="宋体"/>
          <w:b/>
          <w:bCs/>
          <w:i w:val="0"/>
          <w:iCs w:val="0"/>
          <w:caps w:val="0"/>
          <w:color w:val="000000"/>
          <w:spacing w:val="4"/>
          <w:sz w:val="24"/>
          <w:szCs w:val="24"/>
          <w:shd w:val="clear" w:color="auto" w:fill="FFFFFF"/>
          <w:lang w:eastAsia="zh-CN"/>
        </w:rPr>
        <w:t>十一、甲方权利义务</w:t>
      </w:r>
    </w:p>
    <w:p w14:paraId="514FAE9E">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（一）</w:t>
      </w:r>
      <w:r>
        <w:rPr>
          <w:rFonts w:hint="eastAsia" w:ascii="宋体" w:hAnsi="宋体" w:eastAsia="宋体" w:cs="宋体"/>
          <w:i w:val="0"/>
          <w:iCs w:val="0"/>
          <w:caps w:val="0"/>
          <w:color w:val="000000"/>
          <w:spacing w:val="4"/>
          <w:sz w:val="24"/>
          <w:szCs w:val="24"/>
          <w:shd w:val="clear" w:color="auto" w:fill="FFFFFF"/>
        </w:rPr>
        <w:t>按时向乙方下达次日或次周订单，以便乙方提前安排准备；</w:t>
      </w:r>
    </w:p>
    <w:p w14:paraId="195CE186">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（二）</w:t>
      </w:r>
      <w:r>
        <w:rPr>
          <w:rFonts w:hint="eastAsia" w:ascii="宋体" w:hAnsi="宋体" w:eastAsia="宋体" w:cs="宋体"/>
          <w:i w:val="0"/>
          <w:iCs w:val="0"/>
          <w:caps w:val="0"/>
          <w:color w:val="000000"/>
          <w:spacing w:val="4"/>
          <w:sz w:val="24"/>
          <w:szCs w:val="24"/>
          <w:shd w:val="clear" w:color="auto" w:fill="FFFFFF"/>
        </w:rPr>
        <w:t>依据订单和供货清单进行清点验收，对不符合学校订单的食材，有权退回乙方，由此产生的损失由乙方承担；</w:t>
      </w:r>
    </w:p>
    <w:p w14:paraId="39CA64A3">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（三）</w:t>
      </w:r>
      <w:r>
        <w:rPr>
          <w:rFonts w:hint="eastAsia" w:ascii="宋体" w:hAnsi="宋体" w:eastAsia="宋体" w:cs="宋体"/>
          <w:i w:val="0"/>
          <w:iCs w:val="0"/>
          <w:caps w:val="0"/>
          <w:color w:val="000000"/>
          <w:spacing w:val="4"/>
          <w:sz w:val="24"/>
          <w:szCs w:val="24"/>
          <w:shd w:val="clear" w:color="auto" w:fill="FFFFFF"/>
        </w:rPr>
        <w:t>依据订单和供货清单进行称重验收，重量以学校称重数据为准；</w:t>
      </w:r>
    </w:p>
    <w:p w14:paraId="47C5F6A6">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（四）</w:t>
      </w:r>
      <w:r>
        <w:rPr>
          <w:rFonts w:hint="eastAsia" w:ascii="宋体" w:hAnsi="宋体" w:eastAsia="宋体" w:cs="宋体"/>
          <w:i w:val="0"/>
          <w:iCs w:val="0"/>
          <w:caps w:val="0"/>
          <w:color w:val="000000"/>
          <w:spacing w:val="4"/>
          <w:sz w:val="24"/>
          <w:szCs w:val="24"/>
          <w:shd w:val="clear" w:color="auto" w:fill="FFFFFF"/>
        </w:rPr>
        <w:t>双方需在供货清单上签字确认；</w:t>
      </w:r>
    </w:p>
    <w:p w14:paraId="303F9757">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（五）</w:t>
      </w:r>
      <w:r>
        <w:rPr>
          <w:rFonts w:hint="eastAsia" w:ascii="宋体" w:hAnsi="宋体" w:eastAsia="宋体" w:cs="宋体"/>
          <w:i w:val="0"/>
          <w:iCs w:val="0"/>
          <w:caps w:val="0"/>
          <w:color w:val="000000"/>
          <w:spacing w:val="4"/>
          <w:sz w:val="24"/>
          <w:szCs w:val="24"/>
          <w:shd w:val="clear" w:color="auto" w:fill="FFFFFF"/>
        </w:rPr>
        <w:t>乙方提供发票信息与实际发生信息一致时，不得拖延支付费用；</w:t>
      </w:r>
    </w:p>
    <w:p w14:paraId="41D43DE3">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cs="宋体"/>
          <w:i w:val="0"/>
          <w:iCs w:val="0"/>
          <w:caps w:val="0"/>
          <w:color w:val="000000"/>
          <w:spacing w:val="4"/>
          <w:sz w:val="24"/>
          <w:szCs w:val="24"/>
          <w:shd w:val="clear" w:color="auto" w:fill="FFFFFF"/>
          <w:lang w:eastAsia="zh-CN"/>
        </w:rPr>
      </w:pPr>
      <w:r>
        <w:rPr>
          <w:rFonts w:hint="eastAsia" w:ascii="宋体" w:hAnsi="宋体" w:eastAsia="宋体" w:cs="宋体"/>
          <w:i w:val="0"/>
          <w:iCs w:val="0"/>
          <w:caps w:val="0"/>
          <w:color w:val="000000"/>
          <w:spacing w:val="4"/>
          <w:sz w:val="24"/>
          <w:szCs w:val="24"/>
          <w:shd w:val="clear" w:color="auto" w:fill="FFFFFF"/>
          <w:lang w:eastAsia="zh-CN"/>
        </w:rPr>
        <w:t>（六）</w:t>
      </w:r>
      <w:r>
        <w:rPr>
          <w:rFonts w:hint="eastAsia" w:ascii="宋体" w:hAnsi="宋体" w:eastAsia="宋体" w:cs="宋体"/>
          <w:i w:val="0"/>
          <w:iCs w:val="0"/>
          <w:caps w:val="0"/>
          <w:color w:val="000000"/>
          <w:spacing w:val="4"/>
          <w:sz w:val="24"/>
          <w:szCs w:val="24"/>
          <w:shd w:val="clear" w:color="auto" w:fill="FFFFFF"/>
        </w:rPr>
        <w:t>学校监督小组或膳食委员会</w:t>
      </w:r>
      <w:r>
        <w:rPr>
          <w:rFonts w:hint="eastAsia" w:ascii="宋体" w:hAnsi="宋体" w:cs="宋体"/>
          <w:i w:val="0"/>
          <w:iCs w:val="0"/>
          <w:caps w:val="0"/>
          <w:color w:val="000000"/>
          <w:spacing w:val="4"/>
          <w:sz w:val="24"/>
          <w:szCs w:val="24"/>
          <w:shd w:val="clear" w:color="auto" w:fill="FFFFFF"/>
          <w:lang w:eastAsia="zh-CN"/>
        </w:rPr>
        <w:t>等监督管理机构</w:t>
      </w:r>
      <w:r>
        <w:rPr>
          <w:rFonts w:hint="eastAsia" w:ascii="宋体" w:hAnsi="宋体" w:eastAsia="宋体" w:cs="宋体"/>
          <w:i w:val="0"/>
          <w:iCs w:val="0"/>
          <w:caps w:val="0"/>
          <w:color w:val="000000"/>
          <w:spacing w:val="4"/>
          <w:sz w:val="24"/>
          <w:szCs w:val="24"/>
          <w:shd w:val="clear" w:color="auto" w:fill="FFFFFF"/>
        </w:rPr>
        <w:t>不定期对乙方经营的食材品质及来源进行检查</w:t>
      </w:r>
      <w:r>
        <w:rPr>
          <w:rFonts w:hint="eastAsia" w:ascii="宋体" w:hAnsi="宋体" w:cs="宋体"/>
          <w:i w:val="0"/>
          <w:iCs w:val="0"/>
          <w:caps w:val="0"/>
          <w:color w:val="000000"/>
          <w:spacing w:val="4"/>
          <w:sz w:val="24"/>
          <w:szCs w:val="24"/>
          <w:shd w:val="clear" w:color="auto" w:fill="FFFFFF"/>
          <w:lang w:eastAsia="zh-CN"/>
        </w:rPr>
        <w:t>；</w:t>
      </w:r>
    </w:p>
    <w:p w14:paraId="0349C0CA">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cs="宋体"/>
          <w:i w:val="0"/>
          <w:iCs w:val="0"/>
          <w:caps w:val="0"/>
          <w:color w:val="000000"/>
          <w:spacing w:val="4"/>
          <w:sz w:val="24"/>
          <w:szCs w:val="24"/>
          <w:shd w:val="clear" w:color="auto" w:fill="FFFFFF"/>
          <w:lang w:eastAsia="zh-CN"/>
        </w:rPr>
      </w:pPr>
      <w:r>
        <w:rPr>
          <w:rFonts w:hint="eastAsia" w:ascii="宋体" w:hAnsi="宋体" w:cs="宋体"/>
          <w:i w:val="0"/>
          <w:iCs w:val="0"/>
          <w:caps w:val="0"/>
          <w:color w:val="000000"/>
          <w:spacing w:val="4"/>
          <w:sz w:val="24"/>
          <w:szCs w:val="24"/>
          <w:shd w:val="clear" w:color="auto" w:fill="FFFFFF"/>
          <w:lang w:eastAsia="zh-CN"/>
        </w:rPr>
        <w:t>（七）定期检查库存食材，对临近保质期的食材进行管理监督，设置临期食材专柜或在相对集中区域陈列使用；</w:t>
      </w:r>
    </w:p>
    <w:p w14:paraId="64BE3F6F">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default" w:ascii="宋体" w:hAnsi="宋体" w:cs="宋体"/>
          <w:i w:val="0"/>
          <w:iCs w:val="0"/>
          <w:caps w:val="0"/>
          <w:color w:val="000000"/>
          <w:spacing w:val="4"/>
          <w:sz w:val="24"/>
          <w:szCs w:val="24"/>
          <w:u w:val="single"/>
          <w:shd w:val="clear" w:color="auto" w:fill="FFFFFF"/>
          <w:lang w:val="en-US" w:eastAsia="zh-CN"/>
        </w:rPr>
      </w:pPr>
      <w:r>
        <w:rPr>
          <w:rFonts w:hint="eastAsia" w:ascii="宋体" w:hAnsi="宋体" w:cs="宋体"/>
          <w:i w:val="0"/>
          <w:iCs w:val="0"/>
          <w:caps w:val="0"/>
          <w:color w:val="000000"/>
          <w:spacing w:val="4"/>
          <w:sz w:val="24"/>
          <w:szCs w:val="24"/>
          <w:shd w:val="clear" w:color="auto" w:fill="FFFFFF"/>
          <w:lang w:eastAsia="zh-CN"/>
        </w:rPr>
        <w:t>（八）</w:t>
      </w:r>
      <w:r>
        <w:rPr>
          <w:rFonts w:hint="eastAsia" w:ascii="宋体" w:hAnsi="宋体" w:cs="宋体"/>
          <w:i w:val="0"/>
          <w:iCs w:val="0"/>
          <w:caps w:val="0"/>
          <w:color w:val="000000"/>
          <w:spacing w:val="4"/>
          <w:sz w:val="24"/>
          <w:szCs w:val="24"/>
          <w:u w:val="none"/>
          <w:shd w:val="clear" w:color="auto" w:fill="FFFFFF"/>
          <w:lang w:val="en-US" w:eastAsia="zh-CN"/>
        </w:rPr>
        <w:t>。</w:t>
      </w:r>
    </w:p>
    <w:p w14:paraId="5F831B56">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i w:val="0"/>
          <w:iCs w:val="0"/>
          <w:caps w:val="0"/>
          <w:color w:val="000000"/>
          <w:spacing w:val="4"/>
          <w:sz w:val="24"/>
          <w:szCs w:val="24"/>
          <w:shd w:val="clear" w:color="auto" w:fill="FFFFFF"/>
          <w:lang w:eastAsia="zh-CN"/>
        </w:rPr>
      </w:pPr>
      <w:r>
        <w:rPr>
          <w:rFonts w:hint="eastAsia" w:ascii="宋体" w:hAnsi="宋体" w:eastAsia="宋体" w:cs="宋体"/>
          <w:b/>
          <w:bCs/>
          <w:i w:val="0"/>
          <w:iCs w:val="0"/>
          <w:caps w:val="0"/>
          <w:color w:val="000000"/>
          <w:spacing w:val="4"/>
          <w:sz w:val="24"/>
          <w:szCs w:val="24"/>
          <w:shd w:val="clear" w:color="auto" w:fill="FFFFFF"/>
          <w:lang w:eastAsia="zh-CN"/>
        </w:rPr>
        <w:t>十二、乙方权利义务</w:t>
      </w:r>
    </w:p>
    <w:p w14:paraId="7FC3F740">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（一）</w:t>
      </w:r>
      <w:r>
        <w:rPr>
          <w:rFonts w:hint="eastAsia" w:ascii="宋体" w:hAnsi="宋体" w:eastAsia="宋体" w:cs="宋体"/>
          <w:i w:val="0"/>
          <w:iCs w:val="0"/>
          <w:caps w:val="0"/>
          <w:color w:val="000000"/>
          <w:spacing w:val="4"/>
          <w:sz w:val="24"/>
          <w:szCs w:val="24"/>
          <w:shd w:val="clear" w:color="auto" w:fill="FFFFFF"/>
        </w:rPr>
        <w:t>应严格按照《中华人民共和国农产品质量安全法》《中华人民共和国消费者权益保护法》《中华人民共和国食品安全法》等有关食品安全规定，保质、保量为甲方供应所需食材。</w:t>
      </w:r>
    </w:p>
    <w:p w14:paraId="0D14AA83">
      <w:pPr>
        <w:pStyle w:val="10"/>
        <w:keepNext w:val="0"/>
        <w:keepLines w:val="0"/>
        <w:pageBreakBefore w:val="0"/>
        <w:wordWrap/>
        <w:overflowPunct/>
        <w:topLinePunct w:val="0"/>
        <w:bidi w:val="0"/>
        <w:spacing w:line="500" w:lineRule="exact"/>
        <w:ind w:firstLine="496" w:firstLineChars="200"/>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（二）</w:t>
      </w:r>
      <w:r>
        <w:rPr>
          <w:rFonts w:hint="eastAsia" w:ascii="宋体" w:hAnsi="宋体" w:eastAsia="宋体" w:cs="宋体"/>
          <w:i w:val="0"/>
          <w:iCs w:val="0"/>
          <w:caps w:val="0"/>
          <w:color w:val="000000"/>
          <w:spacing w:val="4"/>
          <w:sz w:val="24"/>
          <w:szCs w:val="24"/>
          <w:shd w:val="clear" w:color="auto" w:fill="FFFFFF"/>
        </w:rPr>
        <w:t>需向甲方提供营业执照、账户及开户行信息、供应食材质量合格证明</w:t>
      </w:r>
      <w:r>
        <w:rPr>
          <w:rFonts w:hint="eastAsia" w:ascii="宋体" w:hAnsi="宋体" w:cs="宋体"/>
          <w:i w:val="0"/>
          <w:iCs w:val="0"/>
          <w:caps w:val="0"/>
          <w:color w:val="000000"/>
          <w:spacing w:val="4"/>
          <w:sz w:val="24"/>
          <w:szCs w:val="24"/>
          <w:shd w:val="clear" w:color="auto" w:fill="FFFFFF"/>
          <w:lang w:eastAsia="zh-CN"/>
        </w:rPr>
        <w:t>、</w:t>
      </w:r>
      <w:r>
        <w:rPr>
          <w:rFonts w:hint="eastAsia" w:ascii="宋体" w:hAnsi="宋体" w:eastAsia="宋体" w:cs="宋体"/>
          <w:i w:val="0"/>
          <w:iCs w:val="0"/>
          <w:caps w:val="0"/>
          <w:color w:val="000000"/>
          <w:spacing w:val="4"/>
          <w:sz w:val="24"/>
          <w:szCs w:val="24"/>
          <w:shd w:val="clear" w:color="auto" w:fill="FFFFFF"/>
          <w:lang w:val="en-US" w:eastAsia="zh-CN"/>
        </w:rPr>
        <w:t>从业人员健康证明、税务登记证、食品的检验报告、食品安全管理体系认证证书、食材来源证明、安全应急预案</w:t>
      </w:r>
      <w:r>
        <w:rPr>
          <w:rFonts w:hint="eastAsia" w:ascii="宋体" w:hAnsi="宋体" w:eastAsia="宋体" w:cs="宋体"/>
          <w:i w:val="0"/>
          <w:iCs w:val="0"/>
          <w:caps w:val="0"/>
          <w:color w:val="000000"/>
          <w:spacing w:val="4"/>
          <w:sz w:val="24"/>
          <w:szCs w:val="24"/>
          <w:shd w:val="clear" w:color="auto" w:fill="FFFFFF"/>
        </w:rPr>
        <w:t>等有关资料；</w:t>
      </w:r>
    </w:p>
    <w:p w14:paraId="4AFCE28B">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（三）</w:t>
      </w:r>
      <w:r>
        <w:rPr>
          <w:rFonts w:hint="eastAsia" w:ascii="宋体" w:hAnsi="宋体" w:eastAsia="宋体" w:cs="宋体"/>
          <w:i w:val="0"/>
          <w:iCs w:val="0"/>
          <w:caps w:val="0"/>
          <w:color w:val="000000"/>
          <w:spacing w:val="4"/>
          <w:sz w:val="24"/>
          <w:szCs w:val="24"/>
          <w:shd w:val="clear" w:color="auto" w:fill="FFFFFF"/>
        </w:rPr>
        <w:t>与甲方核对供应食材信息无误后，需向甲方提供合规的发票；</w:t>
      </w:r>
    </w:p>
    <w:p w14:paraId="7E4D2577">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（四）</w:t>
      </w:r>
      <w:r>
        <w:rPr>
          <w:rFonts w:hint="eastAsia" w:ascii="宋体" w:hAnsi="宋体" w:eastAsia="宋体" w:cs="宋体"/>
          <w:i w:val="0"/>
          <w:iCs w:val="0"/>
          <w:caps w:val="0"/>
          <w:color w:val="000000"/>
          <w:spacing w:val="4"/>
          <w:sz w:val="24"/>
          <w:szCs w:val="24"/>
          <w:shd w:val="clear" w:color="auto" w:fill="FFFFFF"/>
        </w:rPr>
        <w:t>按照订单约定准时将食材运送到指定地点，配合甲方做好验收并在供货清单上签字确认；</w:t>
      </w:r>
    </w:p>
    <w:p w14:paraId="54C8D305">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（五）</w:t>
      </w:r>
      <w:r>
        <w:rPr>
          <w:rFonts w:hint="eastAsia" w:ascii="宋体" w:hAnsi="宋体" w:eastAsia="宋体" w:cs="宋体"/>
          <w:i w:val="0"/>
          <w:iCs w:val="0"/>
          <w:caps w:val="0"/>
          <w:color w:val="000000"/>
          <w:spacing w:val="4"/>
          <w:sz w:val="24"/>
          <w:szCs w:val="24"/>
          <w:shd w:val="clear" w:color="auto" w:fill="FFFFFF"/>
        </w:rPr>
        <w:t>自行承担食材从开始运输至经甲方检验合格前的一切损毁、变质风险；</w:t>
      </w:r>
    </w:p>
    <w:p w14:paraId="72433CB0">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（六）</w:t>
      </w:r>
      <w:r>
        <w:rPr>
          <w:rFonts w:hint="eastAsia" w:ascii="宋体" w:hAnsi="宋体" w:eastAsia="宋体" w:cs="宋体"/>
          <w:i w:val="0"/>
          <w:iCs w:val="0"/>
          <w:caps w:val="0"/>
          <w:color w:val="000000"/>
          <w:spacing w:val="4"/>
          <w:sz w:val="24"/>
          <w:szCs w:val="24"/>
          <w:shd w:val="clear" w:color="auto" w:fill="FFFFFF"/>
        </w:rPr>
        <w:t>严格按照甲方订单中的品类、规格、质量及数量进行配送，验收时甲方若发现食材质量不达标、重量不足或出现漏货等情况，乙方应按照甲方的要求立即更换及补货；</w:t>
      </w:r>
    </w:p>
    <w:p w14:paraId="6612778D">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lang w:eastAsia="zh-CN"/>
        </w:rPr>
      </w:pPr>
      <w:r>
        <w:rPr>
          <w:rFonts w:hint="eastAsia" w:ascii="宋体" w:hAnsi="宋体" w:eastAsia="宋体" w:cs="宋体"/>
          <w:i w:val="0"/>
          <w:iCs w:val="0"/>
          <w:caps w:val="0"/>
          <w:color w:val="000000"/>
          <w:spacing w:val="4"/>
          <w:sz w:val="24"/>
          <w:szCs w:val="24"/>
          <w:shd w:val="clear" w:color="auto" w:fill="FFFFFF"/>
          <w:lang w:eastAsia="zh-CN"/>
        </w:rPr>
        <w:t>（七）</w:t>
      </w:r>
      <w:r>
        <w:rPr>
          <w:rFonts w:hint="eastAsia" w:ascii="宋体" w:hAnsi="宋体" w:eastAsia="宋体" w:cs="宋体"/>
          <w:i w:val="0"/>
          <w:iCs w:val="0"/>
          <w:caps w:val="0"/>
          <w:color w:val="000000"/>
          <w:spacing w:val="4"/>
          <w:sz w:val="24"/>
          <w:szCs w:val="24"/>
          <w:shd w:val="clear" w:color="auto" w:fill="FFFFFF"/>
        </w:rPr>
        <w:t>工作人员出入校园应遵守学校规章制度</w:t>
      </w:r>
      <w:r>
        <w:rPr>
          <w:rFonts w:hint="eastAsia" w:ascii="宋体" w:hAnsi="宋体" w:cs="宋体"/>
          <w:i w:val="0"/>
          <w:iCs w:val="0"/>
          <w:caps w:val="0"/>
          <w:color w:val="000000"/>
          <w:spacing w:val="4"/>
          <w:sz w:val="24"/>
          <w:szCs w:val="24"/>
          <w:shd w:val="clear" w:color="auto" w:fill="FFFFFF"/>
          <w:lang w:eastAsia="zh-CN"/>
        </w:rPr>
        <w:t>；</w:t>
      </w:r>
    </w:p>
    <w:p w14:paraId="7163ECFB">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lang w:eastAsia="zh-CN"/>
        </w:rPr>
      </w:pPr>
      <w:r>
        <w:rPr>
          <w:rFonts w:hint="eastAsia" w:ascii="宋体" w:hAnsi="宋体" w:cs="宋体"/>
          <w:i w:val="0"/>
          <w:iCs w:val="0"/>
          <w:caps w:val="0"/>
          <w:color w:val="000000"/>
          <w:spacing w:val="4"/>
          <w:sz w:val="24"/>
          <w:szCs w:val="24"/>
          <w:shd w:val="clear" w:color="auto" w:fill="FFFFFF"/>
          <w:lang w:eastAsia="zh-CN"/>
        </w:rPr>
        <w:t>（八）</w:t>
      </w:r>
      <w:r>
        <w:rPr>
          <w:rFonts w:hint="eastAsia" w:ascii="宋体" w:hAnsi="宋体" w:cs="宋体"/>
          <w:i w:val="0"/>
          <w:iCs w:val="0"/>
          <w:caps w:val="0"/>
          <w:color w:val="000000"/>
          <w:spacing w:val="4"/>
          <w:sz w:val="24"/>
          <w:szCs w:val="24"/>
          <w:u w:val="none"/>
          <w:shd w:val="clear" w:color="auto" w:fill="FFFFFF"/>
          <w:lang w:val="en-US" w:eastAsia="zh-CN"/>
        </w:rPr>
        <w:t>。</w:t>
      </w:r>
    </w:p>
    <w:p w14:paraId="5968FE91">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i w:val="0"/>
          <w:iCs w:val="0"/>
          <w:caps w:val="0"/>
          <w:color w:val="000000"/>
          <w:spacing w:val="4"/>
          <w:sz w:val="24"/>
          <w:szCs w:val="24"/>
          <w:shd w:val="clear" w:color="auto" w:fill="FFFFFF"/>
          <w:lang w:eastAsia="zh-CN"/>
        </w:rPr>
      </w:pPr>
      <w:r>
        <w:rPr>
          <w:rFonts w:hint="eastAsia" w:ascii="宋体" w:hAnsi="宋体" w:eastAsia="宋体" w:cs="宋体"/>
          <w:b/>
          <w:bCs/>
          <w:i w:val="0"/>
          <w:iCs w:val="0"/>
          <w:caps w:val="0"/>
          <w:color w:val="000000"/>
          <w:spacing w:val="4"/>
          <w:sz w:val="24"/>
          <w:szCs w:val="24"/>
          <w:shd w:val="clear" w:color="auto" w:fill="FFFFFF"/>
          <w:lang w:eastAsia="zh-CN"/>
        </w:rPr>
        <w:t>十三、合同解除</w:t>
      </w:r>
    </w:p>
    <w:p w14:paraId="38BDDF49">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（一）</w:t>
      </w:r>
      <w:r>
        <w:rPr>
          <w:rFonts w:hint="eastAsia" w:ascii="宋体" w:hAnsi="宋体" w:eastAsia="宋体" w:cs="宋体"/>
          <w:i w:val="0"/>
          <w:iCs w:val="0"/>
          <w:caps w:val="0"/>
          <w:color w:val="000000"/>
          <w:spacing w:val="4"/>
          <w:sz w:val="24"/>
          <w:szCs w:val="24"/>
          <w:shd w:val="clear" w:color="auto" w:fill="FFFFFF"/>
        </w:rPr>
        <w:t>双方协商一致可以解除本合同；</w:t>
      </w:r>
    </w:p>
    <w:p w14:paraId="5F0637A6">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（二）</w:t>
      </w:r>
      <w:r>
        <w:rPr>
          <w:rFonts w:hint="eastAsia" w:ascii="宋体" w:hAnsi="宋体" w:eastAsia="宋体" w:cs="宋体"/>
          <w:i w:val="0"/>
          <w:iCs w:val="0"/>
          <w:caps w:val="0"/>
          <w:color w:val="000000"/>
          <w:spacing w:val="4"/>
          <w:sz w:val="24"/>
          <w:szCs w:val="24"/>
          <w:shd w:val="clear" w:color="auto" w:fill="FFFFFF"/>
        </w:rPr>
        <w:t>在合同期内，由于发生不可抗力，致使合同不能履行的，甲、乙双方的任何一方有权提出终止合同。由此发生的经济损失，甲、乙双方各自承担。</w:t>
      </w:r>
    </w:p>
    <w:p w14:paraId="264FF982">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（三）</w:t>
      </w:r>
      <w:r>
        <w:rPr>
          <w:rFonts w:hint="eastAsia" w:ascii="宋体" w:hAnsi="宋体" w:eastAsia="宋体" w:cs="宋体"/>
          <w:i w:val="0"/>
          <w:iCs w:val="0"/>
          <w:caps w:val="0"/>
          <w:color w:val="000000"/>
          <w:spacing w:val="4"/>
          <w:sz w:val="24"/>
          <w:szCs w:val="24"/>
          <w:shd w:val="clear" w:color="auto" w:fill="FFFFFF"/>
        </w:rPr>
        <w:t>乙方未按合同约定时间供货的，每延迟一次按延迟供货金额%支付违约金，如发生次延迟供货，甲方有权解除合同。</w:t>
      </w:r>
    </w:p>
    <w:p w14:paraId="6259462E">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（四）</w:t>
      </w:r>
      <w:r>
        <w:rPr>
          <w:rFonts w:hint="eastAsia" w:ascii="宋体" w:hAnsi="宋体" w:eastAsia="宋体" w:cs="宋体"/>
          <w:i w:val="0"/>
          <w:iCs w:val="0"/>
          <w:caps w:val="0"/>
          <w:color w:val="000000"/>
          <w:spacing w:val="4"/>
          <w:sz w:val="24"/>
          <w:szCs w:val="24"/>
          <w:shd w:val="clear" w:color="auto" w:fill="FFFFFF"/>
        </w:rPr>
        <w:t>合同期内，如果因乙方原因不能履约的，应提前日通知甲方终止合同；如乙方未及时书面通知甲方终止合同而给甲方造成损失的，除乙方应向甲方支付已经履行合同总价款___%违约金外，还应赔偿甲方临时采购增加的费用以及其他损失。如果乙方拒绝支付违约金和赔偿金的，甲方有权在乙方已供原材料款项中扣除。</w:t>
      </w:r>
    </w:p>
    <w:p w14:paraId="57715AFB">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（五）</w:t>
      </w:r>
      <w:r>
        <w:rPr>
          <w:rFonts w:hint="eastAsia" w:ascii="宋体" w:hAnsi="宋体" w:eastAsia="宋体" w:cs="宋体"/>
          <w:i w:val="0"/>
          <w:iCs w:val="0"/>
          <w:caps w:val="0"/>
          <w:color w:val="000000"/>
          <w:spacing w:val="4"/>
          <w:sz w:val="24"/>
          <w:szCs w:val="24"/>
          <w:shd w:val="clear" w:color="auto" w:fill="FFFFFF"/>
        </w:rPr>
        <w:t>如乙方所提供的食材经甲方进行抽检不合格的，该批次产品一律无条件退回。如果两次发现抽查不合格的，甲方有权终止合同，乙方应承担违约责任，向甲方支付已经履约总价款%的违约金。</w:t>
      </w:r>
    </w:p>
    <w:p w14:paraId="0A676BAD">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（六）</w:t>
      </w:r>
      <w:r>
        <w:rPr>
          <w:rFonts w:hint="eastAsia" w:ascii="宋体" w:hAnsi="宋体" w:eastAsia="宋体" w:cs="宋体"/>
          <w:i w:val="0"/>
          <w:iCs w:val="0"/>
          <w:caps w:val="0"/>
          <w:color w:val="000000"/>
          <w:spacing w:val="4"/>
          <w:sz w:val="24"/>
          <w:szCs w:val="24"/>
          <w:shd w:val="clear" w:color="auto" w:fill="FFFFFF"/>
        </w:rPr>
        <w:t>如甲、乙双方中有一方不接受调整价格，可提出终止合同，不属于违约行为。如终止合同，乙方仍需按照上一个周期的价格为甲方供货一个月，如因乙方无法供货给甲方造成损失，则视为违约行为，损失优先从履约保证金中扣除，不足部分由乙方补足。</w:t>
      </w:r>
    </w:p>
    <w:p w14:paraId="787B3CDC">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i w:val="0"/>
          <w:iCs w:val="0"/>
          <w:caps w:val="0"/>
          <w:color w:val="000000"/>
          <w:spacing w:val="4"/>
          <w:sz w:val="24"/>
          <w:szCs w:val="24"/>
          <w:shd w:val="clear" w:color="auto" w:fill="FFFFFF"/>
          <w:lang w:eastAsia="zh-CN"/>
        </w:rPr>
      </w:pPr>
      <w:r>
        <w:rPr>
          <w:rFonts w:hint="eastAsia" w:ascii="宋体" w:hAnsi="宋体" w:eastAsia="宋体" w:cs="宋体"/>
          <w:b/>
          <w:bCs/>
          <w:i w:val="0"/>
          <w:iCs w:val="0"/>
          <w:caps w:val="0"/>
          <w:color w:val="000000"/>
          <w:spacing w:val="4"/>
          <w:sz w:val="24"/>
          <w:szCs w:val="24"/>
          <w:shd w:val="clear" w:color="auto" w:fill="FFFFFF"/>
          <w:lang w:eastAsia="zh-CN"/>
        </w:rPr>
        <w:t>十四、违约责任</w:t>
      </w:r>
    </w:p>
    <w:p w14:paraId="152E31EF">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rPr>
        <w:t>（一）食品供应</w:t>
      </w:r>
      <w:r>
        <w:rPr>
          <w:rFonts w:hint="eastAsia" w:ascii="宋体" w:hAnsi="宋体" w:eastAsia="宋体" w:cs="宋体"/>
          <w:i w:val="0"/>
          <w:iCs w:val="0"/>
          <w:caps w:val="0"/>
          <w:color w:val="000000"/>
          <w:spacing w:val="4"/>
          <w:sz w:val="24"/>
          <w:szCs w:val="24"/>
          <w:shd w:val="clear" w:color="auto" w:fill="FFFFFF"/>
          <w:lang w:val="en-US" w:eastAsia="en-US"/>
        </w:rPr>
        <w:t>造成师生食物中毒（一般食品安全事故及以上等级的）或其他食源性疾病等重大安</w:t>
      </w:r>
      <w:r>
        <w:rPr>
          <w:rFonts w:hint="eastAsia" w:ascii="宋体" w:hAnsi="宋体" w:eastAsia="宋体" w:cs="宋体"/>
          <w:i w:val="0"/>
          <w:iCs w:val="0"/>
          <w:caps w:val="0"/>
          <w:color w:val="000000"/>
          <w:spacing w:val="4"/>
          <w:sz w:val="24"/>
          <w:szCs w:val="24"/>
          <w:shd w:val="clear" w:color="auto" w:fill="FFFFFF"/>
        </w:rPr>
        <w:t>全事故的，经检测是乙方配送食品原材料原因的，甲方有权单方</w:t>
      </w:r>
      <w:r>
        <w:rPr>
          <w:rFonts w:hint="eastAsia" w:ascii="宋体" w:hAnsi="宋体" w:eastAsia="宋体" w:cs="宋体"/>
          <w:i w:val="0"/>
          <w:iCs w:val="0"/>
          <w:caps w:val="0"/>
          <w:color w:val="000000"/>
          <w:spacing w:val="4"/>
          <w:sz w:val="24"/>
          <w:szCs w:val="24"/>
          <w:shd w:val="clear" w:color="auto" w:fill="FFFFFF"/>
          <w:lang w:val="en-US" w:eastAsia="zh-CN"/>
        </w:rPr>
        <w:t>解除本</w:t>
      </w:r>
      <w:r>
        <w:rPr>
          <w:rFonts w:hint="eastAsia" w:ascii="宋体" w:hAnsi="宋体" w:eastAsia="宋体" w:cs="宋体"/>
          <w:i w:val="0"/>
          <w:iCs w:val="0"/>
          <w:caps w:val="0"/>
          <w:color w:val="000000"/>
          <w:spacing w:val="4"/>
          <w:sz w:val="24"/>
          <w:szCs w:val="24"/>
          <w:shd w:val="clear" w:color="auto" w:fill="FFFFFF"/>
        </w:rPr>
        <w:t>合同</w:t>
      </w:r>
      <w:r>
        <w:rPr>
          <w:rFonts w:hint="eastAsia" w:ascii="宋体" w:hAnsi="宋体" w:cs="宋体"/>
          <w:i w:val="0"/>
          <w:iCs w:val="0"/>
          <w:caps w:val="0"/>
          <w:color w:val="000000"/>
          <w:spacing w:val="4"/>
          <w:sz w:val="24"/>
          <w:szCs w:val="24"/>
          <w:shd w:val="clear" w:color="auto" w:fill="FFFFFF"/>
          <w:lang w:eastAsia="zh-CN"/>
        </w:rPr>
        <w:t>，</w:t>
      </w:r>
      <w:r>
        <w:rPr>
          <w:rFonts w:hint="eastAsia" w:ascii="宋体" w:hAnsi="宋体" w:cs="宋体"/>
          <w:i w:val="0"/>
          <w:iCs w:val="0"/>
          <w:caps w:val="0"/>
          <w:color w:val="000000"/>
          <w:spacing w:val="4"/>
          <w:sz w:val="24"/>
          <w:szCs w:val="24"/>
          <w:shd w:val="clear" w:color="auto" w:fill="FFFFFF"/>
          <w:lang w:val="en-US" w:eastAsia="zh-CN"/>
        </w:rPr>
        <w:t>乙方应当向甲方支付已供货总金额%的违约金。</w:t>
      </w:r>
    </w:p>
    <w:p w14:paraId="15654251">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rPr>
        <w:t>（二）乙方工作没有达到甲方</w:t>
      </w:r>
      <w:r>
        <w:rPr>
          <w:rFonts w:hint="eastAsia" w:ascii="宋体" w:hAnsi="宋体" w:eastAsia="宋体" w:cs="宋体"/>
          <w:i w:val="0"/>
          <w:iCs w:val="0"/>
          <w:caps w:val="0"/>
          <w:color w:val="000000"/>
          <w:spacing w:val="4"/>
          <w:sz w:val="24"/>
          <w:szCs w:val="24"/>
          <w:shd w:val="clear" w:color="auto" w:fill="FFFFFF"/>
          <w:lang w:val="en-US" w:eastAsia="zh-CN"/>
        </w:rPr>
        <w:t>或学校</w:t>
      </w:r>
      <w:r>
        <w:rPr>
          <w:rFonts w:hint="eastAsia" w:ascii="宋体" w:hAnsi="宋体" w:eastAsia="宋体" w:cs="宋体"/>
          <w:i w:val="0"/>
          <w:iCs w:val="0"/>
          <w:caps w:val="0"/>
          <w:color w:val="000000"/>
          <w:spacing w:val="4"/>
          <w:sz w:val="24"/>
          <w:szCs w:val="24"/>
          <w:shd w:val="clear" w:color="auto" w:fill="FFFFFF"/>
        </w:rPr>
        <w:t>要求的，甲方有权向乙方提出工作整改，提高服务水平。甲方三次催告后乙方仍不予整改的，甲方有权单方解除合同，乙方应承担给甲方造成的</w:t>
      </w:r>
      <w:r>
        <w:rPr>
          <w:rFonts w:hint="eastAsia" w:ascii="宋体" w:hAnsi="宋体" w:eastAsia="宋体" w:cs="宋体"/>
          <w:i w:val="0"/>
          <w:iCs w:val="0"/>
          <w:caps w:val="0"/>
          <w:color w:val="000000"/>
          <w:spacing w:val="4"/>
          <w:sz w:val="24"/>
          <w:szCs w:val="24"/>
          <w:shd w:val="clear" w:color="auto" w:fill="FFFFFF"/>
          <w:lang w:eastAsia="zh-CN"/>
        </w:rPr>
        <w:t>一切</w:t>
      </w:r>
      <w:r>
        <w:rPr>
          <w:rFonts w:hint="eastAsia" w:ascii="宋体" w:hAnsi="宋体" w:eastAsia="宋体" w:cs="宋体"/>
          <w:i w:val="0"/>
          <w:iCs w:val="0"/>
          <w:caps w:val="0"/>
          <w:color w:val="000000"/>
          <w:spacing w:val="4"/>
          <w:sz w:val="24"/>
          <w:szCs w:val="24"/>
          <w:shd w:val="clear" w:color="auto" w:fill="FFFFFF"/>
        </w:rPr>
        <w:t>损失（包括但不限于鉴定费、差旅费、诉讼费、律师费等）。</w:t>
      </w:r>
    </w:p>
    <w:p w14:paraId="51477D91">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lang w:eastAsia="zh-CN"/>
        </w:rPr>
      </w:pPr>
      <w:r>
        <w:rPr>
          <w:rFonts w:hint="eastAsia" w:ascii="宋体" w:hAnsi="宋体" w:eastAsia="宋体" w:cs="宋体"/>
          <w:i w:val="0"/>
          <w:iCs w:val="0"/>
          <w:caps w:val="0"/>
          <w:color w:val="000000"/>
          <w:spacing w:val="4"/>
          <w:sz w:val="24"/>
          <w:szCs w:val="24"/>
          <w:shd w:val="clear" w:color="auto" w:fill="FFFFFF"/>
        </w:rPr>
        <w:t>（三）若乙方已做到供货及时，保质保量，诚信经营，甲方</w:t>
      </w:r>
      <w:r>
        <w:rPr>
          <w:rFonts w:hint="eastAsia" w:ascii="宋体" w:hAnsi="宋体" w:eastAsia="宋体" w:cs="宋体"/>
          <w:i w:val="0"/>
          <w:iCs w:val="0"/>
          <w:caps w:val="0"/>
          <w:color w:val="000000"/>
          <w:spacing w:val="4"/>
          <w:sz w:val="24"/>
          <w:szCs w:val="24"/>
          <w:shd w:val="clear" w:color="auto" w:fill="FFFFFF"/>
          <w:lang w:val="en-US" w:eastAsia="zh-CN"/>
        </w:rPr>
        <w:t>无正当理由</w:t>
      </w:r>
      <w:r>
        <w:rPr>
          <w:rFonts w:hint="eastAsia" w:ascii="宋体" w:hAnsi="宋体" w:eastAsia="宋体" w:cs="宋体"/>
          <w:i w:val="0"/>
          <w:iCs w:val="0"/>
          <w:caps w:val="0"/>
          <w:color w:val="000000"/>
          <w:spacing w:val="4"/>
          <w:sz w:val="24"/>
          <w:szCs w:val="24"/>
          <w:shd w:val="clear" w:color="auto" w:fill="FFFFFF"/>
        </w:rPr>
        <w:t>不能在合同期内随意取消乙方的供货权</w:t>
      </w:r>
      <w:r>
        <w:rPr>
          <w:rFonts w:hint="eastAsia" w:ascii="宋体" w:hAnsi="宋体" w:eastAsia="宋体" w:cs="宋体"/>
          <w:i w:val="0"/>
          <w:iCs w:val="0"/>
          <w:caps w:val="0"/>
          <w:color w:val="000000"/>
          <w:spacing w:val="4"/>
          <w:sz w:val="24"/>
          <w:szCs w:val="24"/>
          <w:shd w:val="clear" w:color="auto" w:fill="FFFFFF"/>
          <w:lang w:eastAsia="zh-CN"/>
        </w:rPr>
        <w:t>。</w:t>
      </w:r>
    </w:p>
    <w:p w14:paraId="58A6D1F5">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lang w:eastAsia="zh-CN"/>
        </w:rPr>
      </w:pPr>
      <w:r>
        <w:rPr>
          <w:rFonts w:hint="eastAsia" w:ascii="宋体" w:hAnsi="宋体" w:cs="宋体"/>
          <w:i w:val="0"/>
          <w:iCs w:val="0"/>
          <w:caps w:val="0"/>
          <w:color w:val="000000"/>
          <w:spacing w:val="4"/>
          <w:sz w:val="24"/>
          <w:szCs w:val="24"/>
          <w:shd w:val="clear" w:color="auto" w:fill="FFFFFF"/>
          <w:lang w:eastAsia="zh-CN"/>
        </w:rPr>
        <w:t>（四）除本合同对违约责任有明确约定外，任何一方不履行合同或履行合同不符合约定的均视为违约。届时，违约方除应向守约方支付</w:t>
      </w:r>
      <w:r>
        <w:rPr>
          <w:rFonts w:hint="eastAsia" w:ascii="宋体" w:hAnsi="宋体" w:cs="宋体"/>
          <w:i w:val="0"/>
          <w:iCs w:val="0"/>
          <w:caps w:val="0"/>
          <w:color w:val="000000"/>
          <w:spacing w:val="4"/>
          <w:sz w:val="24"/>
          <w:szCs w:val="24"/>
          <w:shd w:val="clear" w:color="auto" w:fill="FFFFFF"/>
          <w:lang w:val="en-US" w:eastAsia="zh-CN"/>
        </w:rPr>
        <w:t>已供货总金</w:t>
      </w:r>
      <w:r>
        <w:rPr>
          <w:rFonts w:hint="eastAsia" w:ascii="宋体" w:hAnsi="宋体" w:cs="宋体"/>
          <w:i w:val="0"/>
          <w:iCs w:val="0"/>
          <w:caps w:val="0"/>
          <w:color w:val="000000"/>
          <w:spacing w:val="4"/>
          <w:sz w:val="24"/>
          <w:szCs w:val="24"/>
          <w:shd w:val="clear" w:color="auto" w:fill="FFFFFF"/>
          <w:lang w:eastAsia="zh-CN"/>
        </w:rPr>
        <w:t>额</w:t>
      </w:r>
      <w:r>
        <w:rPr>
          <w:rFonts w:hint="eastAsia" w:ascii="宋体" w:hAnsi="宋体" w:cs="宋体"/>
          <w:i w:val="0"/>
          <w:iCs w:val="0"/>
          <w:caps w:val="0"/>
          <w:color w:val="000000"/>
          <w:spacing w:val="4"/>
          <w:sz w:val="24"/>
          <w:szCs w:val="24"/>
          <w:shd w:val="clear" w:color="auto" w:fill="FFFFFF"/>
          <w:lang w:val="en-US" w:eastAsia="zh-CN"/>
        </w:rPr>
        <w:t>%的惩罚性违约金外，还应赔偿由此给守约方造成的所有损失。同时，违约方未按守约方的要求纠正违约行为或虽经纠正但仍不符合合同约定的，守约方有权单方面解除合同，由此产生的责任均由违约方承担。</w:t>
      </w:r>
    </w:p>
    <w:p w14:paraId="4F2CC6ED">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498" w:firstLineChars="200"/>
        <w:jc w:val="both"/>
        <w:textAlignment w:val="auto"/>
        <w:rPr>
          <w:rFonts w:hint="eastAsia" w:ascii="宋体" w:hAnsi="宋体" w:eastAsia="宋体" w:cs="宋体"/>
          <w:b/>
          <w:bCs/>
          <w:i w:val="0"/>
          <w:iCs w:val="0"/>
          <w:caps w:val="0"/>
          <w:color w:val="000000"/>
          <w:spacing w:val="4"/>
          <w:sz w:val="24"/>
          <w:szCs w:val="24"/>
          <w:shd w:val="clear" w:color="auto" w:fill="FFFFFF"/>
          <w:lang w:eastAsia="zh-CN"/>
        </w:rPr>
      </w:pPr>
      <w:r>
        <w:rPr>
          <w:rFonts w:hint="eastAsia" w:ascii="宋体" w:hAnsi="宋体" w:eastAsia="宋体" w:cs="宋体"/>
          <w:b/>
          <w:bCs/>
          <w:i w:val="0"/>
          <w:iCs w:val="0"/>
          <w:caps w:val="0"/>
          <w:color w:val="000000"/>
          <w:spacing w:val="4"/>
          <w:sz w:val="24"/>
          <w:szCs w:val="24"/>
          <w:shd w:val="clear" w:color="auto" w:fill="FFFFFF"/>
          <w:lang w:eastAsia="zh-CN"/>
        </w:rPr>
        <w:t>十五、争议解决</w:t>
      </w:r>
    </w:p>
    <w:p w14:paraId="636C054C">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rPr>
        <w:t>因本合同相关事项发生的纠纷，可由双方协商解决，协商不成，可按以下第种方式解决：</w:t>
      </w:r>
    </w:p>
    <w:p w14:paraId="1A80C863">
      <w:pPr>
        <w:pStyle w:val="32"/>
        <w:keepNext w:val="0"/>
        <w:keepLines w:val="0"/>
        <w:pageBreakBefore w:val="0"/>
        <w:widowControl/>
        <w:numPr>
          <w:ilvl w:val="0"/>
          <w:numId w:val="1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rPr>
        <w:t>向仲裁委员会申请仲裁。</w:t>
      </w:r>
    </w:p>
    <w:p w14:paraId="212D2359">
      <w:pPr>
        <w:pStyle w:val="3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rPr>
        <w:t>（</w:t>
      </w:r>
      <w:r>
        <w:rPr>
          <w:rFonts w:hint="eastAsia" w:ascii="宋体" w:hAnsi="宋体" w:cs="宋体"/>
          <w:i w:val="0"/>
          <w:iCs w:val="0"/>
          <w:caps w:val="0"/>
          <w:color w:val="000000"/>
          <w:spacing w:val="4"/>
          <w:sz w:val="24"/>
          <w:szCs w:val="24"/>
          <w:shd w:val="clear" w:color="auto" w:fill="FFFFFF"/>
          <w:lang w:eastAsia="zh-CN"/>
        </w:rPr>
        <w:t>二</w:t>
      </w:r>
      <w:r>
        <w:rPr>
          <w:rFonts w:hint="eastAsia" w:ascii="宋体" w:hAnsi="宋体" w:eastAsia="宋体" w:cs="宋体"/>
          <w:i w:val="0"/>
          <w:iCs w:val="0"/>
          <w:caps w:val="0"/>
          <w:color w:val="000000"/>
          <w:spacing w:val="4"/>
          <w:sz w:val="24"/>
          <w:szCs w:val="24"/>
          <w:shd w:val="clear" w:color="auto" w:fill="FFFFFF"/>
        </w:rPr>
        <w:t>）依法向人民法院起诉。</w:t>
      </w:r>
    </w:p>
    <w:p w14:paraId="64843CC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480" w:firstLineChars="200"/>
        <w:jc w:val="both"/>
        <w:textAlignment w:val="baseline"/>
        <w:rPr>
          <w:rFonts w:hint="eastAsia" w:ascii="宋体" w:hAnsi="宋体" w:eastAsia="宋体" w:cs="宋体"/>
          <w:snapToGrid w:val="0"/>
          <w:color w:val="000000"/>
          <w:spacing w:val="0"/>
          <w:kern w:val="0"/>
          <w:sz w:val="24"/>
          <w:szCs w:val="24"/>
          <w:lang w:val="en-US" w:eastAsia="en-US" w:bidi="ar-SA"/>
        </w:rPr>
      </w:pPr>
      <w:r>
        <w:rPr>
          <w:rFonts w:hint="eastAsia" w:ascii="宋体" w:hAnsi="宋体" w:eastAsia="宋体" w:cs="宋体"/>
          <w:snapToGrid w:val="0"/>
          <w:color w:val="000000"/>
          <w:spacing w:val="0"/>
          <w:kern w:val="0"/>
          <w:sz w:val="24"/>
          <w:szCs w:val="24"/>
          <w:lang w:val="en-US" w:eastAsia="en-US" w:bidi="ar-SA"/>
        </w:rPr>
        <w:t>在诉讼或仲裁期间</w:t>
      </w:r>
      <w:r>
        <w:rPr>
          <w:rFonts w:hint="eastAsia" w:ascii="宋体" w:hAnsi="宋体" w:eastAsia="宋体" w:cs="宋体"/>
          <w:snapToGrid w:val="0"/>
          <w:color w:val="000000"/>
          <w:spacing w:val="0"/>
          <w:kern w:val="0"/>
          <w:sz w:val="24"/>
          <w:szCs w:val="24"/>
          <w:lang w:val="en-US" w:eastAsia="zh-CN" w:bidi="ar-SA"/>
        </w:rPr>
        <w:t>，</w:t>
      </w:r>
      <w:r>
        <w:rPr>
          <w:rFonts w:hint="eastAsia" w:ascii="宋体" w:hAnsi="宋体" w:eastAsia="宋体" w:cs="宋体"/>
          <w:snapToGrid w:val="0"/>
          <w:color w:val="000000"/>
          <w:spacing w:val="0"/>
          <w:kern w:val="0"/>
          <w:sz w:val="24"/>
          <w:szCs w:val="24"/>
          <w:lang w:val="en-US" w:eastAsia="en-US" w:bidi="ar-SA"/>
        </w:rPr>
        <w:t>本合同不涉及争议的条款仍然有效</w:t>
      </w:r>
      <w:r>
        <w:rPr>
          <w:rFonts w:hint="eastAsia" w:ascii="宋体" w:hAnsi="宋体" w:eastAsia="宋体" w:cs="宋体"/>
          <w:snapToGrid w:val="0"/>
          <w:color w:val="000000"/>
          <w:spacing w:val="0"/>
          <w:kern w:val="0"/>
          <w:sz w:val="24"/>
          <w:szCs w:val="24"/>
          <w:lang w:val="en-US" w:eastAsia="zh-CN" w:bidi="ar-SA"/>
        </w:rPr>
        <w:t>，</w:t>
      </w:r>
      <w:r>
        <w:rPr>
          <w:rFonts w:hint="eastAsia" w:ascii="宋体" w:hAnsi="宋体" w:eastAsia="宋体" w:cs="宋体"/>
          <w:snapToGrid w:val="0"/>
          <w:color w:val="000000"/>
          <w:spacing w:val="0"/>
          <w:kern w:val="0"/>
          <w:sz w:val="24"/>
          <w:szCs w:val="24"/>
          <w:lang w:val="en-US" w:eastAsia="en-US" w:bidi="ar-SA"/>
        </w:rPr>
        <w:t>双方应继续履行。</w:t>
      </w:r>
      <w:r>
        <w:rPr>
          <w:rFonts w:hint="eastAsia" w:ascii="宋体" w:hAnsi="宋体" w:eastAsia="宋体" w:cs="宋体"/>
          <w:color w:val="000000"/>
          <w:spacing w:val="0"/>
          <w:kern w:val="2"/>
          <w:sz w:val="24"/>
          <w:szCs w:val="24"/>
          <w:lang w:val="en-US" w:eastAsia="zh-CN" w:bidi="ar-SA"/>
        </w:rPr>
        <w:t>因争议解决产生的诉讼费、保全费、保全、保险费、律师费、鉴定费、评估费、公证费、差旅费、公告费、邮寄送达费等</w:t>
      </w:r>
      <w:r>
        <w:rPr>
          <w:rFonts w:hint="eastAsia" w:ascii="宋体" w:hAnsi="宋体" w:eastAsia="宋体" w:cs="宋体"/>
          <w:snapToGrid w:val="0"/>
          <w:color w:val="000000"/>
          <w:spacing w:val="0"/>
          <w:kern w:val="0"/>
          <w:sz w:val="24"/>
          <w:szCs w:val="24"/>
          <w:lang w:val="en-US" w:eastAsia="zh-CN" w:bidi="ar-SA"/>
        </w:rPr>
        <w:t>所有成本由违约方承担。</w:t>
      </w:r>
    </w:p>
    <w:p w14:paraId="7E3390D1">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482" w:firstLineChars="200"/>
        <w:jc w:val="both"/>
        <w:textAlignment w:val="auto"/>
        <w:rPr>
          <w:rFonts w:hint="eastAsia" w:ascii="宋体" w:hAnsi="宋体" w:eastAsia="宋体" w:cs="宋体"/>
          <w:b/>
          <w:bCs/>
          <w:i w:val="0"/>
          <w:iCs w:val="0"/>
          <w:caps w:val="0"/>
          <w:color w:val="000000"/>
          <w:spacing w:val="0"/>
          <w:sz w:val="24"/>
          <w:szCs w:val="24"/>
          <w:shd w:val="clear" w:color="auto" w:fill="FFFFFF"/>
          <w:lang w:eastAsia="zh-CN"/>
        </w:rPr>
      </w:pPr>
      <w:r>
        <w:rPr>
          <w:rFonts w:hint="eastAsia" w:ascii="宋体" w:hAnsi="宋体" w:eastAsia="宋体" w:cs="宋体"/>
          <w:b/>
          <w:bCs/>
          <w:i w:val="0"/>
          <w:iCs w:val="0"/>
          <w:caps w:val="0"/>
          <w:color w:val="000000"/>
          <w:spacing w:val="0"/>
          <w:sz w:val="24"/>
          <w:szCs w:val="24"/>
          <w:shd w:val="clear" w:color="auto" w:fill="FFFFFF"/>
          <w:lang w:eastAsia="zh-CN"/>
        </w:rPr>
        <w:t>十六、合同签订时间、地点、份数及生效</w:t>
      </w:r>
    </w:p>
    <w:p w14:paraId="6EFDE730">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480" w:firstLineChars="200"/>
        <w:jc w:val="both"/>
        <w:textAlignment w:val="auto"/>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（一）合同签订时间：年月日。</w:t>
      </w:r>
    </w:p>
    <w:p w14:paraId="307767D6">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480" w:firstLineChars="200"/>
        <w:jc w:val="both"/>
        <w:textAlignment w:val="auto"/>
        <w:rPr>
          <w:rFonts w:hint="eastAsia" w:ascii="宋体" w:hAnsi="宋体" w:cs="宋体"/>
          <w:i w:val="0"/>
          <w:iCs w:val="0"/>
          <w:caps w:val="0"/>
          <w:color w:val="000000"/>
          <w:spacing w:val="0"/>
          <w:sz w:val="24"/>
          <w:szCs w:val="24"/>
          <w:u w:val="none"/>
          <w:shd w:val="clear" w:color="auto" w:fill="FFFFFF"/>
          <w:lang w:val="en-US" w:eastAsia="zh-CN"/>
        </w:rPr>
      </w:pPr>
      <w:r>
        <w:rPr>
          <w:rFonts w:hint="eastAsia" w:ascii="宋体" w:hAnsi="宋体" w:eastAsia="宋体" w:cs="宋体"/>
          <w:i w:val="0"/>
          <w:iCs w:val="0"/>
          <w:caps w:val="0"/>
          <w:color w:val="000000"/>
          <w:spacing w:val="0"/>
          <w:sz w:val="24"/>
          <w:szCs w:val="24"/>
          <w:shd w:val="clear" w:color="auto" w:fill="FFFFFF"/>
        </w:rPr>
        <w:t>（二）合同签订地点：</w:t>
      </w:r>
      <w:r>
        <w:rPr>
          <w:rFonts w:hint="eastAsia" w:ascii="宋体" w:hAnsi="宋体" w:cs="宋体"/>
          <w:i w:val="0"/>
          <w:iCs w:val="0"/>
          <w:caps w:val="0"/>
          <w:color w:val="000000"/>
          <w:spacing w:val="0"/>
          <w:sz w:val="24"/>
          <w:szCs w:val="24"/>
          <w:u w:val="single"/>
          <w:shd w:val="clear" w:color="auto" w:fill="FFFFFF"/>
          <w:lang w:val="en-US" w:eastAsia="zh-CN"/>
        </w:rPr>
        <w:t>。</w:t>
      </w:r>
    </w:p>
    <w:p w14:paraId="5D899E78">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480" w:firstLineChars="200"/>
        <w:jc w:val="both"/>
        <w:textAlignment w:val="auto"/>
        <w:rPr>
          <w:rFonts w:hint="eastAsia" w:ascii="宋体" w:hAnsi="宋体" w:eastAsia="宋体" w:cs="宋体"/>
          <w:i w:val="0"/>
          <w:iCs w:val="0"/>
          <w:caps w:val="0"/>
          <w:color w:val="000000"/>
          <w:spacing w:val="0"/>
          <w:sz w:val="24"/>
          <w:szCs w:val="24"/>
          <w:shd w:val="clear" w:color="auto" w:fill="FFFFFF"/>
          <w:lang w:eastAsia="zh-CN"/>
        </w:rPr>
      </w:pPr>
      <w:r>
        <w:rPr>
          <w:rFonts w:hint="eastAsia" w:ascii="宋体" w:hAnsi="宋体" w:eastAsia="宋体" w:cs="宋体"/>
          <w:i w:val="0"/>
          <w:iCs w:val="0"/>
          <w:caps w:val="0"/>
          <w:color w:val="000000"/>
          <w:spacing w:val="0"/>
          <w:sz w:val="24"/>
          <w:szCs w:val="24"/>
          <w:shd w:val="clear" w:color="auto" w:fill="FFFFFF"/>
        </w:rPr>
        <w:t>（三）合同份数：合同一式份，甲方份，乙方份</w:t>
      </w:r>
      <w:r>
        <w:rPr>
          <w:rFonts w:hint="eastAsia" w:ascii="宋体" w:hAnsi="宋体" w:cs="宋体"/>
          <w:i w:val="0"/>
          <w:iCs w:val="0"/>
          <w:caps w:val="0"/>
          <w:color w:val="000000"/>
          <w:spacing w:val="0"/>
          <w:sz w:val="24"/>
          <w:szCs w:val="24"/>
          <w:shd w:val="clear" w:color="auto" w:fill="FFFFFF"/>
          <w:lang w:eastAsia="zh-CN"/>
        </w:rPr>
        <w:t>，</w:t>
      </w:r>
      <w:r>
        <w:rPr>
          <w:rFonts w:hint="eastAsia" w:ascii="宋体" w:hAnsi="宋体" w:cs="宋体"/>
          <w:color w:val="000000"/>
          <w:spacing w:val="0"/>
          <w:sz w:val="24"/>
          <w:lang w:eastAsia="zh-CN"/>
        </w:rPr>
        <w:t>由甲方向当地</w:t>
      </w:r>
      <w:r>
        <w:rPr>
          <w:rFonts w:ascii="宋体" w:hAnsi="宋体" w:cs="宋体"/>
          <w:color w:val="000000"/>
          <w:spacing w:val="0"/>
          <w:sz w:val="24"/>
        </w:rPr>
        <w:t>教育行政部门</w:t>
      </w:r>
      <w:r>
        <w:rPr>
          <w:rFonts w:hint="eastAsia" w:ascii="宋体" w:hAnsi="宋体" w:cs="宋体"/>
          <w:color w:val="000000"/>
          <w:spacing w:val="0"/>
          <w:sz w:val="24"/>
          <w:lang w:eastAsia="zh-CN"/>
        </w:rPr>
        <w:t>备案</w:t>
      </w:r>
      <w:r>
        <w:rPr>
          <w:rFonts w:ascii="宋体" w:hAnsi="宋体" w:cs="宋体"/>
          <w:color w:val="000000"/>
          <w:spacing w:val="0"/>
          <w:sz w:val="24"/>
        </w:rPr>
        <w:t>份。</w:t>
      </w:r>
    </w:p>
    <w:p w14:paraId="7D3EF71C">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480" w:firstLineChars="200"/>
        <w:jc w:val="both"/>
        <w:textAlignment w:val="auto"/>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（四）本合同经双方法定代表人签字并加盖公章后生效。</w:t>
      </w:r>
    </w:p>
    <w:p w14:paraId="7B98D19B">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i w:val="0"/>
          <w:iCs w:val="0"/>
          <w:caps w:val="0"/>
          <w:color w:val="000000"/>
          <w:spacing w:val="4"/>
          <w:sz w:val="24"/>
          <w:szCs w:val="24"/>
          <w:shd w:val="clear" w:color="auto" w:fill="FFFFFF"/>
          <w:lang w:eastAsia="zh-CN"/>
        </w:rPr>
      </w:pPr>
      <w:r>
        <w:rPr>
          <w:rFonts w:hint="eastAsia" w:ascii="宋体" w:hAnsi="宋体" w:eastAsia="宋体" w:cs="宋体"/>
          <w:b/>
          <w:bCs/>
          <w:i w:val="0"/>
          <w:iCs w:val="0"/>
          <w:caps w:val="0"/>
          <w:color w:val="000000"/>
          <w:spacing w:val="4"/>
          <w:sz w:val="24"/>
          <w:szCs w:val="24"/>
          <w:shd w:val="clear" w:color="auto" w:fill="FFFFFF"/>
          <w:lang w:eastAsia="zh-CN"/>
        </w:rPr>
        <w:t>十七、其它约定</w:t>
      </w:r>
    </w:p>
    <w:p w14:paraId="33191A4A">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default" w:ascii="宋体" w:hAnsi="宋体" w:eastAsia="宋体" w:cs="宋体"/>
          <w:i w:val="0"/>
          <w:iCs w:val="0"/>
          <w:caps w:val="0"/>
          <w:color w:val="000000"/>
          <w:spacing w:val="4"/>
          <w:sz w:val="24"/>
          <w:szCs w:val="24"/>
          <w:u w:val="single"/>
          <w:shd w:val="clear" w:color="auto" w:fill="FFFFFF"/>
          <w:lang w:val="en-US" w:eastAsia="zh-CN"/>
        </w:rPr>
      </w:pPr>
      <w:r>
        <w:rPr>
          <w:rFonts w:hint="eastAsia" w:ascii="宋体" w:hAnsi="宋体" w:cs="宋体"/>
          <w:i w:val="0"/>
          <w:iCs w:val="0"/>
          <w:caps w:val="0"/>
          <w:color w:val="000000"/>
          <w:spacing w:val="4"/>
          <w:sz w:val="24"/>
          <w:szCs w:val="24"/>
          <w:shd w:val="clear" w:color="auto" w:fill="FFFFFF"/>
          <w:lang w:eastAsia="zh-CN"/>
        </w:rPr>
        <w:t>（一）合同签订后</w:t>
      </w:r>
      <w:r>
        <w:rPr>
          <w:rFonts w:hint="eastAsia" w:ascii="宋体" w:hAnsi="宋体" w:cs="宋体"/>
          <w:i w:val="0"/>
          <w:iCs w:val="0"/>
          <w:caps w:val="0"/>
          <w:color w:val="000000"/>
          <w:spacing w:val="4"/>
          <w:sz w:val="24"/>
          <w:szCs w:val="24"/>
          <w:u w:val="none"/>
          <w:shd w:val="clear" w:color="auto" w:fill="FFFFFF"/>
          <w:lang w:val="en-US" w:eastAsia="zh-CN"/>
        </w:rPr>
        <w:t>日内向属地教育行政部门备案。</w:t>
      </w:r>
    </w:p>
    <w:p w14:paraId="1214CEB8">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rPr>
        <w:t>（</w:t>
      </w:r>
      <w:r>
        <w:rPr>
          <w:rFonts w:hint="eastAsia" w:ascii="宋体" w:hAnsi="宋体" w:cs="宋体"/>
          <w:i w:val="0"/>
          <w:iCs w:val="0"/>
          <w:caps w:val="0"/>
          <w:color w:val="000000"/>
          <w:spacing w:val="4"/>
          <w:sz w:val="24"/>
          <w:szCs w:val="24"/>
          <w:shd w:val="clear" w:color="auto" w:fill="FFFFFF"/>
          <w:lang w:val="en-US" w:eastAsia="zh-CN"/>
        </w:rPr>
        <w:t>二</w:t>
      </w:r>
      <w:r>
        <w:rPr>
          <w:rFonts w:hint="eastAsia" w:ascii="宋体" w:hAnsi="宋体" w:eastAsia="宋体" w:cs="宋体"/>
          <w:i w:val="0"/>
          <w:iCs w:val="0"/>
          <w:caps w:val="0"/>
          <w:color w:val="000000"/>
          <w:spacing w:val="4"/>
          <w:sz w:val="24"/>
          <w:szCs w:val="24"/>
          <w:shd w:val="clear" w:color="auto" w:fill="FFFFFF"/>
        </w:rPr>
        <w:t>）在</w:t>
      </w:r>
      <w:r>
        <w:rPr>
          <w:rFonts w:hint="eastAsia" w:ascii="宋体" w:hAnsi="宋体" w:eastAsia="宋体" w:cs="宋体"/>
          <w:i w:val="0"/>
          <w:iCs w:val="0"/>
          <w:caps w:val="0"/>
          <w:color w:val="000000"/>
          <w:spacing w:val="4"/>
          <w:sz w:val="24"/>
          <w:szCs w:val="24"/>
          <w:shd w:val="clear" w:color="auto" w:fill="FFFFFF"/>
          <w:lang w:val="en-US" w:eastAsia="zh-CN"/>
        </w:rPr>
        <w:t>履行本合同过程</w:t>
      </w:r>
      <w:r>
        <w:rPr>
          <w:rFonts w:hint="eastAsia" w:ascii="宋体" w:hAnsi="宋体" w:eastAsia="宋体" w:cs="宋体"/>
          <w:i w:val="0"/>
          <w:iCs w:val="0"/>
          <w:caps w:val="0"/>
          <w:color w:val="000000"/>
          <w:spacing w:val="4"/>
          <w:sz w:val="24"/>
          <w:szCs w:val="24"/>
          <w:shd w:val="clear" w:color="auto" w:fill="FFFFFF"/>
        </w:rPr>
        <w:t>中涉及</w:t>
      </w:r>
      <w:r>
        <w:rPr>
          <w:rFonts w:hint="eastAsia" w:ascii="宋体" w:hAnsi="宋体" w:eastAsia="宋体" w:cs="宋体"/>
          <w:i w:val="0"/>
          <w:iCs w:val="0"/>
          <w:caps w:val="0"/>
          <w:color w:val="000000"/>
          <w:spacing w:val="4"/>
          <w:sz w:val="24"/>
          <w:szCs w:val="24"/>
          <w:shd w:val="clear" w:color="auto" w:fill="FFFFFF"/>
          <w:lang w:val="en-US" w:eastAsia="zh-CN"/>
        </w:rPr>
        <w:t>对中标</w:t>
      </w:r>
      <w:r>
        <w:rPr>
          <w:rFonts w:hint="eastAsia" w:ascii="宋体" w:hAnsi="宋体" w:eastAsia="宋体" w:cs="宋体"/>
          <w:i w:val="0"/>
          <w:iCs w:val="0"/>
          <w:caps w:val="0"/>
          <w:color w:val="000000"/>
          <w:spacing w:val="4"/>
          <w:sz w:val="24"/>
          <w:szCs w:val="24"/>
          <w:shd w:val="clear" w:color="auto" w:fill="FFFFFF"/>
        </w:rPr>
        <w:t>资金和</w:t>
      </w:r>
      <w:r>
        <w:rPr>
          <w:rFonts w:hint="eastAsia" w:ascii="宋体" w:hAnsi="宋体" w:eastAsia="宋体" w:cs="宋体"/>
          <w:i w:val="0"/>
          <w:iCs w:val="0"/>
          <w:caps w:val="0"/>
          <w:color w:val="000000"/>
          <w:spacing w:val="4"/>
          <w:sz w:val="24"/>
          <w:szCs w:val="24"/>
          <w:shd w:val="clear" w:color="auto" w:fill="FFFFFF"/>
          <w:lang w:val="en-US" w:eastAsia="zh-CN"/>
        </w:rPr>
        <w:t>本合同</w:t>
      </w:r>
      <w:r>
        <w:rPr>
          <w:rFonts w:hint="eastAsia" w:ascii="宋体" w:hAnsi="宋体" w:eastAsia="宋体" w:cs="宋体"/>
          <w:i w:val="0"/>
          <w:iCs w:val="0"/>
          <w:caps w:val="0"/>
          <w:color w:val="000000"/>
          <w:spacing w:val="4"/>
          <w:sz w:val="24"/>
          <w:szCs w:val="24"/>
          <w:shd w:val="clear" w:color="auto" w:fill="FFFFFF"/>
        </w:rPr>
        <w:t>内容修改或补充的，须经</w:t>
      </w:r>
      <w:r>
        <w:rPr>
          <w:rFonts w:hint="eastAsia" w:ascii="宋体" w:hAnsi="宋体" w:eastAsia="宋体" w:cs="宋体"/>
          <w:i w:val="0"/>
          <w:iCs w:val="0"/>
          <w:caps w:val="0"/>
          <w:color w:val="000000"/>
          <w:spacing w:val="4"/>
          <w:sz w:val="24"/>
          <w:szCs w:val="24"/>
          <w:shd w:val="clear" w:color="auto" w:fill="FFFFFF"/>
          <w:lang w:val="en-US" w:eastAsia="zh-CN"/>
        </w:rPr>
        <w:t>当地</w:t>
      </w:r>
      <w:r>
        <w:rPr>
          <w:rFonts w:hint="eastAsia" w:ascii="宋体" w:hAnsi="宋体" w:eastAsia="宋体" w:cs="宋体"/>
          <w:i w:val="0"/>
          <w:iCs w:val="0"/>
          <w:caps w:val="0"/>
          <w:color w:val="000000"/>
          <w:spacing w:val="4"/>
          <w:sz w:val="24"/>
          <w:szCs w:val="24"/>
          <w:shd w:val="clear" w:color="auto" w:fill="FFFFFF"/>
        </w:rPr>
        <w:t>财政部门审批，并签订书面补充协议报</w:t>
      </w:r>
      <w:r>
        <w:rPr>
          <w:rFonts w:hint="eastAsia" w:ascii="宋体" w:hAnsi="宋体" w:eastAsia="宋体" w:cs="宋体"/>
          <w:i w:val="0"/>
          <w:iCs w:val="0"/>
          <w:caps w:val="0"/>
          <w:color w:val="000000"/>
          <w:spacing w:val="4"/>
          <w:sz w:val="24"/>
          <w:szCs w:val="24"/>
          <w:shd w:val="clear" w:color="auto" w:fill="FFFFFF"/>
          <w:lang w:eastAsia="zh-CN"/>
        </w:rPr>
        <w:t>教育</w:t>
      </w:r>
      <w:r>
        <w:rPr>
          <w:rFonts w:hint="eastAsia" w:ascii="宋体" w:hAnsi="宋体" w:cs="宋体"/>
          <w:i w:val="0"/>
          <w:iCs w:val="0"/>
          <w:caps w:val="0"/>
          <w:color w:val="000000"/>
          <w:spacing w:val="4"/>
          <w:sz w:val="24"/>
          <w:szCs w:val="24"/>
          <w:shd w:val="clear" w:color="auto" w:fill="FFFFFF"/>
          <w:lang w:eastAsia="zh-CN"/>
        </w:rPr>
        <w:t>行政</w:t>
      </w:r>
      <w:r>
        <w:rPr>
          <w:rFonts w:hint="eastAsia" w:ascii="宋体" w:hAnsi="宋体" w:eastAsia="宋体" w:cs="宋体"/>
          <w:i w:val="0"/>
          <w:iCs w:val="0"/>
          <w:caps w:val="0"/>
          <w:color w:val="000000"/>
          <w:spacing w:val="4"/>
          <w:sz w:val="24"/>
          <w:szCs w:val="24"/>
          <w:shd w:val="clear" w:color="auto" w:fill="FFFFFF"/>
          <w:lang w:eastAsia="zh-CN"/>
        </w:rPr>
        <w:t>部门和</w:t>
      </w:r>
      <w:r>
        <w:rPr>
          <w:rFonts w:hint="eastAsia" w:ascii="宋体" w:hAnsi="宋体" w:cs="宋体"/>
          <w:i w:val="0"/>
          <w:iCs w:val="0"/>
          <w:caps w:val="0"/>
          <w:color w:val="000000"/>
          <w:spacing w:val="4"/>
          <w:sz w:val="24"/>
          <w:szCs w:val="24"/>
          <w:shd w:val="clear" w:color="auto" w:fill="FFFFFF"/>
          <w:lang w:eastAsia="zh-CN"/>
        </w:rPr>
        <w:t>市场监管部门</w:t>
      </w:r>
      <w:r>
        <w:rPr>
          <w:rFonts w:hint="eastAsia" w:ascii="宋体" w:hAnsi="宋体" w:eastAsia="宋体" w:cs="宋体"/>
          <w:i w:val="0"/>
          <w:iCs w:val="0"/>
          <w:caps w:val="0"/>
          <w:color w:val="000000"/>
          <w:spacing w:val="4"/>
          <w:sz w:val="24"/>
          <w:szCs w:val="24"/>
          <w:shd w:val="clear" w:color="auto" w:fill="FFFFFF"/>
        </w:rPr>
        <w:t>备案，方可作为主合同不可分割的一部分。</w:t>
      </w:r>
    </w:p>
    <w:p w14:paraId="6A80BB7F">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lang w:val="en-US" w:eastAsia="zh-CN"/>
        </w:rPr>
      </w:pPr>
      <w:r>
        <w:rPr>
          <w:rFonts w:hint="eastAsia" w:ascii="宋体" w:hAnsi="宋体" w:eastAsia="宋体" w:cs="宋体"/>
          <w:i w:val="0"/>
          <w:iCs w:val="0"/>
          <w:caps w:val="0"/>
          <w:color w:val="000000"/>
          <w:spacing w:val="4"/>
          <w:sz w:val="24"/>
          <w:szCs w:val="24"/>
          <w:shd w:val="clear" w:color="auto" w:fill="FFFFFF"/>
          <w:lang w:val="en-US" w:eastAsia="zh-CN"/>
        </w:rPr>
        <w:t>（</w:t>
      </w:r>
      <w:r>
        <w:rPr>
          <w:rFonts w:hint="eastAsia" w:ascii="宋体" w:hAnsi="宋体" w:cs="宋体"/>
          <w:i w:val="0"/>
          <w:iCs w:val="0"/>
          <w:caps w:val="0"/>
          <w:color w:val="000000"/>
          <w:spacing w:val="4"/>
          <w:sz w:val="24"/>
          <w:szCs w:val="24"/>
          <w:shd w:val="clear" w:color="auto" w:fill="FFFFFF"/>
          <w:lang w:val="en-US" w:eastAsia="zh-CN"/>
        </w:rPr>
        <w:t>三</w:t>
      </w:r>
      <w:r>
        <w:rPr>
          <w:rFonts w:hint="eastAsia" w:ascii="宋体" w:hAnsi="宋体" w:eastAsia="宋体" w:cs="宋体"/>
          <w:i w:val="0"/>
          <w:iCs w:val="0"/>
          <w:caps w:val="0"/>
          <w:color w:val="000000"/>
          <w:spacing w:val="4"/>
          <w:sz w:val="24"/>
          <w:szCs w:val="24"/>
          <w:shd w:val="clear" w:color="auto" w:fill="FFFFFF"/>
          <w:lang w:val="en-US" w:eastAsia="zh-CN"/>
        </w:rPr>
        <w:t>）本合同所有附件、采购文件、投标文件、中标通知书均为合同的有效组成部分，与本合同具有同等法律效力。本合同应实质性响应招标要求，优于或满足招投标文件，如有降低要求或不满足等不一致情况，以招投标文件为准。</w:t>
      </w:r>
    </w:p>
    <w:p w14:paraId="48808651">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val="en-US" w:eastAsia="zh-CN"/>
        </w:rPr>
        <w:t>（</w:t>
      </w:r>
      <w:r>
        <w:rPr>
          <w:rFonts w:hint="eastAsia" w:ascii="宋体" w:hAnsi="宋体" w:cs="宋体"/>
          <w:i w:val="0"/>
          <w:iCs w:val="0"/>
          <w:caps w:val="0"/>
          <w:color w:val="000000"/>
          <w:spacing w:val="4"/>
          <w:sz w:val="24"/>
          <w:szCs w:val="24"/>
          <w:shd w:val="clear" w:color="auto" w:fill="FFFFFF"/>
          <w:lang w:val="en-US" w:eastAsia="zh-CN"/>
        </w:rPr>
        <w:t>四</w:t>
      </w:r>
      <w:r>
        <w:rPr>
          <w:rFonts w:hint="eastAsia" w:ascii="宋体" w:hAnsi="宋体" w:eastAsia="宋体" w:cs="宋体"/>
          <w:i w:val="0"/>
          <w:iCs w:val="0"/>
          <w:caps w:val="0"/>
          <w:color w:val="000000"/>
          <w:spacing w:val="4"/>
          <w:sz w:val="24"/>
          <w:szCs w:val="24"/>
          <w:shd w:val="clear" w:color="auto" w:fill="FFFFFF"/>
          <w:lang w:val="en-US" w:eastAsia="zh-CN"/>
        </w:rPr>
        <w:t>）</w:t>
      </w:r>
      <w:r>
        <w:rPr>
          <w:rFonts w:hint="eastAsia" w:ascii="宋体" w:hAnsi="宋体" w:eastAsia="宋体" w:cs="宋体"/>
          <w:i w:val="0"/>
          <w:iCs w:val="0"/>
          <w:caps w:val="0"/>
          <w:color w:val="000000"/>
          <w:spacing w:val="4"/>
          <w:sz w:val="24"/>
          <w:szCs w:val="24"/>
          <w:shd w:val="clear" w:color="auto" w:fill="FFFFFF"/>
        </w:rPr>
        <w:t>本合同</w:t>
      </w:r>
      <w:r>
        <w:rPr>
          <w:rFonts w:hint="eastAsia" w:ascii="宋体" w:hAnsi="宋体" w:eastAsia="宋体" w:cs="宋体"/>
          <w:i w:val="0"/>
          <w:iCs w:val="0"/>
          <w:caps w:val="0"/>
          <w:color w:val="000000"/>
          <w:spacing w:val="4"/>
          <w:sz w:val="24"/>
          <w:szCs w:val="24"/>
          <w:shd w:val="clear" w:color="auto" w:fill="FFFFFF"/>
          <w:lang w:val="en-US" w:eastAsia="zh-CN"/>
        </w:rPr>
        <w:t>如有</w:t>
      </w:r>
      <w:r>
        <w:rPr>
          <w:rFonts w:hint="eastAsia" w:ascii="宋体" w:hAnsi="宋体" w:eastAsia="宋体" w:cs="宋体"/>
          <w:i w:val="0"/>
          <w:iCs w:val="0"/>
          <w:caps w:val="0"/>
          <w:color w:val="000000"/>
          <w:spacing w:val="4"/>
          <w:sz w:val="24"/>
          <w:szCs w:val="24"/>
          <w:shd w:val="clear" w:color="auto" w:fill="FFFFFF"/>
        </w:rPr>
        <w:t>未尽事宜，由甲乙双方</w:t>
      </w:r>
      <w:r>
        <w:rPr>
          <w:rFonts w:hint="eastAsia" w:ascii="宋体" w:hAnsi="宋体" w:eastAsia="宋体" w:cs="宋体"/>
          <w:i w:val="0"/>
          <w:iCs w:val="0"/>
          <w:caps w:val="0"/>
          <w:color w:val="000000"/>
          <w:spacing w:val="4"/>
          <w:sz w:val="24"/>
          <w:szCs w:val="24"/>
          <w:shd w:val="clear" w:color="auto" w:fill="FFFFFF"/>
          <w:lang w:val="en-US" w:eastAsia="zh-CN"/>
        </w:rPr>
        <w:t>协商解决。达成一致后签订</w:t>
      </w:r>
      <w:r>
        <w:rPr>
          <w:rFonts w:hint="eastAsia" w:ascii="宋体" w:hAnsi="宋体" w:eastAsia="宋体" w:cs="宋体"/>
          <w:i w:val="0"/>
          <w:iCs w:val="0"/>
          <w:caps w:val="0"/>
          <w:color w:val="000000"/>
          <w:spacing w:val="4"/>
          <w:sz w:val="24"/>
          <w:szCs w:val="24"/>
          <w:shd w:val="clear" w:color="auto" w:fill="FFFFFF"/>
        </w:rPr>
        <w:t>补充</w:t>
      </w:r>
      <w:r>
        <w:rPr>
          <w:rFonts w:hint="eastAsia" w:ascii="宋体" w:hAnsi="宋体" w:eastAsia="宋体" w:cs="宋体"/>
          <w:i w:val="0"/>
          <w:iCs w:val="0"/>
          <w:caps w:val="0"/>
          <w:color w:val="000000"/>
          <w:spacing w:val="4"/>
          <w:sz w:val="24"/>
          <w:szCs w:val="24"/>
          <w:shd w:val="clear" w:color="auto" w:fill="FFFFFF"/>
          <w:lang w:val="en-US" w:eastAsia="zh-CN"/>
        </w:rPr>
        <w:t>协议</w:t>
      </w:r>
      <w:r>
        <w:rPr>
          <w:rFonts w:hint="eastAsia" w:ascii="宋体" w:hAnsi="宋体" w:eastAsia="宋体" w:cs="宋体"/>
          <w:i w:val="0"/>
          <w:iCs w:val="0"/>
          <w:caps w:val="0"/>
          <w:color w:val="000000"/>
          <w:spacing w:val="4"/>
          <w:sz w:val="24"/>
          <w:szCs w:val="24"/>
          <w:shd w:val="clear" w:color="auto" w:fill="FFFFFF"/>
        </w:rPr>
        <w:t>，</w:t>
      </w:r>
      <w:r>
        <w:rPr>
          <w:rFonts w:hint="eastAsia" w:ascii="宋体" w:hAnsi="宋体" w:eastAsia="宋体" w:cs="宋体"/>
          <w:i w:val="0"/>
          <w:iCs w:val="0"/>
          <w:caps w:val="0"/>
          <w:color w:val="000000"/>
          <w:spacing w:val="4"/>
          <w:sz w:val="24"/>
          <w:szCs w:val="24"/>
          <w:shd w:val="clear" w:color="auto" w:fill="FFFFFF"/>
          <w:lang w:val="en-US" w:eastAsia="zh-CN"/>
        </w:rPr>
        <w:t>补充协议的约定</w:t>
      </w:r>
      <w:r>
        <w:rPr>
          <w:rFonts w:hint="eastAsia" w:ascii="宋体" w:hAnsi="宋体" w:eastAsia="宋体" w:cs="宋体"/>
          <w:i w:val="0"/>
          <w:iCs w:val="0"/>
          <w:caps w:val="0"/>
          <w:color w:val="000000"/>
          <w:spacing w:val="4"/>
          <w:sz w:val="24"/>
          <w:szCs w:val="24"/>
          <w:shd w:val="clear" w:color="auto" w:fill="FFFFFF"/>
        </w:rPr>
        <w:t>原则上不能</w:t>
      </w:r>
      <w:r>
        <w:rPr>
          <w:rFonts w:hint="eastAsia" w:ascii="宋体" w:hAnsi="宋体" w:eastAsia="宋体" w:cs="宋体"/>
          <w:i w:val="0"/>
          <w:iCs w:val="0"/>
          <w:caps w:val="0"/>
          <w:color w:val="000000"/>
          <w:spacing w:val="4"/>
          <w:sz w:val="24"/>
          <w:szCs w:val="24"/>
          <w:shd w:val="clear" w:color="auto" w:fill="FFFFFF"/>
          <w:lang w:val="en-US" w:eastAsia="zh-CN"/>
        </w:rPr>
        <w:t>与本合同及中标通知书的核心内容相抵触，否则不具有法律效力</w:t>
      </w:r>
      <w:r>
        <w:rPr>
          <w:rFonts w:hint="eastAsia" w:ascii="宋体" w:hAnsi="宋体" w:eastAsia="宋体" w:cs="宋体"/>
          <w:i w:val="0"/>
          <w:iCs w:val="0"/>
          <w:caps w:val="0"/>
          <w:color w:val="000000"/>
          <w:spacing w:val="4"/>
          <w:sz w:val="24"/>
          <w:szCs w:val="24"/>
          <w:shd w:val="clear" w:color="auto" w:fill="FFFFFF"/>
        </w:rPr>
        <w:t>。</w:t>
      </w:r>
    </w:p>
    <w:p w14:paraId="5CCCB1CD">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i w:val="0"/>
          <w:iCs w:val="0"/>
          <w:caps w:val="0"/>
          <w:color w:val="000000"/>
          <w:spacing w:val="4"/>
          <w:sz w:val="24"/>
          <w:szCs w:val="24"/>
          <w:shd w:val="clear" w:color="auto" w:fill="FFFFFF"/>
          <w:lang w:eastAsia="zh-CN"/>
        </w:rPr>
      </w:pPr>
      <w:r>
        <w:rPr>
          <w:rFonts w:hint="eastAsia" w:ascii="宋体" w:hAnsi="宋体" w:eastAsia="宋体" w:cs="宋体"/>
          <w:b/>
          <w:bCs/>
          <w:i w:val="0"/>
          <w:iCs w:val="0"/>
          <w:caps w:val="0"/>
          <w:color w:val="000000"/>
          <w:spacing w:val="4"/>
          <w:sz w:val="24"/>
          <w:szCs w:val="24"/>
          <w:shd w:val="clear" w:color="auto" w:fill="FFFFFF"/>
          <w:lang w:eastAsia="zh-CN"/>
        </w:rPr>
        <w:t>十八、合同生效</w:t>
      </w:r>
    </w:p>
    <w:p w14:paraId="353F3BF6">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lang w:eastAsia="zh-CN"/>
        </w:rPr>
      </w:pPr>
      <w:r>
        <w:rPr>
          <w:rFonts w:hint="eastAsia" w:ascii="宋体" w:hAnsi="宋体" w:eastAsia="宋体" w:cs="宋体"/>
          <w:i w:val="0"/>
          <w:iCs w:val="0"/>
          <w:caps w:val="0"/>
          <w:color w:val="000000"/>
          <w:spacing w:val="4"/>
          <w:sz w:val="24"/>
          <w:szCs w:val="24"/>
          <w:shd w:val="clear" w:color="auto" w:fill="FFFFFF"/>
        </w:rPr>
        <w:t>本合同</w:t>
      </w:r>
      <w:r>
        <w:rPr>
          <w:rFonts w:hint="eastAsia" w:ascii="宋体" w:hAnsi="宋体" w:eastAsia="宋体" w:cs="宋体"/>
          <w:i w:val="0"/>
          <w:iCs w:val="0"/>
          <w:caps w:val="0"/>
          <w:color w:val="000000"/>
          <w:spacing w:val="4"/>
          <w:sz w:val="24"/>
          <w:szCs w:val="24"/>
          <w:shd w:val="clear" w:color="auto" w:fill="FFFFFF"/>
          <w:lang w:val="en-US" w:eastAsia="zh-CN"/>
        </w:rPr>
        <w:t>自</w:t>
      </w:r>
      <w:r>
        <w:rPr>
          <w:rFonts w:hint="eastAsia" w:ascii="宋体" w:hAnsi="宋体" w:eastAsia="宋体" w:cs="宋体"/>
          <w:i w:val="0"/>
          <w:iCs w:val="0"/>
          <w:caps w:val="0"/>
          <w:color w:val="000000"/>
          <w:spacing w:val="4"/>
          <w:sz w:val="24"/>
          <w:szCs w:val="24"/>
          <w:shd w:val="clear" w:color="auto" w:fill="FFFFFF"/>
        </w:rPr>
        <w:t>甲乙双方</w:t>
      </w:r>
      <w:r>
        <w:rPr>
          <w:rFonts w:hint="eastAsia" w:ascii="宋体" w:hAnsi="宋体" w:eastAsia="宋体" w:cs="宋体"/>
          <w:i w:val="0"/>
          <w:iCs w:val="0"/>
          <w:caps w:val="0"/>
          <w:color w:val="000000"/>
          <w:spacing w:val="4"/>
          <w:sz w:val="24"/>
          <w:szCs w:val="24"/>
          <w:shd w:val="clear" w:color="auto" w:fill="FFFFFF"/>
          <w:lang w:val="en-US" w:eastAsia="zh-CN"/>
        </w:rPr>
        <w:t>法定</w:t>
      </w:r>
      <w:r>
        <w:rPr>
          <w:rFonts w:hint="eastAsia" w:ascii="宋体" w:hAnsi="宋体" w:eastAsia="宋体" w:cs="宋体"/>
          <w:i w:val="0"/>
          <w:iCs w:val="0"/>
          <w:caps w:val="0"/>
          <w:color w:val="000000"/>
          <w:spacing w:val="4"/>
          <w:sz w:val="24"/>
          <w:szCs w:val="24"/>
          <w:shd w:val="clear" w:color="auto" w:fill="FFFFFF"/>
        </w:rPr>
        <w:t>代表</w:t>
      </w:r>
      <w:r>
        <w:rPr>
          <w:rFonts w:hint="eastAsia" w:ascii="宋体" w:hAnsi="宋体" w:eastAsia="宋体" w:cs="宋体"/>
          <w:i w:val="0"/>
          <w:iCs w:val="0"/>
          <w:caps w:val="0"/>
          <w:color w:val="000000"/>
          <w:spacing w:val="4"/>
          <w:sz w:val="24"/>
          <w:szCs w:val="24"/>
          <w:shd w:val="clear" w:color="auto" w:fill="FFFFFF"/>
          <w:lang w:val="en-US" w:eastAsia="zh-CN"/>
        </w:rPr>
        <w:t>人</w:t>
      </w:r>
      <w:r>
        <w:rPr>
          <w:rFonts w:hint="eastAsia" w:ascii="宋体" w:hAnsi="宋体" w:eastAsia="宋体" w:cs="宋体"/>
          <w:i w:val="0"/>
          <w:iCs w:val="0"/>
          <w:caps w:val="0"/>
          <w:color w:val="000000"/>
          <w:spacing w:val="4"/>
          <w:sz w:val="24"/>
          <w:szCs w:val="24"/>
          <w:shd w:val="clear" w:color="auto" w:fill="FFFFFF"/>
        </w:rPr>
        <w:t>签</w:t>
      </w:r>
      <w:r>
        <w:rPr>
          <w:rFonts w:hint="eastAsia" w:ascii="宋体" w:hAnsi="宋体" w:eastAsia="宋体" w:cs="宋体"/>
          <w:i w:val="0"/>
          <w:iCs w:val="0"/>
          <w:caps w:val="0"/>
          <w:color w:val="000000"/>
          <w:spacing w:val="4"/>
          <w:sz w:val="24"/>
          <w:szCs w:val="24"/>
          <w:shd w:val="clear" w:color="auto" w:fill="FFFFFF"/>
          <w:lang w:eastAsia="zh-CN"/>
        </w:rPr>
        <w:t>章</w:t>
      </w:r>
      <w:r>
        <w:rPr>
          <w:rFonts w:hint="eastAsia" w:ascii="宋体" w:hAnsi="宋体" w:eastAsia="宋体" w:cs="宋体"/>
          <w:i w:val="0"/>
          <w:iCs w:val="0"/>
          <w:caps w:val="0"/>
          <w:color w:val="000000"/>
          <w:spacing w:val="4"/>
          <w:sz w:val="24"/>
          <w:szCs w:val="24"/>
          <w:shd w:val="clear" w:color="auto" w:fill="FFFFFF"/>
          <w:lang w:val="en-US" w:eastAsia="zh-CN"/>
        </w:rPr>
        <w:t>并加</w:t>
      </w:r>
      <w:r>
        <w:rPr>
          <w:rFonts w:hint="eastAsia" w:ascii="宋体" w:hAnsi="宋体" w:eastAsia="宋体" w:cs="宋体"/>
          <w:i w:val="0"/>
          <w:iCs w:val="0"/>
          <w:caps w:val="0"/>
          <w:color w:val="000000"/>
          <w:spacing w:val="4"/>
          <w:sz w:val="24"/>
          <w:szCs w:val="24"/>
          <w:shd w:val="clear" w:color="auto" w:fill="FFFFFF"/>
        </w:rPr>
        <w:t>盖</w:t>
      </w:r>
      <w:r>
        <w:rPr>
          <w:rFonts w:hint="eastAsia" w:ascii="宋体" w:hAnsi="宋体" w:eastAsia="宋体" w:cs="宋体"/>
          <w:i w:val="0"/>
          <w:iCs w:val="0"/>
          <w:caps w:val="0"/>
          <w:color w:val="000000"/>
          <w:spacing w:val="4"/>
          <w:sz w:val="24"/>
          <w:szCs w:val="24"/>
          <w:shd w:val="clear" w:color="auto" w:fill="FFFFFF"/>
          <w:lang w:val="en-US" w:eastAsia="zh-CN"/>
        </w:rPr>
        <w:t>单位公</w:t>
      </w:r>
      <w:r>
        <w:rPr>
          <w:rFonts w:hint="eastAsia" w:ascii="宋体" w:hAnsi="宋体" w:eastAsia="宋体" w:cs="宋体"/>
          <w:i w:val="0"/>
          <w:iCs w:val="0"/>
          <w:caps w:val="0"/>
          <w:color w:val="000000"/>
          <w:spacing w:val="4"/>
          <w:sz w:val="24"/>
          <w:szCs w:val="24"/>
          <w:shd w:val="clear" w:color="auto" w:fill="FFFFFF"/>
        </w:rPr>
        <w:t>章（加盖骑缝章）后生效。</w:t>
      </w:r>
    </w:p>
    <w:p w14:paraId="3C12E03B">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rPr>
        <w:t>甲方（公章）：乙方（公章）：</w:t>
      </w:r>
    </w:p>
    <w:p w14:paraId="1D1B9916">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rPr>
        <w:t>账户：账户：</w:t>
      </w:r>
    </w:p>
    <w:p w14:paraId="0913F252">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rPr>
        <w:t>开户行：开户行：</w:t>
      </w:r>
    </w:p>
    <w:p w14:paraId="6DE0C769">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rPr>
        <w:t>纳税人识别号：纳税人识别号：</w:t>
      </w:r>
    </w:p>
    <w:p w14:paraId="19B0EEE0">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rPr>
        <w:t>地址：地址：</w:t>
      </w:r>
    </w:p>
    <w:p w14:paraId="329A90B7">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rPr>
        <w:t>联系人：联系人：</w:t>
      </w:r>
    </w:p>
    <w:p w14:paraId="4E5431EA">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rPr>
        <w:t>联系电话：联系电话：</w:t>
      </w:r>
    </w:p>
    <w:p w14:paraId="04421CD8">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4"/>
          <w:sz w:val="24"/>
          <w:szCs w:val="24"/>
          <w:shd w:val="clear" w:color="auto" w:fill="FFFFFF"/>
        </w:rPr>
        <w:t>法人（签字）：法人（签字）：</w:t>
      </w:r>
    </w:p>
    <w:p w14:paraId="1981720D">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注意事项：本合同条款未尽事宜，由甲乙双方以补充合同约定，原则上不能超越和违背</w:t>
      </w:r>
      <w:r>
        <w:rPr>
          <w:rFonts w:hint="eastAsia" w:ascii="宋体" w:hAnsi="宋体" w:eastAsia="宋体" w:cs="宋体"/>
          <w:color w:val="000000"/>
          <w:spacing w:val="0"/>
          <w:sz w:val="24"/>
          <w:szCs w:val="24"/>
          <w:lang w:eastAsia="zh-CN"/>
        </w:rPr>
        <w:t>采购</w:t>
      </w:r>
      <w:r>
        <w:rPr>
          <w:rFonts w:hint="eastAsia" w:ascii="宋体" w:hAnsi="宋体" w:eastAsia="宋体" w:cs="宋体"/>
          <w:color w:val="000000"/>
          <w:spacing w:val="0"/>
          <w:sz w:val="24"/>
          <w:szCs w:val="24"/>
        </w:rPr>
        <w:t>文件、投标文件及投标有关承诺的范围及内容。</w:t>
      </w:r>
    </w:p>
    <w:p w14:paraId="78D709CC">
      <w:pPr>
        <w:keepNext w:val="0"/>
        <w:keepLines w:val="0"/>
        <w:pageBreakBefore w:val="0"/>
        <w:kinsoku/>
        <w:wordWrap/>
        <w:bidi w:val="0"/>
        <w:snapToGrid/>
        <w:spacing w:line="560" w:lineRule="atLeast"/>
        <w:jc w:val="both"/>
        <w:textAlignment w:val="auto"/>
        <w:rPr>
          <w:rFonts w:hint="eastAsia" w:ascii="黑体" w:hAnsi="黑体" w:eastAsia="黑体" w:cs="黑体"/>
          <w:b w:val="0"/>
          <w:bCs w:val="0"/>
          <w:color w:val="000000"/>
          <w:kern w:val="2"/>
          <w:sz w:val="36"/>
          <w:szCs w:val="36"/>
          <w:lang w:val="en-US" w:eastAsia="zh-CN" w:bidi="ar-SA"/>
        </w:rPr>
      </w:pPr>
    </w:p>
    <w:p w14:paraId="439D175C">
      <w:pPr>
        <w:keepNext w:val="0"/>
        <w:keepLines w:val="0"/>
        <w:pageBreakBefore w:val="0"/>
        <w:kinsoku/>
        <w:wordWrap/>
        <w:bidi w:val="0"/>
        <w:snapToGrid/>
        <w:spacing w:line="240" w:lineRule="auto"/>
        <w:jc w:val="left"/>
        <w:textAlignment w:val="auto"/>
        <w:rPr>
          <w:ins w:id="0" w:author="Coisini" w:date="2024-12-24T16:20:00Z"/>
          <w:rFonts w:hint="eastAsia" w:ascii="黑体" w:hAnsi="黑体" w:eastAsia="黑体" w:cs="黑体"/>
          <w:b w:val="0"/>
          <w:bCs w:val="0"/>
          <w:color w:val="000000"/>
          <w:kern w:val="2"/>
          <w:sz w:val="32"/>
          <w:szCs w:val="32"/>
          <w:lang w:val="en-US" w:eastAsia="zh-CN" w:bidi="ar-SA"/>
        </w:rPr>
      </w:pPr>
      <w:ins w:id="1" w:author="Coisini" w:date="2024-12-24T16:20:00Z">
        <w:r>
          <w:rPr>
            <w:rFonts w:hint="eastAsia" w:ascii="黑体" w:hAnsi="黑体" w:eastAsia="黑体" w:cs="黑体"/>
            <w:b w:val="0"/>
            <w:bCs w:val="0"/>
            <w:color w:val="000000"/>
            <w:kern w:val="2"/>
            <w:sz w:val="32"/>
            <w:szCs w:val="32"/>
            <w:lang w:val="en-US" w:eastAsia="zh-CN" w:bidi="ar-SA"/>
          </w:rPr>
          <w:br w:type="page"/>
        </w:r>
      </w:ins>
    </w:p>
    <w:p w14:paraId="6B3C62E1">
      <w:pPr>
        <w:keepNext w:val="0"/>
        <w:keepLines w:val="0"/>
        <w:pageBreakBefore w:val="0"/>
        <w:kinsoku/>
        <w:wordWrap/>
        <w:bidi w:val="0"/>
        <w:snapToGrid/>
        <w:spacing w:line="560" w:lineRule="atLeast"/>
        <w:jc w:val="both"/>
        <w:textAlignment w:val="auto"/>
        <w:rPr>
          <w:rFonts w:hint="eastAsia" w:ascii="黑体" w:hAnsi="黑体" w:eastAsia="黑体" w:cs="黑体"/>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lang w:val="en-US" w:eastAsia="zh-CN" w:bidi="ar-SA"/>
        </w:rPr>
        <w:t>附件</w:t>
      </w:r>
    </w:p>
    <w:p w14:paraId="6ED6B344">
      <w:pPr>
        <w:keepNext w:val="0"/>
        <w:keepLines w:val="0"/>
        <w:pageBreakBefore w:val="0"/>
        <w:kinsoku/>
        <w:wordWrap/>
        <w:bidi w:val="0"/>
        <w:snapToGrid/>
        <w:spacing w:line="560" w:lineRule="atLeast"/>
        <w:jc w:val="center"/>
        <w:textAlignment w:val="auto"/>
        <w:rPr>
          <w:rFonts w:hint="eastAsia"/>
          <w:color w:val="000000"/>
          <w:lang w:val="en-US" w:eastAsia="zh-CN"/>
        </w:rPr>
      </w:pPr>
      <w:r>
        <w:rPr>
          <w:rFonts w:hint="eastAsia" w:ascii="黑体" w:hAnsi="黑体" w:eastAsia="黑体" w:cs="黑体"/>
          <w:b w:val="0"/>
          <w:bCs w:val="0"/>
          <w:color w:val="000000"/>
          <w:kern w:val="2"/>
          <w:sz w:val="36"/>
          <w:szCs w:val="36"/>
          <w:lang w:val="en-US" w:eastAsia="zh-CN" w:bidi="ar-SA"/>
        </w:rPr>
        <w:t>学校大宗食材原（辅）料技术及质量要求表</w:t>
      </w:r>
    </w:p>
    <w:tbl>
      <w:tblPr>
        <w:tblStyle w:val="38"/>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2065"/>
        <w:gridCol w:w="6474"/>
      </w:tblGrid>
      <w:tr w14:paraId="09566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19" w:type="dxa"/>
            <w:noWrap w:val="0"/>
            <w:vAlign w:val="center"/>
          </w:tcPr>
          <w:p w14:paraId="6E5C78DB">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黑体" w:cs="Times New Roman"/>
                <w:b w:val="0"/>
                <w:bCs w:val="0"/>
                <w:color w:val="000000"/>
                <w:kern w:val="2"/>
                <w:sz w:val="28"/>
                <w:szCs w:val="28"/>
                <w:lang w:val="en-US" w:eastAsia="zh-CN" w:bidi="ar-SA"/>
              </w:rPr>
            </w:pPr>
            <w:r>
              <w:rPr>
                <w:rFonts w:hint="default" w:ascii="Times New Roman" w:hAnsi="Times New Roman" w:eastAsia="黑体" w:cs="Times New Roman"/>
                <w:b w:val="0"/>
                <w:bCs w:val="0"/>
                <w:color w:val="000000"/>
                <w:kern w:val="2"/>
                <w:sz w:val="28"/>
                <w:szCs w:val="28"/>
                <w:lang w:val="en-US" w:eastAsia="zh-CN" w:bidi="ar-SA"/>
              </w:rPr>
              <w:t>序号</w:t>
            </w:r>
          </w:p>
        </w:tc>
        <w:tc>
          <w:tcPr>
            <w:tcW w:w="2065" w:type="dxa"/>
            <w:noWrap w:val="0"/>
            <w:vAlign w:val="center"/>
          </w:tcPr>
          <w:p w14:paraId="7BE915E9">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黑体" w:cs="Times New Roman"/>
                <w:b w:val="0"/>
                <w:bCs w:val="0"/>
                <w:color w:val="000000"/>
                <w:kern w:val="2"/>
                <w:sz w:val="28"/>
                <w:szCs w:val="28"/>
                <w:lang w:val="en-US" w:eastAsia="zh-CN" w:bidi="ar-SA"/>
              </w:rPr>
            </w:pPr>
            <w:r>
              <w:rPr>
                <w:rFonts w:hint="default" w:ascii="Times New Roman" w:hAnsi="Times New Roman" w:eastAsia="黑体" w:cs="Times New Roman"/>
                <w:b w:val="0"/>
                <w:bCs w:val="0"/>
                <w:color w:val="000000"/>
                <w:kern w:val="2"/>
                <w:sz w:val="28"/>
                <w:szCs w:val="28"/>
                <w:lang w:val="en-US" w:eastAsia="zh-CN" w:bidi="ar-SA"/>
              </w:rPr>
              <w:t>材料名称</w:t>
            </w:r>
          </w:p>
        </w:tc>
        <w:tc>
          <w:tcPr>
            <w:tcW w:w="6474" w:type="dxa"/>
            <w:noWrap w:val="0"/>
            <w:vAlign w:val="center"/>
          </w:tcPr>
          <w:p w14:paraId="6E373E81">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黑体" w:cs="Times New Roman"/>
                <w:b w:val="0"/>
                <w:bCs w:val="0"/>
                <w:color w:val="000000"/>
                <w:kern w:val="2"/>
                <w:sz w:val="28"/>
                <w:szCs w:val="28"/>
                <w:lang w:val="en-US" w:eastAsia="zh-CN" w:bidi="ar-SA"/>
              </w:rPr>
            </w:pPr>
            <w:r>
              <w:rPr>
                <w:rFonts w:hint="default" w:ascii="Times New Roman" w:hAnsi="Times New Roman" w:eastAsia="黑体" w:cs="Times New Roman"/>
                <w:b w:val="0"/>
                <w:bCs w:val="0"/>
                <w:color w:val="000000"/>
                <w:kern w:val="2"/>
                <w:sz w:val="28"/>
                <w:szCs w:val="28"/>
                <w:lang w:val="en-US" w:eastAsia="zh-CN" w:bidi="ar-SA"/>
              </w:rPr>
              <w:t>技术及质量要求</w:t>
            </w:r>
          </w:p>
        </w:tc>
      </w:tr>
      <w:tr w14:paraId="29F19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919" w:type="dxa"/>
            <w:noWrap w:val="0"/>
            <w:vAlign w:val="center"/>
          </w:tcPr>
          <w:p w14:paraId="1432E742">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default" w:ascii="Times New Roman" w:hAnsi="Times New Roman" w:eastAsia="仿宋_GB2312" w:cs="Times New Roman"/>
                <w:b w:val="0"/>
                <w:bCs w:val="0"/>
                <w:color w:val="000000"/>
                <w:kern w:val="2"/>
                <w:sz w:val="28"/>
                <w:szCs w:val="28"/>
                <w:lang w:val="en-US" w:eastAsia="zh-CN" w:bidi="ar-SA"/>
              </w:rPr>
              <w:t>1</w:t>
            </w:r>
          </w:p>
        </w:tc>
        <w:tc>
          <w:tcPr>
            <w:tcW w:w="2065" w:type="dxa"/>
            <w:noWrap w:val="0"/>
            <w:vAlign w:val="center"/>
          </w:tcPr>
          <w:p w14:paraId="2948E06C">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default" w:ascii="Times New Roman" w:hAnsi="Times New Roman" w:eastAsia="仿宋_GB2312" w:cs="Times New Roman"/>
                <w:b w:val="0"/>
                <w:bCs w:val="0"/>
                <w:color w:val="000000"/>
                <w:kern w:val="2"/>
                <w:sz w:val="28"/>
                <w:szCs w:val="28"/>
                <w:lang w:val="en-US" w:eastAsia="zh-CN" w:bidi="ar-SA"/>
              </w:rPr>
              <w:t>大米（籼米、粳米、糯米等）</w:t>
            </w:r>
          </w:p>
        </w:tc>
        <w:tc>
          <w:tcPr>
            <w:tcW w:w="6474" w:type="dxa"/>
            <w:noWrap w:val="0"/>
            <w:vAlign w:val="center"/>
          </w:tcPr>
          <w:p w14:paraId="01E7151E">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default" w:ascii="Times New Roman" w:hAnsi="Times New Roman" w:eastAsia="仿宋_GB2312" w:cs="Times New Roman"/>
                <w:b w:val="0"/>
                <w:bCs w:val="0"/>
                <w:color w:val="000000"/>
                <w:kern w:val="2"/>
                <w:sz w:val="28"/>
                <w:szCs w:val="28"/>
                <w:lang w:val="en-US" w:eastAsia="zh-CN" w:bidi="ar-SA"/>
              </w:rPr>
              <w:t>国标一级，质量达到GB/T1354</w:t>
            </w:r>
            <w:r>
              <w:rPr>
                <w:rFonts w:hint="eastAsia" w:ascii="仿宋_GB2312" w:hAnsi="仿宋_GB2312" w:eastAsia="仿宋_GB2312" w:cs="仿宋_GB2312"/>
                <w:b w:val="0"/>
                <w:bCs w:val="0"/>
                <w:color w:val="000000"/>
                <w:kern w:val="2"/>
                <w:sz w:val="28"/>
                <w:szCs w:val="28"/>
                <w:lang w:val="en-US" w:eastAsia="zh-CN" w:bidi="ar-SA"/>
              </w:rPr>
              <w:t>-</w:t>
            </w:r>
            <w:r>
              <w:rPr>
                <w:rFonts w:hint="default" w:ascii="Times New Roman" w:hAnsi="Times New Roman" w:eastAsia="仿宋_GB2312" w:cs="Times New Roman"/>
                <w:b w:val="0"/>
                <w:bCs w:val="0"/>
                <w:color w:val="000000"/>
                <w:kern w:val="2"/>
                <w:sz w:val="28"/>
                <w:szCs w:val="28"/>
                <w:lang w:val="en-US" w:eastAsia="zh-CN" w:bidi="ar-SA"/>
              </w:rPr>
              <w:t>2018标准，须袋装。米质颗粒饱满，有清香味，无麸皮等杂质</w:t>
            </w:r>
            <w:r>
              <w:rPr>
                <w:rFonts w:hint="eastAsia" w:ascii="Times New Roman" w:hAnsi="Times New Roman" w:eastAsia="仿宋_GB2312" w:cs="Times New Roman"/>
                <w:b w:val="0"/>
                <w:bCs w:val="0"/>
                <w:color w:val="000000"/>
                <w:kern w:val="2"/>
                <w:sz w:val="28"/>
                <w:szCs w:val="28"/>
                <w:lang w:val="en-US" w:eastAsia="zh-CN" w:bidi="ar-SA"/>
              </w:rPr>
              <w:t>，</w:t>
            </w:r>
            <w:r>
              <w:rPr>
                <w:rFonts w:hint="default" w:ascii="Times New Roman" w:hAnsi="Times New Roman" w:eastAsia="仿宋_GB2312" w:cs="Times New Roman"/>
                <w:b w:val="0"/>
                <w:bCs w:val="0"/>
                <w:color w:val="000000"/>
                <w:kern w:val="2"/>
                <w:sz w:val="28"/>
                <w:szCs w:val="28"/>
                <w:lang w:val="en-US" w:eastAsia="zh-CN" w:bidi="ar-SA"/>
              </w:rPr>
              <w:t>严禁提供陈化米。</w:t>
            </w:r>
          </w:p>
        </w:tc>
      </w:tr>
      <w:tr w14:paraId="23BFF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919" w:type="dxa"/>
            <w:noWrap w:val="0"/>
            <w:vAlign w:val="center"/>
          </w:tcPr>
          <w:p w14:paraId="0EBE21CE">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default" w:ascii="Times New Roman" w:hAnsi="Times New Roman" w:eastAsia="仿宋_GB2312" w:cs="Times New Roman"/>
                <w:b w:val="0"/>
                <w:bCs w:val="0"/>
                <w:color w:val="000000"/>
                <w:kern w:val="2"/>
                <w:sz w:val="28"/>
                <w:szCs w:val="28"/>
                <w:lang w:val="en-US" w:eastAsia="zh-CN" w:bidi="ar-SA"/>
              </w:rPr>
              <w:t>2</w:t>
            </w:r>
          </w:p>
        </w:tc>
        <w:tc>
          <w:tcPr>
            <w:tcW w:w="2065" w:type="dxa"/>
            <w:noWrap w:val="0"/>
            <w:vAlign w:val="center"/>
          </w:tcPr>
          <w:p w14:paraId="086806B7">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default" w:ascii="Times New Roman" w:hAnsi="Times New Roman" w:eastAsia="仿宋_GB2312" w:cs="Times New Roman"/>
                <w:b w:val="0"/>
                <w:bCs w:val="0"/>
                <w:color w:val="000000"/>
                <w:kern w:val="2"/>
                <w:sz w:val="28"/>
                <w:szCs w:val="28"/>
                <w:lang w:val="en-US" w:eastAsia="zh-CN" w:bidi="ar-SA"/>
              </w:rPr>
              <w:t>面粉</w:t>
            </w:r>
          </w:p>
        </w:tc>
        <w:tc>
          <w:tcPr>
            <w:tcW w:w="6474" w:type="dxa"/>
            <w:noWrap w:val="0"/>
            <w:vAlign w:val="center"/>
          </w:tcPr>
          <w:p w14:paraId="1A7A9968">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default" w:ascii="Times New Roman" w:hAnsi="Times New Roman" w:eastAsia="仿宋_GB2312" w:cs="Times New Roman"/>
                <w:b w:val="0"/>
                <w:bCs w:val="0"/>
                <w:color w:val="000000"/>
                <w:kern w:val="2"/>
                <w:sz w:val="28"/>
                <w:szCs w:val="28"/>
                <w:lang w:val="en-US" w:eastAsia="zh-CN" w:bidi="ar-SA"/>
              </w:rPr>
              <w:t>国标一级，质量达到GB/T1355</w:t>
            </w:r>
            <w:r>
              <w:rPr>
                <w:rFonts w:hint="default" w:ascii="仿宋_GB2312" w:hAnsi="仿宋_GB2312" w:eastAsia="仿宋_GB2312" w:cs="仿宋_GB2312"/>
                <w:b w:val="0"/>
                <w:bCs w:val="0"/>
                <w:color w:val="000000"/>
                <w:kern w:val="2"/>
                <w:sz w:val="28"/>
                <w:szCs w:val="28"/>
                <w:lang w:val="en-US" w:eastAsia="zh-CN" w:bidi="ar-SA"/>
              </w:rPr>
              <w:t>-</w:t>
            </w:r>
            <w:r>
              <w:rPr>
                <w:rFonts w:hint="default" w:ascii="Times New Roman" w:hAnsi="Times New Roman" w:eastAsia="仿宋_GB2312" w:cs="Times New Roman"/>
                <w:b w:val="0"/>
                <w:bCs w:val="0"/>
                <w:color w:val="000000"/>
                <w:kern w:val="2"/>
                <w:sz w:val="28"/>
                <w:szCs w:val="28"/>
                <w:lang w:val="en-US" w:eastAsia="zh-CN" w:bidi="ar-SA"/>
              </w:rPr>
              <w:t>2021标准，须袋装。干净无害，无异味、异物、结块、杂质或霉点。严禁提供陈旧面粉。</w:t>
            </w:r>
          </w:p>
        </w:tc>
      </w:tr>
      <w:tr w14:paraId="6E877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919" w:type="dxa"/>
            <w:noWrap w:val="0"/>
            <w:vAlign w:val="top"/>
          </w:tcPr>
          <w:p w14:paraId="3DDD7111">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000000"/>
                <w:kern w:val="2"/>
                <w:sz w:val="28"/>
                <w:szCs w:val="28"/>
                <w:lang w:val="en-US" w:eastAsia="zh-CN" w:bidi="ar-SA"/>
              </w:rPr>
            </w:pPr>
          </w:p>
          <w:p w14:paraId="652B7B40">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000000"/>
                <w:kern w:val="2"/>
                <w:sz w:val="28"/>
                <w:szCs w:val="28"/>
                <w:lang w:val="en-US" w:eastAsia="zh-CN" w:bidi="ar-SA"/>
              </w:rPr>
            </w:pPr>
          </w:p>
          <w:p w14:paraId="7BD830D3">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eastAsia" w:ascii="Times New Roman" w:hAnsi="Times New Roman" w:eastAsia="仿宋_GB2312" w:cs="Times New Roman"/>
                <w:b w:val="0"/>
                <w:bCs w:val="0"/>
                <w:color w:val="000000"/>
                <w:kern w:val="2"/>
                <w:sz w:val="28"/>
                <w:szCs w:val="28"/>
                <w:lang w:val="en-US" w:eastAsia="zh-CN" w:bidi="ar-SA"/>
              </w:rPr>
              <w:t>3</w:t>
            </w:r>
          </w:p>
        </w:tc>
        <w:tc>
          <w:tcPr>
            <w:tcW w:w="2065" w:type="dxa"/>
            <w:noWrap w:val="0"/>
            <w:vAlign w:val="center"/>
          </w:tcPr>
          <w:p w14:paraId="093CD538">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default" w:ascii="Times New Roman" w:hAnsi="Times New Roman" w:eastAsia="仿宋_GB2312" w:cs="Times New Roman"/>
                <w:b w:val="0"/>
                <w:bCs w:val="0"/>
                <w:color w:val="000000"/>
                <w:kern w:val="2"/>
                <w:sz w:val="28"/>
                <w:szCs w:val="28"/>
                <w:lang w:val="en-US" w:eastAsia="zh-CN" w:bidi="ar-SA"/>
              </w:rPr>
              <w:t>食用油</w:t>
            </w:r>
          </w:p>
        </w:tc>
        <w:tc>
          <w:tcPr>
            <w:tcW w:w="6474" w:type="dxa"/>
            <w:noWrap w:val="0"/>
            <w:vAlign w:val="center"/>
          </w:tcPr>
          <w:p w14:paraId="3BF4D73E">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default" w:ascii="Times New Roman" w:hAnsi="Times New Roman" w:eastAsia="仿宋_GB2312" w:cs="Times New Roman"/>
                <w:b w:val="0"/>
                <w:bCs w:val="0"/>
                <w:color w:val="000000"/>
                <w:kern w:val="2"/>
                <w:sz w:val="28"/>
                <w:szCs w:val="28"/>
                <w:lang w:val="en-US" w:eastAsia="zh-CN" w:bidi="ar-SA"/>
              </w:rPr>
              <w:t>质量达到GB1536</w:t>
            </w:r>
            <w:r>
              <w:rPr>
                <w:rFonts w:hint="default" w:ascii="仿宋_GB2312" w:hAnsi="仿宋_GB2312" w:eastAsia="仿宋_GB2312" w:cs="仿宋_GB2312"/>
                <w:b w:val="0"/>
                <w:bCs w:val="0"/>
                <w:color w:val="000000"/>
                <w:kern w:val="2"/>
                <w:sz w:val="28"/>
                <w:szCs w:val="28"/>
                <w:lang w:val="en-US" w:eastAsia="zh-CN" w:bidi="ar-SA"/>
              </w:rPr>
              <w:t>-</w:t>
            </w:r>
            <w:r>
              <w:rPr>
                <w:rFonts w:hint="default" w:ascii="Times New Roman" w:hAnsi="Times New Roman" w:eastAsia="仿宋_GB2312" w:cs="Times New Roman"/>
                <w:b w:val="0"/>
                <w:bCs w:val="0"/>
                <w:color w:val="000000"/>
                <w:kern w:val="2"/>
                <w:sz w:val="28"/>
                <w:szCs w:val="28"/>
                <w:lang w:val="en-US" w:eastAsia="zh-CN" w:bidi="ar-SA"/>
              </w:rPr>
              <w:t>2004标准，非转基因食用菜籽油、调和油。菜籽油具有菜籽原油的固有气味和滋味，无异味。检验合格，塑化剂不能超标。调和油须无异味。检验合格，塑化剂不能超标。</w:t>
            </w:r>
          </w:p>
        </w:tc>
      </w:tr>
      <w:tr w14:paraId="4BC4D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0" w:hRule="atLeast"/>
          <w:jc w:val="center"/>
        </w:trPr>
        <w:tc>
          <w:tcPr>
            <w:tcW w:w="919" w:type="dxa"/>
            <w:noWrap w:val="0"/>
            <w:vAlign w:val="top"/>
          </w:tcPr>
          <w:p w14:paraId="4BDE2487">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strike w:val="0"/>
                <w:dstrike w:val="0"/>
                <w:color w:val="000000"/>
                <w:kern w:val="2"/>
                <w:sz w:val="28"/>
                <w:szCs w:val="28"/>
                <w:lang w:val="en-US" w:eastAsia="zh-CN" w:bidi="ar-SA"/>
              </w:rPr>
            </w:pPr>
          </w:p>
          <w:p w14:paraId="03CDBBFF">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strike w:val="0"/>
                <w:dstrike w:val="0"/>
                <w:color w:val="000000"/>
                <w:kern w:val="2"/>
                <w:sz w:val="28"/>
                <w:szCs w:val="28"/>
                <w:lang w:val="en-US" w:eastAsia="zh-CN" w:bidi="ar-SA"/>
              </w:rPr>
            </w:pPr>
          </w:p>
          <w:p w14:paraId="53145A50">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strike w:val="0"/>
                <w:dstrike w:val="0"/>
                <w:color w:val="000000"/>
                <w:kern w:val="2"/>
                <w:sz w:val="28"/>
                <w:szCs w:val="28"/>
                <w:lang w:val="en-US" w:eastAsia="zh-CN" w:bidi="ar-SA"/>
              </w:rPr>
            </w:pPr>
            <w:r>
              <w:rPr>
                <w:rFonts w:hint="eastAsia" w:ascii="Times New Roman" w:hAnsi="Times New Roman" w:eastAsia="仿宋_GB2312" w:cs="Times New Roman"/>
                <w:b w:val="0"/>
                <w:bCs w:val="0"/>
                <w:strike w:val="0"/>
                <w:dstrike w:val="0"/>
                <w:color w:val="000000"/>
                <w:kern w:val="2"/>
                <w:sz w:val="28"/>
                <w:szCs w:val="28"/>
                <w:lang w:val="en-US" w:eastAsia="zh-CN" w:bidi="ar-SA"/>
              </w:rPr>
              <w:t>4</w:t>
            </w:r>
          </w:p>
        </w:tc>
        <w:tc>
          <w:tcPr>
            <w:tcW w:w="2065" w:type="dxa"/>
            <w:noWrap w:val="0"/>
            <w:vAlign w:val="top"/>
          </w:tcPr>
          <w:p w14:paraId="70B478E3">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strike w:val="0"/>
                <w:dstrike w:val="0"/>
                <w:color w:val="000000"/>
                <w:kern w:val="2"/>
                <w:sz w:val="28"/>
                <w:szCs w:val="28"/>
                <w:lang w:val="en-US" w:eastAsia="zh-CN" w:bidi="ar-SA"/>
              </w:rPr>
            </w:pPr>
          </w:p>
          <w:p w14:paraId="52ED6D7D">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default" w:ascii="Times New Roman" w:hAnsi="Times New Roman" w:eastAsia="仿宋_GB2312" w:cs="Times New Roman"/>
                <w:b w:val="0"/>
                <w:bCs w:val="0"/>
                <w:strike w:val="0"/>
                <w:dstrike w:val="0"/>
                <w:color w:val="000000"/>
                <w:kern w:val="2"/>
                <w:sz w:val="28"/>
                <w:szCs w:val="28"/>
                <w:lang w:val="en-US" w:eastAsia="zh-CN" w:bidi="ar-SA"/>
              </w:rPr>
            </w:pPr>
          </w:p>
          <w:p w14:paraId="29054B49">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strike w:val="0"/>
                <w:dstrike w:val="0"/>
                <w:color w:val="000000"/>
                <w:kern w:val="2"/>
                <w:sz w:val="28"/>
                <w:szCs w:val="28"/>
                <w:lang w:val="en-US" w:eastAsia="zh-CN" w:bidi="ar-SA"/>
              </w:rPr>
            </w:pPr>
            <w:r>
              <w:rPr>
                <w:rFonts w:hint="default" w:ascii="Times New Roman" w:hAnsi="Times New Roman" w:eastAsia="仿宋_GB2312" w:cs="Times New Roman"/>
                <w:b w:val="0"/>
                <w:bCs w:val="0"/>
                <w:strike w:val="0"/>
                <w:dstrike w:val="0"/>
                <w:color w:val="000000"/>
                <w:kern w:val="2"/>
                <w:sz w:val="28"/>
                <w:szCs w:val="28"/>
                <w:lang w:val="en-US" w:eastAsia="zh-CN" w:bidi="ar-SA"/>
              </w:rPr>
              <w:t>蔬菜、水果</w:t>
            </w:r>
          </w:p>
          <w:p w14:paraId="6EBA72B6">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strike w:val="0"/>
                <w:dstrike w:val="0"/>
                <w:color w:val="000000"/>
                <w:kern w:val="2"/>
                <w:sz w:val="28"/>
                <w:szCs w:val="28"/>
                <w:lang w:val="en-US" w:eastAsia="zh-CN" w:bidi="ar-SA"/>
              </w:rPr>
            </w:pPr>
          </w:p>
        </w:tc>
        <w:tc>
          <w:tcPr>
            <w:tcW w:w="6474" w:type="dxa"/>
            <w:noWrap w:val="0"/>
            <w:vAlign w:val="center"/>
          </w:tcPr>
          <w:p w14:paraId="664BA8DF">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default" w:ascii="Times New Roman" w:hAnsi="Times New Roman" w:eastAsia="仿宋_GB2312" w:cs="Times New Roman"/>
                <w:b w:val="0"/>
                <w:bCs w:val="0"/>
                <w:strike w:val="0"/>
                <w:dstrike w:val="0"/>
                <w:color w:val="000000"/>
                <w:kern w:val="2"/>
                <w:sz w:val="28"/>
                <w:szCs w:val="28"/>
                <w:lang w:val="en-US" w:eastAsia="zh-CN" w:bidi="ar-SA"/>
              </w:rPr>
            </w:pPr>
            <w:r>
              <w:rPr>
                <w:rFonts w:hint="eastAsia" w:ascii="Times New Roman" w:hAnsi="Times New Roman" w:eastAsia="仿宋_GB2312" w:cs="Times New Roman"/>
                <w:b w:val="0"/>
                <w:bCs w:val="0"/>
                <w:strike w:val="0"/>
                <w:dstrike w:val="0"/>
                <w:color w:val="000000"/>
                <w:kern w:val="2"/>
                <w:sz w:val="28"/>
                <w:szCs w:val="28"/>
                <w:lang w:val="en-US" w:eastAsia="zh-CN" w:bidi="ar-SA"/>
              </w:rPr>
              <w:t>供货方应提供有关食品农产品的《承诺达标合格证》；</w:t>
            </w:r>
            <w:r>
              <w:rPr>
                <w:rFonts w:hint="default" w:ascii="Times New Roman" w:hAnsi="Times New Roman" w:eastAsia="仿宋_GB2312" w:cs="Times New Roman"/>
                <w:b w:val="0"/>
                <w:bCs w:val="0"/>
                <w:strike w:val="0"/>
                <w:dstrike w:val="0"/>
                <w:color w:val="000000"/>
                <w:kern w:val="2"/>
                <w:sz w:val="28"/>
                <w:szCs w:val="28"/>
                <w:lang w:val="en-US" w:eastAsia="zh-CN" w:bidi="ar-SA"/>
              </w:rPr>
              <w:t>含水量符合国家标准，蔬菜水果，叶类菜要求新鲜，无黄叶；茄果类无空心，黑心，无黄斑，内部变稀等；企业须对蔬菜和水果进行抽样农残检测，凡是超标的蔬菜水果品种严禁配送。</w:t>
            </w:r>
          </w:p>
        </w:tc>
      </w:tr>
      <w:tr w14:paraId="3954D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0" w:hRule="atLeast"/>
          <w:jc w:val="center"/>
        </w:trPr>
        <w:tc>
          <w:tcPr>
            <w:tcW w:w="919" w:type="dxa"/>
            <w:noWrap w:val="0"/>
            <w:vAlign w:val="center"/>
          </w:tcPr>
          <w:p w14:paraId="7EAF815A">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eastAsia" w:ascii="Times New Roman" w:hAnsi="Times New Roman" w:eastAsia="仿宋_GB2312" w:cs="Times New Roman"/>
                <w:b w:val="0"/>
                <w:bCs w:val="0"/>
                <w:color w:val="000000"/>
                <w:kern w:val="2"/>
                <w:sz w:val="28"/>
                <w:szCs w:val="28"/>
                <w:lang w:val="en-US" w:eastAsia="zh-CN" w:bidi="ar-SA"/>
              </w:rPr>
              <w:t>5</w:t>
            </w:r>
          </w:p>
        </w:tc>
        <w:tc>
          <w:tcPr>
            <w:tcW w:w="2065" w:type="dxa"/>
            <w:noWrap w:val="0"/>
            <w:vAlign w:val="center"/>
          </w:tcPr>
          <w:p w14:paraId="38B73BEF">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default" w:ascii="Times New Roman" w:hAnsi="Times New Roman" w:eastAsia="仿宋_GB2312" w:cs="Times New Roman"/>
                <w:b w:val="0"/>
                <w:bCs w:val="0"/>
                <w:color w:val="000000"/>
                <w:kern w:val="2"/>
                <w:sz w:val="28"/>
                <w:szCs w:val="28"/>
                <w:lang w:val="en-US" w:eastAsia="zh-CN" w:bidi="ar-SA"/>
              </w:rPr>
              <w:t>肉类</w:t>
            </w:r>
          </w:p>
        </w:tc>
        <w:tc>
          <w:tcPr>
            <w:tcW w:w="6474" w:type="dxa"/>
            <w:noWrap w:val="0"/>
            <w:vAlign w:val="center"/>
          </w:tcPr>
          <w:p w14:paraId="4EDC824C">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default" w:ascii="Times New Roman" w:hAnsi="Times New Roman" w:eastAsia="仿宋_GB2312" w:cs="Times New Roman"/>
                <w:b w:val="0"/>
                <w:bCs w:val="0"/>
                <w:color w:val="000000"/>
                <w:kern w:val="2"/>
                <w:sz w:val="28"/>
                <w:szCs w:val="28"/>
                <w:lang w:val="en-US" w:eastAsia="zh-CN" w:bidi="ar-SA"/>
              </w:rPr>
              <w:t>具有动物检验检疫合格证明，且符合食品卫生安全法要求。新鲜肉类（牛肉、羊肉、猪肉、鸡肉、鸭肉等），肉有光泽，新鲜气味正常，肉不能是冷冻肉</w:t>
            </w:r>
            <w:r>
              <w:rPr>
                <w:rFonts w:hint="default" w:ascii="Times New Roman" w:hAnsi="Times New Roman" w:eastAsia="仿宋_GB2312" w:cs="Times New Roman"/>
                <w:b w:val="0"/>
                <w:bCs w:val="0"/>
                <w:strike w:val="0"/>
                <w:dstrike w:val="0"/>
                <w:color w:val="000000"/>
                <w:kern w:val="2"/>
                <w:sz w:val="28"/>
                <w:szCs w:val="28"/>
                <w:lang w:val="en-US" w:eastAsia="zh-CN" w:bidi="ar-SA"/>
              </w:rPr>
              <w:t>，必须清洗干净</w:t>
            </w:r>
            <w:r>
              <w:rPr>
                <w:rFonts w:hint="default" w:ascii="Times New Roman" w:hAnsi="Times New Roman" w:eastAsia="仿宋_GB2312" w:cs="Times New Roman"/>
                <w:b w:val="0"/>
                <w:bCs w:val="0"/>
                <w:color w:val="000000"/>
                <w:kern w:val="2"/>
                <w:sz w:val="28"/>
                <w:szCs w:val="28"/>
                <w:lang w:val="en-US" w:eastAsia="zh-CN" w:bidi="ar-SA"/>
              </w:rPr>
              <w:t>，并根据学校的要求切割成大块、丝和片。</w:t>
            </w:r>
          </w:p>
        </w:tc>
      </w:tr>
      <w:tr w14:paraId="087FB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919" w:type="dxa"/>
            <w:noWrap w:val="0"/>
            <w:vAlign w:val="center"/>
          </w:tcPr>
          <w:p w14:paraId="1A391B84">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eastAsia" w:ascii="Times New Roman" w:hAnsi="Times New Roman" w:eastAsia="仿宋_GB2312" w:cs="Times New Roman"/>
                <w:b w:val="0"/>
                <w:bCs w:val="0"/>
                <w:color w:val="000000"/>
                <w:kern w:val="2"/>
                <w:sz w:val="28"/>
                <w:szCs w:val="28"/>
                <w:lang w:val="en-US" w:eastAsia="zh-CN" w:bidi="ar-SA"/>
              </w:rPr>
              <w:t>6</w:t>
            </w:r>
          </w:p>
        </w:tc>
        <w:tc>
          <w:tcPr>
            <w:tcW w:w="2065" w:type="dxa"/>
            <w:noWrap w:val="0"/>
            <w:vAlign w:val="center"/>
          </w:tcPr>
          <w:p w14:paraId="6F78AEEE">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default" w:ascii="Times New Roman" w:hAnsi="Times New Roman" w:eastAsia="仿宋_GB2312" w:cs="Times New Roman"/>
                <w:b w:val="0"/>
                <w:bCs w:val="0"/>
                <w:color w:val="000000"/>
                <w:kern w:val="2"/>
                <w:sz w:val="28"/>
                <w:szCs w:val="28"/>
                <w:lang w:val="en-US" w:eastAsia="zh-CN" w:bidi="ar-SA"/>
              </w:rPr>
              <w:t>禽蛋</w:t>
            </w:r>
          </w:p>
        </w:tc>
        <w:tc>
          <w:tcPr>
            <w:tcW w:w="6474" w:type="dxa"/>
            <w:noWrap w:val="0"/>
            <w:vAlign w:val="center"/>
          </w:tcPr>
          <w:p w14:paraId="1CEC8064">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default" w:ascii="Times New Roman" w:hAnsi="Times New Roman" w:eastAsia="仿宋_GB2312" w:cs="Times New Roman"/>
                <w:b w:val="0"/>
                <w:bCs w:val="0"/>
                <w:color w:val="000000"/>
                <w:kern w:val="2"/>
                <w:sz w:val="28"/>
                <w:szCs w:val="28"/>
                <w:lang w:val="en-US" w:eastAsia="zh-CN" w:bidi="ar-SA"/>
              </w:rPr>
              <w:t>质量达到GB/T37108</w:t>
            </w:r>
            <w:r>
              <w:rPr>
                <w:rFonts w:hint="default" w:ascii="仿宋_GB2312" w:hAnsi="仿宋_GB2312" w:eastAsia="仿宋_GB2312" w:cs="仿宋_GB2312"/>
                <w:b w:val="0"/>
                <w:bCs w:val="0"/>
                <w:color w:val="000000"/>
                <w:kern w:val="2"/>
                <w:sz w:val="28"/>
                <w:szCs w:val="28"/>
                <w:lang w:val="en-US" w:eastAsia="zh-CN" w:bidi="ar-SA"/>
              </w:rPr>
              <w:t>-</w:t>
            </w:r>
            <w:r>
              <w:rPr>
                <w:rFonts w:hint="default" w:ascii="Times New Roman" w:hAnsi="Times New Roman" w:eastAsia="仿宋_GB2312" w:cs="Times New Roman"/>
                <w:b w:val="0"/>
                <w:bCs w:val="0"/>
                <w:color w:val="000000"/>
                <w:kern w:val="2"/>
                <w:sz w:val="28"/>
                <w:szCs w:val="28"/>
                <w:lang w:val="en-US" w:eastAsia="zh-CN" w:bidi="ar-SA"/>
              </w:rPr>
              <w:t>2018标准</w:t>
            </w:r>
            <w:r>
              <w:rPr>
                <w:rFonts w:hint="eastAsia" w:ascii="Times New Roman" w:hAnsi="Times New Roman" w:eastAsia="仿宋_GB2312" w:cs="Times New Roman"/>
                <w:b w:val="0"/>
                <w:bCs w:val="0"/>
                <w:color w:val="000000"/>
                <w:kern w:val="2"/>
                <w:sz w:val="28"/>
                <w:szCs w:val="28"/>
                <w:lang w:val="en-US" w:eastAsia="zh-CN" w:bidi="ar-SA"/>
              </w:rPr>
              <w:t>，</w:t>
            </w:r>
            <w:r>
              <w:rPr>
                <w:rFonts w:hint="default" w:ascii="Times New Roman" w:hAnsi="Times New Roman" w:eastAsia="仿宋_GB2312" w:cs="Times New Roman"/>
                <w:b w:val="0"/>
                <w:bCs w:val="0"/>
                <w:color w:val="000000"/>
                <w:kern w:val="2"/>
                <w:sz w:val="28"/>
                <w:szCs w:val="28"/>
                <w:lang w:val="en-US" w:eastAsia="zh-CN" w:bidi="ar-SA"/>
              </w:rPr>
              <w:t>农残不超标，并可溯源。检疫合格证的无公害产品，包装成一板（箱）或整件配送。要求外壳完好、新鲜，大小均匀，无破损、霉变、病斑、陈腐味。</w:t>
            </w:r>
          </w:p>
        </w:tc>
      </w:tr>
      <w:tr w14:paraId="10513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jc w:val="center"/>
        </w:trPr>
        <w:tc>
          <w:tcPr>
            <w:tcW w:w="919" w:type="dxa"/>
            <w:noWrap w:val="0"/>
            <w:vAlign w:val="center"/>
          </w:tcPr>
          <w:p w14:paraId="6983C464">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eastAsia" w:ascii="Times New Roman" w:hAnsi="Times New Roman" w:eastAsia="仿宋_GB2312" w:cs="Times New Roman"/>
                <w:b w:val="0"/>
                <w:bCs w:val="0"/>
                <w:color w:val="000000"/>
                <w:kern w:val="2"/>
                <w:sz w:val="28"/>
                <w:szCs w:val="28"/>
                <w:lang w:val="en-US" w:eastAsia="zh-CN" w:bidi="ar-SA"/>
              </w:rPr>
              <w:t>7</w:t>
            </w:r>
          </w:p>
        </w:tc>
        <w:tc>
          <w:tcPr>
            <w:tcW w:w="2065" w:type="dxa"/>
            <w:noWrap w:val="0"/>
            <w:vAlign w:val="center"/>
          </w:tcPr>
          <w:p w14:paraId="5CEFF758">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default" w:ascii="Times New Roman" w:hAnsi="Times New Roman" w:eastAsia="仿宋_GB2312" w:cs="Times New Roman"/>
                <w:b w:val="0"/>
                <w:bCs w:val="0"/>
                <w:color w:val="000000"/>
                <w:kern w:val="2"/>
                <w:sz w:val="28"/>
                <w:szCs w:val="28"/>
                <w:lang w:val="en-US" w:eastAsia="zh-CN" w:bidi="ar-SA"/>
              </w:rPr>
              <w:t>其他（包含调味品、豆制品、米、面、米粉等）</w:t>
            </w:r>
          </w:p>
        </w:tc>
        <w:tc>
          <w:tcPr>
            <w:tcW w:w="6474" w:type="dxa"/>
            <w:noWrap w:val="0"/>
            <w:vAlign w:val="center"/>
          </w:tcPr>
          <w:p w14:paraId="1DEC36AA">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default" w:ascii="Times New Roman" w:hAnsi="Times New Roman" w:eastAsia="仿宋_GB2312" w:cs="Times New Roman"/>
                <w:b w:val="0"/>
                <w:bCs w:val="0"/>
                <w:color w:val="000000"/>
                <w:kern w:val="2"/>
                <w:sz w:val="28"/>
                <w:szCs w:val="28"/>
                <w:lang w:val="en-US" w:eastAsia="zh-CN" w:bidi="ar-SA"/>
              </w:rPr>
              <w:t>符合</w:t>
            </w:r>
            <w:r>
              <w:rPr>
                <w:rFonts w:hint="eastAsia" w:ascii="Times New Roman" w:hAnsi="Times New Roman" w:eastAsia="仿宋_GB2312" w:cs="Times New Roman"/>
                <w:b w:val="0"/>
                <w:bCs w:val="0"/>
                <w:color w:val="000000"/>
                <w:kern w:val="2"/>
                <w:sz w:val="28"/>
                <w:szCs w:val="28"/>
                <w:lang w:val="en-US" w:eastAsia="zh-CN" w:bidi="ar-SA"/>
              </w:rPr>
              <w:t>相关</w:t>
            </w:r>
            <w:r>
              <w:rPr>
                <w:rFonts w:hint="default" w:ascii="Times New Roman" w:hAnsi="Times New Roman" w:eastAsia="仿宋_GB2312" w:cs="Times New Roman"/>
                <w:b w:val="0"/>
                <w:bCs w:val="0"/>
                <w:color w:val="000000"/>
                <w:kern w:val="2"/>
                <w:sz w:val="28"/>
                <w:szCs w:val="28"/>
                <w:lang w:val="en-US" w:eastAsia="zh-CN" w:bidi="ar-SA"/>
              </w:rPr>
              <w:t>食品安全国家标准。</w:t>
            </w:r>
          </w:p>
        </w:tc>
      </w:tr>
      <w:tr w14:paraId="24ED4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jc w:val="center"/>
        </w:trPr>
        <w:tc>
          <w:tcPr>
            <w:tcW w:w="919" w:type="dxa"/>
            <w:noWrap w:val="0"/>
            <w:vAlign w:val="center"/>
          </w:tcPr>
          <w:p w14:paraId="6260FBA5">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eastAsia" w:ascii="Times New Roman" w:hAnsi="Times New Roman" w:eastAsia="仿宋_GB2312" w:cs="Times New Roman"/>
                <w:b w:val="0"/>
                <w:bCs w:val="0"/>
                <w:color w:val="000000"/>
                <w:kern w:val="2"/>
                <w:sz w:val="28"/>
                <w:szCs w:val="28"/>
                <w:lang w:val="en-US" w:eastAsia="zh-CN" w:bidi="ar-SA"/>
              </w:rPr>
              <w:t>8</w:t>
            </w:r>
          </w:p>
        </w:tc>
        <w:tc>
          <w:tcPr>
            <w:tcW w:w="2065" w:type="dxa"/>
            <w:noWrap w:val="0"/>
            <w:vAlign w:val="center"/>
          </w:tcPr>
          <w:p w14:paraId="0EF50BDA">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eastAsia" w:ascii="Times New Roman" w:hAnsi="Times New Roman" w:eastAsia="仿宋_GB2312" w:cs="Times New Roman"/>
                <w:b w:val="0"/>
                <w:bCs w:val="0"/>
                <w:color w:val="000000"/>
                <w:kern w:val="2"/>
                <w:sz w:val="28"/>
                <w:szCs w:val="28"/>
                <w:lang w:val="en-US" w:eastAsia="zh-CN" w:bidi="ar-SA"/>
              </w:rPr>
              <w:t>乳制品</w:t>
            </w:r>
          </w:p>
        </w:tc>
        <w:tc>
          <w:tcPr>
            <w:tcW w:w="6474" w:type="dxa"/>
            <w:noWrap w:val="0"/>
            <w:vAlign w:val="center"/>
          </w:tcPr>
          <w:p w14:paraId="15E412BD">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default" w:ascii="Times New Roman" w:hAnsi="Times New Roman" w:eastAsia="仿宋_GB2312" w:cs="Times New Roman"/>
                <w:b w:val="0"/>
                <w:bCs w:val="0"/>
                <w:color w:val="000000"/>
                <w:kern w:val="2"/>
                <w:sz w:val="28"/>
                <w:szCs w:val="28"/>
                <w:lang w:val="en-US" w:eastAsia="zh-CN" w:bidi="ar-SA"/>
              </w:rPr>
              <w:t>符合</w:t>
            </w:r>
            <w:r>
              <w:rPr>
                <w:rFonts w:hint="eastAsia" w:ascii="Times New Roman" w:hAnsi="Times New Roman" w:eastAsia="仿宋_GB2312" w:cs="Times New Roman"/>
                <w:b w:val="0"/>
                <w:bCs w:val="0"/>
                <w:color w:val="000000"/>
                <w:kern w:val="2"/>
                <w:sz w:val="28"/>
                <w:szCs w:val="28"/>
                <w:lang w:val="en-US" w:eastAsia="zh-CN" w:bidi="ar-SA"/>
              </w:rPr>
              <w:t>相关乳制品食品</w:t>
            </w:r>
            <w:r>
              <w:rPr>
                <w:rFonts w:hint="default" w:ascii="Times New Roman" w:hAnsi="Times New Roman" w:eastAsia="仿宋_GB2312" w:cs="Times New Roman"/>
                <w:b w:val="0"/>
                <w:bCs w:val="0"/>
                <w:color w:val="000000"/>
                <w:kern w:val="2"/>
                <w:sz w:val="28"/>
                <w:szCs w:val="28"/>
                <w:lang w:val="en-US" w:eastAsia="zh-CN" w:bidi="ar-SA"/>
              </w:rPr>
              <w:t>安全国家标准。牛奶颜色乳白，乳香清淡，口感稀薄，闻起来香味很淡，入口后有淡淡的奶香。加热后不挂杯。</w:t>
            </w:r>
          </w:p>
        </w:tc>
      </w:tr>
      <w:tr w14:paraId="74EAF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919" w:type="dxa"/>
            <w:noWrap w:val="0"/>
            <w:vAlign w:val="center"/>
          </w:tcPr>
          <w:p w14:paraId="0A25E5BD">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eastAsia" w:ascii="Times New Roman" w:hAnsi="Times New Roman" w:eastAsia="仿宋_GB2312" w:cs="Times New Roman"/>
                <w:b w:val="0"/>
                <w:bCs w:val="0"/>
                <w:color w:val="000000"/>
                <w:kern w:val="2"/>
                <w:sz w:val="28"/>
                <w:szCs w:val="28"/>
                <w:lang w:val="en-US" w:eastAsia="zh-CN" w:bidi="ar-SA"/>
              </w:rPr>
              <w:t>9</w:t>
            </w:r>
          </w:p>
        </w:tc>
        <w:tc>
          <w:tcPr>
            <w:tcW w:w="2065" w:type="dxa"/>
            <w:noWrap w:val="0"/>
            <w:vAlign w:val="center"/>
          </w:tcPr>
          <w:p w14:paraId="5C0C61F2">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default" w:ascii="Times New Roman" w:hAnsi="Times New Roman" w:eastAsia="仿宋_GB2312" w:cs="Times New Roman"/>
                <w:b w:val="0"/>
                <w:bCs w:val="0"/>
                <w:color w:val="000000"/>
                <w:kern w:val="2"/>
                <w:sz w:val="28"/>
                <w:szCs w:val="28"/>
                <w:lang w:val="en-US" w:eastAsia="zh-CN" w:bidi="ar-SA"/>
              </w:rPr>
              <w:t>糕点</w:t>
            </w:r>
          </w:p>
        </w:tc>
        <w:tc>
          <w:tcPr>
            <w:tcW w:w="6474" w:type="dxa"/>
            <w:noWrap w:val="0"/>
            <w:vAlign w:val="center"/>
          </w:tcPr>
          <w:p w14:paraId="58B44E56">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left"/>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default" w:ascii="Times New Roman" w:hAnsi="Times New Roman" w:eastAsia="仿宋_GB2312" w:cs="Times New Roman"/>
                <w:b w:val="0"/>
                <w:bCs w:val="0"/>
                <w:color w:val="000000"/>
                <w:kern w:val="2"/>
                <w:sz w:val="28"/>
                <w:szCs w:val="28"/>
                <w:lang w:val="en-US" w:eastAsia="zh-CN" w:bidi="ar-SA"/>
              </w:rPr>
              <w:t>符合GB7099</w:t>
            </w:r>
            <w:r>
              <w:rPr>
                <w:rFonts w:hint="eastAsia" w:ascii="仿宋_GB2312" w:hAnsi="仿宋_GB2312" w:eastAsia="仿宋_GB2312" w:cs="仿宋_GB2312"/>
                <w:b w:val="0"/>
                <w:bCs w:val="0"/>
                <w:color w:val="000000"/>
                <w:kern w:val="2"/>
                <w:sz w:val="28"/>
                <w:szCs w:val="28"/>
                <w:lang w:val="en-US" w:eastAsia="zh-CN" w:bidi="ar-SA"/>
              </w:rPr>
              <w:t>-</w:t>
            </w:r>
            <w:r>
              <w:rPr>
                <w:rFonts w:hint="default" w:ascii="Times New Roman" w:hAnsi="Times New Roman" w:eastAsia="仿宋_GB2312" w:cs="Times New Roman"/>
                <w:b w:val="0"/>
                <w:bCs w:val="0"/>
                <w:color w:val="000000"/>
                <w:kern w:val="2"/>
                <w:sz w:val="28"/>
                <w:szCs w:val="28"/>
                <w:lang w:val="en-US" w:eastAsia="zh-CN" w:bidi="ar-SA"/>
              </w:rPr>
              <w:t>2015食品安全国家标准（糕点、面包）</w:t>
            </w:r>
          </w:p>
        </w:tc>
      </w:tr>
    </w:tbl>
    <w:p w14:paraId="3C7F185D">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outlineLvl w:val="9"/>
        <w:rPr>
          <w:rFonts w:hint="eastAsia" w:ascii="仿宋_GB2312" w:hAnsi="仿宋_GB2312" w:eastAsia="仿宋_GB2312" w:cs="仿宋_GB2312"/>
          <w:b w:val="0"/>
          <w:bCs w:val="0"/>
          <w:color w:val="000000"/>
          <w:spacing w:val="0"/>
          <w:kern w:val="2"/>
          <w:sz w:val="32"/>
          <w:szCs w:val="32"/>
          <w:highlight w:val="none"/>
          <w:u w:val="none" w:color="auto"/>
          <w:shd w:val="clear" w:color="auto" w:fill="auto"/>
          <w:lang w:val="en-US" w:eastAsia="zh-CN" w:bidi="ar-SA"/>
        </w:rPr>
      </w:pPr>
      <w:r>
        <w:rPr>
          <w:rFonts w:hint="eastAsia" w:ascii="仿宋_GB2312" w:hAnsi="仿宋_GB2312" w:eastAsia="仿宋_GB2312" w:cs="仿宋_GB2312"/>
          <w:b w:val="0"/>
          <w:bCs w:val="0"/>
          <w:color w:val="000000"/>
          <w:spacing w:val="0"/>
          <w:kern w:val="2"/>
          <w:sz w:val="32"/>
          <w:szCs w:val="32"/>
          <w:highlight w:val="none"/>
          <w:u w:val="none" w:color="auto"/>
          <w:shd w:val="clear" w:color="auto" w:fill="auto"/>
          <w:lang w:val="en-US" w:eastAsia="zh-CN" w:bidi="ar-SA"/>
        </w:rPr>
        <w:t>备注：1、上述标准实行过程中如国家发布新的标准，则按照新标准执行。</w:t>
      </w:r>
    </w:p>
    <w:p w14:paraId="43BB6EEE">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1600" w:firstLineChars="500"/>
        <w:textAlignment w:val="auto"/>
        <w:outlineLvl w:val="9"/>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b w:val="0"/>
          <w:bCs w:val="0"/>
          <w:color w:val="000000"/>
          <w:spacing w:val="0"/>
          <w:kern w:val="2"/>
          <w:sz w:val="32"/>
          <w:szCs w:val="32"/>
          <w:highlight w:val="none"/>
          <w:u w:val="none" w:color="auto"/>
          <w:shd w:val="clear" w:color="auto" w:fill="auto"/>
          <w:lang w:val="en-US" w:eastAsia="zh-CN" w:bidi="ar-SA"/>
        </w:rPr>
        <w:t>2、上述标准为最低标准和要求，合同双方方可在高于上述标准之上进行合同约定并明确标注。</w:t>
      </w:r>
    </w:p>
    <w:p w14:paraId="7386D64C">
      <w:pPr>
        <w:pStyle w:val="26"/>
        <w:rPr>
          <w:rFonts w:hint="eastAsia"/>
        </w:rPr>
      </w:pPr>
    </w:p>
    <w:sectPr>
      <w:footerReference r:id="rId14" w:type="default"/>
      <w:pgSz w:w="11906" w:h="16838"/>
      <w:pgMar w:top="2098" w:right="1474" w:bottom="1984" w:left="1587" w:header="851" w:footer="1531"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微软雅黑 Light">
    <w:panose1 w:val="020B0502040204020203"/>
    <w:charset w:val="86"/>
    <w:family w:val="swiss"/>
    <w:pitch w:val="default"/>
    <w:sig w:usb0="80000287" w:usb1="2ACF001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4F3A7">
    <w:pPr>
      <w:pStyle w:val="20"/>
      <w:ind w:right="360" w:firstLine="360"/>
      <w:jc w:val="right"/>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929052">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A929052">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D325D">
    <w:pPr>
      <w:pStyle w:val="2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D11279">
                          <w:pPr>
                            <w:pStyle w:val="20"/>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49D11279">
                    <w:pPr>
                      <w:pStyle w:val="20"/>
                    </w:pPr>
                    <w:r>
                      <w:fldChar w:fldCharType="begin"/>
                    </w:r>
                    <w:r>
                      <w:instrText xml:space="preserve"> PAGE  \* MERGEFORMAT </w:instrText>
                    </w:r>
                    <w:r>
                      <w:fldChar w:fldCharType="separate"/>
                    </w:r>
                    <w:r>
                      <w:t>25</w:t>
                    </w:r>
                    <w:r>
                      <w:fldChar w:fldCharType="end"/>
                    </w:r>
                  </w:p>
                </w:txbxContent>
              </v:textbox>
            </v:shape>
          </w:pict>
        </mc:Fallback>
      </mc:AlternateContent>
    </w:r>
  </w:p>
  <w:p w14:paraId="02A643D0">
    <w:pPr>
      <w:pStyle w:val="20"/>
      <w:ind w:right="360"/>
      <w:jc w:val="right"/>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43B04">
    <w:pPr>
      <w:pStyle w:val="20"/>
      <w:framePr w:wrap="around" w:vAnchor="text" w:hAnchor="margin" w:xAlign="center" w:y="1"/>
      <w:rPr>
        <w:rStyle w:val="41"/>
      </w:rPr>
    </w:pPr>
    <w:r>
      <w:fldChar w:fldCharType="begin"/>
    </w:r>
    <w:r>
      <w:rPr>
        <w:rStyle w:val="41"/>
      </w:rPr>
      <w:instrText xml:space="preserve">PAGE  </w:instrText>
    </w:r>
    <w:r>
      <w:fldChar w:fldCharType="end"/>
    </w:r>
  </w:p>
  <w:p w14:paraId="10ED3D6D">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80443">
    <w:pPr>
      <w:spacing w:line="230" w:lineRule="auto"/>
      <w:ind w:left="6896"/>
      <w:rPr>
        <w:rFonts w:ascii="宋体" w:hAnsi="宋体" w:eastAsia="宋体" w:cs="宋体"/>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61A848">
                          <w:pPr>
                            <w:pStyle w:val="20"/>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361A848">
                    <w:pPr>
                      <w:pStyle w:val="20"/>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D687B">
    <w:pPr>
      <w:spacing w:line="230" w:lineRule="auto"/>
      <w:ind w:left="4901"/>
      <w:rPr>
        <w:rFonts w:ascii="宋体" w:hAnsi="宋体" w:eastAsia="宋体" w:cs="宋体"/>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F9003B">
                          <w:pPr>
                            <w:pStyle w:val="20"/>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16F9003B">
                    <w:pPr>
                      <w:pStyle w:val="20"/>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D9A0E">
    <w:pPr>
      <w:widowControl w:val="0"/>
      <w:spacing w:line="187" w:lineRule="auto"/>
      <w:jc w:val="both"/>
      <w:rPr>
        <w:rFonts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78564E">
                          <w:pPr>
                            <w:pStyle w:val="20"/>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678564E">
                    <w:pPr>
                      <w:pStyle w:val="20"/>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6F662">
    <w:pPr>
      <w:widowControl w:val="0"/>
      <w:spacing w:line="189" w:lineRule="auto"/>
      <w:ind w:left="4124"/>
      <w:jc w:val="both"/>
      <w:rPr>
        <w:rFonts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5CC097">
                          <w:pPr>
                            <w:pStyle w:val="20"/>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765CC097">
                    <w:pPr>
                      <w:pStyle w:val="20"/>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434B3">
    <w:pPr>
      <w:pStyle w:val="20"/>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BD6F0E">
                          <w:pPr>
                            <w:pStyle w:val="20"/>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3CBD6F0E">
                    <w:pPr>
                      <w:pStyle w:val="20"/>
                    </w:pPr>
                    <w:r>
                      <w:fldChar w:fldCharType="begin"/>
                    </w:r>
                    <w:r>
                      <w:instrText xml:space="preserve"> PAGE  \* MERGEFORMAT </w:instrText>
                    </w:r>
                    <w:r>
                      <w:fldChar w:fldCharType="separate"/>
                    </w:r>
                    <w:r>
                      <w:t>74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18CE4">
    <w:pPr>
      <w:pStyle w:val="2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614A0">
    <w:pPr>
      <w:pStyle w:val="2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0E945">
    <w:pPr>
      <w:pStyle w:val="2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E14EB">
    <w:pPr>
      <w:pStyle w:val="21"/>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5064DC"/>
    <w:multiLevelType w:val="singleLevel"/>
    <w:tmpl w:val="965064DC"/>
    <w:lvl w:ilvl="0" w:tentative="0">
      <w:start w:val="2"/>
      <w:numFmt w:val="decimal"/>
      <w:suff w:val="nothing"/>
      <w:lvlText w:val="%1、"/>
      <w:lvlJc w:val="left"/>
    </w:lvl>
  </w:abstractNum>
  <w:abstractNum w:abstractNumId="1">
    <w:nsid w:val="C8F51FA3"/>
    <w:multiLevelType w:val="singleLevel"/>
    <w:tmpl w:val="C8F51FA3"/>
    <w:lvl w:ilvl="0" w:tentative="0">
      <w:start w:val="1"/>
      <w:numFmt w:val="decimal"/>
      <w:suff w:val="nothing"/>
      <w:lvlText w:val="%1、"/>
      <w:lvlJc w:val="left"/>
    </w:lvl>
  </w:abstractNum>
  <w:abstractNum w:abstractNumId="2">
    <w:nsid w:val="C91B97A7"/>
    <w:multiLevelType w:val="singleLevel"/>
    <w:tmpl w:val="C91B97A7"/>
    <w:lvl w:ilvl="0" w:tentative="0">
      <w:start w:val="5"/>
      <w:numFmt w:val="chineseCounting"/>
      <w:suff w:val="space"/>
      <w:lvlText w:val="第%1章"/>
      <w:lvlJc w:val="left"/>
      <w:rPr>
        <w:rFonts w:hint="eastAsia"/>
      </w:rPr>
    </w:lvl>
  </w:abstractNum>
  <w:abstractNum w:abstractNumId="3">
    <w:nsid w:val="F9DB6DD1"/>
    <w:multiLevelType w:val="singleLevel"/>
    <w:tmpl w:val="F9DB6DD1"/>
    <w:lvl w:ilvl="0" w:tentative="0">
      <w:start w:val="1"/>
      <w:numFmt w:val="chineseCounting"/>
      <w:suff w:val="nothing"/>
      <w:lvlText w:val="（%1）"/>
      <w:lvlJc w:val="left"/>
      <w:rPr>
        <w:rFonts w:hint="eastAsia"/>
      </w:rPr>
    </w:lvl>
  </w:abstractNum>
  <w:abstractNum w:abstractNumId="4">
    <w:nsid w:val="FDFE504F"/>
    <w:multiLevelType w:val="singleLevel"/>
    <w:tmpl w:val="FDFE504F"/>
    <w:lvl w:ilvl="0" w:tentative="0">
      <w:start w:val="1"/>
      <w:numFmt w:val="decimal"/>
      <w:pStyle w:val="25"/>
      <w:lvlText w:val="%1."/>
      <w:lvlJc w:val="left"/>
      <w:pPr>
        <w:tabs>
          <w:tab w:val="left" w:pos="2040"/>
        </w:tabs>
        <w:ind w:left="2040" w:hanging="360"/>
      </w:pPr>
    </w:lvl>
  </w:abstractNum>
  <w:abstractNum w:abstractNumId="5">
    <w:nsid w:val="0FF9642E"/>
    <w:multiLevelType w:val="multilevel"/>
    <w:tmpl w:val="0FF9642E"/>
    <w:lvl w:ilvl="0" w:tentative="0">
      <w:start w:val="1"/>
      <w:numFmt w:val="decimal"/>
      <w:lvlText w:val="第%1章"/>
      <w:lvlJc w:val="left"/>
      <w:pPr>
        <w:tabs>
          <w:tab w:val="left" w:pos="3134"/>
        </w:tabs>
        <w:ind w:left="3134" w:hanging="1290"/>
      </w:pPr>
      <w:rPr>
        <w:rFonts w:hint="default"/>
        <w:b/>
        <w:lang w:val="en-US"/>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6">
    <w:nsid w:val="25E9131D"/>
    <w:multiLevelType w:val="multilevel"/>
    <w:tmpl w:val="25E9131D"/>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7">
    <w:nsid w:val="26D7FAE7"/>
    <w:multiLevelType w:val="singleLevel"/>
    <w:tmpl w:val="26D7FAE7"/>
    <w:lvl w:ilvl="0" w:tentative="0">
      <w:start w:val="1"/>
      <w:numFmt w:val="decimal"/>
      <w:suff w:val="nothing"/>
      <w:lvlText w:val="（%1）"/>
      <w:lvlJc w:val="left"/>
    </w:lvl>
  </w:abstractNum>
  <w:abstractNum w:abstractNumId="8">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80"/>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9">
    <w:nsid w:val="48BDD3DD"/>
    <w:multiLevelType w:val="singleLevel"/>
    <w:tmpl w:val="48BDD3DD"/>
    <w:lvl w:ilvl="0" w:tentative="0">
      <w:start w:val="8"/>
      <w:numFmt w:val="decimal"/>
      <w:lvlText w:val="%1."/>
      <w:lvlJc w:val="left"/>
      <w:pPr>
        <w:tabs>
          <w:tab w:val="left" w:pos="312"/>
        </w:tabs>
      </w:pPr>
    </w:lvl>
  </w:abstractNum>
  <w:abstractNum w:abstractNumId="10">
    <w:nsid w:val="52FD7323"/>
    <w:multiLevelType w:val="multilevel"/>
    <w:tmpl w:val="52FD7323"/>
    <w:lvl w:ilvl="0" w:tentative="0">
      <w:start w:val="1"/>
      <w:numFmt w:val="decimal"/>
      <w:lvlText w:val="%1."/>
      <w:lvlJc w:val="left"/>
      <w:pPr>
        <w:ind w:left="205" w:hanging="322"/>
      </w:pPr>
      <w:rPr>
        <w:rFonts w:hint="default" w:ascii="仿宋" w:hAnsi="仿宋" w:eastAsia="仿宋" w:cs="仿宋"/>
        <w:spacing w:val="-46"/>
        <w:w w:val="99"/>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6E4770E"/>
    <w:multiLevelType w:val="multilevel"/>
    <w:tmpl w:val="66E4770E"/>
    <w:lvl w:ilvl="0" w:tentative="0">
      <w:start w:val="1"/>
      <w:numFmt w:val="decimal"/>
      <w:lvlText w:val="第%1章"/>
      <w:lvlJc w:val="left"/>
      <w:pPr>
        <w:tabs>
          <w:tab w:val="left" w:pos="1680"/>
        </w:tabs>
        <w:ind w:left="1680" w:hanging="114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num w:numId="1">
    <w:abstractNumId w:val="4"/>
  </w:num>
  <w:num w:numId="2">
    <w:abstractNumId w:val="8"/>
  </w:num>
  <w:num w:numId="3">
    <w:abstractNumId w:val="5"/>
  </w:num>
  <w:num w:numId="4">
    <w:abstractNumId w:val="6"/>
  </w:num>
  <w:num w:numId="5">
    <w:abstractNumId w:val="11"/>
  </w:num>
  <w:num w:numId="6">
    <w:abstractNumId w:val="7"/>
  </w:num>
  <w:num w:numId="7">
    <w:abstractNumId w:val="10"/>
  </w:num>
  <w:num w:numId="8">
    <w:abstractNumId w:val="2"/>
  </w:num>
  <w:num w:numId="9">
    <w:abstractNumId w:val="9"/>
  </w:num>
  <w:num w:numId="10">
    <w:abstractNumId w:val="0"/>
  </w:num>
  <w:num w:numId="11">
    <w:abstractNumId w:val="1"/>
  </w:num>
  <w:num w:numId="12">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oisini">
    <w15:presenceInfo w15:providerId="None" w15:userId="Coisi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MWNjZjJmMTE5YTA0MDY0MDU5M2ZlNmM1YjlmYzcyNWEifQ=="/>
    <w:docVar w:name="VTCASE" w:val="4"/>
    <w:docVar w:name="VTCommandPending" w:val="NONE"/>
  </w:docVars>
  <w:rsids>
    <w:rsidRoot w:val="00887D93"/>
    <w:rsid w:val="000004CD"/>
    <w:rsid w:val="00001783"/>
    <w:rsid w:val="00001797"/>
    <w:rsid w:val="0000273B"/>
    <w:rsid w:val="000041A8"/>
    <w:rsid w:val="000055D7"/>
    <w:rsid w:val="0001529F"/>
    <w:rsid w:val="000157E2"/>
    <w:rsid w:val="000163A2"/>
    <w:rsid w:val="0001697A"/>
    <w:rsid w:val="000169E1"/>
    <w:rsid w:val="00020D78"/>
    <w:rsid w:val="00021486"/>
    <w:rsid w:val="00021AE8"/>
    <w:rsid w:val="00021B97"/>
    <w:rsid w:val="00022E94"/>
    <w:rsid w:val="000313B5"/>
    <w:rsid w:val="00032B95"/>
    <w:rsid w:val="000333A8"/>
    <w:rsid w:val="000434F9"/>
    <w:rsid w:val="00043533"/>
    <w:rsid w:val="00045D67"/>
    <w:rsid w:val="0004677C"/>
    <w:rsid w:val="000538CC"/>
    <w:rsid w:val="000541C7"/>
    <w:rsid w:val="00054A8E"/>
    <w:rsid w:val="00055A71"/>
    <w:rsid w:val="00056583"/>
    <w:rsid w:val="00056932"/>
    <w:rsid w:val="00057BB2"/>
    <w:rsid w:val="0006019D"/>
    <w:rsid w:val="000612B3"/>
    <w:rsid w:val="00061B68"/>
    <w:rsid w:val="00063750"/>
    <w:rsid w:val="00065379"/>
    <w:rsid w:val="000673C5"/>
    <w:rsid w:val="00070907"/>
    <w:rsid w:val="000719AB"/>
    <w:rsid w:val="00073852"/>
    <w:rsid w:val="00076670"/>
    <w:rsid w:val="00080B56"/>
    <w:rsid w:val="00080FC7"/>
    <w:rsid w:val="00081D11"/>
    <w:rsid w:val="00083115"/>
    <w:rsid w:val="00085979"/>
    <w:rsid w:val="00087E37"/>
    <w:rsid w:val="000903E8"/>
    <w:rsid w:val="00093645"/>
    <w:rsid w:val="00096150"/>
    <w:rsid w:val="00096F54"/>
    <w:rsid w:val="000A26B4"/>
    <w:rsid w:val="000A31C4"/>
    <w:rsid w:val="000A3727"/>
    <w:rsid w:val="000A49C1"/>
    <w:rsid w:val="000A799B"/>
    <w:rsid w:val="000B12A5"/>
    <w:rsid w:val="000B3242"/>
    <w:rsid w:val="000B3392"/>
    <w:rsid w:val="000B362F"/>
    <w:rsid w:val="000B366A"/>
    <w:rsid w:val="000B6C50"/>
    <w:rsid w:val="000C0FDF"/>
    <w:rsid w:val="000C15AF"/>
    <w:rsid w:val="000C3524"/>
    <w:rsid w:val="000C5071"/>
    <w:rsid w:val="000C55ED"/>
    <w:rsid w:val="000C6F86"/>
    <w:rsid w:val="000D10E4"/>
    <w:rsid w:val="000D1613"/>
    <w:rsid w:val="000D19C1"/>
    <w:rsid w:val="000D4E69"/>
    <w:rsid w:val="000D5125"/>
    <w:rsid w:val="000D7812"/>
    <w:rsid w:val="000E1288"/>
    <w:rsid w:val="000E3784"/>
    <w:rsid w:val="000E37E0"/>
    <w:rsid w:val="000E47A0"/>
    <w:rsid w:val="000E597F"/>
    <w:rsid w:val="000E5BFC"/>
    <w:rsid w:val="000E694F"/>
    <w:rsid w:val="000E7158"/>
    <w:rsid w:val="000E74D4"/>
    <w:rsid w:val="000F2D05"/>
    <w:rsid w:val="000F2EEE"/>
    <w:rsid w:val="000F4234"/>
    <w:rsid w:val="000F6215"/>
    <w:rsid w:val="000F63C8"/>
    <w:rsid w:val="000F6581"/>
    <w:rsid w:val="00102417"/>
    <w:rsid w:val="0010274A"/>
    <w:rsid w:val="001032CC"/>
    <w:rsid w:val="00105B0B"/>
    <w:rsid w:val="0011024E"/>
    <w:rsid w:val="00112163"/>
    <w:rsid w:val="00114579"/>
    <w:rsid w:val="00115BF1"/>
    <w:rsid w:val="0012032C"/>
    <w:rsid w:val="0012244B"/>
    <w:rsid w:val="001224B5"/>
    <w:rsid w:val="00122643"/>
    <w:rsid w:val="001241FA"/>
    <w:rsid w:val="0012425B"/>
    <w:rsid w:val="001244F8"/>
    <w:rsid w:val="001247F0"/>
    <w:rsid w:val="001252D8"/>
    <w:rsid w:val="001257D4"/>
    <w:rsid w:val="00131E0D"/>
    <w:rsid w:val="00132AF9"/>
    <w:rsid w:val="001330A1"/>
    <w:rsid w:val="0013359E"/>
    <w:rsid w:val="00137694"/>
    <w:rsid w:val="00141EAC"/>
    <w:rsid w:val="00143652"/>
    <w:rsid w:val="0014627C"/>
    <w:rsid w:val="0015142E"/>
    <w:rsid w:val="00157C74"/>
    <w:rsid w:val="00157D8E"/>
    <w:rsid w:val="00161678"/>
    <w:rsid w:val="00161D71"/>
    <w:rsid w:val="00162805"/>
    <w:rsid w:val="00165014"/>
    <w:rsid w:val="0017180F"/>
    <w:rsid w:val="001733C3"/>
    <w:rsid w:val="00173BFF"/>
    <w:rsid w:val="00174749"/>
    <w:rsid w:val="00174FCA"/>
    <w:rsid w:val="00175AFB"/>
    <w:rsid w:val="00176F12"/>
    <w:rsid w:val="001770BE"/>
    <w:rsid w:val="00177A3E"/>
    <w:rsid w:val="0018299C"/>
    <w:rsid w:val="00183E4B"/>
    <w:rsid w:val="00187B13"/>
    <w:rsid w:val="00187EB4"/>
    <w:rsid w:val="0019618B"/>
    <w:rsid w:val="00196FA0"/>
    <w:rsid w:val="001A3B44"/>
    <w:rsid w:val="001A4571"/>
    <w:rsid w:val="001A5EEB"/>
    <w:rsid w:val="001A62A5"/>
    <w:rsid w:val="001B02DB"/>
    <w:rsid w:val="001B4216"/>
    <w:rsid w:val="001B49A4"/>
    <w:rsid w:val="001B521B"/>
    <w:rsid w:val="001B5CC8"/>
    <w:rsid w:val="001B6587"/>
    <w:rsid w:val="001C0582"/>
    <w:rsid w:val="001C058D"/>
    <w:rsid w:val="001C24DD"/>
    <w:rsid w:val="001C54C3"/>
    <w:rsid w:val="001C577E"/>
    <w:rsid w:val="001D027D"/>
    <w:rsid w:val="001D22EB"/>
    <w:rsid w:val="001D4A1E"/>
    <w:rsid w:val="001D70E9"/>
    <w:rsid w:val="001E09CF"/>
    <w:rsid w:val="001E181E"/>
    <w:rsid w:val="001E1DCD"/>
    <w:rsid w:val="001E2ED9"/>
    <w:rsid w:val="001E4481"/>
    <w:rsid w:val="001E44EF"/>
    <w:rsid w:val="001E6C1A"/>
    <w:rsid w:val="001E7629"/>
    <w:rsid w:val="001E7846"/>
    <w:rsid w:val="001E7E8B"/>
    <w:rsid w:val="001F2F0B"/>
    <w:rsid w:val="001F3130"/>
    <w:rsid w:val="001F5903"/>
    <w:rsid w:val="001F7292"/>
    <w:rsid w:val="002001DC"/>
    <w:rsid w:val="002032B0"/>
    <w:rsid w:val="00203778"/>
    <w:rsid w:val="0020407A"/>
    <w:rsid w:val="00210AE7"/>
    <w:rsid w:val="002123C7"/>
    <w:rsid w:val="002124BD"/>
    <w:rsid w:val="00213411"/>
    <w:rsid w:val="00213592"/>
    <w:rsid w:val="00216D4F"/>
    <w:rsid w:val="00216E43"/>
    <w:rsid w:val="00220866"/>
    <w:rsid w:val="00220B09"/>
    <w:rsid w:val="002231A4"/>
    <w:rsid w:val="00223245"/>
    <w:rsid w:val="00224447"/>
    <w:rsid w:val="00224A77"/>
    <w:rsid w:val="0022671D"/>
    <w:rsid w:val="0023090E"/>
    <w:rsid w:val="00231C64"/>
    <w:rsid w:val="00232C22"/>
    <w:rsid w:val="0023318A"/>
    <w:rsid w:val="00236A9B"/>
    <w:rsid w:val="0023715B"/>
    <w:rsid w:val="00237592"/>
    <w:rsid w:val="00244A0E"/>
    <w:rsid w:val="00244F73"/>
    <w:rsid w:val="002501BB"/>
    <w:rsid w:val="002509CA"/>
    <w:rsid w:val="00250A0D"/>
    <w:rsid w:val="00250C1D"/>
    <w:rsid w:val="00251A29"/>
    <w:rsid w:val="00251B89"/>
    <w:rsid w:val="00253615"/>
    <w:rsid w:val="00253950"/>
    <w:rsid w:val="00254F7E"/>
    <w:rsid w:val="0025569E"/>
    <w:rsid w:val="002564FE"/>
    <w:rsid w:val="002603EB"/>
    <w:rsid w:val="00261FEB"/>
    <w:rsid w:val="00264327"/>
    <w:rsid w:val="002650F1"/>
    <w:rsid w:val="00266403"/>
    <w:rsid w:val="00266406"/>
    <w:rsid w:val="002679CA"/>
    <w:rsid w:val="00272722"/>
    <w:rsid w:val="002745E7"/>
    <w:rsid w:val="002760AC"/>
    <w:rsid w:val="00277935"/>
    <w:rsid w:val="00277E8E"/>
    <w:rsid w:val="00280DD6"/>
    <w:rsid w:val="00282496"/>
    <w:rsid w:val="00283033"/>
    <w:rsid w:val="002854DC"/>
    <w:rsid w:val="00285935"/>
    <w:rsid w:val="0028616B"/>
    <w:rsid w:val="00290CDE"/>
    <w:rsid w:val="00290DE2"/>
    <w:rsid w:val="002959CC"/>
    <w:rsid w:val="002A0C27"/>
    <w:rsid w:val="002A2315"/>
    <w:rsid w:val="002A2732"/>
    <w:rsid w:val="002A3153"/>
    <w:rsid w:val="002A6C9C"/>
    <w:rsid w:val="002B06D1"/>
    <w:rsid w:val="002C10AC"/>
    <w:rsid w:val="002C2AE8"/>
    <w:rsid w:val="002C2FF3"/>
    <w:rsid w:val="002C3A5A"/>
    <w:rsid w:val="002C4ABE"/>
    <w:rsid w:val="002C71EC"/>
    <w:rsid w:val="002C7548"/>
    <w:rsid w:val="002C780B"/>
    <w:rsid w:val="002C7E47"/>
    <w:rsid w:val="002D2C13"/>
    <w:rsid w:val="002D2FFB"/>
    <w:rsid w:val="002D3FD0"/>
    <w:rsid w:val="002D4E0A"/>
    <w:rsid w:val="002D4E16"/>
    <w:rsid w:val="002D505C"/>
    <w:rsid w:val="002D5DF8"/>
    <w:rsid w:val="002E334D"/>
    <w:rsid w:val="002E486A"/>
    <w:rsid w:val="002E53C0"/>
    <w:rsid w:val="002E766C"/>
    <w:rsid w:val="002F02C8"/>
    <w:rsid w:val="002F0A07"/>
    <w:rsid w:val="002F2D5F"/>
    <w:rsid w:val="002F46DC"/>
    <w:rsid w:val="002F5145"/>
    <w:rsid w:val="002F5CB9"/>
    <w:rsid w:val="002F5E9B"/>
    <w:rsid w:val="002F683C"/>
    <w:rsid w:val="00310C52"/>
    <w:rsid w:val="0031140B"/>
    <w:rsid w:val="00314E3D"/>
    <w:rsid w:val="00317120"/>
    <w:rsid w:val="003171BB"/>
    <w:rsid w:val="0032100C"/>
    <w:rsid w:val="003212C2"/>
    <w:rsid w:val="00321921"/>
    <w:rsid w:val="00321926"/>
    <w:rsid w:val="00327707"/>
    <w:rsid w:val="0033060D"/>
    <w:rsid w:val="003318F3"/>
    <w:rsid w:val="00331ECA"/>
    <w:rsid w:val="00333919"/>
    <w:rsid w:val="00334F3E"/>
    <w:rsid w:val="003379AF"/>
    <w:rsid w:val="00337C5C"/>
    <w:rsid w:val="00343E4C"/>
    <w:rsid w:val="003528B8"/>
    <w:rsid w:val="00352BC8"/>
    <w:rsid w:val="00355D82"/>
    <w:rsid w:val="00356CAF"/>
    <w:rsid w:val="003612A6"/>
    <w:rsid w:val="003665E5"/>
    <w:rsid w:val="003671F3"/>
    <w:rsid w:val="00367712"/>
    <w:rsid w:val="00367C88"/>
    <w:rsid w:val="00367DB2"/>
    <w:rsid w:val="00370B19"/>
    <w:rsid w:val="00371C8C"/>
    <w:rsid w:val="00373408"/>
    <w:rsid w:val="003748EB"/>
    <w:rsid w:val="00375DCD"/>
    <w:rsid w:val="00376F36"/>
    <w:rsid w:val="00377EA8"/>
    <w:rsid w:val="003800A6"/>
    <w:rsid w:val="0038151E"/>
    <w:rsid w:val="00382FFA"/>
    <w:rsid w:val="00383B0A"/>
    <w:rsid w:val="0038491D"/>
    <w:rsid w:val="00387606"/>
    <w:rsid w:val="00391DD2"/>
    <w:rsid w:val="003925E1"/>
    <w:rsid w:val="00393D74"/>
    <w:rsid w:val="003943A7"/>
    <w:rsid w:val="00396A66"/>
    <w:rsid w:val="003A0E06"/>
    <w:rsid w:val="003A1A69"/>
    <w:rsid w:val="003A37B8"/>
    <w:rsid w:val="003A582F"/>
    <w:rsid w:val="003A6B72"/>
    <w:rsid w:val="003B020F"/>
    <w:rsid w:val="003B3917"/>
    <w:rsid w:val="003B41D9"/>
    <w:rsid w:val="003B4356"/>
    <w:rsid w:val="003B5422"/>
    <w:rsid w:val="003B5BAD"/>
    <w:rsid w:val="003B7293"/>
    <w:rsid w:val="003B7D7E"/>
    <w:rsid w:val="003C0EF3"/>
    <w:rsid w:val="003C43D4"/>
    <w:rsid w:val="003C53B2"/>
    <w:rsid w:val="003C6422"/>
    <w:rsid w:val="003C6C9A"/>
    <w:rsid w:val="003D6961"/>
    <w:rsid w:val="003E2C77"/>
    <w:rsid w:val="003E2C89"/>
    <w:rsid w:val="003E3C14"/>
    <w:rsid w:val="003E6516"/>
    <w:rsid w:val="003E747A"/>
    <w:rsid w:val="003F0149"/>
    <w:rsid w:val="003F11BD"/>
    <w:rsid w:val="003F4550"/>
    <w:rsid w:val="003F4748"/>
    <w:rsid w:val="003F61AC"/>
    <w:rsid w:val="00401267"/>
    <w:rsid w:val="00401B70"/>
    <w:rsid w:val="00402836"/>
    <w:rsid w:val="0040298F"/>
    <w:rsid w:val="0040367C"/>
    <w:rsid w:val="00404B23"/>
    <w:rsid w:val="00405154"/>
    <w:rsid w:val="004109B8"/>
    <w:rsid w:val="0041238C"/>
    <w:rsid w:val="00412829"/>
    <w:rsid w:val="0041314E"/>
    <w:rsid w:val="00414EDB"/>
    <w:rsid w:val="004164DF"/>
    <w:rsid w:val="0042141B"/>
    <w:rsid w:val="00425FB2"/>
    <w:rsid w:val="004261AF"/>
    <w:rsid w:val="00426BB0"/>
    <w:rsid w:val="00427182"/>
    <w:rsid w:val="00433EEA"/>
    <w:rsid w:val="004408B0"/>
    <w:rsid w:val="004408EE"/>
    <w:rsid w:val="00441C7F"/>
    <w:rsid w:val="00441E5E"/>
    <w:rsid w:val="0044524F"/>
    <w:rsid w:val="0044654E"/>
    <w:rsid w:val="004504F2"/>
    <w:rsid w:val="00450C1F"/>
    <w:rsid w:val="004530F6"/>
    <w:rsid w:val="00455240"/>
    <w:rsid w:val="0045705D"/>
    <w:rsid w:val="00457AEF"/>
    <w:rsid w:val="0046046C"/>
    <w:rsid w:val="004663F3"/>
    <w:rsid w:val="00467553"/>
    <w:rsid w:val="00471F78"/>
    <w:rsid w:val="00473B94"/>
    <w:rsid w:val="00473DC2"/>
    <w:rsid w:val="0047556E"/>
    <w:rsid w:val="00475991"/>
    <w:rsid w:val="00475B13"/>
    <w:rsid w:val="00480D8D"/>
    <w:rsid w:val="004814E5"/>
    <w:rsid w:val="004827CD"/>
    <w:rsid w:val="00484641"/>
    <w:rsid w:val="004846F8"/>
    <w:rsid w:val="00485EFC"/>
    <w:rsid w:val="00490A94"/>
    <w:rsid w:val="004911E4"/>
    <w:rsid w:val="004912F4"/>
    <w:rsid w:val="004922BC"/>
    <w:rsid w:val="00492CE8"/>
    <w:rsid w:val="00493558"/>
    <w:rsid w:val="00493EC9"/>
    <w:rsid w:val="00494ECE"/>
    <w:rsid w:val="00495251"/>
    <w:rsid w:val="00495B0C"/>
    <w:rsid w:val="004963A5"/>
    <w:rsid w:val="004A1759"/>
    <w:rsid w:val="004A2275"/>
    <w:rsid w:val="004A3872"/>
    <w:rsid w:val="004A3AC0"/>
    <w:rsid w:val="004A42D0"/>
    <w:rsid w:val="004A4ED0"/>
    <w:rsid w:val="004A6F61"/>
    <w:rsid w:val="004B0706"/>
    <w:rsid w:val="004B1241"/>
    <w:rsid w:val="004B22B1"/>
    <w:rsid w:val="004B46E5"/>
    <w:rsid w:val="004B6542"/>
    <w:rsid w:val="004B72A3"/>
    <w:rsid w:val="004B7C1B"/>
    <w:rsid w:val="004C1E33"/>
    <w:rsid w:val="004C4B9E"/>
    <w:rsid w:val="004C6870"/>
    <w:rsid w:val="004D29A3"/>
    <w:rsid w:val="004D4D48"/>
    <w:rsid w:val="004D5250"/>
    <w:rsid w:val="004D6AD9"/>
    <w:rsid w:val="004E0517"/>
    <w:rsid w:val="004E0C12"/>
    <w:rsid w:val="004E13F0"/>
    <w:rsid w:val="004E4854"/>
    <w:rsid w:val="004E5FCE"/>
    <w:rsid w:val="004F036B"/>
    <w:rsid w:val="004F052D"/>
    <w:rsid w:val="004F0E54"/>
    <w:rsid w:val="004F7B7E"/>
    <w:rsid w:val="00501785"/>
    <w:rsid w:val="00503724"/>
    <w:rsid w:val="00504E3C"/>
    <w:rsid w:val="0050638A"/>
    <w:rsid w:val="00507AD5"/>
    <w:rsid w:val="00513F7C"/>
    <w:rsid w:val="005149B8"/>
    <w:rsid w:val="005168FA"/>
    <w:rsid w:val="005175C0"/>
    <w:rsid w:val="00520001"/>
    <w:rsid w:val="00521717"/>
    <w:rsid w:val="0052391C"/>
    <w:rsid w:val="0052393A"/>
    <w:rsid w:val="00530C3F"/>
    <w:rsid w:val="00532B1D"/>
    <w:rsid w:val="00533524"/>
    <w:rsid w:val="00534347"/>
    <w:rsid w:val="00540C55"/>
    <w:rsid w:val="00542227"/>
    <w:rsid w:val="005422EB"/>
    <w:rsid w:val="00543C7C"/>
    <w:rsid w:val="0054426F"/>
    <w:rsid w:val="0054508F"/>
    <w:rsid w:val="00546F3A"/>
    <w:rsid w:val="0054747D"/>
    <w:rsid w:val="005475C6"/>
    <w:rsid w:val="00550C61"/>
    <w:rsid w:val="00552FBA"/>
    <w:rsid w:val="00554D9D"/>
    <w:rsid w:val="00555A82"/>
    <w:rsid w:val="00556C52"/>
    <w:rsid w:val="00556D2E"/>
    <w:rsid w:val="00557845"/>
    <w:rsid w:val="0056008C"/>
    <w:rsid w:val="00560502"/>
    <w:rsid w:val="00565444"/>
    <w:rsid w:val="00565632"/>
    <w:rsid w:val="00570A8A"/>
    <w:rsid w:val="00571BE1"/>
    <w:rsid w:val="0057268E"/>
    <w:rsid w:val="00573C95"/>
    <w:rsid w:val="005750B7"/>
    <w:rsid w:val="005806C7"/>
    <w:rsid w:val="00582CA5"/>
    <w:rsid w:val="00582FE9"/>
    <w:rsid w:val="0058511B"/>
    <w:rsid w:val="005852AF"/>
    <w:rsid w:val="00586FF5"/>
    <w:rsid w:val="00591732"/>
    <w:rsid w:val="005A0332"/>
    <w:rsid w:val="005A1737"/>
    <w:rsid w:val="005A1914"/>
    <w:rsid w:val="005A1D6F"/>
    <w:rsid w:val="005A378B"/>
    <w:rsid w:val="005A3804"/>
    <w:rsid w:val="005A40B3"/>
    <w:rsid w:val="005B1361"/>
    <w:rsid w:val="005B177D"/>
    <w:rsid w:val="005B3B4A"/>
    <w:rsid w:val="005B4C4C"/>
    <w:rsid w:val="005B7966"/>
    <w:rsid w:val="005C0341"/>
    <w:rsid w:val="005C3CDD"/>
    <w:rsid w:val="005D09A3"/>
    <w:rsid w:val="005D1758"/>
    <w:rsid w:val="005D2B33"/>
    <w:rsid w:val="005D4B36"/>
    <w:rsid w:val="005D5B37"/>
    <w:rsid w:val="005D6D35"/>
    <w:rsid w:val="005E1062"/>
    <w:rsid w:val="005E12BD"/>
    <w:rsid w:val="005E132E"/>
    <w:rsid w:val="005E1F41"/>
    <w:rsid w:val="005E305E"/>
    <w:rsid w:val="005E3ECC"/>
    <w:rsid w:val="005E53A4"/>
    <w:rsid w:val="005F1F63"/>
    <w:rsid w:val="005F22AB"/>
    <w:rsid w:val="005F324D"/>
    <w:rsid w:val="005F4C0F"/>
    <w:rsid w:val="006011F9"/>
    <w:rsid w:val="006016B0"/>
    <w:rsid w:val="00602247"/>
    <w:rsid w:val="006054AE"/>
    <w:rsid w:val="00606661"/>
    <w:rsid w:val="00612A91"/>
    <w:rsid w:val="00615BD4"/>
    <w:rsid w:val="006176D9"/>
    <w:rsid w:val="0062063C"/>
    <w:rsid w:val="00621EEA"/>
    <w:rsid w:val="00622049"/>
    <w:rsid w:val="006267AC"/>
    <w:rsid w:val="006275F8"/>
    <w:rsid w:val="00630C8F"/>
    <w:rsid w:val="0063126C"/>
    <w:rsid w:val="006321D9"/>
    <w:rsid w:val="00635ACD"/>
    <w:rsid w:val="00645F9B"/>
    <w:rsid w:val="006462F4"/>
    <w:rsid w:val="00646C7B"/>
    <w:rsid w:val="00653EEF"/>
    <w:rsid w:val="00656DB1"/>
    <w:rsid w:val="0065706C"/>
    <w:rsid w:val="006570F3"/>
    <w:rsid w:val="006574CA"/>
    <w:rsid w:val="0066222D"/>
    <w:rsid w:val="00663087"/>
    <w:rsid w:val="00663F27"/>
    <w:rsid w:val="00666E6E"/>
    <w:rsid w:val="00667926"/>
    <w:rsid w:val="00672A07"/>
    <w:rsid w:val="00672A3D"/>
    <w:rsid w:val="00673284"/>
    <w:rsid w:val="00673C56"/>
    <w:rsid w:val="00674E3C"/>
    <w:rsid w:val="006836D3"/>
    <w:rsid w:val="00684218"/>
    <w:rsid w:val="00684A17"/>
    <w:rsid w:val="0068548A"/>
    <w:rsid w:val="006867A0"/>
    <w:rsid w:val="00686ACA"/>
    <w:rsid w:val="006904AF"/>
    <w:rsid w:val="00695821"/>
    <w:rsid w:val="0069607D"/>
    <w:rsid w:val="006960C5"/>
    <w:rsid w:val="006A05F8"/>
    <w:rsid w:val="006A0897"/>
    <w:rsid w:val="006A1A11"/>
    <w:rsid w:val="006A27B1"/>
    <w:rsid w:val="006A2B95"/>
    <w:rsid w:val="006A331F"/>
    <w:rsid w:val="006A4246"/>
    <w:rsid w:val="006A56B9"/>
    <w:rsid w:val="006A64EB"/>
    <w:rsid w:val="006A7750"/>
    <w:rsid w:val="006A7FD4"/>
    <w:rsid w:val="006B0E91"/>
    <w:rsid w:val="006B1891"/>
    <w:rsid w:val="006B37AE"/>
    <w:rsid w:val="006B3C07"/>
    <w:rsid w:val="006B476E"/>
    <w:rsid w:val="006B7254"/>
    <w:rsid w:val="006B73B9"/>
    <w:rsid w:val="006C0F43"/>
    <w:rsid w:val="006C2D51"/>
    <w:rsid w:val="006C4083"/>
    <w:rsid w:val="006C4B81"/>
    <w:rsid w:val="006C517C"/>
    <w:rsid w:val="006C5CAA"/>
    <w:rsid w:val="006C6855"/>
    <w:rsid w:val="006C7F43"/>
    <w:rsid w:val="006D16F3"/>
    <w:rsid w:val="006D49E3"/>
    <w:rsid w:val="006D4C2C"/>
    <w:rsid w:val="006D62FF"/>
    <w:rsid w:val="006E019F"/>
    <w:rsid w:val="006E18C4"/>
    <w:rsid w:val="006E19BE"/>
    <w:rsid w:val="006E3E50"/>
    <w:rsid w:val="006E402A"/>
    <w:rsid w:val="006E525F"/>
    <w:rsid w:val="006E5987"/>
    <w:rsid w:val="006E6F2F"/>
    <w:rsid w:val="006E74F5"/>
    <w:rsid w:val="006E7DCA"/>
    <w:rsid w:val="006F03B7"/>
    <w:rsid w:val="006F2035"/>
    <w:rsid w:val="006F28EE"/>
    <w:rsid w:val="006F42C2"/>
    <w:rsid w:val="006F602A"/>
    <w:rsid w:val="006F7412"/>
    <w:rsid w:val="00704E65"/>
    <w:rsid w:val="0071025E"/>
    <w:rsid w:val="007105A5"/>
    <w:rsid w:val="00710B8D"/>
    <w:rsid w:val="00712CF9"/>
    <w:rsid w:val="00713024"/>
    <w:rsid w:val="00713EA1"/>
    <w:rsid w:val="00715D6B"/>
    <w:rsid w:val="00717645"/>
    <w:rsid w:val="00717F6B"/>
    <w:rsid w:val="007212F0"/>
    <w:rsid w:val="00722EC6"/>
    <w:rsid w:val="00723FF6"/>
    <w:rsid w:val="0072460B"/>
    <w:rsid w:val="00726876"/>
    <w:rsid w:val="007269B1"/>
    <w:rsid w:val="00730CF6"/>
    <w:rsid w:val="00730DF7"/>
    <w:rsid w:val="0073123A"/>
    <w:rsid w:val="007331F6"/>
    <w:rsid w:val="0073362F"/>
    <w:rsid w:val="00733A3E"/>
    <w:rsid w:val="00736B54"/>
    <w:rsid w:val="00737A32"/>
    <w:rsid w:val="00740605"/>
    <w:rsid w:val="00740FA5"/>
    <w:rsid w:val="007440A8"/>
    <w:rsid w:val="00747B97"/>
    <w:rsid w:val="00747DD4"/>
    <w:rsid w:val="00751820"/>
    <w:rsid w:val="0075194C"/>
    <w:rsid w:val="00751B7E"/>
    <w:rsid w:val="00752AB2"/>
    <w:rsid w:val="00754193"/>
    <w:rsid w:val="007556C8"/>
    <w:rsid w:val="00756FA1"/>
    <w:rsid w:val="007605DF"/>
    <w:rsid w:val="007614BE"/>
    <w:rsid w:val="0076244A"/>
    <w:rsid w:val="00762D9D"/>
    <w:rsid w:val="00763FD6"/>
    <w:rsid w:val="0076431D"/>
    <w:rsid w:val="00766DE9"/>
    <w:rsid w:val="007678A5"/>
    <w:rsid w:val="00770841"/>
    <w:rsid w:val="00771F67"/>
    <w:rsid w:val="00772012"/>
    <w:rsid w:val="0077418F"/>
    <w:rsid w:val="00774C01"/>
    <w:rsid w:val="007823C9"/>
    <w:rsid w:val="007835B7"/>
    <w:rsid w:val="007863E1"/>
    <w:rsid w:val="007910D3"/>
    <w:rsid w:val="0079336E"/>
    <w:rsid w:val="007A5BD0"/>
    <w:rsid w:val="007B4B46"/>
    <w:rsid w:val="007B5E5F"/>
    <w:rsid w:val="007B6CA0"/>
    <w:rsid w:val="007B6E35"/>
    <w:rsid w:val="007B6F71"/>
    <w:rsid w:val="007C06F8"/>
    <w:rsid w:val="007C1897"/>
    <w:rsid w:val="007C27E5"/>
    <w:rsid w:val="007C2E24"/>
    <w:rsid w:val="007C3F78"/>
    <w:rsid w:val="007C4B09"/>
    <w:rsid w:val="007C6167"/>
    <w:rsid w:val="007C6EB8"/>
    <w:rsid w:val="007C7809"/>
    <w:rsid w:val="007D13B9"/>
    <w:rsid w:val="007D2774"/>
    <w:rsid w:val="007D71F7"/>
    <w:rsid w:val="007E024C"/>
    <w:rsid w:val="007E160E"/>
    <w:rsid w:val="007E1BDD"/>
    <w:rsid w:val="007E1C35"/>
    <w:rsid w:val="007E700C"/>
    <w:rsid w:val="007E7388"/>
    <w:rsid w:val="007F1BAF"/>
    <w:rsid w:val="007F1F1C"/>
    <w:rsid w:val="007F2277"/>
    <w:rsid w:val="007F433C"/>
    <w:rsid w:val="007F4428"/>
    <w:rsid w:val="007F4A9B"/>
    <w:rsid w:val="008004B0"/>
    <w:rsid w:val="008045D9"/>
    <w:rsid w:val="00806C8A"/>
    <w:rsid w:val="0080702C"/>
    <w:rsid w:val="00807165"/>
    <w:rsid w:val="00812094"/>
    <w:rsid w:val="0081333B"/>
    <w:rsid w:val="008140D7"/>
    <w:rsid w:val="0081653B"/>
    <w:rsid w:val="00821DF6"/>
    <w:rsid w:val="00823CCC"/>
    <w:rsid w:val="00827179"/>
    <w:rsid w:val="0083029A"/>
    <w:rsid w:val="00830426"/>
    <w:rsid w:val="00830E02"/>
    <w:rsid w:val="00831C83"/>
    <w:rsid w:val="00831E0A"/>
    <w:rsid w:val="008343C4"/>
    <w:rsid w:val="00835847"/>
    <w:rsid w:val="00835C6F"/>
    <w:rsid w:val="00837429"/>
    <w:rsid w:val="0083745B"/>
    <w:rsid w:val="00840252"/>
    <w:rsid w:val="00840420"/>
    <w:rsid w:val="00842AED"/>
    <w:rsid w:val="00842DE3"/>
    <w:rsid w:val="00844F5E"/>
    <w:rsid w:val="00845626"/>
    <w:rsid w:val="00846701"/>
    <w:rsid w:val="0085232F"/>
    <w:rsid w:val="00854E2A"/>
    <w:rsid w:val="008550CD"/>
    <w:rsid w:val="00857E3A"/>
    <w:rsid w:val="00861135"/>
    <w:rsid w:val="0086131F"/>
    <w:rsid w:val="00864495"/>
    <w:rsid w:val="0086449D"/>
    <w:rsid w:val="008651BC"/>
    <w:rsid w:val="00867059"/>
    <w:rsid w:val="00867A5A"/>
    <w:rsid w:val="008711B1"/>
    <w:rsid w:val="00871FBA"/>
    <w:rsid w:val="00872119"/>
    <w:rsid w:val="008722FB"/>
    <w:rsid w:val="00877EA2"/>
    <w:rsid w:val="008808CA"/>
    <w:rsid w:val="00883C98"/>
    <w:rsid w:val="00887D93"/>
    <w:rsid w:val="00890912"/>
    <w:rsid w:val="00890D7D"/>
    <w:rsid w:val="008917B4"/>
    <w:rsid w:val="008933C7"/>
    <w:rsid w:val="008941B9"/>
    <w:rsid w:val="00894216"/>
    <w:rsid w:val="008959F9"/>
    <w:rsid w:val="00896786"/>
    <w:rsid w:val="00897413"/>
    <w:rsid w:val="008A118C"/>
    <w:rsid w:val="008A46DC"/>
    <w:rsid w:val="008A4806"/>
    <w:rsid w:val="008A4BF4"/>
    <w:rsid w:val="008A510D"/>
    <w:rsid w:val="008A5EDE"/>
    <w:rsid w:val="008A7A4E"/>
    <w:rsid w:val="008A7C4F"/>
    <w:rsid w:val="008B2FA8"/>
    <w:rsid w:val="008B3253"/>
    <w:rsid w:val="008B3F5C"/>
    <w:rsid w:val="008B4D42"/>
    <w:rsid w:val="008C020E"/>
    <w:rsid w:val="008C2F9E"/>
    <w:rsid w:val="008C40E5"/>
    <w:rsid w:val="008D03EA"/>
    <w:rsid w:val="008D16BD"/>
    <w:rsid w:val="008D17A7"/>
    <w:rsid w:val="008D2E91"/>
    <w:rsid w:val="008D58E2"/>
    <w:rsid w:val="008D6283"/>
    <w:rsid w:val="008D7FB0"/>
    <w:rsid w:val="008E050B"/>
    <w:rsid w:val="008E1010"/>
    <w:rsid w:val="008E2C2E"/>
    <w:rsid w:val="008E72A8"/>
    <w:rsid w:val="008F0627"/>
    <w:rsid w:val="008F1FF1"/>
    <w:rsid w:val="008F2498"/>
    <w:rsid w:val="008F41FB"/>
    <w:rsid w:val="008F4B49"/>
    <w:rsid w:val="008F5977"/>
    <w:rsid w:val="008F5C9B"/>
    <w:rsid w:val="009039C8"/>
    <w:rsid w:val="00904BCF"/>
    <w:rsid w:val="00905B77"/>
    <w:rsid w:val="00906FD6"/>
    <w:rsid w:val="009079D0"/>
    <w:rsid w:val="00907DCD"/>
    <w:rsid w:val="009104AA"/>
    <w:rsid w:val="00914466"/>
    <w:rsid w:val="00915D8A"/>
    <w:rsid w:val="00917746"/>
    <w:rsid w:val="009209A5"/>
    <w:rsid w:val="00920F98"/>
    <w:rsid w:val="00922448"/>
    <w:rsid w:val="009228BB"/>
    <w:rsid w:val="00922FDA"/>
    <w:rsid w:val="009244DF"/>
    <w:rsid w:val="00927EF6"/>
    <w:rsid w:val="00930D45"/>
    <w:rsid w:val="00930E14"/>
    <w:rsid w:val="00933885"/>
    <w:rsid w:val="009338DA"/>
    <w:rsid w:val="00936E93"/>
    <w:rsid w:val="00937FDA"/>
    <w:rsid w:val="00947632"/>
    <w:rsid w:val="0094786C"/>
    <w:rsid w:val="00947B9F"/>
    <w:rsid w:val="00947FB4"/>
    <w:rsid w:val="00952018"/>
    <w:rsid w:val="00952D2F"/>
    <w:rsid w:val="00952D60"/>
    <w:rsid w:val="00952E44"/>
    <w:rsid w:val="00955447"/>
    <w:rsid w:val="00955A17"/>
    <w:rsid w:val="00957C50"/>
    <w:rsid w:val="00960E12"/>
    <w:rsid w:val="0096331F"/>
    <w:rsid w:val="00963914"/>
    <w:rsid w:val="00963A90"/>
    <w:rsid w:val="00965FFB"/>
    <w:rsid w:val="009729D8"/>
    <w:rsid w:val="0097453F"/>
    <w:rsid w:val="00974577"/>
    <w:rsid w:val="00975045"/>
    <w:rsid w:val="00976670"/>
    <w:rsid w:val="00976BC3"/>
    <w:rsid w:val="00976E64"/>
    <w:rsid w:val="00977929"/>
    <w:rsid w:val="0098426D"/>
    <w:rsid w:val="00993B1F"/>
    <w:rsid w:val="00993F70"/>
    <w:rsid w:val="0099428D"/>
    <w:rsid w:val="00995932"/>
    <w:rsid w:val="009967F4"/>
    <w:rsid w:val="00996D49"/>
    <w:rsid w:val="009A1C77"/>
    <w:rsid w:val="009A51E6"/>
    <w:rsid w:val="009A5BC5"/>
    <w:rsid w:val="009A61AA"/>
    <w:rsid w:val="009A747C"/>
    <w:rsid w:val="009A7DAC"/>
    <w:rsid w:val="009B2B6E"/>
    <w:rsid w:val="009B3C1F"/>
    <w:rsid w:val="009B703E"/>
    <w:rsid w:val="009B7D7E"/>
    <w:rsid w:val="009C0C36"/>
    <w:rsid w:val="009C10F7"/>
    <w:rsid w:val="009C11B1"/>
    <w:rsid w:val="009C1627"/>
    <w:rsid w:val="009C1722"/>
    <w:rsid w:val="009C6235"/>
    <w:rsid w:val="009C6E76"/>
    <w:rsid w:val="009D00B8"/>
    <w:rsid w:val="009D3E42"/>
    <w:rsid w:val="009D682E"/>
    <w:rsid w:val="009E40F9"/>
    <w:rsid w:val="009E5844"/>
    <w:rsid w:val="009E653F"/>
    <w:rsid w:val="009E7C9A"/>
    <w:rsid w:val="009F4C6D"/>
    <w:rsid w:val="009F5062"/>
    <w:rsid w:val="009F56FF"/>
    <w:rsid w:val="00A01D25"/>
    <w:rsid w:val="00A0624A"/>
    <w:rsid w:val="00A06830"/>
    <w:rsid w:val="00A11E8B"/>
    <w:rsid w:val="00A12892"/>
    <w:rsid w:val="00A149DF"/>
    <w:rsid w:val="00A1634D"/>
    <w:rsid w:val="00A1707B"/>
    <w:rsid w:val="00A23F0F"/>
    <w:rsid w:val="00A32694"/>
    <w:rsid w:val="00A33A18"/>
    <w:rsid w:val="00A350BE"/>
    <w:rsid w:val="00A35C8A"/>
    <w:rsid w:val="00A36343"/>
    <w:rsid w:val="00A36638"/>
    <w:rsid w:val="00A36B9A"/>
    <w:rsid w:val="00A4149B"/>
    <w:rsid w:val="00A51ECF"/>
    <w:rsid w:val="00A5335D"/>
    <w:rsid w:val="00A53EBD"/>
    <w:rsid w:val="00A5408F"/>
    <w:rsid w:val="00A56524"/>
    <w:rsid w:val="00A610B8"/>
    <w:rsid w:val="00A61208"/>
    <w:rsid w:val="00A62660"/>
    <w:rsid w:val="00A62D2C"/>
    <w:rsid w:val="00A64D6A"/>
    <w:rsid w:val="00A66A0F"/>
    <w:rsid w:val="00A67FB0"/>
    <w:rsid w:val="00A700BE"/>
    <w:rsid w:val="00A7038D"/>
    <w:rsid w:val="00A73440"/>
    <w:rsid w:val="00A75908"/>
    <w:rsid w:val="00A75D01"/>
    <w:rsid w:val="00A76B01"/>
    <w:rsid w:val="00A813D7"/>
    <w:rsid w:val="00A83BB1"/>
    <w:rsid w:val="00A87807"/>
    <w:rsid w:val="00A90332"/>
    <w:rsid w:val="00A94426"/>
    <w:rsid w:val="00A9734B"/>
    <w:rsid w:val="00A97D26"/>
    <w:rsid w:val="00AA06C5"/>
    <w:rsid w:val="00AA1669"/>
    <w:rsid w:val="00AA3A8E"/>
    <w:rsid w:val="00AA58DB"/>
    <w:rsid w:val="00AA5BB8"/>
    <w:rsid w:val="00AA5D50"/>
    <w:rsid w:val="00AA6487"/>
    <w:rsid w:val="00AB001E"/>
    <w:rsid w:val="00AB2D04"/>
    <w:rsid w:val="00AB318B"/>
    <w:rsid w:val="00AB7D6A"/>
    <w:rsid w:val="00AC0A22"/>
    <w:rsid w:val="00AC3A3F"/>
    <w:rsid w:val="00AD17EF"/>
    <w:rsid w:val="00AD190D"/>
    <w:rsid w:val="00AD2DAB"/>
    <w:rsid w:val="00AE1BBB"/>
    <w:rsid w:val="00AE2F4C"/>
    <w:rsid w:val="00AE3B4A"/>
    <w:rsid w:val="00AE4A87"/>
    <w:rsid w:val="00AE673D"/>
    <w:rsid w:val="00AE749B"/>
    <w:rsid w:val="00AF0629"/>
    <w:rsid w:val="00AF1BF1"/>
    <w:rsid w:val="00AF1FAF"/>
    <w:rsid w:val="00AF32B8"/>
    <w:rsid w:val="00AF3CB3"/>
    <w:rsid w:val="00AF531B"/>
    <w:rsid w:val="00AF5337"/>
    <w:rsid w:val="00AF53C2"/>
    <w:rsid w:val="00AF71F6"/>
    <w:rsid w:val="00AF799B"/>
    <w:rsid w:val="00AF7C60"/>
    <w:rsid w:val="00B005C5"/>
    <w:rsid w:val="00B02305"/>
    <w:rsid w:val="00B02E23"/>
    <w:rsid w:val="00B060D5"/>
    <w:rsid w:val="00B1175D"/>
    <w:rsid w:val="00B11E2C"/>
    <w:rsid w:val="00B12731"/>
    <w:rsid w:val="00B12AA5"/>
    <w:rsid w:val="00B146BC"/>
    <w:rsid w:val="00B14DF1"/>
    <w:rsid w:val="00B153B3"/>
    <w:rsid w:val="00B17CBB"/>
    <w:rsid w:val="00B20BBF"/>
    <w:rsid w:val="00B217CC"/>
    <w:rsid w:val="00B25447"/>
    <w:rsid w:val="00B271C9"/>
    <w:rsid w:val="00B31C57"/>
    <w:rsid w:val="00B32F09"/>
    <w:rsid w:val="00B33D96"/>
    <w:rsid w:val="00B33E36"/>
    <w:rsid w:val="00B34F0E"/>
    <w:rsid w:val="00B35F5F"/>
    <w:rsid w:val="00B36F78"/>
    <w:rsid w:val="00B3755E"/>
    <w:rsid w:val="00B404A6"/>
    <w:rsid w:val="00B40A63"/>
    <w:rsid w:val="00B41213"/>
    <w:rsid w:val="00B45C45"/>
    <w:rsid w:val="00B47277"/>
    <w:rsid w:val="00B56FB7"/>
    <w:rsid w:val="00B577A6"/>
    <w:rsid w:val="00B607BE"/>
    <w:rsid w:val="00B61E09"/>
    <w:rsid w:val="00B6274D"/>
    <w:rsid w:val="00B62B63"/>
    <w:rsid w:val="00B64B1A"/>
    <w:rsid w:val="00B64D41"/>
    <w:rsid w:val="00B66CB3"/>
    <w:rsid w:val="00B66D6E"/>
    <w:rsid w:val="00B6708D"/>
    <w:rsid w:val="00B67351"/>
    <w:rsid w:val="00B701B7"/>
    <w:rsid w:val="00B706C6"/>
    <w:rsid w:val="00B739CF"/>
    <w:rsid w:val="00B7475F"/>
    <w:rsid w:val="00B80B07"/>
    <w:rsid w:val="00B8178C"/>
    <w:rsid w:val="00B81BF0"/>
    <w:rsid w:val="00B82E33"/>
    <w:rsid w:val="00B82ECB"/>
    <w:rsid w:val="00B8310B"/>
    <w:rsid w:val="00B83C8B"/>
    <w:rsid w:val="00B85BAF"/>
    <w:rsid w:val="00B90874"/>
    <w:rsid w:val="00B90BFA"/>
    <w:rsid w:val="00B93044"/>
    <w:rsid w:val="00B931B0"/>
    <w:rsid w:val="00B93ED9"/>
    <w:rsid w:val="00B95E2C"/>
    <w:rsid w:val="00BA273B"/>
    <w:rsid w:val="00BA2C17"/>
    <w:rsid w:val="00BA40F3"/>
    <w:rsid w:val="00BA5F6B"/>
    <w:rsid w:val="00BA6BD0"/>
    <w:rsid w:val="00BB0589"/>
    <w:rsid w:val="00BB0B19"/>
    <w:rsid w:val="00BB1AF8"/>
    <w:rsid w:val="00BB2E2A"/>
    <w:rsid w:val="00BB40D7"/>
    <w:rsid w:val="00BB4B39"/>
    <w:rsid w:val="00BC3515"/>
    <w:rsid w:val="00BC59C2"/>
    <w:rsid w:val="00BD02CC"/>
    <w:rsid w:val="00BD22C7"/>
    <w:rsid w:val="00BD277B"/>
    <w:rsid w:val="00BD530D"/>
    <w:rsid w:val="00BE205B"/>
    <w:rsid w:val="00BE264E"/>
    <w:rsid w:val="00BE4E80"/>
    <w:rsid w:val="00BE68B4"/>
    <w:rsid w:val="00BF07A9"/>
    <w:rsid w:val="00C029B6"/>
    <w:rsid w:val="00C03B0F"/>
    <w:rsid w:val="00C03E68"/>
    <w:rsid w:val="00C05139"/>
    <w:rsid w:val="00C124B7"/>
    <w:rsid w:val="00C13B58"/>
    <w:rsid w:val="00C16AB3"/>
    <w:rsid w:val="00C17224"/>
    <w:rsid w:val="00C17685"/>
    <w:rsid w:val="00C20CBD"/>
    <w:rsid w:val="00C223A5"/>
    <w:rsid w:val="00C23A93"/>
    <w:rsid w:val="00C23BCF"/>
    <w:rsid w:val="00C2546E"/>
    <w:rsid w:val="00C2648A"/>
    <w:rsid w:val="00C2711D"/>
    <w:rsid w:val="00C275B4"/>
    <w:rsid w:val="00C310A0"/>
    <w:rsid w:val="00C351DB"/>
    <w:rsid w:val="00C36A88"/>
    <w:rsid w:val="00C44141"/>
    <w:rsid w:val="00C5186E"/>
    <w:rsid w:val="00C53603"/>
    <w:rsid w:val="00C53EEF"/>
    <w:rsid w:val="00C55A01"/>
    <w:rsid w:val="00C56A39"/>
    <w:rsid w:val="00C57DD6"/>
    <w:rsid w:val="00C607D5"/>
    <w:rsid w:val="00C62A8F"/>
    <w:rsid w:val="00C634E0"/>
    <w:rsid w:val="00C671BC"/>
    <w:rsid w:val="00C70919"/>
    <w:rsid w:val="00C759E4"/>
    <w:rsid w:val="00C75BEC"/>
    <w:rsid w:val="00C80D96"/>
    <w:rsid w:val="00C83560"/>
    <w:rsid w:val="00C836E3"/>
    <w:rsid w:val="00C83A19"/>
    <w:rsid w:val="00C8527E"/>
    <w:rsid w:val="00C855D2"/>
    <w:rsid w:val="00C85E96"/>
    <w:rsid w:val="00C86FBD"/>
    <w:rsid w:val="00C9128F"/>
    <w:rsid w:val="00C91666"/>
    <w:rsid w:val="00C9219D"/>
    <w:rsid w:val="00C923D5"/>
    <w:rsid w:val="00C94E84"/>
    <w:rsid w:val="00C9559B"/>
    <w:rsid w:val="00CA0D9F"/>
    <w:rsid w:val="00CA18FB"/>
    <w:rsid w:val="00CA1BD1"/>
    <w:rsid w:val="00CA1CEF"/>
    <w:rsid w:val="00CB030A"/>
    <w:rsid w:val="00CB125C"/>
    <w:rsid w:val="00CB455B"/>
    <w:rsid w:val="00CB4D87"/>
    <w:rsid w:val="00CB572D"/>
    <w:rsid w:val="00CB6796"/>
    <w:rsid w:val="00CC4E6E"/>
    <w:rsid w:val="00CC6E0A"/>
    <w:rsid w:val="00CC7617"/>
    <w:rsid w:val="00CC7935"/>
    <w:rsid w:val="00CD17D1"/>
    <w:rsid w:val="00CD20F9"/>
    <w:rsid w:val="00CD66FB"/>
    <w:rsid w:val="00CD67D5"/>
    <w:rsid w:val="00CE04BA"/>
    <w:rsid w:val="00CE0A9F"/>
    <w:rsid w:val="00CE6D2A"/>
    <w:rsid w:val="00CE70E4"/>
    <w:rsid w:val="00CF0889"/>
    <w:rsid w:val="00CF2156"/>
    <w:rsid w:val="00CF41C5"/>
    <w:rsid w:val="00CF4D7B"/>
    <w:rsid w:val="00CF6914"/>
    <w:rsid w:val="00CF7F30"/>
    <w:rsid w:val="00D003AF"/>
    <w:rsid w:val="00D049C3"/>
    <w:rsid w:val="00D062A5"/>
    <w:rsid w:val="00D07715"/>
    <w:rsid w:val="00D106FE"/>
    <w:rsid w:val="00D10ED3"/>
    <w:rsid w:val="00D125E8"/>
    <w:rsid w:val="00D12D3B"/>
    <w:rsid w:val="00D13D7B"/>
    <w:rsid w:val="00D14535"/>
    <w:rsid w:val="00D15FDA"/>
    <w:rsid w:val="00D161B7"/>
    <w:rsid w:val="00D21A22"/>
    <w:rsid w:val="00D21ED8"/>
    <w:rsid w:val="00D22A32"/>
    <w:rsid w:val="00D23012"/>
    <w:rsid w:val="00D2472F"/>
    <w:rsid w:val="00D26EC1"/>
    <w:rsid w:val="00D2709A"/>
    <w:rsid w:val="00D30569"/>
    <w:rsid w:val="00D31F30"/>
    <w:rsid w:val="00D31F45"/>
    <w:rsid w:val="00D335BB"/>
    <w:rsid w:val="00D34B05"/>
    <w:rsid w:val="00D37504"/>
    <w:rsid w:val="00D37996"/>
    <w:rsid w:val="00D4725F"/>
    <w:rsid w:val="00D47EAE"/>
    <w:rsid w:val="00D54091"/>
    <w:rsid w:val="00D54B9A"/>
    <w:rsid w:val="00D54F2F"/>
    <w:rsid w:val="00D557F5"/>
    <w:rsid w:val="00D61100"/>
    <w:rsid w:val="00D61C45"/>
    <w:rsid w:val="00D62AEF"/>
    <w:rsid w:val="00D62CE1"/>
    <w:rsid w:val="00D64DD6"/>
    <w:rsid w:val="00D6587C"/>
    <w:rsid w:val="00D72C4E"/>
    <w:rsid w:val="00D756CA"/>
    <w:rsid w:val="00D75AD0"/>
    <w:rsid w:val="00D77713"/>
    <w:rsid w:val="00D7798A"/>
    <w:rsid w:val="00D80F59"/>
    <w:rsid w:val="00D8307B"/>
    <w:rsid w:val="00D8327C"/>
    <w:rsid w:val="00D836F7"/>
    <w:rsid w:val="00D84645"/>
    <w:rsid w:val="00D864F8"/>
    <w:rsid w:val="00D86835"/>
    <w:rsid w:val="00D879A3"/>
    <w:rsid w:val="00D93123"/>
    <w:rsid w:val="00DA25F1"/>
    <w:rsid w:val="00DA527C"/>
    <w:rsid w:val="00DA5B6B"/>
    <w:rsid w:val="00DA700C"/>
    <w:rsid w:val="00DB2EF0"/>
    <w:rsid w:val="00DB4640"/>
    <w:rsid w:val="00DB72D0"/>
    <w:rsid w:val="00DC44F4"/>
    <w:rsid w:val="00DD027E"/>
    <w:rsid w:val="00DD0447"/>
    <w:rsid w:val="00DD05BB"/>
    <w:rsid w:val="00DD688C"/>
    <w:rsid w:val="00DE2783"/>
    <w:rsid w:val="00DE27B8"/>
    <w:rsid w:val="00DE3D55"/>
    <w:rsid w:val="00DE5707"/>
    <w:rsid w:val="00DE70C6"/>
    <w:rsid w:val="00DF0DB1"/>
    <w:rsid w:val="00DF21A8"/>
    <w:rsid w:val="00DF3A84"/>
    <w:rsid w:val="00DF7C6E"/>
    <w:rsid w:val="00E01663"/>
    <w:rsid w:val="00E01A46"/>
    <w:rsid w:val="00E04FDE"/>
    <w:rsid w:val="00E07A39"/>
    <w:rsid w:val="00E104EF"/>
    <w:rsid w:val="00E125CB"/>
    <w:rsid w:val="00E13C7D"/>
    <w:rsid w:val="00E13EDF"/>
    <w:rsid w:val="00E146EE"/>
    <w:rsid w:val="00E165C9"/>
    <w:rsid w:val="00E17165"/>
    <w:rsid w:val="00E178DB"/>
    <w:rsid w:val="00E202E6"/>
    <w:rsid w:val="00E21B3E"/>
    <w:rsid w:val="00E21F7E"/>
    <w:rsid w:val="00E224C3"/>
    <w:rsid w:val="00E22BB4"/>
    <w:rsid w:val="00E23B83"/>
    <w:rsid w:val="00E23FD1"/>
    <w:rsid w:val="00E25D87"/>
    <w:rsid w:val="00E27377"/>
    <w:rsid w:val="00E300EC"/>
    <w:rsid w:val="00E31E46"/>
    <w:rsid w:val="00E332F5"/>
    <w:rsid w:val="00E34AE2"/>
    <w:rsid w:val="00E37601"/>
    <w:rsid w:val="00E37E0A"/>
    <w:rsid w:val="00E42235"/>
    <w:rsid w:val="00E43B3E"/>
    <w:rsid w:val="00E4414C"/>
    <w:rsid w:val="00E443BA"/>
    <w:rsid w:val="00E45FB7"/>
    <w:rsid w:val="00E470CE"/>
    <w:rsid w:val="00E50F94"/>
    <w:rsid w:val="00E528C9"/>
    <w:rsid w:val="00E5462E"/>
    <w:rsid w:val="00E62AD0"/>
    <w:rsid w:val="00E652B6"/>
    <w:rsid w:val="00E65605"/>
    <w:rsid w:val="00E65AFF"/>
    <w:rsid w:val="00E6767D"/>
    <w:rsid w:val="00E7411A"/>
    <w:rsid w:val="00E77A83"/>
    <w:rsid w:val="00E8162C"/>
    <w:rsid w:val="00E85972"/>
    <w:rsid w:val="00E867FD"/>
    <w:rsid w:val="00E90988"/>
    <w:rsid w:val="00E90E9C"/>
    <w:rsid w:val="00E9512C"/>
    <w:rsid w:val="00EA0077"/>
    <w:rsid w:val="00EA0E38"/>
    <w:rsid w:val="00EA1872"/>
    <w:rsid w:val="00EA604E"/>
    <w:rsid w:val="00EA6536"/>
    <w:rsid w:val="00EA7167"/>
    <w:rsid w:val="00EB0026"/>
    <w:rsid w:val="00EB0384"/>
    <w:rsid w:val="00EB39F8"/>
    <w:rsid w:val="00EB3AE8"/>
    <w:rsid w:val="00EB6196"/>
    <w:rsid w:val="00EB67F0"/>
    <w:rsid w:val="00EB6B0C"/>
    <w:rsid w:val="00EB6F46"/>
    <w:rsid w:val="00EC058C"/>
    <w:rsid w:val="00EC1BDE"/>
    <w:rsid w:val="00EC1F4B"/>
    <w:rsid w:val="00ED1413"/>
    <w:rsid w:val="00ED1663"/>
    <w:rsid w:val="00ED1FDF"/>
    <w:rsid w:val="00ED50F5"/>
    <w:rsid w:val="00ED6BE1"/>
    <w:rsid w:val="00ED7099"/>
    <w:rsid w:val="00ED7757"/>
    <w:rsid w:val="00EE027B"/>
    <w:rsid w:val="00EE31DF"/>
    <w:rsid w:val="00EE7916"/>
    <w:rsid w:val="00EF07B4"/>
    <w:rsid w:val="00EF1C6E"/>
    <w:rsid w:val="00EF2C80"/>
    <w:rsid w:val="00EF4D3B"/>
    <w:rsid w:val="00EF6A34"/>
    <w:rsid w:val="00EF7579"/>
    <w:rsid w:val="00F00BE0"/>
    <w:rsid w:val="00F016BD"/>
    <w:rsid w:val="00F026F0"/>
    <w:rsid w:val="00F0680A"/>
    <w:rsid w:val="00F06ED0"/>
    <w:rsid w:val="00F12013"/>
    <w:rsid w:val="00F12999"/>
    <w:rsid w:val="00F13822"/>
    <w:rsid w:val="00F14565"/>
    <w:rsid w:val="00F14A70"/>
    <w:rsid w:val="00F175A5"/>
    <w:rsid w:val="00F230F1"/>
    <w:rsid w:val="00F27B8D"/>
    <w:rsid w:val="00F304FB"/>
    <w:rsid w:val="00F313F8"/>
    <w:rsid w:val="00F315AB"/>
    <w:rsid w:val="00F33F07"/>
    <w:rsid w:val="00F35871"/>
    <w:rsid w:val="00F35D52"/>
    <w:rsid w:val="00F35F8C"/>
    <w:rsid w:val="00F36C93"/>
    <w:rsid w:val="00F373E1"/>
    <w:rsid w:val="00F42574"/>
    <w:rsid w:val="00F45257"/>
    <w:rsid w:val="00F45CA2"/>
    <w:rsid w:val="00F45D78"/>
    <w:rsid w:val="00F46154"/>
    <w:rsid w:val="00F46969"/>
    <w:rsid w:val="00F46AD5"/>
    <w:rsid w:val="00F47DCD"/>
    <w:rsid w:val="00F503DD"/>
    <w:rsid w:val="00F50CA4"/>
    <w:rsid w:val="00F50CE7"/>
    <w:rsid w:val="00F51438"/>
    <w:rsid w:val="00F52B41"/>
    <w:rsid w:val="00F5301A"/>
    <w:rsid w:val="00F549E7"/>
    <w:rsid w:val="00F5550D"/>
    <w:rsid w:val="00F618BB"/>
    <w:rsid w:val="00F6302F"/>
    <w:rsid w:val="00F67625"/>
    <w:rsid w:val="00F728A6"/>
    <w:rsid w:val="00F7649D"/>
    <w:rsid w:val="00F76B14"/>
    <w:rsid w:val="00F77B30"/>
    <w:rsid w:val="00F81487"/>
    <w:rsid w:val="00F85F21"/>
    <w:rsid w:val="00F90CF5"/>
    <w:rsid w:val="00F91AD8"/>
    <w:rsid w:val="00F922B1"/>
    <w:rsid w:val="00FA1CBD"/>
    <w:rsid w:val="00FA56EF"/>
    <w:rsid w:val="00FA5D99"/>
    <w:rsid w:val="00FA6505"/>
    <w:rsid w:val="00FA72F6"/>
    <w:rsid w:val="00FB10A3"/>
    <w:rsid w:val="00FB36D4"/>
    <w:rsid w:val="00FB3B0F"/>
    <w:rsid w:val="00FB510B"/>
    <w:rsid w:val="00FB5D1B"/>
    <w:rsid w:val="00FB75F9"/>
    <w:rsid w:val="00FB7C5A"/>
    <w:rsid w:val="00FC0B7B"/>
    <w:rsid w:val="00FC0D7E"/>
    <w:rsid w:val="00FC1C97"/>
    <w:rsid w:val="00FC26BF"/>
    <w:rsid w:val="00FC423E"/>
    <w:rsid w:val="00FC523E"/>
    <w:rsid w:val="00FC6CE0"/>
    <w:rsid w:val="00FC7232"/>
    <w:rsid w:val="00FC7525"/>
    <w:rsid w:val="00FD1A30"/>
    <w:rsid w:val="00FD418F"/>
    <w:rsid w:val="00FD4365"/>
    <w:rsid w:val="00FD4D39"/>
    <w:rsid w:val="00FD4F52"/>
    <w:rsid w:val="00FD532F"/>
    <w:rsid w:val="00FD5BAD"/>
    <w:rsid w:val="00FE1EF3"/>
    <w:rsid w:val="00FE315D"/>
    <w:rsid w:val="00FE3182"/>
    <w:rsid w:val="00FE41E1"/>
    <w:rsid w:val="00FE55F1"/>
    <w:rsid w:val="00FF213C"/>
    <w:rsid w:val="00FF4D81"/>
    <w:rsid w:val="00FF75F5"/>
    <w:rsid w:val="01032A2D"/>
    <w:rsid w:val="010E3DAE"/>
    <w:rsid w:val="01207B0A"/>
    <w:rsid w:val="01487B7C"/>
    <w:rsid w:val="0152179B"/>
    <w:rsid w:val="01592D24"/>
    <w:rsid w:val="01775986"/>
    <w:rsid w:val="0178615F"/>
    <w:rsid w:val="01872CA9"/>
    <w:rsid w:val="018E7ABF"/>
    <w:rsid w:val="0198796C"/>
    <w:rsid w:val="01AA3877"/>
    <w:rsid w:val="01AA5130"/>
    <w:rsid w:val="01B42948"/>
    <w:rsid w:val="01C133B8"/>
    <w:rsid w:val="01C27776"/>
    <w:rsid w:val="01FF1E15"/>
    <w:rsid w:val="020F2171"/>
    <w:rsid w:val="02102A95"/>
    <w:rsid w:val="02231D5A"/>
    <w:rsid w:val="022D1212"/>
    <w:rsid w:val="0250329F"/>
    <w:rsid w:val="0252507E"/>
    <w:rsid w:val="02A3645B"/>
    <w:rsid w:val="02A828C6"/>
    <w:rsid w:val="02B21FFC"/>
    <w:rsid w:val="02BD75DA"/>
    <w:rsid w:val="02D432A2"/>
    <w:rsid w:val="02E3314E"/>
    <w:rsid w:val="02F66E41"/>
    <w:rsid w:val="02F778BD"/>
    <w:rsid w:val="030E5D0F"/>
    <w:rsid w:val="03121468"/>
    <w:rsid w:val="033A0740"/>
    <w:rsid w:val="037D4984"/>
    <w:rsid w:val="03822C68"/>
    <w:rsid w:val="038325D2"/>
    <w:rsid w:val="039F2BBC"/>
    <w:rsid w:val="03B267C7"/>
    <w:rsid w:val="03B427AD"/>
    <w:rsid w:val="03C75DC4"/>
    <w:rsid w:val="03CC55AE"/>
    <w:rsid w:val="03D96AC5"/>
    <w:rsid w:val="03EB2DBF"/>
    <w:rsid w:val="03F60FF6"/>
    <w:rsid w:val="040729BC"/>
    <w:rsid w:val="042A52FC"/>
    <w:rsid w:val="0433224A"/>
    <w:rsid w:val="04367644"/>
    <w:rsid w:val="043805C4"/>
    <w:rsid w:val="04425FE9"/>
    <w:rsid w:val="04440306"/>
    <w:rsid w:val="04537A3F"/>
    <w:rsid w:val="045A2EAE"/>
    <w:rsid w:val="045B52FD"/>
    <w:rsid w:val="04651CD8"/>
    <w:rsid w:val="046F769F"/>
    <w:rsid w:val="04865DB1"/>
    <w:rsid w:val="049D76C3"/>
    <w:rsid w:val="04B1358D"/>
    <w:rsid w:val="04BD7D66"/>
    <w:rsid w:val="04E70971"/>
    <w:rsid w:val="05071955"/>
    <w:rsid w:val="050B36B6"/>
    <w:rsid w:val="050E5684"/>
    <w:rsid w:val="051E3875"/>
    <w:rsid w:val="0524305F"/>
    <w:rsid w:val="052B4CCF"/>
    <w:rsid w:val="0533125B"/>
    <w:rsid w:val="054F4EE9"/>
    <w:rsid w:val="05545FD4"/>
    <w:rsid w:val="057214FE"/>
    <w:rsid w:val="058A40EC"/>
    <w:rsid w:val="05935311"/>
    <w:rsid w:val="059D4DD4"/>
    <w:rsid w:val="05AA2098"/>
    <w:rsid w:val="05AF76AE"/>
    <w:rsid w:val="05C50C80"/>
    <w:rsid w:val="05FC71C1"/>
    <w:rsid w:val="062259A9"/>
    <w:rsid w:val="062B136E"/>
    <w:rsid w:val="062E1E31"/>
    <w:rsid w:val="06363FC2"/>
    <w:rsid w:val="063F1393"/>
    <w:rsid w:val="064E336B"/>
    <w:rsid w:val="06524CCB"/>
    <w:rsid w:val="06560581"/>
    <w:rsid w:val="065B0C6C"/>
    <w:rsid w:val="06652463"/>
    <w:rsid w:val="06751B53"/>
    <w:rsid w:val="06907C8C"/>
    <w:rsid w:val="069664AB"/>
    <w:rsid w:val="06AB5586"/>
    <w:rsid w:val="06AC772B"/>
    <w:rsid w:val="06CB44B7"/>
    <w:rsid w:val="06D20F42"/>
    <w:rsid w:val="06DF3FC3"/>
    <w:rsid w:val="06EE20B1"/>
    <w:rsid w:val="06F15AA5"/>
    <w:rsid w:val="07133C6D"/>
    <w:rsid w:val="07140111"/>
    <w:rsid w:val="073D6F9F"/>
    <w:rsid w:val="07585B24"/>
    <w:rsid w:val="075B63E2"/>
    <w:rsid w:val="076B1CFB"/>
    <w:rsid w:val="07B1625B"/>
    <w:rsid w:val="07BA5379"/>
    <w:rsid w:val="07CA7EEA"/>
    <w:rsid w:val="07D653C6"/>
    <w:rsid w:val="07D96E9C"/>
    <w:rsid w:val="07E745EB"/>
    <w:rsid w:val="07FA5018"/>
    <w:rsid w:val="07FD5C3A"/>
    <w:rsid w:val="080466B8"/>
    <w:rsid w:val="08222F22"/>
    <w:rsid w:val="082330F6"/>
    <w:rsid w:val="0823546E"/>
    <w:rsid w:val="08395955"/>
    <w:rsid w:val="08534B88"/>
    <w:rsid w:val="085B58CB"/>
    <w:rsid w:val="088B34C2"/>
    <w:rsid w:val="08A609F0"/>
    <w:rsid w:val="08AC11E4"/>
    <w:rsid w:val="08B51480"/>
    <w:rsid w:val="08D06CC5"/>
    <w:rsid w:val="08D17F3C"/>
    <w:rsid w:val="08F062C2"/>
    <w:rsid w:val="08F57ACE"/>
    <w:rsid w:val="09096CB8"/>
    <w:rsid w:val="090B19E1"/>
    <w:rsid w:val="090E6133"/>
    <w:rsid w:val="0910646C"/>
    <w:rsid w:val="09137F54"/>
    <w:rsid w:val="091D26DA"/>
    <w:rsid w:val="092E4D8E"/>
    <w:rsid w:val="0932603D"/>
    <w:rsid w:val="09646A02"/>
    <w:rsid w:val="096B1B3E"/>
    <w:rsid w:val="09AC6517"/>
    <w:rsid w:val="09D32864"/>
    <w:rsid w:val="09E15530"/>
    <w:rsid w:val="09E55D95"/>
    <w:rsid w:val="09E757DD"/>
    <w:rsid w:val="09F54CF4"/>
    <w:rsid w:val="0A1B58FF"/>
    <w:rsid w:val="0A1D419C"/>
    <w:rsid w:val="0A397E8E"/>
    <w:rsid w:val="0A544850"/>
    <w:rsid w:val="0A5D5DB7"/>
    <w:rsid w:val="0A642338"/>
    <w:rsid w:val="0A6A0910"/>
    <w:rsid w:val="0A6D7B49"/>
    <w:rsid w:val="0A79213F"/>
    <w:rsid w:val="0AB17A25"/>
    <w:rsid w:val="0AB47515"/>
    <w:rsid w:val="0AC93A60"/>
    <w:rsid w:val="0AD11D45"/>
    <w:rsid w:val="0AD33E3F"/>
    <w:rsid w:val="0AD42521"/>
    <w:rsid w:val="0AE87706"/>
    <w:rsid w:val="0AE903B8"/>
    <w:rsid w:val="0AEF054D"/>
    <w:rsid w:val="0B117253"/>
    <w:rsid w:val="0B1873A5"/>
    <w:rsid w:val="0B192E51"/>
    <w:rsid w:val="0B1F0FF9"/>
    <w:rsid w:val="0B350617"/>
    <w:rsid w:val="0B4F1912"/>
    <w:rsid w:val="0B6947A3"/>
    <w:rsid w:val="0B7462A1"/>
    <w:rsid w:val="0BA16641"/>
    <w:rsid w:val="0BB27B3C"/>
    <w:rsid w:val="0BB638C3"/>
    <w:rsid w:val="0BD25EA5"/>
    <w:rsid w:val="0BFA1AD4"/>
    <w:rsid w:val="0BFC5931"/>
    <w:rsid w:val="0C007AB7"/>
    <w:rsid w:val="0C033BA3"/>
    <w:rsid w:val="0C252478"/>
    <w:rsid w:val="0C396FC2"/>
    <w:rsid w:val="0C3A4B54"/>
    <w:rsid w:val="0C4F3A1F"/>
    <w:rsid w:val="0C542D5E"/>
    <w:rsid w:val="0C5A2AF8"/>
    <w:rsid w:val="0C975727"/>
    <w:rsid w:val="0C9C3C91"/>
    <w:rsid w:val="0CAC6BB6"/>
    <w:rsid w:val="0CC34F37"/>
    <w:rsid w:val="0CE50D2C"/>
    <w:rsid w:val="0CE5577F"/>
    <w:rsid w:val="0CEA1C84"/>
    <w:rsid w:val="0D1349C7"/>
    <w:rsid w:val="0D162B6E"/>
    <w:rsid w:val="0D1B1ACD"/>
    <w:rsid w:val="0D2E58DF"/>
    <w:rsid w:val="0D55341A"/>
    <w:rsid w:val="0D5C636E"/>
    <w:rsid w:val="0D6B035F"/>
    <w:rsid w:val="0D780DAB"/>
    <w:rsid w:val="0D82289F"/>
    <w:rsid w:val="0D864353"/>
    <w:rsid w:val="0D9553DC"/>
    <w:rsid w:val="0D9920B1"/>
    <w:rsid w:val="0DB5188F"/>
    <w:rsid w:val="0DC65EDD"/>
    <w:rsid w:val="0DD505F0"/>
    <w:rsid w:val="0DEA5E6A"/>
    <w:rsid w:val="0DFC36FB"/>
    <w:rsid w:val="0DFE3ED8"/>
    <w:rsid w:val="0E351C8F"/>
    <w:rsid w:val="0E851AA8"/>
    <w:rsid w:val="0E982E03"/>
    <w:rsid w:val="0EA27A04"/>
    <w:rsid w:val="0EA855E3"/>
    <w:rsid w:val="0EB37705"/>
    <w:rsid w:val="0EDB1514"/>
    <w:rsid w:val="0EF600FC"/>
    <w:rsid w:val="0F0D26CC"/>
    <w:rsid w:val="0F184ADA"/>
    <w:rsid w:val="0F234C69"/>
    <w:rsid w:val="0F3F5F47"/>
    <w:rsid w:val="0F5A68DD"/>
    <w:rsid w:val="0F786D63"/>
    <w:rsid w:val="0F825E34"/>
    <w:rsid w:val="0F8544CA"/>
    <w:rsid w:val="0F9D04D6"/>
    <w:rsid w:val="0FA1669B"/>
    <w:rsid w:val="0FDD12BC"/>
    <w:rsid w:val="0FF26B15"/>
    <w:rsid w:val="0FF9736B"/>
    <w:rsid w:val="102718A5"/>
    <w:rsid w:val="10411903"/>
    <w:rsid w:val="104B721A"/>
    <w:rsid w:val="105E064F"/>
    <w:rsid w:val="108F48E9"/>
    <w:rsid w:val="109935FD"/>
    <w:rsid w:val="109B4801"/>
    <w:rsid w:val="10DD5A17"/>
    <w:rsid w:val="10EF538B"/>
    <w:rsid w:val="10F95E98"/>
    <w:rsid w:val="110419CC"/>
    <w:rsid w:val="111452C9"/>
    <w:rsid w:val="11196324"/>
    <w:rsid w:val="112804A2"/>
    <w:rsid w:val="112E1DCF"/>
    <w:rsid w:val="112F78F5"/>
    <w:rsid w:val="11312DC0"/>
    <w:rsid w:val="114701EB"/>
    <w:rsid w:val="11554701"/>
    <w:rsid w:val="115C6A43"/>
    <w:rsid w:val="118848CF"/>
    <w:rsid w:val="11902A8A"/>
    <w:rsid w:val="11C11380"/>
    <w:rsid w:val="11C52008"/>
    <w:rsid w:val="12092462"/>
    <w:rsid w:val="120F2891"/>
    <w:rsid w:val="12115F3B"/>
    <w:rsid w:val="12180721"/>
    <w:rsid w:val="121D403F"/>
    <w:rsid w:val="122A19C5"/>
    <w:rsid w:val="12336BF3"/>
    <w:rsid w:val="12353631"/>
    <w:rsid w:val="12361B28"/>
    <w:rsid w:val="124B69B1"/>
    <w:rsid w:val="12527D3F"/>
    <w:rsid w:val="126445EA"/>
    <w:rsid w:val="12884EAD"/>
    <w:rsid w:val="129B493D"/>
    <w:rsid w:val="129F7C67"/>
    <w:rsid w:val="12AA0477"/>
    <w:rsid w:val="12DB710B"/>
    <w:rsid w:val="13074934"/>
    <w:rsid w:val="130D1EB8"/>
    <w:rsid w:val="13380DD8"/>
    <w:rsid w:val="133B1D05"/>
    <w:rsid w:val="1344521A"/>
    <w:rsid w:val="1351449B"/>
    <w:rsid w:val="13582582"/>
    <w:rsid w:val="13645ACB"/>
    <w:rsid w:val="13732B99"/>
    <w:rsid w:val="137E6439"/>
    <w:rsid w:val="13947949"/>
    <w:rsid w:val="139E1D6F"/>
    <w:rsid w:val="13A90AF6"/>
    <w:rsid w:val="13B43651"/>
    <w:rsid w:val="13DB0814"/>
    <w:rsid w:val="13DB6383"/>
    <w:rsid w:val="13E957B5"/>
    <w:rsid w:val="13F54664"/>
    <w:rsid w:val="140720B4"/>
    <w:rsid w:val="14331D31"/>
    <w:rsid w:val="14412BB2"/>
    <w:rsid w:val="144E09DA"/>
    <w:rsid w:val="14583DC3"/>
    <w:rsid w:val="14636234"/>
    <w:rsid w:val="14655C3D"/>
    <w:rsid w:val="146F2D0E"/>
    <w:rsid w:val="147255A7"/>
    <w:rsid w:val="148B7538"/>
    <w:rsid w:val="14910EB1"/>
    <w:rsid w:val="14957933"/>
    <w:rsid w:val="149D21D0"/>
    <w:rsid w:val="14B830D1"/>
    <w:rsid w:val="14BA6B9A"/>
    <w:rsid w:val="14BC76F2"/>
    <w:rsid w:val="14F01589"/>
    <w:rsid w:val="15247AD0"/>
    <w:rsid w:val="1568144D"/>
    <w:rsid w:val="159863B1"/>
    <w:rsid w:val="159C7D1C"/>
    <w:rsid w:val="15A078BC"/>
    <w:rsid w:val="15A07A17"/>
    <w:rsid w:val="15A563D8"/>
    <w:rsid w:val="15AE733A"/>
    <w:rsid w:val="15C22F3D"/>
    <w:rsid w:val="15C2659F"/>
    <w:rsid w:val="15D57AB6"/>
    <w:rsid w:val="15EF58A5"/>
    <w:rsid w:val="15F5110D"/>
    <w:rsid w:val="15F958D1"/>
    <w:rsid w:val="162F30F2"/>
    <w:rsid w:val="163053C7"/>
    <w:rsid w:val="16330E4D"/>
    <w:rsid w:val="165001CA"/>
    <w:rsid w:val="16573B76"/>
    <w:rsid w:val="16655A24"/>
    <w:rsid w:val="1666178F"/>
    <w:rsid w:val="16711F9F"/>
    <w:rsid w:val="16787FA6"/>
    <w:rsid w:val="168A7AAF"/>
    <w:rsid w:val="16A82624"/>
    <w:rsid w:val="16AF39B2"/>
    <w:rsid w:val="16C32138"/>
    <w:rsid w:val="16C62D54"/>
    <w:rsid w:val="16E75CAF"/>
    <w:rsid w:val="16F05D79"/>
    <w:rsid w:val="16F93153"/>
    <w:rsid w:val="171F3D27"/>
    <w:rsid w:val="172A1253"/>
    <w:rsid w:val="178144F6"/>
    <w:rsid w:val="179D3BB6"/>
    <w:rsid w:val="17AE7323"/>
    <w:rsid w:val="17B338BA"/>
    <w:rsid w:val="17F81389"/>
    <w:rsid w:val="17FD699F"/>
    <w:rsid w:val="183E74B8"/>
    <w:rsid w:val="18500413"/>
    <w:rsid w:val="1858278B"/>
    <w:rsid w:val="185B52C8"/>
    <w:rsid w:val="186B1B5B"/>
    <w:rsid w:val="188D2F65"/>
    <w:rsid w:val="18904498"/>
    <w:rsid w:val="18A3471E"/>
    <w:rsid w:val="18AD521A"/>
    <w:rsid w:val="18AE14BD"/>
    <w:rsid w:val="18BD4490"/>
    <w:rsid w:val="18E216F1"/>
    <w:rsid w:val="18F36B56"/>
    <w:rsid w:val="19290C14"/>
    <w:rsid w:val="192B4DF7"/>
    <w:rsid w:val="192B4E46"/>
    <w:rsid w:val="193006AE"/>
    <w:rsid w:val="193C1DCE"/>
    <w:rsid w:val="193C34F7"/>
    <w:rsid w:val="19803CCA"/>
    <w:rsid w:val="198D5B01"/>
    <w:rsid w:val="199B1FCC"/>
    <w:rsid w:val="19BA6371"/>
    <w:rsid w:val="19BF45A3"/>
    <w:rsid w:val="19C85C20"/>
    <w:rsid w:val="19CA465F"/>
    <w:rsid w:val="19CF6E7F"/>
    <w:rsid w:val="19D13C3F"/>
    <w:rsid w:val="19F25166"/>
    <w:rsid w:val="19F90D7B"/>
    <w:rsid w:val="19FA789F"/>
    <w:rsid w:val="19FA7B04"/>
    <w:rsid w:val="1A143B2C"/>
    <w:rsid w:val="1A391CA3"/>
    <w:rsid w:val="1A4964D8"/>
    <w:rsid w:val="1A501008"/>
    <w:rsid w:val="1A58610F"/>
    <w:rsid w:val="1A70799A"/>
    <w:rsid w:val="1A991858"/>
    <w:rsid w:val="1A9D1D74"/>
    <w:rsid w:val="1ABF56E2"/>
    <w:rsid w:val="1AC74F0D"/>
    <w:rsid w:val="1ACB068F"/>
    <w:rsid w:val="1AE94FB9"/>
    <w:rsid w:val="1AEB7953"/>
    <w:rsid w:val="1AF6583C"/>
    <w:rsid w:val="1B166AF0"/>
    <w:rsid w:val="1B723200"/>
    <w:rsid w:val="1B753276"/>
    <w:rsid w:val="1B7579A9"/>
    <w:rsid w:val="1B7B66B5"/>
    <w:rsid w:val="1B803B6F"/>
    <w:rsid w:val="1B8324A2"/>
    <w:rsid w:val="1BB83309"/>
    <w:rsid w:val="1BF00E83"/>
    <w:rsid w:val="1C0E5CB4"/>
    <w:rsid w:val="1C225F98"/>
    <w:rsid w:val="1C2344FA"/>
    <w:rsid w:val="1C272EF4"/>
    <w:rsid w:val="1C3D7E2A"/>
    <w:rsid w:val="1C4E24D4"/>
    <w:rsid w:val="1C6F14EE"/>
    <w:rsid w:val="1CA11E29"/>
    <w:rsid w:val="1CA1288E"/>
    <w:rsid w:val="1CC24234"/>
    <w:rsid w:val="1CDA2B21"/>
    <w:rsid w:val="1D010227"/>
    <w:rsid w:val="1D16197A"/>
    <w:rsid w:val="1D320A97"/>
    <w:rsid w:val="1D3541D9"/>
    <w:rsid w:val="1D3E6FE0"/>
    <w:rsid w:val="1D463D90"/>
    <w:rsid w:val="1D4F1A4B"/>
    <w:rsid w:val="1D4F2685"/>
    <w:rsid w:val="1D7E5E8C"/>
    <w:rsid w:val="1DA00B7E"/>
    <w:rsid w:val="1DA05B37"/>
    <w:rsid w:val="1E37428D"/>
    <w:rsid w:val="1E3E2D25"/>
    <w:rsid w:val="1E4507E4"/>
    <w:rsid w:val="1E5D2329"/>
    <w:rsid w:val="1E6210B8"/>
    <w:rsid w:val="1E694A30"/>
    <w:rsid w:val="1E7D5CD7"/>
    <w:rsid w:val="1E8A0861"/>
    <w:rsid w:val="1E8B07E9"/>
    <w:rsid w:val="1E911395"/>
    <w:rsid w:val="1EA27958"/>
    <w:rsid w:val="1EB9049E"/>
    <w:rsid w:val="1EC014EF"/>
    <w:rsid w:val="1EC664F8"/>
    <w:rsid w:val="1ECA14CD"/>
    <w:rsid w:val="1ED852DB"/>
    <w:rsid w:val="1EDA6951"/>
    <w:rsid w:val="1F0C2C42"/>
    <w:rsid w:val="1F236FDB"/>
    <w:rsid w:val="1F2E11C0"/>
    <w:rsid w:val="1F4709CB"/>
    <w:rsid w:val="1F4714E9"/>
    <w:rsid w:val="1F572E39"/>
    <w:rsid w:val="1F5E3F5F"/>
    <w:rsid w:val="1F657D3A"/>
    <w:rsid w:val="1F6C6476"/>
    <w:rsid w:val="1F777037"/>
    <w:rsid w:val="1F8D685B"/>
    <w:rsid w:val="1F8E1D1E"/>
    <w:rsid w:val="1F9A2D26"/>
    <w:rsid w:val="1F9A4AD4"/>
    <w:rsid w:val="1FA660A6"/>
    <w:rsid w:val="1FB66FCF"/>
    <w:rsid w:val="1FC33B91"/>
    <w:rsid w:val="1FF5D673"/>
    <w:rsid w:val="1FF91559"/>
    <w:rsid w:val="1FFF12C7"/>
    <w:rsid w:val="2001340A"/>
    <w:rsid w:val="20054643"/>
    <w:rsid w:val="20126CE2"/>
    <w:rsid w:val="202251F5"/>
    <w:rsid w:val="20376C13"/>
    <w:rsid w:val="204258C6"/>
    <w:rsid w:val="20484530"/>
    <w:rsid w:val="206A094A"/>
    <w:rsid w:val="206D3465"/>
    <w:rsid w:val="20825DAF"/>
    <w:rsid w:val="20915ED7"/>
    <w:rsid w:val="2096173F"/>
    <w:rsid w:val="20AB2481"/>
    <w:rsid w:val="20AF1290"/>
    <w:rsid w:val="20AF64AB"/>
    <w:rsid w:val="20B9542D"/>
    <w:rsid w:val="20D14525"/>
    <w:rsid w:val="20E34CB0"/>
    <w:rsid w:val="20E6624E"/>
    <w:rsid w:val="21100539"/>
    <w:rsid w:val="211456D6"/>
    <w:rsid w:val="21352D06"/>
    <w:rsid w:val="215467A1"/>
    <w:rsid w:val="216435EB"/>
    <w:rsid w:val="217463C8"/>
    <w:rsid w:val="217B2C11"/>
    <w:rsid w:val="218B6E9C"/>
    <w:rsid w:val="21A26AB5"/>
    <w:rsid w:val="21A3266E"/>
    <w:rsid w:val="21A91C9B"/>
    <w:rsid w:val="21B76724"/>
    <w:rsid w:val="21E8752D"/>
    <w:rsid w:val="21E92B41"/>
    <w:rsid w:val="21EA7238"/>
    <w:rsid w:val="21EC5465"/>
    <w:rsid w:val="21FC7CC7"/>
    <w:rsid w:val="22155EFF"/>
    <w:rsid w:val="22157F9C"/>
    <w:rsid w:val="22180EC3"/>
    <w:rsid w:val="22303B78"/>
    <w:rsid w:val="224E1E7E"/>
    <w:rsid w:val="225749CE"/>
    <w:rsid w:val="226006F6"/>
    <w:rsid w:val="226A0446"/>
    <w:rsid w:val="22793FB1"/>
    <w:rsid w:val="228B233C"/>
    <w:rsid w:val="228D640B"/>
    <w:rsid w:val="22AF0896"/>
    <w:rsid w:val="22B42350"/>
    <w:rsid w:val="22C51CDC"/>
    <w:rsid w:val="22CC58EC"/>
    <w:rsid w:val="22D46B1B"/>
    <w:rsid w:val="22D523C8"/>
    <w:rsid w:val="22F4099F"/>
    <w:rsid w:val="230277A8"/>
    <w:rsid w:val="230C61E7"/>
    <w:rsid w:val="23115CF4"/>
    <w:rsid w:val="231620D5"/>
    <w:rsid w:val="23207452"/>
    <w:rsid w:val="234510B9"/>
    <w:rsid w:val="235403F1"/>
    <w:rsid w:val="2364528E"/>
    <w:rsid w:val="23683B3B"/>
    <w:rsid w:val="238304BD"/>
    <w:rsid w:val="23831F8B"/>
    <w:rsid w:val="238B4E5F"/>
    <w:rsid w:val="238F2915"/>
    <w:rsid w:val="2395665B"/>
    <w:rsid w:val="23977CA8"/>
    <w:rsid w:val="239E667E"/>
    <w:rsid w:val="23DC390D"/>
    <w:rsid w:val="23E500E0"/>
    <w:rsid w:val="24207EE0"/>
    <w:rsid w:val="24247062"/>
    <w:rsid w:val="24253506"/>
    <w:rsid w:val="242A04BE"/>
    <w:rsid w:val="242A5FC5"/>
    <w:rsid w:val="243D265F"/>
    <w:rsid w:val="244A2F6C"/>
    <w:rsid w:val="246005B8"/>
    <w:rsid w:val="247104F9"/>
    <w:rsid w:val="247C227F"/>
    <w:rsid w:val="2490330A"/>
    <w:rsid w:val="24975BE2"/>
    <w:rsid w:val="24B17C09"/>
    <w:rsid w:val="24B37845"/>
    <w:rsid w:val="24E54EE6"/>
    <w:rsid w:val="24EC120C"/>
    <w:rsid w:val="24F36825"/>
    <w:rsid w:val="250C5C83"/>
    <w:rsid w:val="25110A25"/>
    <w:rsid w:val="25284930"/>
    <w:rsid w:val="25445D9E"/>
    <w:rsid w:val="25461985"/>
    <w:rsid w:val="25943F7A"/>
    <w:rsid w:val="25AC5453"/>
    <w:rsid w:val="25C323AB"/>
    <w:rsid w:val="25CF4E38"/>
    <w:rsid w:val="25D44C01"/>
    <w:rsid w:val="25E44CFA"/>
    <w:rsid w:val="25E737AD"/>
    <w:rsid w:val="262D6141"/>
    <w:rsid w:val="26355556"/>
    <w:rsid w:val="263D4A6F"/>
    <w:rsid w:val="263F63D5"/>
    <w:rsid w:val="26403635"/>
    <w:rsid w:val="264C7C75"/>
    <w:rsid w:val="265446DE"/>
    <w:rsid w:val="265C6F87"/>
    <w:rsid w:val="266F7198"/>
    <w:rsid w:val="26721A1C"/>
    <w:rsid w:val="267C14B4"/>
    <w:rsid w:val="26964247"/>
    <w:rsid w:val="26CF57CC"/>
    <w:rsid w:val="26EA27E4"/>
    <w:rsid w:val="26F64CE5"/>
    <w:rsid w:val="27022042"/>
    <w:rsid w:val="27182EAE"/>
    <w:rsid w:val="271F34DF"/>
    <w:rsid w:val="272F2C62"/>
    <w:rsid w:val="27391076"/>
    <w:rsid w:val="27403D42"/>
    <w:rsid w:val="27520E6E"/>
    <w:rsid w:val="275F70A2"/>
    <w:rsid w:val="276C29FF"/>
    <w:rsid w:val="277F4CDB"/>
    <w:rsid w:val="278709A6"/>
    <w:rsid w:val="278A25BF"/>
    <w:rsid w:val="27B13177"/>
    <w:rsid w:val="27B512A5"/>
    <w:rsid w:val="27B81C47"/>
    <w:rsid w:val="27BB1A8B"/>
    <w:rsid w:val="27C018A8"/>
    <w:rsid w:val="27E70AD2"/>
    <w:rsid w:val="28544080"/>
    <w:rsid w:val="286B525F"/>
    <w:rsid w:val="288071FC"/>
    <w:rsid w:val="28855A7D"/>
    <w:rsid w:val="28940C5A"/>
    <w:rsid w:val="28A17B20"/>
    <w:rsid w:val="28E476EE"/>
    <w:rsid w:val="28EB63A0"/>
    <w:rsid w:val="28ED3EC6"/>
    <w:rsid w:val="28F7728D"/>
    <w:rsid w:val="28FB2C47"/>
    <w:rsid w:val="291122AA"/>
    <w:rsid w:val="291C1EF9"/>
    <w:rsid w:val="29214F07"/>
    <w:rsid w:val="2939535D"/>
    <w:rsid w:val="293A0FD4"/>
    <w:rsid w:val="294B4198"/>
    <w:rsid w:val="295377AB"/>
    <w:rsid w:val="295B60F4"/>
    <w:rsid w:val="2981291E"/>
    <w:rsid w:val="299923C9"/>
    <w:rsid w:val="299E78C0"/>
    <w:rsid w:val="29A462AB"/>
    <w:rsid w:val="29AF561F"/>
    <w:rsid w:val="29C070E5"/>
    <w:rsid w:val="29C13E6D"/>
    <w:rsid w:val="29D16A21"/>
    <w:rsid w:val="29D70984"/>
    <w:rsid w:val="29DA08EE"/>
    <w:rsid w:val="29EB624B"/>
    <w:rsid w:val="2A1D07DB"/>
    <w:rsid w:val="2A234550"/>
    <w:rsid w:val="2A234837"/>
    <w:rsid w:val="2A3224D8"/>
    <w:rsid w:val="2A330BDA"/>
    <w:rsid w:val="2A443FBA"/>
    <w:rsid w:val="2A472991"/>
    <w:rsid w:val="2A4B2CBF"/>
    <w:rsid w:val="2A54175C"/>
    <w:rsid w:val="2A6B3AF8"/>
    <w:rsid w:val="2A922F77"/>
    <w:rsid w:val="2ABF25ED"/>
    <w:rsid w:val="2AD43590"/>
    <w:rsid w:val="2ADD5E24"/>
    <w:rsid w:val="2AE5754B"/>
    <w:rsid w:val="2AFC2AE6"/>
    <w:rsid w:val="2B2A3917"/>
    <w:rsid w:val="2B430715"/>
    <w:rsid w:val="2B4C75CA"/>
    <w:rsid w:val="2B6C5576"/>
    <w:rsid w:val="2B7408CF"/>
    <w:rsid w:val="2BAC1E16"/>
    <w:rsid w:val="2BCF1FA9"/>
    <w:rsid w:val="2BE67E86"/>
    <w:rsid w:val="2BE95450"/>
    <w:rsid w:val="2C027C88"/>
    <w:rsid w:val="2C0440A1"/>
    <w:rsid w:val="2C05198B"/>
    <w:rsid w:val="2C1A05DF"/>
    <w:rsid w:val="2C2643AF"/>
    <w:rsid w:val="2C2C69CE"/>
    <w:rsid w:val="2C552AB8"/>
    <w:rsid w:val="2C5D7371"/>
    <w:rsid w:val="2CA64AB8"/>
    <w:rsid w:val="2CAF6366"/>
    <w:rsid w:val="2CB216AE"/>
    <w:rsid w:val="2CB4127B"/>
    <w:rsid w:val="2CB7552D"/>
    <w:rsid w:val="2CC4389D"/>
    <w:rsid w:val="2CC76232"/>
    <w:rsid w:val="2CCB0C08"/>
    <w:rsid w:val="2CCD64E8"/>
    <w:rsid w:val="2CDD1054"/>
    <w:rsid w:val="2CDE06F5"/>
    <w:rsid w:val="2CE409AD"/>
    <w:rsid w:val="2CF271A5"/>
    <w:rsid w:val="2CFA6398"/>
    <w:rsid w:val="2D0A7DB5"/>
    <w:rsid w:val="2D0E5810"/>
    <w:rsid w:val="2D1E0AF2"/>
    <w:rsid w:val="2D1F406D"/>
    <w:rsid w:val="2D254ECC"/>
    <w:rsid w:val="2D395076"/>
    <w:rsid w:val="2D426A09"/>
    <w:rsid w:val="2D69305E"/>
    <w:rsid w:val="2D7352E2"/>
    <w:rsid w:val="2D8400D7"/>
    <w:rsid w:val="2D846C09"/>
    <w:rsid w:val="2D851D9A"/>
    <w:rsid w:val="2D9D7774"/>
    <w:rsid w:val="2DBC77FD"/>
    <w:rsid w:val="2DC21DC5"/>
    <w:rsid w:val="2DDE22F9"/>
    <w:rsid w:val="2E2C723F"/>
    <w:rsid w:val="2E357F5E"/>
    <w:rsid w:val="2E444588"/>
    <w:rsid w:val="2E5F13C2"/>
    <w:rsid w:val="2E7A444E"/>
    <w:rsid w:val="2E802002"/>
    <w:rsid w:val="2EA9088F"/>
    <w:rsid w:val="2ECE479A"/>
    <w:rsid w:val="2EDE0726"/>
    <w:rsid w:val="2EE66344"/>
    <w:rsid w:val="2EE82AAF"/>
    <w:rsid w:val="2EFC29D6"/>
    <w:rsid w:val="2F087CAC"/>
    <w:rsid w:val="2F0A3D6D"/>
    <w:rsid w:val="2F0C3640"/>
    <w:rsid w:val="2F1134D8"/>
    <w:rsid w:val="2F1B5401"/>
    <w:rsid w:val="2F4F3CC6"/>
    <w:rsid w:val="2F594063"/>
    <w:rsid w:val="2F6701DE"/>
    <w:rsid w:val="2F7B10A8"/>
    <w:rsid w:val="2F990904"/>
    <w:rsid w:val="2FA06136"/>
    <w:rsid w:val="2FAE27F5"/>
    <w:rsid w:val="2FE03A69"/>
    <w:rsid w:val="2FE7396B"/>
    <w:rsid w:val="2FF00C83"/>
    <w:rsid w:val="300D7D4A"/>
    <w:rsid w:val="300F1F5C"/>
    <w:rsid w:val="3011316A"/>
    <w:rsid w:val="30335879"/>
    <w:rsid w:val="30542317"/>
    <w:rsid w:val="305D7B83"/>
    <w:rsid w:val="305F72A5"/>
    <w:rsid w:val="30715E82"/>
    <w:rsid w:val="307D5173"/>
    <w:rsid w:val="30807DD2"/>
    <w:rsid w:val="309C7BF4"/>
    <w:rsid w:val="309E5FC7"/>
    <w:rsid w:val="30B04157"/>
    <w:rsid w:val="30B8125D"/>
    <w:rsid w:val="30CE0B0E"/>
    <w:rsid w:val="30E84C99"/>
    <w:rsid w:val="31335990"/>
    <w:rsid w:val="31360EE8"/>
    <w:rsid w:val="313C261E"/>
    <w:rsid w:val="313E79B5"/>
    <w:rsid w:val="315F16D9"/>
    <w:rsid w:val="316F480F"/>
    <w:rsid w:val="317A4765"/>
    <w:rsid w:val="31817949"/>
    <w:rsid w:val="318B24CE"/>
    <w:rsid w:val="319C0B7F"/>
    <w:rsid w:val="31D976DD"/>
    <w:rsid w:val="31DB0FB0"/>
    <w:rsid w:val="31DE6AA2"/>
    <w:rsid w:val="31E078E4"/>
    <w:rsid w:val="31FE7C49"/>
    <w:rsid w:val="3220355E"/>
    <w:rsid w:val="323F31C5"/>
    <w:rsid w:val="324463DD"/>
    <w:rsid w:val="32454D73"/>
    <w:rsid w:val="32745651"/>
    <w:rsid w:val="32892EB1"/>
    <w:rsid w:val="3299511B"/>
    <w:rsid w:val="32AE46C6"/>
    <w:rsid w:val="32DD4A1F"/>
    <w:rsid w:val="32EB1476"/>
    <w:rsid w:val="32ED7F3D"/>
    <w:rsid w:val="32F80245"/>
    <w:rsid w:val="330771F4"/>
    <w:rsid w:val="331B13DB"/>
    <w:rsid w:val="331D73DD"/>
    <w:rsid w:val="333147B1"/>
    <w:rsid w:val="333A23FE"/>
    <w:rsid w:val="333B28DB"/>
    <w:rsid w:val="333C6176"/>
    <w:rsid w:val="33444B20"/>
    <w:rsid w:val="334D0383"/>
    <w:rsid w:val="335C2374"/>
    <w:rsid w:val="335C37D2"/>
    <w:rsid w:val="33784CD4"/>
    <w:rsid w:val="338069AA"/>
    <w:rsid w:val="33BF7225"/>
    <w:rsid w:val="33F54460"/>
    <w:rsid w:val="33FC76B3"/>
    <w:rsid w:val="340764CC"/>
    <w:rsid w:val="341230DC"/>
    <w:rsid w:val="34126ED7"/>
    <w:rsid w:val="34506D78"/>
    <w:rsid w:val="34646826"/>
    <w:rsid w:val="346644D8"/>
    <w:rsid w:val="34693F42"/>
    <w:rsid w:val="34730080"/>
    <w:rsid w:val="34991662"/>
    <w:rsid w:val="349E4B44"/>
    <w:rsid w:val="34C46423"/>
    <w:rsid w:val="34C764B5"/>
    <w:rsid w:val="34CB14AA"/>
    <w:rsid w:val="34CC6681"/>
    <w:rsid w:val="34D1676E"/>
    <w:rsid w:val="34D84DA0"/>
    <w:rsid w:val="34E02B31"/>
    <w:rsid w:val="35010EC8"/>
    <w:rsid w:val="35384B4E"/>
    <w:rsid w:val="355B5079"/>
    <w:rsid w:val="35606B0C"/>
    <w:rsid w:val="356D6468"/>
    <w:rsid w:val="35923533"/>
    <w:rsid w:val="35A21604"/>
    <w:rsid w:val="35B6520A"/>
    <w:rsid w:val="35C661CB"/>
    <w:rsid w:val="35F45544"/>
    <w:rsid w:val="360607D9"/>
    <w:rsid w:val="36164880"/>
    <w:rsid w:val="36190C5C"/>
    <w:rsid w:val="361F42FC"/>
    <w:rsid w:val="363D46DF"/>
    <w:rsid w:val="363D616D"/>
    <w:rsid w:val="364D63FF"/>
    <w:rsid w:val="366876D1"/>
    <w:rsid w:val="367C66CD"/>
    <w:rsid w:val="367E2601"/>
    <w:rsid w:val="3680580C"/>
    <w:rsid w:val="36903146"/>
    <w:rsid w:val="369578E2"/>
    <w:rsid w:val="36A15F47"/>
    <w:rsid w:val="36A95F80"/>
    <w:rsid w:val="36CE5592"/>
    <w:rsid w:val="36DB3530"/>
    <w:rsid w:val="36EA3120"/>
    <w:rsid w:val="36EB6024"/>
    <w:rsid w:val="370A0339"/>
    <w:rsid w:val="371A3B1A"/>
    <w:rsid w:val="37220CB5"/>
    <w:rsid w:val="37236F3D"/>
    <w:rsid w:val="374411DB"/>
    <w:rsid w:val="377C2FE5"/>
    <w:rsid w:val="377C4173"/>
    <w:rsid w:val="37BD1BEA"/>
    <w:rsid w:val="37D44BCF"/>
    <w:rsid w:val="37E928C7"/>
    <w:rsid w:val="3801773E"/>
    <w:rsid w:val="3803240C"/>
    <w:rsid w:val="382A2A41"/>
    <w:rsid w:val="382C7E10"/>
    <w:rsid w:val="38327B47"/>
    <w:rsid w:val="38390ED6"/>
    <w:rsid w:val="383C09C6"/>
    <w:rsid w:val="38414046"/>
    <w:rsid w:val="384855BD"/>
    <w:rsid w:val="384E5182"/>
    <w:rsid w:val="385A07E5"/>
    <w:rsid w:val="38652091"/>
    <w:rsid w:val="386546B8"/>
    <w:rsid w:val="387D06B7"/>
    <w:rsid w:val="3885236D"/>
    <w:rsid w:val="389130E7"/>
    <w:rsid w:val="389D1465"/>
    <w:rsid w:val="389E008F"/>
    <w:rsid w:val="38A26A7B"/>
    <w:rsid w:val="38A94C99"/>
    <w:rsid w:val="38BB18EB"/>
    <w:rsid w:val="38BE71EA"/>
    <w:rsid w:val="38D40615"/>
    <w:rsid w:val="38D6246F"/>
    <w:rsid w:val="38F00189"/>
    <w:rsid w:val="391C32D8"/>
    <w:rsid w:val="391F6058"/>
    <w:rsid w:val="39614CA6"/>
    <w:rsid w:val="397B3B52"/>
    <w:rsid w:val="397D2316"/>
    <w:rsid w:val="3995038E"/>
    <w:rsid w:val="3996317D"/>
    <w:rsid w:val="39987E7E"/>
    <w:rsid w:val="39A60EAA"/>
    <w:rsid w:val="39B75307"/>
    <w:rsid w:val="39D810FE"/>
    <w:rsid w:val="39E7668A"/>
    <w:rsid w:val="39ED7FCB"/>
    <w:rsid w:val="39FE2EF4"/>
    <w:rsid w:val="3A225796"/>
    <w:rsid w:val="3A2645C1"/>
    <w:rsid w:val="3A277221"/>
    <w:rsid w:val="3A361D53"/>
    <w:rsid w:val="3A3C70DA"/>
    <w:rsid w:val="3A4A3486"/>
    <w:rsid w:val="3A725947"/>
    <w:rsid w:val="3A793C85"/>
    <w:rsid w:val="3A8B75CC"/>
    <w:rsid w:val="3A8E5D10"/>
    <w:rsid w:val="3AC45F72"/>
    <w:rsid w:val="3AD70096"/>
    <w:rsid w:val="3AE11A4E"/>
    <w:rsid w:val="3AEF7F72"/>
    <w:rsid w:val="3B10495E"/>
    <w:rsid w:val="3B124FC6"/>
    <w:rsid w:val="3B1B24B7"/>
    <w:rsid w:val="3B295232"/>
    <w:rsid w:val="3B2A4FB6"/>
    <w:rsid w:val="3B7C224D"/>
    <w:rsid w:val="3B932D9C"/>
    <w:rsid w:val="3BA4185D"/>
    <w:rsid w:val="3BB947F3"/>
    <w:rsid w:val="3BC3030A"/>
    <w:rsid w:val="3BCA7940"/>
    <w:rsid w:val="3BCF3528"/>
    <w:rsid w:val="3BD06F6A"/>
    <w:rsid w:val="3BD26834"/>
    <w:rsid w:val="3BDC22A4"/>
    <w:rsid w:val="3BF75330"/>
    <w:rsid w:val="3C19288C"/>
    <w:rsid w:val="3C1F56AD"/>
    <w:rsid w:val="3C283F59"/>
    <w:rsid w:val="3C4D6CFE"/>
    <w:rsid w:val="3C6B7B27"/>
    <w:rsid w:val="3C7E5EE5"/>
    <w:rsid w:val="3C844A8F"/>
    <w:rsid w:val="3C92142D"/>
    <w:rsid w:val="3C997216"/>
    <w:rsid w:val="3CA622AD"/>
    <w:rsid w:val="3CBA43FC"/>
    <w:rsid w:val="3CC80A7A"/>
    <w:rsid w:val="3CCA0EAB"/>
    <w:rsid w:val="3CCE5FE8"/>
    <w:rsid w:val="3CEF5232"/>
    <w:rsid w:val="3D1933DB"/>
    <w:rsid w:val="3D2957E7"/>
    <w:rsid w:val="3D39640A"/>
    <w:rsid w:val="3D3D75E9"/>
    <w:rsid w:val="3D4A3084"/>
    <w:rsid w:val="3D573AAE"/>
    <w:rsid w:val="3D5B0633"/>
    <w:rsid w:val="3D624A2B"/>
    <w:rsid w:val="3D632551"/>
    <w:rsid w:val="3D696C61"/>
    <w:rsid w:val="3D830A20"/>
    <w:rsid w:val="3D906A75"/>
    <w:rsid w:val="3D9646D4"/>
    <w:rsid w:val="3DA62268"/>
    <w:rsid w:val="3DA6700D"/>
    <w:rsid w:val="3DDC6AF7"/>
    <w:rsid w:val="3DF37057"/>
    <w:rsid w:val="3DFC4E7F"/>
    <w:rsid w:val="3E021D9E"/>
    <w:rsid w:val="3E0755D2"/>
    <w:rsid w:val="3E1F53B8"/>
    <w:rsid w:val="3E353002"/>
    <w:rsid w:val="3E3C3B79"/>
    <w:rsid w:val="3E3D668A"/>
    <w:rsid w:val="3E5158B7"/>
    <w:rsid w:val="3E5E3444"/>
    <w:rsid w:val="3E5F1E94"/>
    <w:rsid w:val="3E6C0F9D"/>
    <w:rsid w:val="3E6F774C"/>
    <w:rsid w:val="3E7C1B1C"/>
    <w:rsid w:val="3E7E191E"/>
    <w:rsid w:val="3E7E76F8"/>
    <w:rsid w:val="3E8F1A4B"/>
    <w:rsid w:val="3EBF1A09"/>
    <w:rsid w:val="3EC87BF3"/>
    <w:rsid w:val="3EF32711"/>
    <w:rsid w:val="3EFE0737"/>
    <w:rsid w:val="3EFF48B7"/>
    <w:rsid w:val="3F022944"/>
    <w:rsid w:val="3F0454AC"/>
    <w:rsid w:val="3F125943"/>
    <w:rsid w:val="3F217400"/>
    <w:rsid w:val="3F2C7806"/>
    <w:rsid w:val="3F3245AE"/>
    <w:rsid w:val="3F3C12AC"/>
    <w:rsid w:val="3F5B5BD6"/>
    <w:rsid w:val="3F6801EC"/>
    <w:rsid w:val="3F721ECD"/>
    <w:rsid w:val="3F7A7F29"/>
    <w:rsid w:val="3F817D6A"/>
    <w:rsid w:val="3F9B5FD2"/>
    <w:rsid w:val="3FAF4912"/>
    <w:rsid w:val="3FC76D5C"/>
    <w:rsid w:val="3FDC7EBF"/>
    <w:rsid w:val="3FE71217"/>
    <w:rsid w:val="3FEF5EE2"/>
    <w:rsid w:val="3FF630B0"/>
    <w:rsid w:val="400A76DF"/>
    <w:rsid w:val="40322DDA"/>
    <w:rsid w:val="405C2128"/>
    <w:rsid w:val="406A72FF"/>
    <w:rsid w:val="40772446"/>
    <w:rsid w:val="4077259B"/>
    <w:rsid w:val="407B032A"/>
    <w:rsid w:val="408B2E2A"/>
    <w:rsid w:val="40985A35"/>
    <w:rsid w:val="40C477AB"/>
    <w:rsid w:val="40CD787E"/>
    <w:rsid w:val="40DE261A"/>
    <w:rsid w:val="41225DA4"/>
    <w:rsid w:val="413761CE"/>
    <w:rsid w:val="41423E98"/>
    <w:rsid w:val="416A2100"/>
    <w:rsid w:val="416C50CA"/>
    <w:rsid w:val="41760AA5"/>
    <w:rsid w:val="417A725C"/>
    <w:rsid w:val="418D074E"/>
    <w:rsid w:val="41B557E5"/>
    <w:rsid w:val="41BB43D6"/>
    <w:rsid w:val="41CF4659"/>
    <w:rsid w:val="41CF6407"/>
    <w:rsid w:val="41F14614"/>
    <w:rsid w:val="41F16CC3"/>
    <w:rsid w:val="41FD0BAB"/>
    <w:rsid w:val="42114ACC"/>
    <w:rsid w:val="421B7832"/>
    <w:rsid w:val="42254A34"/>
    <w:rsid w:val="426E78F2"/>
    <w:rsid w:val="42876390"/>
    <w:rsid w:val="428C50F8"/>
    <w:rsid w:val="428E648B"/>
    <w:rsid w:val="428E7AFD"/>
    <w:rsid w:val="42935686"/>
    <w:rsid w:val="429462ED"/>
    <w:rsid w:val="42984A4B"/>
    <w:rsid w:val="42BC7DDF"/>
    <w:rsid w:val="42D07953"/>
    <w:rsid w:val="42E00A4C"/>
    <w:rsid w:val="42E4132B"/>
    <w:rsid w:val="42E5298C"/>
    <w:rsid w:val="42FC5FA5"/>
    <w:rsid w:val="43076C51"/>
    <w:rsid w:val="431E13F4"/>
    <w:rsid w:val="433452F0"/>
    <w:rsid w:val="4335673E"/>
    <w:rsid w:val="43482915"/>
    <w:rsid w:val="437E2698"/>
    <w:rsid w:val="43AD43B9"/>
    <w:rsid w:val="43B458B4"/>
    <w:rsid w:val="43BE1AA9"/>
    <w:rsid w:val="43CD7C4F"/>
    <w:rsid w:val="43D15519"/>
    <w:rsid w:val="44061475"/>
    <w:rsid w:val="4407632C"/>
    <w:rsid w:val="44090E93"/>
    <w:rsid w:val="440E3217"/>
    <w:rsid w:val="44201AAB"/>
    <w:rsid w:val="442301C3"/>
    <w:rsid w:val="443B42B6"/>
    <w:rsid w:val="44552AF6"/>
    <w:rsid w:val="447050CA"/>
    <w:rsid w:val="448A72D9"/>
    <w:rsid w:val="44953938"/>
    <w:rsid w:val="44C520BC"/>
    <w:rsid w:val="44D501D8"/>
    <w:rsid w:val="44EF1B82"/>
    <w:rsid w:val="44F22B38"/>
    <w:rsid w:val="4508410A"/>
    <w:rsid w:val="451702E9"/>
    <w:rsid w:val="451A208F"/>
    <w:rsid w:val="451D5EC6"/>
    <w:rsid w:val="452534B7"/>
    <w:rsid w:val="453D7CDB"/>
    <w:rsid w:val="45651B3A"/>
    <w:rsid w:val="456C6A9E"/>
    <w:rsid w:val="45797C51"/>
    <w:rsid w:val="458953B8"/>
    <w:rsid w:val="45991206"/>
    <w:rsid w:val="45A168B6"/>
    <w:rsid w:val="45AD7386"/>
    <w:rsid w:val="45AF27D7"/>
    <w:rsid w:val="45E05087"/>
    <w:rsid w:val="45EE4E64"/>
    <w:rsid w:val="45F40726"/>
    <w:rsid w:val="45F86DD2"/>
    <w:rsid w:val="46113492"/>
    <w:rsid w:val="461B2714"/>
    <w:rsid w:val="46340F2E"/>
    <w:rsid w:val="463B03FE"/>
    <w:rsid w:val="463E3B5B"/>
    <w:rsid w:val="46674E52"/>
    <w:rsid w:val="466C50DB"/>
    <w:rsid w:val="468B4EC2"/>
    <w:rsid w:val="469F08A4"/>
    <w:rsid w:val="46B641CD"/>
    <w:rsid w:val="46D52711"/>
    <w:rsid w:val="46F41301"/>
    <w:rsid w:val="46FC6C97"/>
    <w:rsid w:val="472B40E0"/>
    <w:rsid w:val="473D2DF8"/>
    <w:rsid w:val="473D73B5"/>
    <w:rsid w:val="477705F0"/>
    <w:rsid w:val="478C0B8A"/>
    <w:rsid w:val="47937CCE"/>
    <w:rsid w:val="47D227AD"/>
    <w:rsid w:val="47E92953"/>
    <w:rsid w:val="47F66832"/>
    <w:rsid w:val="47FE6738"/>
    <w:rsid w:val="48240342"/>
    <w:rsid w:val="48366C9A"/>
    <w:rsid w:val="484E15D6"/>
    <w:rsid w:val="48623D04"/>
    <w:rsid w:val="489E593A"/>
    <w:rsid w:val="48AB570C"/>
    <w:rsid w:val="48DD0D58"/>
    <w:rsid w:val="48F84495"/>
    <w:rsid w:val="49001FC6"/>
    <w:rsid w:val="490100FC"/>
    <w:rsid w:val="490E0AEB"/>
    <w:rsid w:val="4921579A"/>
    <w:rsid w:val="493A722F"/>
    <w:rsid w:val="49427112"/>
    <w:rsid w:val="49441489"/>
    <w:rsid w:val="494B486A"/>
    <w:rsid w:val="49590C62"/>
    <w:rsid w:val="496A3CC3"/>
    <w:rsid w:val="496C4050"/>
    <w:rsid w:val="498974D6"/>
    <w:rsid w:val="499B0EE6"/>
    <w:rsid w:val="499F51D4"/>
    <w:rsid w:val="49A5461D"/>
    <w:rsid w:val="49AB59AC"/>
    <w:rsid w:val="49AE3F8D"/>
    <w:rsid w:val="49E30CA1"/>
    <w:rsid w:val="4A0564B5"/>
    <w:rsid w:val="4A2D03DE"/>
    <w:rsid w:val="4A3B0ADD"/>
    <w:rsid w:val="4A506EBA"/>
    <w:rsid w:val="4A531B86"/>
    <w:rsid w:val="4A54577B"/>
    <w:rsid w:val="4A5E657A"/>
    <w:rsid w:val="4A6D2002"/>
    <w:rsid w:val="4A7C2B5E"/>
    <w:rsid w:val="4A800BE6"/>
    <w:rsid w:val="4A99690B"/>
    <w:rsid w:val="4AA76173"/>
    <w:rsid w:val="4AC61EAD"/>
    <w:rsid w:val="4AFE0DDA"/>
    <w:rsid w:val="4AFE3A60"/>
    <w:rsid w:val="4B0030AD"/>
    <w:rsid w:val="4B2139D5"/>
    <w:rsid w:val="4B4340EE"/>
    <w:rsid w:val="4B7271B9"/>
    <w:rsid w:val="4B807D59"/>
    <w:rsid w:val="4BA72EF2"/>
    <w:rsid w:val="4BCD1C09"/>
    <w:rsid w:val="4C033AC4"/>
    <w:rsid w:val="4C147466"/>
    <w:rsid w:val="4C2A2BB8"/>
    <w:rsid w:val="4C381040"/>
    <w:rsid w:val="4C39104D"/>
    <w:rsid w:val="4C3E203F"/>
    <w:rsid w:val="4C4A2448"/>
    <w:rsid w:val="4C5D4A19"/>
    <w:rsid w:val="4C750B53"/>
    <w:rsid w:val="4C752368"/>
    <w:rsid w:val="4CA24E44"/>
    <w:rsid w:val="4CD80423"/>
    <w:rsid w:val="4CDE6CDB"/>
    <w:rsid w:val="4CF36076"/>
    <w:rsid w:val="4CF6285E"/>
    <w:rsid w:val="4CFC45F4"/>
    <w:rsid w:val="4CFF2001"/>
    <w:rsid w:val="4D022362"/>
    <w:rsid w:val="4D0B390F"/>
    <w:rsid w:val="4D383666"/>
    <w:rsid w:val="4D616AAD"/>
    <w:rsid w:val="4D862070"/>
    <w:rsid w:val="4D953FDE"/>
    <w:rsid w:val="4DB76330"/>
    <w:rsid w:val="4DBA440F"/>
    <w:rsid w:val="4DBC0187"/>
    <w:rsid w:val="4DD16F3D"/>
    <w:rsid w:val="4DD80534"/>
    <w:rsid w:val="4DE13411"/>
    <w:rsid w:val="4DE14D7F"/>
    <w:rsid w:val="4DED52D5"/>
    <w:rsid w:val="4E0353F8"/>
    <w:rsid w:val="4E143B1F"/>
    <w:rsid w:val="4E3B2540"/>
    <w:rsid w:val="4E3B5224"/>
    <w:rsid w:val="4E4319FF"/>
    <w:rsid w:val="4E571C5E"/>
    <w:rsid w:val="4E662BF0"/>
    <w:rsid w:val="4E6C1287"/>
    <w:rsid w:val="4E740A62"/>
    <w:rsid w:val="4EC5663F"/>
    <w:rsid w:val="4ECD7146"/>
    <w:rsid w:val="4ECF17A1"/>
    <w:rsid w:val="4ECF689E"/>
    <w:rsid w:val="4ED255AF"/>
    <w:rsid w:val="4EDA37C7"/>
    <w:rsid w:val="4EDC338C"/>
    <w:rsid w:val="4EEB5865"/>
    <w:rsid w:val="4F1418FD"/>
    <w:rsid w:val="4F1A3A25"/>
    <w:rsid w:val="4F211797"/>
    <w:rsid w:val="4F2C097E"/>
    <w:rsid w:val="4F477F24"/>
    <w:rsid w:val="4F5148FF"/>
    <w:rsid w:val="4F532425"/>
    <w:rsid w:val="4F56127B"/>
    <w:rsid w:val="4F73779A"/>
    <w:rsid w:val="4F857C9A"/>
    <w:rsid w:val="4F897533"/>
    <w:rsid w:val="4F912F4E"/>
    <w:rsid w:val="4FA6154D"/>
    <w:rsid w:val="4FAA25D0"/>
    <w:rsid w:val="4FB97DFA"/>
    <w:rsid w:val="4FEB4D54"/>
    <w:rsid w:val="4FEC0C86"/>
    <w:rsid w:val="4FFF25AD"/>
    <w:rsid w:val="50011E81"/>
    <w:rsid w:val="50133DD3"/>
    <w:rsid w:val="50150CB8"/>
    <w:rsid w:val="502D3BE5"/>
    <w:rsid w:val="502E18F8"/>
    <w:rsid w:val="502E69EF"/>
    <w:rsid w:val="50373AF5"/>
    <w:rsid w:val="505B3C87"/>
    <w:rsid w:val="507A3E55"/>
    <w:rsid w:val="50831E91"/>
    <w:rsid w:val="50902684"/>
    <w:rsid w:val="50AE2F5D"/>
    <w:rsid w:val="50DB6769"/>
    <w:rsid w:val="50DB6B76"/>
    <w:rsid w:val="50DF56DA"/>
    <w:rsid w:val="513C264D"/>
    <w:rsid w:val="513C62FC"/>
    <w:rsid w:val="51642CBF"/>
    <w:rsid w:val="516A1F01"/>
    <w:rsid w:val="517C2E6F"/>
    <w:rsid w:val="51907B9E"/>
    <w:rsid w:val="51C12DC9"/>
    <w:rsid w:val="51C45454"/>
    <w:rsid w:val="51DF6B2F"/>
    <w:rsid w:val="51ED774A"/>
    <w:rsid w:val="51F55A16"/>
    <w:rsid w:val="52046453"/>
    <w:rsid w:val="52075749"/>
    <w:rsid w:val="520B6FE7"/>
    <w:rsid w:val="520C1D1C"/>
    <w:rsid w:val="52150D7B"/>
    <w:rsid w:val="52377DDC"/>
    <w:rsid w:val="523A79D1"/>
    <w:rsid w:val="52433EFA"/>
    <w:rsid w:val="525F164D"/>
    <w:rsid w:val="52614E59"/>
    <w:rsid w:val="52682333"/>
    <w:rsid w:val="52693681"/>
    <w:rsid w:val="526D42C3"/>
    <w:rsid w:val="527103FC"/>
    <w:rsid w:val="5283702C"/>
    <w:rsid w:val="52891DFB"/>
    <w:rsid w:val="529A792F"/>
    <w:rsid w:val="52A31916"/>
    <w:rsid w:val="52A4759B"/>
    <w:rsid w:val="52A943D1"/>
    <w:rsid w:val="52B35629"/>
    <w:rsid w:val="52C90647"/>
    <w:rsid w:val="52D32AFD"/>
    <w:rsid w:val="52D94FAE"/>
    <w:rsid w:val="52F74465"/>
    <w:rsid w:val="530D550B"/>
    <w:rsid w:val="530F6E94"/>
    <w:rsid w:val="531638D9"/>
    <w:rsid w:val="532A2062"/>
    <w:rsid w:val="532B2411"/>
    <w:rsid w:val="53481136"/>
    <w:rsid w:val="53566A92"/>
    <w:rsid w:val="53794425"/>
    <w:rsid w:val="539B43A1"/>
    <w:rsid w:val="539D0D17"/>
    <w:rsid w:val="539F3171"/>
    <w:rsid w:val="53AA385C"/>
    <w:rsid w:val="53BF657D"/>
    <w:rsid w:val="53C701A3"/>
    <w:rsid w:val="53CC09F8"/>
    <w:rsid w:val="53D30A5E"/>
    <w:rsid w:val="53E249C6"/>
    <w:rsid w:val="53E421E6"/>
    <w:rsid w:val="53FA267C"/>
    <w:rsid w:val="53FB308C"/>
    <w:rsid w:val="53FB4D82"/>
    <w:rsid w:val="5407286A"/>
    <w:rsid w:val="540D72D7"/>
    <w:rsid w:val="54154F07"/>
    <w:rsid w:val="5435392D"/>
    <w:rsid w:val="545E3D46"/>
    <w:rsid w:val="54626937"/>
    <w:rsid w:val="547841E0"/>
    <w:rsid w:val="549F7EBB"/>
    <w:rsid w:val="54B0031A"/>
    <w:rsid w:val="54B73456"/>
    <w:rsid w:val="54EB4EAE"/>
    <w:rsid w:val="54F2448F"/>
    <w:rsid w:val="54F71AA5"/>
    <w:rsid w:val="5503669C"/>
    <w:rsid w:val="550D12C8"/>
    <w:rsid w:val="550E46AA"/>
    <w:rsid w:val="55173EF5"/>
    <w:rsid w:val="55185D16"/>
    <w:rsid w:val="5527238A"/>
    <w:rsid w:val="55296D65"/>
    <w:rsid w:val="553700F3"/>
    <w:rsid w:val="555B64D8"/>
    <w:rsid w:val="557B4484"/>
    <w:rsid w:val="559438C6"/>
    <w:rsid w:val="559922A9"/>
    <w:rsid w:val="55992337"/>
    <w:rsid w:val="55A70F1A"/>
    <w:rsid w:val="55AB2390"/>
    <w:rsid w:val="55AB4582"/>
    <w:rsid w:val="55D04242"/>
    <w:rsid w:val="560D1EEF"/>
    <w:rsid w:val="561548D9"/>
    <w:rsid w:val="561F1F50"/>
    <w:rsid w:val="56262AA1"/>
    <w:rsid w:val="562E2336"/>
    <w:rsid w:val="564F5F2F"/>
    <w:rsid w:val="565F1615"/>
    <w:rsid w:val="566B62A7"/>
    <w:rsid w:val="56772E9D"/>
    <w:rsid w:val="568B06F7"/>
    <w:rsid w:val="56A25A40"/>
    <w:rsid w:val="56BC4D54"/>
    <w:rsid w:val="56DC30D8"/>
    <w:rsid w:val="56ED79D8"/>
    <w:rsid w:val="56EF12FB"/>
    <w:rsid w:val="56F876E2"/>
    <w:rsid w:val="56FF4F3E"/>
    <w:rsid w:val="57030BD5"/>
    <w:rsid w:val="57062473"/>
    <w:rsid w:val="570C10BF"/>
    <w:rsid w:val="571C2DC4"/>
    <w:rsid w:val="57420CCD"/>
    <w:rsid w:val="57453F6B"/>
    <w:rsid w:val="575135F4"/>
    <w:rsid w:val="575C6D34"/>
    <w:rsid w:val="576A4B26"/>
    <w:rsid w:val="576C1C94"/>
    <w:rsid w:val="579730CB"/>
    <w:rsid w:val="57B25207"/>
    <w:rsid w:val="57B47C4C"/>
    <w:rsid w:val="57BD20DD"/>
    <w:rsid w:val="57D1482F"/>
    <w:rsid w:val="57FA6360"/>
    <w:rsid w:val="580A7D41"/>
    <w:rsid w:val="58421289"/>
    <w:rsid w:val="58582AF3"/>
    <w:rsid w:val="586236D9"/>
    <w:rsid w:val="58647E34"/>
    <w:rsid w:val="586C6306"/>
    <w:rsid w:val="589D0BB5"/>
    <w:rsid w:val="58AD509F"/>
    <w:rsid w:val="58C40DE1"/>
    <w:rsid w:val="58C6564B"/>
    <w:rsid w:val="58DF678A"/>
    <w:rsid w:val="58DF6CF4"/>
    <w:rsid w:val="58ED5699"/>
    <w:rsid w:val="58EF7663"/>
    <w:rsid w:val="58F7058B"/>
    <w:rsid w:val="5904132B"/>
    <w:rsid w:val="59140E77"/>
    <w:rsid w:val="59157827"/>
    <w:rsid w:val="591974A6"/>
    <w:rsid w:val="591C41D0"/>
    <w:rsid w:val="59272D4E"/>
    <w:rsid w:val="593D2D8C"/>
    <w:rsid w:val="594159C4"/>
    <w:rsid w:val="594400A5"/>
    <w:rsid w:val="59460EC7"/>
    <w:rsid w:val="594B0611"/>
    <w:rsid w:val="594C6FF5"/>
    <w:rsid w:val="595E3FA0"/>
    <w:rsid w:val="598472B0"/>
    <w:rsid w:val="598817D3"/>
    <w:rsid w:val="59914276"/>
    <w:rsid w:val="59B52E52"/>
    <w:rsid w:val="59C90F05"/>
    <w:rsid w:val="59D10B16"/>
    <w:rsid w:val="59EA2C3B"/>
    <w:rsid w:val="59FF65F7"/>
    <w:rsid w:val="5A0D15F0"/>
    <w:rsid w:val="5A3C745F"/>
    <w:rsid w:val="5A4532B2"/>
    <w:rsid w:val="5A4F646B"/>
    <w:rsid w:val="5A6E0A5B"/>
    <w:rsid w:val="5A6F60D4"/>
    <w:rsid w:val="5A9410D3"/>
    <w:rsid w:val="5A9D40C8"/>
    <w:rsid w:val="5AA30F9C"/>
    <w:rsid w:val="5AA40110"/>
    <w:rsid w:val="5AB23A35"/>
    <w:rsid w:val="5AB6345A"/>
    <w:rsid w:val="5AC42429"/>
    <w:rsid w:val="5AC468CD"/>
    <w:rsid w:val="5ADC7773"/>
    <w:rsid w:val="5AF413B3"/>
    <w:rsid w:val="5B1909C7"/>
    <w:rsid w:val="5B21162A"/>
    <w:rsid w:val="5B4A5024"/>
    <w:rsid w:val="5B4F7AA0"/>
    <w:rsid w:val="5B9B111C"/>
    <w:rsid w:val="5B9B5880"/>
    <w:rsid w:val="5BA26C0E"/>
    <w:rsid w:val="5BF64864"/>
    <w:rsid w:val="5C144611"/>
    <w:rsid w:val="5C15622E"/>
    <w:rsid w:val="5C1C0A13"/>
    <w:rsid w:val="5C3914B8"/>
    <w:rsid w:val="5C427AAA"/>
    <w:rsid w:val="5C50666A"/>
    <w:rsid w:val="5C5872CD"/>
    <w:rsid w:val="5C6B51AA"/>
    <w:rsid w:val="5C6D68F5"/>
    <w:rsid w:val="5C8207EE"/>
    <w:rsid w:val="5C85755D"/>
    <w:rsid w:val="5C9F4AD9"/>
    <w:rsid w:val="5CAE51D0"/>
    <w:rsid w:val="5CBD757C"/>
    <w:rsid w:val="5CC812EE"/>
    <w:rsid w:val="5CD51D47"/>
    <w:rsid w:val="5CD821BC"/>
    <w:rsid w:val="5CDF179C"/>
    <w:rsid w:val="5CE768A3"/>
    <w:rsid w:val="5CE84AF5"/>
    <w:rsid w:val="5CF6520A"/>
    <w:rsid w:val="5D0564A4"/>
    <w:rsid w:val="5D0A268F"/>
    <w:rsid w:val="5D1C5605"/>
    <w:rsid w:val="5D510E38"/>
    <w:rsid w:val="5D537AEA"/>
    <w:rsid w:val="5D6F032C"/>
    <w:rsid w:val="5D7647EC"/>
    <w:rsid w:val="5D852344"/>
    <w:rsid w:val="5D85441F"/>
    <w:rsid w:val="5D88718A"/>
    <w:rsid w:val="5D8D11F8"/>
    <w:rsid w:val="5DA25D29"/>
    <w:rsid w:val="5DAB78D0"/>
    <w:rsid w:val="5DBA1FF8"/>
    <w:rsid w:val="5DC4754F"/>
    <w:rsid w:val="5DDC5967"/>
    <w:rsid w:val="5DF72B16"/>
    <w:rsid w:val="5E08087F"/>
    <w:rsid w:val="5E1D3725"/>
    <w:rsid w:val="5E27751F"/>
    <w:rsid w:val="5E37668B"/>
    <w:rsid w:val="5E4775F9"/>
    <w:rsid w:val="5E7D301B"/>
    <w:rsid w:val="5E8819C0"/>
    <w:rsid w:val="5E9A3489"/>
    <w:rsid w:val="5E9C51FA"/>
    <w:rsid w:val="5EAB402C"/>
    <w:rsid w:val="5EC42D73"/>
    <w:rsid w:val="5ED15115"/>
    <w:rsid w:val="5ED54C52"/>
    <w:rsid w:val="5EE3533D"/>
    <w:rsid w:val="5F061262"/>
    <w:rsid w:val="5F0E7CD5"/>
    <w:rsid w:val="5F155949"/>
    <w:rsid w:val="5F1F0576"/>
    <w:rsid w:val="5F433192"/>
    <w:rsid w:val="5F465B03"/>
    <w:rsid w:val="5F470EA5"/>
    <w:rsid w:val="5F4973A1"/>
    <w:rsid w:val="5F526CF3"/>
    <w:rsid w:val="5F5A15AE"/>
    <w:rsid w:val="5F827B50"/>
    <w:rsid w:val="5F92436A"/>
    <w:rsid w:val="5FC77BFC"/>
    <w:rsid w:val="5FDC0215"/>
    <w:rsid w:val="5FF4555F"/>
    <w:rsid w:val="5FF67529"/>
    <w:rsid w:val="60002155"/>
    <w:rsid w:val="603C7DD2"/>
    <w:rsid w:val="60516EEA"/>
    <w:rsid w:val="60607ACA"/>
    <w:rsid w:val="608C6877"/>
    <w:rsid w:val="608D3783"/>
    <w:rsid w:val="60A02F1C"/>
    <w:rsid w:val="60A30D33"/>
    <w:rsid w:val="60C346C6"/>
    <w:rsid w:val="60C50CA9"/>
    <w:rsid w:val="60C73328"/>
    <w:rsid w:val="60C74A21"/>
    <w:rsid w:val="60D43B59"/>
    <w:rsid w:val="60D937FD"/>
    <w:rsid w:val="60EA5CC3"/>
    <w:rsid w:val="60F71269"/>
    <w:rsid w:val="61060748"/>
    <w:rsid w:val="61141727"/>
    <w:rsid w:val="611B4D6D"/>
    <w:rsid w:val="61273712"/>
    <w:rsid w:val="61406582"/>
    <w:rsid w:val="614A7341"/>
    <w:rsid w:val="61502C69"/>
    <w:rsid w:val="618108FC"/>
    <w:rsid w:val="6189095A"/>
    <w:rsid w:val="618C17C7"/>
    <w:rsid w:val="61A36DA4"/>
    <w:rsid w:val="61AF5FAD"/>
    <w:rsid w:val="61C57871"/>
    <w:rsid w:val="61D41829"/>
    <w:rsid w:val="61E02003"/>
    <w:rsid w:val="61F24E1A"/>
    <w:rsid w:val="61F45CEA"/>
    <w:rsid w:val="620A72BB"/>
    <w:rsid w:val="620D0B5A"/>
    <w:rsid w:val="62140DB4"/>
    <w:rsid w:val="622B2CE5"/>
    <w:rsid w:val="623460E6"/>
    <w:rsid w:val="62384CBA"/>
    <w:rsid w:val="623C143F"/>
    <w:rsid w:val="624D0F56"/>
    <w:rsid w:val="625E1FC6"/>
    <w:rsid w:val="625E7607"/>
    <w:rsid w:val="626D4309"/>
    <w:rsid w:val="628759A7"/>
    <w:rsid w:val="62970F38"/>
    <w:rsid w:val="62B00722"/>
    <w:rsid w:val="62CC631F"/>
    <w:rsid w:val="62D96C8E"/>
    <w:rsid w:val="62DE6755"/>
    <w:rsid w:val="62E2734D"/>
    <w:rsid w:val="62E92C54"/>
    <w:rsid w:val="62F44622"/>
    <w:rsid w:val="630048F7"/>
    <w:rsid w:val="63202C6D"/>
    <w:rsid w:val="63215DB8"/>
    <w:rsid w:val="632757F0"/>
    <w:rsid w:val="632864D9"/>
    <w:rsid w:val="633D0FCB"/>
    <w:rsid w:val="633D721D"/>
    <w:rsid w:val="63414F5F"/>
    <w:rsid w:val="634234DA"/>
    <w:rsid w:val="634C3904"/>
    <w:rsid w:val="63676048"/>
    <w:rsid w:val="63750755"/>
    <w:rsid w:val="637C5F97"/>
    <w:rsid w:val="638D3F4A"/>
    <w:rsid w:val="6397692D"/>
    <w:rsid w:val="639926BC"/>
    <w:rsid w:val="63A06459"/>
    <w:rsid w:val="63B77B8E"/>
    <w:rsid w:val="63C13FE8"/>
    <w:rsid w:val="63D3192F"/>
    <w:rsid w:val="63DF2795"/>
    <w:rsid w:val="63F91396"/>
    <w:rsid w:val="641F4B74"/>
    <w:rsid w:val="643F7201"/>
    <w:rsid w:val="64466571"/>
    <w:rsid w:val="644C14C1"/>
    <w:rsid w:val="644C3BBB"/>
    <w:rsid w:val="645079A9"/>
    <w:rsid w:val="645C1924"/>
    <w:rsid w:val="64A31301"/>
    <w:rsid w:val="64A5151D"/>
    <w:rsid w:val="64BE130D"/>
    <w:rsid w:val="64CF16AB"/>
    <w:rsid w:val="64DC4FB9"/>
    <w:rsid w:val="64E94821"/>
    <w:rsid w:val="64F16984"/>
    <w:rsid w:val="64FB738F"/>
    <w:rsid w:val="650A4AEB"/>
    <w:rsid w:val="65167D25"/>
    <w:rsid w:val="652F2B95"/>
    <w:rsid w:val="654870E2"/>
    <w:rsid w:val="65814696"/>
    <w:rsid w:val="65865EB2"/>
    <w:rsid w:val="65B16438"/>
    <w:rsid w:val="65B65064"/>
    <w:rsid w:val="65C6799D"/>
    <w:rsid w:val="65DF0783"/>
    <w:rsid w:val="65F21CBE"/>
    <w:rsid w:val="664213EB"/>
    <w:rsid w:val="66442B06"/>
    <w:rsid w:val="665F5402"/>
    <w:rsid w:val="66652D6F"/>
    <w:rsid w:val="666D202C"/>
    <w:rsid w:val="666E595E"/>
    <w:rsid w:val="668F7750"/>
    <w:rsid w:val="669B73BA"/>
    <w:rsid w:val="66C83704"/>
    <w:rsid w:val="66D27353"/>
    <w:rsid w:val="66E55500"/>
    <w:rsid w:val="670047E9"/>
    <w:rsid w:val="670E67DC"/>
    <w:rsid w:val="672C0BC7"/>
    <w:rsid w:val="673A1DCE"/>
    <w:rsid w:val="673E39F0"/>
    <w:rsid w:val="674C7894"/>
    <w:rsid w:val="675769D0"/>
    <w:rsid w:val="675B57C6"/>
    <w:rsid w:val="675C1557"/>
    <w:rsid w:val="676C53A7"/>
    <w:rsid w:val="678C42CF"/>
    <w:rsid w:val="67B05A4B"/>
    <w:rsid w:val="67EE0AE5"/>
    <w:rsid w:val="67F14C93"/>
    <w:rsid w:val="67F473E3"/>
    <w:rsid w:val="67FA2386"/>
    <w:rsid w:val="680B55ED"/>
    <w:rsid w:val="68295FC1"/>
    <w:rsid w:val="682C160E"/>
    <w:rsid w:val="682E3C70"/>
    <w:rsid w:val="683E4DDE"/>
    <w:rsid w:val="684B2FFF"/>
    <w:rsid w:val="68537886"/>
    <w:rsid w:val="686C1ADC"/>
    <w:rsid w:val="6878082B"/>
    <w:rsid w:val="689F5648"/>
    <w:rsid w:val="68A33CC4"/>
    <w:rsid w:val="68BB352A"/>
    <w:rsid w:val="68C36416"/>
    <w:rsid w:val="68D423D1"/>
    <w:rsid w:val="68D54680"/>
    <w:rsid w:val="68E24EF1"/>
    <w:rsid w:val="68EA1CAF"/>
    <w:rsid w:val="68EF0FB9"/>
    <w:rsid w:val="68F10571"/>
    <w:rsid w:val="690E453A"/>
    <w:rsid w:val="690F0AA9"/>
    <w:rsid w:val="69194288"/>
    <w:rsid w:val="692B0CE1"/>
    <w:rsid w:val="695A6949"/>
    <w:rsid w:val="696D480E"/>
    <w:rsid w:val="69B07646"/>
    <w:rsid w:val="69B3100A"/>
    <w:rsid w:val="69C32DB1"/>
    <w:rsid w:val="6A160FCF"/>
    <w:rsid w:val="6A1E79EC"/>
    <w:rsid w:val="6A1F0736"/>
    <w:rsid w:val="6A276EF5"/>
    <w:rsid w:val="6A294057"/>
    <w:rsid w:val="6A296146"/>
    <w:rsid w:val="6A2F71FD"/>
    <w:rsid w:val="6A4D243B"/>
    <w:rsid w:val="6A4E1D0F"/>
    <w:rsid w:val="6A55309E"/>
    <w:rsid w:val="6A8F72B9"/>
    <w:rsid w:val="6A9633A6"/>
    <w:rsid w:val="6A9F08C0"/>
    <w:rsid w:val="6AA95198"/>
    <w:rsid w:val="6AA9668F"/>
    <w:rsid w:val="6AAB7F50"/>
    <w:rsid w:val="6ABA7D25"/>
    <w:rsid w:val="6ABE0119"/>
    <w:rsid w:val="6ADF4BB1"/>
    <w:rsid w:val="6AE532E2"/>
    <w:rsid w:val="6AF20FCD"/>
    <w:rsid w:val="6AFA59F3"/>
    <w:rsid w:val="6AFC79BD"/>
    <w:rsid w:val="6B2A2224"/>
    <w:rsid w:val="6B302141"/>
    <w:rsid w:val="6B4D2822"/>
    <w:rsid w:val="6B5E41D4"/>
    <w:rsid w:val="6B87197D"/>
    <w:rsid w:val="6B912D3F"/>
    <w:rsid w:val="6BB32772"/>
    <w:rsid w:val="6BB46349"/>
    <w:rsid w:val="6BBB6589"/>
    <w:rsid w:val="6BBD665B"/>
    <w:rsid w:val="6BEA2BC5"/>
    <w:rsid w:val="6BF7581B"/>
    <w:rsid w:val="6C29109D"/>
    <w:rsid w:val="6C310293"/>
    <w:rsid w:val="6C526378"/>
    <w:rsid w:val="6C5860B1"/>
    <w:rsid w:val="6C5D7FE5"/>
    <w:rsid w:val="6CA654C2"/>
    <w:rsid w:val="6CBB3466"/>
    <w:rsid w:val="6CBD4F2A"/>
    <w:rsid w:val="6CC90D79"/>
    <w:rsid w:val="6CDC7AA6"/>
    <w:rsid w:val="6D07732E"/>
    <w:rsid w:val="6D2B60C5"/>
    <w:rsid w:val="6D7B4723"/>
    <w:rsid w:val="6D9956BA"/>
    <w:rsid w:val="6D9B170F"/>
    <w:rsid w:val="6D9D0FE4"/>
    <w:rsid w:val="6DBD3434"/>
    <w:rsid w:val="6DCF0C4D"/>
    <w:rsid w:val="6DD32C57"/>
    <w:rsid w:val="6DFC351E"/>
    <w:rsid w:val="6E101510"/>
    <w:rsid w:val="6E277476"/>
    <w:rsid w:val="6E301E58"/>
    <w:rsid w:val="6E53609B"/>
    <w:rsid w:val="6E625129"/>
    <w:rsid w:val="6E640C7A"/>
    <w:rsid w:val="6E95427D"/>
    <w:rsid w:val="6E9B2D58"/>
    <w:rsid w:val="6EA0404E"/>
    <w:rsid w:val="6EA16987"/>
    <w:rsid w:val="6EB25F7D"/>
    <w:rsid w:val="6EBE0699"/>
    <w:rsid w:val="6EC56BCD"/>
    <w:rsid w:val="6EE92007"/>
    <w:rsid w:val="6F0338A0"/>
    <w:rsid w:val="6F0852FB"/>
    <w:rsid w:val="6F106445"/>
    <w:rsid w:val="6F1B5B65"/>
    <w:rsid w:val="6F484143"/>
    <w:rsid w:val="6F574271"/>
    <w:rsid w:val="6F6049BF"/>
    <w:rsid w:val="6F6124E5"/>
    <w:rsid w:val="6F750F26"/>
    <w:rsid w:val="6F7B4DBE"/>
    <w:rsid w:val="6F7B72E9"/>
    <w:rsid w:val="6F830E81"/>
    <w:rsid w:val="6F8445D4"/>
    <w:rsid w:val="6F8D5C1A"/>
    <w:rsid w:val="6F8E342E"/>
    <w:rsid w:val="6FA8133A"/>
    <w:rsid w:val="6FAD2945"/>
    <w:rsid w:val="6FD27139"/>
    <w:rsid w:val="6FD44B40"/>
    <w:rsid w:val="6FE77439"/>
    <w:rsid w:val="70166E93"/>
    <w:rsid w:val="70214D4B"/>
    <w:rsid w:val="703D51FE"/>
    <w:rsid w:val="70531E2E"/>
    <w:rsid w:val="70721405"/>
    <w:rsid w:val="70813FF6"/>
    <w:rsid w:val="70A628A5"/>
    <w:rsid w:val="70C33D52"/>
    <w:rsid w:val="70CD2B48"/>
    <w:rsid w:val="70CE6A79"/>
    <w:rsid w:val="70E448FF"/>
    <w:rsid w:val="70E4648A"/>
    <w:rsid w:val="70FA499F"/>
    <w:rsid w:val="710E6E84"/>
    <w:rsid w:val="71126EE7"/>
    <w:rsid w:val="713859E9"/>
    <w:rsid w:val="713D663A"/>
    <w:rsid w:val="71654E27"/>
    <w:rsid w:val="719E357C"/>
    <w:rsid w:val="719E73CE"/>
    <w:rsid w:val="71B31D6C"/>
    <w:rsid w:val="71CA611F"/>
    <w:rsid w:val="71D074AE"/>
    <w:rsid w:val="71EA0570"/>
    <w:rsid w:val="71F31B1A"/>
    <w:rsid w:val="71F6500C"/>
    <w:rsid w:val="721A34A8"/>
    <w:rsid w:val="722137EA"/>
    <w:rsid w:val="72227D09"/>
    <w:rsid w:val="724203AC"/>
    <w:rsid w:val="7270316B"/>
    <w:rsid w:val="727110B9"/>
    <w:rsid w:val="727D3192"/>
    <w:rsid w:val="728358E0"/>
    <w:rsid w:val="72924D56"/>
    <w:rsid w:val="72993234"/>
    <w:rsid w:val="72A03357"/>
    <w:rsid w:val="72A2709C"/>
    <w:rsid w:val="72AB1549"/>
    <w:rsid w:val="72B8066E"/>
    <w:rsid w:val="72CC5EC7"/>
    <w:rsid w:val="72E34322"/>
    <w:rsid w:val="72F1592E"/>
    <w:rsid w:val="72F17CF7"/>
    <w:rsid w:val="72F54747"/>
    <w:rsid w:val="73194483"/>
    <w:rsid w:val="731A0095"/>
    <w:rsid w:val="732679C0"/>
    <w:rsid w:val="7335139B"/>
    <w:rsid w:val="7339135A"/>
    <w:rsid w:val="73454FCA"/>
    <w:rsid w:val="7349030A"/>
    <w:rsid w:val="735C724B"/>
    <w:rsid w:val="73661E78"/>
    <w:rsid w:val="737E24ED"/>
    <w:rsid w:val="73A01EE4"/>
    <w:rsid w:val="73A26F97"/>
    <w:rsid w:val="73A44984"/>
    <w:rsid w:val="73B22313"/>
    <w:rsid w:val="73C31078"/>
    <w:rsid w:val="73E6120B"/>
    <w:rsid w:val="73F91666"/>
    <w:rsid w:val="740022CC"/>
    <w:rsid w:val="74035D99"/>
    <w:rsid w:val="74084326"/>
    <w:rsid w:val="74203020"/>
    <w:rsid w:val="74245B4E"/>
    <w:rsid w:val="74287BD2"/>
    <w:rsid w:val="742F670E"/>
    <w:rsid w:val="7452148F"/>
    <w:rsid w:val="745B7CFF"/>
    <w:rsid w:val="745D3F8E"/>
    <w:rsid w:val="74623DB9"/>
    <w:rsid w:val="74763A12"/>
    <w:rsid w:val="747C63F5"/>
    <w:rsid w:val="74856C75"/>
    <w:rsid w:val="748F53FE"/>
    <w:rsid w:val="74A2774A"/>
    <w:rsid w:val="74B9247B"/>
    <w:rsid w:val="74C07CAE"/>
    <w:rsid w:val="74CE62C0"/>
    <w:rsid w:val="74D33D39"/>
    <w:rsid w:val="74E474F8"/>
    <w:rsid w:val="74F65788"/>
    <w:rsid w:val="74F90180"/>
    <w:rsid w:val="75171B6F"/>
    <w:rsid w:val="751C145E"/>
    <w:rsid w:val="751C462C"/>
    <w:rsid w:val="753A180E"/>
    <w:rsid w:val="755E02EE"/>
    <w:rsid w:val="75665D07"/>
    <w:rsid w:val="757A1C0A"/>
    <w:rsid w:val="757C043C"/>
    <w:rsid w:val="75956A44"/>
    <w:rsid w:val="759F5B15"/>
    <w:rsid w:val="75D707BF"/>
    <w:rsid w:val="76065B94"/>
    <w:rsid w:val="760D2A7F"/>
    <w:rsid w:val="76134845"/>
    <w:rsid w:val="763922F4"/>
    <w:rsid w:val="763D53B8"/>
    <w:rsid w:val="764A584C"/>
    <w:rsid w:val="765B3328"/>
    <w:rsid w:val="765F3689"/>
    <w:rsid w:val="766034F6"/>
    <w:rsid w:val="766F3739"/>
    <w:rsid w:val="76775DAE"/>
    <w:rsid w:val="76851A02"/>
    <w:rsid w:val="76B61368"/>
    <w:rsid w:val="76BA301B"/>
    <w:rsid w:val="76C61B38"/>
    <w:rsid w:val="76DB0DCF"/>
    <w:rsid w:val="76E53B35"/>
    <w:rsid w:val="770C2226"/>
    <w:rsid w:val="77331B81"/>
    <w:rsid w:val="774B075C"/>
    <w:rsid w:val="77674410"/>
    <w:rsid w:val="777E4D5B"/>
    <w:rsid w:val="77896DD2"/>
    <w:rsid w:val="77977D6B"/>
    <w:rsid w:val="779C41FF"/>
    <w:rsid w:val="77D84E31"/>
    <w:rsid w:val="77E076B9"/>
    <w:rsid w:val="77E36C39"/>
    <w:rsid w:val="78195229"/>
    <w:rsid w:val="782A7F03"/>
    <w:rsid w:val="782E744F"/>
    <w:rsid w:val="788F79FD"/>
    <w:rsid w:val="78952957"/>
    <w:rsid w:val="789631FF"/>
    <w:rsid w:val="789B0816"/>
    <w:rsid w:val="78AA5AE6"/>
    <w:rsid w:val="78B34144"/>
    <w:rsid w:val="78B51066"/>
    <w:rsid w:val="78C308A4"/>
    <w:rsid w:val="78C935D5"/>
    <w:rsid w:val="78E24696"/>
    <w:rsid w:val="792C5912"/>
    <w:rsid w:val="79447E45"/>
    <w:rsid w:val="79561D4D"/>
    <w:rsid w:val="79616DC4"/>
    <w:rsid w:val="796C68AE"/>
    <w:rsid w:val="79943CD0"/>
    <w:rsid w:val="79BF0534"/>
    <w:rsid w:val="79C142AC"/>
    <w:rsid w:val="79C91661"/>
    <w:rsid w:val="79D95777"/>
    <w:rsid w:val="79E820BE"/>
    <w:rsid w:val="79E9735F"/>
    <w:rsid w:val="79EB30D7"/>
    <w:rsid w:val="7A0422BB"/>
    <w:rsid w:val="7A6643BC"/>
    <w:rsid w:val="7A862644"/>
    <w:rsid w:val="7AA900FF"/>
    <w:rsid w:val="7ABE6889"/>
    <w:rsid w:val="7ACD5EBC"/>
    <w:rsid w:val="7AD55619"/>
    <w:rsid w:val="7AE91D0C"/>
    <w:rsid w:val="7AF46434"/>
    <w:rsid w:val="7B025FF2"/>
    <w:rsid w:val="7B0F7299"/>
    <w:rsid w:val="7B107A8E"/>
    <w:rsid w:val="7B121116"/>
    <w:rsid w:val="7B1228E5"/>
    <w:rsid w:val="7B1444D7"/>
    <w:rsid w:val="7B3F223B"/>
    <w:rsid w:val="7B4128F5"/>
    <w:rsid w:val="7B681A01"/>
    <w:rsid w:val="7B6E033E"/>
    <w:rsid w:val="7B746B81"/>
    <w:rsid w:val="7B86410F"/>
    <w:rsid w:val="7B9705BC"/>
    <w:rsid w:val="7B9D7F6A"/>
    <w:rsid w:val="7BA765A5"/>
    <w:rsid w:val="7BA87D80"/>
    <w:rsid w:val="7BB26477"/>
    <w:rsid w:val="7BC95D8F"/>
    <w:rsid w:val="7BD3539E"/>
    <w:rsid w:val="7BDB3B80"/>
    <w:rsid w:val="7BF79496"/>
    <w:rsid w:val="7C1D0A3F"/>
    <w:rsid w:val="7C4371FA"/>
    <w:rsid w:val="7C47478B"/>
    <w:rsid w:val="7C5850F6"/>
    <w:rsid w:val="7C635AEE"/>
    <w:rsid w:val="7C705B15"/>
    <w:rsid w:val="7C7B3CDA"/>
    <w:rsid w:val="7C7D1094"/>
    <w:rsid w:val="7C964821"/>
    <w:rsid w:val="7C9712F4"/>
    <w:rsid w:val="7CA067C4"/>
    <w:rsid w:val="7CB42860"/>
    <w:rsid w:val="7CCB1B0D"/>
    <w:rsid w:val="7CCE441E"/>
    <w:rsid w:val="7CE55210"/>
    <w:rsid w:val="7CEE64A2"/>
    <w:rsid w:val="7CFC0619"/>
    <w:rsid w:val="7D021F92"/>
    <w:rsid w:val="7D2A03BA"/>
    <w:rsid w:val="7D453655"/>
    <w:rsid w:val="7D603DDC"/>
    <w:rsid w:val="7D7F24B4"/>
    <w:rsid w:val="7D9F0430"/>
    <w:rsid w:val="7DB51FB0"/>
    <w:rsid w:val="7DB64696"/>
    <w:rsid w:val="7DBD1C9B"/>
    <w:rsid w:val="7DBE1F52"/>
    <w:rsid w:val="7DC50312"/>
    <w:rsid w:val="7DDC0263"/>
    <w:rsid w:val="7E0144A7"/>
    <w:rsid w:val="7E06639C"/>
    <w:rsid w:val="7E3A462D"/>
    <w:rsid w:val="7E3E7916"/>
    <w:rsid w:val="7E3F39F1"/>
    <w:rsid w:val="7E405E83"/>
    <w:rsid w:val="7E617E0B"/>
    <w:rsid w:val="7E6E2E4D"/>
    <w:rsid w:val="7E835FD4"/>
    <w:rsid w:val="7E891110"/>
    <w:rsid w:val="7EB67F71"/>
    <w:rsid w:val="7EBB56F4"/>
    <w:rsid w:val="7EBE6F11"/>
    <w:rsid w:val="7EC40A46"/>
    <w:rsid w:val="7EC747C3"/>
    <w:rsid w:val="7ECE171C"/>
    <w:rsid w:val="7EE30DF1"/>
    <w:rsid w:val="7EF43F04"/>
    <w:rsid w:val="7F3C536E"/>
    <w:rsid w:val="7F500BA6"/>
    <w:rsid w:val="7F5C66DE"/>
    <w:rsid w:val="7F75FE68"/>
    <w:rsid w:val="7F820039"/>
    <w:rsid w:val="7F833D8D"/>
    <w:rsid w:val="7F92205D"/>
    <w:rsid w:val="7FC71EF0"/>
    <w:rsid w:val="7FCD3469"/>
    <w:rsid w:val="7FE033AF"/>
    <w:rsid w:val="7FE74340"/>
    <w:rsid w:val="7FF64583"/>
    <w:rsid w:val="7FF91AD1"/>
    <w:rsid w:val="7FF951B6"/>
    <w:rsid w:val="BEEFBD76"/>
    <w:rsid w:val="BF6EEA52"/>
    <w:rsid w:val="BFFBC686"/>
    <w:rsid w:val="FCFF117F"/>
    <w:rsid w:val="FFFFD73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5"/>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4"/>
    <w:link w:val="46"/>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4"/>
    <w:link w:val="47"/>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character" w:default="1" w:styleId="39">
    <w:name w:val="Default Paragraph Font"/>
    <w:semiHidden/>
    <w:qFormat/>
    <w:uiPriority w:val="0"/>
  </w:style>
  <w:style w:type="table" w:default="1" w:styleId="37">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autoSpaceDE w:val="0"/>
      <w:autoSpaceDN w:val="0"/>
      <w:adjustRightInd w:val="0"/>
      <w:ind w:firstLine="420"/>
      <w:jc w:val="left"/>
    </w:pPr>
    <w:rPr>
      <w:rFonts w:ascii="宋体"/>
      <w:kern w:val="0"/>
      <w:sz w:val="24"/>
      <w:szCs w:val="20"/>
    </w:rPr>
  </w:style>
  <w:style w:type="paragraph" w:styleId="7">
    <w:name w:val="toc 7"/>
    <w:basedOn w:val="1"/>
    <w:next w:val="1"/>
    <w:qFormat/>
    <w:uiPriority w:val="39"/>
    <w:pPr>
      <w:ind w:left="2520" w:leftChars="1200"/>
    </w:pPr>
  </w:style>
  <w:style w:type="paragraph" w:styleId="8">
    <w:name w:val="index 8"/>
    <w:basedOn w:val="1"/>
    <w:next w:val="1"/>
    <w:qFormat/>
    <w:uiPriority w:val="0"/>
    <w:pPr>
      <w:ind w:left="3920" w:leftChars="1400"/>
    </w:pPr>
  </w:style>
  <w:style w:type="paragraph" w:styleId="9">
    <w:name w:val="toa heading"/>
    <w:basedOn w:val="1"/>
    <w:next w:val="1"/>
    <w:qFormat/>
    <w:uiPriority w:val="0"/>
    <w:pPr>
      <w:widowControl/>
      <w:spacing w:before="120"/>
      <w:ind w:firstLine="3584"/>
    </w:pPr>
  </w:style>
  <w:style w:type="paragraph" w:styleId="10">
    <w:name w:val="annotation text"/>
    <w:basedOn w:val="1"/>
    <w:link w:val="48"/>
    <w:qFormat/>
    <w:uiPriority w:val="99"/>
    <w:pPr>
      <w:jc w:val="left"/>
    </w:pPr>
  </w:style>
  <w:style w:type="paragraph" w:styleId="11">
    <w:name w:val="Body Text"/>
    <w:basedOn w:val="1"/>
    <w:link w:val="49"/>
    <w:qFormat/>
    <w:uiPriority w:val="0"/>
    <w:pPr>
      <w:tabs>
        <w:tab w:val="left" w:pos="567"/>
      </w:tabs>
      <w:spacing w:before="120" w:line="22" w:lineRule="atLeast"/>
    </w:pPr>
    <w:rPr>
      <w:rFonts w:ascii="宋体" w:hAnsi="宋体"/>
      <w:sz w:val="24"/>
    </w:rPr>
  </w:style>
  <w:style w:type="paragraph" w:styleId="12">
    <w:name w:val="Body Text Indent"/>
    <w:basedOn w:val="1"/>
    <w:next w:val="6"/>
    <w:qFormat/>
    <w:uiPriority w:val="0"/>
    <w:pPr>
      <w:spacing w:line="360" w:lineRule="auto"/>
      <w:ind w:firstLine="570"/>
    </w:pPr>
    <w:rPr>
      <w:sz w:val="24"/>
    </w:rPr>
  </w:style>
  <w:style w:type="paragraph" w:styleId="13">
    <w:name w:val="toc 5"/>
    <w:basedOn w:val="1"/>
    <w:next w:val="1"/>
    <w:qFormat/>
    <w:uiPriority w:val="39"/>
    <w:pPr>
      <w:ind w:left="1680" w:leftChars="800"/>
    </w:pPr>
  </w:style>
  <w:style w:type="paragraph" w:styleId="14">
    <w:name w:val="toc 3"/>
    <w:basedOn w:val="1"/>
    <w:next w:val="1"/>
    <w:qFormat/>
    <w:uiPriority w:val="39"/>
    <w:pPr>
      <w:tabs>
        <w:tab w:val="left" w:pos="1260"/>
        <w:tab w:val="right" w:leader="dot" w:pos="8630"/>
      </w:tabs>
      <w:ind w:left="840" w:leftChars="400"/>
    </w:pPr>
  </w:style>
  <w:style w:type="paragraph" w:styleId="15">
    <w:name w:val="Plain Text"/>
    <w:basedOn w:val="1"/>
    <w:link w:val="50"/>
    <w:qFormat/>
    <w:uiPriority w:val="0"/>
    <w:rPr>
      <w:rFonts w:ascii="宋体" w:hAnsi="Courier New"/>
      <w:szCs w:val="20"/>
    </w:rPr>
  </w:style>
  <w:style w:type="paragraph" w:styleId="16">
    <w:name w:val="toc 8"/>
    <w:basedOn w:val="1"/>
    <w:next w:val="1"/>
    <w:qFormat/>
    <w:uiPriority w:val="39"/>
    <w:pPr>
      <w:ind w:left="2940" w:leftChars="1400"/>
    </w:pPr>
  </w:style>
  <w:style w:type="paragraph" w:styleId="17">
    <w:name w:val="Date"/>
    <w:basedOn w:val="1"/>
    <w:next w:val="1"/>
    <w:link w:val="51"/>
    <w:qFormat/>
    <w:uiPriority w:val="0"/>
    <w:pPr>
      <w:ind w:left="100" w:leftChars="2500"/>
    </w:pPr>
    <w:rPr>
      <w:rFonts w:ascii="仿宋_GB2312" w:hAnsi="宋体" w:eastAsia="仿宋_GB2312"/>
      <w:color w:val="000000"/>
      <w:sz w:val="24"/>
    </w:rPr>
  </w:style>
  <w:style w:type="paragraph" w:styleId="18">
    <w:name w:val="Body Text Indent 2"/>
    <w:basedOn w:val="1"/>
    <w:qFormat/>
    <w:uiPriority w:val="0"/>
    <w:pPr>
      <w:ind w:firstLine="480" w:firstLineChars="200"/>
    </w:pPr>
    <w:rPr>
      <w:rFonts w:ascii="仿宋_GB2312" w:eastAsia="仿宋_GB2312"/>
      <w:sz w:val="24"/>
    </w:rPr>
  </w:style>
  <w:style w:type="paragraph" w:styleId="19">
    <w:name w:val="Balloon Text"/>
    <w:basedOn w:val="1"/>
    <w:link w:val="52"/>
    <w:qFormat/>
    <w:uiPriority w:val="0"/>
    <w:rPr>
      <w:sz w:val="18"/>
      <w:szCs w:val="18"/>
    </w:rPr>
  </w:style>
  <w:style w:type="paragraph" w:styleId="20">
    <w:name w:val="footer"/>
    <w:basedOn w:val="1"/>
    <w:link w:val="53"/>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21">
    <w:name w:val="header"/>
    <w:basedOn w:val="1"/>
    <w:link w:val="54"/>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style>
  <w:style w:type="paragraph" w:styleId="23">
    <w:name w:val="toc 4"/>
    <w:basedOn w:val="1"/>
    <w:next w:val="1"/>
    <w:qFormat/>
    <w:uiPriority w:val="39"/>
    <w:pPr>
      <w:ind w:left="1260" w:leftChars="600"/>
    </w:pPr>
  </w:style>
  <w:style w:type="paragraph" w:styleId="24">
    <w:name w:val="Subtitle"/>
    <w:next w:val="1"/>
    <w:qFormat/>
    <w:uiPriority w:val="0"/>
    <w:pPr>
      <w:wordWrap w:val="0"/>
      <w:spacing w:after="60"/>
      <w:jc w:val="center"/>
    </w:pPr>
    <w:rPr>
      <w:rFonts w:ascii="Calibri" w:hAnsi="Calibri" w:eastAsia="宋体" w:cs="Times New Roman"/>
      <w:sz w:val="24"/>
      <w:lang w:val="en-US" w:eastAsia="zh-CN" w:bidi="ar-SA"/>
    </w:rPr>
  </w:style>
  <w:style w:type="paragraph" w:styleId="25">
    <w:name w:val="List Number 5"/>
    <w:basedOn w:val="1"/>
    <w:qFormat/>
    <w:uiPriority w:val="0"/>
    <w:pPr>
      <w:numPr>
        <w:ilvl w:val="0"/>
        <w:numId w:val="1"/>
      </w:numPr>
    </w:pPr>
  </w:style>
  <w:style w:type="paragraph" w:styleId="26">
    <w:name w:val="footnote text"/>
    <w:basedOn w:val="1"/>
    <w:qFormat/>
    <w:uiPriority w:val="0"/>
    <w:pPr>
      <w:snapToGrid w:val="0"/>
      <w:jc w:val="left"/>
    </w:pPr>
    <w:rPr>
      <w:sz w:val="18"/>
    </w:rPr>
  </w:style>
  <w:style w:type="paragraph" w:styleId="27">
    <w:name w:val="toc 6"/>
    <w:basedOn w:val="1"/>
    <w:next w:val="1"/>
    <w:qFormat/>
    <w:uiPriority w:val="39"/>
    <w:pPr>
      <w:ind w:left="2100" w:leftChars="1000"/>
    </w:pPr>
  </w:style>
  <w:style w:type="paragraph" w:styleId="28">
    <w:name w:val="Body Text Indent 3"/>
    <w:basedOn w:val="1"/>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29">
    <w:name w:val="toc 2"/>
    <w:basedOn w:val="1"/>
    <w:next w:val="1"/>
    <w:qFormat/>
    <w:uiPriority w:val="39"/>
    <w:pPr>
      <w:ind w:left="420" w:leftChars="200"/>
    </w:pPr>
  </w:style>
  <w:style w:type="paragraph" w:styleId="30">
    <w:name w:val="toc 9"/>
    <w:basedOn w:val="1"/>
    <w:next w:val="1"/>
    <w:qFormat/>
    <w:uiPriority w:val="39"/>
    <w:pPr>
      <w:ind w:left="3360" w:leftChars="1600"/>
    </w:pPr>
  </w:style>
  <w:style w:type="paragraph" w:styleId="31">
    <w:name w:val="Body Text 2"/>
    <w:basedOn w:val="1"/>
    <w:qFormat/>
    <w:uiPriority w:val="0"/>
    <w:pPr>
      <w:adjustRightInd w:val="0"/>
      <w:snapToGrid w:val="0"/>
      <w:spacing w:line="480" w:lineRule="atLeast"/>
    </w:pPr>
    <w:rPr>
      <w:rFonts w:ascii="宋体" w:hAnsi="宋体"/>
      <w:sz w:val="28"/>
    </w:rPr>
  </w:style>
  <w:style w:type="paragraph" w:styleId="3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3">
    <w:name w:val="index 1"/>
    <w:basedOn w:val="1"/>
    <w:next w:val="1"/>
    <w:semiHidden/>
    <w:qFormat/>
    <w:uiPriority w:val="0"/>
    <w:rPr>
      <w:szCs w:val="20"/>
    </w:rPr>
  </w:style>
  <w:style w:type="paragraph" w:styleId="34">
    <w:name w:val="annotation subject"/>
    <w:basedOn w:val="10"/>
    <w:next w:val="10"/>
    <w:link w:val="55"/>
    <w:qFormat/>
    <w:uiPriority w:val="0"/>
    <w:rPr>
      <w:b/>
      <w:bCs/>
    </w:rPr>
  </w:style>
  <w:style w:type="paragraph" w:styleId="35">
    <w:name w:val="Body Text First Indent"/>
    <w:basedOn w:val="11"/>
    <w:next w:val="36"/>
    <w:unhideWhenUsed/>
    <w:qFormat/>
    <w:uiPriority w:val="99"/>
    <w:pPr>
      <w:ind w:firstLine="420" w:firstLineChars="100"/>
    </w:pPr>
  </w:style>
  <w:style w:type="paragraph" w:styleId="36">
    <w:name w:val="Body Text First Indent 2"/>
    <w:basedOn w:val="12"/>
    <w:next w:val="35"/>
    <w:qFormat/>
    <w:uiPriority w:val="0"/>
    <w:pPr>
      <w:ind w:firstLine="420" w:firstLineChars="200"/>
    </w:pPr>
    <w:rPr>
      <w:szCs w:val="24"/>
    </w:rPr>
  </w:style>
  <w:style w:type="table" w:styleId="38">
    <w:name w:val="Table Grid"/>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basedOn w:val="39"/>
    <w:qFormat/>
    <w:uiPriority w:val="0"/>
    <w:rPr>
      <w:b/>
    </w:rPr>
  </w:style>
  <w:style w:type="character" w:styleId="41">
    <w:name w:val="page number"/>
    <w:basedOn w:val="39"/>
    <w:qFormat/>
    <w:uiPriority w:val="0"/>
  </w:style>
  <w:style w:type="character" w:styleId="42">
    <w:name w:val="Hyperlink"/>
    <w:qFormat/>
    <w:uiPriority w:val="99"/>
    <w:rPr>
      <w:color w:val="0000FF"/>
      <w:u w:val="single"/>
    </w:rPr>
  </w:style>
  <w:style w:type="character" w:styleId="43">
    <w:name w:val="annotation reference"/>
    <w:qFormat/>
    <w:uiPriority w:val="99"/>
    <w:rPr>
      <w:sz w:val="21"/>
      <w:szCs w:val="21"/>
    </w:rPr>
  </w:style>
  <w:style w:type="character" w:styleId="44">
    <w:name w:val="HTML Sample"/>
    <w:basedOn w:val="39"/>
    <w:qFormat/>
    <w:uiPriority w:val="0"/>
    <w:rPr>
      <w:rFonts w:ascii="Courier New" w:hAnsi="Courier New"/>
    </w:rPr>
  </w:style>
  <w:style w:type="character" w:customStyle="1" w:styleId="45">
    <w:name w:val="标题 1 Char"/>
    <w:link w:val="2"/>
    <w:qFormat/>
    <w:uiPriority w:val="0"/>
    <w:rPr>
      <w:rFonts w:ascii="宋体"/>
      <w:b/>
      <w:kern w:val="44"/>
      <w:sz w:val="32"/>
    </w:rPr>
  </w:style>
  <w:style w:type="character" w:customStyle="1" w:styleId="46">
    <w:name w:val="标题 2 Char"/>
    <w:link w:val="3"/>
    <w:qFormat/>
    <w:uiPriority w:val="0"/>
    <w:rPr>
      <w:rFonts w:ascii="Arial" w:hAnsi="Arial" w:eastAsia="黑体"/>
      <w:b/>
      <w:sz w:val="30"/>
    </w:rPr>
  </w:style>
  <w:style w:type="character" w:customStyle="1" w:styleId="47">
    <w:name w:val="标题 3 Char"/>
    <w:link w:val="5"/>
    <w:qFormat/>
    <w:uiPriority w:val="0"/>
    <w:rPr>
      <w:rFonts w:ascii="宋体"/>
      <w:b/>
      <w:sz w:val="24"/>
      <w:u w:val="single"/>
    </w:rPr>
  </w:style>
  <w:style w:type="character" w:customStyle="1" w:styleId="48">
    <w:name w:val="批注文字 Char"/>
    <w:link w:val="10"/>
    <w:qFormat/>
    <w:uiPriority w:val="99"/>
    <w:rPr>
      <w:kern w:val="2"/>
      <w:sz w:val="21"/>
      <w:szCs w:val="24"/>
    </w:rPr>
  </w:style>
  <w:style w:type="character" w:customStyle="1" w:styleId="49">
    <w:name w:val="正文文本 Char"/>
    <w:link w:val="11"/>
    <w:qFormat/>
    <w:uiPriority w:val="0"/>
    <w:rPr>
      <w:rFonts w:ascii="宋体" w:hAnsi="宋体"/>
      <w:kern w:val="2"/>
      <w:sz w:val="24"/>
      <w:szCs w:val="24"/>
    </w:rPr>
  </w:style>
  <w:style w:type="character" w:customStyle="1" w:styleId="50">
    <w:name w:val="纯文本 Char"/>
    <w:link w:val="15"/>
    <w:qFormat/>
    <w:uiPriority w:val="0"/>
    <w:rPr>
      <w:rFonts w:ascii="宋体" w:hAnsi="Courier New"/>
      <w:kern w:val="2"/>
      <w:sz w:val="21"/>
    </w:rPr>
  </w:style>
  <w:style w:type="character" w:customStyle="1" w:styleId="51">
    <w:name w:val="日期 Char"/>
    <w:link w:val="17"/>
    <w:qFormat/>
    <w:uiPriority w:val="0"/>
    <w:rPr>
      <w:rFonts w:ascii="仿宋_GB2312" w:hAnsi="宋体" w:eastAsia="仿宋_GB2312"/>
      <w:color w:val="000000"/>
      <w:kern w:val="2"/>
      <w:sz w:val="24"/>
      <w:szCs w:val="24"/>
    </w:rPr>
  </w:style>
  <w:style w:type="character" w:customStyle="1" w:styleId="52">
    <w:name w:val="批注框文本 Char"/>
    <w:link w:val="19"/>
    <w:qFormat/>
    <w:uiPriority w:val="0"/>
    <w:rPr>
      <w:kern w:val="2"/>
      <w:sz w:val="18"/>
      <w:szCs w:val="18"/>
    </w:rPr>
  </w:style>
  <w:style w:type="character" w:customStyle="1" w:styleId="53">
    <w:name w:val="页脚 Char"/>
    <w:link w:val="20"/>
    <w:qFormat/>
    <w:uiPriority w:val="99"/>
    <w:rPr>
      <w:rFonts w:ascii="宋体"/>
      <w:sz w:val="18"/>
    </w:rPr>
  </w:style>
  <w:style w:type="character" w:customStyle="1" w:styleId="54">
    <w:name w:val="页眉 Char"/>
    <w:link w:val="21"/>
    <w:qFormat/>
    <w:uiPriority w:val="0"/>
    <w:rPr>
      <w:kern w:val="2"/>
      <w:sz w:val="18"/>
      <w:szCs w:val="18"/>
    </w:rPr>
  </w:style>
  <w:style w:type="character" w:customStyle="1" w:styleId="55">
    <w:name w:val="批注主题 Char"/>
    <w:link w:val="34"/>
    <w:qFormat/>
    <w:uiPriority w:val="0"/>
    <w:rPr>
      <w:b/>
      <w:bCs/>
      <w:kern w:val="2"/>
      <w:sz w:val="21"/>
      <w:szCs w:val="24"/>
    </w:rPr>
  </w:style>
  <w:style w:type="character" w:customStyle="1" w:styleId="56">
    <w:name w:val="font131"/>
    <w:qFormat/>
    <w:uiPriority w:val="0"/>
    <w:rPr>
      <w:rFonts w:hint="eastAsia" w:ascii="宋体" w:hAnsi="宋体" w:eastAsia="宋体" w:cs="宋体"/>
      <w:color w:val="000000"/>
      <w:sz w:val="16"/>
      <w:szCs w:val="16"/>
      <w:u w:val="none"/>
    </w:rPr>
  </w:style>
  <w:style w:type="character" w:customStyle="1" w:styleId="57">
    <w:name w:val="font01"/>
    <w:basedOn w:val="39"/>
    <w:qFormat/>
    <w:uiPriority w:val="0"/>
    <w:rPr>
      <w:rFonts w:ascii="����" w:hAnsi="����" w:eastAsia="����" w:cs="����"/>
      <w:color w:val="000000"/>
      <w:sz w:val="16"/>
      <w:szCs w:val="16"/>
      <w:u w:val="none"/>
    </w:rPr>
  </w:style>
  <w:style w:type="character" w:customStyle="1" w:styleId="58">
    <w:name w:val="font111"/>
    <w:basedOn w:val="39"/>
    <w:qFormat/>
    <w:uiPriority w:val="0"/>
    <w:rPr>
      <w:rFonts w:hint="default" w:ascii="Times New Roman" w:hAnsi="Times New Roman" w:cs="Times New Roman"/>
      <w:color w:val="000000"/>
      <w:sz w:val="28"/>
      <w:szCs w:val="28"/>
      <w:u w:val="none"/>
    </w:rPr>
  </w:style>
  <w:style w:type="character" w:customStyle="1" w:styleId="59">
    <w:name w:val="font21"/>
    <w:qFormat/>
    <w:uiPriority w:val="0"/>
    <w:rPr>
      <w:rFonts w:hint="eastAsia" w:ascii="微软雅黑 Light" w:hAnsi="微软雅黑 Light" w:eastAsia="微软雅黑 Light" w:cs="微软雅黑 Light"/>
      <w:color w:val="000000"/>
      <w:sz w:val="21"/>
      <w:szCs w:val="21"/>
      <w:u w:val="none"/>
    </w:rPr>
  </w:style>
  <w:style w:type="character" w:customStyle="1" w:styleId="60">
    <w:name w:val="批注主题 Char1"/>
    <w:semiHidden/>
    <w:qFormat/>
    <w:uiPriority w:val="99"/>
    <w:rPr>
      <w:b/>
      <w:bCs/>
      <w:kern w:val="2"/>
      <w:sz w:val="21"/>
      <w:szCs w:val="24"/>
    </w:rPr>
  </w:style>
  <w:style w:type="character" w:customStyle="1" w:styleId="61">
    <w:name w:val="font51"/>
    <w:qFormat/>
    <w:uiPriority w:val="0"/>
    <w:rPr>
      <w:rFonts w:hint="eastAsia" w:ascii="宋体" w:hAnsi="宋体" w:eastAsia="宋体" w:cs="宋体"/>
      <w:color w:val="FF0000"/>
      <w:sz w:val="16"/>
      <w:szCs w:val="16"/>
      <w:u w:val="none"/>
    </w:rPr>
  </w:style>
  <w:style w:type="character" w:customStyle="1" w:styleId="62">
    <w:name w:val="批注文字 Char1"/>
    <w:semiHidden/>
    <w:qFormat/>
    <w:uiPriority w:val="99"/>
    <w:rPr>
      <w:kern w:val="2"/>
      <w:sz w:val="21"/>
      <w:szCs w:val="24"/>
    </w:rPr>
  </w:style>
  <w:style w:type="character" w:customStyle="1" w:styleId="63">
    <w:name w:val="font91"/>
    <w:basedOn w:val="39"/>
    <w:qFormat/>
    <w:uiPriority w:val="0"/>
    <w:rPr>
      <w:rFonts w:hint="eastAsia" w:ascii="宋体" w:hAnsi="宋体" w:eastAsia="宋体" w:cs="宋体"/>
      <w:color w:val="000000"/>
      <w:sz w:val="28"/>
      <w:szCs w:val="28"/>
      <w:u w:val="none"/>
    </w:rPr>
  </w:style>
  <w:style w:type="character" w:customStyle="1" w:styleId="64">
    <w:name w:val="批注框文本 Char1"/>
    <w:semiHidden/>
    <w:qFormat/>
    <w:uiPriority w:val="99"/>
    <w:rPr>
      <w:kern w:val="2"/>
      <w:sz w:val="18"/>
      <w:szCs w:val="18"/>
    </w:rPr>
  </w:style>
  <w:style w:type="character" w:customStyle="1" w:styleId="65">
    <w:name w:val="font31"/>
    <w:basedOn w:val="39"/>
    <w:qFormat/>
    <w:uiPriority w:val="0"/>
    <w:rPr>
      <w:rFonts w:hint="eastAsia" w:ascii="宋体" w:hAnsi="宋体" w:eastAsia="宋体" w:cs="宋体"/>
      <w:color w:val="000000"/>
      <w:sz w:val="16"/>
      <w:szCs w:val="16"/>
      <w:u w:val="none"/>
    </w:rPr>
  </w:style>
  <w:style w:type="character" w:customStyle="1" w:styleId="66">
    <w:name w:val="正文缩进 Char1"/>
    <w:link w:val="67"/>
    <w:qFormat/>
    <w:uiPriority w:val="0"/>
    <w:rPr>
      <w:rFonts w:ascii="宋体"/>
      <w:sz w:val="24"/>
    </w:rPr>
  </w:style>
  <w:style w:type="paragraph" w:customStyle="1" w:styleId="67">
    <w:name w:val="正文缩进1"/>
    <w:basedOn w:val="1"/>
    <w:link w:val="66"/>
    <w:qFormat/>
    <w:uiPriority w:val="0"/>
    <w:pPr>
      <w:autoSpaceDE w:val="0"/>
      <w:autoSpaceDN w:val="0"/>
      <w:adjustRightInd w:val="0"/>
      <w:ind w:firstLine="420"/>
      <w:jc w:val="left"/>
    </w:pPr>
    <w:rPr>
      <w:rFonts w:ascii="宋体"/>
      <w:kern w:val="0"/>
      <w:sz w:val="24"/>
      <w:szCs w:val="20"/>
    </w:rPr>
  </w:style>
  <w:style w:type="character" w:customStyle="1" w:styleId="68">
    <w:name w:val="font151"/>
    <w:qFormat/>
    <w:uiPriority w:val="0"/>
    <w:rPr>
      <w:rFonts w:hint="eastAsia" w:ascii="宋体" w:hAnsi="宋体" w:eastAsia="宋体" w:cs="宋体"/>
      <w:color w:val="FF0000"/>
      <w:sz w:val="16"/>
      <w:szCs w:val="16"/>
      <w:u w:val="none"/>
    </w:rPr>
  </w:style>
  <w:style w:type="character" w:customStyle="1" w:styleId="69">
    <w:name w:val="font101"/>
    <w:qFormat/>
    <w:uiPriority w:val="0"/>
    <w:rPr>
      <w:rFonts w:hint="default" w:ascii="Arial" w:hAnsi="Arial" w:cs="Arial"/>
      <w:color w:val="000000"/>
      <w:sz w:val="16"/>
      <w:szCs w:val="16"/>
      <w:u w:val="none"/>
    </w:rPr>
  </w:style>
  <w:style w:type="character" w:customStyle="1" w:styleId="70">
    <w:name w:val="纯文本 Char1"/>
    <w:link w:val="71"/>
    <w:qFormat/>
    <w:uiPriority w:val="0"/>
    <w:rPr>
      <w:rFonts w:ascii="宋体" w:hAnsi="Courier New"/>
    </w:rPr>
  </w:style>
  <w:style w:type="paragraph" w:customStyle="1" w:styleId="71">
    <w:name w:val="纯文本1"/>
    <w:basedOn w:val="1"/>
    <w:link w:val="70"/>
    <w:qFormat/>
    <w:uiPriority w:val="0"/>
    <w:rPr>
      <w:rFonts w:ascii="宋体" w:hAnsi="Courier New"/>
      <w:kern w:val="0"/>
      <w:sz w:val="20"/>
      <w:szCs w:val="20"/>
    </w:rPr>
  </w:style>
  <w:style w:type="character" w:customStyle="1" w:styleId="72">
    <w:name w:val="font112"/>
    <w:qFormat/>
    <w:uiPriority w:val="0"/>
    <w:rPr>
      <w:rFonts w:hint="default" w:ascii="Arial" w:hAnsi="Arial" w:cs="Arial"/>
      <w:color w:val="FF0000"/>
      <w:sz w:val="16"/>
      <w:szCs w:val="16"/>
      <w:u w:val="none"/>
    </w:rPr>
  </w:style>
  <w:style w:type="character" w:customStyle="1" w:styleId="73">
    <w:name w:val="font11"/>
    <w:qFormat/>
    <w:uiPriority w:val="0"/>
    <w:rPr>
      <w:rFonts w:hint="default" w:ascii="Arial" w:hAnsi="Arial" w:cs="Arial"/>
      <w:color w:val="FF0000"/>
      <w:sz w:val="16"/>
      <w:szCs w:val="16"/>
      <w:u w:val="none"/>
    </w:rPr>
  </w:style>
  <w:style w:type="character" w:customStyle="1" w:styleId="74">
    <w:name w:val="页眉 Char1"/>
    <w:semiHidden/>
    <w:qFormat/>
    <w:uiPriority w:val="99"/>
    <w:rPr>
      <w:kern w:val="2"/>
      <w:sz w:val="18"/>
      <w:szCs w:val="18"/>
    </w:rPr>
  </w:style>
  <w:style w:type="character" w:customStyle="1" w:styleId="75">
    <w:name w:val="font41"/>
    <w:qFormat/>
    <w:uiPriority w:val="0"/>
    <w:rPr>
      <w:rFonts w:hint="eastAsia" w:ascii="宋体" w:hAnsi="宋体" w:eastAsia="宋体" w:cs="宋体"/>
      <w:color w:val="000000"/>
      <w:sz w:val="16"/>
      <w:szCs w:val="16"/>
      <w:u w:val="none"/>
    </w:rPr>
  </w:style>
  <w:style w:type="paragraph" w:customStyle="1" w:styleId="76">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77">
    <w:name w:val="Char"/>
    <w:basedOn w:val="1"/>
    <w:qFormat/>
    <w:uiPriority w:val="0"/>
    <w:pPr>
      <w:tabs>
        <w:tab w:val="left" w:pos="360"/>
      </w:tabs>
    </w:pPr>
    <w:rPr>
      <w:sz w:val="24"/>
    </w:rPr>
  </w:style>
  <w:style w:type="paragraph" w:customStyle="1" w:styleId="78">
    <w:name w:val="正文（绿盟科技）"/>
    <w:qFormat/>
    <w:uiPriority w:val="0"/>
    <w:pPr>
      <w:spacing w:line="300" w:lineRule="auto"/>
    </w:pPr>
    <w:rPr>
      <w:rFonts w:ascii="Arial" w:hAnsi="Arial" w:eastAsia="宋体" w:cs="黑体"/>
      <w:sz w:val="21"/>
      <w:szCs w:val="21"/>
      <w:lang w:val="en-US" w:eastAsia="zh-CN" w:bidi="ar-SA"/>
    </w:rPr>
  </w:style>
  <w:style w:type="paragraph" w:styleId="79">
    <w:name w:val="List Paragraph"/>
    <w:basedOn w:val="1"/>
    <w:qFormat/>
    <w:uiPriority w:val="34"/>
    <w:pPr>
      <w:widowControl/>
      <w:ind w:firstLine="420" w:firstLineChars="200"/>
      <w:jc w:val="left"/>
    </w:pPr>
    <w:rPr>
      <w:kern w:val="0"/>
      <w:sz w:val="24"/>
    </w:rPr>
  </w:style>
  <w:style w:type="paragraph" w:customStyle="1" w:styleId="80">
    <w:name w:val="标题 5（有编号）（绿盟科技）"/>
    <w:basedOn w:val="1"/>
    <w:next w:val="1"/>
    <w:qFormat/>
    <w:uiPriority w:val="0"/>
    <w:pPr>
      <w:keepNext/>
      <w:keepLines/>
      <w:numPr>
        <w:ilvl w:val="4"/>
        <w:numId w:val="2"/>
      </w:numPr>
      <w:spacing w:before="280" w:after="156" w:line="377" w:lineRule="auto"/>
      <w:jc w:val="left"/>
      <w:outlineLvl w:val="4"/>
    </w:pPr>
    <w:rPr>
      <w:rFonts w:ascii="Arial" w:hAnsi="Arial" w:eastAsia="黑体"/>
      <w:b/>
      <w:sz w:val="24"/>
      <w:szCs w:val="28"/>
    </w:rPr>
  </w:style>
  <w:style w:type="paragraph" w:customStyle="1" w:styleId="81">
    <w:name w:val="Table Paragraph"/>
    <w:basedOn w:val="1"/>
    <w:qFormat/>
    <w:uiPriority w:val="1"/>
    <w:rPr>
      <w:rFonts w:ascii="宋体" w:hAnsi="宋体" w:eastAsia="宋体" w:cs="宋体"/>
      <w:lang w:val="zh-CN" w:eastAsia="zh-CN" w:bidi="zh-CN"/>
    </w:rPr>
  </w:style>
  <w:style w:type="paragraph" w:customStyle="1" w:styleId="82">
    <w:name w:val="_Style 1"/>
    <w:basedOn w:val="1"/>
    <w:qFormat/>
    <w:uiPriority w:val="1"/>
    <w:pPr>
      <w:ind w:left="1077" w:firstLine="480"/>
    </w:pPr>
    <w:rPr>
      <w:rFonts w:ascii="仿宋" w:hAnsi="仿宋" w:eastAsia="仿宋" w:cs="仿宋"/>
      <w:lang w:val="zh-CN" w:eastAsia="zh-CN" w:bidi="zh-CN"/>
    </w:rPr>
  </w:style>
  <w:style w:type="paragraph" w:styleId="83">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84">
    <w:name w:val="标书正文"/>
    <w:basedOn w:val="1"/>
    <w:qFormat/>
    <w:uiPriority w:val="0"/>
    <w:pPr>
      <w:spacing w:line="560" w:lineRule="exact"/>
      <w:ind w:firstLine="723" w:firstLineChars="200"/>
      <w:jc w:val="center"/>
    </w:pPr>
    <w:rPr>
      <w:rFonts w:ascii="仿宋_GB2312" w:eastAsia="仿宋_GB2312"/>
      <w:b/>
      <w:sz w:val="36"/>
    </w:rPr>
  </w:style>
  <w:style w:type="paragraph" w:customStyle="1" w:styleId="85">
    <w:name w:val="索引 11"/>
    <w:basedOn w:val="1"/>
    <w:next w:val="1"/>
    <w:qFormat/>
    <w:uiPriority w:val="0"/>
    <w:pPr>
      <w:spacing w:line="360" w:lineRule="auto"/>
    </w:pPr>
    <w:rPr>
      <w:rFonts w:ascii="仿宋_GB2312" w:eastAsia="仿宋_GB2312"/>
      <w:sz w:val="24"/>
      <w:szCs w:val="20"/>
    </w:rPr>
  </w:style>
  <w:style w:type="paragraph" w:customStyle="1" w:styleId="8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7">
    <w:name w:val="正文1"/>
    <w:basedOn w:val="1"/>
    <w:qFormat/>
    <w:uiPriority w:val="0"/>
    <w:pPr>
      <w:spacing w:line="360" w:lineRule="auto"/>
      <w:ind w:left="1260" w:leftChars="600" w:firstLine="540" w:firstLineChars="257"/>
    </w:pPr>
    <w:rPr>
      <w:rFonts w:ascii="宋体" w:hAnsi="宋体"/>
    </w:rPr>
  </w:style>
  <w:style w:type="paragraph" w:customStyle="1" w:styleId="88">
    <w:name w:val="列出段落1"/>
    <w:basedOn w:val="1"/>
    <w:qFormat/>
    <w:uiPriority w:val="1"/>
    <w:pPr>
      <w:ind w:left="111" w:firstLine="640"/>
    </w:pPr>
  </w:style>
  <w:style w:type="paragraph" w:customStyle="1" w:styleId="89">
    <w:name w:val="Table Text"/>
    <w:basedOn w:val="1"/>
    <w:semiHidden/>
    <w:qFormat/>
    <w:uiPriority w:val="0"/>
    <w:rPr>
      <w:rFonts w:ascii="仿宋" w:hAnsi="仿宋" w:eastAsia="仿宋" w:cs="仿宋"/>
      <w:sz w:val="24"/>
      <w:szCs w:val="24"/>
      <w:lang w:val="en-US" w:eastAsia="en-US" w:bidi="ar-SA"/>
    </w:rPr>
  </w:style>
  <w:style w:type="table" w:customStyle="1" w:styleId="90">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99</Pages>
  <Words>20188</Words>
  <Characters>21645</Characters>
  <Lines>338</Lines>
  <Paragraphs>95</Paragraphs>
  <TotalTime>1</TotalTime>
  <ScaleCrop>false</ScaleCrop>
  <LinksUpToDate>false</LinksUpToDate>
  <CharactersWithSpaces>22088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2018-08-15T19:05:00Z</dcterms:created>
  <dc:creator>USER-</dc:creator>
  <cp:lastModifiedBy>Coisini</cp:lastModifiedBy>
  <cp:lastPrinted>2022-09-22T21:14:00Z</cp:lastPrinted>
  <dcterms:modified xsi:type="dcterms:W3CDTF">2025-07-16T15:30:23Z</dcterms:modified>
  <dc:title>02年杜范本稿</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F8E39CF5C6E948D0962E792B140DB9FE_13</vt:lpwstr>
  </property>
  <property fmtid="{D5CDD505-2E9C-101B-9397-08002B2CF9AE}" pid="4" name="KSOTemplateDocerSaveRecord">
    <vt:lpwstr>eyJoZGlkIjoiODY5ZjcwOTg3MmNjMzliYTFhOTIwZjc1MDAwOTYxNmEiLCJ1c2VySWQiOiI0MjA1NzI3NjUifQ==</vt:lpwstr>
  </property>
</Properties>
</file>