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kern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b/>
          <w:kern w:val="0"/>
          <w:sz w:val="32"/>
          <w:szCs w:val="32"/>
          <w:highlight w:val="none"/>
        </w:rPr>
        <w:t>岳普湖县劳务派遣合作社就业设备购置项目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kern w:val="0"/>
          <w:sz w:val="32"/>
          <w:szCs w:val="32"/>
          <w:highlight w:val="none"/>
        </w:rPr>
      </w:pPr>
      <w:r>
        <w:rPr>
          <w:rFonts w:hint="eastAsia" w:ascii="微软雅黑" w:hAnsi="微软雅黑" w:eastAsia="微软雅黑" w:cs="微软雅黑"/>
          <w:b/>
          <w:kern w:val="0"/>
          <w:sz w:val="32"/>
          <w:szCs w:val="32"/>
          <w:highlight w:val="none"/>
        </w:rPr>
        <w:t>公开招标公告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kern w:val="0"/>
          <w:sz w:val="28"/>
          <w:szCs w:val="22"/>
          <w:highlight w:val="none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2"/>
          <w:highlight w:val="none"/>
        </w:rPr>
        <w:t>KSYPHX(GK)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2"/>
          <w:highlight w:val="none"/>
          <w:lang w:val="en-US" w:eastAsia="zh-CN"/>
        </w:rPr>
        <w:t>2020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2"/>
          <w:highlight w:val="none"/>
        </w:rPr>
        <w:t>-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2"/>
          <w:highlight w:val="non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2"/>
          <w:highlight w:val="none"/>
        </w:rPr>
        <w:t>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36" w:firstLineChars="200"/>
        <w:textAlignment w:val="auto"/>
        <w:rPr>
          <w:rFonts w:hint="eastAsia" w:asciiTheme="minorEastAsia" w:hAnsiTheme="minorEastAsia" w:eastAsiaTheme="minorEastAsia" w:cstheme="minorEastAsia"/>
          <w:spacing w:val="-11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kern w:val="0"/>
          <w:sz w:val="24"/>
          <w:highlight w:val="none"/>
        </w:rPr>
        <w:t>岳普湖县政府采购中心对下列货物采取公开招标方式进行采购，现诚邀合格的供应商报名参加投标（提交密封投标文件）</w:t>
      </w:r>
      <w:r>
        <w:rPr>
          <w:rFonts w:hint="eastAsia" w:asciiTheme="minorEastAsia" w:hAnsiTheme="minorEastAsia" w:eastAsiaTheme="minorEastAsia" w:cstheme="minorEastAsia"/>
          <w:spacing w:val="-11"/>
          <w:kern w:val="0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一、</w:t>
      </w:r>
      <w:r>
        <w:rPr>
          <w:rFonts w:hint="eastAsia" w:ascii="宋体" w:hAnsi="宋体"/>
          <w:b/>
          <w:color w:val="000000"/>
          <w:sz w:val="24"/>
          <w:highlight w:val="none"/>
        </w:rPr>
        <w:t>采购项目概况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项目名称：岳普湖县劳务派遣合作社就业设备购置项目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项目编号：KSYPHX(GK)2020-0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采购单位：岳普湖县人力资源和社会保障局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采购机构：岳普湖县政府采购中心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5.采购内容及预算价：（具体内容详见招标文件）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460"/>
        <w:gridCol w:w="150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5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标段</w:t>
            </w:r>
          </w:p>
        </w:tc>
        <w:tc>
          <w:tcPr>
            <w:tcW w:w="346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0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预算价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一标段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挖掘机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9辆</w:t>
            </w:r>
          </w:p>
        </w:tc>
        <w:tc>
          <w:tcPr>
            <w:tcW w:w="2198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663.76万元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9辆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搅拌机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三轮翻斗车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92辆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二标段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183辆</w:t>
            </w:r>
          </w:p>
        </w:tc>
        <w:tc>
          <w:tcPr>
            <w:tcW w:w="2198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45.01万元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水泥路面切割机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喷漆机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电焊机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插入式振动棒/振动机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双向平板打夯机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移动式发电机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10个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小型空压气泵机/气钉枪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台锯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11KW调直机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液压弯箍机/32弯曲机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钢筋切割机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套丝机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9台</w:t>
            </w:r>
          </w:p>
        </w:tc>
        <w:tc>
          <w:tcPr>
            <w:tcW w:w="2198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ind w:firstLine="482" w:firstLineChars="200"/>
        <w:textAlignment w:val="auto"/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二、供应商资格要求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投标人必须符合《中华人民共和国政府采购法》第二十二条的相关规定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）具有相应经营范围的企业法人营业执照原件；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）法定代表人授权委托书及委托代理人身份证原件(委托代理人参加招标提供)或法定代表人身份证原件(法定代表人参加招标提供)；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）税务局出具的完税证明（近期的）和社会保障资金的良好纪录，法人或被授权人需提供社保部门出具的投标单位近一个月（近三个月内任何一个月）的缴纳社保证明（社保缴费凭证和个人明细表）原件；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本项目不接受联合体投标。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</w:rPr>
        <w:t>供应商现场报名时须携带以上(1)、(2)、(3)项复印件一份（均需加盖公章）。本项目接受网上报名，网上报名时请将上述资格证明材料进行扫描，注明报名项目名称、项目编号、项目包（标段）号及供应商名称、联系人、联系方式、电子邮箱号，发送至邮箱（邮箱号：yphxcgzx@qq.com）进行报名，有关详细事项请与岳普湖县政府采购中心联系。要求报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val="en-US" w:eastAsia="zh-CN"/>
        </w:rPr>
        <w:t>资料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</w:rPr>
        <w:t>内容字迹清晰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</w:rPr>
        <w:t>报名时的资料查验不代表最终资格资质的通过或合格。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highlight w:val="none"/>
          <w:lang w:val="en-US" w:eastAsia="zh-CN"/>
        </w:rPr>
        <w:t>三、报名/招标文件发售时间、地址、售价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报名(发售)时间：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日至20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11"/>
          <w:kern w:val="0"/>
          <w:sz w:val="24"/>
          <w:highlight w:val="none"/>
          <w:lang w:eastAsia="zh-CN"/>
        </w:rPr>
        <w:t>日18：00（北京时间）截止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报名（发售/获取）地址：岳普湖县政府采购中心（财政局四楼）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招标文件售价：200元/包（标段）,售后不退。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投标保证金：详见招标文件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开 户 行：中国农业银行岳普湖县支行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highlight w:val="none"/>
          <w:lang w:eastAsia="zh-CN"/>
        </w:rPr>
        <w:t>开户名称：岳普湖县人民政府         账号：30532101040009477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highlight w:val="none"/>
          <w:lang w:val="en-US" w:eastAsia="zh-CN"/>
        </w:rPr>
        <w:t>四、标书费、投标保证金交纳须知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标书费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和投标保证金必须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由报名单位账户转出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且单位名称必须与供应商登记的单位名称一致，不得以个人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分公司或其他机构名义交纳。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标书费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和投标保证金到账时间以银行到账时间为准，投标人须充分考虑银行转账时间和到账时间。为确保标书费和投标保证金按时到账，请尽早交纳。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3.转账备注上必须填写清楚项目编号、标段号及标书费或者投标保证金等关键信息，如：“KSYPHX(GK)2020-01号标书费（1、2标段）”、“KSYPHX(GK)2020-01号投标保证金（1、2标段）”字样。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highlight w:val="none"/>
          <w:lang w:val="en-US" w:eastAsia="zh-CN"/>
        </w:rPr>
        <w:t>五、投标/开标时间、地址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</w:pPr>
      <w:r>
        <w:rPr>
          <w:rFonts w:hint="eastAsia" w:cs="宋体"/>
          <w:b w:val="0"/>
          <w:bCs w:val="0"/>
          <w:kern w:val="0"/>
          <w:sz w:val="24"/>
          <w:szCs w:val="20"/>
          <w:highlight w:val="none"/>
        </w:rPr>
        <w:t>投标截止及开标时间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：20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20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年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3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月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3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日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上午11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: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30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</w:pP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投标文件（正本一份、副本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五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eastAsia="zh-CN"/>
        </w:rPr>
        <w:t>份）到开标现场递交，投标文件一律不予退还。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eastAsia="宋体" w:cs="宋体"/>
          <w:kern w:val="0"/>
          <w:sz w:val="24"/>
          <w:szCs w:val="20"/>
          <w:highlight w:val="none"/>
          <w:lang w:eastAsia="zh-CN"/>
        </w:rPr>
      </w:pP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 w:bidi="ug-CN"/>
        </w:rPr>
        <w:t>投标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</w:rPr>
        <w:t>/开标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地址：岳普湖县采购中心（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</w:rPr>
        <w:t>财政局四楼</w:t>
      </w:r>
      <w:r>
        <w:rPr>
          <w:rFonts w:hint="eastAsia" w:cs="宋体"/>
          <w:b w:val="0"/>
          <w:bCs w:val="0"/>
          <w:kern w:val="0"/>
          <w:sz w:val="24"/>
          <w:szCs w:val="20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cs="宋体"/>
          <w:b/>
          <w:bCs/>
          <w:kern w:val="0"/>
          <w:sz w:val="24"/>
          <w:szCs w:val="20"/>
          <w:highlight w:val="none"/>
        </w:rPr>
      </w:pPr>
      <w:r>
        <w:rPr>
          <w:rFonts w:hint="eastAsia" w:cs="宋体"/>
          <w:b/>
          <w:bCs/>
          <w:kern w:val="0"/>
          <w:sz w:val="24"/>
          <w:szCs w:val="20"/>
          <w:highlight w:val="none"/>
          <w:lang w:val="en-US" w:eastAsia="zh-CN"/>
        </w:rPr>
        <w:t>六</w:t>
      </w:r>
      <w:r>
        <w:rPr>
          <w:rFonts w:hint="eastAsia" w:cs="宋体"/>
          <w:b/>
          <w:bCs/>
          <w:kern w:val="0"/>
          <w:sz w:val="24"/>
          <w:szCs w:val="20"/>
          <w:highlight w:val="none"/>
        </w:rPr>
        <w:t>、联系人和联系方式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eastAsia="宋体" w:cs="宋体"/>
          <w:kern w:val="0"/>
          <w:sz w:val="24"/>
          <w:szCs w:val="20"/>
          <w:highlight w:val="none"/>
          <w:lang w:val="en-US" w:eastAsia="zh-CN"/>
        </w:rPr>
      </w:pPr>
      <w:r>
        <w:rPr>
          <w:rFonts w:hint="eastAsia" w:cs="宋体"/>
          <w:kern w:val="0"/>
          <w:sz w:val="24"/>
          <w:szCs w:val="20"/>
          <w:highlight w:val="none"/>
        </w:rPr>
        <w:t>采购中心联系人：</w:t>
      </w:r>
      <w:r>
        <w:rPr>
          <w:rFonts w:hint="eastAsia" w:cs="宋体"/>
          <w:kern w:val="0"/>
          <w:sz w:val="24"/>
          <w:szCs w:val="20"/>
          <w:highlight w:val="none"/>
          <w:lang w:val="en-US" w:eastAsia="zh-CN"/>
        </w:rPr>
        <w:t xml:space="preserve">买买提艾力  </w:t>
      </w:r>
      <w:r>
        <w:rPr>
          <w:rFonts w:hint="eastAsia" w:cs="宋体"/>
          <w:kern w:val="0"/>
          <w:sz w:val="24"/>
          <w:szCs w:val="20"/>
          <w:highlight w:val="none"/>
        </w:rPr>
        <w:t xml:space="preserve">     联系电话：0998-6886468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eastAsia="宋体" w:cs="宋体"/>
          <w:kern w:val="0"/>
          <w:sz w:val="24"/>
          <w:szCs w:val="20"/>
          <w:highlight w:val="none"/>
          <w:lang w:val="en-US" w:eastAsia="zh-CN"/>
        </w:rPr>
      </w:pPr>
      <w:r>
        <w:rPr>
          <w:rFonts w:hint="eastAsia" w:cs="宋体"/>
          <w:kern w:val="0"/>
          <w:sz w:val="24"/>
          <w:szCs w:val="20"/>
          <w:highlight w:val="none"/>
        </w:rPr>
        <w:t>采购单位联系人：</w:t>
      </w:r>
      <w:r>
        <w:rPr>
          <w:rFonts w:hint="eastAsia" w:cs="宋体"/>
          <w:kern w:val="0"/>
          <w:sz w:val="24"/>
          <w:szCs w:val="20"/>
          <w:highlight w:val="none"/>
          <w:lang w:val="en-US" w:eastAsia="zh-CN"/>
        </w:rPr>
        <w:t xml:space="preserve">苏力坦  </w:t>
      </w:r>
      <w:r>
        <w:rPr>
          <w:rFonts w:hint="eastAsia" w:cs="宋体"/>
          <w:kern w:val="0"/>
          <w:sz w:val="24"/>
          <w:szCs w:val="20"/>
          <w:highlight w:val="none"/>
        </w:rPr>
        <w:t xml:space="preserve">         联系电话：</w:t>
      </w:r>
      <w:r>
        <w:rPr>
          <w:rFonts w:hint="eastAsia" w:cs="宋体"/>
          <w:kern w:val="0"/>
          <w:sz w:val="24"/>
          <w:szCs w:val="20"/>
          <w:highlight w:val="none"/>
          <w:lang w:val="en-US" w:eastAsia="zh-CN"/>
        </w:rPr>
        <w:t>13999094496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cs="宋体"/>
          <w:b/>
          <w:bCs/>
          <w:kern w:val="0"/>
          <w:sz w:val="24"/>
          <w:szCs w:val="20"/>
          <w:highlight w:val="none"/>
        </w:rPr>
      </w:pPr>
      <w:r>
        <w:rPr>
          <w:rFonts w:hint="eastAsia" w:cs="宋体"/>
          <w:b/>
          <w:bCs/>
          <w:kern w:val="0"/>
          <w:sz w:val="24"/>
          <w:szCs w:val="20"/>
          <w:highlight w:val="none"/>
          <w:lang w:val="en-US" w:eastAsia="zh-CN"/>
        </w:rPr>
        <w:t>七</w:t>
      </w:r>
      <w:r>
        <w:rPr>
          <w:rFonts w:hint="eastAsia" w:cs="宋体"/>
          <w:b/>
          <w:bCs/>
          <w:kern w:val="0"/>
          <w:sz w:val="24"/>
          <w:szCs w:val="20"/>
          <w:highlight w:val="none"/>
        </w:rPr>
        <w:t>、监督管理部门和联系方式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56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pacing w:val="-6"/>
          <w:kern w:val="0"/>
          <w:sz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kern w:val="0"/>
          <w:sz w:val="24"/>
          <w:highlight w:val="none"/>
        </w:rPr>
        <w:t>监督管理部门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kern w:val="0"/>
          <w:sz w:val="24"/>
          <w:highlight w:val="none"/>
          <w:lang w:eastAsia="zh-CN"/>
        </w:rPr>
        <w:t>：岳普湖县政府采购管理办公室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6"/>
          <w:kern w:val="0"/>
          <w:sz w:val="24"/>
          <w:highlight w:val="none"/>
          <w:lang w:val="en-US" w:eastAsia="zh-CN"/>
        </w:rPr>
        <w:t xml:space="preserve">      联系电话：0998-6995663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56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-6"/>
          <w:kern w:val="0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 xml:space="preserve">               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560" w:firstLineChars="19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 xml:space="preserve">岳普湖县政府采购中心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年</w:t>
      </w:r>
      <w:r>
        <w:rPr>
          <w:rFonts w:hint="default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日</w:t>
      </w: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1FDF"/>
    <w:rsid w:val="02256EFD"/>
    <w:rsid w:val="03377BCC"/>
    <w:rsid w:val="056E431D"/>
    <w:rsid w:val="084248C1"/>
    <w:rsid w:val="090A7F5E"/>
    <w:rsid w:val="09A31944"/>
    <w:rsid w:val="0A6F71D1"/>
    <w:rsid w:val="0B0059D8"/>
    <w:rsid w:val="0B0C618B"/>
    <w:rsid w:val="0D867E70"/>
    <w:rsid w:val="0EB643B3"/>
    <w:rsid w:val="0ECA27FE"/>
    <w:rsid w:val="0F9F509D"/>
    <w:rsid w:val="10D24F02"/>
    <w:rsid w:val="12676FBD"/>
    <w:rsid w:val="13390893"/>
    <w:rsid w:val="16EA1167"/>
    <w:rsid w:val="17A737E4"/>
    <w:rsid w:val="18B31203"/>
    <w:rsid w:val="19B032E9"/>
    <w:rsid w:val="1A3A4EB4"/>
    <w:rsid w:val="1B73246D"/>
    <w:rsid w:val="1BE23C68"/>
    <w:rsid w:val="1CD46D70"/>
    <w:rsid w:val="1DBF20C5"/>
    <w:rsid w:val="1E94282F"/>
    <w:rsid w:val="1F05030F"/>
    <w:rsid w:val="20B636F4"/>
    <w:rsid w:val="21792EF6"/>
    <w:rsid w:val="22B65980"/>
    <w:rsid w:val="23B2586B"/>
    <w:rsid w:val="23C94443"/>
    <w:rsid w:val="2611018A"/>
    <w:rsid w:val="265765C1"/>
    <w:rsid w:val="266D2643"/>
    <w:rsid w:val="269D0048"/>
    <w:rsid w:val="27D05C2B"/>
    <w:rsid w:val="291A4997"/>
    <w:rsid w:val="29BA22CF"/>
    <w:rsid w:val="2BE04D17"/>
    <w:rsid w:val="2C8F2B51"/>
    <w:rsid w:val="2D0555E1"/>
    <w:rsid w:val="2D652468"/>
    <w:rsid w:val="2DC4688D"/>
    <w:rsid w:val="2DFC6633"/>
    <w:rsid w:val="2E45333C"/>
    <w:rsid w:val="2E592DC7"/>
    <w:rsid w:val="2E7E53C6"/>
    <w:rsid w:val="2EFF3BE8"/>
    <w:rsid w:val="2F0325B9"/>
    <w:rsid w:val="342D33D5"/>
    <w:rsid w:val="34F75100"/>
    <w:rsid w:val="35347781"/>
    <w:rsid w:val="35E53607"/>
    <w:rsid w:val="37640F14"/>
    <w:rsid w:val="380F574C"/>
    <w:rsid w:val="39300367"/>
    <w:rsid w:val="3BEB28E6"/>
    <w:rsid w:val="3D3D7D2E"/>
    <w:rsid w:val="3F6663C8"/>
    <w:rsid w:val="4017248D"/>
    <w:rsid w:val="40704846"/>
    <w:rsid w:val="40E8046A"/>
    <w:rsid w:val="42356439"/>
    <w:rsid w:val="44D67369"/>
    <w:rsid w:val="4636552A"/>
    <w:rsid w:val="46EC5297"/>
    <w:rsid w:val="48631CBB"/>
    <w:rsid w:val="48864EC6"/>
    <w:rsid w:val="48D73E04"/>
    <w:rsid w:val="49025EA2"/>
    <w:rsid w:val="4B3F785C"/>
    <w:rsid w:val="4B4C21E4"/>
    <w:rsid w:val="4BDE2A46"/>
    <w:rsid w:val="4D156793"/>
    <w:rsid w:val="4D6159B7"/>
    <w:rsid w:val="4FAE61E2"/>
    <w:rsid w:val="508806F9"/>
    <w:rsid w:val="52A55C5B"/>
    <w:rsid w:val="54E433C5"/>
    <w:rsid w:val="55EE59FB"/>
    <w:rsid w:val="56841F42"/>
    <w:rsid w:val="582175B0"/>
    <w:rsid w:val="58EC61D6"/>
    <w:rsid w:val="5AE961CA"/>
    <w:rsid w:val="5B751976"/>
    <w:rsid w:val="5BF7240C"/>
    <w:rsid w:val="5DEB0C82"/>
    <w:rsid w:val="5F42781C"/>
    <w:rsid w:val="62F7241D"/>
    <w:rsid w:val="62FA06F8"/>
    <w:rsid w:val="63034D44"/>
    <w:rsid w:val="643F0DFC"/>
    <w:rsid w:val="67950DF3"/>
    <w:rsid w:val="67B04EFF"/>
    <w:rsid w:val="67B44A9E"/>
    <w:rsid w:val="6A171975"/>
    <w:rsid w:val="6A557EB5"/>
    <w:rsid w:val="6AA3576D"/>
    <w:rsid w:val="6B207D1F"/>
    <w:rsid w:val="6E464048"/>
    <w:rsid w:val="70F5429B"/>
    <w:rsid w:val="735B2EE8"/>
    <w:rsid w:val="7445683E"/>
    <w:rsid w:val="75156792"/>
    <w:rsid w:val="75566896"/>
    <w:rsid w:val="76383B8F"/>
    <w:rsid w:val="76452088"/>
    <w:rsid w:val="782F5599"/>
    <w:rsid w:val="78C03FCA"/>
    <w:rsid w:val="79494B54"/>
    <w:rsid w:val="79801531"/>
    <w:rsid w:val="7B5C5667"/>
    <w:rsid w:val="7E2B40C4"/>
    <w:rsid w:val="7F58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2020-01-01T07:58:00Z</dcterms:created>
  <dc:creator>Administrator</dc:creator>
  <cp:lastModifiedBy>CGZX</cp:lastModifiedBy>
  <dcterms:modified xsi:type="dcterms:W3CDTF">2020-02-11T09:24:32Z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