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2E0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14:paraId="143FFB62">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修改前参数</w:t>
            </w:r>
          </w:p>
        </w:tc>
        <w:tc>
          <w:tcPr>
            <w:tcW w:w="4261" w:type="dxa"/>
          </w:tcPr>
          <w:p w14:paraId="574AAEC1">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修改后参数</w:t>
            </w:r>
          </w:p>
        </w:tc>
      </w:tr>
      <w:tr w14:paraId="5812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43112607">
            <w:pPr>
              <w:jc w:val="left"/>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 xml:space="preserve">第四章 项目需求 20 立杆 </w:t>
            </w:r>
            <w:r>
              <w:rPr>
                <w:rFonts w:hint="eastAsia" w:ascii="宋体" w:hAnsi="宋体" w:eastAsia="宋体" w:cs="宋体"/>
                <w:i w:val="0"/>
                <w:iCs w:val="0"/>
                <w:color w:val="auto"/>
                <w:kern w:val="0"/>
                <w:sz w:val="18"/>
                <w:szCs w:val="18"/>
                <w:highlight w:val="none"/>
                <w:u w:val="none"/>
                <w:lang w:val="en-US" w:eastAsia="zh-CN" w:bidi="ar"/>
              </w:rPr>
              <w:t>等边八角形悬臂监控立杆 （H=6.5m,</w:t>
            </w:r>
            <w:r>
              <w:rPr>
                <w:rStyle w:val="10"/>
                <w:rFonts w:hint="eastAsia" w:ascii="宋体" w:hAnsi="宋体" w:eastAsia="宋体" w:cs="宋体"/>
                <w:color w:val="auto"/>
                <w:sz w:val="18"/>
                <w:szCs w:val="18"/>
                <w:highlight w:val="none"/>
                <w:lang w:val="en-US" w:eastAsia="zh-CN" w:bidi="ar"/>
              </w:rPr>
              <w:t>悬臂长6-16m）满足现场实际环境需求，</w:t>
            </w:r>
            <w:r>
              <w:rPr>
                <w:rStyle w:val="11"/>
                <w:rFonts w:hint="eastAsia" w:ascii="宋体" w:hAnsi="宋体" w:eastAsia="宋体" w:cs="宋体"/>
                <w:color w:val="auto"/>
                <w:sz w:val="18"/>
                <w:szCs w:val="18"/>
                <w:highlight w:val="none"/>
                <w:lang w:val="en-US" w:eastAsia="zh-CN" w:bidi="ar"/>
              </w:rPr>
              <w:t>2.材质:Q2353.钢管立柱规格:八脚立杆**6500mm，悬臂横杆长度16000mm4.其他附件:含底法兰、手孔盖、手孔支撑、螺栓、接头法兰、加强筋、雨帽、连接件等5.油漆:所有杆件,表面热浸镀锌防腐防锈处理6.立杆基础 详设计，现浇钢筋混凝土</w:t>
            </w:r>
          </w:p>
        </w:tc>
        <w:tc>
          <w:tcPr>
            <w:tcW w:w="4261" w:type="dxa"/>
          </w:tcPr>
          <w:p w14:paraId="7E8A1D83">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第四章 项目需求 20 立杆</w:t>
            </w:r>
            <w:r>
              <w:rPr>
                <w:rFonts w:hint="eastAsia" w:ascii="宋体" w:hAnsi="宋体" w:eastAsia="宋体" w:cs="宋体"/>
                <w:i w:val="0"/>
                <w:iCs w:val="0"/>
                <w:color w:val="auto"/>
                <w:kern w:val="0"/>
                <w:sz w:val="18"/>
                <w:szCs w:val="18"/>
                <w:highlight w:val="none"/>
                <w:u w:val="none"/>
                <w:lang w:val="en-US" w:eastAsia="zh-CN" w:bidi="ar"/>
              </w:rPr>
              <w:t>等边八角形悬臂监控立杆 （H=6.5m,</w:t>
            </w:r>
            <w:r>
              <w:rPr>
                <w:rStyle w:val="10"/>
                <w:rFonts w:hint="eastAsia" w:ascii="宋体" w:hAnsi="宋体" w:eastAsia="宋体" w:cs="宋体"/>
                <w:color w:val="auto"/>
                <w:sz w:val="18"/>
                <w:szCs w:val="18"/>
                <w:highlight w:val="none"/>
                <w:lang w:val="en-US" w:eastAsia="zh-CN" w:bidi="ar"/>
              </w:rPr>
              <w:t>悬臂长6-16m）满足现场实际环境需求，</w:t>
            </w:r>
            <w:r>
              <w:rPr>
                <w:rStyle w:val="11"/>
                <w:rFonts w:hint="eastAsia" w:ascii="宋体" w:hAnsi="宋体" w:eastAsia="宋体" w:cs="宋体"/>
                <w:color w:val="auto"/>
                <w:sz w:val="18"/>
                <w:szCs w:val="18"/>
                <w:highlight w:val="none"/>
                <w:lang w:val="en-US" w:eastAsia="zh-CN" w:bidi="ar"/>
              </w:rPr>
              <w:t>2.材质:Q2353.钢管立柱规格:八脚立杆**6500mm，悬臂横杆长度16000mm4.其他附件:含底法兰、手孔盖、手孔支撑、螺栓、接头法兰、加强筋、雨帽、连接件等5.油漆:所有杆件,表面热浸镀锌防腐防锈处理6.立杆基础为现浇钢筋混凝土</w:t>
            </w:r>
            <w:r>
              <w:rPr>
                <w:rStyle w:val="11"/>
                <w:rFonts w:hint="eastAsia" w:ascii="宋体" w:hAnsi="宋体" w:cs="宋体"/>
                <w:color w:val="auto"/>
                <w:sz w:val="18"/>
                <w:szCs w:val="18"/>
                <w:highlight w:val="none"/>
                <w:lang w:val="en-US" w:eastAsia="zh-CN" w:bidi="ar"/>
              </w:rPr>
              <w:t>。</w:t>
            </w:r>
          </w:p>
        </w:tc>
      </w:tr>
      <w:tr w14:paraId="4813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4261" w:type="dxa"/>
          </w:tcPr>
          <w:p w14:paraId="3169FE68">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 xml:space="preserve">第四章 项目需求 21 标牌 </w:t>
            </w:r>
            <w:r>
              <w:rPr>
                <w:rFonts w:hint="eastAsia" w:ascii="宋体" w:hAnsi="宋体" w:eastAsia="宋体" w:cs="宋体"/>
                <w:i w:val="0"/>
                <w:iCs w:val="0"/>
                <w:color w:val="auto"/>
                <w:kern w:val="0"/>
                <w:sz w:val="18"/>
                <w:szCs w:val="18"/>
                <w:highlight w:val="none"/>
                <w:u w:val="none"/>
                <w:lang w:val="en-US" w:eastAsia="zh-CN" w:bidi="ar"/>
              </w:rPr>
              <w:t>根据标准规范GB51038.1-2015 GB51038.2-2015·GB/T23827-2021；由投标供应商自行设计制作标牌（含标牌、杆件、预埋件、安装等），</w:t>
            </w:r>
            <w:r>
              <w:rPr>
                <w:rFonts w:hint="eastAsia" w:ascii="宋体" w:hAnsi="宋体" w:eastAsia="宋体" w:cs="宋体"/>
                <w:i w:val="0"/>
                <w:iCs w:val="0"/>
                <w:color w:val="auto"/>
                <w:kern w:val="0"/>
                <w:sz w:val="18"/>
                <w:szCs w:val="18"/>
                <w:highlight w:val="green"/>
                <w:u w:val="none"/>
                <w:lang w:val="en-US" w:eastAsia="zh-CN" w:bidi="ar"/>
              </w:rPr>
              <w:t>由于城市交通路口的复杂性和无法描述性，根据财政部令第87号第二十二条，投标供应商自行组织勘察现场。</w:t>
            </w:r>
          </w:p>
        </w:tc>
        <w:tc>
          <w:tcPr>
            <w:tcW w:w="4261" w:type="dxa"/>
          </w:tcPr>
          <w:p w14:paraId="71E37FCB">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 xml:space="preserve">第四章 项目需求 21 标牌 </w:t>
            </w:r>
            <w:r>
              <w:rPr>
                <w:rFonts w:hint="eastAsia" w:ascii="宋体" w:hAnsi="宋体" w:eastAsia="宋体" w:cs="宋体"/>
                <w:i w:val="0"/>
                <w:iCs w:val="0"/>
                <w:color w:val="auto"/>
                <w:kern w:val="0"/>
                <w:sz w:val="18"/>
                <w:szCs w:val="18"/>
                <w:highlight w:val="none"/>
                <w:u w:val="none"/>
                <w:lang w:val="en-US" w:eastAsia="zh-CN" w:bidi="ar"/>
              </w:rPr>
              <w:t>根据标准规范GB51038.1-2015 GB51038.2-2015·GB/T23827-2021；由投标供应商按照制作标牌（含标牌、杆件、预埋件、安装等），具体规格详见</w:t>
            </w:r>
            <w:r>
              <w:rPr>
                <w:rFonts w:hint="eastAsia" w:ascii="宋体" w:hAnsi="宋体" w:cs="宋体"/>
                <w:i w:val="0"/>
                <w:iCs w:val="0"/>
                <w:color w:val="auto"/>
                <w:kern w:val="0"/>
                <w:sz w:val="18"/>
                <w:szCs w:val="18"/>
                <w:highlight w:val="none"/>
                <w:u w:val="none"/>
                <w:lang w:val="en-US" w:eastAsia="zh-CN" w:bidi="ar"/>
              </w:rPr>
              <w:t>下表（21-1）</w:t>
            </w:r>
            <w:r>
              <w:rPr>
                <w:rFonts w:hint="eastAsia" w:ascii="宋体" w:hAnsi="宋体" w:eastAsia="宋体" w:cs="宋体"/>
                <w:i w:val="0"/>
                <w:iCs w:val="0"/>
                <w:color w:val="auto"/>
                <w:kern w:val="0"/>
                <w:sz w:val="18"/>
                <w:szCs w:val="18"/>
                <w:highlight w:val="none"/>
                <w:u w:val="none"/>
                <w:lang w:val="en-US" w:eastAsia="zh-CN" w:bidi="ar"/>
              </w:rPr>
              <w:t>。</w:t>
            </w:r>
          </w:p>
        </w:tc>
      </w:tr>
      <w:tr w14:paraId="7508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2AC3D055">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 xml:space="preserve">第四章 项目需求 22 电警落地机柜 </w:t>
            </w:r>
            <w:r>
              <w:rPr>
                <w:rFonts w:hint="eastAsia" w:ascii="宋体" w:hAnsi="宋体" w:eastAsia="宋体" w:cs="宋体"/>
                <w:i w:val="0"/>
                <w:iCs w:val="0"/>
                <w:color w:val="auto"/>
                <w:kern w:val="0"/>
                <w:sz w:val="18"/>
                <w:szCs w:val="18"/>
                <w:highlight w:val="none"/>
                <w:u w:val="none"/>
                <w:lang w:val="en-US" w:eastAsia="zh-CN" w:bidi="ar"/>
              </w:rPr>
              <w:t>600*600*1200厚度不低于1.5mm含电源模块，防护等级：IP66热镀锌，</w:t>
            </w:r>
            <w:r>
              <w:rPr>
                <w:rStyle w:val="10"/>
                <w:rFonts w:hint="eastAsia" w:ascii="宋体" w:hAnsi="宋体" w:eastAsia="宋体" w:cs="宋体"/>
                <w:color w:val="auto"/>
                <w:sz w:val="18"/>
                <w:szCs w:val="18"/>
                <w:highlight w:val="none"/>
                <w:lang w:val="en-US" w:eastAsia="zh-CN" w:bidi="ar"/>
              </w:rPr>
              <w:t>符合规范，标准参考现有设备</w:t>
            </w:r>
          </w:p>
        </w:tc>
        <w:tc>
          <w:tcPr>
            <w:tcW w:w="4261" w:type="dxa"/>
          </w:tcPr>
          <w:p w14:paraId="1F50F82B">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 xml:space="preserve">第四章 项目需求 22 电警落地机柜 </w:t>
            </w:r>
            <w:r>
              <w:rPr>
                <w:rFonts w:hint="eastAsia" w:ascii="宋体" w:hAnsi="宋体" w:eastAsia="宋体" w:cs="宋体"/>
                <w:i w:val="0"/>
                <w:iCs w:val="0"/>
                <w:color w:val="auto"/>
                <w:kern w:val="0"/>
                <w:sz w:val="18"/>
                <w:szCs w:val="18"/>
                <w:highlight w:val="none"/>
                <w:u w:val="none"/>
                <w:lang w:val="en-US" w:eastAsia="zh-CN" w:bidi="ar"/>
              </w:rPr>
              <w:t>600*600*1200厚度不低于1.5mm含电源模块，防护等级：IP66热镀锌，</w:t>
            </w:r>
            <w:r>
              <w:rPr>
                <w:rStyle w:val="10"/>
                <w:rFonts w:hint="eastAsia" w:ascii="宋体" w:hAnsi="宋体" w:eastAsia="宋体" w:cs="宋体"/>
                <w:color w:val="auto"/>
                <w:sz w:val="18"/>
                <w:szCs w:val="18"/>
                <w:highlight w:val="none"/>
                <w:lang w:val="en-US" w:eastAsia="zh-CN" w:bidi="ar"/>
              </w:rPr>
              <w:t>符合</w:t>
            </w:r>
            <w:r>
              <w:rPr>
                <w:rStyle w:val="10"/>
                <w:rFonts w:hint="eastAsia" w:ascii="宋体" w:hAnsi="宋体" w:cs="宋体"/>
                <w:color w:val="auto"/>
                <w:sz w:val="18"/>
                <w:szCs w:val="18"/>
                <w:highlight w:val="none"/>
                <w:lang w:val="en-US" w:eastAsia="zh-CN" w:bidi="ar"/>
              </w:rPr>
              <w:t>国标</w:t>
            </w:r>
            <w:r>
              <w:rPr>
                <w:rStyle w:val="10"/>
                <w:rFonts w:hint="eastAsia" w:ascii="宋体" w:hAnsi="宋体" w:eastAsia="宋体" w:cs="宋体"/>
                <w:color w:val="auto"/>
                <w:sz w:val="18"/>
                <w:szCs w:val="18"/>
                <w:highlight w:val="none"/>
                <w:lang w:val="en-US" w:eastAsia="zh-CN" w:bidi="ar"/>
              </w:rPr>
              <w:t>规范</w:t>
            </w:r>
            <w:r>
              <w:rPr>
                <w:rStyle w:val="10"/>
                <w:rFonts w:hint="eastAsia" w:ascii="宋体" w:hAnsi="宋体" w:cs="宋体"/>
                <w:color w:val="auto"/>
                <w:sz w:val="18"/>
                <w:szCs w:val="18"/>
                <w:highlight w:val="none"/>
                <w:lang w:val="en-US" w:eastAsia="zh-CN" w:bidi="ar"/>
              </w:rPr>
              <w:t>；</w:t>
            </w:r>
          </w:p>
        </w:tc>
      </w:tr>
      <w:tr w14:paraId="4BFD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162377BA">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 xml:space="preserve">第四章 项目需求 29 立杆接地极 </w:t>
            </w:r>
            <w:r>
              <w:rPr>
                <w:rFonts w:hint="eastAsia" w:ascii="宋体" w:hAnsi="宋体" w:eastAsia="宋体" w:cs="宋体"/>
                <w:i w:val="0"/>
                <w:iCs w:val="0"/>
                <w:color w:val="000000"/>
                <w:kern w:val="0"/>
                <w:sz w:val="18"/>
                <w:szCs w:val="18"/>
                <w:highlight w:val="none"/>
                <w:u w:val="none"/>
                <w:lang w:val="en-US" w:eastAsia="zh-CN" w:bidi="ar"/>
              </w:rPr>
              <w:t>1.材质：镀锌角钢2.规格：5mm热镀锌接地棒（包括30*5mm扁钢 50*50角钢）3.土质：综合4.基础接地形式：满足建筑图集要求</w:t>
            </w:r>
          </w:p>
        </w:tc>
        <w:tc>
          <w:tcPr>
            <w:tcW w:w="4261" w:type="dxa"/>
          </w:tcPr>
          <w:p w14:paraId="63F2C5CE">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 xml:space="preserve">第四章 项目需求 29 立杆接地极 </w:t>
            </w:r>
            <w:r>
              <w:rPr>
                <w:rFonts w:hint="eastAsia" w:ascii="宋体" w:hAnsi="宋体" w:eastAsia="宋体" w:cs="宋体"/>
                <w:i w:val="0"/>
                <w:iCs w:val="0"/>
                <w:color w:val="000000"/>
                <w:kern w:val="0"/>
                <w:sz w:val="18"/>
                <w:szCs w:val="18"/>
                <w:highlight w:val="none"/>
                <w:u w:val="none"/>
                <w:lang w:val="en-US" w:eastAsia="zh-CN" w:bidi="ar"/>
              </w:rPr>
              <w:t>1.材质：镀锌角钢2.规格：5mm热镀锌接地棒（包括30*5mm扁钢 50*50角钢）</w:t>
            </w:r>
          </w:p>
        </w:tc>
      </w:tr>
      <w:tr w14:paraId="203B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618FDA06">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 xml:space="preserve">第四章 项目需求 30 电源适配器 </w:t>
            </w:r>
            <w:r>
              <w:rPr>
                <w:rFonts w:hint="eastAsia" w:ascii="宋体" w:hAnsi="宋体" w:eastAsia="宋体" w:cs="宋体"/>
                <w:i w:val="0"/>
                <w:iCs w:val="0"/>
                <w:color w:val="000000"/>
                <w:kern w:val="0"/>
                <w:sz w:val="18"/>
                <w:szCs w:val="18"/>
                <w:highlight w:val="none"/>
                <w:u w:val="none"/>
                <w:lang w:val="en-US" w:eastAsia="zh-CN" w:bidi="ar"/>
              </w:rPr>
              <w:t>输入100-240V 50/60HZ；输出+12V-3.33A  40W</w:t>
            </w:r>
          </w:p>
        </w:tc>
        <w:tc>
          <w:tcPr>
            <w:tcW w:w="4261" w:type="dxa"/>
            <w:shd w:val="clear" w:color="auto" w:fill="auto"/>
            <w:vAlign w:val="top"/>
          </w:tcPr>
          <w:p w14:paraId="538DB143">
            <w:pPr>
              <w:jc w:val="left"/>
              <w:rPr>
                <w:rFonts w:hint="eastAsia" w:ascii="黑体" w:hAnsi="黑体" w:eastAsia="黑体" w:cs="黑体"/>
                <w:kern w:val="2"/>
                <w:sz w:val="21"/>
                <w:szCs w:val="24"/>
                <w:vertAlign w:val="baseline"/>
                <w:lang w:val="en-US" w:eastAsia="zh-CN" w:bidi="ar-SA"/>
              </w:rPr>
            </w:pPr>
            <w:r>
              <w:rPr>
                <w:rFonts w:hint="eastAsia" w:ascii="黑体" w:hAnsi="黑体" w:eastAsia="黑体" w:cs="黑体"/>
                <w:vertAlign w:val="baseline"/>
                <w:lang w:val="en-US" w:eastAsia="zh-CN"/>
              </w:rPr>
              <w:t xml:space="preserve">第四章 项目需求 30 电源适配器 </w:t>
            </w:r>
            <w:r>
              <w:rPr>
                <w:rFonts w:hint="eastAsia" w:ascii="宋体" w:hAnsi="宋体" w:eastAsia="宋体" w:cs="宋体"/>
                <w:i w:val="0"/>
                <w:iCs w:val="0"/>
                <w:color w:val="000000"/>
                <w:kern w:val="0"/>
                <w:sz w:val="18"/>
                <w:szCs w:val="18"/>
                <w:highlight w:val="none"/>
                <w:u w:val="none"/>
                <w:lang w:val="en-US" w:eastAsia="zh-CN" w:bidi="ar"/>
              </w:rPr>
              <w:t>直流电压DC12V</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额定电流6A</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额定功率72W</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空载功耗&lt;0.3W</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保护种类：短路/过负载/过电压</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自然风冷</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过电压等级Ⅲ</w:t>
            </w:r>
          </w:p>
        </w:tc>
      </w:tr>
      <w:tr w14:paraId="5301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530A5F64">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 xml:space="preserve">第四章 项目需求 31球机电源适配器 </w:t>
            </w:r>
            <w:r>
              <w:rPr>
                <w:rFonts w:hint="eastAsia" w:ascii="宋体" w:hAnsi="宋体" w:eastAsia="宋体" w:cs="宋体"/>
                <w:i w:val="0"/>
                <w:iCs w:val="0"/>
                <w:color w:val="000000"/>
                <w:kern w:val="0"/>
                <w:sz w:val="18"/>
                <w:szCs w:val="18"/>
                <w:highlight w:val="none"/>
                <w:u w:val="none"/>
                <w:lang w:val="en-US" w:eastAsia="zh-CN" w:bidi="ar"/>
              </w:rPr>
              <w:t>输入100-240V 50/60HZ；输出+24V-3.33A  120W</w:t>
            </w:r>
          </w:p>
        </w:tc>
        <w:tc>
          <w:tcPr>
            <w:tcW w:w="4261" w:type="dxa"/>
            <w:shd w:val="clear" w:color="auto" w:fill="auto"/>
            <w:vAlign w:val="top"/>
          </w:tcPr>
          <w:p w14:paraId="01CF03F7">
            <w:pPr>
              <w:jc w:val="left"/>
              <w:rPr>
                <w:rFonts w:hint="eastAsia" w:ascii="黑体" w:hAnsi="黑体" w:eastAsia="黑体" w:cs="黑体"/>
                <w:kern w:val="2"/>
                <w:sz w:val="21"/>
                <w:szCs w:val="24"/>
                <w:vertAlign w:val="baseline"/>
                <w:lang w:val="en-US" w:eastAsia="zh-CN" w:bidi="ar-SA"/>
              </w:rPr>
            </w:pPr>
            <w:r>
              <w:rPr>
                <w:rFonts w:hint="eastAsia" w:ascii="黑体" w:hAnsi="黑体" w:eastAsia="黑体" w:cs="黑体"/>
                <w:vertAlign w:val="baseline"/>
                <w:lang w:val="en-US" w:eastAsia="zh-CN"/>
              </w:rPr>
              <w:t xml:space="preserve">第四章 项目需求 31球机电源适配器 </w:t>
            </w:r>
            <w:r>
              <w:rPr>
                <w:rFonts w:hint="eastAsia" w:ascii="宋体" w:hAnsi="宋体" w:eastAsia="宋体" w:cs="宋体"/>
                <w:i w:val="0"/>
                <w:iCs w:val="0"/>
                <w:color w:val="000000"/>
                <w:kern w:val="0"/>
                <w:sz w:val="18"/>
                <w:szCs w:val="18"/>
                <w:highlight w:val="none"/>
                <w:u w:val="none"/>
                <w:lang w:val="en-US" w:eastAsia="zh-CN" w:bidi="ar"/>
              </w:rPr>
              <w:t>直流电压DC</w:t>
            </w:r>
            <w:r>
              <w:rPr>
                <w:rFonts w:hint="eastAsia" w:ascii="宋体" w:hAnsi="宋体" w:cs="宋体"/>
                <w:i w:val="0"/>
                <w:iCs w:val="0"/>
                <w:color w:val="000000"/>
                <w:kern w:val="0"/>
                <w:sz w:val="18"/>
                <w:szCs w:val="18"/>
                <w:highlight w:val="none"/>
                <w:u w:val="none"/>
                <w:lang w:val="en-US" w:eastAsia="zh-CN" w:bidi="ar"/>
              </w:rPr>
              <w:t>48</w:t>
            </w:r>
            <w:r>
              <w:rPr>
                <w:rFonts w:hint="eastAsia" w:ascii="宋体" w:hAnsi="宋体" w:eastAsia="宋体" w:cs="宋体"/>
                <w:i w:val="0"/>
                <w:iCs w:val="0"/>
                <w:color w:val="000000"/>
                <w:kern w:val="0"/>
                <w:sz w:val="18"/>
                <w:szCs w:val="18"/>
                <w:highlight w:val="none"/>
                <w:u w:val="none"/>
                <w:lang w:val="en-US" w:eastAsia="zh-CN" w:bidi="ar"/>
              </w:rPr>
              <w:t>V</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额定电流</w:t>
            </w:r>
            <w:r>
              <w:rPr>
                <w:rFonts w:hint="eastAsia" w:ascii="宋体" w:hAnsi="宋体" w:cs="宋体"/>
                <w:i w:val="0"/>
                <w:iCs w:val="0"/>
                <w:color w:val="000000"/>
                <w:kern w:val="0"/>
                <w:sz w:val="18"/>
                <w:szCs w:val="18"/>
                <w:highlight w:val="none"/>
                <w:u w:val="none"/>
                <w:lang w:val="en-US" w:eastAsia="zh-CN" w:bidi="ar"/>
              </w:rPr>
              <w:t>5</w:t>
            </w:r>
            <w:r>
              <w:rPr>
                <w:rFonts w:hint="eastAsia" w:ascii="宋体" w:hAnsi="宋体" w:eastAsia="宋体" w:cs="宋体"/>
                <w:i w:val="0"/>
                <w:iCs w:val="0"/>
                <w:color w:val="000000"/>
                <w:kern w:val="0"/>
                <w:sz w:val="18"/>
                <w:szCs w:val="18"/>
                <w:highlight w:val="none"/>
                <w:u w:val="none"/>
                <w:lang w:val="en-US" w:eastAsia="zh-CN" w:bidi="ar"/>
              </w:rPr>
              <w:t>A</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额定功率</w:t>
            </w:r>
            <w:r>
              <w:rPr>
                <w:rFonts w:hint="eastAsia" w:ascii="宋体" w:hAnsi="宋体" w:cs="宋体"/>
                <w:i w:val="0"/>
                <w:iCs w:val="0"/>
                <w:color w:val="000000"/>
                <w:kern w:val="0"/>
                <w:sz w:val="18"/>
                <w:szCs w:val="18"/>
                <w:highlight w:val="none"/>
                <w:u w:val="none"/>
                <w:lang w:val="en-US" w:eastAsia="zh-CN" w:bidi="ar"/>
              </w:rPr>
              <w:t>240</w:t>
            </w:r>
            <w:r>
              <w:rPr>
                <w:rFonts w:hint="eastAsia" w:ascii="宋体" w:hAnsi="宋体" w:eastAsia="宋体" w:cs="宋体"/>
                <w:i w:val="0"/>
                <w:iCs w:val="0"/>
                <w:color w:val="000000"/>
                <w:kern w:val="0"/>
                <w:sz w:val="18"/>
                <w:szCs w:val="18"/>
                <w:highlight w:val="none"/>
                <w:u w:val="none"/>
                <w:lang w:val="en-US" w:eastAsia="zh-CN" w:bidi="ar"/>
              </w:rPr>
              <w:t>W</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空载功耗&lt;</w:t>
            </w:r>
            <w:r>
              <w:rPr>
                <w:rFonts w:hint="eastAsia" w:ascii="宋体" w:hAnsi="宋体" w:cs="宋体"/>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W</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保护种类：短路/过负载/过电压</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自然风冷</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过电压等级Ⅲ</w:t>
            </w:r>
          </w:p>
        </w:tc>
      </w:tr>
      <w:tr w14:paraId="1570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55ACA1E4">
            <w:pPr>
              <w:jc w:val="left"/>
              <w:rPr>
                <w:rFonts w:hint="default" w:ascii="黑体" w:hAnsi="黑体" w:eastAsia="黑体" w:cs="黑体"/>
                <w:vertAlign w:val="baseline"/>
                <w:lang w:val="en-US" w:eastAsia="zh-CN"/>
              </w:rPr>
            </w:pPr>
            <w:bookmarkStart w:id="0" w:name="_Toc3230"/>
            <w:r>
              <w:rPr>
                <w:rFonts w:hint="eastAsia" w:ascii="黑体" w:hAnsi="黑体" w:eastAsia="黑体" w:cs="黑体"/>
                <w:vertAlign w:val="baseline"/>
                <w:lang w:val="en-US" w:eastAsia="zh-CN"/>
              </w:rPr>
              <w:t>第四章 项目需求 商务条款  3.货款支付</w:t>
            </w:r>
            <w:r>
              <w:rPr>
                <w:rFonts w:hint="eastAsia" w:ascii="宋体" w:hAnsi="宋体" w:eastAsia="宋体" w:cs="宋体"/>
                <w:i w:val="0"/>
                <w:iCs w:val="0"/>
                <w:color w:val="000000"/>
                <w:kern w:val="0"/>
                <w:sz w:val="18"/>
                <w:szCs w:val="18"/>
                <w:highlight w:val="none"/>
                <w:u w:val="none"/>
                <w:lang w:val="en-US" w:eastAsia="zh-CN" w:bidi="ar"/>
              </w:rPr>
              <w:t>第四次付款：余款保修期满两年，无质量问题后无息返还。</w:t>
            </w:r>
          </w:p>
        </w:tc>
        <w:tc>
          <w:tcPr>
            <w:tcW w:w="4261" w:type="dxa"/>
            <w:shd w:val="clear" w:color="auto" w:fill="auto"/>
            <w:vAlign w:val="top"/>
          </w:tcPr>
          <w:p w14:paraId="56481C37">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第四章 项目需求 商务条款  3.货款支付</w:t>
            </w:r>
            <w:r>
              <w:rPr>
                <w:rFonts w:hint="eastAsia" w:ascii="宋体" w:hAnsi="宋体" w:eastAsia="宋体" w:cs="宋体"/>
                <w:i w:val="0"/>
                <w:iCs w:val="0"/>
                <w:color w:val="000000"/>
                <w:kern w:val="0"/>
                <w:sz w:val="18"/>
                <w:szCs w:val="18"/>
                <w:highlight w:val="none"/>
                <w:u w:val="none"/>
                <w:lang w:val="en-US" w:eastAsia="zh-CN" w:bidi="ar"/>
              </w:rPr>
              <w:t>第四次付款：余款保修期满，无质量问题后无息返还。</w:t>
            </w:r>
          </w:p>
        </w:tc>
      </w:tr>
      <w:tr w14:paraId="2167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261" w:type="dxa"/>
          </w:tcPr>
          <w:p w14:paraId="54D8D45D">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第五章  评标方法与评标标准</w:t>
            </w:r>
            <w:bookmarkEnd w:id="0"/>
            <w:r>
              <w:rPr>
                <w:rFonts w:hint="eastAsia" w:ascii="黑体" w:hAnsi="黑体" w:eastAsia="黑体" w:cs="黑体"/>
                <w:vertAlign w:val="baseline"/>
                <w:lang w:val="en-US" w:eastAsia="zh-CN"/>
              </w:rPr>
              <w:t xml:space="preserve">  二、评标办法和评标标准  类似业绩（3分）</w:t>
            </w:r>
            <w:r>
              <w:rPr>
                <w:rFonts w:hint="eastAsia" w:ascii="宋体" w:hAnsi="宋体" w:eastAsia="宋体" w:cs="宋体"/>
                <w:i w:val="0"/>
                <w:iCs w:val="0"/>
                <w:color w:val="000000"/>
                <w:kern w:val="0"/>
                <w:sz w:val="18"/>
                <w:szCs w:val="18"/>
                <w:highlight w:val="none"/>
                <w:u w:val="none"/>
                <w:lang w:val="en-US" w:eastAsia="zh-CN" w:bidi="ar"/>
              </w:rPr>
              <w:t>近三年（2023年01月01日-至今）类似项目业绩，（项目涉及：交管用摄像机、综合业务平台及存储），提供一个得3分，满3分。（需提供中标通知书、合同附件盖章页及采购人对项目评价资料 ，否则不得分）</w:t>
            </w:r>
          </w:p>
        </w:tc>
        <w:tc>
          <w:tcPr>
            <w:tcW w:w="4261" w:type="dxa"/>
            <w:shd w:val="clear" w:color="auto" w:fill="auto"/>
            <w:vAlign w:val="top"/>
          </w:tcPr>
          <w:p w14:paraId="2A982C53">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第五章  评标方法与评标标准  二、评标办法和评标标准  类似业绩（3分）</w:t>
            </w:r>
            <w:r>
              <w:rPr>
                <w:rFonts w:hint="eastAsia" w:ascii="宋体" w:hAnsi="宋体" w:eastAsia="宋体" w:cs="宋体"/>
                <w:i w:val="0"/>
                <w:iCs w:val="0"/>
                <w:color w:val="000000"/>
                <w:kern w:val="0"/>
                <w:sz w:val="18"/>
                <w:szCs w:val="18"/>
                <w:highlight w:val="none"/>
                <w:u w:val="none"/>
                <w:lang w:val="en-US" w:eastAsia="zh-CN" w:bidi="ar"/>
              </w:rPr>
              <w:t>近三年（2023年01月01日-至今）类似项目业绩，提供一个得3分，满3分。（需提供中标通知书、合同附件盖章页及采购人对项目评价资料 ，否则不得分）</w:t>
            </w:r>
          </w:p>
        </w:tc>
      </w:tr>
      <w:tr w14:paraId="0C94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4261" w:type="dxa"/>
          </w:tcPr>
          <w:p w14:paraId="2B633CF7">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 xml:space="preserve">第五章  评标方法与评标标准  二、评标办法和评标标准  专业技术人员配置（10分） </w:t>
            </w:r>
            <w:r>
              <w:rPr>
                <w:rFonts w:hint="eastAsia" w:ascii="宋体" w:hAnsi="宋体" w:eastAsia="宋体" w:cs="宋体"/>
                <w:i w:val="0"/>
                <w:iCs w:val="0"/>
                <w:color w:val="000000"/>
                <w:kern w:val="0"/>
                <w:sz w:val="18"/>
                <w:szCs w:val="18"/>
                <w:highlight w:val="none"/>
                <w:u w:val="none"/>
                <w:lang w:val="en-US" w:eastAsia="zh-CN" w:bidi="ar"/>
              </w:rPr>
              <w:t>1、投标人投入的项目驻场人员不少于3人，项目团队管理成员不少于9人，满足得5分；(提供佐证材料)2、投标人为本项目拟安排的运维服务团队需具有高级信息系统 项目管理师证书、高级系统分析师证书、软件评测师证书、信息 安全工程师证书、数据库系统工程师证书；每提供一项得1分， 共5分。说明：为本项目配备的运维服务团队必须为本单位人员，能够提供单位社保缴纳记录证明(提供提交投标文件截止时间前6个月)及相应专业证书复印件或扫描件，否则不予认可。同一人的多份证书只计一次分。</w:t>
            </w:r>
          </w:p>
        </w:tc>
        <w:tc>
          <w:tcPr>
            <w:tcW w:w="4261" w:type="dxa"/>
            <w:shd w:val="clear" w:color="auto" w:fill="auto"/>
            <w:vAlign w:val="top"/>
          </w:tcPr>
          <w:p w14:paraId="17EA7EDC">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 xml:space="preserve">第五章  评标方法与评标标准  二、评标办法和评标标准  专业技术人员配置（10分） </w:t>
            </w:r>
            <w:r>
              <w:rPr>
                <w:rFonts w:hint="eastAsia" w:ascii="宋体" w:hAnsi="宋体" w:eastAsia="宋体" w:cs="宋体"/>
                <w:i w:val="0"/>
                <w:iCs w:val="0"/>
                <w:color w:val="000000"/>
                <w:kern w:val="0"/>
                <w:sz w:val="18"/>
                <w:szCs w:val="18"/>
                <w:highlight w:val="none"/>
                <w:u w:val="none"/>
                <w:lang w:val="en-US" w:eastAsia="zh-CN" w:bidi="ar"/>
              </w:rPr>
              <w:t>1、投标人投入的项目驻场人员不少于3人，项目团队管理成员不少于9人，满足得5分；(提供佐证材料)2、投标人为本项目拟安排的运维服务团队需具有高级信息系统 项目管理师证书、高级系统分析师证书、软件评测师证书、信息 安全工程师证书、数据库系统工程师证书；每提供一项得1分， 共5分。说明：为本项目配备的运维服务团队必须为本单位人员，能够提供单位社保缴纳记录证明(提供提交投标文件截止时间前6个月任1个月)及相应专业证书复印件或扫描件，否则不予认可。同一人的多份证书只计一次分。</w:t>
            </w:r>
          </w:p>
        </w:tc>
      </w:tr>
      <w:tr w14:paraId="01B5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4261" w:type="dxa"/>
          </w:tcPr>
          <w:p w14:paraId="2E0B271C">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第五章  评标方法与评标标准  二、评标办法和评标标准  技术方案（10分）</w:t>
            </w:r>
            <w:r>
              <w:rPr>
                <w:rFonts w:hint="eastAsia" w:ascii="宋体" w:hAnsi="宋体" w:eastAsia="宋体" w:cs="宋体"/>
                <w:i w:val="0"/>
                <w:iCs w:val="0"/>
                <w:color w:val="000000"/>
                <w:kern w:val="0"/>
                <w:sz w:val="18"/>
                <w:szCs w:val="18"/>
                <w:highlight w:val="none"/>
                <w:u w:val="none"/>
                <w:lang w:val="en-US" w:eastAsia="zh-CN" w:bidi="ar"/>
              </w:rPr>
              <w:t>评标委员会根据各投标人提供的针对本项目制定的实施方案进行综合打分：（1）项目概述方案；（2）总体建设方案；（3）信息资源共享方案；（4）实施进度方案；（5）其他有利于本项目的方案（以上方案内容完整清晰明确、科学合理，满足项目实际需求的，每项计2分，最高得10分，不提供不得分。每有一项内容不完整或每有一处不具有针对性或逻辑性错误或不满足项目实际需求的扣0至2分，扣完为止。）</w:t>
            </w:r>
          </w:p>
        </w:tc>
        <w:tc>
          <w:tcPr>
            <w:tcW w:w="4261" w:type="dxa"/>
            <w:shd w:val="clear" w:color="auto" w:fill="auto"/>
            <w:vAlign w:val="top"/>
          </w:tcPr>
          <w:p w14:paraId="1D3A9AAF">
            <w:pPr>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第五章  评标方法与评标标准  二、评标办法和评标标准  技术方案（10分）</w:t>
            </w:r>
            <w:r>
              <w:rPr>
                <w:rFonts w:hint="eastAsia" w:ascii="宋体" w:hAnsi="宋体" w:eastAsia="宋体" w:cs="宋体"/>
                <w:i w:val="0"/>
                <w:iCs w:val="0"/>
                <w:color w:val="000000"/>
                <w:kern w:val="0"/>
                <w:sz w:val="18"/>
                <w:szCs w:val="18"/>
                <w:highlight w:val="none"/>
                <w:u w:val="none"/>
                <w:lang w:val="en-US" w:eastAsia="zh-CN" w:bidi="ar"/>
              </w:rPr>
              <w:t>评标委员会根据各投标人提供的针对本项目制定的实施方案进行综合打分：（1）项目概述方案；（2）总体建设方案；（3）信息资源共享方案；（4）实施进度方案；（5）其他有利于本项目的方案（以上方案内容完整清晰明确，满足项目实际需求的，每项计2分，最高得10分。每缺一项扣2分，扣完为止。每有一项内容不完整或每有一处不具有针对性或逻辑性错误或不满足项目实际需求的扣1分。）注：内容存在缺陷是指：①该项内容描述前后不一致；②该项内容所阐述的项目信息与本项目实际信息不一致；③该项内容引用的规定、规范错误；④该项内容描述不符合国家相关法律法规、政策文件、规范标准 要求；⑤该项内容阐述的方式方法明显不符合本项目实际情况；⑥该项内容描述与本项目实际情况有差距，未提供更合理方案。</w:t>
            </w:r>
            <w:bookmarkStart w:id="1" w:name="_GoBack"/>
            <w:bookmarkEnd w:id="1"/>
          </w:p>
        </w:tc>
      </w:tr>
    </w:tbl>
    <w:p w14:paraId="508C2B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508D3"/>
    <w:rsid w:val="1C4A017C"/>
    <w:rsid w:val="39AF6B28"/>
    <w:rsid w:val="3AE953F7"/>
    <w:rsid w:val="426D7D8E"/>
    <w:rsid w:val="4E423550"/>
    <w:rsid w:val="545D3D05"/>
    <w:rsid w:val="58C775FB"/>
    <w:rsid w:val="58EA6A46"/>
    <w:rsid w:val="6B347C3F"/>
    <w:rsid w:val="77D15664"/>
    <w:rsid w:val="7F75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400" w:lineRule="exact"/>
      <w:jc w:val="center"/>
      <w:outlineLvl w:val="0"/>
    </w:pPr>
    <w:rPr>
      <w:rFonts w:ascii="Times New Roman" w:hAnsi="Times New Roman" w:eastAsia="方正小标宋简体" w:cs="Times New Roman"/>
      <w:kern w:val="44"/>
      <w:sz w:val="44"/>
      <w:szCs w:val="22"/>
    </w:rPr>
  </w:style>
  <w:style w:type="paragraph" w:styleId="3">
    <w:name w:val="heading 2"/>
    <w:basedOn w:val="1"/>
    <w:next w:val="4"/>
    <w:semiHidden/>
    <w:unhideWhenUsed/>
    <w:qFormat/>
    <w:uiPriority w:val="0"/>
    <w:pPr>
      <w:keepNext/>
      <w:keepLines/>
      <w:autoSpaceDE w:val="0"/>
      <w:autoSpaceDN w:val="0"/>
      <w:adjustRightInd w:val="0"/>
      <w:spacing w:before="120" w:line="300" w:lineRule="auto"/>
      <w:jc w:val="left"/>
      <w:outlineLvl w:val="1"/>
    </w:pPr>
    <w:rPr>
      <w:rFonts w:ascii="Arial" w:hAnsi="Arial" w:eastAsia="楷体" w:cs="Times New Roman"/>
      <w:b/>
      <w:kern w:val="0"/>
      <w:sz w:val="30"/>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First Indent"/>
    <w:basedOn w:val="5"/>
    <w:qFormat/>
    <w:uiPriority w:val="0"/>
    <w:pPr>
      <w:spacing w:line="360" w:lineRule="auto"/>
      <w:ind w:firstLine="200" w:firstLineChars="200"/>
    </w:pPr>
    <w:rPr>
      <w:rFonts w:ascii="仿宋_GB2312" w:eastAsia="仿宋_GB2312"/>
      <w:sz w:val="30"/>
      <w:szCs w:val="30"/>
    </w:rPr>
  </w:style>
  <w:style w:type="paragraph" w:styleId="5">
    <w:name w:val="Body Text"/>
    <w:basedOn w:val="1"/>
    <w:next w:val="1"/>
    <w:qFormat/>
    <w:uiPriority w:val="0"/>
    <w:rPr>
      <w:rFonts w:ascii="楷体_GB2312" w:hAnsi="Arial" w:eastAsia="楷体_GB2312"/>
      <w:sz w:val="28"/>
      <w:szCs w:val="28"/>
    </w:rPr>
  </w:style>
  <w:style w:type="paragraph" w:styleId="6">
    <w:name w:val="Normal Indent"/>
    <w:basedOn w:val="1"/>
    <w:uiPriority w:val="0"/>
    <w:pPr>
      <w:ind w:firstLine="420" w:firstLineChars="200"/>
    </w:p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91"/>
    <w:basedOn w:val="9"/>
    <w:qFormat/>
    <w:uiPriority w:val="0"/>
    <w:rPr>
      <w:rFonts w:hint="eastAsia" w:ascii="宋体" w:hAnsi="宋体" w:eastAsia="宋体" w:cs="宋体"/>
      <w:color w:val="000080"/>
      <w:sz w:val="18"/>
      <w:szCs w:val="18"/>
      <w:u w:val="none"/>
    </w:rPr>
  </w:style>
  <w:style w:type="character" w:customStyle="1" w:styleId="11">
    <w:name w:val="font61"/>
    <w:basedOn w:val="9"/>
    <w:qFormat/>
    <w:uiPriority w:val="0"/>
    <w:rPr>
      <w:rFonts w:hint="eastAsia" w:ascii="黑体" w:hAnsi="宋体" w:eastAsia="黑体" w:cs="黑体"/>
      <w:color w:val="000000"/>
      <w:sz w:val="24"/>
      <w:szCs w:val="24"/>
      <w:u w:val="none"/>
    </w:r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1656</Words>
  <Characters>1970</Characters>
  <Lines>0</Lines>
  <Paragraphs>0</Paragraphs>
  <TotalTime>0</TotalTime>
  <ScaleCrop>false</ScaleCrop>
  <LinksUpToDate>false</LinksUpToDate>
  <CharactersWithSpaces>2070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2020-12-16T08:30:00Z</dcterms:created>
  <dc:creator>华为笔记本</dc:creator>
  <cp:lastModifiedBy>微信用户</cp:lastModifiedBy>
  <dcterms:modified xsi:type="dcterms:W3CDTF">2025-07-08T10:02:35Z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eyJoZGlkIjoiNWY3MDIzYjNhZGI4OTc1OWM1N2MyMmQ4MDllMTUwZTMiLCJ1c2VySWQiOiIxMjgzOTY3ODA4In0=</vt:lpwstr>
  </property>
  <property fmtid="{D5CDD505-2E9C-101B-9397-08002B2CF9AE}" pid="4" name="ICV">
    <vt:lpwstr>A81B4CAE16E648B282D9ECC607DD8D02_13</vt:lpwstr>
  </property>
</Properties>
</file>