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1E50E8">
      <w:pPr>
        <w:rPr>
          <w:rFonts w:hint="eastAsia" w:ascii="黑体" w:hAnsi="黑体" w:eastAsia="黑体"/>
          <w:color w:val="auto"/>
          <w:sz w:val="32"/>
          <w:szCs w:val="32"/>
          <w:highlight w:val="none"/>
          <w:lang w:eastAsia="zh-CN"/>
        </w:rPr>
      </w:pPr>
    </w:p>
    <w:p w14:paraId="7E039B8B">
      <w:pPr>
        <w:jc w:val="center"/>
        <w:rPr>
          <w:rFonts w:hint="eastAsia" w:ascii="黑体" w:hAnsi="黑体" w:eastAsia="黑体"/>
          <w:color w:val="auto"/>
          <w:spacing w:val="5760"/>
          <w:w w:val="100"/>
          <w:kern w:val="0"/>
          <w:sz w:val="36"/>
          <w:szCs w:val="36"/>
          <w:highlight w:val="none"/>
          <w:fitText w:val="6120" w:id="-1002138880"/>
          <w:lang w:val="en-US" w:eastAsia="zh-CN"/>
        </w:rPr>
      </w:pPr>
    </w:p>
    <w:p w14:paraId="143A0883">
      <w:pPr>
        <w:jc w:val="center"/>
        <w:rPr>
          <w:rFonts w:hint="eastAsia" w:ascii="宋体" w:hAnsi="宋体" w:eastAsia="宋体" w:cs="宋体"/>
          <w:b/>
          <w:bCs/>
          <w:color w:val="auto"/>
          <w:sz w:val="60"/>
          <w:szCs w:val="60"/>
          <w:highlight w:val="none"/>
          <w:lang w:val="en-US" w:eastAsia="zh-CN"/>
        </w:rPr>
      </w:pPr>
      <w:r>
        <w:rPr>
          <w:rFonts w:hint="eastAsia" w:ascii="宋体" w:hAnsi="宋体" w:eastAsia="宋体" w:cs="宋体"/>
          <w:b/>
          <w:bCs/>
          <w:color w:val="auto"/>
          <w:kern w:val="0"/>
          <w:sz w:val="60"/>
          <w:szCs w:val="60"/>
          <w:highlight w:val="none"/>
          <w:lang w:val="en-US" w:eastAsia="zh-CN"/>
        </w:rPr>
        <w:t>兵团政府采购项目</w:t>
      </w:r>
    </w:p>
    <w:p w14:paraId="01CD27AD">
      <w:pPr>
        <w:jc w:val="center"/>
        <w:rPr>
          <w:rFonts w:hint="eastAsia" w:ascii="宋体" w:hAnsi="宋体" w:eastAsia="宋体" w:cs="宋体"/>
          <w:b/>
          <w:bCs/>
          <w:color w:val="auto"/>
          <w:sz w:val="60"/>
          <w:szCs w:val="60"/>
          <w:highlight w:val="none"/>
          <w:lang w:val="en-US" w:eastAsia="zh-CN"/>
        </w:rPr>
      </w:pPr>
      <w:r>
        <w:rPr>
          <w:rFonts w:hint="eastAsia" w:ascii="宋体" w:hAnsi="宋体" w:eastAsia="宋体" w:cs="宋体"/>
          <w:b/>
          <w:bCs/>
          <w:color w:val="auto"/>
          <w:sz w:val="60"/>
          <w:szCs w:val="60"/>
          <w:highlight w:val="none"/>
        </w:rPr>
        <w:t>公开招标文件</w:t>
      </w:r>
      <w:r>
        <w:rPr>
          <w:rFonts w:hint="eastAsia" w:ascii="宋体" w:hAnsi="宋体" w:eastAsia="宋体" w:cs="宋体"/>
          <w:b/>
          <w:bCs/>
          <w:color w:val="auto"/>
          <w:sz w:val="60"/>
          <w:szCs w:val="60"/>
          <w:highlight w:val="none"/>
          <w:lang w:val="en-US" w:eastAsia="zh-CN"/>
        </w:rPr>
        <w:t>示范文本</w:t>
      </w:r>
    </w:p>
    <w:p w14:paraId="2348539C">
      <w:pPr>
        <w:jc w:val="center"/>
        <w:rPr>
          <w:rFonts w:hint="eastAsia" w:ascii="宋体" w:hAnsi="宋体" w:eastAsia="宋体" w:cs="宋体"/>
          <w:b/>
          <w:bCs/>
          <w:color w:val="auto"/>
          <w:sz w:val="60"/>
          <w:szCs w:val="60"/>
          <w:highlight w:val="none"/>
        </w:rPr>
      </w:pPr>
      <w:r>
        <w:rPr>
          <w:rFonts w:hint="eastAsia" w:ascii="宋体" w:hAnsi="宋体" w:eastAsia="宋体" w:cs="宋体"/>
          <w:b/>
          <w:bCs/>
          <w:color w:val="auto"/>
          <w:sz w:val="60"/>
          <w:szCs w:val="60"/>
          <w:highlight w:val="none"/>
          <w:lang w:val="en-US" w:eastAsia="zh-CN"/>
        </w:rPr>
        <w:t>（货物）</w:t>
      </w:r>
    </w:p>
    <w:p w14:paraId="5DC44D9A">
      <w:pPr>
        <w:jc w:val="center"/>
        <w:rPr>
          <w:rFonts w:hint="eastAsia" w:ascii="宋体" w:hAnsi="宋体" w:eastAsia="宋体" w:cs="宋体"/>
          <w:b/>
          <w:bCs/>
          <w:color w:val="auto"/>
          <w:sz w:val="60"/>
          <w:szCs w:val="60"/>
          <w:highlight w:val="none"/>
        </w:rPr>
      </w:pPr>
      <w:bookmarkStart w:id="0" w:name="_Hlk164181180"/>
      <w:r>
        <w:rPr>
          <w:rFonts w:hint="eastAsia" w:ascii="宋体" w:hAnsi="宋体" w:eastAsia="宋体" w:cs="宋体"/>
          <w:b/>
          <w:bCs/>
          <w:color w:val="auto"/>
          <w:sz w:val="60"/>
          <w:szCs w:val="60"/>
          <w:highlight w:val="none"/>
        </w:rPr>
        <w:t>（202</w:t>
      </w:r>
      <w:r>
        <w:rPr>
          <w:rFonts w:hint="eastAsia" w:ascii="宋体" w:hAnsi="宋体" w:eastAsia="宋体" w:cs="宋体"/>
          <w:b/>
          <w:bCs/>
          <w:color w:val="auto"/>
          <w:sz w:val="60"/>
          <w:szCs w:val="60"/>
          <w:highlight w:val="none"/>
          <w:lang w:val="en-US" w:eastAsia="zh-CN"/>
        </w:rPr>
        <w:t>5年</w:t>
      </w:r>
      <w:r>
        <w:rPr>
          <w:rFonts w:hint="eastAsia" w:ascii="宋体" w:hAnsi="宋体" w:eastAsia="宋体" w:cs="宋体"/>
          <w:b/>
          <w:bCs/>
          <w:color w:val="auto"/>
          <w:sz w:val="60"/>
          <w:szCs w:val="60"/>
          <w:highlight w:val="none"/>
        </w:rPr>
        <w:t>版）</w:t>
      </w:r>
    </w:p>
    <w:bookmarkEnd w:id="0"/>
    <w:p w14:paraId="7757DFAA">
      <w:pPr>
        <w:spacing w:line="240" w:lineRule="auto"/>
        <w:jc w:val="center"/>
        <w:rPr>
          <w:rFonts w:ascii="黑体" w:hAnsi="黑体" w:eastAsia="黑体"/>
          <w:color w:val="auto"/>
          <w:sz w:val="52"/>
          <w:szCs w:val="52"/>
          <w:highlight w:val="none"/>
        </w:rPr>
      </w:pPr>
    </w:p>
    <w:p w14:paraId="67E856E7">
      <w:pPr>
        <w:spacing w:line="240" w:lineRule="auto"/>
        <w:jc w:val="center"/>
        <w:rPr>
          <w:rFonts w:ascii="黑体" w:hAnsi="黑体" w:eastAsia="黑体"/>
          <w:color w:val="auto"/>
          <w:sz w:val="52"/>
          <w:szCs w:val="52"/>
          <w:highlight w:val="none"/>
        </w:rPr>
      </w:pPr>
    </w:p>
    <w:p w14:paraId="6E97F6A4">
      <w:pPr>
        <w:spacing w:line="240" w:lineRule="auto"/>
        <w:jc w:val="center"/>
        <w:rPr>
          <w:rFonts w:ascii="黑体" w:hAnsi="黑体" w:eastAsia="黑体"/>
          <w:color w:val="auto"/>
          <w:sz w:val="52"/>
          <w:szCs w:val="52"/>
          <w:highlight w:val="none"/>
        </w:rPr>
      </w:pPr>
    </w:p>
    <w:p w14:paraId="0F88ECFE">
      <w:pPr>
        <w:spacing w:line="600" w:lineRule="auto"/>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rPr>
        <w:fldChar w:fldCharType="begin"/>
      </w:r>
      <w:r>
        <w:rPr>
          <w:rFonts w:hint="eastAsia" w:ascii="宋体" w:hAnsi="宋体" w:eastAsia="宋体" w:cs="宋体"/>
          <w:color w:val="auto"/>
          <w:sz w:val="36"/>
          <w:szCs w:val="36"/>
          <w:highlight w:val="none"/>
          <w:u w:val="single"/>
        </w:rPr>
        <w:instrText xml:space="preserve"> HYPERLINK "https://pay.zcygov.cn/purchaseplan_front/" \l "/plan/list/view?id=1000000000015552399" \t "https://www.zcygov.cn/delegation-order/_procurement_/order/orderInfo/check/_blank" </w:instrText>
      </w:r>
      <w:r>
        <w:rPr>
          <w:rFonts w:hint="eastAsia" w:ascii="宋体" w:hAnsi="宋体" w:eastAsia="宋体" w:cs="宋体"/>
          <w:color w:val="auto"/>
          <w:sz w:val="36"/>
          <w:szCs w:val="36"/>
          <w:highlight w:val="none"/>
          <w:u w:val="single"/>
        </w:rPr>
        <w:fldChar w:fldCharType="separate"/>
      </w:r>
      <w:r>
        <w:rPr>
          <w:rFonts w:hint="eastAsia" w:ascii="宋体" w:hAnsi="宋体" w:eastAsia="宋体" w:cs="宋体"/>
          <w:color w:val="auto"/>
          <w:sz w:val="36"/>
          <w:szCs w:val="36"/>
          <w:highlight w:val="none"/>
          <w:u w:val="single"/>
          <w:lang w:eastAsia="zh-CN"/>
        </w:rPr>
        <w:t>B15SBJ[2025]129号</w:t>
      </w:r>
      <w:r>
        <w:rPr>
          <w:rFonts w:hint="eastAsia" w:ascii="宋体" w:hAnsi="宋体" w:eastAsia="宋体" w:cs="宋体"/>
          <w:color w:val="auto"/>
          <w:sz w:val="36"/>
          <w:szCs w:val="36"/>
          <w:highlight w:val="none"/>
          <w:u w:val="single"/>
        </w:rPr>
        <w:fldChar w:fldCharType="end"/>
      </w:r>
      <w:r>
        <w:rPr>
          <w:rFonts w:hint="eastAsia" w:ascii="宋体" w:hAnsi="宋体" w:eastAsia="宋体" w:cs="宋体"/>
          <w:color w:val="auto"/>
          <w:sz w:val="36"/>
          <w:szCs w:val="36"/>
          <w:highlight w:val="none"/>
          <w:u w:val="single"/>
        </w:rPr>
        <w:t xml:space="preserve"> </w:t>
      </w:r>
    </w:p>
    <w:p w14:paraId="0E6E48F8">
      <w:pPr>
        <w:spacing w:line="600" w:lineRule="auto"/>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eastAsia="zh-CN"/>
        </w:rPr>
        <w:t>草湖项目区自然灾害综合监测预警应急管理中心消防车购置项目</w:t>
      </w:r>
      <w:r>
        <w:rPr>
          <w:rFonts w:hint="eastAsia" w:ascii="宋体" w:hAnsi="宋体" w:eastAsia="宋体" w:cs="宋体"/>
          <w:color w:val="auto"/>
          <w:sz w:val="36"/>
          <w:szCs w:val="36"/>
          <w:highlight w:val="none"/>
          <w:u w:val="single"/>
        </w:rPr>
        <w:t xml:space="preserve"> </w:t>
      </w:r>
    </w:p>
    <w:p w14:paraId="0F84FA94">
      <w:pPr>
        <w:spacing w:line="600" w:lineRule="auto"/>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购</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兵地融合发展草湖项目区自然灾害综合监测预警应急管理中心 </w:t>
      </w:r>
    </w:p>
    <w:p w14:paraId="4B180FDF">
      <w:pPr>
        <w:spacing w:line="600" w:lineRule="auto"/>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采购代理机构：</w:t>
      </w:r>
      <w:r>
        <w:rPr>
          <w:rFonts w:hint="eastAsia" w:ascii="宋体" w:hAnsi="宋体" w:eastAsia="宋体" w:cs="宋体"/>
          <w:color w:val="auto"/>
          <w:sz w:val="36"/>
          <w:szCs w:val="36"/>
          <w:highlight w:val="none"/>
          <w:u w:val="single"/>
        </w:rPr>
        <w:t xml:space="preserve">新疆锦辰工程项目管理有限公司 </w:t>
      </w:r>
    </w:p>
    <w:p w14:paraId="2C93F193">
      <w:pPr>
        <w:rPr>
          <w:rFonts w:ascii="黑体" w:hAnsi="黑体" w:eastAsia="黑体"/>
          <w:color w:val="auto"/>
          <w:highlight w:val="none"/>
        </w:rPr>
      </w:pPr>
    </w:p>
    <w:p w14:paraId="320C1BF6">
      <w:pPr>
        <w:ind w:left="350" w:leftChars="175" w:firstLine="640" w:firstLineChars="200"/>
        <w:jc w:val="center"/>
        <w:rPr>
          <w:rFonts w:ascii="黑体" w:hAnsi="黑体" w:eastAsia="黑体"/>
          <w:color w:val="auto"/>
          <w:sz w:val="32"/>
          <w:szCs w:val="32"/>
          <w:highlight w:val="none"/>
        </w:rPr>
      </w:pPr>
      <w:r>
        <w:rPr>
          <w:rFonts w:hint="eastAsia" w:ascii="黑体" w:hAnsi="黑体" w:eastAsia="黑体"/>
          <w:color w:val="auto"/>
          <w:sz w:val="32"/>
          <w:szCs w:val="32"/>
          <w:highlight w:val="none"/>
        </w:rPr>
        <w:t xml:space="preserve"> </w:t>
      </w:r>
      <w:r>
        <w:rPr>
          <w:rFonts w:ascii="黑体" w:hAnsi="黑体" w:eastAsia="黑体"/>
          <w:color w:val="auto"/>
          <w:sz w:val="32"/>
          <w:szCs w:val="32"/>
          <w:highlight w:val="none"/>
        </w:rPr>
        <w:t xml:space="preserve">   </w:t>
      </w:r>
    </w:p>
    <w:p w14:paraId="59D6EE7B">
      <w:pPr>
        <w:pStyle w:val="37"/>
        <w:ind w:left="0" w:leftChars="0" w:firstLine="0" w:firstLineChars="0"/>
        <w:rPr>
          <w:rFonts w:hint="eastAsia" w:ascii="黑体" w:hAnsi="黑体" w:eastAsia="黑体"/>
          <w:color w:val="auto"/>
          <w:sz w:val="72"/>
          <w:szCs w:val="72"/>
          <w:highlight w:val="none"/>
        </w:rPr>
        <w:sectPr>
          <w:pgSz w:w="11906" w:h="16838"/>
          <w:pgMar w:top="1440" w:right="1800" w:bottom="1440" w:left="1800" w:header="851" w:footer="879" w:gutter="0"/>
          <w:pgBorders>
            <w:top w:val="none" w:sz="0" w:space="0"/>
            <w:left w:val="none" w:sz="0" w:space="0"/>
            <w:bottom w:val="none" w:sz="0" w:space="0"/>
            <w:right w:val="none" w:sz="0" w:space="0"/>
          </w:pgBorders>
          <w:cols w:space="0" w:num="1"/>
          <w:rtlGutter w:val="0"/>
          <w:docGrid w:type="lines" w:linePitch="312" w:charSpace="0"/>
        </w:sectPr>
      </w:pPr>
    </w:p>
    <w:p w14:paraId="2E6E0FD2">
      <w:pPr>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 xml:space="preserve">目 </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rPr>
        <w:t>录</w:t>
      </w:r>
    </w:p>
    <w:p w14:paraId="55100918">
      <w:pPr>
        <w:jc w:val="center"/>
        <w:rPr>
          <w:rFonts w:hint="eastAsia" w:ascii="宋体" w:hAnsi="宋体" w:eastAsia="宋体" w:cs="宋体"/>
          <w:b/>
          <w:bCs/>
          <w:color w:val="auto"/>
          <w:sz w:val="36"/>
          <w:szCs w:val="36"/>
          <w:highlight w:val="none"/>
        </w:rPr>
      </w:pPr>
    </w:p>
    <w:p w14:paraId="7A9EDC95">
      <w:pPr>
        <w:pStyle w:val="24"/>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TOC \o "1-4" \h \z \u </w:instrText>
      </w:r>
      <w:r>
        <w:rPr>
          <w:rFonts w:hint="eastAsia" w:ascii="宋体" w:hAnsi="宋体" w:eastAsia="宋体" w:cs="宋体"/>
          <w:color w:val="auto"/>
          <w:sz w:val="24"/>
          <w:szCs w:val="24"/>
          <w:highlight w:val="none"/>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_Toc15581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第一章 招标公告</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_Toc15581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A5F0183">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_Toc6523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项目概况：</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_Toc6523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460A1C3">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_Toc11423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hr-HR" w:eastAsia="zh-CN" w:bidi="ar-SA"/>
        </w:rPr>
        <w:t>一、项目基本情况</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_Toc11423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A14A473">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_Toc14696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二、申请</w:t>
      </w:r>
      <w:r>
        <w:rPr>
          <w:rFonts w:hint="eastAsia" w:hAnsi="Times New Roman" w:cs="Times New Roman" w:asciiTheme="minorHAnsi" w:eastAsiaTheme="minorHAnsi"/>
          <w:b w:val="0"/>
          <w:bCs w:val="0"/>
          <w:i w:val="0"/>
          <w:iCs w:val="0"/>
          <w:caps w:val="0"/>
          <w:smallCaps/>
          <w:sz w:val="20"/>
          <w:szCs w:val="20"/>
          <w:highlight w:val="none"/>
          <w:lang w:val="hr-HR" w:eastAsia="zh-CN" w:bidi="ar-SA"/>
        </w:rPr>
        <w:t>人</w:t>
      </w:r>
      <w:r>
        <w:rPr>
          <w:rFonts w:hint="eastAsia" w:hAnsi="Times New Roman" w:cs="Times New Roman" w:asciiTheme="minorHAnsi" w:eastAsiaTheme="minorHAnsi"/>
          <w:b w:val="0"/>
          <w:bCs w:val="0"/>
          <w:i w:val="0"/>
          <w:iCs w:val="0"/>
          <w:caps w:val="0"/>
          <w:smallCaps/>
          <w:sz w:val="20"/>
          <w:szCs w:val="20"/>
          <w:highlight w:val="none"/>
          <w:lang w:val="en-US" w:eastAsia="zh-CN" w:bidi="ar-SA"/>
        </w:rPr>
        <w:t>的</w:t>
      </w:r>
      <w:r>
        <w:rPr>
          <w:rFonts w:hint="eastAsia" w:hAnsi="Times New Roman" w:cs="Times New Roman" w:asciiTheme="minorHAnsi" w:eastAsiaTheme="minorHAnsi"/>
          <w:b w:val="0"/>
          <w:bCs w:val="0"/>
          <w:i w:val="0"/>
          <w:iCs w:val="0"/>
          <w:caps w:val="0"/>
          <w:smallCaps/>
          <w:sz w:val="20"/>
          <w:szCs w:val="20"/>
          <w:highlight w:val="none"/>
          <w:lang w:val="hr-HR" w:eastAsia="zh-CN" w:bidi="ar-SA"/>
        </w:rPr>
        <w:t>资格要求</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_Toc14696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2B80C86">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_Toc15585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三、</w:t>
      </w:r>
      <w:r>
        <w:rPr>
          <w:rFonts w:hint="eastAsia" w:hAnsi="Times New Roman" w:cs="Times New Roman" w:asciiTheme="minorHAnsi" w:eastAsiaTheme="minorHAnsi"/>
          <w:b w:val="0"/>
          <w:bCs w:val="0"/>
          <w:i w:val="0"/>
          <w:iCs w:val="0"/>
          <w:caps w:val="0"/>
          <w:smallCaps/>
          <w:sz w:val="20"/>
          <w:szCs w:val="20"/>
          <w:highlight w:val="none"/>
          <w:lang w:val="hr-HR" w:eastAsia="zh-CN" w:bidi="ar-SA"/>
        </w:rPr>
        <w:t>获取招标文件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_Toc15585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- 2 -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CADA481">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_Toc32685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四、</w:t>
      </w:r>
      <w:r>
        <w:rPr>
          <w:rFonts w:hint="eastAsia" w:hAnsi="Times New Roman" w:cs="Times New Roman" w:asciiTheme="minorHAnsi" w:eastAsiaTheme="minorHAnsi"/>
          <w:b w:val="0"/>
          <w:bCs w:val="0"/>
          <w:i w:val="0"/>
          <w:iCs w:val="0"/>
          <w:caps w:val="0"/>
          <w:smallCaps/>
          <w:sz w:val="20"/>
          <w:szCs w:val="20"/>
          <w:highlight w:val="none"/>
          <w:lang w:val="hr-HR" w:eastAsia="zh-CN" w:bidi="ar-SA"/>
        </w:rPr>
        <w:t>提交投标文件截止时间</w:t>
      </w:r>
      <w:r>
        <w:rPr>
          <w:rFonts w:hint="eastAsia" w:hAnsi="Times New Roman" w:cs="Times New Roman" w:asciiTheme="minorHAnsi" w:eastAsiaTheme="minorHAnsi"/>
          <w:b w:val="0"/>
          <w:bCs w:val="0"/>
          <w:i w:val="0"/>
          <w:iCs w:val="0"/>
          <w:caps w:val="0"/>
          <w:smallCaps/>
          <w:sz w:val="20"/>
          <w:szCs w:val="20"/>
          <w:highlight w:val="none"/>
          <w:lang w:val="en-US" w:eastAsia="zh-CN" w:bidi="ar-SA"/>
        </w:rPr>
        <w:t>/</w:t>
      </w:r>
      <w:r>
        <w:rPr>
          <w:rFonts w:hint="eastAsia" w:hAnsi="Times New Roman" w:cs="Times New Roman" w:asciiTheme="minorHAnsi" w:eastAsiaTheme="minorHAnsi"/>
          <w:b w:val="0"/>
          <w:bCs w:val="0"/>
          <w:i w:val="0"/>
          <w:iCs w:val="0"/>
          <w:caps w:val="0"/>
          <w:smallCaps/>
          <w:sz w:val="20"/>
          <w:szCs w:val="20"/>
          <w:highlight w:val="none"/>
          <w:lang w:val="hr-HR" w:eastAsia="zh-CN" w:bidi="ar-SA"/>
        </w:rPr>
        <w:t>开标时间、递交方式和</w:t>
      </w:r>
      <w:r>
        <w:rPr>
          <w:rFonts w:hint="eastAsia" w:hAnsi="Times New Roman" w:cs="Times New Roman" w:asciiTheme="minorHAnsi" w:eastAsiaTheme="minorHAnsi"/>
          <w:b w:val="0"/>
          <w:bCs w:val="0"/>
          <w:i w:val="0"/>
          <w:iCs w:val="0"/>
          <w:caps w:val="0"/>
          <w:smallCaps/>
          <w:sz w:val="20"/>
          <w:szCs w:val="20"/>
          <w:highlight w:val="none"/>
          <w:lang w:val="en-US" w:eastAsia="zh-CN" w:bidi="ar-SA"/>
        </w:rPr>
        <w:t>开标</w:t>
      </w:r>
      <w:r>
        <w:rPr>
          <w:rFonts w:hint="eastAsia" w:hAnsi="Times New Roman" w:cs="Times New Roman" w:asciiTheme="minorHAnsi" w:eastAsiaTheme="minorHAnsi"/>
          <w:b w:val="0"/>
          <w:bCs w:val="0"/>
          <w:i w:val="0"/>
          <w:iCs w:val="0"/>
          <w:caps w:val="0"/>
          <w:smallCaps/>
          <w:sz w:val="20"/>
          <w:szCs w:val="20"/>
          <w:highlight w:val="none"/>
          <w:lang w:val="hr-HR" w:eastAsia="zh-CN" w:bidi="ar-SA"/>
        </w:rPr>
        <w:t>地点</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_Toc32685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- 2 -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A6E7F5F">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_Toc22322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五、</w:t>
      </w:r>
      <w:r>
        <w:rPr>
          <w:rFonts w:hint="eastAsia" w:hAnsi="Times New Roman" w:cs="Times New Roman" w:asciiTheme="minorHAnsi" w:eastAsiaTheme="minorHAnsi"/>
          <w:b w:val="0"/>
          <w:bCs w:val="0"/>
          <w:i w:val="0"/>
          <w:iCs w:val="0"/>
          <w:caps w:val="0"/>
          <w:smallCaps/>
          <w:sz w:val="20"/>
          <w:szCs w:val="20"/>
          <w:highlight w:val="none"/>
          <w:lang w:val="hr-HR" w:eastAsia="zh-CN" w:bidi="ar-SA"/>
        </w:rPr>
        <w:t>公告期限</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_Toc22322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- 2 -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1908254">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_Toc6610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六、</w:t>
      </w:r>
      <w:r>
        <w:rPr>
          <w:rFonts w:hint="eastAsia" w:hAnsi="Times New Roman" w:cs="Times New Roman" w:asciiTheme="minorHAnsi" w:eastAsiaTheme="minorHAnsi"/>
          <w:b w:val="0"/>
          <w:bCs w:val="0"/>
          <w:i w:val="0"/>
          <w:iCs w:val="0"/>
          <w:caps w:val="0"/>
          <w:smallCaps/>
          <w:sz w:val="20"/>
          <w:szCs w:val="20"/>
          <w:highlight w:val="none"/>
          <w:lang w:val="hr-HR" w:eastAsia="zh-CN" w:bidi="ar-SA"/>
        </w:rPr>
        <w:t>其他补充事宜</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_Toc6610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- 2 -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EF55A66">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_Toc18221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七、</w:t>
      </w:r>
      <w:r>
        <w:rPr>
          <w:rFonts w:hint="eastAsia" w:hAnsi="Times New Roman" w:cs="Times New Roman" w:asciiTheme="minorHAnsi" w:eastAsiaTheme="minorHAnsi"/>
          <w:b w:val="0"/>
          <w:bCs w:val="0"/>
          <w:i w:val="0"/>
          <w:iCs w:val="0"/>
          <w:caps w:val="0"/>
          <w:smallCaps/>
          <w:sz w:val="20"/>
          <w:szCs w:val="20"/>
          <w:highlight w:val="none"/>
          <w:lang w:val="hr-HR" w:eastAsia="zh-CN" w:bidi="ar-SA"/>
        </w:rPr>
        <w:t>对本次</w:t>
      </w:r>
      <w:r>
        <w:rPr>
          <w:rFonts w:hint="eastAsia" w:hAnsi="Times New Roman" w:cs="Times New Roman" w:asciiTheme="minorHAnsi" w:eastAsiaTheme="minorHAnsi"/>
          <w:b w:val="0"/>
          <w:bCs w:val="0"/>
          <w:i w:val="0"/>
          <w:iCs w:val="0"/>
          <w:caps w:val="0"/>
          <w:smallCaps/>
          <w:sz w:val="20"/>
          <w:szCs w:val="20"/>
          <w:highlight w:val="none"/>
          <w:lang w:val="en-US" w:eastAsia="zh-CN" w:bidi="ar-SA"/>
        </w:rPr>
        <w:t>招标</w:t>
      </w:r>
      <w:r>
        <w:rPr>
          <w:rFonts w:hint="eastAsia" w:hAnsi="Times New Roman" w:cs="Times New Roman" w:asciiTheme="minorHAnsi" w:eastAsiaTheme="minorHAnsi"/>
          <w:b w:val="0"/>
          <w:bCs w:val="0"/>
          <w:i w:val="0"/>
          <w:iCs w:val="0"/>
          <w:caps w:val="0"/>
          <w:smallCaps/>
          <w:sz w:val="20"/>
          <w:szCs w:val="20"/>
          <w:highlight w:val="none"/>
          <w:lang w:val="hr-HR" w:eastAsia="zh-CN" w:bidi="ar-SA"/>
        </w:rPr>
        <w:t>提出询问，请按以下方式联系</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_Toc18221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- 3 -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B3DDC83">
      <w:pPr>
        <w:pStyle w:val="24"/>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_Toc14942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第二章 投标人须知</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_Toc14942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4</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2458EEF">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_Toc7732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一、投标人须知前附表</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_Toc7732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4</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E3FBC7E">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_Toc27876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采购人</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_Toc27876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4</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7674090">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_Toc15085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二、投标人须知</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_Toc15085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6368BD8">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_Toc26743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（一）</w:t>
      </w:r>
      <w:r>
        <w:rPr>
          <w:rFonts w:hint="eastAsia" w:hAnsi="Times New Roman" w:cs="Times New Roman" w:asciiTheme="minorHAnsi" w:eastAsiaTheme="minorHAnsi"/>
          <w:b w:val="0"/>
          <w:bCs w:val="0"/>
          <w:i w:val="0"/>
          <w:iCs w:val="0"/>
          <w:caps w:val="0"/>
          <w:smallCaps/>
          <w:sz w:val="20"/>
          <w:szCs w:val="20"/>
          <w:highlight w:val="none"/>
          <w:lang w:val="zh-CN" w:eastAsia="zh-CN" w:bidi="ar-SA"/>
        </w:rPr>
        <w:t>总则</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_Toc26743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68B3984">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_Toc1815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1.</w:t>
      </w:r>
      <w:r>
        <w:rPr>
          <w:rFonts w:hint="eastAsia" w:hAnsi="Times New Roman" w:cs="Times New Roman" w:asciiTheme="minorHAnsi" w:eastAsiaTheme="minorHAnsi"/>
          <w:b w:val="0"/>
          <w:bCs w:val="0"/>
          <w:i w:val="0"/>
          <w:iCs w:val="0"/>
          <w:caps w:val="0"/>
          <w:smallCaps/>
          <w:sz w:val="20"/>
          <w:szCs w:val="20"/>
          <w:highlight w:val="none"/>
          <w:lang w:val="zh-CN" w:eastAsia="zh-CN" w:bidi="ar-SA"/>
        </w:rPr>
        <w:t>适用范围</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_Toc1815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B406921">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_Toc10987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2.基本定义</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_Toc10987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3709AD4">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_Toc16368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3.资金来源</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_Toc16368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13C76D3">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_Toc16314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4.投标人资格要求</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_Toc16314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5DC2C4E6">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_Toc18974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5.费用承担</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_Toc18974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12</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6B541F5">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_Toc21595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6.保密</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_Toc21595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12</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8C370AB">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_Toc9558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7.语言文字</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_Toc9558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12</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184355D">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_Toc24449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8.计量单位</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_Toc24449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13</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71C654B">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_Toc29979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9.现场考察和答疑会</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_Toc29979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13</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C63951A">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_Toc17833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10.电子投标说明</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_Toc17833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13</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E4B50ED">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_Toc18137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（二）招标文件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_Toc18137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14</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E8C4F4A">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_Toc13808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11.招标文件的组成</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_Toc13808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14</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1DAC85A">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_Toc28460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12.招标文件的询问、澄清或者修改</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_Toc28460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14</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D756554">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_Toc21666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（三）投标文件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_Toc21666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15</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F690E9D">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_Toc17068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13.投标文件的组成</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_Toc17068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15</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1D23FE3">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_Toc26488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14.投标报价</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_Toc26488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15</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7F511D1">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_Toc3529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15.投标有效期</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_Toc3529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16</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8ABDA05">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_Toc30828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16.投标文件的编制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_Toc30828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16</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A578DA5">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_Toc3247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（四）投标</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_Toc3247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17</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E7B261F">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_Toc19600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17.投标保证金</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_Toc19600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18</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5DA709B">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_Toc27486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18.投标文件的加密</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_Toc27486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19</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B89F310">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_Toc13907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19.投标文件的递交（上传）</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_Toc13907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19</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CEAA3EE">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_Toc22348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20.拒收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_Toc22348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19</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FC6B5C5">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_Toc18184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21.投标文件的修改与撤回</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_Toc18184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20</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2568BA8">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_Toc14158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22.实物样品</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_Toc14158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20</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C3685B9">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_Toc16829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23.演示</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_Toc16829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20</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6E4D30A">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_Toc926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（五）开标</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_Toc926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20</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90AE669">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_Toc410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24.开标会议</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_Toc410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20</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ED17AD7">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_Toc18231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25.开标程序</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_Toc18231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20</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00D4394">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_Toc22624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26.开标疑义及回避情形</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_Toc22624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FD15557">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_Toc23769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（六）资格审查</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_Toc23769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15CF14E">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_Toc19907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27.资格审查及审查主体</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_Toc19907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1592476">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_Toc19832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（七）评标</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_Toc19832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C74844C">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_Toc11954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28.评标委员会</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_Toc11954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9C352E1">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_Toc8934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29.评标</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_Toc8934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22</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1BDDE86">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_Toc5073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（八）中标</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_Toc5073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23</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5D35B12">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_Toc22768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30.确定中标人</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_Toc22768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23</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D65FA45">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_Toc161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31.中标结果公告</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_Toc161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23</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436EDAD">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_Toc10317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32.中标通知</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_Toc10317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24</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367C692">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_Toc2364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（九）签订合同</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_Toc2364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24</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1753D53">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_Toc521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33.履约保证金</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_Toc521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24</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48971B4">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_Toc6789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34.签订合同</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_Toc6789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24</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A05BEF0">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_Toc1880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（十）质疑和投诉</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_Toc1880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25</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068E1CB">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_Toc8505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35.质疑</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_Toc8505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25</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5044AD35">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_Toc26869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36.质疑答复</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_Toc26869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25</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FAA0DBF">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_Toc28243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37.投诉</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_Toc28243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26</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4C1A25E">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_Toc12918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（十一）采购代理服务费</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_Toc12918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26</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9B0FECA">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_Toc27533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38.收取方式和标准</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_Toc27533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26</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A9A350B">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_Toc26936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（十二）无效投标和废标</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_Toc26936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26</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739173F">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_Toc2323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39.无效投标</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_Toc2323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26</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16BA2D9">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_Toc25565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40.废标</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_Toc25565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26</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8E128B1">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_Toc21919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（十三）落实政府采购政策（包括但不限于下列具体政策要求）</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_Toc21919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26</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A056875">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_Toc9831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41.支持国产和进口产品审批</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_Toc9831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26</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409ADB9">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_Toc31892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42.中小企业、监狱企业及残疾人福利性单位</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_Toc31892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27</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1825282">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_Toc12403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43.政府采购节能产品、环境标志产品</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_Toc12403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28</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7A0A30F">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_Toc466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44.正版软件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_Toc466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29</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54F453EE">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_Toc22063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45.网络安全专用产品</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_Toc22063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30</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8109F54">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_Toc4446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46.采购需求标准</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_Toc4446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30</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BA9766B">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_Toc16879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（十四）政府采购合同融资政策</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_Toc16879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31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A84A0E0">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_Toc10513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47.政府采购合同融资政策</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_Toc10513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31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D89A23A">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_Toc27544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（十五）其他</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_Toc27544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31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5FD9E2F">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_Toc21736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48.需要补充的其他内容</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_Toc21736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31</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DC64D1E">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_Toc31803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49.适用法律</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_Toc31803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32</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4423CAD">
      <w:pPr>
        <w:pStyle w:val="25"/>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_Toc15020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50.解释权</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_Toc15020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32</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82F1057">
      <w:pPr>
        <w:pStyle w:val="24"/>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_Toc1931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第三章 采购需求</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_Toc1931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33</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CF66EC8">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_Toc22539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一、采购标的</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_Toc22539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33</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51968733">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_Toc4637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二、商务要求【根据项目实际需求调整，如有实质性响应条款要求的，以“★”号作醒目标识，其他非实质性条款明确是否允许负偏离，允许几项负偏离】</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_Toc4637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33</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D9DCC43">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_Toc11874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三、技术要求</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_Toc11874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- 35 -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81B908F">
      <w:pPr>
        <w:pStyle w:val="24"/>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_Toc21139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第四章 资格审查</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_Toc21139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- 49 -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201FD89">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_Toc12727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一、资格审查程序</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_Toc12727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- 49 -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0F4694E">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_Toc19735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二、 资格审查要求</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_Toc19735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- 49 -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8438419">
      <w:pPr>
        <w:pStyle w:val="24"/>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_Toc15551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第五章 评标方法及标准(综合评分法)</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_Toc15551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- 51 -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A59E13A">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_Toc9184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一、评标</w:t>
      </w:r>
      <w:r>
        <w:rPr>
          <w:rFonts w:hint="eastAsia" w:hAnsi="Times New Roman" w:cs="Times New Roman" w:asciiTheme="minorHAnsi" w:eastAsiaTheme="minorHAnsi"/>
          <w:b w:val="0"/>
          <w:bCs w:val="0"/>
          <w:i w:val="0"/>
          <w:iCs w:val="0"/>
          <w:caps w:val="0"/>
          <w:smallCaps/>
          <w:sz w:val="20"/>
          <w:szCs w:val="20"/>
          <w:highlight w:val="none"/>
          <w:lang w:val="en-US" w:eastAsia="zh-CN" w:bidi="ar-SA"/>
        </w:rPr>
        <w:t>方</w:t>
      </w:r>
      <w:r>
        <w:rPr>
          <w:rFonts w:hint="eastAsia" w:hAnsi="Times New Roman" w:cs="Times New Roman" w:asciiTheme="minorHAnsi" w:eastAsiaTheme="minorHAnsi"/>
          <w:b w:val="0"/>
          <w:bCs w:val="0"/>
          <w:i w:val="0"/>
          <w:iCs w:val="0"/>
          <w:caps w:val="0"/>
          <w:smallCaps/>
          <w:sz w:val="20"/>
          <w:szCs w:val="20"/>
          <w:highlight w:val="none"/>
          <w:lang w:val="zh-CN" w:eastAsia="zh-CN" w:bidi="ar-SA"/>
        </w:rPr>
        <w:t>法</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_Toc9184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- 51 -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D0DBF8F">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_Toc6629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二</w:t>
      </w:r>
      <w:r>
        <w:rPr>
          <w:rFonts w:hint="eastAsia" w:hAnsi="Times New Roman" w:cs="Times New Roman" w:asciiTheme="minorHAnsi" w:eastAsiaTheme="minorHAnsi"/>
          <w:b w:val="0"/>
          <w:bCs w:val="0"/>
          <w:i w:val="0"/>
          <w:iCs w:val="0"/>
          <w:caps w:val="0"/>
          <w:smallCaps/>
          <w:sz w:val="20"/>
          <w:szCs w:val="20"/>
          <w:highlight w:val="none"/>
          <w:lang w:val="zh-CN" w:eastAsia="zh-CN" w:bidi="ar-SA"/>
        </w:rPr>
        <w:t>、评标程序</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_Toc6629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- 51 -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502A6C52">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_Toc3212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（一）符合性审查</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_Toc3212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- 51 -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FF93FAE">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_Toc29096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w:t>
      </w:r>
      <w:r>
        <w:rPr>
          <w:rFonts w:hint="eastAsia" w:hAnsi="Times New Roman" w:cs="Times New Roman" w:asciiTheme="minorHAnsi" w:eastAsiaTheme="minorHAnsi"/>
          <w:b w:val="0"/>
          <w:bCs w:val="0"/>
          <w:i w:val="0"/>
          <w:iCs w:val="0"/>
          <w:caps w:val="0"/>
          <w:smallCaps/>
          <w:sz w:val="20"/>
          <w:szCs w:val="20"/>
          <w:highlight w:val="none"/>
          <w:lang w:val="en-US" w:eastAsia="zh-CN" w:bidi="ar-SA"/>
        </w:rPr>
        <w:t>二</w:t>
      </w:r>
      <w:r>
        <w:rPr>
          <w:rFonts w:hint="eastAsia" w:hAnsi="Times New Roman" w:cs="Times New Roman" w:asciiTheme="minorHAnsi" w:eastAsiaTheme="minorHAnsi"/>
          <w:b w:val="0"/>
          <w:bCs w:val="0"/>
          <w:i w:val="0"/>
          <w:iCs w:val="0"/>
          <w:caps w:val="0"/>
          <w:smallCaps/>
          <w:sz w:val="20"/>
          <w:szCs w:val="20"/>
          <w:highlight w:val="none"/>
          <w:lang w:val="zh-CN" w:eastAsia="zh-CN" w:bidi="ar-SA"/>
        </w:rPr>
        <w:t>）投标文件澄清及修正</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_Toc29096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- 51 -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4FBB8B4">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_Toc6545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w:t>
      </w:r>
      <w:r>
        <w:rPr>
          <w:rFonts w:hint="eastAsia" w:hAnsi="Times New Roman" w:cs="Times New Roman" w:asciiTheme="minorHAnsi" w:eastAsiaTheme="minorHAnsi"/>
          <w:b w:val="0"/>
          <w:bCs w:val="0"/>
          <w:i w:val="0"/>
          <w:iCs w:val="0"/>
          <w:caps w:val="0"/>
          <w:smallCaps/>
          <w:sz w:val="20"/>
          <w:szCs w:val="20"/>
          <w:highlight w:val="none"/>
          <w:lang w:val="en-US" w:eastAsia="zh-CN" w:bidi="ar-SA"/>
        </w:rPr>
        <w:t>三</w:t>
      </w:r>
      <w:r>
        <w:rPr>
          <w:rFonts w:hint="eastAsia" w:hAnsi="Times New Roman" w:cs="Times New Roman" w:asciiTheme="minorHAnsi" w:eastAsiaTheme="minorHAnsi"/>
          <w:b w:val="0"/>
          <w:bCs w:val="0"/>
          <w:i w:val="0"/>
          <w:iCs w:val="0"/>
          <w:caps w:val="0"/>
          <w:smallCaps/>
          <w:sz w:val="20"/>
          <w:szCs w:val="20"/>
          <w:highlight w:val="none"/>
          <w:lang w:val="zh-CN" w:eastAsia="zh-CN" w:bidi="ar-SA"/>
        </w:rPr>
        <w:t>）比较与评价</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_Toc6545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- 52 -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05B19AE">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_Toc12492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w:t>
      </w:r>
      <w:r>
        <w:rPr>
          <w:rFonts w:hint="eastAsia" w:hAnsi="Times New Roman" w:cs="Times New Roman" w:asciiTheme="minorHAnsi" w:eastAsiaTheme="minorHAnsi"/>
          <w:b w:val="0"/>
          <w:bCs w:val="0"/>
          <w:i w:val="0"/>
          <w:iCs w:val="0"/>
          <w:caps w:val="0"/>
          <w:smallCaps/>
          <w:sz w:val="20"/>
          <w:szCs w:val="20"/>
          <w:highlight w:val="none"/>
          <w:lang w:val="en-US" w:eastAsia="zh-CN" w:bidi="ar-SA"/>
        </w:rPr>
        <w:t>四</w:t>
      </w:r>
      <w:r>
        <w:rPr>
          <w:rFonts w:hint="eastAsia" w:hAnsi="Times New Roman" w:cs="Times New Roman" w:asciiTheme="minorHAnsi" w:eastAsiaTheme="minorHAnsi"/>
          <w:b w:val="0"/>
          <w:bCs w:val="0"/>
          <w:i w:val="0"/>
          <w:iCs w:val="0"/>
          <w:caps w:val="0"/>
          <w:smallCaps/>
          <w:sz w:val="20"/>
          <w:szCs w:val="20"/>
          <w:highlight w:val="none"/>
          <w:lang w:val="zh-CN" w:eastAsia="zh-CN" w:bidi="ar-SA"/>
        </w:rPr>
        <w:t>）报价评审</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_Toc12492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- 53 -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DD08A88">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_Toc16419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w:t>
      </w:r>
      <w:r>
        <w:rPr>
          <w:rFonts w:hint="eastAsia" w:hAnsi="Times New Roman" w:cs="Times New Roman" w:asciiTheme="minorHAnsi" w:eastAsiaTheme="minorHAnsi"/>
          <w:b w:val="0"/>
          <w:bCs w:val="0"/>
          <w:i w:val="0"/>
          <w:iCs w:val="0"/>
          <w:caps w:val="0"/>
          <w:smallCaps/>
          <w:sz w:val="20"/>
          <w:szCs w:val="20"/>
          <w:highlight w:val="none"/>
          <w:lang w:val="en-US" w:eastAsia="zh-CN" w:bidi="ar-SA"/>
        </w:rPr>
        <w:t>五</w:t>
      </w:r>
      <w:r>
        <w:rPr>
          <w:rFonts w:hint="eastAsia" w:hAnsi="Times New Roman" w:cs="Times New Roman" w:asciiTheme="minorHAnsi" w:eastAsiaTheme="minorHAnsi"/>
          <w:b w:val="0"/>
          <w:bCs w:val="0"/>
          <w:i w:val="0"/>
          <w:iCs w:val="0"/>
          <w:caps w:val="0"/>
          <w:smallCaps/>
          <w:sz w:val="20"/>
          <w:szCs w:val="20"/>
          <w:highlight w:val="none"/>
          <w:lang w:val="zh-CN" w:eastAsia="zh-CN" w:bidi="ar-SA"/>
        </w:rPr>
        <w:t>）评标得分及复核</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_Toc16419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- 54 -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25389AC">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_Toc19764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w:t>
      </w:r>
      <w:r>
        <w:rPr>
          <w:rFonts w:hint="eastAsia" w:hAnsi="Times New Roman" w:cs="Times New Roman" w:asciiTheme="minorHAnsi" w:eastAsiaTheme="minorHAnsi"/>
          <w:b w:val="0"/>
          <w:bCs w:val="0"/>
          <w:i w:val="0"/>
          <w:iCs w:val="0"/>
          <w:caps w:val="0"/>
          <w:smallCaps/>
          <w:sz w:val="20"/>
          <w:szCs w:val="20"/>
          <w:highlight w:val="none"/>
          <w:lang w:val="en-US" w:eastAsia="zh-CN" w:bidi="ar-SA"/>
        </w:rPr>
        <w:t>六</w:t>
      </w:r>
      <w:r>
        <w:rPr>
          <w:rFonts w:hint="eastAsia" w:hAnsi="Times New Roman" w:cs="Times New Roman" w:asciiTheme="minorHAnsi" w:eastAsiaTheme="minorHAnsi"/>
          <w:b w:val="0"/>
          <w:bCs w:val="0"/>
          <w:i w:val="0"/>
          <w:iCs w:val="0"/>
          <w:caps w:val="0"/>
          <w:smallCaps/>
          <w:sz w:val="20"/>
          <w:szCs w:val="20"/>
          <w:highlight w:val="none"/>
          <w:lang w:val="zh-CN" w:eastAsia="zh-CN" w:bidi="ar-SA"/>
        </w:rPr>
        <w:t>）排序与推荐</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_Toc19764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- 55 -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4765E9A">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_Toc1587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w:t>
      </w:r>
      <w:r>
        <w:rPr>
          <w:rFonts w:hint="eastAsia" w:hAnsi="Times New Roman" w:cs="Times New Roman" w:asciiTheme="minorHAnsi" w:eastAsiaTheme="minorHAnsi"/>
          <w:b w:val="0"/>
          <w:bCs w:val="0"/>
          <w:i w:val="0"/>
          <w:iCs w:val="0"/>
          <w:caps w:val="0"/>
          <w:smallCaps/>
          <w:sz w:val="20"/>
          <w:szCs w:val="20"/>
          <w:highlight w:val="none"/>
          <w:lang w:val="en-US" w:eastAsia="zh-CN" w:bidi="ar-SA"/>
        </w:rPr>
        <w:t>七</w:t>
      </w:r>
      <w:r>
        <w:rPr>
          <w:rFonts w:hint="eastAsia" w:hAnsi="Times New Roman" w:cs="Times New Roman" w:asciiTheme="minorHAnsi" w:eastAsiaTheme="minorHAnsi"/>
          <w:b w:val="0"/>
          <w:bCs w:val="0"/>
          <w:i w:val="0"/>
          <w:iCs w:val="0"/>
          <w:caps w:val="0"/>
          <w:smallCaps/>
          <w:sz w:val="20"/>
          <w:szCs w:val="20"/>
          <w:highlight w:val="none"/>
          <w:lang w:val="zh-CN" w:eastAsia="zh-CN" w:bidi="ar-SA"/>
        </w:rPr>
        <w:t>）编写评标报告</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_Toc1587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- 55 -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570FDE5C">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_Toc18008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w:t>
      </w:r>
      <w:r>
        <w:rPr>
          <w:rFonts w:hint="eastAsia" w:hAnsi="Times New Roman" w:cs="Times New Roman" w:asciiTheme="minorHAnsi" w:eastAsiaTheme="minorHAnsi"/>
          <w:b w:val="0"/>
          <w:bCs w:val="0"/>
          <w:i w:val="0"/>
          <w:iCs w:val="0"/>
          <w:caps w:val="0"/>
          <w:smallCaps/>
          <w:sz w:val="20"/>
          <w:szCs w:val="20"/>
          <w:highlight w:val="none"/>
          <w:lang w:val="en-US" w:eastAsia="zh-CN" w:bidi="ar-SA"/>
        </w:rPr>
        <w:t>八</w:t>
      </w:r>
      <w:r>
        <w:rPr>
          <w:rFonts w:hint="eastAsia" w:hAnsi="Times New Roman" w:cs="Times New Roman" w:asciiTheme="minorHAnsi" w:eastAsiaTheme="minorHAnsi"/>
          <w:b w:val="0"/>
          <w:bCs w:val="0"/>
          <w:i w:val="0"/>
          <w:iCs w:val="0"/>
          <w:caps w:val="0"/>
          <w:smallCaps/>
          <w:sz w:val="20"/>
          <w:szCs w:val="20"/>
          <w:highlight w:val="none"/>
          <w:lang w:val="zh-CN" w:eastAsia="zh-CN" w:bidi="ar-SA"/>
        </w:rPr>
        <w:t>）</w:t>
      </w:r>
      <w:r>
        <w:rPr>
          <w:rFonts w:hint="eastAsia" w:hAnsi="Times New Roman" w:cs="Times New Roman" w:asciiTheme="minorHAnsi" w:eastAsiaTheme="minorHAnsi"/>
          <w:b w:val="0"/>
          <w:bCs w:val="0"/>
          <w:i w:val="0"/>
          <w:iCs w:val="0"/>
          <w:caps w:val="0"/>
          <w:smallCaps/>
          <w:sz w:val="20"/>
          <w:szCs w:val="20"/>
          <w:highlight w:val="none"/>
          <w:lang w:val="en-US" w:eastAsia="zh-CN" w:bidi="ar-SA"/>
        </w:rPr>
        <w:t>投标无效及</w:t>
      </w:r>
      <w:r>
        <w:rPr>
          <w:rFonts w:hint="eastAsia" w:hAnsi="Times New Roman" w:cs="Times New Roman" w:asciiTheme="minorHAnsi" w:eastAsiaTheme="minorHAnsi"/>
          <w:b w:val="0"/>
          <w:bCs w:val="0"/>
          <w:i w:val="0"/>
          <w:iCs w:val="0"/>
          <w:caps w:val="0"/>
          <w:smallCaps/>
          <w:sz w:val="20"/>
          <w:szCs w:val="20"/>
          <w:highlight w:val="none"/>
          <w:lang w:val="zh-CN" w:eastAsia="zh-CN" w:bidi="ar-SA"/>
        </w:rPr>
        <w:t>应予废标的情形</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_Toc18008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- 55 -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7C19671">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_Toc24945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w:t>
      </w:r>
      <w:r>
        <w:rPr>
          <w:rFonts w:hint="eastAsia" w:hAnsi="Times New Roman" w:cs="Times New Roman" w:asciiTheme="minorHAnsi" w:eastAsiaTheme="minorHAnsi"/>
          <w:b w:val="0"/>
          <w:bCs w:val="0"/>
          <w:i w:val="0"/>
          <w:iCs w:val="0"/>
          <w:caps w:val="0"/>
          <w:smallCaps/>
          <w:sz w:val="20"/>
          <w:szCs w:val="20"/>
          <w:highlight w:val="none"/>
          <w:lang w:val="en-US" w:eastAsia="zh-CN" w:bidi="ar-SA"/>
        </w:rPr>
        <w:t>九</w:t>
      </w:r>
      <w:r>
        <w:rPr>
          <w:rFonts w:hint="eastAsia" w:hAnsi="Times New Roman" w:cs="Times New Roman" w:asciiTheme="minorHAnsi" w:eastAsiaTheme="minorHAnsi"/>
          <w:b w:val="0"/>
          <w:bCs w:val="0"/>
          <w:i w:val="0"/>
          <w:iCs w:val="0"/>
          <w:caps w:val="0"/>
          <w:smallCaps/>
          <w:sz w:val="20"/>
          <w:szCs w:val="20"/>
          <w:highlight w:val="none"/>
          <w:lang w:val="zh-CN" w:eastAsia="zh-CN" w:bidi="ar-SA"/>
        </w:rPr>
        <w:t>）停止评标的情形</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_Toc24945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- 56 -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AC45807">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_Toc26301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w:t>
      </w:r>
      <w:r>
        <w:rPr>
          <w:rFonts w:hint="eastAsia" w:hAnsi="Times New Roman" w:cs="Times New Roman" w:asciiTheme="minorHAnsi" w:eastAsiaTheme="minorHAnsi"/>
          <w:b w:val="0"/>
          <w:bCs w:val="0"/>
          <w:i w:val="0"/>
          <w:iCs w:val="0"/>
          <w:caps w:val="0"/>
          <w:smallCaps/>
          <w:sz w:val="20"/>
          <w:szCs w:val="20"/>
          <w:highlight w:val="none"/>
          <w:lang w:val="en-US" w:eastAsia="zh-CN" w:bidi="ar-SA"/>
        </w:rPr>
        <w:t>十</w:t>
      </w:r>
      <w:r>
        <w:rPr>
          <w:rFonts w:hint="eastAsia" w:hAnsi="Times New Roman" w:cs="Times New Roman" w:asciiTheme="minorHAnsi" w:eastAsiaTheme="minorHAnsi"/>
          <w:b w:val="0"/>
          <w:bCs w:val="0"/>
          <w:i w:val="0"/>
          <w:iCs w:val="0"/>
          <w:caps w:val="0"/>
          <w:smallCaps/>
          <w:sz w:val="20"/>
          <w:szCs w:val="20"/>
          <w:highlight w:val="none"/>
          <w:lang w:val="zh-CN" w:eastAsia="zh-CN" w:bidi="ar-SA"/>
        </w:rPr>
        <w:t>）重新开展采购</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_Toc26301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- 57 -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518B0132">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_Toc22404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三、评标</w:t>
      </w:r>
      <w:r>
        <w:rPr>
          <w:rFonts w:hint="eastAsia" w:hAnsi="Times New Roman" w:cs="Times New Roman" w:asciiTheme="minorHAnsi" w:eastAsiaTheme="minorHAnsi"/>
          <w:b w:val="0"/>
          <w:bCs w:val="0"/>
          <w:i w:val="0"/>
          <w:iCs w:val="0"/>
          <w:caps w:val="0"/>
          <w:smallCaps/>
          <w:sz w:val="20"/>
          <w:szCs w:val="20"/>
          <w:highlight w:val="none"/>
          <w:lang w:val="en-US" w:eastAsia="zh-CN" w:bidi="ar-SA"/>
        </w:rPr>
        <w:t>其他要求</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_Toc22404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- 57 -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40450E9">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_Toc13784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四</w:t>
      </w:r>
      <w:r>
        <w:rPr>
          <w:rFonts w:hint="eastAsia" w:hAnsi="Times New Roman" w:cs="Times New Roman" w:asciiTheme="minorHAnsi" w:eastAsiaTheme="minorHAnsi"/>
          <w:b w:val="0"/>
          <w:bCs w:val="0"/>
          <w:i w:val="0"/>
          <w:iCs w:val="0"/>
          <w:caps w:val="0"/>
          <w:smallCaps/>
          <w:sz w:val="20"/>
          <w:szCs w:val="20"/>
          <w:highlight w:val="none"/>
          <w:lang w:val="zh-CN" w:eastAsia="zh-CN" w:bidi="ar-SA"/>
        </w:rPr>
        <w:t>、评标标准</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_Toc13784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- 58 -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CABBCC4">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_Toc12498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（一）符合性审查表</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_Toc12498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- 58 -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1B9FF7C">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_Toc17975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实质性响应一览表</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_Toc17975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- 59 -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C4F1793">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_Toc23165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（二）评分标准</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_Toc23165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- 60 -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3B0C6F7">
      <w:pPr>
        <w:pStyle w:val="24"/>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_Toc10743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第六章 合同草案</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_Toc10743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- 63 -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0BAE7FF">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_Toc14743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第一节 政府采购合同协议书</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_Toc14743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- 65 -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6DC9AD6">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_Toc26561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第二节 政府采购合同通用条款</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_Toc26561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- 70 -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096DF17">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_Toc144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第三节 政府采购合同专用条款</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_Toc144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- 77 -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99DA74B">
      <w:pPr>
        <w:pStyle w:val="24"/>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_Toc23789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第七章 投标文件格式</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_Toc23789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- 79 -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D576DB2">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_Toc24935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投 标 文 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_Toc24935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- 80 -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EDA695A">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_Toc7546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资格证明文件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_Toc7546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- 80 -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CA95595">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_Toc2607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一、满足《中华人民共和国政府采购法》第二十二条规定</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_Toc2607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- 81 -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6120CCA">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_Toc10486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（二）兵团政府采购投标人信用承诺函</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_Toc10486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- 82 -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480C9E1">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_Toc1759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二、</w:t>
      </w:r>
      <w:r>
        <w:rPr>
          <w:rFonts w:hint="eastAsia" w:hAnsi="Times New Roman" w:cs="Times New Roman" w:asciiTheme="minorHAnsi" w:eastAsiaTheme="minorHAnsi"/>
          <w:b w:val="0"/>
          <w:bCs w:val="0"/>
          <w:i w:val="0"/>
          <w:iCs w:val="0"/>
          <w:caps w:val="0"/>
          <w:smallCaps/>
          <w:sz w:val="20"/>
          <w:szCs w:val="20"/>
          <w:highlight w:val="none"/>
          <w:lang w:val="zh-CN" w:eastAsia="zh-CN" w:bidi="ar-SA"/>
        </w:rPr>
        <w:t>联合体协议书【如适用】</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_Toc1759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- 84 -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D9267CB">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_Toc17302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三、</w:t>
      </w:r>
      <w:r>
        <w:rPr>
          <w:rFonts w:hint="eastAsia" w:hAnsi="Times New Roman" w:cs="Times New Roman" w:asciiTheme="minorHAnsi" w:eastAsiaTheme="minorHAnsi"/>
          <w:b w:val="0"/>
          <w:bCs w:val="0"/>
          <w:i w:val="0"/>
          <w:iCs w:val="0"/>
          <w:caps w:val="0"/>
          <w:smallCaps/>
          <w:sz w:val="20"/>
          <w:szCs w:val="20"/>
          <w:highlight w:val="none"/>
          <w:lang w:val="zh-CN" w:eastAsia="zh-CN" w:bidi="ar-SA"/>
        </w:rPr>
        <w:t>分包意向协议书【如适用】</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_Toc17302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- 86 -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1364E42">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_Toc14989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_Toc14989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- 86 -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F244AE8">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_Toc32003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五、</w:t>
      </w:r>
      <w:r>
        <w:rPr>
          <w:rFonts w:hint="eastAsia" w:hAnsi="Times New Roman" w:cs="Times New Roman" w:asciiTheme="minorHAnsi" w:eastAsiaTheme="minorHAnsi"/>
          <w:b w:val="0"/>
          <w:bCs w:val="0"/>
          <w:i w:val="0"/>
          <w:iCs w:val="0"/>
          <w:caps w:val="0"/>
          <w:smallCaps/>
          <w:sz w:val="20"/>
          <w:szCs w:val="20"/>
          <w:highlight w:val="none"/>
          <w:lang w:val="zh-CN" w:eastAsia="zh-CN" w:bidi="ar-SA"/>
        </w:rPr>
        <w:t>其他资格证明文件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_Toc32003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- 89 -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0C878F1">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_Toc29564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投 标 文 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_Toc29564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- 90 -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2225368">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_Toc31409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报价文件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_Toc31409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- 90 -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22F4062">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_Toc30888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一、开标一览表</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_Toc30888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- 91 -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07E3B8D">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_Toc2480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二、分项报价表</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_Toc2480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- 92 -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FA2DAE9">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_Toc9403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投 标 文 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_Toc9403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- 94 -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361AEC8">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_Toc23650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商务技术文件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_Toc23650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- 94 -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FDE1DC4">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_Toc391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一、投标函</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_Toc391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- 95 -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0517F67">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_Toc12414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二、法定代表人（单位负责人）身份证明</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_Toc12414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- 97 -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30CD82C">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_Toc24084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三、授权委托书</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_Toc24084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- 98 -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3462239B">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_Toc4032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四、</w:t>
      </w:r>
      <w:r>
        <w:rPr>
          <w:rFonts w:hint="eastAsia" w:hAnsi="Times New Roman" w:cs="Times New Roman" w:asciiTheme="minorHAnsi" w:eastAsiaTheme="minorHAnsi"/>
          <w:b w:val="0"/>
          <w:bCs w:val="0"/>
          <w:i w:val="0"/>
          <w:iCs w:val="0"/>
          <w:caps w:val="0"/>
          <w:smallCaps/>
          <w:sz w:val="20"/>
          <w:szCs w:val="20"/>
          <w:highlight w:val="none"/>
          <w:lang w:val="zh-CN" w:eastAsia="zh-CN" w:bidi="ar-SA"/>
        </w:rPr>
        <w:t>政府采购</w:t>
      </w:r>
      <w:r>
        <w:rPr>
          <w:rFonts w:hint="eastAsia" w:hAnsi="Times New Roman" w:cs="Times New Roman" w:asciiTheme="minorHAnsi" w:eastAsiaTheme="minorHAnsi"/>
          <w:b w:val="0"/>
          <w:bCs w:val="0"/>
          <w:i w:val="0"/>
          <w:iCs w:val="0"/>
          <w:caps w:val="0"/>
          <w:smallCaps/>
          <w:sz w:val="20"/>
          <w:szCs w:val="20"/>
          <w:highlight w:val="none"/>
          <w:lang w:val="en-US" w:eastAsia="zh-CN" w:bidi="ar-SA"/>
        </w:rPr>
        <w:t>投标人</w:t>
      </w:r>
      <w:r>
        <w:rPr>
          <w:rFonts w:hint="eastAsia" w:hAnsi="Times New Roman" w:cs="Times New Roman" w:asciiTheme="minorHAnsi" w:eastAsiaTheme="minorHAnsi"/>
          <w:b w:val="0"/>
          <w:bCs w:val="0"/>
          <w:i w:val="0"/>
          <w:iCs w:val="0"/>
          <w:caps w:val="0"/>
          <w:smallCaps/>
          <w:sz w:val="20"/>
          <w:szCs w:val="20"/>
          <w:highlight w:val="none"/>
          <w:lang w:val="zh-CN" w:eastAsia="zh-CN" w:bidi="ar-SA"/>
        </w:rPr>
        <w:t>廉洁自律承诺书</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_Toc4032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- 99 -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582F7D59">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_Toc20259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五、</w:t>
      </w:r>
      <w:r>
        <w:rPr>
          <w:rFonts w:hint="eastAsia" w:hAnsi="Times New Roman" w:cs="Times New Roman" w:asciiTheme="minorHAnsi" w:eastAsiaTheme="minorHAnsi"/>
          <w:b w:val="0"/>
          <w:bCs w:val="0"/>
          <w:i w:val="0"/>
          <w:iCs w:val="0"/>
          <w:caps w:val="0"/>
          <w:smallCaps/>
          <w:sz w:val="20"/>
          <w:szCs w:val="20"/>
          <w:highlight w:val="none"/>
          <w:lang w:val="zh-CN" w:eastAsia="zh-CN" w:bidi="ar-SA"/>
        </w:rPr>
        <w:t>实质性响应一览表【</w:t>
      </w:r>
      <w:r>
        <w:rPr>
          <w:rFonts w:hint="eastAsia" w:hAnsi="Times New Roman" w:cs="Times New Roman" w:asciiTheme="minorHAnsi" w:eastAsiaTheme="minorHAnsi"/>
          <w:b w:val="0"/>
          <w:bCs w:val="0"/>
          <w:i w:val="0"/>
          <w:iCs w:val="0"/>
          <w:caps w:val="0"/>
          <w:smallCaps/>
          <w:sz w:val="20"/>
          <w:szCs w:val="20"/>
          <w:highlight w:val="none"/>
          <w:lang w:val="en-US" w:eastAsia="zh-CN" w:bidi="ar-SA"/>
        </w:rPr>
        <w:t>本表须与第五章的一致】</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_Toc20259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- 100 -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23FBF15F">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_Toc18610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六、商务响应偏离表</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_Toc18610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- 101 -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77D5763">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_Toc22033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七、业绩证明文件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_Toc22033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- 102 -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67EC0A28">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_Toc7230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八、拟派项目团队</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_Toc7230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- 103 -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0899847">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_Toc10631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九、技术响应偏离表</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_Toc10631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- 104 -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1982E8A">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_Toc8751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十、技术方案</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_Toc8751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- 105 -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A20B142">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_Toc22240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十一、其他文件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_Toc22240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- 106 -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74B453E5">
      <w:pPr>
        <w:pStyle w:val="27"/>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_Toc7233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十二、落实政府采购政策相关证明文件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_Toc7233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- 107 -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18FFD361">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_Toc9071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（一）节能环保产品清单及证明材料【如适用】</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_Toc9071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- 107 -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825F63F">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_Toc17119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（二）中小企业声明函【如专门面向中小企业采购的项目，此函可放于此处，否则，应后置于“其他资格证明文件”】</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_Toc17119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- 108 -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587F7B3">
      <w:pPr>
        <w:pStyle w:val="20"/>
        <w:tabs>
          <w:tab w:val="right" w:leader="dot" w:pos="8306"/>
        </w:tabs>
        <w:rPr>
          <w:rFonts w:hint="eastAsia" w:hAnsi="Times New Roman" w:cs="Times New Roman" w:asciiTheme="minorHAnsi" w:eastAsiaTheme="minorHAnsi"/>
          <w:b w:val="0"/>
          <w:bCs w:val="0"/>
          <w:i w:val="0"/>
          <w:iCs w:val="0"/>
          <w:caps w:val="0"/>
          <w:smallCaps/>
          <w:sz w:val="20"/>
          <w:szCs w:val="20"/>
          <w:highlight w:val="none"/>
          <w:lang w:val="zh-CN" w:eastAsia="zh-CN" w:bidi="ar-SA"/>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_Toc21713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（三）监狱企业证明文件【如适用】</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_Toc21713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- 118 -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466F2F8C">
      <w:pPr>
        <w:pStyle w:val="20"/>
        <w:tabs>
          <w:tab w:val="right" w:leader="dot" w:pos="8306"/>
        </w:tabs>
        <w:rPr>
          <w:highlight w:val="none"/>
        </w:rPr>
      </w:pP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HYPERLINK \l _Toc24742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en-US" w:eastAsia="zh-CN" w:bidi="ar-SA"/>
        </w:rPr>
        <w:t>（四）残疾人福利性单位声明函【如适用】</w:t>
      </w:r>
      <w:r>
        <w:rPr>
          <w:rFonts w:hint="eastAsia" w:hAnsi="Times New Roman" w:cs="Times New Roman" w:asciiTheme="minorHAnsi" w:eastAsiaTheme="minorHAnsi"/>
          <w:b w:val="0"/>
          <w:bCs w:val="0"/>
          <w:i w:val="0"/>
          <w:iCs w:val="0"/>
          <w:caps w:val="0"/>
          <w:smallCaps/>
          <w:sz w:val="20"/>
          <w:szCs w:val="20"/>
          <w:highlight w:val="none"/>
          <w:lang w:val="zh-CN" w:eastAsia="zh-CN" w:bidi="ar-SA"/>
        </w:rPr>
        <w:tab/>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begin"/>
      </w:r>
      <w:r>
        <w:rPr>
          <w:rFonts w:hint="eastAsia" w:hAnsi="Times New Roman" w:cs="Times New Roman" w:asciiTheme="minorHAnsi" w:eastAsiaTheme="minorHAnsi"/>
          <w:b w:val="0"/>
          <w:bCs w:val="0"/>
          <w:i w:val="0"/>
          <w:iCs w:val="0"/>
          <w:caps w:val="0"/>
          <w:smallCaps/>
          <w:sz w:val="20"/>
          <w:szCs w:val="20"/>
          <w:highlight w:val="none"/>
          <w:lang w:val="zh-CN" w:eastAsia="zh-CN" w:bidi="ar-SA"/>
        </w:rPr>
        <w:instrText xml:space="preserve"> PAGEREF _Toc24742 \h </w:instrTex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separate"/>
      </w:r>
      <w:r>
        <w:rPr>
          <w:rFonts w:hint="eastAsia" w:hAnsi="Times New Roman" w:cs="Times New Roman" w:asciiTheme="minorHAnsi" w:eastAsiaTheme="minorHAnsi"/>
          <w:b w:val="0"/>
          <w:bCs w:val="0"/>
          <w:i w:val="0"/>
          <w:iCs w:val="0"/>
          <w:caps w:val="0"/>
          <w:smallCaps/>
          <w:sz w:val="20"/>
          <w:szCs w:val="20"/>
          <w:highlight w:val="none"/>
          <w:lang w:val="zh-CN" w:eastAsia="zh-CN" w:bidi="ar-SA"/>
        </w:rPr>
        <w:t>- 119 -</w:t>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r>
        <w:rPr>
          <w:rFonts w:hint="eastAsia" w:hAnsi="Times New Roman" w:cs="Times New Roman" w:asciiTheme="minorHAnsi" w:eastAsiaTheme="minorHAnsi"/>
          <w:b w:val="0"/>
          <w:bCs w:val="0"/>
          <w:i w:val="0"/>
          <w:iCs w:val="0"/>
          <w:caps w:val="0"/>
          <w:smallCaps/>
          <w:sz w:val="20"/>
          <w:szCs w:val="20"/>
          <w:highlight w:val="none"/>
          <w:lang w:val="zh-CN" w:eastAsia="zh-CN" w:bidi="ar-SA"/>
        </w:rPr>
        <w:fldChar w:fldCharType="end"/>
      </w:r>
    </w:p>
    <w:p w14:paraId="0DD905CE">
      <w:pPr>
        <w:keepNext w:val="0"/>
        <w:keepLines w:val="0"/>
        <w:pageBreakBefore w:val="0"/>
        <w:widowControl w:val="0"/>
        <w:kinsoku/>
        <w:wordWrap/>
        <w:overflowPunct/>
        <w:topLinePunct w:val="0"/>
        <w:autoSpaceDE/>
        <w:autoSpaceDN/>
        <w:bidi w:val="0"/>
        <w:adjustRightInd/>
        <w:snapToGrid/>
        <w:spacing w:line="240" w:lineRule="auto"/>
        <w:textAlignment w:val="auto"/>
        <w:outlineLvl w:val="1"/>
        <w:rPr>
          <w:rFonts w:hint="eastAsia" w:ascii="宋体" w:hAnsi="宋体" w:eastAsia="宋体" w:cs="宋体"/>
          <w:color w:val="auto"/>
          <w:sz w:val="24"/>
          <w:szCs w:val="24"/>
          <w:highlight w:val="none"/>
        </w:rPr>
      </w:pPr>
      <w:r>
        <w:rPr>
          <w:rFonts w:hint="eastAsia" w:ascii="宋体" w:hAnsi="宋体" w:eastAsia="宋体" w:cs="宋体"/>
          <w:color w:val="auto"/>
          <w:szCs w:val="24"/>
          <w:highlight w:val="none"/>
        </w:rPr>
        <w:fldChar w:fldCharType="end"/>
      </w:r>
    </w:p>
    <w:p w14:paraId="464AFCF2">
      <w:pPr>
        <w:spacing w:line="240" w:lineRule="auto"/>
        <w:jc w:val="center"/>
        <w:outlineLvl w:val="9"/>
        <w:rPr>
          <w:rFonts w:hint="eastAsia" w:ascii="宋体" w:hAnsi="宋体" w:eastAsia="宋体" w:cs="宋体"/>
          <w:b/>
          <w:bCs/>
          <w:color w:val="auto"/>
          <w:sz w:val="24"/>
          <w:szCs w:val="24"/>
          <w:highlight w:val="none"/>
        </w:rPr>
        <w:sectPr>
          <w:head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29DD1FCB">
      <w:pPr>
        <w:pStyle w:val="3"/>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color w:val="auto"/>
          <w:sz w:val="36"/>
          <w:szCs w:val="36"/>
          <w:highlight w:val="none"/>
          <w:lang w:val="en-US" w:eastAsia="zh-CN"/>
        </w:rPr>
      </w:pPr>
      <w:bookmarkStart w:id="1" w:name="_Toc155185859"/>
      <w:bookmarkStart w:id="2" w:name="_Toc15581"/>
      <w:r>
        <w:rPr>
          <w:rFonts w:hint="eastAsia" w:ascii="宋体" w:hAnsi="宋体" w:eastAsia="宋体" w:cs="宋体"/>
          <w:b/>
          <w:bCs/>
          <w:color w:val="auto"/>
          <w:kern w:val="44"/>
          <w:sz w:val="36"/>
          <w:szCs w:val="36"/>
          <w:highlight w:val="none"/>
          <w:lang w:val="en-US" w:eastAsia="zh-CN" w:bidi="ar-SA"/>
        </w:rPr>
        <w:t xml:space="preserve">第一章 </w:t>
      </w:r>
      <w:bookmarkEnd w:id="1"/>
      <w:bookmarkStart w:id="3" w:name="_Hlk130458318"/>
      <w:r>
        <w:rPr>
          <w:rFonts w:hint="eastAsia" w:ascii="宋体" w:hAnsi="宋体" w:eastAsia="宋体" w:cs="宋体"/>
          <w:color w:val="auto"/>
          <w:sz w:val="36"/>
          <w:szCs w:val="36"/>
          <w:highlight w:val="none"/>
          <w:lang w:val="en-US" w:eastAsia="zh-CN"/>
        </w:rPr>
        <w:t>招标公告</w:t>
      </w:r>
      <w:bookmarkEnd w:id="2"/>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756E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4682E00">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color w:val="auto"/>
                <w:sz w:val="24"/>
                <w:szCs w:val="24"/>
                <w:highlight w:val="none"/>
                <w:lang w:val="en-US" w:eastAsia="zh-CN"/>
              </w:rPr>
            </w:pPr>
            <w:bookmarkStart w:id="4" w:name="_Toc6523"/>
            <w:bookmarkStart w:id="5" w:name="_Toc23233"/>
            <w:bookmarkStart w:id="6" w:name="_Toc21773"/>
            <w:bookmarkStart w:id="7" w:name="_Toc8264"/>
            <w:bookmarkStart w:id="8" w:name="_Toc35393798"/>
            <w:bookmarkStart w:id="9" w:name="_Toc35393629"/>
            <w:bookmarkStart w:id="10" w:name="_Toc28359012"/>
            <w:bookmarkStart w:id="11" w:name="_Toc109899829"/>
            <w:bookmarkStart w:id="12" w:name="_Toc140132745"/>
            <w:bookmarkStart w:id="13" w:name="_Toc109899410"/>
            <w:bookmarkStart w:id="14" w:name="_Toc28359089"/>
            <w:bookmarkStart w:id="15" w:name="_Toc44583628"/>
            <w:bookmarkStart w:id="16" w:name="_Toc155185860"/>
            <w:bookmarkStart w:id="17" w:name="_Toc109900248"/>
            <w:r>
              <w:rPr>
                <w:rFonts w:hint="eastAsia"/>
                <w:color w:val="auto"/>
                <w:sz w:val="24"/>
                <w:szCs w:val="24"/>
                <w:highlight w:val="none"/>
                <w:lang w:val="en-US" w:eastAsia="zh-CN"/>
              </w:rPr>
              <w:t>项目概况：</w:t>
            </w:r>
            <w:bookmarkEnd w:id="4"/>
            <w:bookmarkEnd w:id="5"/>
            <w:bookmarkEnd w:id="6"/>
            <w:bookmarkEnd w:id="7"/>
          </w:p>
          <w:p w14:paraId="2852FE91">
            <w:pPr>
              <w:spacing w:line="360" w:lineRule="auto"/>
              <w:ind w:firstLine="480" w:firstLineChars="200"/>
              <w:rPr>
                <w:rFonts w:hint="default"/>
                <w:color w:val="auto"/>
                <w:highlight w:val="none"/>
                <w:lang w:val="en-US" w:eastAsia="zh-CN"/>
              </w:rPr>
            </w:pP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 xml:space="preserve"> (草湖项目区自然灾害综合监测预警应急管理中心消防车购置项目) </w:t>
            </w:r>
            <w:r>
              <w:rPr>
                <w:rFonts w:hint="eastAsia" w:ascii="宋体" w:hAnsi="宋体" w:eastAsia="宋体" w:cstheme="minorBidi"/>
                <w:iCs/>
                <w:color w:val="auto"/>
                <w:kern w:val="2"/>
                <w:sz w:val="24"/>
                <w:szCs w:val="24"/>
                <w:highlight w:val="none"/>
                <w:shd w:val="clear" w:color="auto" w:fill="FFFFFF" w:themeFill="background1"/>
                <w:lang w:val="hr-HR" w:eastAsia="zh-CN" w:bidi="ar-SA"/>
              </w:rPr>
              <w:t>招标项目的潜在投标人应在</w:t>
            </w: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（兵团政采云http://ccgp-bingtuan.gov.cn）</w:t>
            </w:r>
            <w:r>
              <w:rPr>
                <w:rFonts w:hint="eastAsia" w:ascii="宋体" w:hAnsi="宋体" w:eastAsia="宋体" w:cstheme="minorBidi"/>
                <w:iCs/>
                <w:color w:val="auto"/>
                <w:kern w:val="2"/>
                <w:sz w:val="24"/>
                <w:szCs w:val="24"/>
                <w:highlight w:val="none"/>
                <w:shd w:val="clear" w:color="auto" w:fill="FFFFFF" w:themeFill="background1"/>
                <w:lang w:val="hr-HR" w:eastAsia="zh-CN" w:bidi="ar-SA"/>
              </w:rPr>
              <w:t>获取招标文件，并于</w:t>
            </w:r>
            <w:r>
              <w:rPr>
                <w:rFonts w:hint="eastAsia" w:cstheme="minorBidi"/>
                <w:iCs/>
                <w:color w:val="auto"/>
                <w:kern w:val="2"/>
                <w:sz w:val="24"/>
                <w:szCs w:val="24"/>
                <w:highlight w:val="none"/>
                <w:u w:val="single"/>
                <w:shd w:val="clear" w:color="auto" w:fill="FFFFFF" w:themeFill="background1"/>
                <w:lang w:val="en-US" w:eastAsia="zh-CN" w:bidi="ar-SA"/>
              </w:rPr>
              <w:t>2025</w:t>
            </w: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年</w:t>
            </w:r>
            <w:bookmarkStart w:id="778" w:name="_GoBack"/>
            <w:bookmarkEnd w:id="778"/>
            <w:r>
              <w:rPr>
                <w:rFonts w:hint="eastAsia" w:cstheme="minorBidi"/>
                <w:iCs/>
                <w:color w:val="auto"/>
                <w:kern w:val="2"/>
                <w:sz w:val="24"/>
                <w:szCs w:val="24"/>
                <w:highlight w:val="none"/>
                <w:u w:val="single"/>
                <w:shd w:val="clear" w:color="auto" w:fill="FFFFFF" w:themeFill="background1"/>
                <w:lang w:val="en-US" w:eastAsia="zh-CN" w:bidi="ar-SA"/>
              </w:rPr>
              <w:t>06月30日11时30</w:t>
            </w: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分</w:t>
            </w:r>
            <w:r>
              <w:rPr>
                <w:rFonts w:hint="eastAsia" w:ascii="宋体" w:hAnsi="宋体" w:eastAsia="宋体" w:cstheme="minorBidi"/>
                <w:iCs/>
                <w:color w:val="auto"/>
                <w:kern w:val="2"/>
                <w:sz w:val="24"/>
                <w:szCs w:val="24"/>
                <w:highlight w:val="none"/>
                <w:shd w:val="clear" w:color="auto" w:fill="FFFFFF" w:themeFill="background1"/>
                <w:lang w:val="hr-HR" w:eastAsia="zh-CN" w:bidi="ar-SA"/>
              </w:rPr>
              <w:t>（北京时间）前递交投标文件。</w:t>
            </w:r>
          </w:p>
        </w:tc>
      </w:tr>
    </w:tbl>
    <w:p w14:paraId="4072DEF0">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color w:val="auto"/>
          <w:sz w:val="24"/>
          <w:szCs w:val="24"/>
          <w:highlight w:val="none"/>
          <w:lang w:val="hr-HR"/>
        </w:rPr>
      </w:pPr>
      <w:bookmarkStart w:id="18" w:name="_Toc11423"/>
      <w:r>
        <w:rPr>
          <w:rFonts w:hint="eastAsia" w:ascii="宋体" w:hAnsi="宋体" w:eastAsia="宋体" w:cs="宋体"/>
          <w:b/>
          <w:bCs/>
          <w:color w:val="auto"/>
          <w:kern w:val="2"/>
          <w:sz w:val="24"/>
          <w:szCs w:val="24"/>
          <w:highlight w:val="none"/>
          <w:lang w:val="hr-HR" w:eastAsia="zh-CN" w:bidi="ar-SA"/>
        </w:rPr>
        <w:t>一、</w:t>
      </w:r>
      <w:r>
        <w:rPr>
          <w:rFonts w:hint="eastAsia" w:ascii="宋体" w:hAnsi="宋体" w:eastAsia="宋体" w:cs="宋体"/>
          <w:color w:val="auto"/>
          <w:sz w:val="24"/>
          <w:szCs w:val="24"/>
          <w:highlight w:val="none"/>
          <w:lang w:val="hr-HR"/>
        </w:rPr>
        <w:t>项目基本情况</w:t>
      </w:r>
      <w:bookmarkEnd w:id="8"/>
      <w:bookmarkEnd w:id="9"/>
      <w:bookmarkEnd w:id="10"/>
      <w:bookmarkEnd w:id="11"/>
      <w:bookmarkEnd w:id="12"/>
      <w:bookmarkEnd w:id="13"/>
      <w:bookmarkEnd w:id="14"/>
      <w:bookmarkEnd w:id="15"/>
      <w:bookmarkEnd w:id="16"/>
      <w:bookmarkEnd w:id="17"/>
      <w:bookmarkEnd w:id="18"/>
    </w:p>
    <w:p w14:paraId="590E39A6">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hr-HR"/>
        </w:rPr>
        <w:t>1.项目编号</w:t>
      </w:r>
      <w:r>
        <w:rPr>
          <w:rFonts w:hint="eastAsia" w:ascii="宋体" w:hAnsi="宋体" w:eastAsia="宋体" w:cs="宋体"/>
          <w:color w:val="auto"/>
          <w:sz w:val="24"/>
          <w:highlight w:val="none"/>
          <w:lang w:val="en-US" w:eastAsia="zh-CN"/>
        </w:rPr>
        <w:t>/包号</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u w:val="single"/>
          <w:lang w:eastAsia="zh-CN"/>
        </w:rPr>
        <w:t>B15SBJ[2025]129号</w:t>
      </w:r>
      <w:r>
        <w:rPr>
          <w:rFonts w:hint="eastAsia" w:ascii="宋体" w:hAnsi="宋体" w:eastAsia="宋体" w:cs="宋体"/>
          <w:color w:val="auto"/>
          <w:sz w:val="24"/>
          <w:highlight w:val="none"/>
          <w:u w:val="single"/>
          <w:lang w:val="hr-HR"/>
        </w:rPr>
        <w:t xml:space="preserve"> </w:t>
      </w:r>
    </w:p>
    <w:p w14:paraId="544AA4B7">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val="hr-HR"/>
        </w:rPr>
        <w:t>.项目名称：</w:t>
      </w:r>
      <w:r>
        <w:rPr>
          <w:rFonts w:hint="eastAsia" w:ascii="宋体" w:hAnsi="宋体" w:eastAsia="宋体" w:cs="宋体"/>
          <w:color w:val="auto"/>
          <w:sz w:val="24"/>
          <w:highlight w:val="none"/>
          <w:u w:val="single"/>
          <w:lang w:eastAsia="zh-CN"/>
        </w:rPr>
        <w:t>草湖项目区自然灾害综合监测预警应急管理中心消防车购置项目</w:t>
      </w:r>
      <w:r>
        <w:rPr>
          <w:rFonts w:hint="eastAsia" w:ascii="宋体" w:hAnsi="宋体" w:eastAsia="宋体" w:cs="宋体"/>
          <w:color w:val="auto"/>
          <w:sz w:val="24"/>
          <w:highlight w:val="none"/>
          <w:u w:val="single"/>
          <w:lang w:val="hr-HR"/>
        </w:rPr>
        <w:t xml:space="preserve"> </w:t>
      </w:r>
    </w:p>
    <w:p w14:paraId="3CE35A7E">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.采购方式：公开招标</w:t>
      </w:r>
    </w:p>
    <w:p w14:paraId="78A90596">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eastAsia="zh-CN"/>
        </w:rPr>
        <w:t>项目</w:t>
      </w:r>
      <w:r>
        <w:rPr>
          <w:rFonts w:hint="eastAsia" w:ascii="宋体" w:hAnsi="宋体" w:eastAsia="宋体" w:cs="宋体"/>
          <w:color w:val="auto"/>
          <w:sz w:val="24"/>
          <w:highlight w:val="none"/>
          <w:lang w:val="hr-HR"/>
        </w:rPr>
        <w:t>预算金额：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197.5869</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lang w:val="hr-HR"/>
        </w:rPr>
        <w:t>万元</w:t>
      </w:r>
    </w:p>
    <w:p w14:paraId="7851BE2C">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rPr>
        <w:t>最高限价</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u w:val="single"/>
          <w:lang w:val="hr-HR"/>
        </w:rPr>
        <w:t xml:space="preserve"> </w:t>
      </w:r>
      <w:r>
        <w:rPr>
          <w:rFonts w:hint="eastAsia" w:ascii="宋体" w:hAnsi="宋体" w:eastAsia="宋体" w:cs="宋体"/>
          <w:color w:val="auto"/>
          <w:sz w:val="24"/>
          <w:highlight w:val="none"/>
          <w:u w:val="single"/>
          <w:lang w:eastAsia="zh-CN"/>
        </w:rPr>
        <w:t>197.5869</w:t>
      </w:r>
      <w:r>
        <w:rPr>
          <w:rFonts w:hint="eastAsia" w:ascii="宋体" w:hAnsi="宋体" w:eastAsia="宋体" w:cs="宋体"/>
          <w:color w:val="auto"/>
          <w:sz w:val="24"/>
          <w:highlight w:val="none"/>
          <w:u w:val="single"/>
          <w:lang w:val="hr-HR"/>
        </w:rPr>
        <w:t xml:space="preserve"> </w:t>
      </w:r>
      <w:r>
        <w:rPr>
          <w:rFonts w:hint="eastAsia" w:ascii="宋体" w:hAnsi="宋体" w:eastAsia="宋体" w:cs="宋体"/>
          <w:color w:val="auto"/>
          <w:sz w:val="24"/>
          <w:highlight w:val="none"/>
        </w:rPr>
        <w:t>万元</w:t>
      </w:r>
    </w:p>
    <w:p w14:paraId="242750DC">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lang w:val="hr-HR"/>
        </w:rPr>
        <w:t>.采购需求：</w:t>
      </w:r>
      <w:r>
        <w:rPr>
          <w:rFonts w:hint="eastAsia" w:ascii="宋体" w:hAnsi="宋体" w:eastAsia="宋体" w:cs="宋体"/>
          <w:color w:val="auto"/>
          <w:sz w:val="24"/>
          <w:highlight w:val="none"/>
          <w:u w:val="single"/>
          <w:lang w:eastAsia="zh-CN"/>
        </w:rPr>
        <w:t>草湖项目区自然灾害综合监测预警应急管理中心消防车购置项目，</w:t>
      </w:r>
      <w:r>
        <w:rPr>
          <w:rFonts w:hint="eastAsia"/>
          <w:sz w:val="24"/>
          <w:szCs w:val="24"/>
          <w:highlight w:val="none"/>
          <w:u w:val="single"/>
          <w:lang w:val="en-US" w:eastAsia="zh-CN"/>
        </w:rPr>
        <w:t>具体详见采购文件“第三章 采购需求”。</w:t>
      </w:r>
    </w:p>
    <w:p w14:paraId="56FBF6DA">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.合同履行期限：</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自合同签订之日起30日内</w:t>
      </w:r>
      <w:r>
        <w:rPr>
          <w:rFonts w:hint="eastAsia" w:cs="宋体"/>
          <w:color w:val="auto"/>
          <w:sz w:val="24"/>
          <w:highlight w:val="none"/>
          <w:u w:val="single"/>
          <w:lang w:val="en-US" w:eastAsia="zh-CN"/>
        </w:rPr>
        <w:t>交付使用。</w:t>
      </w:r>
    </w:p>
    <w:p w14:paraId="4B098642">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bookmarkStart w:id="19" w:name="_Toc28359013"/>
      <w:bookmarkStart w:id="20" w:name="_Toc28359090"/>
      <w:bookmarkStart w:id="21" w:name="_Toc35393630"/>
      <w:bookmarkStart w:id="22" w:name="_Toc44583629"/>
      <w:bookmarkStart w:id="23" w:name="_Toc35393799"/>
      <w:r>
        <w:rPr>
          <w:rFonts w:hint="eastAsia" w:ascii="宋体" w:hAnsi="宋体" w:eastAsia="宋体" w:cs="宋体"/>
          <w:color w:val="auto"/>
          <w:sz w:val="24"/>
          <w:highlight w:val="none"/>
          <w:lang w:val="en-US" w:eastAsia="zh-CN"/>
        </w:rPr>
        <w:t>8.</w:t>
      </w:r>
      <w:bookmarkStart w:id="24" w:name="_Hlk162011358"/>
      <w:r>
        <w:rPr>
          <w:rFonts w:hint="eastAsia" w:ascii="宋体" w:hAnsi="宋体" w:eastAsia="宋体" w:cs="宋体"/>
          <w:color w:val="auto"/>
          <w:sz w:val="24"/>
          <w:highlight w:val="none"/>
          <w:lang w:val="en-US" w:eastAsia="zh-CN"/>
        </w:rPr>
        <w:t>本项目是否接受联合体投标：□是</w:t>
      </w:r>
      <w:bookmarkEnd w:id="24"/>
      <w:r>
        <w:rPr>
          <w:rFonts w:hint="eastAsia" w:ascii="宋体" w:hAnsi="宋体" w:eastAsia="宋体" w:cs="宋体"/>
          <w:color w:val="auto"/>
          <w:sz w:val="24"/>
          <w:highlight w:val="none"/>
          <w:lang w:val="en-US" w:eastAsia="zh-CN"/>
        </w:rPr>
        <w:t xml:space="preserve">   </w:t>
      </w:r>
      <w:r>
        <w:rPr>
          <w:rFonts w:hint="eastAsia" w:cs="宋体"/>
          <w:color w:val="auto"/>
          <w:sz w:val="24"/>
          <w:highlight w:val="none"/>
          <w:lang w:val="en-US" w:eastAsia="zh-CN"/>
        </w:rPr>
        <w:t>☑</w:t>
      </w:r>
      <w:r>
        <w:rPr>
          <w:rFonts w:hint="eastAsia" w:ascii="宋体" w:hAnsi="宋体" w:eastAsia="宋体" w:cs="宋体"/>
          <w:color w:val="auto"/>
          <w:sz w:val="24"/>
          <w:highlight w:val="none"/>
          <w:lang w:val="en-US" w:eastAsia="zh-CN"/>
        </w:rPr>
        <w:t>否</w:t>
      </w:r>
    </w:p>
    <w:p w14:paraId="1EEB1622">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25" w:name="_Toc14696"/>
      <w:bookmarkStart w:id="26" w:name="_Toc155185861"/>
      <w:bookmarkStart w:id="27" w:name="_Toc109899830"/>
      <w:bookmarkStart w:id="28" w:name="_Toc109900249"/>
      <w:bookmarkStart w:id="29" w:name="_Toc109899411"/>
      <w:bookmarkStart w:id="30" w:name="_Toc140132746"/>
      <w:r>
        <w:rPr>
          <w:rFonts w:hint="eastAsia" w:ascii="宋体" w:hAnsi="宋体" w:eastAsia="宋体" w:cs="宋体"/>
          <w:b/>
          <w:bCs/>
          <w:color w:val="auto"/>
          <w:kern w:val="2"/>
          <w:sz w:val="24"/>
          <w:szCs w:val="24"/>
          <w:highlight w:val="none"/>
          <w:lang w:val="en-US" w:eastAsia="zh-CN" w:bidi="ar-SA"/>
        </w:rPr>
        <w:t>二、申请</w:t>
      </w:r>
      <w:r>
        <w:rPr>
          <w:rFonts w:hint="eastAsia" w:ascii="宋体" w:hAnsi="宋体" w:eastAsia="宋体" w:cs="宋体"/>
          <w:b/>
          <w:bCs/>
          <w:color w:val="auto"/>
          <w:kern w:val="2"/>
          <w:sz w:val="24"/>
          <w:szCs w:val="24"/>
          <w:highlight w:val="none"/>
          <w:lang w:val="hr-HR" w:eastAsia="zh-CN" w:bidi="ar-SA"/>
        </w:rPr>
        <w:t>人</w:t>
      </w:r>
      <w:r>
        <w:rPr>
          <w:rFonts w:hint="eastAsia" w:ascii="宋体" w:hAnsi="宋体" w:eastAsia="宋体" w:cs="宋体"/>
          <w:b/>
          <w:bCs/>
          <w:color w:val="auto"/>
          <w:kern w:val="2"/>
          <w:sz w:val="24"/>
          <w:szCs w:val="24"/>
          <w:highlight w:val="none"/>
          <w:lang w:val="en-US" w:eastAsia="zh-CN" w:bidi="ar-SA"/>
        </w:rPr>
        <w:t>的</w:t>
      </w:r>
      <w:r>
        <w:rPr>
          <w:rFonts w:hint="eastAsia" w:ascii="宋体" w:hAnsi="宋体" w:eastAsia="宋体" w:cs="宋体"/>
          <w:b/>
          <w:bCs/>
          <w:color w:val="auto"/>
          <w:kern w:val="2"/>
          <w:sz w:val="24"/>
          <w:szCs w:val="24"/>
          <w:highlight w:val="none"/>
          <w:lang w:val="hr-HR" w:eastAsia="zh-CN" w:bidi="ar-SA"/>
        </w:rPr>
        <w:t>资格要求</w:t>
      </w:r>
      <w:bookmarkEnd w:id="19"/>
      <w:bookmarkEnd w:id="20"/>
      <w:bookmarkEnd w:id="21"/>
      <w:bookmarkEnd w:id="22"/>
      <w:bookmarkEnd w:id="23"/>
      <w:bookmarkEnd w:id="25"/>
      <w:bookmarkEnd w:id="26"/>
      <w:bookmarkEnd w:id="27"/>
      <w:bookmarkEnd w:id="28"/>
      <w:bookmarkEnd w:id="29"/>
      <w:bookmarkEnd w:id="30"/>
    </w:p>
    <w:p w14:paraId="490953F7">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bookmarkStart w:id="31" w:name="_Toc28359014"/>
      <w:bookmarkStart w:id="32" w:name="_Toc28359091"/>
      <w:bookmarkStart w:id="33" w:name="_Toc35393800"/>
      <w:bookmarkStart w:id="34" w:name="_Toc44583630"/>
      <w:bookmarkStart w:id="35" w:name="_Toc35393631"/>
      <w:r>
        <w:rPr>
          <w:rFonts w:hint="eastAsia" w:ascii="宋体" w:hAnsi="宋体" w:eastAsia="宋体" w:cs="宋体"/>
          <w:color w:val="auto"/>
          <w:sz w:val="24"/>
          <w:highlight w:val="none"/>
          <w:lang w:val="en-US" w:eastAsia="zh-CN"/>
        </w:rPr>
        <w:t>1.满足《中华人民共和国政府采购法》第二十二条规定；</w:t>
      </w:r>
    </w:p>
    <w:p w14:paraId="37CB8253">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2.落实政府采购政策需满足的资格要求：非专门面向中小企业采购的项目</w:t>
      </w:r>
    </w:p>
    <w:p w14:paraId="30157A34">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3.本项目的特定资格要求：无</w:t>
      </w:r>
    </w:p>
    <w:p w14:paraId="69D2AB04">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 其他资格要求：</w:t>
      </w:r>
    </w:p>
    <w:p w14:paraId="040E7358">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eastAsia="zh-CN"/>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lang w:val="hr-HR"/>
        </w:rPr>
        <w:t>法定代表人或</w:t>
      </w:r>
      <w:r>
        <w:rPr>
          <w:rFonts w:hint="eastAsia" w:ascii="宋体" w:hAnsi="宋体" w:eastAsia="宋体" w:cs="宋体"/>
          <w:color w:val="auto"/>
          <w:sz w:val="24"/>
          <w:highlight w:val="none"/>
          <w:lang w:val="en-US" w:eastAsia="zh-CN"/>
        </w:rPr>
        <w:t>单位</w:t>
      </w:r>
      <w:r>
        <w:rPr>
          <w:rFonts w:hint="eastAsia" w:ascii="宋体" w:hAnsi="宋体" w:eastAsia="宋体" w:cs="宋体"/>
          <w:color w:val="auto"/>
          <w:sz w:val="24"/>
          <w:highlight w:val="none"/>
          <w:lang w:val="hr-HR"/>
        </w:rPr>
        <w:t>负责人为同一人或者存在</w:t>
      </w:r>
      <w:r>
        <w:rPr>
          <w:rFonts w:hint="eastAsia" w:ascii="宋体" w:hAnsi="宋体" w:eastAsia="宋体" w:cs="宋体"/>
          <w:color w:val="auto"/>
          <w:sz w:val="24"/>
          <w:highlight w:val="none"/>
          <w:lang w:val="en-US" w:eastAsia="zh-CN"/>
        </w:rPr>
        <w:t>直接</w:t>
      </w:r>
      <w:r>
        <w:rPr>
          <w:rFonts w:hint="eastAsia" w:ascii="宋体" w:hAnsi="宋体" w:eastAsia="宋体" w:cs="宋体"/>
          <w:color w:val="auto"/>
          <w:sz w:val="24"/>
          <w:highlight w:val="none"/>
          <w:lang w:val="hr-HR"/>
        </w:rPr>
        <w:t>控股、管理关系的</w:t>
      </w:r>
      <w:r>
        <w:rPr>
          <w:rFonts w:hint="eastAsia" w:ascii="宋体" w:hAnsi="宋体" w:eastAsia="宋体" w:cs="宋体"/>
          <w:color w:val="auto"/>
          <w:sz w:val="24"/>
          <w:highlight w:val="none"/>
          <w:lang w:val="en-US" w:eastAsia="zh-CN"/>
        </w:rPr>
        <w:t>不同投标人</w:t>
      </w:r>
      <w:r>
        <w:rPr>
          <w:rFonts w:hint="eastAsia" w:ascii="宋体" w:hAnsi="宋体" w:eastAsia="宋体" w:cs="宋体"/>
          <w:color w:val="auto"/>
          <w:sz w:val="24"/>
          <w:highlight w:val="none"/>
          <w:lang w:val="hr-HR"/>
        </w:rPr>
        <w:t>，不得参加同一合同项下的政府采购活动。</w:t>
      </w:r>
    </w:p>
    <w:p w14:paraId="68099EEC">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val="hr-HR"/>
        </w:rPr>
        <w:t>除单一来源采购项目外，为采购项目提供整体设计、规范编制或者项目管理、监理、检测等服务的</w:t>
      </w:r>
      <w:r>
        <w:rPr>
          <w:rFonts w:hint="eastAsia" w:ascii="宋体" w:hAnsi="宋体" w:eastAsia="宋体" w:cs="宋体"/>
          <w:color w:val="auto"/>
          <w:sz w:val="24"/>
          <w:highlight w:val="none"/>
          <w:lang w:val="hr-HR" w:eastAsia="zh-CN"/>
        </w:rPr>
        <w:t>投标人</w:t>
      </w:r>
      <w:r>
        <w:rPr>
          <w:rFonts w:hint="eastAsia" w:ascii="宋体" w:hAnsi="宋体" w:eastAsia="宋体" w:cs="宋体"/>
          <w:color w:val="auto"/>
          <w:sz w:val="24"/>
          <w:highlight w:val="none"/>
          <w:lang w:val="hr-HR"/>
        </w:rPr>
        <w:t>，不得再参加该采购项目的其他采购活动。</w:t>
      </w:r>
    </w:p>
    <w:p w14:paraId="49ABF921">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hr-HR" w:eastAsia="zh-CN"/>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lang w:val="hr-HR" w:eastAsia="zh-CN"/>
        </w:rPr>
        <w:t>投标人</w:t>
      </w:r>
      <w:r>
        <w:rPr>
          <w:rFonts w:hint="eastAsia" w:ascii="宋体" w:hAnsi="宋体" w:eastAsia="宋体" w:cs="宋体"/>
          <w:color w:val="auto"/>
          <w:sz w:val="24"/>
          <w:highlight w:val="none"/>
          <w:lang w:val="hr-HR"/>
        </w:rPr>
        <w:t>的信用行为</w:t>
      </w:r>
      <w:r>
        <w:rPr>
          <w:rFonts w:hint="eastAsia" w:ascii="宋体" w:hAnsi="宋体" w:eastAsia="宋体" w:cs="宋体"/>
          <w:color w:val="auto"/>
          <w:sz w:val="24"/>
          <w:highlight w:val="none"/>
          <w:lang w:val="hr-HR" w:eastAsia="zh-CN"/>
        </w:rPr>
        <w:t>：</w:t>
      </w:r>
      <w:r>
        <w:rPr>
          <w:rFonts w:hint="eastAsia" w:ascii="宋体" w:hAnsi="宋体" w:eastAsia="宋体" w:cs="宋体"/>
          <w:color w:val="auto"/>
          <w:sz w:val="24"/>
          <w:highlight w:val="none"/>
          <w:lang w:val="hr-HR"/>
        </w:rPr>
        <w:t>在</w:t>
      </w:r>
      <w:r>
        <w:rPr>
          <w:rFonts w:hint="eastAsia" w:ascii="宋体" w:hAnsi="宋体" w:eastAsia="宋体" w:cs="宋体"/>
          <w:color w:val="auto"/>
          <w:sz w:val="24"/>
          <w:highlight w:val="none"/>
          <w:lang w:val="en-US" w:eastAsia="zh-CN"/>
        </w:rPr>
        <w:t>资格审查阶段经查询</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eastAsia="zh-CN"/>
        </w:rPr>
        <w:t>未被列入“失信被执行人”、“重大税收违法失信主体”、“政府采购严重违法失信行为记录名单”</w:t>
      </w:r>
      <w:r>
        <w:rPr>
          <w:rFonts w:hint="eastAsia" w:ascii="宋体" w:hAnsi="宋体" w:eastAsia="宋体" w:cs="宋体"/>
          <w:color w:val="auto"/>
          <w:sz w:val="24"/>
          <w:highlight w:val="none"/>
          <w:lang w:val="hr-HR"/>
        </w:rPr>
        <w:t>其中之一。如有以上不良信用记录</w:t>
      </w:r>
      <w:r>
        <w:rPr>
          <w:rFonts w:hint="eastAsia" w:ascii="宋体" w:hAnsi="宋体" w:eastAsia="宋体" w:cs="宋体"/>
          <w:color w:val="auto"/>
          <w:sz w:val="24"/>
          <w:highlight w:val="none"/>
          <w:lang w:val="en-US" w:eastAsia="zh-CN"/>
        </w:rPr>
        <w:t>之一的，</w:t>
      </w:r>
      <w:r>
        <w:rPr>
          <w:rFonts w:hint="eastAsia" w:ascii="宋体" w:hAnsi="宋体" w:eastAsia="宋体" w:cs="宋体"/>
          <w:color w:val="auto"/>
          <w:sz w:val="24"/>
          <w:highlight w:val="none"/>
          <w:lang w:val="hr-HR"/>
        </w:rPr>
        <w:t>其</w:t>
      </w:r>
      <w:r>
        <w:rPr>
          <w:rFonts w:hint="eastAsia" w:ascii="宋体" w:hAnsi="宋体" w:eastAsia="宋体" w:cs="宋体"/>
          <w:b/>
          <w:bCs/>
          <w:color w:val="auto"/>
          <w:sz w:val="24"/>
          <w:highlight w:val="none"/>
          <w:lang w:val="hr-HR"/>
        </w:rPr>
        <w:t>投标</w:t>
      </w:r>
      <w:r>
        <w:rPr>
          <w:rFonts w:hint="eastAsia" w:ascii="宋体" w:hAnsi="宋体" w:eastAsia="宋体" w:cs="宋体"/>
          <w:b/>
          <w:bCs/>
          <w:color w:val="auto"/>
          <w:sz w:val="24"/>
          <w:highlight w:val="none"/>
          <w:lang w:val="en-US" w:eastAsia="zh-CN"/>
        </w:rPr>
        <w:t>无效</w:t>
      </w:r>
      <w:r>
        <w:rPr>
          <w:rFonts w:hint="eastAsia" w:ascii="宋体" w:hAnsi="宋体" w:eastAsia="宋体" w:cs="宋体"/>
          <w:color w:val="auto"/>
          <w:sz w:val="24"/>
          <w:highlight w:val="none"/>
          <w:lang w:val="hr-HR"/>
        </w:rPr>
        <w:t>。</w:t>
      </w:r>
    </w:p>
    <w:p w14:paraId="17F1ED43">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36" w:name="_Toc140132747"/>
      <w:bookmarkStart w:id="37" w:name="_Toc15585"/>
      <w:bookmarkStart w:id="38" w:name="_Toc155185862"/>
      <w:bookmarkStart w:id="39" w:name="_Toc109899412"/>
      <w:bookmarkStart w:id="40" w:name="_Toc109899831"/>
      <w:bookmarkStart w:id="41" w:name="_Toc109900250"/>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kern w:val="2"/>
          <w:sz w:val="24"/>
          <w:szCs w:val="24"/>
          <w:highlight w:val="none"/>
          <w:lang w:val="hr-HR" w:eastAsia="zh-CN" w:bidi="ar-SA"/>
        </w:rPr>
        <w:t>获取招标文件</w:t>
      </w:r>
      <w:bookmarkEnd w:id="31"/>
      <w:bookmarkEnd w:id="32"/>
      <w:bookmarkEnd w:id="33"/>
      <w:bookmarkEnd w:id="34"/>
      <w:bookmarkEnd w:id="35"/>
      <w:bookmarkEnd w:id="36"/>
      <w:bookmarkEnd w:id="37"/>
      <w:bookmarkEnd w:id="38"/>
      <w:bookmarkEnd w:id="39"/>
      <w:bookmarkEnd w:id="40"/>
      <w:bookmarkEnd w:id="41"/>
      <w:r>
        <w:rPr>
          <w:rFonts w:hint="eastAsia" w:ascii="宋体" w:hAnsi="宋体" w:eastAsia="宋体" w:cs="宋体"/>
          <w:b/>
          <w:bCs/>
          <w:color w:val="auto"/>
          <w:kern w:val="2"/>
          <w:sz w:val="24"/>
          <w:szCs w:val="24"/>
          <w:highlight w:val="none"/>
          <w:lang w:val="hr-HR" w:eastAsia="zh-CN" w:bidi="ar-SA"/>
        </w:rPr>
        <w:t xml:space="preserve"> </w:t>
      </w:r>
    </w:p>
    <w:p w14:paraId="7F0135DE">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bookmarkStart w:id="42" w:name="_Hlk130457234"/>
      <w:bookmarkStart w:id="43" w:name="_Toc28359015"/>
      <w:bookmarkStart w:id="44" w:name="_Hlk130457327"/>
      <w:bookmarkStart w:id="45" w:name="_Hlk130457261"/>
      <w:bookmarkStart w:id="46" w:name="_Toc28359092"/>
      <w:bookmarkStart w:id="47" w:name="_Toc35393632"/>
      <w:bookmarkStart w:id="48" w:name="_Toc35393801"/>
      <w:r>
        <w:rPr>
          <w:rFonts w:hint="eastAsia" w:ascii="宋体" w:hAnsi="宋体" w:eastAsia="宋体" w:cs="宋体"/>
          <w:color w:val="auto"/>
          <w:sz w:val="24"/>
          <w:highlight w:val="none"/>
          <w:lang w:val="hr-HR"/>
        </w:rPr>
        <w:t>1.时间：</w:t>
      </w:r>
      <w:r>
        <w:rPr>
          <w:rFonts w:hint="eastAsia" w:ascii="宋体" w:hAnsi="宋体" w:eastAsia="宋体" w:cs="宋体"/>
          <w:color w:val="auto"/>
          <w:sz w:val="24"/>
          <w:highlight w:val="none"/>
          <w:u w:val="single"/>
        </w:rPr>
        <w:t xml:space="preserve"> </w:t>
      </w:r>
      <w:r>
        <w:rPr>
          <w:rFonts w:hint="eastAsia" w:cs="宋体"/>
          <w:color w:val="auto"/>
          <w:sz w:val="24"/>
          <w:highlight w:val="none"/>
          <w:u w:val="single"/>
          <w:lang w:val="en-US" w:eastAsia="zh-CN"/>
        </w:rPr>
        <w:t>2025</w:t>
      </w:r>
      <w:r>
        <w:rPr>
          <w:rFonts w:hint="eastAsia" w:ascii="宋体" w:hAnsi="宋体" w:eastAsia="宋体" w:cs="宋体"/>
          <w:color w:val="auto"/>
          <w:sz w:val="24"/>
          <w:highlight w:val="none"/>
          <w:u w:val="single"/>
        </w:rPr>
        <w:t xml:space="preserve">年 </w:t>
      </w:r>
      <w:r>
        <w:rPr>
          <w:rFonts w:hint="eastAsia" w:cs="宋体"/>
          <w:color w:val="auto"/>
          <w:sz w:val="24"/>
          <w:highlight w:val="none"/>
          <w:u w:val="single"/>
          <w:lang w:val="en-US" w:eastAsia="zh-CN"/>
        </w:rPr>
        <w:t>05</w:t>
      </w:r>
      <w:r>
        <w:rPr>
          <w:rFonts w:hint="eastAsia" w:ascii="宋体" w:hAnsi="宋体" w:eastAsia="宋体" w:cs="宋体"/>
          <w:color w:val="auto"/>
          <w:sz w:val="24"/>
          <w:highlight w:val="none"/>
          <w:u w:val="single"/>
        </w:rPr>
        <w:t>月</w:t>
      </w:r>
      <w:r>
        <w:rPr>
          <w:rFonts w:hint="eastAsia" w:cs="宋体"/>
          <w:color w:val="auto"/>
          <w:sz w:val="24"/>
          <w:highlight w:val="none"/>
          <w:u w:val="single"/>
          <w:lang w:val="en-US" w:eastAsia="zh-CN"/>
        </w:rPr>
        <w:t>24</w:t>
      </w:r>
      <w:r>
        <w:rPr>
          <w:rFonts w:hint="eastAsia" w:ascii="宋体" w:hAnsi="宋体" w:eastAsia="宋体" w:cs="宋体"/>
          <w:color w:val="auto"/>
          <w:sz w:val="24"/>
          <w:highlight w:val="none"/>
          <w:u w:val="single"/>
        </w:rPr>
        <w:t>日</w:t>
      </w:r>
      <w:r>
        <w:rPr>
          <w:rFonts w:hint="eastAsia" w:cs="宋体"/>
          <w:color w:val="auto"/>
          <w:sz w:val="24"/>
          <w:highlight w:val="none"/>
          <w:u w:val="single"/>
          <w:lang w:val="en-US" w:eastAsia="zh-CN"/>
        </w:rPr>
        <w:t>00</w:t>
      </w:r>
      <w:r>
        <w:rPr>
          <w:rFonts w:hint="eastAsia" w:ascii="宋体" w:hAnsi="宋体" w:eastAsia="宋体" w:cs="宋体"/>
          <w:color w:val="auto"/>
          <w:sz w:val="24"/>
          <w:highlight w:val="none"/>
          <w:u w:val="single"/>
        </w:rPr>
        <w:t>时</w:t>
      </w:r>
      <w:r>
        <w:rPr>
          <w:rFonts w:hint="eastAsia" w:cs="宋体"/>
          <w:color w:val="auto"/>
          <w:sz w:val="24"/>
          <w:highlight w:val="none"/>
          <w:u w:val="single"/>
          <w:lang w:val="en-US" w:eastAsia="zh-CN"/>
        </w:rPr>
        <w:t>00</w:t>
      </w:r>
      <w:r>
        <w:rPr>
          <w:rFonts w:hint="eastAsia" w:ascii="宋体" w:hAnsi="宋体" w:eastAsia="宋体" w:cs="宋体"/>
          <w:color w:val="auto"/>
          <w:sz w:val="24"/>
          <w:highlight w:val="none"/>
          <w:u w:val="single"/>
        </w:rPr>
        <w:t>分</w:t>
      </w:r>
      <w:r>
        <w:rPr>
          <w:rFonts w:hint="eastAsia" w:ascii="宋体" w:hAnsi="宋体" w:eastAsia="宋体" w:cs="宋体"/>
          <w:color w:val="auto"/>
          <w:sz w:val="24"/>
          <w:highlight w:val="none"/>
          <w:lang w:val="hr-HR"/>
        </w:rPr>
        <w:t>至</w:t>
      </w:r>
      <w:r>
        <w:rPr>
          <w:rFonts w:hint="eastAsia" w:ascii="宋体" w:hAnsi="宋体" w:eastAsia="宋体" w:cs="宋体"/>
          <w:color w:val="auto"/>
          <w:sz w:val="24"/>
          <w:highlight w:val="none"/>
          <w:u w:val="single"/>
          <w:lang w:val="hr-HR"/>
        </w:rPr>
        <w:t xml:space="preserve"> </w:t>
      </w:r>
      <w:r>
        <w:rPr>
          <w:rFonts w:hint="eastAsia" w:cs="宋体"/>
          <w:color w:val="auto"/>
          <w:sz w:val="24"/>
          <w:highlight w:val="none"/>
          <w:u w:val="single"/>
          <w:lang w:val="en-US" w:eastAsia="zh-CN"/>
        </w:rPr>
        <w:t>2025</w:t>
      </w:r>
      <w:r>
        <w:rPr>
          <w:rFonts w:hint="eastAsia" w:ascii="宋体" w:hAnsi="宋体" w:eastAsia="宋体" w:cs="宋体"/>
          <w:color w:val="auto"/>
          <w:sz w:val="24"/>
          <w:highlight w:val="none"/>
          <w:u w:val="single"/>
        </w:rPr>
        <w:t>年</w:t>
      </w:r>
      <w:r>
        <w:rPr>
          <w:rFonts w:hint="eastAsia" w:cs="宋体"/>
          <w:color w:val="auto"/>
          <w:sz w:val="24"/>
          <w:highlight w:val="none"/>
          <w:u w:val="single"/>
          <w:lang w:val="en-US" w:eastAsia="zh-CN"/>
        </w:rPr>
        <w:t>05</w:t>
      </w:r>
      <w:r>
        <w:rPr>
          <w:rFonts w:hint="eastAsia" w:ascii="宋体" w:hAnsi="宋体" w:eastAsia="宋体" w:cs="宋体"/>
          <w:color w:val="auto"/>
          <w:sz w:val="24"/>
          <w:highlight w:val="none"/>
          <w:u w:val="single"/>
        </w:rPr>
        <w:t>月</w:t>
      </w:r>
      <w:r>
        <w:rPr>
          <w:rFonts w:hint="eastAsia" w:cs="宋体"/>
          <w:color w:val="auto"/>
          <w:sz w:val="24"/>
          <w:highlight w:val="none"/>
          <w:u w:val="single"/>
          <w:lang w:val="en-US" w:eastAsia="zh-CN"/>
        </w:rPr>
        <w:t>30</w:t>
      </w:r>
      <w:r>
        <w:rPr>
          <w:rFonts w:hint="eastAsia" w:ascii="宋体" w:hAnsi="宋体" w:eastAsia="宋体" w:cs="宋体"/>
          <w:color w:val="auto"/>
          <w:sz w:val="24"/>
          <w:highlight w:val="none"/>
          <w:u w:val="single"/>
        </w:rPr>
        <w:t>日</w:t>
      </w:r>
      <w:r>
        <w:rPr>
          <w:rFonts w:hint="eastAsia" w:cs="宋体"/>
          <w:color w:val="auto"/>
          <w:sz w:val="24"/>
          <w:highlight w:val="none"/>
          <w:u w:val="single"/>
          <w:lang w:val="en-US" w:eastAsia="zh-CN"/>
        </w:rPr>
        <w:t>23</w:t>
      </w:r>
      <w:r>
        <w:rPr>
          <w:rFonts w:hint="eastAsia" w:ascii="宋体" w:hAnsi="宋体" w:eastAsia="宋体" w:cs="宋体"/>
          <w:color w:val="auto"/>
          <w:sz w:val="24"/>
          <w:highlight w:val="none"/>
          <w:u w:val="single"/>
        </w:rPr>
        <w:t>时</w:t>
      </w:r>
      <w:r>
        <w:rPr>
          <w:rFonts w:hint="eastAsia" w:cs="宋体"/>
          <w:color w:val="auto"/>
          <w:sz w:val="24"/>
          <w:highlight w:val="none"/>
          <w:u w:val="single"/>
          <w:lang w:val="en-US" w:eastAsia="zh-CN"/>
        </w:rPr>
        <w:t>59</w:t>
      </w:r>
      <w:r>
        <w:rPr>
          <w:rFonts w:hint="eastAsia" w:ascii="宋体" w:hAnsi="宋体" w:eastAsia="宋体" w:cs="宋体"/>
          <w:color w:val="auto"/>
          <w:sz w:val="24"/>
          <w:highlight w:val="none"/>
          <w:u w:val="single"/>
        </w:rPr>
        <w:t>分</w:t>
      </w:r>
      <w:r>
        <w:rPr>
          <w:rFonts w:hint="eastAsia" w:ascii="宋体" w:hAnsi="宋体" w:eastAsia="宋体" w:cs="宋体"/>
          <w:color w:val="auto"/>
          <w:sz w:val="24"/>
          <w:highlight w:val="none"/>
          <w:lang w:val="hr-HR"/>
        </w:rPr>
        <w:t>（北京时间）。</w:t>
      </w:r>
    </w:p>
    <w:bookmarkEnd w:id="42"/>
    <w:p w14:paraId="34FD69CE">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hr-HR"/>
        </w:rPr>
        <w:t>2.</w:t>
      </w:r>
      <w:r>
        <w:rPr>
          <w:rFonts w:hint="eastAsia" w:ascii="宋体" w:hAnsi="宋体" w:eastAsia="宋体" w:cs="宋体"/>
          <w:color w:val="auto"/>
          <w:sz w:val="24"/>
          <w:highlight w:val="none"/>
        </w:rPr>
        <w:t>地点</w:t>
      </w:r>
      <w:r>
        <w:rPr>
          <w:rFonts w:hint="eastAsia" w:ascii="宋体" w:hAnsi="宋体" w:eastAsia="宋体" w:cs="宋体"/>
          <w:color w:val="auto"/>
          <w:sz w:val="24"/>
          <w:highlight w:val="none"/>
          <w:lang w:val="hr-HR"/>
        </w:rPr>
        <w:t>：</w:t>
      </w:r>
      <w:bookmarkStart w:id="49" w:name="_Hlk89807779"/>
      <w:r>
        <w:rPr>
          <w:rFonts w:hint="eastAsia" w:ascii="宋体" w:hAnsi="宋体" w:eastAsia="宋体" w:cs="宋体"/>
          <w:color w:val="auto"/>
          <w:sz w:val="24"/>
          <w:highlight w:val="none"/>
          <w:lang w:val="en-US"/>
        </w:rPr>
        <w:t>兵团</w:t>
      </w:r>
      <w:r>
        <w:rPr>
          <w:rFonts w:hint="eastAsia" w:ascii="宋体" w:hAnsi="宋体" w:eastAsia="宋体" w:cs="宋体"/>
          <w:color w:val="auto"/>
          <w:sz w:val="24"/>
          <w:highlight w:val="none"/>
        </w:rPr>
        <w:t>政府采购</w:t>
      </w:r>
      <w:r>
        <w:rPr>
          <w:rFonts w:hint="eastAsia" w:ascii="宋体" w:hAnsi="宋体" w:eastAsia="宋体" w:cs="宋体"/>
          <w:color w:val="auto"/>
          <w:sz w:val="24"/>
          <w:highlight w:val="none"/>
          <w:lang w:val="en-US"/>
        </w:rPr>
        <w:t>电子交易云</w:t>
      </w:r>
      <w:r>
        <w:rPr>
          <w:rFonts w:hint="eastAsia" w:ascii="宋体" w:hAnsi="宋体" w:eastAsia="宋体" w:cs="宋体"/>
          <w:color w:val="auto"/>
          <w:sz w:val="24"/>
          <w:highlight w:val="none"/>
        </w:rPr>
        <w:t>平台</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rPr>
        <w:t>网址</w:t>
      </w:r>
      <w:r>
        <w:rPr>
          <w:rFonts w:hint="eastAsia" w:ascii="宋体" w:hAnsi="宋体" w:eastAsia="宋体" w:cs="宋体"/>
          <w:color w:val="auto"/>
          <w:sz w:val="24"/>
          <w:highlight w:val="none"/>
          <w:lang w:val="hr-HR"/>
        </w:rPr>
        <w:t>：https://www.zcygov.cn/）</w:t>
      </w:r>
      <w:r>
        <w:rPr>
          <w:rFonts w:hint="eastAsia" w:ascii="宋体" w:hAnsi="宋体" w:eastAsia="宋体" w:cs="宋体"/>
          <w:color w:val="auto"/>
          <w:sz w:val="24"/>
          <w:highlight w:val="none"/>
        </w:rPr>
        <w:t>。</w:t>
      </w:r>
      <w:bookmarkEnd w:id="49"/>
    </w:p>
    <w:p w14:paraId="674E7A4D">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rPr>
      </w:pPr>
      <w:r>
        <w:rPr>
          <w:rFonts w:hint="eastAsia" w:ascii="宋体" w:hAnsi="宋体" w:eastAsia="宋体" w:cs="宋体"/>
          <w:color w:val="auto"/>
          <w:sz w:val="24"/>
          <w:highlight w:val="none"/>
          <w:lang w:val="hr-HR"/>
        </w:rPr>
        <w:t>3.</w:t>
      </w:r>
      <w:r>
        <w:rPr>
          <w:rFonts w:hint="eastAsia" w:ascii="宋体" w:hAnsi="宋体" w:eastAsia="宋体" w:cs="宋体"/>
          <w:color w:val="auto"/>
          <w:sz w:val="24"/>
          <w:highlight w:val="none"/>
        </w:rPr>
        <w:t>方式</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投标</w:t>
      </w:r>
      <w:r>
        <w:rPr>
          <w:rFonts w:hint="eastAsia" w:ascii="宋体" w:hAnsi="宋体" w:eastAsia="宋体" w:cs="宋体"/>
          <w:color w:val="auto"/>
          <w:sz w:val="24"/>
          <w:highlight w:val="none"/>
          <w:lang w:val="en-US" w:eastAsia="zh-CN"/>
        </w:rPr>
        <w:t>投标人</w:t>
      </w:r>
      <w:r>
        <w:rPr>
          <w:rFonts w:hint="eastAsia" w:ascii="宋体" w:hAnsi="宋体" w:eastAsia="宋体" w:cs="宋体"/>
          <w:color w:val="auto"/>
          <w:sz w:val="24"/>
          <w:highlight w:val="none"/>
          <w:lang w:val="en-US"/>
        </w:rPr>
        <w:t>登录政采云平台</w:t>
      </w:r>
      <w:r>
        <w:rPr>
          <w:rFonts w:hint="eastAsia" w:ascii="宋体" w:hAnsi="宋体" w:eastAsia="宋体" w:cs="宋体"/>
          <w:color w:val="auto"/>
          <w:sz w:val="24"/>
          <w:highlight w:val="none"/>
          <w:lang w:val="hr-HR"/>
        </w:rPr>
        <w:t>https</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lang w:val="hr-HR"/>
        </w:rPr>
        <w:t>//www.zcygov.cn/</w:t>
      </w:r>
      <w:r>
        <w:rPr>
          <w:rFonts w:hint="eastAsia" w:ascii="宋体" w:hAnsi="宋体" w:eastAsia="宋体" w:cs="宋体"/>
          <w:color w:val="auto"/>
          <w:sz w:val="24"/>
          <w:highlight w:val="none"/>
          <w:lang w:val="en-US"/>
        </w:rPr>
        <w:t>在线申请</w:t>
      </w:r>
      <w:r>
        <w:rPr>
          <w:rFonts w:hint="eastAsia" w:ascii="宋体" w:hAnsi="宋体" w:eastAsia="宋体" w:cs="宋体"/>
          <w:color w:val="auto"/>
          <w:sz w:val="24"/>
          <w:highlight w:val="none"/>
          <w:lang w:val="en-US" w:eastAsia="zh-CN"/>
        </w:rPr>
        <w:t>，免费</w:t>
      </w:r>
      <w:r>
        <w:rPr>
          <w:rFonts w:hint="eastAsia" w:ascii="宋体" w:hAnsi="宋体" w:eastAsia="宋体" w:cs="宋体"/>
          <w:color w:val="auto"/>
          <w:sz w:val="24"/>
          <w:highlight w:val="none"/>
          <w:lang w:val="en-US"/>
        </w:rPr>
        <w:t>获取</w:t>
      </w:r>
      <w:r>
        <w:rPr>
          <w:rFonts w:hint="eastAsia" w:ascii="宋体" w:hAnsi="宋体" w:eastAsia="宋体" w:cs="宋体"/>
          <w:color w:val="auto"/>
          <w:sz w:val="24"/>
          <w:highlight w:val="none"/>
          <w:lang w:val="en-US" w:eastAsia="zh-CN"/>
        </w:rPr>
        <w:t>电子</w:t>
      </w:r>
      <w:r>
        <w:rPr>
          <w:rFonts w:hint="eastAsia" w:ascii="宋体" w:hAnsi="宋体" w:eastAsia="宋体" w:cs="宋体"/>
          <w:color w:val="auto"/>
          <w:sz w:val="24"/>
          <w:highlight w:val="none"/>
          <w:lang w:val="en-US"/>
        </w:rPr>
        <w:t>采购文件</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进入</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项目采购</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应用</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在获取采购文件菜单中选择项目</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申请获取采购文件</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w:t>
      </w:r>
    </w:p>
    <w:p w14:paraId="21D74D7F">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4.售价：0元。</w:t>
      </w:r>
    </w:p>
    <w:bookmarkEnd w:id="43"/>
    <w:bookmarkEnd w:id="44"/>
    <w:bookmarkEnd w:id="45"/>
    <w:bookmarkEnd w:id="46"/>
    <w:bookmarkEnd w:id="47"/>
    <w:bookmarkEnd w:id="48"/>
    <w:p w14:paraId="6020FAF9">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50" w:name="_Toc140132748"/>
      <w:bookmarkStart w:id="51" w:name="_Toc109899413"/>
      <w:bookmarkStart w:id="52" w:name="_Toc109900251"/>
      <w:bookmarkStart w:id="53" w:name="_Toc109899832"/>
      <w:bookmarkStart w:id="54" w:name="_Toc155185863"/>
      <w:bookmarkStart w:id="55" w:name="_Toc32685"/>
      <w:r>
        <w:rPr>
          <w:rFonts w:hint="eastAsia" w:ascii="宋体" w:hAnsi="宋体" w:eastAsia="宋体" w:cs="宋体"/>
          <w:b/>
          <w:bCs/>
          <w:color w:val="auto"/>
          <w:kern w:val="2"/>
          <w:sz w:val="24"/>
          <w:szCs w:val="24"/>
          <w:highlight w:val="none"/>
          <w:lang w:val="en-US" w:eastAsia="zh-CN" w:bidi="ar-SA"/>
        </w:rPr>
        <w:t>四、</w:t>
      </w:r>
      <w:bookmarkEnd w:id="50"/>
      <w:bookmarkEnd w:id="51"/>
      <w:bookmarkEnd w:id="52"/>
      <w:bookmarkEnd w:id="53"/>
      <w:bookmarkEnd w:id="54"/>
      <w:r>
        <w:rPr>
          <w:rFonts w:hint="eastAsia" w:ascii="宋体" w:hAnsi="宋体" w:eastAsia="宋体" w:cs="宋体"/>
          <w:b/>
          <w:bCs/>
          <w:color w:val="auto"/>
          <w:kern w:val="2"/>
          <w:sz w:val="24"/>
          <w:szCs w:val="24"/>
          <w:highlight w:val="none"/>
          <w:lang w:val="hr-HR" w:eastAsia="zh-CN" w:bidi="ar-SA"/>
        </w:rPr>
        <w:t>提交投标文件截止时间</w:t>
      </w:r>
      <w:r>
        <w:rPr>
          <w:rFonts w:hint="eastAsia" w:ascii="宋体" w:hAnsi="宋体" w:eastAsia="宋体" w:cs="宋体"/>
          <w:b/>
          <w:bCs/>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lang w:val="hr-HR" w:eastAsia="zh-CN" w:bidi="ar-SA"/>
        </w:rPr>
        <w:t>开标时间、递交方式和</w:t>
      </w:r>
      <w:r>
        <w:rPr>
          <w:rFonts w:hint="eastAsia" w:ascii="宋体" w:hAnsi="宋体" w:eastAsia="宋体" w:cs="宋体"/>
          <w:b/>
          <w:bCs/>
          <w:color w:val="auto"/>
          <w:kern w:val="2"/>
          <w:sz w:val="24"/>
          <w:szCs w:val="24"/>
          <w:highlight w:val="none"/>
          <w:lang w:val="en-US" w:eastAsia="zh-CN" w:bidi="ar-SA"/>
        </w:rPr>
        <w:t>开标</w:t>
      </w:r>
      <w:r>
        <w:rPr>
          <w:rFonts w:hint="eastAsia" w:ascii="宋体" w:hAnsi="宋体" w:eastAsia="宋体" w:cs="宋体"/>
          <w:b/>
          <w:bCs/>
          <w:color w:val="auto"/>
          <w:kern w:val="2"/>
          <w:sz w:val="24"/>
          <w:szCs w:val="24"/>
          <w:highlight w:val="none"/>
          <w:lang w:val="hr-HR" w:eastAsia="zh-CN" w:bidi="ar-SA"/>
        </w:rPr>
        <w:t>地点</w:t>
      </w:r>
      <w:bookmarkEnd w:id="55"/>
      <w:bookmarkStart w:id="56" w:name="_Hlk130457395"/>
      <w:bookmarkStart w:id="57" w:name="_Toc35393634"/>
      <w:bookmarkStart w:id="58" w:name="_Toc28359017"/>
      <w:bookmarkStart w:id="59" w:name="_Toc35393803"/>
      <w:bookmarkStart w:id="60" w:name="_Toc28359094"/>
      <w:bookmarkStart w:id="61" w:name="_Toc44583633"/>
    </w:p>
    <w:p w14:paraId="2D110B47">
      <w:pPr>
        <w:pStyle w:val="4"/>
        <w:keepNext/>
        <w:keepLines/>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textAlignment w:val="auto"/>
        <w:rPr>
          <w:rFonts w:hint="eastAsia" w:ascii="宋体" w:hAnsi="宋体" w:eastAsia="宋体" w:cs="宋体"/>
          <w:b w:val="0"/>
          <w:bCs w:val="0"/>
          <w:color w:val="auto"/>
          <w:sz w:val="24"/>
          <w:highlight w:val="none"/>
        </w:rPr>
      </w:pPr>
      <w:bookmarkStart w:id="62" w:name="_Toc29336"/>
      <w:bookmarkStart w:id="63" w:name="_Toc20025"/>
      <w:bookmarkStart w:id="64" w:name="_Toc27649"/>
      <w:bookmarkStart w:id="65" w:name="_Toc12179"/>
      <w:bookmarkStart w:id="66" w:name="_Toc3967"/>
      <w:r>
        <w:rPr>
          <w:rFonts w:hint="eastAsia" w:ascii="宋体" w:hAnsi="宋体" w:eastAsia="宋体" w:cs="宋体"/>
          <w:b w:val="0"/>
          <w:bCs w:val="0"/>
          <w:color w:val="auto"/>
          <w:sz w:val="24"/>
          <w:highlight w:val="none"/>
        </w:rPr>
        <w:t>1.截止时间</w:t>
      </w:r>
      <w:r>
        <w:rPr>
          <w:rFonts w:hint="eastAsia" w:ascii="宋体" w:hAnsi="宋体" w:eastAsia="宋体" w:cs="宋体"/>
          <w:b w:val="0"/>
          <w:bCs w:val="0"/>
          <w:color w:val="auto"/>
          <w:sz w:val="24"/>
          <w:highlight w:val="none"/>
          <w:lang w:val="en-US"/>
        </w:rPr>
        <w:t>/</w:t>
      </w:r>
      <w:r>
        <w:rPr>
          <w:rFonts w:hint="eastAsia" w:ascii="宋体" w:hAnsi="宋体" w:eastAsia="宋体" w:cs="宋体"/>
          <w:b w:val="0"/>
          <w:bCs w:val="0"/>
          <w:color w:val="auto"/>
          <w:sz w:val="24"/>
          <w:highlight w:val="none"/>
        </w:rPr>
        <w:t>开标时间：</w:t>
      </w:r>
      <w:r>
        <w:rPr>
          <w:rFonts w:hint="eastAsia" w:ascii="宋体" w:hAnsi="宋体" w:eastAsia="宋体" w:cs="宋体"/>
          <w:b w:val="0"/>
          <w:bCs w:val="0"/>
          <w:color w:val="auto"/>
          <w:sz w:val="24"/>
          <w:highlight w:val="none"/>
          <w:u w:val="single"/>
        </w:rPr>
        <w:t xml:space="preserve"> </w:t>
      </w:r>
      <w:r>
        <w:rPr>
          <w:rFonts w:hint="eastAsia" w:ascii="宋体" w:hAnsi="宋体" w:cs="宋体"/>
          <w:b w:val="0"/>
          <w:bCs w:val="0"/>
          <w:color w:val="auto"/>
          <w:sz w:val="24"/>
          <w:highlight w:val="none"/>
          <w:u w:val="single"/>
          <w:lang w:val="en-US" w:eastAsia="zh-CN"/>
        </w:rPr>
        <w:t>2025</w:t>
      </w:r>
      <w:r>
        <w:rPr>
          <w:rFonts w:hint="eastAsia" w:ascii="宋体" w:hAnsi="宋体" w:eastAsia="宋体" w:cs="宋体"/>
          <w:b w:val="0"/>
          <w:bCs w:val="0"/>
          <w:color w:val="auto"/>
          <w:sz w:val="24"/>
          <w:highlight w:val="none"/>
          <w:u w:val="single"/>
        </w:rPr>
        <w:t>年</w:t>
      </w:r>
      <w:r>
        <w:rPr>
          <w:rFonts w:hint="eastAsia" w:ascii="宋体" w:hAnsi="宋体" w:cs="宋体"/>
          <w:b w:val="0"/>
          <w:bCs w:val="0"/>
          <w:color w:val="auto"/>
          <w:sz w:val="24"/>
          <w:highlight w:val="none"/>
          <w:u w:val="single"/>
          <w:lang w:val="en-US" w:eastAsia="zh-CN"/>
        </w:rPr>
        <w:t>06月30日11</w:t>
      </w:r>
      <w:r>
        <w:rPr>
          <w:rFonts w:hint="eastAsia" w:ascii="宋体" w:hAnsi="宋体" w:eastAsia="宋体" w:cs="宋体"/>
          <w:b w:val="0"/>
          <w:bCs w:val="0"/>
          <w:color w:val="auto"/>
          <w:sz w:val="24"/>
          <w:highlight w:val="none"/>
          <w:u w:val="single"/>
        </w:rPr>
        <w:t>时</w:t>
      </w:r>
      <w:r>
        <w:rPr>
          <w:rFonts w:hint="eastAsia" w:ascii="宋体" w:hAnsi="宋体" w:cs="宋体"/>
          <w:b w:val="0"/>
          <w:bCs w:val="0"/>
          <w:color w:val="auto"/>
          <w:sz w:val="24"/>
          <w:highlight w:val="none"/>
          <w:u w:val="single"/>
          <w:lang w:val="en-US" w:eastAsia="zh-CN"/>
        </w:rPr>
        <w:t>30</w:t>
      </w:r>
      <w:r>
        <w:rPr>
          <w:rFonts w:hint="eastAsia" w:ascii="宋体" w:hAnsi="宋体" w:eastAsia="宋体" w:cs="宋体"/>
          <w:b w:val="0"/>
          <w:bCs w:val="0"/>
          <w:color w:val="auto"/>
          <w:sz w:val="24"/>
          <w:highlight w:val="none"/>
          <w:u w:val="single"/>
        </w:rPr>
        <w:t>分</w:t>
      </w:r>
      <w:r>
        <w:rPr>
          <w:rFonts w:hint="eastAsia" w:ascii="宋体" w:hAnsi="宋体" w:eastAsia="宋体" w:cs="宋体"/>
          <w:b w:val="0"/>
          <w:bCs w:val="0"/>
          <w:color w:val="auto"/>
          <w:sz w:val="24"/>
          <w:highlight w:val="none"/>
        </w:rPr>
        <w:t>（北京时间）。</w:t>
      </w:r>
      <w:bookmarkEnd w:id="62"/>
      <w:bookmarkEnd w:id="63"/>
      <w:bookmarkEnd w:id="64"/>
      <w:bookmarkEnd w:id="65"/>
      <w:bookmarkEnd w:id="66"/>
    </w:p>
    <w:p w14:paraId="51B173F3">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2.递交方式：</w:t>
      </w:r>
      <w:bookmarkStart w:id="67" w:name="_Hlk89807823"/>
      <w:r>
        <w:rPr>
          <w:rFonts w:hint="eastAsia" w:ascii="宋体" w:hAnsi="宋体" w:eastAsia="宋体" w:cs="宋体"/>
          <w:color w:val="auto"/>
          <w:sz w:val="24"/>
          <w:highlight w:val="none"/>
        </w:rPr>
        <w:t>在兵团政府采购电子交易云平台（网址：https://www.zcygov.cn/）进入“项目采购”应用，在投标文件上传菜单中选择项目进行上传。</w:t>
      </w:r>
      <w:bookmarkEnd w:id="67"/>
    </w:p>
    <w:p w14:paraId="276D3E17">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3.开标</w:t>
      </w:r>
      <w:r>
        <w:rPr>
          <w:rFonts w:hint="eastAsia" w:ascii="宋体" w:hAnsi="宋体" w:eastAsia="宋体" w:cs="宋体"/>
          <w:color w:val="auto"/>
          <w:sz w:val="24"/>
          <w:highlight w:val="none"/>
          <w:lang w:val="en-US"/>
        </w:rPr>
        <w:t>地点</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rPr>
        <w:t>投标</w:t>
      </w:r>
      <w:r>
        <w:rPr>
          <w:rFonts w:hint="eastAsia" w:ascii="宋体" w:hAnsi="宋体" w:eastAsia="宋体" w:cs="宋体"/>
          <w:color w:val="auto"/>
          <w:sz w:val="24"/>
          <w:highlight w:val="none"/>
          <w:lang w:val="en-US" w:eastAsia="zh-CN"/>
        </w:rPr>
        <w:t>人</w:t>
      </w:r>
      <w:r>
        <w:rPr>
          <w:rFonts w:hint="eastAsia" w:ascii="宋体" w:hAnsi="宋体" w:eastAsia="宋体" w:cs="宋体"/>
          <w:color w:val="auto"/>
          <w:sz w:val="24"/>
          <w:highlight w:val="none"/>
          <w:lang w:val="en-US"/>
        </w:rPr>
        <w:t>登录政采云平台https</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rPr>
        <w:t>//www.zcygov.cn/，进入项目采购-开</w:t>
      </w:r>
      <w:r>
        <w:rPr>
          <w:rFonts w:hint="eastAsia" w:ascii="宋体" w:hAnsi="宋体" w:eastAsia="宋体" w:cs="宋体"/>
          <w:color w:val="auto"/>
          <w:sz w:val="24"/>
          <w:highlight w:val="none"/>
          <w:lang w:val="en-US" w:eastAsia="zh-CN"/>
        </w:rPr>
        <w:t>标</w:t>
      </w:r>
      <w:r>
        <w:rPr>
          <w:rFonts w:hint="eastAsia" w:ascii="宋体" w:hAnsi="宋体" w:eastAsia="宋体" w:cs="宋体"/>
          <w:color w:val="auto"/>
          <w:sz w:val="24"/>
          <w:highlight w:val="none"/>
          <w:lang w:val="en-US"/>
        </w:rPr>
        <w:t>评标-右边选择对应项目点击“进入项目”进入开标大厅</w:t>
      </w:r>
      <w:r>
        <w:rPr>
          <w:rFonts w:hint="eastAsia" w:ascii="宋体" w:hAnsi="宋体" w:eastAsia="宋体" w:cs="宋体"/>
          <w:color w:val="auto"/>
          <w:sz w:val="24"/>
          <w:highlight w:val="none"/>
        </w:rPr>
        <w:t>。</w:t>
      </w:r>
    </w:p>
    <w:bookmarkEnd w:id="56"/>
    <w:p w14:paraId="679A69E0">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68" w:name="_Toc109899414"/>
      <w:bookmarkStart w:id="69" w:name="_Toc155185864"/>
      <w:bookmarkStart w:id="70" w:name="_Toc109899833"/>
      <w:bookmarkStart w:id="71" w:name="_Toc140132749"/>
      <w:bookmarkStart w:id="72" w:name="_Toc109900252"/>
      <w:bookmarkStart w:id="73" w:name="_Toc22322"/>
      <w:r>
        <w:rPr>
          <w:rFonts w:hint="eastAsia" w:ascii="宋体" w:hAnsi="宋体" w:eastAsia="宋体" w:cs="宋体"/>
          <w:b/>
          <w:bCs/>
          <w:color w:val="auto"/>
          <w:kern w:val="2"/>
          <w:sz w:val="24"/>
          <w:szCs w:val="24"/>
          <w:highlight w:val="none"/>
          <w:lang w:val="en-US" w:eastAsia="zh-CN" w:bidi="ar-SA"/>
        </w:rPr>
        <w:t>五、</w:t>
      </w:r>
      <w:r>
        <w:rPr>
          <w:rFonts w:hint="eastAsia" w:ascii="宋体" w:hAnsi="宋体" w:eastAsia="宋体" w:cs="宋体"/>
          <w:b/>
          <w:bCs/>
          <w:color w:val="auto"/>
          <w:kern w:val="2"/>
          <w:sz w:val="24"/>
          <w:szCs w:val="24"/>
          <w:highlight w:val="none"/>
          <w:lang w:val="hr-HR" w:eastAsia="zh-CN" w:bidi="ar-SA"/>
        </w:rPr>
        <w:t>公告期限</w:t>
      </w:r>
      <w:bookmarkEnd w:id="57"/>
      <w:bookmarkEnd w:id="58"/>
      <w:bookmarkEnd w:id="59"/>
      <w:bookmarkEnd w:id="60"/>
      <w:bookmarkEnd w:id="61"/>
      <w:bookmarkEnd w:id="68"/>
      <w:bookmarkEnd w:id="69"/>
      <w:bookmarkEnd w:id="70"/>
      <w:bookmarkEnd w:id="71"/>
      <w:bookmarkEnd w:id="72"/>
      <w:bookmarkEnd w:id="73"/>
    </w:p>
    <w:p w14:paraId="32028F42">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自招标公告发布之日起5个工作日。</w:t>
      </w:r>
    </w:p>
    <w:p w14:paraId="20DD1AA0">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74" w:name="_Toc109900253"/>
      <w:bookmarkStart w:id="75" w:name="_Toc109899415"/>
      <w:bookmarkStart w:id="76" w:name="_Toc155185865"/>
      <w:bookmarkStart w:id="77" w:name="_Toc35393804"/>
      <w:bookmarkStart w:id="78" w:name="_Toc44583634"/>
      <w:bookmarkStart w:id="79" w:name="_Toc109899834"/>
      <w:bookmarkStart w:id="80" w:name="_Toc35393635"/>
      <w:bookmarkStart w:id="81" w:name="_Toc6610"/>
      <w:bookmarkStart w:id="82" w:name="_Toc140132750"/>
      <w:r>
        <w:rPr>
          <w:rFonts w:hint="eastAsia" w:ascii="宋体" w:hAnsi="宋体" w:eastAsia="宋体" w:cs="宋体"/>
          <w:b/>
          <w:bCs/>
          <w:color w:val="auto"/>
          <w:kern w:val="2"/>
          <w:sz w:val="24"/>
          <w:szCs w:val="24"/>
          <w:highlight w:val="none"/>
          <w:lang w:val="en-US" w:eastAsia="zh-CN" w:bidi="ar-SA"/>
        </w:rPr>
        <w:t>六、</w:t>
      </w:r>
      <w:r>
        <w:rPr>
          <w:rFonts w:hint="eastAsia" w:ascii="宋体" w:hAnsi="宋体" w:eastAsia="宋体" w:cs="宋体"/>
          <w:b/>
          <w:bCs/>
          <w:color w:val="auto"/>
          <w:kern w:val="2"/>
          <w:sz w:val="24"/>
          <w:szCs w:val="24"/>
          <w:highlight w:val="none"/>
          <w:lang w:val="hr-HR" w:eastAsia="zh-CN" w:bidi="ar-SA"/>
        </w:rPr>
        <w:t>其他补充事宜</w:t>
      </w:r>
      <w:bookmarkEnd w:id="74"/>
      <w:bookmarkEnd w:id="75"/>
      <w:bookmarkEnd w:id="76"/>
      <w:bookmarkEnd w:id="77"/>
      <w:bookmarkEnd w:id="78"/>
      <w:bookmarkEnd w:id="79"/>
      <w:bookmarkEnd w:id="80"/>
      <w:bookmarkEnd w:id="81"/>
      <w:bookmarkEnd w:id="82"/>
    </w:p>
    <w:p w14:paraId="30FA302A">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1、本项目实行网上投标，采用电子投标文件；</w:t>
      </w:r>
    </w:p>
    <w:p w14:paraId="40387C18">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各投标人应在开标前应确保成为政采云平台投标人，并完成CA数字证书（符合国密标准）申领。因未注册入库、未办理CA数字证书等原因造成无法投标或投标失败等后果由投标人自行承担。有意向参与兵团区域电子开评标的投标人，可访问兵团政府采购网-办事指南-操作指南-CA证书办理操作指南或点击链接：http://ccgp-bingtuan.gov.cn/site/detail?parentId=189171&amp;articleId=CZ0bD526ZE+CHX5isJvt0w==&amp;utm=site.site-PC-4840.633-pc-websitegroup-secondlevelpage-front.1.2e96d52081d811eebbd67dd2372c0b9a自行进行申领。</w:t>
      </w:r>
    </w:p>
    <w:p w14:paraId="34AAF104">
      <w:pPr>
        <w:pStyle w:val="38"/>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投标人将政采云电子交易客户端下载、安装完成后，可通过账号密码或CA登录客户端进行投标文件的制作。在使用政采云投标客户端时，建议使用WIN7（64位）及以上操作系统。客户端请至兵团政府采购网（http://ccgp-bingtuan.gov.cn/）下载专区查看，如有问题可拨打政采云客户服务热线95763进行咨询。如因投标人自身原因导致在规定时间内无法正常解密的（如：浏览器故障、未安装相关驱动、网络故障、加密CA与解密CA不一致等），视为投标人自动弃标。</w:t>
      </w:r>
    </w:p>
    <w:p w14:paraId="723251BD">
      <w:pPr>
        <w:pStyle w:val="4"/>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83" w:name="_Toc155185866"/>
      <w:bookmarkStart w:id="84" w:name="_Toc140132751"/>
      <w:bookmarkStart w:id="85" w:name="_Toc44583635"/>
      <w:bookmarkStart w:id="86" w:name="_Toc35393636"/>
      <w:bookmarkStart w:id="87" w:name="_Toc28359018"/>
      <w:bookmarkStart w:id="88" w:name="_Toc109900254"/>
      <w:bookmarkStart w:id="89" w:name="_Toc28359095"/>
      <w:bookmarkStart w:id="90" w:name="_Toc35393805"/>
      <w:bookmarkStart w:id="91" w:name="_Toc109899416"/>
      <w:bookmarkStart w:id="92" w:name="_Toc109899835"/>
      <w:bookmarkStart w:id="93" w:name="_Toc18221"/>
      <w:r>
        <w:rPr>
          <w:rFonts w:hint="eastAsia" w:ascii="宋体" w:hAnsi="宋体" w:eastAsia="宋体" w:cs="宋体"/>
          <w:b/>
          <w:bCs/>
          <w:color w:val="auto"/>
          <w:kern w:val="2"/>
          <w:sz w:val="24"/>
          <w:szCs w:val="24"/>
          <w:highlight w:val="none"/>
          <w:lang w:val="en-US" w:eastAsia="zh-CN" w:bidi="ar-SA"/>
        </w:rPr>
        <w:t>七、</w:t>
      </w:r>
      <w:bookmarkEnd w:id="83"/>
      <w:bookmarkEnd w:id="84"/>
      <w:bookmarkEnd w:id="85"/>
      <w:bookmarkEnd w:id="86"/>
      <w:bookmarkEnd w:id="87"/>
      <w:bookmarkEnd w:id="88"/>
      <w:bookmarkEnd w:id="89"/>
      <w:bookmarkEnd w:id="90"/>
      <w:bookmarkEnd w:id="91"/>
      <w:bookmarkEnd w:id="92"/>
      <w:r>
        <w:rPr>
          <w:rFonts w:hint="eastAsia" w:ascii="宋体" w:hAnsi="宋体" w:eastAsia="宋体" w:cs="宋体"/>
          <w:b/>
          <w:bCs/>
          <w:color w:val="auto"/>
          <w:kern w:val="2"/>
          <w:sz w:val="24"/>
          <w:szCs w:val="24"/>
          <w:highlight w:val="none"/>
          <w:lang w:val="hr-HR" w:eastAsia="zh-CN" w:bidi="ar-SA"/>
        </w:rPr>
        <w:t>对本次</w:t>
      </w:r>
      <w:r>
        <w:rPr>
          <w:rFonts w:hint="eastAsia" w:ascii="宋体" w:hAnsi="宋体" w:eastAsia="宋体" w:cs="宋体"/>
          <w:b/>
          <w:bCs/>
          <w:color w:val="auto"/>
          <w:kern w:val="2"/>
          <w:sz w:val="24"/>
          <w:szCs w:val="24"/>
          <w:highlight w:val="none"/>
          <w:lang w:val="en-US" w:eastAsia="zh-CN" w:bidi="ar-SA"/>
        </w:rPr>
        <w:t>招标</w:t>
      </w:r>
      <w:r>
        <w:rPr>
          <w:rFonts w:hint="eastAsia" w:ascii="宋体" w:hAnsi="宋体" w:eastAsia="宋体" w:cs="宋体"/>
          <w:b/>
          <w:bCs/>
          <w:color w:val="auto"/>
          <w:kern w:val="2"/>
          <w:sz w:val="24"/>
          <w:szCs w:val="24"/>
          <w:highlight w:val="none"/>
          <w:lang w:val="hr-HR" w:eastAsia="zh-CN" w:bidi="ar-SA"/>
        </w:rPr>
        <w:t>提出询问，请按以下方式联系</w:t>
      </w:r>
      <w:bookmarkEnd w:id="93"/>
    </w:p>
    <w:p w14:paraId="3EEAC95D">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bookmarkStart w:id="94" w:name="_Toc35393637"/>
      <w:bookmarkStart w:id="95" w:name="_Toc28359096"/>
      <w:bookmarkStart w:id="96" w:name="_Toc28359019"/>
      <w:bookmarkStart w:id="97" w:name="_Toc35393806"/>
      <w:r>
        <w:rPr>
          <w:rFonts w:hint="eastAsia" w:ascii="宋体" w:hAnsi="宋体" w:eastAsia="宋体" w:cs="宋体"/>
          <w:color w:val="auto"/>
          <w:sz w:val="24"/>
          <w:highlight w:val="none"/>
        </w:rPr>
        <w:t>1.采购人信息</w:t>
      </w:r>
      <w:bookmarkEnd w:id="94"/>
      <w:bookmarkEnd w:id="95"/>
      <w:bookmarkEnd w:id="96"/>
      <w:bookmarkEnd w:id="97"/>
    </w:p>
    <w:p w14:paraId="78A2EFA3">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兵地融合发展草湖项目区自然灾害综合监测预警应急管理中心 </w:t>
      </w:r>
    </w:p>
    <w:p w14:paraId="1DD202A8">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u w:val="single"/>
        </w:rPr>
        <w:t xml:space="preserve"> 新疆维吾尔自治区图木舒克市草湖镇六连S311省道14号 </w:t>
      </w:r>
    </w:p>
    <w:p w14:paraId="676204EA">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联系方式：</w:t>
      </w:r>
      <w:bookmarkStart w:id="98" w:name="_Hlk46775675"/>
      <w:r>
        <w:rPr>
          <w:rFonts w:hint="eastAsia" w:ascii="宋体" w:hAnsi="宋体" w:eastAsia="宋体" w:cs="宋体"/>
          <w:color w:val="auto"/>
          <w:sz w:val="24"/>
          <w:highlight w:val="none"/>
          <w:u w:val="single"/>
        </w:rPr>
        <w:t xml:space="preserve"> 李明江、0998-2612350 </w:t>
      </w:r>
    </w:p>
    <w:bookmarkEnd w:id="98"/>
    <w:p w14:paraId="5C798AB6">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bookmarkStart w:id="99" w:name="_Toc35393638"/>
      <w:bookmarkStart w:id="100" w:name="_Toc28359020"/>
      <w:bookmarkStart w:id="101" w:name="_Toc28359097"/>
      <w:bookmarkStart w:id="102" w:name="_Toc35393807"/>
      <w:r>
        <w:rPr>
          <w:rFonts w:hint="eastAsia" w:ascii="宋体" w:hAnsi="宋体" w:eastAsia="宋体" w:cs="宋体"/>
          <w:color w:val="auto"/>
          <w:sz w:val="24"/>
          <w:highlight w:val="none"/>
        </w:rPr>
        <w:t>2.采购代理机构信息</w:t>
      </w:r>
      <w:bookmarkEnd w:id="99"/>
      <w:bookmarkEnd w:id="100"/>
      <w:bookmarkEnd w:id="101"/>
      <w:bookmarkEnd w:id="102"/>
    </w:p>
    <w:p w14:paraId="5E585559">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新疆锦辰工程项目管理有限公司 </w:t>
      </w:r>
    </w:p>
    <w:p w14:paraId="2395F894">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u w:val="single"/>
        </w:rPr>
        <w:t xml:space="preserve"> 新疆图木舒克市草湖经济技术开发区兴业路1号众鑫商业街1幢2-01号 </w:t>
      </w:r>
    </w:p>
    <w:p w14:paraId="7EBA1364">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联系方式：</w:t>
      </w:r>
      <w:r>
        <w:rPr>
          <w:rFonts w:hint="eastAsia" w:ascii="宋体" w:hAnsi="宋体" w:eastAsia="宋体" w:cs="宋体"/>
          <w:color w:val="auto"/>
          <w:sz w:val="24"/>
          <w:highlight w:val="none"/>
          <w:u w:val="single"/>
        </w:rPr>
        <w:t xml:space="preserve"> 蔡雨欣、18299695530 </w:t>
      </w:r>
    </w:p>
    <w:p w14:paraId="28B1182B">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szCs w:val="24"/>
          <w:highlight w:val="none"/>
          <w:lang w:val="en-US" w:eastAsia="zh-CN"/>
        </w:rPr>
      </w:pPr>
      <w:bookmarkStart w:id="103" w:name="_Toc35393639"/>
      <w:bookmarkStart w:id="104" w:name="_Toc35393808"/>
      <w:bookmarkStart w:id="105" w:name="_Toc28359098"/>
      <w:bookmarkStart w:id="106" w:name="_Toc28359021"/>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项目联系方式</w:t>
      </w:r>
    </w:p>
    <w:p w14:paraId="7E6118A7">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single"/>
          <w:lang w:val="en-US" w:eastAsia="zh-CN"/>
        </w:rPr>
        <w:t xml:space="preserve"> 蔡雨欣 </w:t>
      </w:r>
    </w:p>
    <w:bookmarkEnd w:id="103"/>
    <w:bookmarkEnd w:id="104"/>
    <w:bookmarkEnd w:id="105"/>
    <w:bookmarkEnd w:id="106"/>
    <w:p w14:paraId="567D1B59">
      <w:pPr>
        <w:pStyle w:val="38"/>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电话：</w:t>
      </w:r>
      <w:r>
        <w:rPr>
          <w:rFonts w:hint="eastAsia" w:ascii="宋体" w:hAnsi="宋体" w:eastAsia="宋体" w:cs="宋体"/>
          <w:color w:val="auto"/>
          <w:sz w:val="24"/>
          <w:szCs w:val="24"/>
          <w:highlight w:val="none"/>
          <w:u w:val="single"/>
          <w:lang w:val="en-US" w:eastAsia="zh-CN"/>
        </w:rPr>
        <w:t xml:space="preserve"> 18299695530 </w:t>
      </w:r>
    </w:p>
    <w:p w14:paraId="3EF17BC4">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p w14:paraId="3ADF3AE0">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p w14:paraId="3B793992">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p w14:paraId="34A5BC61">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p>
    <w:p w14:paraId="7A53C82D">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p>
    <w:p w14:paraId="4D23FB4C">
      <w:pPr>
        <w:pStyle w:val="3"/>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107" w:name="_Toc155185867"/>
      <w:bookmarkStart w:id="108" w:name="_Toc14942"/>
      <w:r>
        <w:rPr>
          <w:rFonts w:hint="eastAsia" w:ascii="宋体" w:hAnsi="宋体" w:eastAsia="宋体" w:cs="宋体"/>
          <w:b/>
          <w:bCs/>
          <w:color w:val="auto"/>
          <w:kern w:val="44"/>
          <w:sz w:val="36"/>
          <w:szCs w:val="36"/>
          <w:highlight w:val="none"/>
          <w:lang w:val="en-US" w:eastAsia="zh-CN" w:bidi="ar-SA"/>
        </w:rPr>
        <w:t>第二章 投标人须知</w:t>
      </w:r>
      <w:bookmarkEnd w:id="107"/>
      <w:bookmarkEnd w:id="108"/>
    </w:p>
    <w:bookmarkEnd w:id="3"/>
    <w:p w14:paraId="5A1F6903">
      <w:pPr>
        <w:pStyle w:val="4"/>
        <w:keepNext/>
        <w:keepLines/>
        <w:pageBreakBefore w:val="0"/>
        <w:widowControl w:val="0"/>
        <w:numPr>
          <w:ilvl w:val="0"/>
          <w:numId w:val="0"/>
        </w:numPr>
        <w:kinsoku/>
        <w:wordWrap/>
        <w:overflowPunct/>
        <w:topLinePunct w:val="0"/>
        <w:autoSpaceDE/>
        <w:autoSpaceDN/>
        <w:bidi w:val="0"/>
        <w:adjustRightInd/>
        <w:snapToGrid/>
        <w:spacing w:before="80" w:after="8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109" w:name="_Toc155185868"/>
      <w:bookmarkStart w:id="110" w:name="_Toc7732"/>
      <w:r>
        <w:rPr>
          <w:rFonts w:hint="eastAsia" w:eastAsia="宋体" w:asciiTheme="majorHAnsi" w:hAnsiTheme="majorHAnsi" w:cstheme="majorBidi"/>
          <w:b/>
          <w:bCs/>
          <w:color w:val="auto"/>
          <w:kern w:val="2"/>
          <w:sz w:val="28"/>
          <w:szCs w:val="28"/>
          <w:highlight w:val="none"/>
          <w:lang w:val="en-US" w:eastAsia="zh-CN" w:bidi="ar-SA"/>
        </w:rPr>
        <w:t>一、投标人须知前附表</w:t>
      </w:r>
      <w:bookmarkEnd w:id="109"/>
      <w:bookmarkEnd w:id="110"/>
    </w:p>
    <w:p w14:paraId="7F3ACB7A">
      <w:pPr>
        <w:pStyle w:val="38"/>
        <w:rPr>
          <w:rFonts w:hint="default" w:eastAsia="宋体"/>
          <w:color w:val="auto"/>
          <w:sz w:val="24"/>
          <w:szCs w:val="24"/>
          <w:highlight w:val="none"/>
          <w:lang w:val="en-US" w:eastAsia="zh-CN"/>
        </w:rPr>
      </w:pPr>
      <w:r>
        <w:rPr>
          <w:rFonts w:hint="eastAsia"/>
          <w:color w:val="auto"/>
          <w:sz w:val="24"/>
          <w:szCs w:val="24"/>
          <w:highlight w:val="none"/>
        </w:rPr>
        <w:t>投标人应仔细阅读本招标文件的第二章“投标人须知”，下面所列资料是对“投标人须知”的具体补充和说明</w:t>
      </w:r>
      <w:r>
        <w:rPr>
          <w:rFonts w:hint="eastAsia"/>
          <w:color w:val="auto"/>
          <w:sz w:val="24"/>
          <w:szCs w:val="24"/>
          <w:highlight w:val="none"/>
          <w:lang w:eastAsia="zh-CN"/>
        </w:rPr>
        <w:t>，</w:t>
      </w:r>
      <w:r>
        <w:rPr>
          <w:rFonts w:hint="eastAsia"/>
          <w:color w:val="auto"/>
          <w:sz w:val="24"/>
          <w:szCs w:val="24"/>
          <w:highlight w:val="none"/>
        </w:rPr>
        <w:t>如有矛盾，应以本表为准。</w:t>
      </w:r>
      <w:r>
        <w:rPr>
          <w:rFonts w:hint="eastAsia"/>
          <w:color w:val="auto"/>
          <w:sz w:val="24"/>
          <w:szCs w:val="24"/>
          <w:highlight w:val="none"/>
          <w:lang w:val="en-US" w:eastAsia="zh-CN"/>
        </w:rPr>
        <w:t>标记“</w:t>
      </w:r>
      <w:r>
        <w:rPr>
          <w:rFonts w:hint="eastAsia" w:ascii="宋体" w:hAnsi="宋体" w:eastAsia="宋体"/>
          <w:color w:val="auto"/>
          <w:sz w:val="24"/>
          <w:szCs w:val="24"/>
          <w:highlight w:val="none"/>
          <w:lang w:val="en-US" w:eastAsia="zh-CN"/>
        </w:rPr>
        <w:t>☑”的选项意为适用于本项目，标记“□”的选项意为不适用于本项目。</w:t>
      </w:r>
    </w:p>
    <w:tbl>
      <w:tblPr>
        <w:tblStyle w:val="31"/>
        <w:tblW w:w="940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738"/>
        <w:gridCol w:w="6700"/>
      </w:tblGrid>
      <w:tr w14:paraId="1B64B2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73" w:hRule="atLeast"/>
          <w:tblHeader/>
          <w:jc w:val="center"/>
        </w:trPr>
        <w:tc>
          <w:tcPr>
            <w:tcW w:w="97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C4440DB">
            <w:pPr>
              <w:pStyle w:val="5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条款号</w:t>
            </w:r>
          </w:p>
        </w:tc>
        <w:tc>
          <w:tcPr>
            <w:tcW w:w="173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B9EABEB">
            <w:pPr>
              <w:pStyle w:val="5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条款名称</w:t>
            </w:r>
          </w:p>
        </w:tc>
        <w:tc>
          <w:tcPr>
            <w:tcW w:w="670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C7B3B70">
            <w:pPr>
              <w:pStyle w:val="5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内  容</w:t>
            </w:r>
          </w:p>
        </w:tc>
      </w:tr>
      <w:tr w14:paraId="14D993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jc w:val="center"/>
        </w:trPr>
        <w:tc>
          <w:tcPr>
            <w:tcW w:w="970" w:type="dxa"/>
            <w:vAlign w:val="center"/>
          </w:tcPr>
          <w:p w14:paraId="10583158">
            <w:pPr>
              <w:pStyle w:val="50"/>
              <w:spacing w:line="360" w:lineRule="auto"/>
              <w:jc w:val="center"/>
              <w:rPr>
                <w:rFonts w:hint="eastAsia" w:ascii="宋体" w:hAnsi="宋体" w:eastAsia="宋体" w:cs="宋体"/>
                <w:color w:val="auto"/>
                <w:sz w:val="24"/>
                <w:szCs w:val="24"/>
                <w:highlight w:val="none"/>
                <w:lang w:val="en-US" w:eastAsia="zh-CN"/>
              </w:rPr>
            </w:pPr>
            <w:r>
              <w:rPr>
                <w:rFonts w:hint="eastAsia" w:cs="宋体"/>
                <w:szCs w:val="24"/>
                <w:highlight w:val="none"/>
              </w:rPr>
              <w:t>1</w:t>
            </w:r>
          </w:p>
        </w:tc>
        <w:tc>
          <w:tcPr>
            <w:tcW w:w="1738" w:type="dxa"/>
            <w:vAlign w:val="center"/>
          </w:tcPr>
          <w:p w14:paraId="3B2857D1">
            <w:pPr>
              <w:pStyle w:val="50"/>
              <w:spacing w:line="360" w:lineRule="auto"/>
              <w:jc w:val="center"/>
              <w:rPr>
                <w:rFonts w:hint="eastAsia" w:cs="宋体"/>
                <w:szCs w:val="24"/>
                <w:highlight w:val="none"/>
              </w:rPr>
            </w:pPr>
            <w:r>
              <w:rPr>
                <w:rFonts w:hint="eastAsia" w:cs="宋体"/>
                <w:szCs w:val="24"/>
                <w:highlight w:val="none"/>
              </w:rPr>
              <w:t>项目名称</w:t>
            </w:r>
          </w:p>
          <w:p w14:paraId="5CC0D1A0">
            <w:pPr>
              <w:pStyle w:val="50"/>
              <w:spacing w:line="360" w:lineRule="auto"/>
              <w:jc w:val="center"/>
              <w:rPr>
                <w:rFonts w:hint="eastAsia" w:ascii="宋体" w:hAnsi="宋体" w:eastAsia="宋体" w:cs="宋体"/>
                <w:color w:val="auto"/>
                <w:sz w:val="24"/>
                <w:szCs w:val="24"/>
                <w:highlight w:val="none"/>
                <w:lang w:val="en-US" w:eastAsia="zh-CN"/>
              </w:rPr>
            </w:pPr>
            <w:r>
              <w:rPr>
                <w:rFonts w:hint="eastAsia" w:cs="宋体"/>
                <w:szCs w:val="24"/>
                <w:highlight w:val="none"/>
              </w:rPr>
              <w:t>项目编号</w:t>
            </w:r>
          </w:p>
        </w:tc>
        <w:tc>
          <w:tcPr>
            <w:tcW w:w="6700" w:type="dxa"/>
            <w:vAlign w:val="center"/>
          </w:tcPr>
          <w:p w14:paraId="6B797760">
            <w:pPr>
              <w:pStyle w:val="50"/>
              <w:spacing w:line="360" w:lineRule="auto"/>
              <w:jc w:val="both"/>
              <w:rPr>
                <w:rFonts w:hint="eastAsia" w:cs="宋体"/>
                <w:color w:val="auto"/>
                <w:sz w:val="24"/>
                <w:szCs w:val="24"/>
                <w:highlight w:val="none"/>
                <w:lang w:val="en-US" w:eastAsia="zh-CN"/>
              </w:rPr>
            </w:pPr>
            <w:r>
              <w:rPr>
                <w:rFonts w:hint="eastAsia" w:cs="宋体"/>
                <w:color w:val="auto"/>
                <w:sz w:val="24"/>
                <w:szCs w:val="24"/>
                <w:highlight w:val="none"/>
                <w:lang w:val="en-US" w:eastAsia="zh-CN"/>
              </w:rPr>
              <w:t xml:space="preserve">项目名称： 草湖项目区自然灾害综合监测预警应急管理中心消防车购置项目 </w:t>
            </w:r>
          </w:p>
          <w:p w14:paraId="6A22DE34">
            <w:pPr>
              <w:pStyle w:val="50"/>
              <w:spacing w:line="360" w:lineRule="auto"/>
              <w:jc w:val="both"/>
              <w:rPr>
                <w:rFonts w:hint="eastAsia" w:cs="宋体"/>
                <w:color w:val="auto"/>
                <w:sz w:val="24"/>
                <w:szCs w:val="24"/>
                <w:highlight w:val="none"/>
                <w:lang w:val="en-US" w:eastAsia="zh-CN"/>
              </w:rPr>
            </w:pPr>
            <w:r>
              <w:rPr>
                <w:rFonts w:hint="eastAsia" w:cs="宋体"/>
                <w:color w:val="auto"/>
                <w:sz w:val="24"/>
                <w:szCs w:val="24"/>
                <w:highlight w:val="none"/>
                <w:lang w:val="en-US" w:eastAsia="zh-CN"/>
              </w:rPr>
              <w:t xml:space="preserve">项目编号： B15SBJ[2025]129号 </w:t>
            </w:r>
          </w:p>
        </w:tc>
      </w:tr>
      <w:tr w14:paraId="5E9D80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jc w:val="center"/>
        </w:trPr>
        <w:tc>
          <w:tcPr>
            <w:tcW w:w="970" w:type="dxa"/>
            <w:vAlign w:val="center"/>
          </w:tcPr>
          <w:p w14:paraId="52F9EC37">
            <w:pPr>
              <w:pStyle w:val="50"/>
              <w:spacing w:line="360" w:lineRule="auto"/>
              <w:jc w:val="center"/>
              <w:rPr>
                <w:rFonts w:hint="eastAsia" w:ascii="宋体" w:hAnsi="宋体" w:eastAsia="宋体" w:cs="宋体"/>
                <w:color w:val="auto"/>
                <w:sz w:val="24"/>
                <w:szCs w:val="24"/>
                <w:highlight w:val="none"/>
                <w:lang w:val="en-US" w:eastAsia="zh-CN"/>
              </w:rPr>
            </w:pPr>
            <w:r>
              <w:rPr>
                <w:rFonts w:hint="eastAsia" w:cs="宋体"/>
                <w:szCs w:val="24"/>
                <w:highlight w:val="none"/>
              </w:rPr>
              <w:t>2.2</w:t>
            </w:r>
          </w:p>
        </w:tc>
        <w:tc>
          <w:tcPr>
            <w:tcW w:w="1738" w:type="dxa"/>
            <w:vAlign w:val="center"/>
          </w:tcPr>
          <w:p w14:paraId="6F8EF5AE">
            <w:pPr>
              <w:pStyle w:val="91"/>
              <w:keepLines w:val="0"/>
              <w:spacing w:before="0" w:after="0" w:line="360" w:lineRule="auto"/>
              <w:jc w:val="center"/>
              <w:rPr>
                <w:rFonts w:hint="eastAsia" w:ascii="宋体" w:hAnsi="宋体" w:eastAsia="宋体" w:cs="宋体"/>
                <w:color w:val="auto"/>
                <w:sz w:val="24"/>
                <w:szCs w:val="24"/>
                <w:highlight w:val="none"/>
                <w:lang w:val="en-US" w:eastAsia="zh-CN"/>
              </w:rPr>
            </w:pPr>
            <w:bookmarkStart w:id="111" w:name="_Toc27876"/>
            <w:r>
              <w:rPr>
                <w:rFonts w:hint="eastAsia" w:ascii="宋体" w:hAnsi="宋体" w:eastAsia="宋体"/>
                <w:b w:val="0"/>
                <w:bCs w:val="0"/>
                <w:kern w:val="2"/>
                <w:sz w:val="24"/>
                <w:szCs w:val="24"/>
                <w:highlight w:val="none"/>
                <w:lang w:bidi="ar-SA"/>
              </w:rPr>
              <w:t>采购人</w:t>
            </w:r>
            <w:bookmarkEnd w:id="111"/>
          </w:p>
        </w:tc>
        <w:tc>
          <w:tcPr>
            <w:tcW w:w="6700" w:type="dxa"/>
            <w:vAlign w:val="center"/>
          </w:tcPr>
          <w:p w14:paraId="2E9A312C">
            <w:pPr>
              <w:pStyle w:val="59"/>
              <w:wordWrap w:val="0"/>
              <w:topLinePunct/>
              <w:spacing w:line="360" w:lineRule="auto"/>
              <w:rPr>
                <w:rFonts w:hint="eastAsia" w:cs="宋体"/>
                <w:color w:val="auto"/>
                <w:sz w:val="24"/>
                <w:szCs w:val="24"/>
                <w:highlight w:val="none"/>
                <w:lang w:val="en-US" w:eastAsia="zh-CN"/>
              </w:rPr>
            </w:pPr>
            <w:r>
              <w:rPr>
                <w:rFonts w:hint="eastAsia" w:cs="宋体"/>
                <w:color w:val="auto"/>
                <w:sz w:val="24"/>
                <w:szCs w:val="24"/>
                <w:highlight w:val="none"/>
                <w:lang w:val="en-US" w:eastAsia="zh-CN"/>
              </w:rPr>
              <w:t xml:space="preserve">名称： 兵地融合发展草湖项目区自然灾害综合监测预警应急管理中心 </w:t>
            </w:r>
          </w:p>
          <w:p w14:paraId="3AD08F4A">
            <w:pPr>
              <w:pStyle w:val="59"/>
              <w:wordWrap w:val="0"/>
              <w:topLinePunct/>
              <w:spacing w:line="360" w:lineRule="auto"/>
              <w:rPr>
                <w:rFonts w:hint="eastAsia" w:cs="宋体"/>
                <w:color w:val="auto"/>
                <w:sz w:val="24"/>
                <w:szCs w:val="24"/>
                <w:highlight w:val="none"/>
                <w:lang w:val="en-US" w:eastAsia="zh-CN"/>
              </w:rPr>
            </w:pPr>
            <w:r>
              <w:rPr>
                <w:rFonts w:hint="eastAsia" w:cs="宋体"/>
                <w:color w:val="auto"/>
                <w:sz w:val="24"/>
                <w:szCs w:val="24"/>
                <w:highlight w:val="none"/>
                <w:lang w:val="en-US" w:eastAsia="zh-CN"/>
              </w:rPr>
              <w:t xml:space="preserve">地址： 新疆维吾尔自治区图木舒克市草湖镇六连S311省道14号 </w:t>
            </w:r>
          </w:p>
          <w:p w14:paraId="6DBBFA76">
            <w:pPr>
              <w:pStyle w:val="58"/>
              <w:spacing w:line="360" w:lineRule="auto"/>
              <w:rPr>
                <w:rFonts w:hint="eastAsia"/>
                <w:highlight w:val="none"/>
                <w:lang w:val="en-US" w:eastAsia="zh-CN"/>
              </w:rPr>
            </w:pPr>
            <w:r>
              <w:rPr>
                <w:rFonts w:hint="eastAsia" w:cs="宋体"/>
                <w:color w:val="auto"/>
                <w:sz w:val="24"/>
                <w:szCs w:val="24"/>
                <w:highlight w:val="none"/>
                <w:lang w:val="en-US" w:eastAsia="zh-CN"/>
              </w:rPr>
              <w:t>联系人：李明江</w:t>
            </w:r>
          </w:p>
          <w:p w14:paraId="7524F124">
            <w:pPr>
              <w:pStyle w:val="59"/>
              <w:wordWrap w:val="0"/>
              <w:topLinePunct/>
              <w:spacing w:line="360" w:lineRule="auto"/>
              <w:rPr>
                <w:rFonts w:hint="eastAsia" w:cs="宋体"/>
                <w:color w:val="auto"/>
                <w:sz w:val="24"/>
                <w:szCs w:val="24"/>
                <w:highlight w:val="none"/>
                <w:lang w:val="en-US" w:eastAsia="zh-CN"/>
              </w:rPr>
            </w:pPr>
            <w:r>
              <w:rPr>
                <w:rFonts w:hint="eastAsia" w:cs="宋体"/>
                <w:color w:val="auto"/>
                <w:sz w:val="24"/>
                <w:szCs w:val="24"/>
                <w:highlight w:val="none"/>
                <w:lang w:val="en-US" w:eastAsia="zh-CN"/>
              </w:rPr>
              <w:t xml:space="preserve">联系方式：0998-2612350 </w:t>
            </w:r>
          </w:p>
        </w:tc>
      </w:tr>
      <w:tr w14:paraId="0E05F7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jc w:val="center"/>
        </w:trPr>
        <w:tc>
          <w:tcPr>
            <w:tcW w:w="970" w:type="dxa"/>
            <w:vAlign w:val="center"/>
          </w:tcPr>
          <w:p w14:paraId="221B9D72">
            <w:pPr>
              <w:pStyle w:val="50"/>
              <w:spacing w:line="360" w:lineRule="auto"/>
              <w:jc w:val="center"/>
              <w:rPr>
                <w:rFonts w:hint="eastAsia" w:ascii="宋体" w:hAnsi="宋体" w:eastAsia="宋体" w:cs="宋体"/>
                <w:color w:val="auto"/>
                <w:sz w:val="24"/>
                <w:szCs w:val="24"/>
                <w:highlight w:val="none"/>
                <w:lang w:val="en-US" w:eastAsia="zh-CN"/>
              </w:rPr>
            </w:pPr>
            <w:r>
              <w:rPr>
                <w:rFonts w:hint="eastAsia" w:cs="宋体"/>
                <w:szCs w:val="24"/>
                <w:highlight w:val="none"/>
              </w:rPr>
              <w:t>2.3</w:t>
            </w:r>
          </w:p>
        </w:tc>
        <w:tc>
          <w:tcPr>
            <w:tcW w:w="1738" w:type="dxa"/>
            <w:vAlign w:val="center"/>
          </w:tcPr>
          <w:p w14:paraId="0FF5CD72">
            <w:pPr>
              <w:pStyle w:val="55"/>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sz w:val="24"/>
                <w:szCs w:val="24"/>
                <w:highlight w:val="none"/>
                <w:lang w:bidi="ar-SA"/>
              </w:rPr>
              <w:t>采购代理机构</w:t>
            </w:r>
          </w:p>
        </w:tc>
        <w:tc>
          <w:tcPr>
            <w:tcW w:w="6700" w:type="dxa"/>
            <w:vAlign w:val="center"/>
          </w:tcPr>
          <w:p w14:paraId="20263079">
            <w:pPr>
              <w:pStyle w:val="92"/>
              <w:spacing w:line="360" w:lineRule="auto"/>
              <w:rPr>
                <w:rFonts w:hint="eastAsia" w:ascii="宋体" w:hAnsi="宋体" w:cs="宋体"/>
                <w:sz w:val="24"/>
                <w:szCs w:val="24"/>
                <w:highlight w:val="none"/>
              </w:rPr>
            </w:pPr>
            <w:r>
              <w:rPr>
                <w:rFonts w:hint="eastAsia" w:ascii="宋体" w:hAnsi="宋体" w:cs="宋体"/>
                <w:sz w:val="24"/>
                <w:szCs w:val="24"/>
                <w:highlight w:val="none"/>
              </w:rPr>
              <w:t>名称：新疆锦辰工程项目管理有限公司</w:t>
            </w:r>
          </w:p>
          <w:p w14:paraId="4712FB16">
            <w:pPr>
              <w:pStyle w:val="92"/>
              <w:spacing w:line="360" w:lineRule="auto"/>
              <w:rPr>
                <w:rFonts w:hint="eastAsia" w:ascii="宋体" w:hAnsi="宋体" w:cs="宋体"/>
                <w:sz w:val="24"/>
                <w:szCs w:val="24"/>
                <w:highlight w:val="none"/>
              </w:rPr>
            </w:pPr>
            <w:r>
              <w:rPr>
                <w:rFonts w:hint="eastAsia" w:ascii="宋体" w:hAnsi="宋体" w:cs="宋体"/>
                <w:sz w:val="24"/>
                <w:szCs w:val="24"/>
                <w:highlight w:val="none"/>
              </w:rPr>
              <w:t>地址：新疆图木舒克市草湖经济技术开发区兴业路1号众鑫商业街1幢2-01号</w:t>
            </w:r>
          </w:p>
          <w:p w14:paraId="3C92C367">
            <w:pPr>
              <w:pStyle w:val="92"/>
              <w:spacing w:line="360" w:lineRule="auto"/>
              <w:rPr>
                <w:rFonts w:hint="eastAsia" w:ascii="宋体" w:hAnsi="宋体" w:cs="宋体"/>
                <w:sz w:val="24"/>
                <w:szCs w:val="24"/>
                <w:highlight w:val="none"/>
              </w:rPr>
            </w:pPr>
            <w:r>
              <w:rPr>
                <w:rFonts w:hint="eastAsia" w:ascii="宋体" w:hAnsi="宋体" w:cs="宋体"/>
                <w:sz w:val="24"/>
                <w:szCs w:val="24"/>
                <w:highlight w:val="none"/>
              </w:rPr>
              <w:t>联系人：蔡雨欣</w:t>
            </w:r>
          </w:p>
          <w:p w14:paraId="7A281663">
            <w:pPr>
              <w:pStyle w:val="92"/>
              <w:spacing w:line="360" w:lineRule="auto"/>
              <w:rPr>
                <w:rFonts w:hint="eastAsia" w:ascii="宋体" w:hAnsi="宋体" w:cs="宋体"/>
                <w:sz w:val="24"/>
                <w:szCs w:val="24"/>
                <w:highlight w:val="none"/>
              </w:rPr>
            </w:pPr>
            <w:r>
              <w:rPr>
                <w:rFonts w:hint="eastAsia" w:ascii="宋体" w:hAnsi="宋体" w:cs="宋体"/>
                <w:sz w:val="24"/>
                <w:szCs w:val="24"/>
                <w:highlight w:val="none"/>
              </w:rPr>
              <w:t>联系电话：</w:t>
            </w:r>
            <w:r>
              <w:rPr>
                <w:rFonts w:hint="eastAsia" w:ascii="宋体" w:hAnsi="宋体" w:eastAsia="宋体" w:cs="宋体"/>
                <w:color w:val="auto"/>
                <w:sz w:val="24"/>
                <w:highlight w:val="none"/>
                <w:u w:val="none"/>
              </w:rPr>
              <w:t>18299695530</w:t>
            </w:r>
          </w:p>
          <w:p w14:paraId="123EB016">
            <w:pPr>
              <w:pStyle w:val="93"/>
              <w:spacing w:line="360" w:lineRule="auto"/>
              <w:ind w:left="0" w:leftChars="0" w:firstLine="0" w:firstLineChars="0"/>
              <w:rPr>
                <w:rFonts w:hint="eastAsia" w:cs="宋体"/>
                <w:color w:val="auto"/>
                <w:sz w:val="24"/>
                <w:szCs w:val="24"/>
                <w:highlight w:val="none"/>
                <w:lang w:val="en-US" w:eastAsia="zh-CN"/>
              </w:rPr>
            </w:pPr>
            <w:r>
              <w:rPr>
                <w:rFonts w:hint="eastAsia" w:ascii="宋体" w:hAnsi="宋体" w:cs="宋体"/>
                <w:highlight w:val="none"/>
              </w:rPr>
              <w:t>电子邮件：</w:t>
            </w:r>
            <w:r>
              <w:rPr>
                <w:rFonts w:hint="eastAsia" w:ascii="宋体" w:hAnsi="宋体" w:cs="宋体"/>
                <w:highlight w:val="none"/>
                <w:lang w:val="en-US" w:eastAsia="zh-CN"/>
              </w:rPr>
              <w:t>280679496</w:t>
            </w:r>
            <w:r>
              <w:rPr>
                <w:rFonts w:hint="eastAsia" w:ascii="宋体" w:hAnsi="宋体" w:cs="宋体"/>
                <w:highlight w:val="none"/>
              </w:rPr>
              <w:t>@qq.com</w:t>
            </w:r>
          </w:p>
        </w:tc>
      </w:tr>
      <w:tr w14:paraId="46137A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jc w:val="center"/>
        </w:trPr>
        <w:tc>
          <w:tcPr>
            <w:tcW w:w="970" w:type="dxa"/>
            <w:vAlign w:val="center"/>
          </w:tcPr>
          <w:p w14:paraId="60441C76">
            <w:pPr>
              <w:pStyle w:val="5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2.5</w:t>
            </w:r>
          </w:p>
        </w:tc>
        <w:tc>
          <w:tcPr>
            <w:tcW w:w="1738" w:type="dxa"/>
            <w:vAlign w:val="center"/>
          </w:tcPr>
          <w:p w14:paraId="3D9DB5F0">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核心产品</w:t>
            </w:r>
          </w:p>
        </w:tc>
        <w:tc>
          <w:tcPr>
            <w:tcW w:w="6700" w:type="dxa"/>
            <w:vAlign w:val="center"/>
          </w:tcPr>
          <w:p w14:paraId="7BB22B3E">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□本项目第</w:t>
            </w:r>
            <w:r>
              <w:rPr>
                <w:rFonts w:hint="eastAsia" w:ascii="宋体" w:hAnsi="宋体" w:eastAsia="宋体" w:cs="宋体"/>
                <w:color w:val="auto"/>
                <w:sz w:val="24"/>
                <w:szCs w:val="24"/>
                <w:highlight w:val="none"/>
                <w:u w:val="single"/>
                <w:lang w:val="en-US" w:eastAsia="zh-CN"/>
              </w:rPr>
              <w:t>_</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lang w:val="en-US" w:eastAsia="zh-CN"/>
              </w:rPr>
              <w:t>_</w:t>
            </w:r>
            <w:r>
              <w:rPr>
                <w:rFonts w:hint="eastAsia" w:ascii="宋体" w:hAnsi="宋体" w:eastAsia="宋体" w:cs="宋体"/>
                <w:color w:val="auto"/>
                <w:sz w:val="24"/>
                <w:szCs w:val="24"/>
                <w:highlight w:val="none"/>
                <w:lang w:val="en-US" w:eastAsia="zh-CN"/>
              </w:rPr>
              <w:t xml:space="preserve">包不适用。 </w:t>
            </w:r>
          </w:p>
          <w:p w14:paraId="3D32C559">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□本项目第</w:t>
            </w:r>
            <w:r>
              <w:rPr>
                <w:rFonts w:hint="eastAsia" w:ascii="宋体" w:hAnsi="宋体" w:eastAsia="宋体" w:cs="宋体"/>
                <w:color w:val="auto"/>
                <w:sz w:val="24"/>
                <w:szCs w:val="24"/>
                <w:highlight w:val="none"/>
                <w:u w:val="single"/>
                <w:lang w:val="en-US" w:eastAsia="zh-CN"/>
              </w:rPr>
              <w:t>_/_</w:t>
            </w:r>
            <w:r>
              <w:rPr>
                <w:rFonts w:hint="eastAsia" w:ascii="宋体" w:hAnsi="宋体" w:eastAsia="宋体" w:cs="宋体"/>
                <w:color w:val="auto"/>
                <w:sz w:val="24"/>
                <w:szCs w:val="24"/>
                <w:highlight w:val="none"/>
                <w:lang w:val="en-US" w:eastAsia="zh-CN"/>
              </w:rPr>
              <w:t xml:space="preserve">包为单一产品采购项目。 </w:t>
            </w:r>
          </w:p>
          <w:p w14:paraId="6BCC34C0">
            <w:pPr>
              <w:pStyle w:val="50"/>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本项目第</w:t>
            </w:r>
            <w:r>
              <w:rPr>
                <w:rFonts w:hint="eastAsia" w:ascii="宋体" w:hAnsi="宋体" w:eastAsia="宋体" w:cs="宋体"/>
                <w:color w:val="auto"/>
                <w:sz w:val="24"/>
                <w:szCs w:val="24"/>
                <w:highlight w:val="none"/>
                <w:u w:val="single"/>
                <w:lang w:val="en-US" w:eastAsia="zh-CN"/>
              </w:rPr>
              <w:t>_</w:t>
            </w:r>
            <w:r>
              <w:rPr>
                <w:rFonts w:hint="eastAsia"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lang w:val="en-US" w:eastAsia="zh-CN"/>
              </w:rPr>
              <w:t>_</w:t>
            </w:r>
            <w:r>
              <w:rPr>
                <w:rFonts w:hint="eastAsia" w:ascii="宋体" w:hAnsi="宋体" w:eastAsia="宋体" w:cs="宋体"/>
                <w:color w:val="auto"/>
                <w:sz w:val="24"/>
                <w:szCs w:val="24"/>
                <w:highlight w:val="none"/>
                <w:lang w:val="en-US" w:eastAsia="zh-CN"/>
              </w:rPr>
              <w:t>包为非单一产品采购项目，其中核心产品为：_</w:t>
            </w:r>
            <w:r>
              <w:rPr>
                <w:rFonts w:hint="eastAsia" w:ascii="宋体" w:hAnsi="宋体" w:eastAsia="宋体" w:cs="宋体"/>
                <w:b/>
                <w:bCs/>
                <w:color w:val="auto"/>
                <w:sz w:val="24"/>
                <w:szCs w:val="24"/>
                <w:highlight w:val="none"/>
                <w:u w:val="single"/>
                <w:lang w:val="en-US" w:eastAsia="zh-CN"/>
              </w:rPr>
              <w:t>前突器材消防车</w:t>
            </w:r>
            <w:r>
              <w:rPr>
                <w:rFonts w:hint="eastAsia" w:cs="宋体"/>
                <w:b/>
                <w:bCs/>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w:t>
            </w:r>
          </w:p>
          <w:p w14:paraId="30F4A413">
            <w:pPr>
              <w:pStyle w:val="5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ED6C562">
            <w:pPr>
              <w:pStyle w:val="50"/>
              <w:spacing w:line="360" w:lineRule="auto"/>
              <w:rPr>
                <w:rFonts w:hint="eastAsia" w:ascii="宋体" w:hAnsi="宋体" w:eastAsia="宋体" w:cs="宋体"/>
                <w:color w:val="auto"/>
                <w:sz w:val="24"/>
                <w:szCs w:val="24"/>
                <w:highlight w:val="none"/>
                <w:lang w:val="en-US" w:eastAsia="zh-CN"/>
              </w:rPr>
            </w:pPr>
            <w:r>
              <w:rPr>
                <w:rFonts w:hint="eastAsia" w:cs="宋体"/>
                <w:b/>
                <w:bCs/>
                <w:color w:val="auto"/>
                <w:sz w:val="24"/>
                <w:szCs w:val="24"/>
                <w:highlight w:val="none"/>
                <w:lang w:val="en-US" w:eastAsia="zh-CN"/>
              </w:rPr>
              <w:t>注：</w:t>
            </w:r>
            <w:r>
              <w:rPr>
                <w:rFonts w:hint="eastAsia" w:ascii="宋体" w:hAnsi="宋体" w:eastAsia="宋体" w:cs="宋体"/>
                <w:b/>
                <w:bCs/>
                <w:color w:val="auto"/>
                <w:sz w:val="24"/>
                <w:szCs w:val="24"/>
                <w:highlight w:val="none"/>
                <w:lang w:val="en-US" w:eastAsia="zh-CN"/>
              </w:rPr>
              <w:t>核心产品提供相同品牌产品且通过资格审查、符合性审查的不同投标人按一家投标人计算后不足 3 家的，应予流标。</w:t>
            </w:r>
            <w:r>
              <w:rPr>
                <w:rFonts w:hint="eastAsia" w:ascii="宋体" w:hAnsi="宋体" w:eastAsia="宋体" w:cs="宋体"/>
                <w:color w:val="auto"/>
                <w:sz w:val="24"/>
                <w:szCs w:val="24"/>
                <w:highlight w:val="none"/>
                <w:lang w:val="en-US" w:eastAsia="zh-CN"/>
              </w:rPr>
              <w:t>　　</w:t>
            </w:r>
          </w:p>
        </w:tc>
      </w:tr>
      <w:tr w14:paraId="2E7636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61" w:hRule="atLeast"/>
          <w:jc w:val="center"/>
        </w:trPr>
        <w:tc>
          <w:tcPr>
            <w:tcW w:w="970" w:type="dxa"/>
            <w:shd w:val="clear" w:color="auto" w:fill="auto"/>
            <w:vAlign w:val="center"/>
          </w:tcPr>
          <w:p w14:paraId="1BF1D896">
            <w:pPr>
              <w:pStyle w:val="5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2.6</w:t>
            </w:r>
          </w:p>
        </w:tc>
        <w:tc>
          <w:tcPr>
            <w:tcW w:w="1738" w:type="dxa"/>
            <w:shd w:val="clear" w:color="auto" w:fill="auto"/>
            <w:vAlign w:val="center"/>
          </w:tcPr>
          <w:p w14:paraId="700F5EE9">
            <w:pPr>
              <w:keepNext w:val="0"/>
              <w:keepLines w:val="0"/>
              <w:widowControl/>
              <w:suppressLineNumbers w:val="0"/>
              <w:spacing w:line="24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
              </w:rPr>
              <w:t>科研仪器设备</w:t>
            </w:r>
          </w:p>
        </w:tc>
        <w:tc>
          <w:tcPr>
            <w:tcW w:w="6700" w:type="dxa"/>
            <w:shd w:val="clear" w:color="auto" w:fill="auto"/>
            <w:vAlign w:val="center"/>
          </w:tcPr>
          <w:p w14:paraId="0F6FC5C1">
            <w:pPr>
              <w:keepNext w:val="0"/>
              <w:keepLines w:val="0"/>
              <w:widowControl/>
              <w:suppressLineNumbers w:val="0"/>
              <w:spacing w:line="24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是否属于科研仪器设备采购项目： </w:t>
            </w:r>
          </w:p>
          <w:p w14:paraId="4A1686C7">
            <w:pPr>
              <w:keepNext w:val="0"/>
              <w:keepLines w:val="0"/>
              <w:widowControl/>
              <w:suppressLineNumbers w:val="0"/>
              <w:spacing w:line="24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kern w:val="0"/>
                <w:sz w:val="24"/>
                <w:szCs w:val="24"/>
                <w:highlight w:val="none"/>
                <w:lang w:val="en-US" w:eastAsia="zh-CN" w:bidi="ar"/>
              </w:rPr>
              <w:t xml:space="preserve">是 </w:t>
            </w:r>
          </w:p>
          <w:p w14:paraId="7C9332C8">
            <w:pPr>
              <w:keepNext w:val="0"/>
              <w:keepLines w:val="0"/>
              <w:widowControl/>
              <w:suppressLineNumbers w:val="0"/>
              <w:spacing w:line="240" w:lineRule="auto"/>
              <w:jc w:val="left"/>
              <w:rPr>
                <w:rFonts w:hint="eastAsia" w:ascii="宋体" w:hAnsi="宋体" w:eastAsia="宋体" w:cs="宋体"/>
                <w:color w:val="auto"/>
                <w:kern w:val="0"/>
                <w:sz w:val="24"/>
                <w:szCs w:val="24"/>
                <w:highlight w:val="none"/>
                <w:lang w:val="en-US" w:eastAsia="zh-CN" w:bidi="ar"/>
              </w:rPr>
            </w:pPr>
            <w:r>
              <w:rPr>
                <w:rFonts w:hint="eastAsia" w:cs="宋体"/>
                <w:color w:val="auto"/>
                <w:sz w:val="24"/>
                <w:szCs w:val="24"/>
                <w:highlight w:val="none"/>
                <w:lang w:val="en-US" w:eastAsia="zh-CN"/>
              </w:rPr>
              <w:t>☑</w:t>
            </w:r>
            <w:r>
              <w:rPr>
                <w:rFonts w:hint="eastAsia" w:ascii="宋体" w:hAnsi="宋体" w:eastAsia="宋体" w:cs="宋体"/>
                <w:color w:val="auto"/>
                <w:kern w:val="0"/>
                <w:sz w:val="24"/>
                <w:szCs w:val="24"/>
                <w:highlight w:val="none"/>
                <w:lang w:val="en-US" w:eastAsia="zh-CN" w:bidi="ar"/>
              </w:rPr>
              <w:t>否</w:t>
            </w:r>
          </w:p>
        </w:tc>
      </w:tr>
      <w:tr w14:paraId="25C468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68" w:hRule="atLeast"/>
          <w:jc w:val="center"/>
        </w:trPr>
        <w:tc>
          <w:tcPr>
            <w:tcW w:w="970" w:type="dxa"/>
            <w:vAlign w:val="center"/>
          </w:tcPr>
          <w:p w14:paraId="3A136892">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9.1</w:t>
            </w:r>
          </w:p>
        </w:tc>
        <w:tc>
          <w:tcPr>
            <w:tcW w:w="1738" w:type="dxa"/>
            <w:vAlign w:val="center"/>
          </w:tcPr>
          <w:p w14:paraId="117C18AE">
            <w:pPr>
              <w:pStyle w:val="50"/>
              <w:rPr>
                <w:rFonts w:hint="eastAsia" w:ascii="宋体" w:hAnsi="宋体" w:eastAsia="宋体" w:cs="宋体"/>
                <w:color w:val="auto"/>
                <w:sz w:val="24"/>
                <w:szCs w:val="24"/>
                <w:highlight w:val="none"/>
              </w:rPr>
            </w:pPr>
            <w:bookmarkStart w:id="112" w:name="_Hlk143529175"/>
            <w:r>
              <w:rPr>
                <w:rFonts w:hint="eastAsia" w:ascii="宋体" w:hAnsi="宋体" w:eastAsia="宋体" w:cs="宋体"/>
                <w:color w:val="auto"/>
                <w:sz w:val="24"/>
                <w:szCs w:val="24"/>
                <w:highlight w:val="none"/>
              </w:rPr>
              <w:t>现场考察</w:t>
            </w:r>
            <w:bookmarkEnd w:id="112"/>
          </w:p>
        </w:tc>
        <w:tc>
          <w:tcPr>
            <w:tcW w:w="6700" w:type="dxa"/>
            <w:vAlign w:val="center"/>
          </w:tcPr>
          <w:p w14:paraId="36549596">
            <w:pPr>
              <w:pStyle w:val="5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不组织，投标人自行前往</w:t>
            </w:r>
            <w:r>
              <w:rPr>
                <w:rFonts w:hint="eastAsia" w:ascii="宋体" w:hAnsi="宋体" w:eastAsia="宋体" w:cs="宋体"/>
                <w:color w:val="auto"/>
                <w:sz w:val="24"/>
                <w:szCs w:val="24"/>
                <w:highlight w:val="none"/>
                <w:lang w:eastAsia="zh-CN"/>
              </w:rPr>
              <w:t>。</w:t>
            </w:r>
          </w:p>
          <w:p w14:paraId="70F71951">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组织</w:t>
            </w:r>
          </w:p>
          <w:p w14:paraId="0A578DA1">
            <w:pPr>
              <w:pStyle w:val="5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6FE8AF39">
            <w:pPr>
              <w:pStyle w:val="5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31CF27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35" w:hRule="atLeast"/>
          <w:jc w:val="center"/>
        </w:trPr>
        <w:tc>
          <w:tcPr>
            <w:tcW w:w="970" w:type="dxa"/>
            <w:vAlign w:val="center"/>
          </w:tcPr>
          <w:p w14:paraId="0D95D099">
            <w:pPr>
              <w:pStyle w:val="5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9.5</w:t>
            </w:r>
          </w:p>
        </w:tc>
        <w:tc>
          <w:tcPr>
            <w:tcW w:w="1738" w:type="dxa"/>
            <w:vAlign w:val="center"/>
          </w:tcPr>
          <w:p w14:paraId="4A5FE036">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答疑会</w:t>
            </w:r>
          </w:p>
        </w:tc>
        <w:tc>
          <w:tcPr>
            <w:tcW w:w="6700" w:type="dxa"/>
            <w:vAlign w:val="center"/>
          </w:tcPr>
          <w:p w14:paraId="6B78B750">
            <w:pPr>
              <w:pStyle w:val="5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不组织</w:t>
            </w:r>
          </w:p>
          <w:p w14:paraId="3C61F0CD">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组织</w:t>
            </w:r>
          </w:p>
          <w:p w14:paraId="1279EA7E">
            <w:pPr>
              <w:pStyle w:val="5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7368AD2C">
            <w:pPr>
              <w:pStyle w:val="5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58EAFC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jc w:val="center"/>
        </w:trPr>
        <w:tc>
          <w:tcPr>
            <w:tcW w:w="970" w:type="dxa"/>
            <w:vAlign w:val="center"/>
          </w:tcPr>
          <w:p w14:paraId="09017C90">
            <w:pPr>
              <w:pStyle w:val="5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w:t>
            </w:r>
          </w:p>
        </w:tc>
        <w:tc>
          <w:tcPr>
            <w:tcW w:w="1738" w:type="dxa"/>
            <w:vAlign w:val="center"/>
          </w:tcPr>
          <w:p w14:paraId="14B3667D">
            <w:pPr>
              <w:pStyle w:val="5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询问</w:t>
            </w:r>
          </w:p>
        </w:tc>
        <w:tc>
          <w:tcPr>
            <w:tcW w:w="6700" w:type="dxa"/>
            <w:vAlign w:val="center"/>
          </w:tcPr>
          <w:p w14:paraId="7352280D">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方式：</w:t>
            </w:r>
          </w:p>
          <w:p w14:paraId="2B727386">
            <w:pPr>
              <w:pStyle w:val="5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w:t>
            </w:r>
            <w:r>
              <w:rPr>
                <w:rFonts w:hint="eastAsia" w:cs="宋体"/>
                <w:color w:val="auto"/>
                <w:sz w:val="24"/>
                <w:szCs w:val="24"/>
                <w:highlight w:val="none"/>
                <w:lang w:eastAsia="zh-CN"/>
              </w:rPr>
              <w:t>投标人</w:t>
            </w:r>
            <w:r>
              <w:rPr>
                <w:rFonts w:hint="eastAsia" w:ascii="宋体" w:hAnsi="宋体" w:eastAsia="宋体" w:cs="宋体"/>
                <w:color w:val="auto"/>
                <w:sz w:val="24"/>
                <w:szCs w:val="24"/>
                <w:highlight w:val="none"/>
              </w:rPr>
              <w:t>客户端中按照格式填写询问函，并在生成询问函后加盖电子印章提交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其他询问方式：</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1BFAF1E6">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lang w:val="en-US" w:eastAsia="zh-CN"/>
              </w:rPr>
              <w:t>要求</w:t>
            </w:r>
            <w:r>
              <w:rPr>
                <w:rFonts w:hint="eastAsia" w:ascii="宋体" w:hAnsi="宋体" w:eastAsia="宋体" w:cs="宋体"/>
                <w:color w:val="auto"/>
                <w:sz w:val="24"/>
                <w:szCs w:val="24"/>
                <w:highlight w:val="none"/>
                <w:lang w:eastAsia="zh-CN"/>
              </w:rPr>
              <w:t>：</w:t>
            </w:r>
            <w:r>
              <w:rPr>
                <w:rFonts w:hint="eastAsia" w:cs="宋体"/>
                <w:i w:val="0"/>
                <w:iCs w:val="0"/>
                <w:color w:val="auto"/>
                <w:sz w:val="24"/>
                <w:szCs w:val="24"/>
                <w:highlight w:val="none"/>
                <w:u w:val="single"/>
                <w:lang w:val="en-US" w:eastAsia="zh-CN"/>
              </w:rPr>
              <w:t>投标截止时间前</w:t>
            </w:r>
            <w:r>
              <w:rPr>
                <w:rFonts w:hint="eastAsia" w:ascii="宋体" w:hAnsi="宋体" w:eastAsia="宋体" w:cs="宋体"/>
                <w:color w:val="auto"/>
                <w:sz w:val="24"/>
                <w:szCs w:val="24"/>
                <w:highlight w:val="none"/>
              </w:rPr>
              <w:t>。</w:t>
            </w:r>
          </w:p>
        </w:tc>
      </w:tr>
      <w:tr w14:paraId="67C3BC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jc w:val="center"/>
        </w:trPr>
        <w:tc>
          <w:tcPr>
            <w:tcW w:w="970" w:type="dxa"/>
            <w:vAlign w:val="center"/>
          </w:tcPr>
          <w:p w14:paraId="1A104107">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w:t>
            </w:r>
          </w:p>
        </w:tc>
        <w:tc>
          <w:tcPr>
            <w:tcW w:w="1738" w:type="dxa"/>
            <w:vAlign w:val="center"/>
          </w:tcPr>
          <w:p w14:paraId="79A1D807">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投标有效期</w:t>
            </w:r>
          </w:p>
        </w:tc>
        <w:tc>
          <w:tcPr>
            <w:tcW w:w="6700" w:type="dxa"/>
            <w:vAlign w:val="center"/>
          </w:tcPr>
          <w:p w14:paraId="41DD7733">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投标截止</w:t>
            </w:r>
            <w:r>
              <w:rPr>
                <w:rFonts w:hint="eastAsia" w:ascii="宋体" w:hAnsi="宋体" w:eastAsia="宋体" w:cs="宋体"/>
                <w:color w:val="auto"/>
                <w:sz w:val="24"/>
                <w:szCs w:val="24"/>
                <w:highlight w:val="none"/>
                <w:lang w:val="en-US" w:eastAsia="zh-CN"/>
              </w:rPr>
              <w:t>时间</w:t>
            </w:r>
            <w:r>
              <w:rPr>
                <w:rFonts w:hint="eastAsia" w:ascii="宋体" w:hAnsi="宋体" w:eastAsia="宋体" w:cs="宋体"/>
                <w:color w:val="auto"/>
                <w:sz w:val="24"/>
                <w:szCs w:val="24"/>
                <w:highlight w:val="none"/>
              </w:rPr>
              <w:t>后</w:t>
            </w:r>
            <w:r>
              <w:rPr>
                <w:rFonts w:hint="eastAsia" w:ascii="宋体" w:hAnsi="宋体" w:eastAsia="宋体" w:cs="宋体"/>
                <w:color w:val="auto"/>
                <w:sz w:val="24"/>
                <w:szCs w:val="24"/>
                <w:highlight w:val="none"/>
                <w:u w:val="single"/>
              </w:rPr>
              <w:t>90</w:t>
            </w:r>
            <w:r>
              <w:rPr>
                <w:rFonts w:hint="eastAsia" w:ascii="宋体" w:hAnsi="宋体" w:eastAsia="宋体" w:cs="宋体"/>
                <w:color w:val="auto"/>
                <w:sz w:val="24"/>
                <w:szCs w:val="24"/>
                <w:highlight w:val="none"/>
              </w:rPr>
              <w:t>日历日。</w:t>
            </w:r>
          </w:p>
        </w:tc>
      </w:tr>
      <w:tr w14:paraId="05426B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002" w:hRule="atLeast"/>
          <w:jc w:val="center"/>
        </w:trPr>
        <w:tc>
          <w:tcPr>
            <w:tcW w:w="970" w:type="dxa"/>
            <w:vAlign w:val="center"/>
          </w:tcPr>
          <w:p w14:paraId="3DB59B05">
            <w:pPr>
              <w:pStyle w:val="5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17.1</w:t>
            </w:r>
          </w:p>
        </w:tc>
        <w:tc>
          <w:tcPr>
            <w:tcW w:w="1738" w:type="dxa"/>
            <w:vAlign w:val="center"/>
          </w:tcPr>
          <w:p w14:paraId="02D54664">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投标保证金</w:t>
            </w:r>
          </w:p>
        </w:tc>
        <w:tc>
          <w:tcPr>
            <w:tcW w:w="6700" w:type="dxa"/>
            <w:vAlign w:val="center"/>
          </w:tcPr>
          <w:p w14:paraId="713A171A">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金额：</w:t>
            </w:r>
          </w:p>
          <w:p w14:paraId="5947F8CF">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免收</w:t>
            </w:r>
          </w:p>
          <w:p w14:paraId="659FBE06">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预算金额</w:t>
            </w:r>
            <w:r>
              <w:rPr>
                <w:rFonts w:hint="eastAsia" w:ascii="宋体" w:hAnsi="宋体" w:eastAsia="宋体" w:cs="宋体"/>
                <w:color w:val="auto"/>
                <w:sz w:val="24"/>
                <w:szCs w:val="24"/>
                <w:highlight w:val="none"/>
              </w:rPr>
              <w:t>的   %</w:t>
            </w:r>
            <w:r>
              <w:rPr>
                <w:rFonts w:hint="eastAsia" w:ascii="宋体" w:hAnsi="宋体" w:eastAsia="宋体" w:cs="宋体"/>
                <w:color w:val="auto"/>
                <w:sz w:val="24"/>
                <w:szCs w:val="24"/>
                <w:highlight w:val="none"/>
                <w:lang w:eastAsia="zh-CN"/>
              </w:rPr>
              <w:t>。</w:t>
            </w:r>
          </w:p>
          <w:p w14:paraId="408CDEE0">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定额收取：人民币</w:t>
            </w:r>
            <w:r>
              <w:rPr>
                <w:rFonts w:hint="eastAsia" w:ascii="宋体" w:hAnsi="宋体" w:cs="宋体"/>
                <w:color w:val="auto"/>
                <w:sz w:val="24"/>
                <w:szCs w:val="24"/>
                <w:highlight w:val="none"/>
                <w:lang w:val="en-US" w:eastAsia="zh-CN"/>
              </w:rPr>
              <w:t>38000.00</w:t>
            </w:r>
            <w:r>
              <w:rPr>
                <w:rFonts w:hint="eastAsia" w:ascii="宋体" w:hAnsi="宋体" w:eastAsia="宋体" w:cs="宋体"/>
                <w:color w:val="auto"/>
                <w:sz w:val="24"/>
                <w:szCs w:val="24"/>
                <w:highlight w:val="none"/>
              </w:rPr>
              <w:t>元</w:t>
            </w:r>
            <w:r>
              <w:rPr>
                <w:rFonts w:hint="eastAsia" w:ascii="宋体" w:hAnsi="宋体" w:eastAsia="宋体" w:cs="宋体"/>
                <w:color w:val="auto"/>
                <w:sz w:val="24"/>
                <w:szCs w:val="24"/>
                <w:highlight w:val="none"/>
                <w:lang w:eastAsia="zh-CN"/>
              </w:rPr>
              <w:t>。</w:t>
            </w:r>
          </w:p>
          <w:p w14:paraId="471258F6">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支付方式：</w:t>
            </w:r>
          </w:p>
          <w:p w14:paraId="54A32B09">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投标人可自主选择以支票、汇票、本票、电汇、转账、网银、保函等非现金形式缴纳或提交保证金。</w:t>
            </w:r>
          </w:p>
          <w:p w14:paraId="488C10ED">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收款单位：新疆锦辰工程项目管理有限公司</w:t>
            </w:r>
          </w:p>
          <w:p w14:paraId="6402206A">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银行账号：107081419960</w:t>
            </w:r>
          </w:p>
          <w:p w14:paraId="2F430B2A">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开户银行：中国银行股份有限公司喀什市解放南路支行</w:t>
            </w:r>
          </w:p>
          <w:p w14:paraId="521BA7F2">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行号：1048940010466</w:t>
            </w:r>
            <w:r>
              <w:rPr>
                <w:rFonts w:hint="eastAsia" w:ascii="宋体" w:hAnsi="宋体" w:eastAsia="宋体" w:cs="宋体"/>
                <w:color w:val="auto"/>
                <w:sz w:val="24"/>
                <w:szCs w:val="24"/>
                <w:highlight w:val="none"/>
              </w:rPr>
              <w:t xml:space="preserve">              </w:t>
            </w:r>
          </w:p>
          <w:p w14:paraId="1F174ACF">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退还时间：</w:t>
            </w:r>
            <w:r>
              <w:rPr>
                <w:rFonts w:hint="eastAsia" w:ascii="宋体" w:hAnsi="宋体" w:eastAsia="宋体" w:cs="宋体"/>
                <w:color w:val="auto"/>
                <w:sz w:val="24"/>
                <w:szCs w:val="24"/>
                <w:highlight w:val="none"/>
                <w:lang w:val="en-US" w:eastAsia="zh-CN"/>
              </w:rPr>
              <w:t>中标通知书发出之日起5个工作日内退还未中标人的投标保证金，中标单位投标保证金在与采购单位签订合同后，把合同扫描件和投标保证金银行转账回执单发到接收采购文件邮箱</w:t>
            </w:r>
            <w:r>
              <w:rPr>
                <w:rFonts w:hint="eastAsia" w:ascii="宋体" w:hAnsi="宋体" w:cs="宋体"/>
                <w:color w:val="auto"/>
                <w:sz w:val="24"/>
                <w:szCs w:val="24"/>
                <w:highlight w:val="none"/>
                <w:lang w:val="en-US" w:eastAsia="zh-CN"/>
              </w:rPr>
              <w:t>280679496</w:t>
            </w:r>
            <w:r>
              <w:rPr>
                <w:rFonts w:hint="eastAsia" w:ascii="宋体" w:hAnsi="宋体" w:eastAsia="宋体" w:cs="宋体"/>
                <w:color w:val="auto"/>
                <w:sz w:val="24"/>
                <w:szCs w:val="24"/>
                <w:highlight w:val="none"/>
                <w:lang w:val="en-US" w:eastAsia="zh-CN"/>
              </w:rPr>
              <w:t>@qq.com后，5个工作日内原账户退回。备注：保证金退款手续根据《中华人民共和国政府采购法》、《政府采购货物和服务招标投标管理办法》（中华人民共和国财政部令第87号）等相关文件执行。</w:t>
            </w:r>
            <w:r>
              <w:rPr>
                <w:rFonts w:hint="eastAsia" w:ascii="宋体" w:hAnsi="宋体" w:eastAsia="宋体" w:cs="宋体"/>
                <w:color w:val="auto"/>
                <w:sz w:val="24"/>
                <w:szCs w:val="24"/>
                <w:highlight w:val="none"/>
              </w:rPr>
              <w:t xml:space="preserve">              </w:t>
            </w:r>
          </w:p>
          <w:p w14:paraId="0C79EF6C">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注意事项：</w:t>
            </w:r>
          </w:p>
          <w:p w14:paraId="7CEAD366">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以上各类机构出具的以担保函、保证保险承担责任的方式均须满足无条件见索即付条件。</w:t>
            </w:r>
          </w:p>
          <w:p w14:paraId="0A6AA7E8">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以担保函、保证保险形式缴纳</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保证金的，受益人和收取单位须为采购人。</w:t>
            </w:r>
          </w:p>
        </w:tc>
      </w:tr>
      <w:tr w14:paraId="4501EC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603" w:hRule="atLeast"/>
          <w:jc w:val="center"/>
        </w:trPr>
        <w:tc>
          <w:tcPr>
            <w:tcW w:w="970" w:type="dxa"/>
            <w:vAlign w:val="center"/>
          </w:tcPr>
          <w:p w14:paraId="0FAEE6C9">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p>
        </w:tc>
        <w:tc>
          <w:tcPr>
            <w:tcW w:w="1738" w:type="dxa"/>
            <w:vAlign w:val="center"/>
          </w:tcPr>
          <w:p w14:paraId="1A5D11C5">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实物样品</w:t>
            </w:r>
          </w:p>
        </w:tc>
        <w:tc>
          <w:tcPr>
            <w:tcW w:w="6700" w:type="dxa"/>
            <w:vAlign w:val="center"/>
          </w:tcPr>
          <w:p w14:paraId="29F70D2B">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投标样品递交： </w:t>
            </w:r>
          </w:p>
          <w:p w14:paraId="08448385">
            <w:pPr>
              <w:pStyle w:val="50"/>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 xml:space="preserve">不需要 </w:t>
            </w:r>
          </w:p>
          <w:p w14:paraId="75ABDCC9">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□需要，具体要求如下： </w:t>
            </w:r>
          </w:p>
          <w:p w14:paraId="45E00831">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1.样品制作的标准和要求：</w:t>
            </w:r>
            <w:r>
              <w:rPr>
                <w:rFonts w:hint="eastAsia" w:cs="宋体"/>
                <w:color w:val="auto"/>
                <w:sz w:val="24"/>
                <w:szCs w:val="24"/>
                <w:highlight w:val="none"/>
                <w:u w:val="single"/>
                <w:lang w:val="en-US" w:eastAsia="zh-CN"/>
              </w:rPr>
              <w:t xml:space="preserve">        /    </w:t>
            </w:r>
            <w:r>
              <w:rPr>
                <w:rFonts w:hint="eastAsia" w:ascii="宋体" w:hAnsi="宋体" w:eastAsia="宋体" w:cs="宋体"/>
                <w:color w:val="auto"/>
                <w:sz w:val="24"/>
                <w:szCs w:val="24"/>
                <w:highlight w:val="none"/>
                <w:lang w:val="en-US" w:eastAsia="zh-CN"/>
              </w:rPr>
              <w:t xml:space="preserve">； </w:t>
            </w:r>
          </w:p>
          <w:p w14:paraId="636410A9">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2.是否需要随样品提交相关检测报告： </w:t>
            </w:r>
          </w:p>
          <w:p w14:paraId="4042F79A">
            <w:pPr>
              <w:pStyle w:val="5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□不需要 </w:t>
            </w:r>
          </w:p>
          <w:p w14:paraId="69ACDCB3">
            <w:pPr>
              <w:pStyle w:val="5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□需要 </w:t>
            </w:r>
          </w:p>
          <w:p w14:paraId="2365C0AF">
            <w:pPr>
              <w:pStyle w:val="5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3.样品递交要求：递交时间：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w:t>
            </w:r>
          </w:p>
          <w:p w14:paraId="0C201764">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递交</w:t>
            </w: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，逾期提供的样品将不予接受。</w:t>
            </w:r>
            <w:r>
              <w:rPr>
                <w:rFonts w:hint="eastAsia" w:ascii="宋体" w:hAnsi="宋体" w:eastAsia="宋体" w:cs="宋体"/>
                <w:color w:val="auto"/>
                <w:sz w:val="24"/>
                <w:szCs w:val="24"/>
                <w:highlight w:val="none"/>
                <w:lang w:val="en-US" w:eastAsia="zh-CN"/>
              </w:rPr>
              <w:t xml:space="preserve"> </w:t>
            </w:r>
          </w:p>
          <w:p w14:paraId="20C6A605">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4.未中标人样品退还：</w:t>
            </w:r>
            <w:r>
              <w:rPr>
                <w:rFonts w:hint="eastAsia" w:ascii="宋体" w:hAnsi="宋体" w:eastAsia="宋体" w:cs="宋体"/>
                <w:color w:val="auto"/>
                <w:sz w:val="24"/>
                <w:szCs w:val="24"/>
                <w:highlight w:val="none"/>
                <w:u w:val="single"/>
                <w:lang w:val="en-US" w:eastAsia="zh-CN"/>
              </w:rPr>
              <w:t xml:space="preserve"> </w:t>
            </w:r>
            <w:r>
              <w:rPr>
                <w:rFonts w:hint="eastAsia" w:cs="宋体"/>
                <w:color w:val="auto"/>
                <w:sz w:val="24"/>
                <w:szCs w:val="24"/>
                <w:highlight w:val="none"/>
                <w:u w:val="single"/>
                <w:lang w:val="en-US" w:eastAsia="zh-CN"/>
              </w:rPr>
              <w:t xml:space="preserve">   /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 </w:t>
            </w:r>
          </w:p>
          <w:p w14:paraId="2FA55552">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5.中标人样品保管、封存及退还：</w:t>
            </w:r>
            <w:r>
              <w:rPr>
                <w:rFonts w:hint="eastAsia" w:cs="宋体"/>
                <w:color w:val="auto"/>
                <w:sz w:val="24"/>
                <w:szCs w:val="24"/>
                <w:highlight w:val="none"/>
                <w:u w:val="single"/>
                <w:lang w:val="en-US" w:eastAsia="zh-CN"/>
              </w:rPr>
              <w:t xml:space="preserve">   /           </w:t>
            </w:r>
            <w:r>
              <w:rPr>
                <w:rFonts w:hint="eastAsia" w:ascii="宋体" w:hAnsi="宋体" w:eastAsia="宋体" w:cs="宋体"/>
                <w:color w:val="auto"/>
                <w:sz w:val="24"/>
                <w:szCs w:val="24"/>
                <w:highlight w:val="none"/>
                <w:lang w:val="en-US" w:eastAsia="zh-CN"/>
              </w:rPr>
              <w:t xml:space="preserve">； </w:t>
            </w:r>
          </w:p>
          <w:p w14:paraId="5F60BBB0">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6.其他要求（如有）：</w:t>
            </w:r>
            <w:r>
              <w:rPr>
                <w:rFonts w:hint="eastAsia" w:cs="宋体"/>
                <w:color w:val="auto"/>
                <w:sz w:val="24"/>
                <w:szCs w:val="24"/>
                <w:highlight w:val="none"/>
                <w:u w:val="single"/>
                <w:lang w:val="en-US" w:eastAsia="zh-CN"/>
              </w:rPr>
              <w:t xml:space="preserve">   /    </w:t>
            </w:r>
            <w:r>
              <w:rPr>
                <w:rFonts w:hint="eastAsia" w:ascii="宋体" w:hAnsi="宋体" w:eastAsia="宋体" w:cs="宋体"/>
                <w:color w:val="auto"/>
                <w:sz w:val="24"/>
                <w:szCs w:val="24"/>
                <w:highlight w:val="none"/>
                <w:lang w:val="en-US" w:eastAsia="zh-CN"/>
              </w:rPr>
              <w:t xml:space="preserve">。 </w:t>
            </w:r>
          </w:p>
        </w:tc>
      </w:tr>
      <w:tr w14:paraId="1C643F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jc w:val="center"/>
        </w:trPr>
        <w:tc>
          <w:tcPr>
            <w:tcW w:w="970" w:type="dxa"/>
            <w:vAlign w:val="center"/>
          </w:tcPr>
          <w:p w14:paraId="03DA43E2">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w:t>
            </w:r>
          </w:p>
        </w:tc>
        <w:tc>
          <w:tcPr>
            <w:tcW w:w="1738" w:type="dxa"/>
            <w:vAlign w:val="center"/>
          </w:tcPr>
          <w:p w14:paraId="22504622">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演示</w:t>
            </w:r>
          </w:p>
        </w:tc>
        <w:tc>
          <w:tcPr>
            <w:tcW w:w="6700" w:type="dxa"/>
            <w:vAlign w:val="center"/>
          </w:tcPr>
          <w:p w14:paraId="7B2FDAC1">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sym w:font="Wingdings" w:char="00FE"/>
            </w:r>
            <w:r>
              <w:rPr>
                <w:rFonts w:hint="eastAsia" w:ascii="宋体" w:hAnsi="宋体" w:eastAsia="宋体" w:cs="宋体"/>
                <w:color w:val="auto"/>
                <w:sz w:val="24"/>
                <w:szCs w:val="24"/>
                <w:highlight w:val="none"/>
              </w:rPr>
              <w:t>不进行</w:t>
            </w:r>
          </w:p>
          <w:p w14:paraId="7B0141AF">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进行，远程线上演示/现场演示</w:t>
            </w:r>
          </w:p>
          <w:p w14:paraId="29D1FB67">
            <w:pPr>
              <w:pStyle w:val="5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1.演示时间不得超过</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分钟；</w:t>
            </w:r>
          </w:p>
          <w:p w14:paraId="0D5B188D">
            <w:pPr>
              <w:pStyle w:val="5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2.进行远程线上演示的，投标人应提前自行准备好演示的软硬配置环境和网络环境，做好演示的各项准备工作。因投标人自身原因无法演示或者演示效果不理想的，导致的后果由投标人自行承担；</w:t>
            </w:r>
          </w:p>
          <w:p w14:paraId="34ED7966">
            <w:pPr>
              <w:pStyle w:val="5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3.进行现场演示的，演示人员不得超过</w:t>
            </w:r>
            <w:r>
              <w:rPr>
                <w:rFonts w:hint="eastAsia" w:ascii="宋体" w:hAnsi="宋体" w:eastAsia="宋体" w:cs="宋体"/>
                <w:color w:val="auto"/>
                <w:sz w:val="24"/>
                <w:szCs w:val="24"/>
                <w:highlight w:val="none"/>
                <w:u w:val="single"/>
                <w:lang w:val="en-US" w:eastAsia="zh-CN"/>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人，演示现场提供</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097642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885" w:hRule="atLeast"/>
          <w:jc w:val="center"/>
        </w:trPr>
        <w:tc>
          <w:tcPr>
            <w:tcW w:w="970" w:type="dxa"/>
            <w:vAlign w:val="center"/>
          </w:tcPr>
          <w:p w14:paraId="4CE72DC4">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w:t>
            </w:r>
          </w:p>
        </w:tc>
        <w:tc>
          <w:tcPr>
            <w:tcW w:w="1738" w:type="dxa"/>
            <w:vAlign w:val="center"/>
          </w:tcPr>
          <w:p w14:paraId="35FB661A">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解密投标文件的时限</w:t>
            </w:r>
          </w:p>
        </w:tc>
        <w:tc>
          <w:tcPr>
            <w:tcW w:w="6700" w:type="dxa"/>
            <w:vAlign w:val="center"/>
          </w:tcPr>
          <w:p w14:paraId="44601FEC">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不见面开标默认解密时长：</w:t>
            </w:r>
            <w:r>
              <w:rPr>
                <w:rFonts w:hint="eastAsia" w:ascii="宋体" w:hAnsi="宋体" w:eastAsia="宋体" w:cs="宋体"/>
                <w:color w:val="auto"/>
                <w:sz w:val="24"/>
                <w:szCs w:val="24"/>
                <w:highlight w:val="none"/>
                <w:u w:val="single"/>
                <w:lang w:val="en-US" w:eastAsia="zh-CN"/>
              </w:rPr>
              <w:t xml:space="preserve">  </w:t>
            </w:r>
            <w:r>
              <w:rPr>
                <w:rFonts w:hint="eastAsia" w:cs="宋体"/>
                <w:color w:val="auto"/>
                <w:sz w:val="24"/>
                <w:szCs w:val="24"/>
                <w:highlight w:val="none"/>
                <w:u w:val="single"/>
                <w:lang w:val="en-US" w:eastAsia="zh-CN"/>
              </w:rPr>
              <w:t>30</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分钟。</w:t>
            </w:r>
            <w:r>
              <w:rPr>
                <w:rFonts w:hint="eastAsia" w:ascii="宋体" w:hAnsi="宋体" w:eastAsia="宋体" w:cs="宋体"/>
                <w:color w:val="auto"/>
                <w:sz w:val="24"/>
                <w:szCs w:val="24"/>
                <w:highlight w:val="none"/>
              </w:rPr>
              <w:t xml:space="preserve"> </w:t>
            </w:r>
          </w:p>
          <w:p w14:paraId="01B25268">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除因交易平台发生故障导致投标文件无法按时解密外，投标文件未按时解密的，视为未按规定提交投标文件。</w:t>
            </w:r>
          </w:p>
        </w:tc>
      </w:tr>
      <w:tr w14:paraId="79EC87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jc w:val="center"/>
        </w:trPr>
        <w:tc>
          <w:tcPr>
            <w:tcW w:w="970" w:type="dxa"/>
            <w:vAlign w:val="center"/>
          </w:tcPr>
          <w:p w14:paraId="23FC94CD">
            <w:pPr>
              <w:pStyle w:val="5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29.1</w:t>
            </w:r>
          </w:p>
        </w:tc>
        <w:tc>
          <w:tcPr>
            <w:tcW w:w="1738" w:type="dxa"/>
            <w:vAlign w:val="center"/>
          </w:tcPr>
          <w:p w14:paraId="5A1E858C">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评标方法</w:t>
            </w:r>
          </w:p>
        </w:tc>
        <w:tc>
          <w:tcPr>
            <w:tcW w:w="6700" w:type="dxa"/>
            <w:vAlign w:val="center"/>
          </w:tcPr>
          <w:p w14:paraId="49F2488F">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lang w:val="en-US" w:eastAsia="zh-CN"/>
              </w:rPr>
              <w:t>综合评分法</w:t>
            </w:r>
          </w:p>
          <w:p w14:paraId="63A64BEE">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val="en-US" w:eastAsia="zh-CN"/>
              </w:rPr>
              <w:t>最低评标价法</w:t>
            </w:r>
          </w:p>
          <w:p w14:paraId="3ECC641A">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综合评分法：是指在最大限度地满足采购文件实质性要求前提下,按照采购文件中规定的评分细则评审后,以评标最终最高得分的</w:t>
            </w:r>
            <w:r>
              <w:rPr>
                <w:rFonts w:hint="eastAsia"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eastAsia="zh-CN"/>
              </w:rPr>
              <w:t>作为成交</w:t>
            </w:r>
            <w:r>
              <w:rPr>
                <w:rFonts w:hint="eastAsia"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eastAsia="zh-CN"/>
              </w:rPr>
              <w:t>的评标方法。每一</w:t>
            </w:r>
            <w:r>
              <w:rPr>
                <w:rFonts w:hint="eastAsia"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eastAsia="zh-CN"/>
              </w:rPr>
              <w:t>的最终得分为所有评委评分的算术平均值。得分相同的,报价较低的一方为成交</w:t>
            </w:r>
            <w:r>
              <w:rPr>
                <w:rFonts w:hint="eastAsia"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eastAsia="zh-CN"/>
              </w:rPr>
              <w:t>。得分且投标报价相同的,技术指标较优的一方为成交</w:t>
            </w:r>
            <w:r>
              <w:rPr>
                <w:rFonts w:hint="eastAsia"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eastAsia="zh-CN"/>
              </w:rPr>
              <w:t>。</w:t>
            </w:r>
          </w:p>
        </w:tc>
      </w:tr>
      <w:tr w14:paraId="5A0872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jc w:val="center"/>
        </w:trPr>
        <w:tc>
          <w:tcPr>
            <w:tcW w:w="970" w:type="dxa"/>
            <w:vAlign w:val="center"/>
          </w:tcPr>
          <w:p w14:paraId="42D57B39">
            <w:pPr>
              <w:pStyle w:val="5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p>
        </w:tc>
        <w:tc>
          <w:tcPr>
            <w:tcW w:w="1738" w:type="dxa"/>
            <w:vAlign w:val="center"/>
          </w:tcPr>
          <w:p w14:paraId="109515DE">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推荐中标候选人</w:t>
            </w:r>
          </w:p>
        </w:tc>
        <w:tc>
          <w:tcPr>
            <w:tcW w:w="6700" w:type="dxa"/>
            <w:vAlign w:val="center"/>
          </w:tcPr>
          <w:p w14:paraId="0DB0E73E">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中标候选人数量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s="宋体"/>
                <w:color w:val="auto"/>
                <w:sz w:val="24"/>
                <w:szCs w:val="24"/>
                <w:highlight w:val="none"/>
                <w:u w:val="single"/>
                <w:lang w:val="en-US" w:eastAsia="zh-CN"/>
              </w:rPr>
              <w:t>3</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家</w:t>
            </w:r>
          </w:p>
        </w:tc>
      </w:tr>
      <w:tr w14:paraId="176C1C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13" w:hRule="atLeast"/>
          <w:jc w:val="center"/>
        </w:trPr>
        <w:tc>
          <w:tcPr>
            <w:tcW w:w="970" w:type="dxa"/>
            <w:vAlign w:val="center"/>
          </w:tcPr>
          <w:p w14:paraId="4EEEE9B4">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w:t>
            </w:r>
          </w:p>
        </w:tc>
        <w:tc>
          <w:tcPr>
            <w:tcW w:w="1738" w:type="dxa"/>
            <w:vAlign w:val="center"/>
          </w:tcPr>
          <w:p w14:paraId="266C355B">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确定中标人</w:t>
            </w:r>
          </w:p>
        </w:tc>
        <w:tc>
          <w:tcPr>
            <w:tcW w:w="6700" w:type="dxa"/>
            <w:vAlign w:val="center"/>
          </w:tcPr>
          <w:p w14:paraId="3AF868A2">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采购人按评审报告中推荐的中标候选人排序确定中标人。</w:t>
            </w:r>
          </w:p>
          <w:p w14:paraId="0911185A">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采购人委托评标委员会直接确定中标人。</w:t>
            </w:r>
          </w:p>
        </w:tc>
      </w:tr>
      <w:tr w14:paraId="6F937C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1" w:hRule="atLeast"/>
          <w:jc w:val="center"/>
        </w:trPr>
        <w:tc>
          <w:tcPr>
            <w:tcW w:w="970" w:type="dxa"/>
            <w:vAlign w:val="center"/>
          </w:tcPr>
          <w:p w14:paraId="7325020F">
            <w:pPr>
              <w:pStyle w:val="5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30.2</w:t>
            </w:r>
          </w:p>
          <w:p w14:paraId="55F094A5">
            <w:pPr>
              <w:pStyle w:val="5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30.3</w:t>
            </w:r>
          </w:p>
        </w:tc>
        <w:tc>
          <w:tcPr>
            <w:tcW w:w="1738" w:type="dxa"/>
            <w:vAlign w:val="center"/>
          </w:tcPr>
          <w:p w14:paraId="1B13E6FA">
            <w:pPr>
              <w:pStyle w:val="50"/>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提供相同品牌产品的不同投标人确定中标候选人的规定</w:t>
            </w:r>
          </w:p>
        </w:tc>
        <w:tc>
          <w:tcPr>
            <w:tcW w:w="6700" w:type="dxa"/>
            <w:vAlign w:val="center"/>
          </w:tcPr>
          <w:p w14:paraId="1B566793">
            <w:pPr>
              <w:pStyle w:val="50"/>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kern w:val="0"/>
                <w:sz w:val="24"/>
                <w:szCs w:val="24"/>
                <w:highlight w:val="none"/>
                <w:lang w:val="en-US" w:eastAsia="zh-CN" w:bidi="ar"/>
              </w:rPr>
              <w:t>综合评分法的采购项目，提供相同品牌产品且通过资格审查、符合性审查的不同投标人参加同一合同项下投标的，按一家投标人计算，评审后得分相同的，</w:t>
            </w:r>
            <w:r>
              <w:rPr>
                <w:rFonts w:hint="eastAsia" w:ascii="宋体" w:hAnsi="宋体" w:eastAsia="宋体" w:cs="宋体"/>
                <w:b w:val="0"/>
                <w:bCs w:val="0"/>
                <w:color w:val="auto"/>
                <w:kern w:val="0"/>
                <w:sz w:val="24"/>
                <w:szCs w:val="24"/>
                <w:highlight w:val="none"/>
                <w:lang w:val="en-US" w:eastAsia="zh-CN" w:bidi="ar"/>
              </w:rPr>
              <w:t>按照</w:t>
            </w:r>
            <w:r>
              <w:rPr>
                <w:rFonts w:hint="eastAsia" w:ascii="宋体" w:hAnsi="宋体" w:eastAsia="宋体" w:cs="宋体"/>
                <w:b/>
                <w:bCs/>
                <w:color w:val="auto"/>
                <w:kern w:val="0"/>
                <w:sz w:val="24"/>
                <w:szCs w:val="24"/>
                <w:highlight w:val="none"/>
                <w:u w:val="single"/>
                <w:lang w:val="en-US" w:eastAsia="zh-CN" w:bidi="ar"/>
              </w:rPr>
              <w:t xml:space="preserve"> 技术指标优劣顺序推荐</w:t>
            </w:r>
            <w:r>
              <w:rPr>
                <w:rFonts w:hint="eastAsia" w:cs="宋体"/>
                <w:b/>
                <w:bCs/>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方式确定一个投标人获得中标人推荐资格，其他同品牌投标人不作为中标候选人。</w:t>
            </w:r>
          </w:p>
          <w:p w14:paraId="0F6B6850">
            <w:pPr>
              <w:pStyle w:val="50"/>
              <w:ind w:firstLine="480" w:firstLineChars="200"/>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kern w:val="0"/>
                <w:sz w:val="24"/>
                <w:szCs w:val="24"/>
                <w:highlight w:val="none"/>
                <w:lang w:val="en-US" w:eastAsia="zh-CN" w:bidi="ar"/>
              </w:rPr>
              <w:t>最低评标价法的采购项目，提供相同品牌产品的不同投标人参加同一合同项下投标的，以其中通过资格审查、符合性审查且报价最低的参加评标；报价相同的，按照</w:t>
            </w:r>
            <w:r>
              <w:rPr>
                <w:rFonts w:hint="eastAsia" w:ascii="宋体" w:hAnsi="宋体" w:eastAsia="宋体" w:cs="宋体"/>
                <w:color w:val="auto"/>
                <w:kern w:val="0"/>
                <w:sz w:val="24"/>
                <w:szCs w:val="24"/>
                <w:highlight w:val="none"/>
                <w:u w:val="single"/>
                <w:lang w:val="en-US" w:eastAsia="zh-CN" w:bidi="ar"/>
              </w:rPr>
              <w:t xml:space="preserve">   </w:t>
            </w:r>
            <w:r>
              <w:rPr>
                <w:rFonts w:hint="eastAsia" w:cs="宋体"/>
                <w:color w:val="auto"/>
                <w:kern w:val="0"/>
                <w:sz w:val="24"/>
                <w:szCs w:val="24"/>
                <w:highlight w:val="none"/>
                <w:u w:val="single"/>
                <w:lang w:val="en-US" w:eastAsia="zh-CN" w:bidi="ar"/>
              </w:rPr>
              <w:t>/</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方式确定一个参加评标的投标人，其他投标无效。</w:t>
            </w:r>
          </w:p>
        </w:tc>
      </w:tr>
      <w:tr w14:paraId="35A01A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641" w:hRule="atLeast"/>
          <w:jc w:val="center"/>
        </w:trPr>
        <w:tc>
          <w:tcPr>
            <w:tcW w:w="970" w:type="dxa"/>
            <w:vAlign w:val="center"/>
          </w:tcPr>
          <w:p w14:paraId="1D722A96">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w:t>
            </w:r>
          </w:p>
        </w:tc>
        <w:tc>
          <w:tcPr>
            <w:tcW w:w="1738" w:type="dxa"/>
            <w:vAlign w:val="center"/>
          </w:tcPr>
          <w:p w14:paraId="0A6B190B">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履约保证金</w:t>
            </w:r>
          </w:p>
        </w:tc>
        <w:tc>
          <w:tcPr>
            <w:tcW w:w="6700" w:type="dxa"/>
            <w:vAlign w:val="center"/>
          </w:tcPr>
          <w:p w14:paraId="52B73BFF">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金额：</w:t>
            </w:r>
          </w:p>
          <w:p w14:paraId="2D4AA05F">
            <w:pPr>
              <w:pStyle w:val="50"/>
              <w:ind w:firstLine="480" w:firstLineChars="200"/>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免收</w:t>
            </w:r>
          </w:p>
          <w:p w14:paraId="185FFD88">
            <w:pPr>
              <w:pStyle w:val="50"/>
              <w:ind w:firstLine="480" w:firstLineChars="200"/>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 xml:space="preserve">合同价的 </w:t>
            </w:r>
            <w:r>
              <w:rPr>
                <w:rFonts w:hint="eastAsia"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  %</w:t>
            </w:r>
          </w:p>
          <w:p w14:paraId="7DCA35D2">
            <w:pPr>
              <w:pStyle w:val="5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□定额收取：人民币        </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rPr>
              <w:t xml:space="preserve">     元</w:t>
            </w:r>
          </w:p>
          <w:p w14:paraId="78911AAD">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支付方式：</w:t>
            </w:r>
          </w:p>
          <w:p w14:paraId="12B7F8B1">
            <w:pPr>
              <w:pStyle w:val="54"/>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投标人可自主选择以支票、汇票、本票、电汇、转账、网银、保函等非现金形式缴纳或提交保证金。</w:t>
            </w:r>
          </w:p>
          <w:p w14:paraId="4D83FA75">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3.</w:t>
            </w:r>
            <w:r>
              <w:rPr>
                <w:rFonts w:hint="eastAsia" w:ascii="宋体" w:hAnsi="宋体" w:eastAsia="宋体" w:cs="宋体"/>
                <w:color w:val="auto"/>
                <w:sz w:val="24"/>
                <w:szCs w:val="24"/>
                <w:highlight w:val="none"/>
              </w:rPr>
              <w:t>收取单位：签订合同前打入甲方指定账户</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p>
          <w:p w14:paraId="2CF8CC08">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5.</w:t>
            </w:r>
            <w:r>
              <w:rPr>
                <w:rFonts w:hint="eastAsia" w:ascii="宋体" w:hAnsi="宋体" w:eastAsia="宋体" w:cs="宋体"/>
                <w:color w:val="auto"/>
                <w:sz w:val="24"/>
                <w:szCs w:val="24"/>
                <w:highlight w:val="none"/>
              </w:rPr>
              <w:t>退还时间：</w:t>
            </w:r>
            <w:r>
              <w:rPr>
                <w:rFonts w:hint="eastAsia" w:ascii="宋体" w:hAnsi="宋体" w:eastAsia="宋体" w:cs="宋体"/>
                <w:color w:val="auto"/>
                <w:sz w:val="24"/>
                <w:szCs w:val="24"/>
                <w:highlight w:val="none"/>
                <w:lang w:val="zh-CN"/>
              </w:rPr>
              <w:t>双方可以通过协商另行约定其他退还时间和方式及用途</w:t>
            </w:r>
            <w:r>
              <w:rPr>
                <w:rFonts w:hint="eastAsia" w:cs="宋体"/>
                <w:color w:val="auto"/>
                <w:sz w:val="24"/>
                <w:szCs w:val="24"/>
                <w:highlight w:val="none"/>
                <w:lang w:val="zh-CN"/>
              </w:rPr>
              <w:t>。</w:t>
            </w:r>
            <w:r>
              <w:rPr>
                <w:rFonts w:hint="eastAsia" w:ascii="宋体" w:hAnsi="宋体" w:eastAsia="宋体" w:cs="宋体"/>
                <w:color w:val="auto"/>
                <w:sz w:val="24"/>
                <w:szCs w:val="24"/>
                <w:highlight w:val="none"/>
              </w:rPr>
              <w:t xml:space="preserve">              </w:t>
            </w:r>
          </w:p>
          <w:p w14:paraId="5BA146AB">
            <w:pPr>
              <w:pStyle w:val="5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注意事项：</w:t>
            </w:r>
          </w:p>
          <w:p w14:paraId="43FE4EC8">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以上各类机构出具的以担保函、保证保险承担责任的方式均须满足无条件见索即付条件。</w:t>
            </w:r>
          </w:p>
          <w:p w14:paraId="191E3959">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以担保函、保证保险形式缴纳履约保证金的，受益人和收取单位须为采购人。</w:t>
            </w:r>
          </w:p>
        </w:tc>
      </w:tr>
      <w:tr w14:paraId="6B1F02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923" w:hRule="atLeast"/>
          <w:jc w:val="center"/>
        </w:trPr>
        <w:tc>
          <w:tcPr>
            <w:tcW w:w="970" w:type="dxa"/>
            <w:vAlign w:val="center"/>
          </w:tcPr>
          <w:p w14:paraId="600814BC">
            <w:pPr>
              <w:pStyle w:val="5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34.5</w:t>
            </w:r>
          </w:p>
        </w:tc>
        <w:tc>
          <w:tcPr>
            <w:tcW w:w="1738" w:type="dxa"/>
            <w:vAlign w:val="center"/>
          </w:tcPr>
          <w:p w14:paraId="74D19386">
            <w:pPr>
              <w:pStyle w:val="5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中标后分包</w:t>
            </w:r>
          </w:p>
        </w:tc>
        <w:tc>
          <w:tcPr>
            <w:tcW w:w="6700" w:type="dxa"/>
            <w:vAlign w:val="center"/>
          </w:tcPr>
          <w:p w14:paraId="4344EC45">
            <w:pPr>
              <w:pStyle w:val="5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本项目的非主体、非关键性工作是否允许分包： </w:t>
            </w:r>
          </w:p>
          <w:p w14:paraId="3D901FC0">
            <w:pPr>
              <w:pStyle w:val="50"/>
              <w:ind w:firstLine="480" w:firstLineChars="200"/>
              <w:rPr>
                <w:rFonts w:hint="eastAsia" w:ascii="宋体" w:hAnsi="宋体"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 xml:space="preserve">不允许 </w:t>
            </w:r>
          </w:p>
          <w:p w14:paraId="56DFA0F7">
            <w:pPr>
              <w:pStyle w:val="50"/>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□允许，具体要求： </w:t>
            </w:r>
          </w:p>
          <w:p w14:paraId="6C445FF2">
            <w:pPr>
              <w:pStyle w:val="5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     1.可以分包履行的具体内容：</w:t>
            </w:r>
            <w:r>
              <w:rPr>
                <w:rFonts w:hint="eastAsia" w:cs="宋体"/>
                <w:color w:val="auto"/>
                <w:kern w:val="2"/>
                <w:sz w:val="24"/>
                <w:szCs w:val="24"/>
                <w:highlight w:val="none"/>
                <w:u w:val="single"/>
                <w:lang w:val="en-US" w:eastAsia="zh-CN" w:bidi="ar-SA"/>
              </w:rPr>
              <w:t xml:space="preserve">     /    </w:t>
            </w:r>
            <w:r>
              <w:rPr>
                <w:rFonts w:hint="eastAsia" w:ascii="宋体" w:hAnsi="宋体" w:eastAsia="宋体" w:cs="宋体"/>
                <w:color w:val="auto"/>
                <w:kern w:val="2"/>
                <w:sz w:val="24"/>
                <w:szCs w:val="24"/>
                <w:highlight w:val="none"/>
                <w:lang w:val="en-US" w:eastAsia="zh-CN" w:bidi="ar-SA"/>
              </w:rPr>
              <w:t xml:space="preserve">； </w:t>
            </w:r>
          </w:p>
          <w:p w14:paraId="71BE067E">
            <w:pPr>
              <w:pStyle w:val="5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     2.允许分包的金额或者比例：</w:t>
            </w:r>
            <w:r>
              <w:rPr>
                <w:rFonts w:hint="eastAsia" w:cs="宋体"/>
                <w:color w:val="auto"/>
                <w:kern w:val="2"/>
                <w:sz w:val="24"/>
                <w:szCs w:val="24"/>
                <w:highlight w:val="none"/>
                <w:u w:val="single"/>
                <w:lang w:val="en-US" w:eastAsia="zh-CN" w:bidi="ar-SA"/>
              </w:rPr>
              <w:t xml:space="preserve">     /    </w:t>
            </w:r>
            <w:r>
              <w:rPr>
                <w:rFonts w:hint="eastAsia" w:ascii="宋体" w:hAnsi="宋体" w:eastAsia="宋体" w:cs="宋体"/>
                <w:color w:val="auto"/>
                <w:kern w:val="2"/>
                <w:sz w:val="24"/>
                <w:szCs w:val="24"/>
                <w:highlight w:val="none"/>
                <w:lang w:val="en-US" w:eastAsia="zh-CN" w:bidi="ar-SA"/>
              </w:rPr>
              <w:t xml:space="preserve">； </w:t>
            </w:r>
          </w:p>
          <w:p w14:paraId="2F04DF99">
            <w:pPr>
              <w:pStyle w:val="5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     3.其他要求：</w:t>
            </w:r>
            <w:r>
              <w:rPr>
                <w:rFonts w:hint="eastAsia" w:cs="宋体"/>
                <w:color w:val="auto"/>
                <w:kern w:val="2"/>
                <w:sz w:val="24"/>
                <w:szCs w:val="24"/>
                <w:highlight w:val="none"/>
                <w:u w:val="single"/>
                <w:lang w:val="en-US" w:eastAsia="zh-CN" w:bidi="ar-SA"/>
              </w:rPr>
              <w:t xml:space="preserve">     /    </w:t>
            </w:r>
            <w:r>
              <w:rPr>
                <w:rFonts w:hint="eastAsia" w:ascii="宋体" w:hAnsi="宋体" w:eastAsia="宋体" w:cs="宋体"/>
                <w:color w:val="auto"/>
                <w:kern w:val="2"/>
                <w:sz w:val="24"/>
                <w:szCs w:val="24"/>
                <w:highlight w:val="none"/>
                <w:lang w:val="en-US" w:eastAsia="zh-CN" w:bidi="ar-SA"/>
              </w:rPr>
              <w:t xml:space="preserve">。 </w:t>
            </w:r>
          </w:p>
        </w:tc>
      </w:tr>
      <w:tr w14:paraId="19B129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jc w:val="center"/>
        </w:trPr>
        <w:tc>
          <w:tcPr>
            <w:tcW w:w="970" w:type="dxa"/>
            <w:vAlign w:val="center"/>
          </w:tcPr>
          <w:p w14:paraId="5BFFADC2">
            <w:pPr>
              <w:pStyle w:val="5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35.1</w:t>
            </w:r>
          </w:p>
        </w:tc>
        <w:tc>
          <w:tcPr>
            <w:tcW w:w="1738" w:type="dxa"/>
            <w:vAlign w:val="center"/>
          </w:tcPr>
          <w:p w14:paraId="6B25F509">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质疑</w:t>
            </w:r>
          </w:p>
        </w:tc>
        <w:tc>
          <w:tcPr>
            <w:tcW w:w="6700" w:type="dxa"/>
            <w:vAlign w:val="center"/>
          </w:tcPr>
          <w:p w14:paraId="54494FB3">
            <w:pPr>
              <w:pStyle w:val="5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1.</w:t>
            </w:r>
            <w:r>
              <w:rPr>
                <w:rFonts w:hint="eastAsia" w:ascii="宋体" w:hAnsi="宋体" w:cs="宋体"/>
                <w:color w:val="auto"/>
                <w:kern w:val="2"/>
                <w:sz w:val="24"/>
                <w:szCs w:val="24"/>
                <w:highlight w:val="none"/>
                <w:lang w:val="zh-CN" w:eastAsia="zh-CN" w:bidi="ar-SA"/>
              </w:rPr>
              <w:t>投标人</w:t>
            </w:r>
            <w:r>
              <w:rPr>
                <w:rFonts w:hint="eastAsia" w:ascii="宋体" w:hAnsi="宋体" w:eastAsia="宋体" w:cs="宋体"/>
                <w:color w:val="auto"/>
                <w:kern w:val="2"/>
                <w:sz w:val="24"/>
                <w:szCs w:val="24"/>
                <w:highlight w:val="none"/>
                <w:lang w:val="zh-CN" w:eastAsia="zh-CN" w:bidi="ar-SA"/>
              </w:rPr>
              <w:t>认为采购文件、采购过程、中标或者成交结果使自己的权益受到损害的，可以在知道或者应知其权益受到损害之日起7个工作日内，以书面形式向采购人、采购代理机构提出质疑。</w:t>
            </w:r>
          </w:p>
          <w:p w14:paraId="2E8DCA9F">
            <w:pPr>
              <w:pStyle w:val="5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2.</w:t>
            </w:r>
            <w:r>
              <w:rPr>
                <w:rFonts w:hint="eastAsia" w:ascii="宋体" w:hAnsi="宋体" w:cs="宋体"/>
                <w:color w:val="auto"/>
                <w:kern w:val="2"/>
                <w:sz w:val="24"/>
                <w:szCs w:val="24"/>
                <w:highlight w:val="none"/>
                <w:lang w:val="zh-CN" w:eastAsia="zh-CN" w:bidi="ar-SA"/>
              </w:rPr>
              <w:t>投标人</w:t>
            </w:r>
            <w:r>
              <w:rPr>
                <w:rFonts w:hint="eastAsia" w:ascii="宋体" w:hAnsi="宋体" w:eastAsia="宋体" w:cs="宋体"/>
                <w:color w:val="auto"/>
                <w:kern w:val="2"/>
                <w:sz w:val="24"/>
                <w:szCs w:val="24"/>
                <w:highlight w:val="none"/>
                <w:lang w:val="zh-CN" w:eastAsia="zh-CN" w:bidi="ar-SA"/>
              </w:rPr>
              <w:t>在法定质疑期内必须一次性提出针对同一采购程序环节的质疑。</w:t>
            </w:r>
          </w:p>
          <w:p w14:paraId="462AB3A9">
            <w:pPr>
              <w:pStyle w:val="5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3.质疑</w:t>
            </w:r>
            <w:r>
              <w:rPr>
                <w:rFonts w:hint="eastAsia" w:ascii="宋体" w:hAnsi="宋体" w:cs="宋体"/>
                <w:color w:val="auto"/>
                <w:kern w:val="2"/>
                <w:sz w:val="24"/>
                <w:szCs w:val="24"/>
                <w:highlight w:val="none"/>
                <w:lang w:val="zh-CN" w:eastAsia="zh-CN" w:bidi="ar-SA"/>
              </w:rPr>
              <w:t>投标人</w:t>
            </w:r>
            <w:r>
              <w:rPr>
                <w:rFonts w:hint="eastAsia" w:ascii="宋体" w:hAnsi="宋体" w:eastAsia="宋体" w:cs="宋体"/>
                <w:color w:val="auto"/>
                <w:kern w:val="2"/>
                <w:sz w:val="24"/>
                <w:szCs w:val="24"/>
                <w:highlight w:val="none"/>
                <w:lang w:val="zh-CN" w:eastAsia="zh-CN" w:bidi="ar-SA"/>
              </w:rPr>
              <w:t xml:space="preserve">应按照财政部制定的《政府采购质疑函范本》格式10（可从财政部官方网站下载）和《政府采购质疑和投诉办法》（财政部令第94号）的要求，在法定质疑期内以书面形式提出质疑。 </w:t>
            </w:r>
          </w:p>
          <w:p w14:paraId="5B63F722">
            <w:pPr>
              <w:pStyle w:val="5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 xml:space="preserve">4.超出法定质疑期、重复或分次提出的、内容或形式不符合《政府采购质疑和投诉办法》规定的质疑将被拒绝。 </w:t>
            </w:r>
          </w:p>
          <w:p w14:paraId="5EB2A0C0">
            <w:pPr>
              <w:pStyle w:val="5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5.依据：《中华人民共和国政府采购法》第五十二条、《中华人民共和国政府采购法实施条例》第五十三条规定的</w:t>
            </w:r>
            <w:r>
              <w:rPr>
                <w:rFonts w:hint="eastAsia" w:ascii="宋体" w:hAnsi="宋体" w:cs="宋体"/>
                <w:color w:val="auto"/>
                <w:kern w:val="2"/>
                <w:sz w:val="24"/>
                <w:szCs w:val="24"/>
                <w:highlight w:val="none"/>
                <w:lang w:val="zh-CN" w:eastAsia="zh-CN" w:bidi="ar-SA"/>
              </w:rPr>
              <w:t>投标人</w:t>
            </w:r>
            <w:r>
              <w:rPr>
                <w:rFonts w:hint="eastAsia" w:ascii="宋体" w:hAnsi="宋体" w:eastAsia="宋体" w:cs="宋体"/>
                <w:color w:val="auto"/>
                <w:kern w:val="2"/>
                <w:sz w:val="24"/>
                <w:szCs w:val="24"/>
                <w:highlight w:val="none"/>
                <w:lang w:val="zh-CN" w:eastAsia="zh-CN" w:bidi="ar-SA"/>
              </w:rPr>
              <w:t>应知其权益受到损害之日，是指：(1）对可以质疑的采购文件提出质疑的，为收到采购文件之日或者采购文件公告期限届满之日；(2）对采购过程提出质疑的，为各采购程序环节结束之日；(3）对中标或者成交结果提出质疑的，为中标或者成交结果公告期限届满之日。逾期送达，不予受理。</w:t>
            </w:r>
          </w:p>
          <w:p w14:paraId="668BE3A9">
            <w:pPr>
              <w:pStyle w:val="5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6.澄清、修改文件发出后（若有），</w:t>
            </w:r>
            <w:r>
              <w:rPr>
                <w:rFonts w:hint="eastAsia" w:ascii="宋体" w:hAnsi="宋体" w:cs="宋体"/>
                <w:color w:val="auto"/>
                <w:kern w:val="2"/>
                <w:sz w:val="24"/>
                <w:szCs w:val="24"/>
                <w:highlight w:val="none"/>
                <w:lang w:val="zh-CN" w:eastAsia="zh-CN" w:bidi="ar-SA"/>
              </w:rPr>
              <w:t>投标人</w:t>
            </w:r>
            <w:r>
              <w:rPr>
                <w:rFonts w:hint="eastAsia" w:ascii="宋体" w:hAnsi="宋体" w:eastAsia="宋体" w:cs="宋体"/>
                <w:color w:val="auto"/>
                <w:kern w:val="2"/>
                <w:sz w:val="24"/>
                <w:szCs w:val="24"/>
                <w:highlight w:val="none"/>
                <w:lang w:val="zh-CN" w:eastAsia="zh-CN" w:bidi="ar-SA"/>
              </w:rPr>
              <w:t>必须使用最新的澄清文件制作电子响应文件。</w:t>
            </w:r>
          </w:p>
          <w:p w14:paraId="66A99E69">
            <w:pPr>
              <w:pStyle w:val="5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7.采购代理机构质疑函接收部门、联系电话：</w:t>
            </w:r>
          </w:p>
          <w:p w14:paraId="3C8F261A">
            <w:pPr>
              <w:pStyle w:val="5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接收部门：新疆锦辰工程项目管理有限公司</w:t>
            </w:r>
          </w:p>
          <w:p w14:paraId="037D4DBA">
            <w:pPr>
              <w:pStyle w:val="5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联系人：贾智俊</w:t>
            </w:r>
          </w:p>
          <w:p w14:paraId="27B6D858">
            <w:pPr>
              <w:pStyle w:val="5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联系电话：13319859131</w:t>
            </w:r>
          </w:p>
          <w:p w14:paraId="30211831">
            <w:pPr>
              <w:pStyle w:val="56"/>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 xml:space="preserve">地址：新疆图木舒克市草湖经济技术开发区兴业路1号众鑫商业街1幢2-01号             </w:t>
            </w:r>
          </w:p>
        </w:tc>
      </w:tr>
      <w:tr w14:paraId="3C8ED1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4" w:hRule="atLeast"/>
          <w:jc w:val="center"/>
        </w:trPr>
        <w:tc>
          <w:tcPr>
            <w:tcW w:w="970" w:type="dxa"/>
            <w:vAlign w:val="center"/>
          </w:tcPr>
          <w:p w14:paraId="422A3CDD">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w:t>
            </w:r>
          </w:p>
        </w:tc>
        <w:tc>
          <w:tcPr>
            <w:tcW w:w="1738" w:type="dxa"/>
            <w:vAlign w:val="center"/>
          </w:tcPr>
          <w:p w14:paraId="1782DE51">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采购代理服务费</w:t>
            </w:r>
          </w:p>
        </w:tc>
        <w:tc>
          <w:tcPr>
            <w:tcW w:w="6700" w:type="dxa"/>
            <w:vAlign w:val="center"/>
          </w:tcPr>
          <w:p w14:paraId="21B014B0">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是否由</w:t>
            </w:r>
            <w:r>
              <w:rPr>
                <w:rFonts w:hint="eastAsia" w:cs="宋体"/>
                <w:color w:val="auto"/>
                <w:sz w:val="24"/>
                <w:szCs w:val="24"/>
                <w:highlight w:val="none"/>
                <w:lang w:val="en-US" w:eastAsia="zh-CN"/>
              </w:rPr>
              <w:t>中标</w:t>
            </w:r>
            <w:r>
              <w:rPr>
                <w:rFonts w:hint="eastAsia" w:cs="宋体"/>
                <w:color w:val="auto"/>
                <w:sz w:val="24"/>
                <w:szCs w:val="24"/>
                <w:highlight w:val="none"/>
                <w:lang w:eastAsia="zh-CN"/>
              </w:rPr>
              <w:t>投标人</w:t>
            </w:r>
            <w:r>
              <w:rPr>
                <w:rFonts w:hint="eastAsia" w:ascii="宋体" w:hAnsi="宋体" w:eastAsia="宋体" w:cs="宋体"/>
                <w:color w:val="auto"/>
                <w:sz w:val="24"/>
                <w:szCs w:val="24"/>
                <w:highlight w:val="none"/>
              </w:rPr>
              <w:t>缴纳招标代理费： 是。</w:t>
            </w:r>
          </w:p>
          <w:p w14:paraId="7AB76704">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交纳时间：</w:t>
            </w:r>
            <w:r>
              <w:rPr>
                <w:rFonts w:hint="eastAsia" w:cs="宋体"/>
                <w:color w:val="auto"/>
                <w:sz w:val="24"/>
                <w:szCs w:val="24"/>
                <w:highlight w:val="none"/>
                <w:lang w:val="en-US" w:eastAsia="zh-CN"/>
              </w:rPr>
              <w:t>中标</w:t>
            </w:r>
            <w:r>
              <w:rPr>
                <w:rFonts w:hint="eastAsia" w:ascii="宋体" w:hAnsi="宋体" w:eastAsia="宋体" w:cs="宋体"/>
                <w:color w:val="auto"/>
                <w:sz w:val="24"/>
                <w:szCs w:val="24"/>
                <w:highlight w:val="none"/>
              </w:rPr>
              <w:t>单位在</w:t>
            </w:r>
            <w:r>
              <w:rPr>
                <w:rFonts w:hint="eastAsia" w:cs="宋体"/>
                <w:color w:val="auto"/>
                <w:sz w:val="24"/>
                <w:szCs w:val="24"/>
                <w:highlight w:val="none"/>
                <w:lang w:val="en-US" w:eastAsia="zh-CN"/>
              </w:rPr>
              <w:t>中标</w:t>
            </w:r>
            <w:r>
              <w:rPr>
                <w:rFonts w:hint="eastAsia" w:ascii="宋体" w:hAnsi="宋体" w:eastAsia="宋体" w:cs="宋体"/>
                <w:color w:val="auto"/>
                <w:sz w:val="24"/>
                <w:szCs w:val="24"/>
                <w:highlight w:val="none"/>
              </w:rPr>
              <w:t>通知书前，向代理机构一次性缴纳代理服务费，代理服务费计费基价按照项目成交金额为准，由</w:t>
            </w:r>
            <w:r>
              <w:rPr>
                <w:rFonts w:hint="eastAsia" w:cs="宋体"/>
                <w:color w:val="auto"/>
                <w:sz w:val="24"/>
                <w:szCs w:val="24"/>
                <w:highlight w:val="none"/>
                <w:lang w:val="en-US" w:eastAsia="zh-CN"/>
              </w:rPr>
              <w:t>中标</w:t>
            </w:r>
            <w:r>
              <w:rPr>
                <w:rFonts w:hint="eastAsia" w:ascii="宋体" w:hAnsi="宋体" w:eastAsia="宋体" w:cs="宋体"/>
                <w:color w:val="auto"/>
                <w:sz w:val="24"/>
                <w:szCs w:val="24"/>
                <w:highlight w:val="none"/>
              </w:rPr>
              <w:t>单位支付。</w:t>
            </w:r>
          </w:p>
          <w:p w14:paraId="5DDF6A72">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本项目代理服务收费标准：执行《政府采购代理机构管理暂行办法》财库〔2018〕2号文件。</w:t>
            </w:r>
          </w:p>
          <w:p w14:paraId="27CC6169">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收款单位：新疆锦辰工程项目管理有限公司</w:t>
            </w:r>
          </w:p>
          <w:p w14:paraId="3A198AF8">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银行账号：107081419960</w:t>
            </w:r>
          </w:p>
          <w:p w14:paraId="1BFF26F0">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开户银行：中国银行股份有限公司喀什市解放南路支行</w:t>
            </w:r>
          </w:p>
          <w:p w14:paraId="2FBFA5BF">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行号：1048940010466</w:t>
            </w:r>
          </w:p>
        </w:tc>
      </w:tr>
      <w:tr w14:paraId="30DE59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42" w:hRule="atLeast"/>
          <w:jc w:val="center"/>
        </w:trPr>
        <w:tc>
          <w:tcPr>
            <w:tcW w:w="970" w:type="dxa"/>
            <w:vAlign w:val="center"/>
          </w:tcPr>
          <w:p w14:paraId="6F1BF374">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w:t>
            </w:r>
          </w:p>
        </w:tc>
        <w:tc>
          <w:tcPr>
            <w:tcW w:w="1738" w:type="dxa"/>
            <w:vAlign w:val="center"/>
          </w:tcPr>
          <w:p w14:paraId="5D860FC6">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是否接受进口产品</w:t>
            </w:r>
          </w:p>
        </w:tc>
        <w:tc>
          <w:tcPr>
            <w:tcW w:w="6700" w:type="dxa"/>
            <w:vAlign w:val="center"/>
          </w:tcPr>
          <w:p w14:paraId="438B47DA">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不接受</w:t>
            </w:r>
          </w:p>
          <w:p w14:paraId="1481386A">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val="zh-CN"/>
              </w:rPr>
              <w:t>接受</w:t>
            </w:r>
          </w:p>
        </w:tc>
      </w:tr>
      <w:tr w14:paraId="2539FC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829" w:hRule="atLeast"/>
          <w:jc w:val="center"/>
        </w:trPr>
        <w:tc>
          <w:tcPr>
            <w:tcW w:w="970" w:type="dxa"/>
            <w:vAlign w:val="center"/>
          </w:tcPr>
          <w:p w14:paraId="06648806">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2</w:t>
            </w:r>
          </w:p>
        </w:tc>
        <w:tc>
          <w:tcPr>
            <w:tcW w:w="1738" w:type="dxa"/>
            <w:vAlign w:val="center"/>
          </w:tcPr>
          <w:p w14:paraId="34AA4482">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支持中小企业政策</w:t>
            </w:r>
            <w:r>
              <w:rPr>
                <w:rStyle w:val="34"/>
                <w:rFonts w:hint="eastAsia" w:ascii="宋体" w:hAnsi="宋体" w:eastAsia="宋体" w:cs="宋体"/>
                <w:b w:val="0"/>
                <w:color w:val="auto"/>
                <w:sz w:val="24"/>
                <w:szCs w:val="24"/>
                <w:highlight w:val="none"/>
                <w:lang w:val="en-US" w:eastAsia="zh-CN"/>
              </w:rPr>
              <w:t>（非专门面向中小企业采购项目适用）</w:t>
            </w:r>
          </w:p>
        </w:tc>
        <w:tc>
          <w:tcPr>
            <w:tcW w:w="6700" w:type="dxa"/>
            <w:vAlign w:val="center"/>
          </w:tcPr>
          <w:p w14:paraId="736B9D94">
            <w:pPr>
              <w:pStyle w:val="81"/>
              <w:widowControl w:val="0"/>
              <w:spacing w:before="0" w:beforeAutospacing="0" w:after="0" w:afterAutospacing="0" w:line="240" w:lineRule="auto"/>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1</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小型和微型企业价格扣除：</w:t>
            </w:r>
            <w:r>
              <w:rPr>
                <w:rFonts w:hint="eastAsia" w:ascii="宋体" w:hAnsi="宋体" w:eastAsia="宋体" w:cs="宋体"/>
                <w:b w:val="0"/>
                <w:color w:val="auto"/>
                <w:sz w:val="24"/>
                <w:szCs w:val="24"/>
                <w:highlight w:val="none"/>
                <w:u w:val="single"/>
                <w:lang w:val="en-US" w:eastAsia="zh-CN"/>
              </w:rPr>
              <w:t xml:space="preserve">   15%     </w:t>
            </w:r>
            <w:r>
              <w:rPr>
                <w:rFonts w:hint="eastAsia" w:ascii="宋体" w:hAnsi="宋体" w:eastAsia="宋体" w:cs="宋体"/>
                <w:b w:val="0"/>
                <w:color w:val="auto"/>
                <w:sz w:val="24"/>
                <w:szCs w:val="24"/>
                <w:highlight w:val="none"/>
              </w:rPr>
              <w:t>。</w:t>
            </w:r>
          </w:p>
          <w:p w14:paraId="3A14D5AD">
            <w:pPr>
              <w:pStyle w:val="81"/>
              <w:widowControl w:val="0"/>
              <w:spacing w:before="0" w:beforeAutospacing="0" w:after="0" w:afterAutospacing="0" w:line="240" w:lineRule="auto"/>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2</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监狱企业价格扣除：</w:t>
            </w:r>
            <w:r>
              <w:rPr>
                <w:rFonts w:hint="eastAsia" w:ascii="宋体" w:hAnsi="宋体" w:eastAsia="宋体" w:cs="宋体"/>
                <w:b w:val="0"/>
                <w:color w:val="auto"/>
                <w:sz w:val="24"/>
                <w:szCs w:val="24"/>
                <w:highlight w:val="none"/>
                <w:u w:val="none"/>
              </w:rPr>
              <w:t>同小型和微型企业</w:t>
            </w:r>
            <w:r>
              <w:rPr>
                <w:rFonts w:hint="eastAsia" w:ascii="宋体" w:hAnsi="宋体" w:eastAsia="宋体" w:cs="宋体"/>
                <w:b w:val="0"/>
                <w:color w:val="auto"/>
                <w:sz w:val="24"/>
                <w:szCs w:val="24"/>
                <w:highlight w:val="none"/>
              </w:rPr>
              <w:t>。</w:t>
            </w:r>
          </w:p>
          <w:p w14:paraId="5CF7AA8F">
            <w:pPr>
              <w:pStyle w:val="81"/>
              <w:widowControl w:val="0"/>
              <w:spacing w:before="0" w:beforeAutospacing="0" w:after="0" w:afterAutospacing="0" w:line="240" w:lineRule="auto"/>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3</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残疾人福利性单位价格扣除：</w:t>
            </w:r>
            <w:r>
              <w:rPr>
                <w:rFonts w:hint="eastAsia" w:ascii="宋体" w:hAnsi="宋体" w:eastAsia="宋体" w:cs="宋体"/>
                <w:b w:val="0"/>
                <w:color w:val="auto"/>
                <w:sz w:val="24"/>
                <w:szCs w:val="24"/>
                <w:highlight w:val="none"/>
                <w:u w:val="none"/>
              </w:rPr>
              <w:t>同小型和微型企业</w:t>
            </w:r>
            <w:r>
              <w:rPr>
                <w:rFonts w:hint="eastAsia" w:ascii="宋体" w:hAnsi="宋体" w:eastAsia="宋体" w:cs="宋体"/>
                <w:b w:val="0"/>
                <w:color w:val="auto"/>
                <w:sz w:val="24"/>
                <w:szCs w:val="24"/>
                <w:highlight w:val="none"/>
              </w:rPr>
              <w:t>。</w:t>
            </w:r>
          </w:p>
          <w:p w14:paraId="529022C4">
            <w:pPr>
              <w:pStyle w:val="81"/>
              <w:widowControl w:val="0"/>
              <w:spacing w:before="0" w:beforeAutospacing="0" w:after="0" w:afterAutospacing="0" w:line="240" w:lineRule="auto"/>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4</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符合条件的联合体价格扣除：</w:t>
            </w:r>
            <w:r>
              <w:rPr>
                <w:rFonts w:hint="eastAsia" w:ascii="宋体" w:hAnsi="宋体" w:eastAsia="宋体" w:cs="宋体"/>
                <w:b w:val="0"/>
                <w:color w:val="auto"/>
                <w:sz w:val="24"/>
                <w:szCs w:val="24"/>
                <w:highlight w:val="none"/>
                <w:u w:val="single"/>
                <w:lang w:val="en-US" w:eastAsia="zh-CN"/>
              </w:rPr>
              <w:t xml:space="preserve">    </w:t>
            </w:r>
            <w:r>
              <w:rPr>
                <w:rFonts w:hint="eastAsia" w:cs="宋体"/>
                <w:b w:val="0"/>
                <w:color w:val="auto"/>
                <w:sz w:val="24"/>
                <w:szCs w:val="24"/>
                <w:highlight w:val="none"/>
                <w:u w:val="single"/>
                <w:lang w:val="en-US" w:eastAsia="zh-CN"/>
              </w:rPr>
              <w:t>/</w:t>
            </w:r>
            <w:r>
              <w:rPr>
                <w:rFonts w:hint="eastAsia" w:ascii="宋体" w:hAnsi="宋体" w:eastAsia="宋体" w:cs="宋体"/>
                <w:b w:val="0"/>
                <w:color w:val="auto"/>
                <w:sz w:val="24"/>
                <w:szCs w:val="24"/>
                <w:highlight w:val="none"/>
                <w:u w:val="single"/>
                <w:lang w:val="en-US" w:eastAsia="zh-CN"/>
              </w:rPr>
              <w:t xml:space="preserve">    </w:t>
            </w:r>
            <w:r>
              <w:rPr>
                <w:rFonts w:hint="eastAsia" w:ascii="宋体" w:hAnsi="宋体" w:eastAsia="宋体" w:cs="宋体"/>
                <w:b w:val="0"/>
                <w:color w:val="auto"/>
                <w:sz w:val="24"/>
                <w:szCs w:val="24"/>
                <w:highlight w:val="none"/>
              </w:rPr>
              <w:t>。</w:t>
            </w:r>
          </w:p>
          <w:p w14:paraId="1B996B16">
            <w:pPr>
              <w:pStyle w:val="81"/>
              <w:widowControl w:val="0"/>
              <w:spacing w:before="0" w:beforeAutospacing="0" w:after="0" w:afterAutospacing="0" w:line="240" w:lineRule="auto"/>
              <w:jc w:val="both"/>
              <w:rPr>
                <w:rFonts w:hint="eastAsia" w:ascii="宋体" w:hAnsi="宋体" w:eastAsia="宋体" w:cs="宋体"/>
                <w:b w:val="0"/>
                <w:bCs/>
                <w:color w:val="auto"/>
                <w:kern w:val="0"/>
                <w:sz w:val="24"/>
                <w:szCs w:val="24"/>
                <w:highlight w:val="none"/>
                <w:lang w:val="en-US" w:eastAsia="zh-CN" w:bidi="ar-SA"/>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5</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符合条件的向小微企业分包的大中型企业价格扣除：</w:t>
            </w:r>
            <w:r>
              <w:rPr>
                <w:rFonts w:hint="eastAsia" w:ascii="宋体" w:hAnsi="宋体" w:eastAsia="宋体" w:cs="宋体"/>
                <w:b w:val="0"/>
                <w:color w:val="auto"/>
                <w:sz w:val="24"/>
                <w:szCs w:val="24"/>
                <w:highlight w:val="none"/>
                <w:u w:val="single"/>
                <w:lang w:val="en-US" w:eastAsia="zh-CN"/>
              </w:rPr>
              <w:t xml:space="preserve">    </w:t>
            </w:r>
            <w:r>
              <w:rPr>
                <w:rFonts w:hint="eastAsia" w:cs="宋体"/>
                <w:b w:val="0"/>
                <w:color w:val="auto"/>
                <w:sz w:val="24"/>
                <w:szCs w:val="24"/>
                <w:highlight w:val="none"/>
                <w:u w:val="single"/>
                <w:lang w:val="en-US" w:eastAsia="zh-CN"/>
              </w:rPr>
              <w:t>/</w:t>
            </w:r>
            <w:r>
              <w:rPr>
                <w:rFonts w:hint="eastAsia" w:ascii="宋体" w:hAnsi="宋体" w:eastAsia="宋体" w:cs="宋体"/>
                <w:b w:val="0"/>
                <w:color w:val="auto"/>
                <w:sz w:val="24"/>
                <w:szCs w:val="24"/>
                <w:highlight w:val="none"/>
                <w:u w:val="single"/>
                <w:lang w:val="en-US" w:eastAsia="zh-CN"/>
              </w:rPr>
              <w:t xml:space="preserve">    </w:t>
            </w:r>
            <w:r>
              <w:rPr>
                <w:rFonts w:hint="eastAsia" w:ascii="宋体" w:hAnsi="宋体" w:eastAsia="宋体" w:cs="宋体"/>
                <w:b w:val="0"/>
                <w:color w:val="auto"/>
                <w:sz w:val="24"/>
                <w:szCs w:val="24"/>
                <w:highlight w:val="none"/>
              </w:rPr>
              <w:t>。</w:t>
            </w:r>
            <w:r>
              <w:rPr>
                <w:rFonts w:hint="eastAsia" w:ascii="宋体" w:hAnsi="宋体" w:eastAsia="宋体" w:cs="宋体"/>
                <w:b w:val="0"/>
                <w:i w:val="0"/>
                <w:iCs/>
                <w:color w:val="auto"/>
                <w:sz w:val="24"/>
                <w:szCs w:val="24"/>
                <w:highlight w:val="none"/>
              </w:rPr>
              <w:t>（允许大中型企业向小微企业分包的项目适用）</w:t>
            </w:r>
          </w:p>
        </w:tc>
      </w:tr>
      <w:tr w14:paraId="707AAB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2513" w:hRule="atLeast"/>
          <w:jc w:val="center"/>
        </w:trPr>
        <w:tc>
          <w:tcPr>
            <w:tcW w:w="970" w:type="dxa"/>
            <w:vAlign w:val="center"/>
          </w:tcPr>
          <w:p w14:paraId="3AAFC5B3">
            <w:pPr>
              <w:pStyle w:val="5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42.5</w:t>
            </w:r>
          </w:p>
        </w:tc>
        <w:tc>
          <w:tcPr>
            <w:tcW w:w="1738" w:type="dxa"/>
            <w:vAlign w:val="center"/>
          </w:tcPr>
          <w:p w14:paraId="59931474">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标的所属行业</w:t>
            </w:r>
          </w:p>
          <w:p w14:paraId="27995733">
            <w:pPr>
              <w:pStyle w:val="50"/>
              <w:rPr>
                <w:rFonts w:hint="eastAsia" w:ascii="宋体" w:hAnsi="宋体" w:eastAsia="宋体" w:cs="宋体"/>
                <w:color w:val="auto"/>
                <w:sz w:val="24"/>
                <w:szCs w:val="24"/>
                <w:highlight w:val="none"/>
                <w:lang w:val="en-US" w:eastAsia="zh-CN"/>
              </w:rPr>
            </w:pPr>
            <w:r>
              <w:rPr>
                <w:rStyle w:val="34"/>
                <w:rFonts w:hint="eastAsia" w:ascii="宋体" w:hAnsi="宋体" w:eastAsia="宋体" w:cs="宋体"/>
                <w:b w:val="0"/>
                <w:color w:val="auto"/>
                <w:sz w:val="24"/>
                <w:szCs w:val="24"/>
                <w:highlight w:val="none"/>
                <w:lang w:val="en-US" w:eastAsia="zh-CN"/>
              </w:rPr>
              <w:t>参照后附</w:t>
            </w:r>
            <w:r>
              <w:rPr>
                <w:rStyle w:val="34"/>
                <w:rFonts w:hint="eastAsia" w:ascii="宋体" w:hAnsi="宋体" w:eastAsia="宋体" w:cs="宋体"/>
                <w:b w:val="0"/>
                <w:color w:val="auto"/>
                <w:sz w:val="24"/>
                <w:szCs w:val="24"/>
                <w:highlight w:val="none"/>
                <w:lang w:eastAsia="zh-CN"/>
              </w:rPr>
              <w:t>《</w:t>
            </w:r>
            <w:r>
              <w:rPr>
                <w:rStyle w:val="34"/>
                <w:rFonts w:hint="eastAsia" w:ascii="宋体" w:hAnsi="宋体" w:eastAsia="宋体" w:cs="宋体"/>
                <w:b w:val="0"/>
                <w:color w:val="auto"/>
                <w:sz w:val="24"/>
                <w:szCs w:val="24"/>
                <w:highlight w:val="none"/>
              </w:rPr>
              <w:t>工信部联企业〔2011〕300号</w:t>
            </w:r>
            <w:r>
              <w:rPr>
                <w:rStyle w:val="34"/>
                <w:rFonts w:hint="eastAsia" w:ascii="宋体" w:hAnsi="宋体" w:eastAsia="宋体" w:cs="宋体"/>
                <w:b w:val="0"/>
                <w:color w:val="auto"/>
                <w:sz w:val="24"/>
                <w:szCs w:val="24"/>
                <w:highlight w:val="none"/>
                <w:lang w:eastAsia="zh-CN"/>
              </w:rPr>
              <w:t>》</w:t>
            </w:r>
          </w:p>
        </w:tc>
        <w:tc>
          <w:tcPr>
            <w:tcW w:w="6700" w:type="dxa"/>
            <w:vAlign w:val="center"/>
          </w:tcPr>
          <w:p w14:paraId="6804F69E">
            <w:pPr>
              <w:keepNext w:val="0"/>
              <w:keepLines w:val="0"/>
              <w:widowControl/>
              <w:suppressLineNumbers w:val="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本项目采购标的对应的中小企业划分标准所属行业： </w:t>
            </w:r>
          </w:p>
          <w:tbl>
            <w:tblPr>
              <w:tblStyle w:val="32"/>
              <w:tblW w:w="61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2064"/>
              <w:gridCol w:w="3182"/>
            </w:tblGrid>
            <w:tr w14:paraId="1CAA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vAlign w:val="center"/>
                </w:tcPr>
                <w:p w14:paraId="7059451F">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lang w:val="en-US" w:eastAsia="zh-CN" w:bidi="ar"/>
                    </w:rPr>
                    <w:t>序号</w:t>
                  </w:r>
                </w:p>
              </w:tc>
              <w:tc>
                <w:tcPr>
                  <w:tcW w:w="2064" w:type="dxa"/>
                  <w:vAlign w:val="center"/>
                </w:tcPr>
                <w:p w14:paraId="334359A5">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lang w:val="en-US" w:eastAsia="zh-CN" w:bidi="ar"/>
                    </w:rPr>
                    <w:t>标的名称</w:t>
                  </w:r>
                </w:p>
              </w:tc>
              <w:tc>
                <w:tcPr>
                  <w:tcW w:w="3182" w:type="dxa"/>
                  <w:vAlign w:val="center"/>
                </w:tcPr>
                <w:p w14:paraId="6E9115BA">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lang w:val="en-US" w:eastAsia="zh-CN" w:bidi="ar"/>
                    </w:rPr>
                    <w:t>中小企业划分标准所属行业</w:t>
                  </w:r>
                </w:p>
              </w:tc>
            </w:tr>
            <w:tr w14:paraId="585F9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vAlign w:val="center"/>
                </w:tcPr>
                <w:p w14:paraId="4BD03589">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1</w:t>
                  </w:r>
                </w:p>
              </w:tc>
              <w:tc>
                <w:tcPr>
                  <w:tcW w:w="2064" w:type="dxa"/>
                  <w:vAlign w:val="center"/>
                </w:tcPr>
                <w:p w14:paraId="402B250B">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消防救援车</w:t>
                  </w:r>
                </w:p>
              </w:tc>
              <w:tc>
                <w:tcPr>
                  <w:tcW w:w="3182" w:type="dxa"/>
                  <w:vAlign w:val="center"/>
                </w:tcPr>
                <w:p w14:paraId="6A9C8731">
                  <w:pPr>
                    <w:keepNext w:val="0"/>
                    <w:keepLines w:val="0"/>
                    <w:widowControl/>
                    <w:suppressLineNumbers w:val="0"/>
                    <w:jc w:val="center"/>
                    <w:rPr>
                      <w:rFonts w:hint="default"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制造业</w:t>
                  </w:r>
                </w:p>
              </w:tc>
            </w:tr>
            <w:tr w14:paraId="12DDE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vAlign w:val="center"/>
                </w:tcPr>
                <w:p w14:paraId="7A0DE8A4">
                  <w:pPr>
                    <w:keepNext w:val="0"/>
                    <w:keepLines w:val="0"/>
                    <w:widowControl/>
                    <w:suppressLineNumbers w:val="0"/>
                    <w:jc w:val="center"/>
                    <w:rPr>
                      <w:rFonts w:hint="default"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2</w:t>
                  </w:r>
                </w:p>
              </w:tc>
              <w:tc>
                <w:tcPr>
                  <w:tcW w:w="2064" w:type="dxa"/>
                  <w:vAlign w:val="center"/>
                </w:tcPr>
                <w:p w14:paraId="7F5C8DBC">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25T水罐消防车</w:t>
                  </w:r>
                </w:p>
              </w:tc>
              <w:tc>
                <w:tcPr>
                  <w:tcW w:w="3182" w:type="dxa"/>
                  <w:vAlign w:val="center"/>
                </w:tcPr>
                <w:p w14:paraId="434A5745">
                  <w:pPr>
                    <w:keepNext w:val="0"/>
                    <w:keepLines w:val="0"/>
                    <w:widowControl/>
                    <w:suppressLineNumbers w:val="0"/>
                    <w:jc w:val="center"/>
                    <w:rPr>
                      <w:rFonts w:hint="eastAsia"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制造业</w:t>
                  </w:r>
                </w:p>
              </w:tc>
            </w:tr>
            <w:tr w14:paraId="1F80D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vAlign w:val="center"/>
                </w:tcPr>
                <w:p w14:paraId="0B4364C8">
                  <w:pPr>
                    <w:keepNext w:val="0"/>
                    <w:keepLines w:val="0"/>
                    <w:widowControl/>
                    <w:suppressLineNumbers w:val="0"/>
                    <w:jc w:val="center"/>
                    <w:rPr>
                      <w:rFonts w:hint="default"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3</w:t>
                  </w:r>
                </w:p>
              </w:tc>
              <w:tc>
                <w:tcPr>
                  <w:tcW w:w="2064" w:type="dxa"/>
                  <w:vAlign w:val="center"/>
                </w:tcPr>
                <w:p w14:paraId="2DE29F9B">
                  <w:pPr>
                    <w:keepNext w:val="0"/>
                    <w:keepLines w:val="0"/>
                    <w:widowControl/>
                    <w:suppressLineNumbers w:val="0"/>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前突器材消防车</w:t>
                  </w:r>
                </w:p>
              </w:tc>
              <w:tc>
                <w:tcPr>
                  <w:tcW w:w="3182" w:type="dxa"/>
                  <w:vAlign w:val="center"/>
                </w:tcPr>
                <w:p w14:paraId="382F64CC">
                  <w:pPr>
                    <w:keepNext w:val="0"/>
                    <w:keepLines w:val="0"/>
                    <w:widowControl/>
                    <w:suppressLineNumbers w:val="0"/>
                    <w:jc w:val="center"/>
                    <w:rPr>
                      <w:rFonts w:hint="eastAsia"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制造业</w:t>
                  </w:r>
                </w:p>
              </w:tc>
            </w:tr>
          </w:tbl>
          <w:p w14:paraId="23150657">
            <w:pPr>
              <w:pStyle w:val="50"/>
              <w:rPr>
                <w:rFonts w:hint="eastAsia" w:ascii="宋体" w:hAnsi="宋体" w:eastAsia="宋体" w:cs="宋体"/>
                <w:color w:val="auto"/>
                <w:sz w:val="24"/>
                <w:szCs w:val="24"/>
                <w:highlight w:val="none"/>
              </w:rPr>
            </w:pPr>
          </w:p>
        </w:tc>
      </w:tr>
      <w:tr w14:paraId="545B04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25" w:hRule="atLeast"/>
          <w:jc w:val="center"/>
        </w:trPr>
        <w:tc>
          <w:tcPr>
            <w:tcW w:w="970" w:type="dxa"/>
            <w:shd w:val="clear" w:color="auto" w:fill="auto"/>
            <w:vAlign w:val="center"/>
          </w:tcPr>
          <w:p w14:paraId="18792692">
            <w:pPr>
              <w:pStyle w:val="5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43.5</w:t>
            </w:r>
          </w:p>
        </w:tc>
        <w:tc>
          <w:tcPr>
            <w:tcW w:w="1738" w:type="dxa"/>
            <w:shd w:val="clear" w:color="auto" w:fill="auto"/>
            <w:vAlign w:val="center"/>
          </w:tcPr>
          <w:p w14:paraId="69CF29E9">
            <w:pPr>
              <w:pStyle w:val="5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优先采购创新节能环保产品</w:t>
            </w:r>
          </w:p>
        </w:tc>
        <w:tc>
          <w:tcPr>
            <w:tcW w:w="6700" w:type="dxa"/>
            <w:shd w:val="clear" w:color="auto" w:fill="auto"/>
            <w:vAlign w:val="center"/>
          </w:tcPr>
          <w:p w14:paraId="299F639F">
            <w:pPr>
              <w:pStyle w:val="5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所投产品纳入创新产品应用示范推荐目录内企业、所投产品获得节能产品或环境标志产品认证证书的企业报价给予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的价格扣除。</w:t>
            </w:r>
          </w:p>
        </w:tc>
      </w:tr>
      <w:tr w14:paraId="140D50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01" w:hRule="atLeast"/>
          <w:jc w:val="center"/>
        </w:trPr>
        <w:tc>
          <w:tcPr>
            <w:tcW w:w="970" w:type="dxa"/>
            <w:tcBorders>
              <w:right w:val="single" w:color="auto" w:sz="4" w:space="0"/>
            </w:tcBorders>
            <w:vAlign w:val="center"/>
          </w:tcPr>
          <w:p w14:paraId="08D3F63A">
            <w:pPr>
              <w:pStyle w:val="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w:t>
            </w:r>
          </w:p>
        </w:tc>
        <w:tc>
          <w:tcPr>
            <w:tcW w:w="1738" w:type="dxa"/>
            <w:tcBorders>
              <w:left w:val="single" w:color="auto" w:sz="4" w:space="0"/>
              <w:right w:val="single" w:color="auto" w:sz="4" w:space="0"/>
            </w:tcBorders>
            <w:vAlign w:val="center"/>
          </w:tcPr>
          <w:p w14:paraId="651753DB">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w:t>
            </w:r>
          </w:p>
          <w:p w14:paraId="5E3751DF">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合同融资政策</w:t>
            </w:r>
          </w:p>
        </w:tc>
        <w:tc>
          <w:tcPr>
            <w:tcW w:w="6700" w:type="dxa"/>
            <w:tcBorders>
              <w:left w:val="single" w:color="auto" w:sz="4" w:space="0"/>
            </w:tcBorders>
            <w:vAlign w:val="center"/>
          </w:tcPr>
          <w:p w14:paraId="4377B3EE">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1.</w:t>
            </w:r>
            <w:r>
              <w:rPr>
                <w:rFonts w:hint="eastAsia" w:ascii="宋体" w:hAnsi="宋体" w:eastAsia="宋体" w:cs="宋体"/>
                <w:color w:val="auto"/>
                <w:sz w:val="24"/>
                <w:szCs w:val="24"/>
                <w:highlight w:val="none"/>
              </w:rPr>
              <w:t>有融资需求的中标人在获得政府采购中标通知书后，即可向开展“政采贷”业务的金融机构提出申请，金融机构依据政府采购中标通知书和政府采购合同，为中小微企业提供融资服务。</w:t>
            </w:r>
          </w:p>
          <w:p w14:paraId="247FAD72">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渠道和方式：</w:t>
            </w:r>
            <w:r>
              <w:rPr>
                <w:rFonts w:hint="eastAsia" w:cs="宋体"/>
                <w:i w:val="0"/>
                <w:iCs w:val="0"/>
                <w:color w:val="auto"/>
                <w:sz w:val="24"/>
                <w:szCs w:val="24"/>
                <w:highlight w:val="none"/>
                <w:u w:val="single"/>
                <w:lang w:val="en-US" w:eastAsia="zh-CN"/>
              </w:rPr>
              <w:t>详见兵团政府采购网相关文件说明</w:t>
            </w:r>
            <w:r>
              <w:rPr>
                <w:rFonts w:hint="eastAsia" w:ascii="宋体" w:hAnsi="宋体" w:eastAsia="宋体" w:cs="宋体"/>
                <w:color w:val="auto"/>
                <w:sz w:val="24"/>
                <w:szCs w:val="24"/>
                <w:highlight w:val="none"/>
              </w:rPr>
              <w:t>。</w:t>
            </w:r>
          </w:p>
          <w:p w14:paraId="5D7FBF5F">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2.</w:t>
            </w:r>
            <w:r>
              <w:rPr>
                <w:rFonts w:hint="eastAsia" w:ascii="宋体" w:hAnsi="宋体" w:eastAsia="宋体" w:cs="宋体"/>
                <w:color w:val="auto"/>
                <w:sz w:val="24"/>
                <w:szCs w:val="24"/>
                <w:highlight w:val="none"/>
                <w:lang w:eastAsia="zh-CN"/>
              </w:rPr>
              <w:t>“政采贷”融资指引：在取得政府采购中标通知书后，可访问“</w:t>
            </w:r>
            <w:r>
              <w:rPr>
                <w:rFonts w:hint="eastAsia" w:ascii="宋体" w:hAnsi="宋体" w:eastAsia="宋体" w:cs="宋体"/>
                <w:color w:val="auto"/>
                <w:sz w:val="24"/>
                <w:szCs w:val="24"/>
                <w:highlight w:val="none"/>
                <w:lang w:val="en-US" w:eastAsia="zh-CN"/>
              </w:rPr>
              <w:t>兵团</w:t>
            </w:r>
            <w:r>
              <w:rPr>
                <w:rFonts w:hint="eastAsia" w:ascii="宋体" w:hAnsi="宋体" w:eastAsia="宋体" w:cs="宋体"/>
                <w:color w:val="auto"/>
                <w:sz w:val="24"/>
                <w:szCs w:val="24"/>
                <w:highlight w:val="none"/>
                <w:lang w:eastAsia="zh-CN"/>
              </w:rPr>
              <w:t>政采贷</w:t>
            </w:r>
            <w:r>
              <w:rPr>
                <w:rFonts w:hint="eastAsia" w:ascii="宋体" w:hAnsi="宋体" w:eastAsia="宋体" w:cs="宋体"/>
                <w:color w:val="auto"/>
                <w:sz w:val="24"/>
                <w:szCs w:val="24"/>
                <w:highlight w:val="none"/>
                <w:lang w:val="en-US" w:eastAsia="zh-CN"/>
              </w:rPr>
              <w:t>融资服务平台”</w:t>
            </w:r>
            <w:r>
              <w:rPr>
                <w:rFonts w:hint="eastAsia" w:ascii="宋体" w:hAnsi="宋体" w:eastAsia="宋体" w:cs="宋体"/>
                <w:color w:val="auto"/>
                <w:sz w:val="24"/>
                <w:szCs w:val="24"/>
                <w:highlight w:val="none"/>
                <w:lang w:eastAsia="zh-CN"/>
              </w:rPr>
              <w:t>，查看和联系第三方平台或者金融机构，商洽融资事项，确定融资意向。中标人签署政府采购中标合同后，登录“</w:t>
            </w:r>
            <w:r>
              <w:rPr>
                <w:rFonts w:hint="eastAsia" w:ascii="宋体" w:hAnsi="宋体" w:eastAsia="宋体" w:cs="宋体"/>
                <w:color w:val="auto"/>
                <w:sz w:val="24"/>
                <w:szCs w:val="24"/>
                <w:highlight w:val="none"/>
                <w:lang w:val="en-US" w:eastAsia="zh-CN"/>
              </w:rPr>
              <w:t>兵团</w:t>
            </w:r>
            <w:r>
              <w:rPr>
                <w:rFonts w:hint="eastAsia" w:ascii="宋体" w:hAnsi="宋体" w:eastAsia="宋体" w:cs="宋体"/>
                <w:color w:val="auto"/>
                <w:sz w:val="24"/>
                <w:szCs w:val="24"/>
                <w:highlight w:val="none"/>
                <w:lang w:eastAsia="zh-CN"/>
              </w:rPr>
              <w:t>政采贷</w:t>
            </w:r>
            <w:r>
              <w:rPr>
                <w:rFonts w:hint="eastAsia" w:ascii="宋体" w:hAnsi="宋体" w:eastAsia="宋体" w:cs="宋体"/>
                <w:color w:val="auto"/>
                <w:sz w:val="24"/>
                <w:szCs w:val="24"/>
                <w:highlight w:val="none"/>
                <w:lang w:val="en-US" w:eastAsia="zh-CN"/>
              </w:rPr>
              <w:t>融资服务平台”</w:t>
            </w:r>
            <w:r>
              <w:rPr>
                <w:rFonts w:hint="eastAsia" w:ascii="宋体" w:hAnsi="宋体" w:eastAsia="宋体" w:cs="宋体"/>
                <w:color w:val="auto"/>
                <w:sz w:val="24"/>
                <w:szCs w:val="24"/>
                <w:highlight w:val="none"/>
                <w:lang w:eastAsia="zh-CN"/>
              </w:rPr>
              <w:t>，选择意向产品进行申请，并填写相关信息，“</w:t>
            </w:r>
            <w:r>
              <w:rPr>
                <w:rFonts w:hint="eastAsia" w:ascii="宋体" w:hAnsi="宋体" w:eastAsia="宋体" w:cs="宋体"/>
                <w:color w:val="auto"/>
                <w:sz w:val="24"/>
                <w:szCs w:val="24"/>
                <w:highlight w:val="none"/>
                <w:lang w:val="en-US" w:eastAsia="zh-CN"/>
              </w:rPr>
              <w:t>兵团</w:t>
            </w:r>
            <w:r>
              <w:rPr>
                <w:rFonts w:hint="eastAsia" w:ascii="宋体" w:hAnsi="宋体" w:eastAsia="宋体" w:cs="宋体"/>
                <w:color w:val="auto"/>
                <w:sz w:val="24"/>
                <w:szCs w:val="24"/>
                <w:highlight w:val="none"/>
                <w:lang w:eastAsia="zh-CN"/>
              </w:rPr>
              <w:t>政采贷</w:t>
            </w:r>
            <w:r>
              <w:rPr>
                <w:rFonts w:hint="eastAsia" w:ascii="宋体" w:hAnsi="宋体" w:eastAsia="宋体" w:cs="宋体"/>
                <w:color w:val="auto"/>
                <w:sz w:val="24"/>
                <w:szCs w:val="24"/>
                <w:highlight w:val="none"/>
                <w:lang w:val="en-US" w:eastAsia="zh-CN"/>
              </w:rPr>
              <w:t>融资服务平台”</w:t>
            </w:r>
            <w:r>
              <w:rPr>
                <w:rFonts w:hint="eastAsia" w:ascii="宋体" w:hAnsi="宋体" w:eastAsia="宋体" w:cs="宋体"/>
                <w:color w:val="auto"/>
                <w:sz w:val="24"/>
                <w:szCs w:val="24"/>
                <w:highlight w:val="none"/>
                <w:lang w:eastAsia="zh-CN"/>
              </w:rPr>
              <w:t>将中标人融资申请信息推送第三方平台、意向金融机构。</w:t>
            </w:r>
          </w:p>
        </w:tc>
      </w:tr>
      <w:tr w14:paraId="48C9FD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jc w:val="center"/>
        </w:trPr>
        <w:tc>
          <w:tcPr>
            <w:tcW w:w="970" w:type="dxa"/>
            <w:tcBorders>
              <w:right w:val="single" w:color="auto" w:sz="4" w:space="0"/>
            </w:tcBorders>
            <w:vAlign w:val="center"/>
          </w:tcPr>
          <w:p w14:paraId="59449E7E">
            <w:pPr>
              <w:pStyle w:val="50"/>
              <w:jc w:val="center"/>
              <w:rPr>
                <w:rFonts w:hint="eastAsia" w:ascii="宋体" w:hAnsi="宋体" w:eastAsia="宋体" w:cs="宋体"/>
                <w:color w:val="auto"/>
                <w:sz w:val="24"/>
                <w:szCs w:val="24"/>
                <w:highlight w:val="none"/>
              </w:rPr>
            </w:pPr>
            <w:r>
              <w:rPr>
                <w:rFonts w:hint="eastAsia" w:cs="宋体"/>
                <w:i w:val="0"/>
                <w:iCs w:val="0"/>
                <w:color w:val="auto"/>
                <w:sz w:val="24"/>
                <w:szCs w:val="24"/>
                <w:highlight w:val="none"/>
                <w:lang w:val="en-US" w:eastAsia="zh-CN"/>
              </w:rPr>
              <w:t>47.2</w:t>
            </w:r>
          </w:p>
        </w:tc>
        <w:tc>
          <w:tcPr>
            <w:tcW w:w="1738" w:type="dxa"/>
            <w:tcBorders>
              <w:right w:val="single" w:color="auto" w:sz="4" w:space="0"/>
            </w:tcBorders>
            <w:vAlign w:val="center"/>
          </w:tcPr>
          <w:p w14:paraId="7068A1E1">
            <w:pPr>
              <w:pStyle w:val="50"/>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lang w:val="en-US" w:eastAsia="zh-CN"/>
              </w:rPr>
              <w:t>信息公告媒体平台</w:t>
            </w:r>
          </w:p>
        </w:tc>
        <w:tc>
          <w:tcPr>
            <w:tcW w:w="6700" w:type="dxa"/>
            <w:tcBorders>
              <w:left w:val="single" w:color="auto" w:sz="4" w:space="0"/>
            </w:tcBorders>
            <w:vAlign w:val="center"/>
          </w:tcPr>
          <w:p w14:paraId="48509A24">
            <w:pPr>
              <w:pStyle w:val="50"/>
              <w:rPr>
                <w:rFonts w:hint="eastAsia" w:ascii="宋体" w:hAnsi="宋体" w:eastAsia="宋体" w:cs="宋体"/>
                <w:color w:val="auto"/>
                <w:sz w:val="24"/>
                <w:szCs w:val="24"/>
                <w:highlight w:val="none"/>
                <w:lang w:eastAsia="zh-CN"/>
              </w:rPr>
            </w:pPr>
            <w:r>
              <w:rPr>
                <w:rFonts w:hint="eastAsia" w:ascii="宋体" w:hAnsi="宋体" w:eastAsia="宋体" w:cs="宋体"/>
                <w:i w:val="0"/>
                <w:iCs w:val="0"/>
                <w:color w:val="auto"/>
                <w:sz w:val="24"/>
                <w:szCs w:val="24"/>
                <w:highlight w:val="none"/>
                <w:lang w:val="en-US" w:eastAsia="zh-CN"/>
              </w:rPr>
              <w:t>新疆生产建设兵团政府采购网（http://www.zcygov.cn/）</w:t>
            </w:r>
          </w:p>
        </w:tc>
      </w:tr>
      <w:tr w14:paraId="54E064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jc w:val="center"/>
        </w:trPr>
        <w:tc>
          <w:tcPr>
            <w:tcW w:w="970" w:type="dxa"/>
            <w:tcBorders>
              <w:right w:val="single" w:color="auto" w:sz="4" w:space="0"/>
            </w:tcBorders>
            <w:vAlign w:val="center"/>
          </w:tcPr>
          <w:p w14:paraId="6ED3CCA4">
            <w:pPr>
              <w:pStyle w:val="50"/>
              <w:jc w:val="center"/>
              <w:rPr>
                <w:rFonts w:hint="eastAsia" w:cs="宋体"/>
                <w:i w:val="0"/>
                <w:iCs w:val="0"/>
                <w:color w:val="auto"/>
                <w:sz w:val="24"/>
                <w:szCs w:val="24"/>
                <w:highlight w:val="none"/>
                <w:lang w:val="en-US" w:eastAsia="zh-CN"/>
              </w:rPr>
            </w:pPr>
            <w:r>
              <w:rPr>
                <w:rFonts w:hint="eastAsia" w:cs="宋体"/>
                <w:i w:val="0"/>
                <w:iCs w:val="0"/>
                <w:color w:val="auto"/>
                <w:sz w:val="24"/>
                <w:szCs w:val="24"/>
                <w:highlight w:val="none"/>
                <w:lang w:val="en-US" w:eastAsia="zh-CN"/>
              </w:rPr>
              <w:t>47.3</w:t>
            </w:r>
          </w:p>
        </w:tc>
        <w:tc>
          <w:tcPr>
            <w:tcW w:w="1738" w:type="dxa"/>
            <w:tcBorders>
              <w:right w:val="single" w:color="auto" w:sz="4" w:space="0"/>
            </w:tcBorders>
            <w:vAlign w:val="center"/>
          </w:tcPr>
          <w:p w14:paraId="276B451A">
            <w:pPr>
              <w:pStyle w:val="50"/>
              <w:rPr>
                <w:rFonts w:hint="eastAsia" w:ascii="宋体" w:hAnsi="宋体" w:eastAsia="宋体" w:cs="宋体"/>
                <w:i w:val="0"/>
                <w:iCs w:val="0"/>
                <w:color w:val="auto"/>
                <w:sz w:val="24"/>
                <w:szCs w:val="24"/>
                <w:highlight w:val="none"/>
                <w:lang w:val="en-US" w:eastAsia="zh-CN"/>
              </w:rPr>
            </w:pPr>
            <w:r>
              <w:rPr>
                <w:rFonts w:hint="eastAsia" w:cs="宋体"/>
                <w:i w:val="0"/>
                <w:iCs w:val="0"/>
                <w:color w:val="auto"/>
                <w:sz w:val="24"/>
                <w:szCs w:val="24"/>
                <w:highlight w:val="none"/>
                <w:lang w:val="en-US" w:eastAsia="zh-CN"/>
              </w:rPr>
              <w:t>同级财政</w:t>
            </w:r>
            <w:r>
              <w:rPr>
                <w:rFonts w:hint="eastAsia" w:ascii="宋体" w:hAnsi="宋体" w:eastAsia="宋体" w:cs="宋体"/>
                <w:i w:val="0"/>
                <w:iCs w:val="0"/>
                <w:color w:val="auto"/>
                <w:sz w:val="24"/>
                <w:szCs w:val="24"/>
                <w:highlight w:val="none"/>
                <w:lang w:val="en-US" w:eastAsia="zh-CN"/>
              </w:rPr>
              <w:t>监管部门</w:t>
            </w:r>
          </w:p>
        </w:tc>
        <w:tc>
          <w:tcPr>
            <w:tcW w:w="6700" w:type="dxa"/>
            <w:tcBorders>
              <w:left w:val="single" w:color="auto" w:sz="4" w:space="0"/>
            </w:tcBorders>
            <w:vAlign w:val="center"/>
          </w:tcPr>
          <w:p w14:paraId="319B22C2">
            <w:pPr>
              <w:pStyle w:val="50"/>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名称：草湖项目区财政局</w:t>
            </w:r>
          </w:p>
          <w:p w14:paraId="0A36B2D9">
            <w:pPr>
              <w:pStyle w:val="50"/>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地址：草湖项目区</w:t>
            </w:r>
          </w:p>
          <w:p w14:paraId="373A0C0C">
            <w:pPr>
              <w:pStyle w:val="50"/>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电话：0998—6143909</w:t>
            </w:r>
          </w:p>
        </w:tc>
      </w:tr>
      <w:tr w14:paraId="111A28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jc w:val="center"/>
        </w:trPr>
        <w:tc>
          <w:tcPr>
            <w:tcW w:w="970" w:type="dxa"/>
            <w:tcBorders>
              <w:right w:val="single" w:color="auto" w:sz="4" w:space="0"/>
            </w:tcBorders>
            <w:vAlign w:val="center"/>
          </w:tcPr>
          <w:p w14:paraId="00BFA1D6">
            <w:pPr>
              <w:pStyle w:val="50"/>
              <w:jc w:val="center"/>
              <w:rPr>
                <w:rFonts w:hint="eastAsia" w:cs="宋体"/>
                <w:i w:val="0"/>
                <w:iCs w:val="0"/>
                <w:color w:val="auto"/>
                <w:sz w:val="24"/>
                <w:szCs w:val="24"/>
                <w:highlight w:val="none"/>
                <w:lang w:val="en-US" w:eastAsia="zh-CN"/>
              </w:rPr>
            </w:pPr>
            <w:r>
              <w:rPr>
                <w:rFonts w:hint="eastAsia" w:cs="宋体"/>
                <w:i w:val="0"/>
                <w:iCs w:val="0"/>
                <w:color w:val="auto"/>
                <w:sz w:val="24"/>
                <w:szCs w:val="24"/>
                <w:highlight w:val="none"/>
                <w:lang w:val="en-US" w:eastAsia="zh-CN"/>
              </w:rPr>
              <w:t>47.4</w:t>
            </w:r>
          </w:p>
        </w:tc>
        <w:tc>
          <w:tcPr>
            <w:tcW w:w="1738" w:type="dxa"/>
            <w:tcBorders>
              <w:right w:val="single" w:color="auto" w:sz="4" w:space="0"/>
            </w:tcBorders>
            <w:vAlign w:val="center"/>
          </w:tcPr>
          <w:p w14:paraId="4428E46F">
            <w:pPr>
              <w:pStyle w:val="50"/>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投标文件份数</w:t>
            </w:r>
          </w:p>
        </w:tc>
        <w:tc>
          <w:tcPr>
            <w:tcW w:w="6700" w:type="dxa"/>
            <w:tcBorders>
              <w:left w:val="single" w:color="auto" w:sz="4" w:space="0"/>
            </w:tcBorders>
            <w:vAlign w:val="center"/>
          </w:tcPr>
          <w:p w14:paraId="047C9D6B">
            <w:pPr>
              <w:pStyle w:val="50"/>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 xml:space="preserve">加密版电子文件在“政采云”平台上传； </w:t>
            </w:r>
          </w:p>
          <w:p w14:paraId="34E8B93C">
            <w:pPr>
              <w:pStyle w:val="50"/>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注：中标单位须提供胶装成册的纸质版投标文件（签字盖章）3份 （一正二副）、电子文件签字盖章pdf版本（U盘储存3份）交至代理机构处。</w:t>
            </w:r>
          </w:p>
        </w:tc>
      </w:tr>
      <w:tr w14:paraId="5F0CC0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jc w:val="center"/>
        </w:trPr>
        <w:tc>
          <w:tcPr>
            <w:tcW w:w="970" w:type="dxa"/>
            <w:tcBorders>
              <w:right w:val="single" w:color="auto" w:sz="4" w:space="0"/>
            </w:tcBorders>
            <w:vAlign w:val="center"/>
          </w:tcPr>
          <w:p w14:paraId="51DCC259">
            <w:pPr>
              <w:pStyle w:val="50"/>
              <w:jc w:val="center"/>
              <w:rPr>
                <w:rFonts w:hint="eastAsia" w:cs="宋体"/>
                <w:i w:val="0"/>
                <w:iCs w:val="0"/>
                <w:color w:val="auto"/>
                <w:sz w:val="24"/>
                <w:szCs w:val="24"/>
                <w:highlight w:val="none"/>
                <w:lang w:val="en-US" w:eastAsia="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w:t>
            </w:r>
          </w:p>
        </w:tc>
        <w:tc>
          <w:tcPr>
            <w:tcW w:w="1738" w:type="dxa"/>
            <w:tcBorders>
              <w:right w:val="single" w:color="auto" w:sz="4" w:space="0"/>
            </w:tcBorders>
            <w:vAlign w:val="center"/>
          </w:tcPr>
          <w:p w14:paraId="5D35DC9F">
            <w:pPr>
              <w:pStyle w:val="50"/>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color w:val="auto"/>
                <w:sz w:val="24"/>
                <w:szCs w:val="24"/>
                <w:highlight w:val="none"/>
              </w:rPr>
              <w:t>需要补充的其他内容</w:t>
            </w:r>
          </w:p>
        </w:tc>
        <w:tc>
          <w:tcPr>
            <w:tcW w:w="6700" w:type="dxa"/>
            <w:tcBorders>
              <w:left w:val="single" w:color="auto" w:sz="4" w:space="0"/>
            </w:tcBorders>
            <w:vAlign w:val="center"/>
          </w:tcPr>
          <w:p w14:paraId="75ED458C">
            <w:pPr>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val="zh-CN" w:eastAsia="zh-CN"/>
              </w:rPr>
              <w:t>本项目的招标投标活动以及相关当事人须接受财政监督部门依法实施的监督。</w:t>
            </w:r>
          </w:p>
          <w:p w14:paraId="2E581ADF">
            <w:pPr>
              <w:rPr>
                <w:rFonts w:hint="eastAsia" w:ascii="宋体" w:hAnsi="宋体" w:eastAsia="宋体" w:cs="宋体"/>
                <w:sz w:val="24"/>
                <w:szCs w:val="24"/>
                <w:highlight w:val="none"/>
                <w:lang w:val="zh-CN"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val="zh-CN" w:eastAsia="zh-CN"/>
              </w:rPr>
              <w:t>各投标人必须针对项目制作响应文件并报价，响应文件必须满足电子响应文件制作等要求，否则将导致投标被拒绝。</w:t>
            </w:r>
          </w:p>
          <w:p w14:paraId="63FF1550">
            <w:pPr>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lang w:eastAsia="zh-CN"/>
              </w:rPr>
              <w:t>响应文件</w:t>
            </w:r>
            <w:r>
              <w:rPr>
                <w:rFonts w:hint="eastAsia" w:ascii="宋体" w:hAnsi="宋体" w:eastAsia="宋体" w:cs="宋体"/>
                <w:sz w:val="24"/>
                <w:szCs w:val="24"/>
                <w:highlight w:val="none"/>
              </w:rPr>
              <w:t>中有弄虚作假的内容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其</w:t>
            </w:r>
            <w:r>
              <w:rPr>
                <w:rFonts w:hint="eastAsia" w:ascii="宋体" w:hAnsi="宋体" w:eastAsia="宋体" w:cs="宋体"/>
                <w:sz w:val="24"/>
                <w:szCs w:val="24"/>
                <w:highlight w:val="none"/>
                <w:lang w:eastAsia="zh-CN"/>
              </w:rPr>
              <w:t>响应文件</w:t>
            </w:r>
            <w:r>
              <w:rPr>
                <w:rFonts w:hint="eastAsia" w:ascii="宋体" w:hAnsi="宋体" w:eastAsia="宋体" w:cs="宋体"/>
                <w:sz w:val="24"/>
                <w:szCs w:val="24"/>
                <w:highlight w:val="none"/>
                <w:lang w:val="en-US" w:eastAsia="zh-CN"/>
              </w:rPr>
              <w:t>将被否决，</w:t>
            </w:r>
            <w:r>
              <w:rPr>
                <w:rFonts w:hint="eastAsia" w:ascii="宋体" w:hAnsi="宋体" w:eastAsia="宋体" w:cs="宋体"/>
                <w:sz w:val="24"/>
                <w:szCs w:val="24"/>
                <w:highlight w:val="none"/>
              </w:rPr>
              <w:t>（如假证书、假业绩、假合同、隐瞒不良行为记录、夸大荣誉、使用非本单位在职员工的相关证件及不符合</w:t>
            </w:r>
            <w:r>
              <w:rPr>
                <w:rFonts w:hint="eastAsia" w:ascii="宋体" w:hAnsi="宋体" w:eastAsia="宋体" w:cs="宋体"/>
                <w:sz w:val="24"/>
                <w:szCs w:val="24"/>
                <w:highlight w:val="none"/>
                <w:lang w:eastAsia="zh-CN"/>
              </w:rPr>
              <w:t>采购文件</w:t>
            </w:r>
            <w:r>
              <w:rPr>
                <w:rFonts w:hint="eastAsia" w:ascii="宋体" w:hAnsi="宋体" w:eastAsia="宋体" w:cs="宋体"/>
                <w:sz w:val="24"/>
                <w:szCs w:val="24"/>
                <w:highlight w:val="none"/>
              </w:rPr>
              <w:t>规定的条款等）；在签订合同之前</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如发现</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w:t>
            </w:r>
            <w:r>
              <w:rPr>
                <w:rFonts w:hint="eastAsia" w:ascii="宋体" w:hAnsi="宋体" w:eastAsia="宋体" w:cs="宋体"/>
                <w:sz w:val="24"/>
                <w:szCs w:val="24"/>
                <w:highlight w:val="none"/>
                <w:lang w:eastAsia="zh-CN"/>
              </w:rPr>
              <w:t>响应文件</w:t>
            </w:r>
            <w:r>
              <w:rPr>
                <w:rFonts w:hint="eastAsia" w:ascii="宋体" w:hAnsi="宋体" w:eastAsia="宋体" w:cs="宋体"/>
                <w:sz w:val="24"/>
                <w:szCs w:val="24"/>
                <w:highlight w:val="none"/>
              </w:rPr>
              <w:t>有弄虚作假内容</w:t>
            </w:r>
            <w:r>
              <w:rPr>
                <w:rFonts w:hint="eastAsia" w:ascii="宋体" w:hAnsi="宋体" w:eastAsia="宋体" w:cs="宋体"/>
                <w:sz w:val="24"/>
                <w:szCs w:val="24"/>
                <w:highlight w:val="none"/>
                <w:lang w:eastAsia="zh-CN"/>
              </w:rPr>
              <w:t>，采购人</w:t>
            </w:r>
            <w:r>
              <w:rPr>
                <w:rFonts w:hint="eastAsia" w:ascii="宋体" w:hAnsi="宋体" w:eastAsia="宋体" w:cs="宋体"/>
                <w:sz w:val="24"/>
                <w:szCs w:val="24"/>
                <w:highlight w:val="none"/>
              </w:rPr>
              <w:t>可拒绝与其签订合同，以上情形将书面上报财政部门，按照《政府采购法》第七十七条规定“列入不良行为记录名单”处理。</w:t>
            </w:r>
          </w:p>
          <w:p w14:paraId="16DB69DB">
            <w:pP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本项目所述时间以政采云平台服务器时间为准。</w:t>
            </w:r>
          </w:p>
          <w:p w14:paraId="26147939">
            <w:pP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针对同一项目</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不同</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使用同一计算机制作并生成电子</w:t>
            </w:r>
            <w:r>
              <w:rPr>
                <w:rFonts w:hint="eastAsia" w:ascii="宋体" w:hAnsi="宋体" w:eastAsia="宋体" w:cs="宋体"/>
                <w:sz w:val="24"/>
                <w:szCs w:val="24"/>
                <w:highlight w:val="none"/>
                <w:lang w:eastAsia="zh-CN"/>
              </w:rPr>
              <w:t>响应文件</w:t>
            </w:r>
            <w:r>
              <w:rPr>
                <w:rFonts w:hint="eastAsia" w:ascii="宋体" w:hAnsi="宋体" w:eastAsia="宋体" w:cs="宋体"/>
                <w:sz w:val="24"/>
                <w:szCs w:val="24"/>
                <w:highlight w:val="none"/>
              </w:rPr>
              <w:t>的视为文件制作机器码（mac地址）一致</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不同</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使用同一</w:t>
            </w:r>
            <w:r>
              <w:rPr>
                <w:rFonts w:hint="eastAsia" w:ascii="宋体" w:hAnsi="宋体" w:eastAsia="宋体" w:cs="宋体"/>
                <w:sz w:val="24"/>
                <w:szCs w:val="24"/>
                <w:highlight w:val="none"/>
                <w:lang w:eastAsia="zh-CN"/>
              </w:rPr>
              <w:t>响应文件</w:t>
            </w:r>
            <w:r>
              <w:rPr>
                <w:rFonts w:hint="eastAsia" w:ascii="宋体" w:hAnsi="宋体" w:eastAsia="宋体" w:cs="宋体"/>
                <w:sz w:val="24"/>
                <w:szCs w:val="24"/>
                <w:highlight w:val="none"/>
              </w:rPr>
              <w:t>的过程稿制作并生成电子</w:t>
            </w:r>
            <w:r>
              <w:rPr>
                <w:rFonts w:hint="eastAsia" w:ascii="宋体" w:hAnsi="宋体" w:eastAsia="宋体" w:cs="宋体"/>
                <w:sz w:val="24"/>
                <w:szCs w:val="24"/>
                <w:highlight w:val="none"/>
                <w:lang w:eastAsia="zh-CN"/>
              </w:rPr>
              <w:t>响应文件</w:t>
            </w:r>
            <w:r>
              <w:rPr>
                <w:rFonts w:hint="eastAsia" w:ascii="宋体" w:hAnsi="宋体" w:eastAsia="宋体" w:cs="宋体"/>
                <w:sz w:val="24"/>
                <w:szCs w:val="24"/>
                <w:highlight w:val="none"/>
              </w:rPr>
              <w:t>的视为文件创建标识码一致。上述两种情形</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一经发现</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视为</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相互串通投标</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将导致投标均被拒绝且按串通投标处理。</w:t>
            </w:r>
          </w:p>
          <w:p w14:paraId="7E948E38">
            <w:pP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6.本次招标中所称“较大数额罚款”具体适用问题的意见（财库[2022]3 号 ）：本项目初步评审中所称“重大违法记录”，是指投标人因违法经营受到刑事处罚或者责令停产停业、吊销许可证或者执照、较大数额罚款等行政处罚。所称“较大数额罚款”认定为 200万元以上的罚款。</w:t>
            </w:r>
          </w:p>
          <w:p w14:paraId="53BFE29C">
            <w:pP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7.投标人负责服务项目过程中的车辆、人员</w:t>
            </w:r>
            <w:r>
              <w:rPr>
                <w:rFonts w:hint="eastAsia" w:cs="宋体"/>
                <w:sz w:val="24"/>
                <w:szCs w:val="24"/>
                <w:highlight w:val="none"/>
                <w:lang w:val="en-US" w:eastAsia="zh-CN"/>
              </w:rPr>
              <w:t>等</w:t>
            </w:r>
            <w:r>
              <w:rPr>
                <w:rFonts w:hint="eastAsia" w:ascii="宋体" w:hAnsi="宋体" w:eastAsia="宋体" w:cs="宋体"/>
                <w:sz w:val="24"/>
                <w:szCs w:val="24"/>
                <w:highlight w:val="none"/>
                <w:lang w:val="en-US" w:eastAsia="zh-CN"/>
              </w:rPr>
              <w:t>的其他相关费用，包括但不限于车辆保险、人身意外保险等，均由成交投标人承担，采购人不在支付其他任何费用。</w:t>
            </w:r>
          </w:p>
          <w:p w14:paraId="02E03605">
            <w:pP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8.无论何种原因，因投标人在响应文件中提供的相关资料（开标、评标相关数据和资料）模糊无法辨认的，一律视同其未提供。</w:t>
            </w:r>
          </w:p>
          <w:p w14:paraId="755320C5">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lang w:eastAsia="zh-CN"/>
              </w:rPr>
              <w:t>请投标单位在开标截止时间至少半小时前提前登录不见面开标大厅确保电脑、网络、浏览器正常，若发生因投标人自身网络、设备的问题造成的响应文件无法解密等情况，导致投标被拒的情况由投标单位自行承担。</w:t>
            </w:r>
          </w:p>
          <w:p w14:paraId="2B77FA07">
            <w:pPr>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sz w:val="24"/>
                <w:szCs w:val="24"/>
                <w:highlight w:val="none"/>
                <w:lang w:val="en-US" w:eastAsia="zh-CN"/>
              </w:rPr>
              <w:t>10.评审小组的组成：5人，其中招标人代表人1人，专家4人；评委确定方式:计算机随机从政采云专家库抽取。</w:t>
            </w:r>
          </w:p>
        </w:tc>
      </w:tr>
      <w:tr w14:paraId="0C2269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jc w:val="center"/>
        </w:trPr>
        <w:tc>
          <w:tcPr>
            <w:tcW w:w="9408" w:type="dxa"/>
            <w:gridSpan w:val="3"/>
            <w:vAlign w:val="center"/>
          </w:tcPr>
          <w:p w14:paraId="16CF3F9F">
            <w:pPr>
              <w:pStyle w:val="5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备注:</w:t>
            </w:r>
          </w:p>
          <w:p w14:paraId="1ECD6A03">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除本招标文件另有规定外，招标文件中出现的类似于“近三年”或“前三年”、“近五年”或“前五年”均指递交投标文件</w:t>
            </w:r>
            <w:r>
              <w:rPr>
                <w:rFonts w:hint="eastAsia" w:ascii="宋体" w:hAnsi="宋体" w:eastAsia="宋体" w:cs="宋体"/>
                <w:color w:val="auto"/>
                <w:sz w:val="24"/>
                <w:szCs w:val="24"/>
                <w:highlight w:val="none"/>
                <w:lang w:val="en-US" w:eastAsia="zh-CN"/>
              </w:rPr>
              <w:t>截止</w:t>
            </w: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lang w:val="en-US" w:eastAsia="zh-CN"/>
              </w:rPr>
              <w:t>之</w:t>
            </w:r>
            <w:r>
              <w:rPr>
                <w:rFonts w:hint="eastAsia" w:ascii="宋体" w:hAnsi="宋体" w:eastAsia="宋体" w:cs="宋体"/>
                <w:color w:val="auto"/>
                <w:sz w:val="24"/>
                <w:szCs w:val="24"/>
                <w:highlight w:val="none"/>
              </w:rPr>
              <w:t>前三年或前五年，以此类推。如：递交投标文件时间为  年  月  日，则“近三年”是指  年  月  日至  年  月  日。</w:t>
            </w:r>
          </w:p>
          <w:p w14:paraId="6F66C892">
            <w:pPr>
              <w:pStyle w:val="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本招标文件所称的“以上”、“以下”、“内”、“以内”，包括本数；所称的“不足”，不包括本数。</w:t>
            </w:r>
          </w:p>
        </w:tc>
      </w:tr>
    </w:tbl>
    <w:p w14:paraId="452C548F">
      <w:pPr>
        <w:rPr>
          <w:color w:val="auto"/>
          <w:highlight w:val="none"/>
        </w:rPr>
      </w:pPr>
      <w:r>
        <w:rPr>
          <w:color w:val="auto"/>
          <w:highlight w:val="none"/>
        </w:rPr>
        <w:br w:type="page"/>
      </w:r>
    </w:p>
    <w:p w14:paraId="410914FC">
      <w:pPr>
        <w:pStyle w:val="4"/>
        <w:keepNext/>
        <w:keepLines/>
        <w:pageBreakBefore w:val="0"/>
        <w:widowControl w:val="0"/>
        <w:numPr>
          <w:ilvl w:val="0"/>
          <w:numId w:val="0"/>
        </w:numPr>
        <w:kinsoku/>
        <w:wordWrap/>
        <w:overflowPunct/>
        <w:topLinePunct w:val="0"/>
        <w:autoSpaceDE/>
        <w:autoSpaceDN/>
        <w:bidi w:val="0"/>
        <w:adjustRightInd/>
        <w:snapToGrid/>
        <w:spacing w:before="80" w:after="8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113" w:name="_Toc15085"/>
      <w:bookmarkStart w:id="114" w:name="_Toc155185869"/>
      <w:r>
        <w:rPr>
          <w:rFonts w:hint="eastAsia" w:eastAsia="宋体" w:asciiTheme="majorHAnsi" w:hAnsiTheme="majorHAnsi" w:cstheme="majorBidi"/>
          <w:b/>
          <w:bCs/>
          <w:color w:val="auto"/>
          <w:kern w:val="2"/>
          <w:sz w:val="28"/>
          <w:szCs w:val="28"/>
          <w:highlight w:val="none"/>
          <w:lang w:val="en-US" w:eastAsia="zh-CN" w:bidi="ar-SA"/>
        </w:rPr>
        <w:t>二、投标人须知</w:t>
      </w:r>
      <w:bookmarkEnd w:id="113"/>
      <w:bookmarkEnd w:id="114"/>
    </w:p>
    <w:p w14:paraId="604D77A9">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宋体"/>
          <w:color w:val="auto"/>
          <w:sz w:val="24"/>
          <w:highlight w:val="none"/>
        </w:rPr>
      </w:pPr>
      <w:bookmarkStart w:id="115" w:name="_Toc155185870"/>
      <w:bookmarkStart w:id="116" w:name="_Toc27686"/>
      <w:bookmarkStart w:id="117" w:name="_Toc26743"/>
      <w:bookmarkStart w:id="118" w:name="_Toc23355"/>
      <w:bookmarkStart w:id="119" w:name="_Toc163492822"/>
      <w:bookmarkStart w:id="120" w:name="_Toc26511"/>
      <w:bookmarkStart w:id="121" w:name="_Toc27067"/>
      <w:r>
        <w:rPr>
          <w:rFonts w:hint="eastAsia" w:ascii="宋体" w:hAnsi="宋体" w:eastAsia="宋体" w:cs="宋体"/>
          <w:b/>
          <w:bCs/>
          <w:color w:val="auto"/>
          <w:kern w:val="2"/>
          <w:sz w:val="24"/>
          <w:szCs w:val="32"/>
          <w:highlight w:val="none"/>
          <w:lang w:val="en-US" w:eastAsia="zh-CN" w:bidi="ar-SA"/>
        </w:rPr>
        <w:t>（一）</w:t>
      </w:r>
      <w:r>
        <w:rPr>
          <w:rFonts w:hint="eastAsia" w:ascii="宋体" w:hAnsi="宋体" w:eastAsia="宋体" w:cs="宋体"/>
          <w:color w:val="auto"/>
          <w:sz w:val="24"/>
          <w:highlight w:val="none"/>
        </w:rPr>
        <w:t>总则</w:t>
      </w:r>
      <w:bookmarkEnd w:id="115"/>
      <w:bookmarkEnd w:id="116"/>
      <w:bookmarkEnd w:id="117"/>
      <w:bookmarkEnd w:id="118"/>
      <w:bookmarkEnd w:id="119"/>
      <w:bookmarkEnd w:id="120"/>
      <w:bookmarkEnd w:id="121"/>
    </w:p>
    <w:p w14:paraId="788765C9">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color w:val="auto"/>
          <w:sz w:val="24"/>
          <w:highlight w:val="none"/>
        </w:rPr>
      </w:pPr>
      <w:bookmarkStart w:id="122" w:name="_Toc163492823"/>
      <w:bookmarkStart w:id="123" w:name="_Toc1815"/>
      <w:bookmarkStart w:id="124" w:name="_Toc31233"/>
      <w:bookmarkStart w:id="125" w:name="_Toc155095689"/>
      <w:bookmarkStart w:id="126" w:name="_Toc109900469"/>
      <w:bookmarkStart w:id="127" w:name="_Toc26566"/>
      <w:bookmarkStart w:id="128" w:name="_Toc109900050"/>
      <w:bookmarkStart w:id="129" w:name="_Toc109897532"/>
      <w:bookmarkStart w:id="130" w:name="_Toc8451"/>
      <w:bookmarkStart w:id="131" w:name="_Toc29103"/>
      <w:bookmarkStart w:id="132" w:name="_Toc9584"/>
      <w:bookmarkStart w:id="133" w:name="_Toc109899631"/>
      <w:r>
        <w:rPr>
          <w:rFonts w:hint="eastAsia" w:ascii="宋体" w:hAnsi="宋体" w:eastAsia="宋体" w:cs="宋体"/>
          <w:b/>
          <w:bCs/>
          <w:color w:val="auto"/>
          <w:kern w:val="2"/>
          <w:sz w:val="24"/>
          <w:szCs w:val="28"/>
          <w:highlight w:val="none"/>
          <w:lang w:val="en-US" w:eastAsia="zh-CN" w:bidi="ar-SA"/>
        </w:rPr>
        <w:t>1.</w:t>
      </w:r>
      <w:r>
        <w:rPr>
          <w:rFonts w:hint="eastAsia" w:ascii="宋体" w:hAnsi="宋体" w:eastAsia="宋体" w:cs="宋体"/>
          <w:color w:val="auto"/>
          <w:sz w:val="24"/>
          <w:highlight w:val="none"/>
        </w:rPr>
        <w:t>适用范围</w:t>
      </w:r>
      <w:bookmarkEnd w:id="122"/>
      <w:bookmarkEnd w:id="123"/>
      <w:bookmarkEnd w:id="124"/>
      <w:bookmarkEnd w:id="125"/>
      <w:bookmarkEnd w:id="126"/>
      <w:bookmarkEnd w:id="127"/>
      <w:bookmarkEnd w:id="128"/>
      <w:bookmarkEnd w:id="129"/>
      <w:bookmarkEnd w:id="130"/>
      <w:bookmarkEnd w:id="131"/>
      <w:bookmarkEnd w:id="132"/>
      <w:bookmarkEnd w:id="133"/>
    </w:p>
    <w:p w14:paraId="38963635">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highlight w:val="none"/>
        </w:rPr>
      </w:pPr>
      <w:r>
        <w:rPr>
          <w:rFonts w:hint="eastAsia" w:ascii="宋体" w:hAnsi="宋体" w:eastAsia="宋体" w:cs="宋体"/>
          <w:snapToGrid w:val="0"/>
          <w:color w:val="auto"/>
          <w:sz w:val="24"/>
          <w:highlight w:val="none"/>
        </w:rPr>
        <w:t>1.1本招标文件仅适用于本项目的采购活动。</w:t>
      </w:r>
    </w:p>
    <w:p w14:paraId="34F08411">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34" w:name="_Toc26282"/>
      <w:bookmarkStart w:id="135" w:name="_Toc11923"/>
      <w:bookmarkStart w:id="136" w:name="_Toc20400"/>
      <w:bookmarkStart w:id="137" w:name="_Toc32274"/>
      <w:bookmarkStart w:id="138" w:name="_Toc163492824"/>
      <w:bookmarkStart w:id="139" w:name="_Toc10987"/>
      <w:r>
        <w:rPr>
          <w:rFonts w:hint="eastAsia" w:ascii="宋体" w:hAnsi="宋体" w:eastAsia="宋体" w:cs="宋体"/>
          <w:b/>
          <w:bCs/>
          <w:color w:val="auto"/>
          <w:kern w:val="2"/>
          <w:sz w:val="24"/>
          <w:szCs w:val="28"/>
          <w:highlight w:val="none"/>
          <w:lang w:val="en-US" w:eastAsia="zh-CN" w:bidi="ar-SA"/>
        </w:rPr>
        <w:t>2.基本定义</w:t>
      </w:r>
      <w:bookmarkEnd w:id="134"/>
      <w:bookmarkEnd w:id="135"/>
      <w:bookmarkEnd w:id="136"/>
      <w:bookmarkEnd w:id="137"/>
      <w:bookmarkEnd w:id="138"/>
      <w:bookmarkEnd w:id="139"/>
    </w:p>
    <w:p w14:paraId="768D70C2">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2.1根据《中华人民共和国政府采购法》及其实施条例等有关法律、法规和规章的规定，制定本招标文件。</w:t>
      </w:r>
    </w:p>
    <w:p w14:paraId="342EC44E">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eastAsia="宋体"/>
          <w:color w:val="auto"/>
          <w:sz w:val="24"/>
          <w:highlight w:val="none"/>
        </w:rPr>
      </w:pPr>
      <w:r>
        <w:rPr>
          <w:rFonts w:hint="eastAsia" w:eastAsia="宋体"/>
          <w:color w:val="auto"/>
          <w:sz w:val="24"/>
          <w:highlight w:val="none"/>
        </w:rPr>
        <w:t>2.2采购人：</w:t>
      </w:r>
      <w:r>
        <w:rPr>
          <w:rFonts w:hint="eastAsia" w:ascii="宋体" w:hAnsi="宋体" w:eastAsia="宋体" w:cs="宋体"/>
          <w:color w:val="auto"/>
          <w:kern w:val="0"/>
          <w:sz w:val="24"/>
          <w:szCs w:val="24"/>
          <w:highlight w:val="none"/>
          <w:lang w:val="en-US" w:eastAsia="zh-CN" w:bidi="ar"/>
        </w:rPr>
        <w:t>指依法进行政府采购的国家机关、事业单位、团体组织</w:t>
      </w:r>
      <w:r>
        <w:rPr>
          <w:rFonts w:hint="eastAsia" w:eastAsia="宋体"/>
          <w:color w:val="auto"/>
          <w:sz w:val="24"/>
          <w:highlight w:val="none"/>
        </w:rPr>
        <w:t>。</w:t>
      </w:r>
    </w:p>
    <w:p w14:paraId="429A3EF6">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eastAsia="宋体"/>
          <w:color w:val="auto"/>
          <w:sz w:val="24"/>
          <w:highlight w:val="none"/>
        </w:rPr>
      </w:pPr>
      <w:r>
        <w:rPr>
          <w:rFonts w:hint="eastAsia" w:eastAsia="宋体"/>
          <w:color w:val="auto"/>
          <w:sz w:val="24"/>
          <w:highlight w:val="none"/>
        </w:rPr>
        <w:t>2.3采购代理机构：</w:t>
      </w:r>
      <w:r>
        <w:rPr>
          <w:rFonts w:hint="eastAsia" w:ascii="宋体" w:hAnsi="宋体" w:eastAsia="宋体" w:cs="宋体"/>
          <w:color w:val="auto"/>
          <w:kern w:val="0"/>
          <w:sz w:val="24"/>
          <w:szCs w:val="24"/>
          <w:highlight w:val="none"/>
          <w:lang w:val="en-US" w:eastAsia="zh-CN" w:bidi="ar"/>
        </w:rPr>
        <w:t>指依法进行政府采购的国家机关、事业单位、团体组织</w:t>
      </w:r>
      <w:r>
        <w:rPr>
          <w:rFonts w:hint="eastAsia" w:eastAsia="宋体"/>
          <w:color w:val="auto"/>
          <w:sz w:val="24"/>
          <w:highlight w:val="none"/>
          <w:lang w:val="en-US" w:eastAsia="zh-CN"/>
        </w:rPr>
        <w:t>委托的采购代理机构</w:t>
      </w:r>
      <w:r>
        <w:rPr>
          <w:rFonts w:hint="eastAsia" w:eastAsia="宋体"/>
          <w:color w:val="auto"/>
          <w:sz w:val="24"/>
          <w:highlight w:val="none"/>
        </w:rPr>
        <w:t>。</w:t>
      </w:r>
    </w:p>
    <w:p w14:paraId="26D50742">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2.4政府采购监督管理部门：各级人民政府财政部门是负责政府采购监督管理的部门，依法履行对政府采购活动的监督管理职责。各级人民政府其他有关部门依法履行与政府采购活动有关的监督管理职责。</w:t>
      </w:r>
    </w:p>
    <w:p w14:paraId="18E21DAA">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2.5 核心产品见</w:t>
      </w:r>
      <w:r>
        <w:rPr>
          <w:rFonts w:hint="eastAsia" w:eastAsia="宋体"/>
          <w:color w:val="auto"/>
          <w:sz w:val="24"/>
          <w:highlight w:val="none"/>
        </w:rPr>
        <w:t>“投标人须知前附表”</w:t>
      </w:r>
      <w:r>
        <w:rPr>
          <w:rFonts w:hint="eastAsia" w:eastAsia="宋体"/>
          <w:color w:val="auto"/>
          <w:sz w:val="24"/>
          <w:highlight w:val="none"/>
          <w:lang w:val="en-US" w:eastAsia="zh-CN"/>
        </w:rPr>
        <w:t>。</w:t>
      </w:r>
    </w:p>
    <w:p w14:paraId="6557BF30">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2.6是否属于</w:t>
      </w:r>
      <w:r>
        <w:rPr>
          <w:rFonts w:ascii="FZShuSong-Z01" w:hAnsi="FZShuSong-Z01" w:eastAsia="宋体" w:cs="FZShuSong-Z01"/>
          <w:color w:val="auto"/>
          <w:kern w:val="0"/>
          <w:sz w:val="24"/>
          <w:szCs w:val="24"/>
          <w:highlight w:val="none"/>
          <w:lang w:val="en-US" w:eastAsia="zh-CN" w:bidi="ar"/>
        </w:rPr>
        <w:t>科研仪器设备</w:t>
      </w:r>
      <w:r>
        <w:rPr>
          <w:rFonts w:hint="eastAsia" w:ascii="FZShuSong-Z01" w:hAnsi="FZShuSong-Z01" w:eastAsia="宋体" w:cs="FZShuSong-Z01"/>
          <w:color w:val="auto"/>
          <w:kern w:val="0"/>
          <w:sz w:val="24"/>
          <w:szCs w:val="24"/>
          <w:highlight w:val="none"/>
          <w:lang w:val="en-US" w:eastAsia="zh-CN" w:bidi="ar"/>
        </w:rPr>
        <w:t>采购</w:t>
      </w:r>
      <w:r>
        <w:rPr>
          <w:rFonts w:hint="eastAsia" w:eastAsia="宋体"/>
          <w:color w:val="auto"/>
          <w:sz w:val="24"/>
          <w:highlight w:val="none"/>
          <w:lang w:val="en-US" w:eastAsia="zh-CN"/>
        </w:rPr>
        <w:t>见</w:t>
      </w:r>
      <w:r>
        <w:rPr>
          <w:rFonts w:hint="eastAsia" w:eastAsia="宋体"/>
          <w:color w:val="auto"/>
          <w:sz w:val="24"/>
          <w:highlight w:val="none"/>
        </w:rPr>
        <w:t>“</w:t>
      </w:r>
      <w:r>
        <w:rPr>
          <w:rFonts w:hint="eastAsia" w:eastAsia="宋体"/>
          <w:color w:val="auto"/>
          <w:sz w:val="24"/>
          <w:highlight w:val="none"/>
          <w:lang w:val="en-US" w:eastAsia="zh-CN"/>
        </w:rPr>
        <w:t>投标人</w:t>
      </w:r>
      <w:r>
        <w:rPr>
          <w:rFonts w:hint="eastAsia" w:eastAsia="宋体"/>
          <w:color w:val="auto"/>
          <w:sz w:val="24"/>
          <w:highlight w:val="none"/>
        </w:rPr>
        <w:t>须知前附表”</w:t>
      </w:r>
      <w:r>
        <w:rPr>
          <w:rFonts w:hint="eastAsia" w:eastAsia="宋体"/>
          <w:color w:val="auto"/>
          <w:sz w:val="24"/>
          <w:highlight w:val="none"/>
          <w:lang w:val="en-US" w:eastAsia="zh-CN"/>
        </w:rPr>
        <w:t>。</w:t>
      </w:r>
    </w:p>
    <w:p w14:paraId="214DD75F">
      <w:pPr>
        <w:ind w:firstLine="480" w:firstLineChars="200"/>
        <w:rPr>
          <w:rFonts w:eastAsia="宋体"/>
          <w:color w:val="auto"/>
          <w:sz w:val="24"/>
          <w:highlight w:val="none"/>
        </w:rPr>
      </w:pPr>
      <w:r>
        <w:rPr>
          <w:rFonts w:hint="eastAsia" w:eastAsia="宋体"/>
          <w:iCs/>
          <w:color w:val="auto"/>
          <w:sz w:val="24"/>
          <w:highlight w:val="none"/>
          <w:shd w:val="clear" w:color="auto" w:fill="FFFFFF" w:themeFill="background1"/>
        </w:rPr>
        <w:t>2.</w:t>
      </w:r>
      <w:r>
        <w:rPr>
          <w:rFonts w:hint="eastAsia" w:eastAsia="宋体"/>
          <w:iCs/>
          <w:color w:val="auto"/>
          <w:sz w:val="24"/>
          <w:highlight w:val="none"/>
          <w:shd w:val="clear" w:color="auto" w:fill="FFFFFF" w:themeFill="background1"/>
          <w:lang w:val="en-US" w:eastAsia="zh-CN"/>
        </w:rPr>
        <w:t>7</w:t>
      </w:r>
      <w:r>
        <w:rPr>
          <w:rFonts w:hint="eastAsia" w:eastAsia="宋体"/>
          <w:iCs/>
          <w:color w:val="auto"/>
          <w:sz w:val="24"/>
          <w:highlight w:val="none"/>
          <w:shd w:val="clear" w:color="auto" w:fill="FFFFFF" w:themeFill="background1"/>
        </w:rPr>
        <w:t>投标人（也称“</w:t>
      </w:r>
      <w:r>
        <w:rPr>
          <w:rFonts w:hint="eastAsia" w:eastAsia="宋体"/>
          <w:iCs/>
          <w:color w:val="auto"/>
          <w:sz w:val="24"/>
          <w:highlight w:val="none"/>
          <w:shd w:val="clear" w:color="auto" w:fill="FFFFFF" w:themeFill="background1"/>
          <w:lang w:eastAsia="zh-CN"/>
        </w:rPr>
        <w:t>投标人</w:t>
      </w:r>
      <w:r>
        <w:rPr>
          <w:rFonts w:hint="eastAsia" w:eastAsia="宋体"/>
          <w:iCs/>
          <w:color w:val="auto"/>
          <w:sz w:val="24"/>
          <w:highlight w:val="none"/>
          <w:shd w:val="clear" w:color="auto" w:fill="FFFFFF" w:themeFill="background1"/>
        </w:rPr>
        <w:t>”、“申请人”）：指向采购人提供货物、工程或者服务的法人、其他组织或者自然人。</w:t>
      </w:r>
      <w:r>
        <w:rPr>
          <w:rFonts w:hint="eastAsia" w:eastAsia="宋体"/>
          <w:color w:val="auto"/>
          <w:sz w:val="24"/>
          <w:highlight w:val="none"/>
        </w:rPr>
        <w:t>分支机构不得参加政府采购活动，但银行、保险、石油石化、电力、电信等</w:t>
      </w:r>
      <w:r>
        <w:rPr>
          <w:rFonts w:hint="eastAsia" w:eastAsia="宋体"/>
          <w:color w:val="auto"/>
          <w:sz w:val="24"/>
          <w:highlight w:val="none"/>
          <w:lang w:val="en-US" w:eastAsia="zh-CN"/>
        </w:rPr>
        <w:t>有</w:t>
      </w:r>
      <w:r>
        <w:rPr>
          <w:rFonts w:hint="eastAsia" w:eastAsia="宋体"/>
          <w:color w:val="auto"/>
          <w:sz w:val="24"/>
          <w:highlight w:val="none"/>
        </w:rPr>
        <w:t>行业特殊</w:t>
      </w:r>
      <w:r>
        <w:rPr>
          <w:rFonts w:hint="eastAsia" w:eastAsia="宋体"/>
          <w:color w:val="auto"/>
          <w:sz w:val="24"/>
          <w:highlight w:val="none"/>
          <w:lang w:val="en-US" w:eastAsia="zh-CN"/>
        </w:rPr>
        <w:t>情况的</w:t>
      </w:r>
      <w:r>
        <w:rPr>
          <w:rFonts w:hint="eastAsia" w:eastAsia="宋体"/>
          <w:color w:val="auto"/>
          <w:sz w:val="24"/>
          <w:highlight w:val="none"/>
        </w:rPr>
        <w:t>除外。</w:t>
      </w:r>
      <w:r>
        <w:rPr>
          <w:rFonts w:eastAsia="宋体"/>
          <w:color w:val="auto"/>
          <w:sz w:val="24"/>
          <w:highlight w:val="none"/>
        </w:rPr>
        <w:t>本项目的投标人须满足以下条件：</w:t>
      </w:r>
    </w:p>
    <w:p w14:paraId="2518C535">
      <w:pPr>
        <w:ind w:firstLine="480" w:firstLineChars="200"/>
        <w:rPr>
          <w:rFonts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7</w:t>
      </w:r>
      <w:r>
        <w:rPr>
          <w:rFonts w:eastAsia="宋体"/>
          <w:color w:val="auto"/>
          <w:sz w:val="24"/>
          <w:highlight w:val="none"/>
        </w:rPr>
        <w:t>.</w:t>
      </w:r>
      <w:r>
        <w:rPr>
          <w:rFonts w:hint="eastAsia" w:eastAsia="宋体"/>
          <w:color w:val="auto"/>
          <w:sz w:val="24"/>
          <w:highlight w:val="none"/>
        </w:rPr>
        <w:t>1</w:t>
      </w:r>
      <w:r>
        <w:rPr>
          <w:rFonts w:eastAsia="宋体"/>
          <w:color w:val="auto"/>
          <w:sz w:val="24"/>
          <w:highlight w:val="none"/>
        </w:rPr>
        <w:t>具备《中华人民共和国政府采购法》第二十二条规定的</w:t>
      </w:r>
      <w:r>
        <w:rPr>
          <w:rFonts w:hint="eastAsia" w:eastAsia="宋体"/>
          <w:color w:val="auto"/>
          <w:sz w:val="24"/>
          <w:highlight w:val="none"/>
        </w:rPr>
        <w:t>条件</w:t>
      </w:r>
      <w:r>
        <w:rPr>
          <w:rFonts w:eastAsia="宋体"/>
          <w:color w:val="auto"/>
          <w:sz w:val="24"/>
          <w:highlight w:val="none"/>
        </w:rPr>
        <w:t>，遵守本项目采购人本级和上级财政部门政府采购的有关规定。</w:t>
      </w:r>
    </w:p>
    <w:p w14:paraId="76745163">
      <w:pPr>
        <w:ind w:firstLine="480" w:firstLineChars="200"/>
        <w:rPr>
          <w:rFonts w:hint="eastAsia"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.2以招标公告中发布的方式依法获得了本项目的招标文件。</w:t>
      </w:r>
    </w:p>
    <w:p w14:paraId="0DE24F0D">
      <w:pPr>
        <w:ind w:firstLine="480" w:firstLineChars="200"/>
        <w:rPr>
          <w:rFonts w:hint="eastAsia" w:eastAsia="宋体"/>
          <w:color w:val="auto"/>
          <w:sz w:val="24"/>
          <w:highlight w:val="none"/>
          <w:lang w:val="en-US" w:eastAsia="zh-CN"/>
        </w:rPr>
      </w:pPr>
      <w:r>
        <w:rPr>
          <w:rFonts w:hint="eastAsia" w:eastAsia="宋体"/>
          <w:color w:val="auto"/>
          <w:sz w:val="24"/>
          <w:highlight w:val="none"/>
          <w:lang w:val="en-US" w:eastAsia="zh-CN"/>
        </w:rPr>
        <w:t>2.7.3符合本招标文件规定并参加投标的投标人。</w:t>
      </w:r>
    </w:p>
    <w:p w14:paraId="5FC27D1B">
      <w:pPr>
        <w:spacing w:line="360" w:lineRule="auto"/>
        <w:ind w:firstLine="480" w:firstLineChars="200"/>
        <w:rPr>
          <w:rFonts w:hint="default" w:eastAsia="宋体"/>
          <w:color w:val="auto"/>
          <w:sz w:val="24"/>
          <w:highlight w:val="none"/>
          <w:lang w:val="en-US" w:eastAsia="zh-CN"/>
        </w:rPr>
      </w:pPr>
      <w:r>
        <w:rPr>
          <w:rFonts w:hint="eastAsia" w:eastAsia="宋体"/>
          <w:color w:val="auto"/>
          <w:sz w:val="24"/>
          <w:highlight w:val="none"/>
          <w:lang w:val="en-US" w:eastAsia="zh-CN"/>
        </w:rPr>
        <w:t>2.8</w:t>
      </w:r>
      <w:r>
        <w:rPr>
          <w:rFonts w:hint="eastAsia" w:eastAsia="宋体"/>
          <w:iCs/>
          <w:color w:val="auto"/>
          <w:sz w:val="24"/>
          <w:highlight w:val="none"/>
          <w:shd w:val="clear" w:color="auto" w:fill="FFFFFF" w:themeFill="background1"/>
        </w:rPr>
        <w:t>潜在投标人、潜在</w:t>
      </w:r>
      <w:r>
        <w:rPr>
          <w:rFonts w:hint="eastAsia" w:eastAsia="宋体"/>
          <w:iCs/>
          <w:color w:val="auto"/>
          <w:sz w:val="24"/>
          <w:highlight w:val="none"/>
          <w:shd w:val="clear" w:color="auto" w:fill="FFFFFF" w:themeFill="background1"/>
          <w:lang w:eastAsia="zh-CN"/>
        </w:rPr>
        <w:t>投标人：</w:t>
      </w:r>
      <w:r>
        <w:rPr>
          <w:rFonts w:hint="eastAsia" w:eastAsia="宋体"/>
          <w:iCs/>
          <w:color w:val="auto"/>
          <w:sz w:val="24"/>
          <w:highlight w:val="none"/>
          <w:shd w:val="clear" w:color="auto" w:fill="FFFFFF" w:themeFill="background1"/>
          <w:lang w:val="en-US" w:eastAsia="zh-CN"/>
        </w:rPr>
        <w:t>指</w:t>
      </w:r>
      <w:r>
        <w:rPr>
          <w:rFonts w:hint="eastAsia" w:eastAsia="宋体"/>
          <w:color w:val="auto"/>
          <w:sz w:val="24"/>
          <w:highlight w:val="none"/>
          <w:lang w:val="en-US" w:eastAsia="zh-CN"/>
        </w:rPr>
        <w:t>符合本招标文件规定的投标人。</w:t>
      </w:r>
    </w:p>
    <w:p w14:paraId="7BECD896">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40" w:name="_Toc16368"/>
      <w:bookmarkStart w:id="141" w:name="_Toc163492825"/>
      <w:bookmarkStart w:id="142" w:name="_Toc5535"/>
      <w:bookmarkStart w:id="143" w:name="_Toc28067"/>
      <w:bookmarkStart w:id="144" w:name="_Toc16195"/>
      <w:bookmarkStart w:id="145" w:name="_Toc9283"/>
      <w:bookmarkStart w:id="146" w:name="_Toc140132758"/>
      <w:r>
        <w:rPr>
          <w:rFonts w:hint="eastAsia" w:ascii="宋体" w:hAnsi="宋体" w:eastAsia="宋体" w:cs="宋体"/>
          <w:b/>
          <w:bCs/>
          <w:color w:val="auto"/>
          <w:kern w:val="2"/>
          <w:sz w:val="24"/>
          <w:szCs w:val="28"/>
          <w:highlight w:val="none"/>
          <w:lang w:val="en-US" w:eastAsia="zh-CN" w:bidi="ar-SA"/>
        </w:rPr>
        <w:t>3.资金来源</w:t>
      </w:r>
      <w:bookmarkEnd w:id="140"/>
      <w:bookmarkEnd w:id="141"/>
      <w:bookmarkEnd w:id="142"/>
      <w:bookmarkEnd w:id="143"/>
      <w:bookmarkEnd w:id="144"/>
      <w:bookmarkEnd w:id="145"/>
      <w:bookmarkEnd w:id="146"/>
    </w:p>
    <w:p w14:paraId="76E8C14F">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3.1资金来源：</w:t>
      </w:r>
      <w:r>
        <w:rPr>
          <w:rFonts w:hint="eastAsia" w:eastAsia="宋体"/>
          <w:color w:val="auto"/>
          <w:sz w:val="24"/>
          <w:highlight w:val="none"/>
          <w:lang w:val="en-US" w:eastAsia="zh-CN"/>
        </w:rPr>
        <w:t>为财政性资金即</w:t>
      </w:r>
      <w:r>
        <w:rPr>
          <w:rFonts w:hint="eastAsia" w:eastAsia="宋体"/>
          <w:color w:val="auto"/>
          <w:sz w:val="24"/>
          <w:highlight w:val="none"/>
        </w:rPr>
        <w:t>纳入预算管理的资金</w:t>
      </w:r>
      <w:r>
        <w:rPr>
          <w:rFonts w:hint="eastAsia" w:eastAsia="宋体"/>
          <w:color w:val="auto"/>
          <w:sz w:val="24"/>
          <w:highlight w:val="none"/>
          <w:lang w:eastAsia="zh-CN"/>
        </w:rPr>
        <w:t>。</w:t>
      </w:r>
      <w:r>
        <w:rPr>
          <w:rFonts w:hint="eastAsia" w:eastAsia="宋体"/>
          <w:color w:val="auto"/>
          <w:sz w:val="24"/>
          <w:highlight w:val="none"/>
        </w:rPr>
        <w:t>以财政性资金作为还款来源的借贷资金，视同财政性资金。财政性资金与非财政性资金无法分割采购的，统一适用《中华人民共和国政府采购法》及其实施条例。</w:t>
      </w:r>
    </w:p>
    <w:p w14:paraId="17722C40">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47" w:name="_Toc17305"/>
      <w:bookmarkStart w:id="148" w:name="_Toc140132760"/>
      <w:bookmarkStart w:id="149" w:name="_Toc23672"/>
      <w:bookmarkStart w:id="150" w:name="_Toc4999"/>
      <w:bookmarkStart w:id="151" w:name="_Toc14888"/>
      <w:bookmarkStart w:id="152" w:name="_Toc163492826"/>
      <w:bookmarkStart w:id="153" w:name="_Toc16314"/>
      <w:r>
        <w:rPr>
          <w:rFonts w:hint="eastAsia" w:ascii="宋体" w:hAnsi="宋体" w:eastAsia="宋体" w:cs="宋体"/>
          <w:b/>
          <w:bCs/>
          <w:color w:val="auto"/>
          <w:kern w:val="2"/>
          <w:sz w:val="24"/>
          <w:szCs w:val="28"/>
          <w:highlight w:val="none"/>
          <w:lang w:val="en-US" w:eastAsia="zh-CN" w:bidi="ar-SA"/>
        </w:rPr>
        <w:t>4.投标人资格要求</w:t>
      </w:r>
      <w:bookmarkEnd w:id="147"/>
      <w:bookmarkEnd w:id="148"/>
      <w:bookmarkEnd w:id="149"/>
      <w:bookmarkEnd w:id="150"/>
      <w:bookmarkEnd w:id="151"/>
      <w:bookmarkEnd w:id="152"/>
      <w:bookmarkEnd w:id="153"/>
    </w:p>
    <w:p w14:paraId="522AD9C1">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4.1投标人资格要求：见“</w:t>
      </w:r>
      <w:r>
        <w:rPr>
          <w:rFonts w:hint="eastAsia" w:eastAsia="宋体"/>
          <w:color w:val="auto"/>
          <w:sz w:val="24"/>
          <w:highlight w:val="none"/>
          <w:lang w:val="en-US" w:eastAsia="zh-CN"/>
        </w:rPr>
        <w:t>第一章 招标公告</w:t>
      </w:r>
      <w:r>
        <w:rPr>
          <w:rFonts w:hint="eastAsia" w:eastAsia="宋体"/>
          <w:color w:val="auto"/>
          <w:sz w:val="24"/>
          <w:highlight w:val="none"/>
        </w:rPr>
        <w:t>”；</w:t>
      </w:r>
    </w:p>
    <w:p w14:paraId="3B57853B">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en-US" w:eastAsia="zh-CN"/>
        </w:rPr>
        <w:t>4</w:t>
      </w:r>
      <w:r>
        <w:rPr>
          <w:rFonts w:hint="eastAsia" w:eastAsia="宋体"/>
          <w:color w:val="auto"/>
          <w:sz w:val="24"/>
          <w:highlight w:val="none"/>
          <w:lang w:val="zh-CN" w:eastAsia="zh-CN"/>
        </w:rPr>
        <w:t>.</w:t>
      </w:r>
      <w:r>
        <w:rPr>
          <w:rFonts w:hint="eastAsia" w:eastAsia="宋体"/>
          <w:color w:val="auto"/>
          <w:sz w:val="24"/>
          <w:highlight w:val="none"/>
          <w:lang w:val="en-US" w:eastAsia="zh-CN"/>
        </w:rPr>
        <w:t>2</w:t>
      </w:r>
      <w:r>
        <w:rPr>
          <w:rFonts w:hint="eastAsia" w:eastAsia="宋体"/>
          <w:color w:val="auto"/>
          <w:sz w:val="24"/>
          <w:highlight w:val="none"/>
          <w:lang w:val="zh-CN" w:eastAsia="zh-CN"/>
        </w:rPr>
        <w:t>“</w:t>
      </w:r>
      <w:r>
        <w:rPr>
          <w:rFonts w:hint="eastAsia" w:eastAsia="宋体"/>
          <w:color w:val="auto"/>
          <w:sz w:val="24"/>
          <w:highlight w:val="none"/>
          <w:lang w:val="en-US" w:eastAsia="zh-CN"/>
        </w:rPr>
        <w:t>第一章 招标公告</w:t>
      </w:r>
      <w:r>
        <w:rPr>
          <w:rFonts w:hint="eastAsia" w:eastAsia="宋体"/>
          <w:color w:val="auto"/>
          <w:sz w:val="24"/>
          <w:highlight w:val="none"/>
          <w:lang w:val="zh-CN" w:eastAsia="zh-CN"/>
        </w:rPr>
        <w:t>”规定接受联合体投标的，还应遵守以下规定：</w:t>
      </w:r>
    </w:p>
    <w:p w14:paraId="512308FF">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eastAsia="宋体"/>
          <w:color w:val="auto"/>
          <w:sz w:val="24"/>
          <w:highlight w:val="none"/>
          <w:lang w:val="en-US" w:eastAsia="zh-CN"/>
        </w:rPr>
        <w:t>4</w:t>
      </w:r>
      <w:r>
        <w:rPr>
          <w:rFonts w:hint="eastAsia" w:eastAsia="宋体"/>
          <w:color w:val="auto"/>
          <w:sz w:val="24"/>
          <w:highlight w:val="none"/>
          <w:lang w:val="zh-CN" w:eastAsia="zh-CN"/>
        </w:rPr>
        <w:t>.</w:t>
      </w:r>
      <w:r>
        <w:rPr>
          <w:rFonts w:hint="eastAsia" w:eastAsia="宋体"/>
          <w:color w:val="auto"/>
          <w:sz w:val="24"/>
          <w:highlight w:val="none"/>
          <w:lang w:val="en-US" w:eastAsia="zh-CN"/>
        </w:rPr>
        <w:t>2.</w:t>
      </w:r>
      <w:r>
        <w:rPr>
          <w:rFonts w:hint="eastAsia" w:eastAsia="宋体"/>
          <w:color w:val="auto"/>
          <w:sz w:val="24"/>
          <w:highlight w:val="none"/>
          <w:lang w:val="zh-CN" w:eastAsia="zh-CN"/>
        </w:rPr>
        <w:t>1两个以上的自然人、法人或者其他组织可以组成一个联合体，以一个</w:t>
      </w:r>
      <w:r>
        <w:rPr>
          <w:rFonts w:hint="eastAsia" w:eastAsia="宋体"/>
          <w:color w:val="auto"/>
          <w:sz w:val="24"/>
          <w:highlight w:val="none"/>
          <w:lang w:val="en-US" w:eastAsia="zh-CN"/>
        </w:rPr>
        <w:t>投标人</w:t>
      </w:r>
      <w:r>
        <w:rPr>
          <w:rFonts w:hint="eastAsia" w:eastAsia="宋体"/>
          <w:color w:val="auto"/>
          <w:sz w:val="24"/>
          <w:highlight w:val="none"/>
          <w:lang w:val="zh-CN" w:eastAsia="zh-CN"/>
        </w:rPr>
        <w:t>的身份共同参加政府采购。</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以联合体形式进行政府采购的，参加联合体的投标人均应当具备《</w:t>
      </w:r>
      <w:r>
        <w:rPr>
          <w:rFonts w:hint="eastAsia" w:eastAsia="宋体"/>
          <w:color w:val="auto"/>
          <w:sz w:val="24"/>
          <w:highlight w:val="none"/>
        </w:rPr>
        <w:t>中华人民共和国政府采购法</w:t>
      </w:r>
      <w:r>
        <w:rPr>
          <w:rFonts w:hint="eastAsia" w:ascii="宋体" w:hAnsi="宋体" w:eastAsia="宋体" w:cstheme="minorBidi"/>
          <w:iCs/>
          <w:color w:val="auto"/>
          <w:kern w:val="2"/>
          <w:sz w:val="24"/>
          <w:szCs w:val="22"/>
          <w:highlight w:val="none"/>
          <w:shd w:val="clear" w:color="auto" w:fill="FFFFFF" w:themeFill="background1"/>
          <w:lang w:val="zh-CN" w:eastAsia="zh-CN" w:bidi="ar-SA"/>
        </w:rPr>
        <w:t>》第二十二条规定的条件。</w:t>
      </w:r>
    </w:p>
    <w:p w14:paraId="7EFB49B3">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2.</w:t>
      </w:r>
      <w:r>
        <w:rPr>
          <w:rFonts w:hint="eastAsia" w:eastAsia="宋体" w:cstheme="minorBidi"/>
          <w:iCs/>
          <w:color w:val="auto"/>
          <w:kern w:val="2"/>
          <w:sz w:val="24"/>
          <w:szCs w:val="22"/>
          <w:highlight w:val="none"/>
          <w:shd w:val="clear" w:color="auto" w:fill="FFFFFF" w:themeFill="background1"/>
          <w:lang w:val="en-US" w:eastAsia="zh-CN" w:bidi="ar-SA"/>
        </w:rPr>
        <w:t>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联合体各方应按招标文件提供的格式签订联合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，明确约定联合体各方承担的工作和相应的责任，并将联合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作为投标文件的一部分提交，该协议书对联合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体所有成员</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均具有法律约束力。</w:t>
      </w:r>
    </w:p>
    <w:p w14:paraId="5343E5B5">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eastAsia="宋体" w:cstheme="minorBidi"/>
          <w:iCs/>
          <w:color w:val="auto"/>
          <w:kern w:val="2"/>
          <w:sz w:val="24"/>
          <w:szCs w:val="22"/>
          <w:highlight w:val="none"/>
          <w:shd w:val="clear" w:color="auto" w:fill="FFFFFF" w:themeFill="background1"/>
          <w:lang w:val="en-US" w:eastAsia="zh-CN" w:bidi="ar-SA"/>
        </w:rPr>
        <w:t>3</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联合体中有同类资质的投标人按照联合体分工承担相同工作的，应当按照资质等级较低的投标人确定资质等级。</w:t>
      </w:r>
    </w:p>
    <w:p w14:paraId="21D444C4">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4</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以联合体形式参加政府采购活动的，联合体各方不得再单独参加或者与其他投标人另外组成联合体参加</w:t>
      </w:r>
      <w:r>
        <w:rPr>
          <w:rFonts w:hint="eastAsia" w:ascii="宋体" w:hAnsi="宋体" w:eastAsia="宋体" w:cstheme="minorBidi"/>
          <w:iCs/>
          <w:color w:val="auto"/>
          <w:kern w:val="2"/>
          <w:sz w:val="24"/>
          <w:szCs w:val="22"/>
          <w:highlight w:val="none"/>
          <w:shd w:val="clear" w:color="auto" w:fill="FFFFFF" w:themeFill="background1"/>
          <w:lang w:val="en-US" w:eastAsia="zh-CN" w:bidi="ar-SA"/>
        </w:rPr>
        <w:t>同一合同项下的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投标，否则相关投标将被认定为</w:t>
      </w:r>
      <w:r>
        <w:rPr>
          <w:rFonts w:hint="eastAsia" w:ascii="宋体" w:hAnsi="宋体" w:eastAsia="宋体" w:cstheme="minorBidi"/>
          <w:b/>
          <w:bCs/>
          <w:iCs/>
          <w:color w:val="auto"/>
          <w:kern w:val="2"/>
          <w:sz w:val="24"/>
          <w:szCs w:val="22"/>
          <w:highlight w:val="none"/>
          <w:shd w:val="clear" w:color="auto" w:fill="FFFFFF" w:themeFill="background1"/>
          <w:lang w:val="zh-CN" w:eastAsia="zh-CN" w:bidi="ar-SA"/>
        </w:rPr>
        <w:t>投标无效</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p>
    <w:p w14:paraId="2E60D00D">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.5大中型企业、其他自然人、法人或者非法人组织与小型、微型企业组成联合体共同参加投标</w:t>
      </w:r>
      <w:r>
        <w:rPr>
          <w:rFonts w:hint="eastAsia"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中应写明小型、微型企业的合同金额占到联合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投标</w:t>
      </w:r>
      <w:r>
        <w:rPr>
          <w:rFonts w:hint="eastAsia" w:ascii="宋体" w:hAnsi="宋体" w:eastAsia="宋体" w:cstheme="minorBidi"/>
          <w:iCs/>
          <w:color w:val="auto"/>
          <w:kern w:val="2"/>
          <w:sz w:val="24"/>
          <w:szCs w:val="22"/>
          <w:highlight w:val="none"/>
          <w:shd w:val="clear" w:color="auto" w:fill="FFFFFF" w:themeFill="background1"/>
          <w:lang w:val="en-US" w:eastAsia="zh-CN" w:bidi="ar-SA"/>
        </w:rPr>
        <w:t>合同</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总金额的比例。</w:t>
      </w:r>
    </w:p>
    <w:p w14:paraId="7127D169">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zh-CN" w:eastAsia="zh-CN" w:bidi="ar-SA"/>
        </w:rPr>
        <w:t>4.2</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6</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联合体中标</w:t>
      </w:r>
      <w:r>
        <w:rPr>
          <w:rFonts w:hint="eastAsia"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采购</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合同应由</w:t>
      </w:r>
      <w:r>
        <w:rPr>
          <w:rFonts w:hint="eastAsia" w:ascii="宋体" w:hAnsi="宋体" w:eastAsia="宋体" w:cstheme="minorBidi"/>
          <w:iCs/>
          <w:color w:val="auto"/>
          <w:kern w:val="2"/>
          <w:sz w:val="24"/>
          <w:szCs w:val="22"/>
          <w:highlight w:val="none"/>
          <w:shd w:val="clear" w:color="auto" w:fill="FFFFFF" w:themeFill="background1"/>
          <w:lang w:val="en-US" w:eastAsia="zh-CN" w:bidi="ar-SA"/>
        </w:rPr>
        <w:t>联合体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各成员的合法授权代表签字</w:t>
      </w:r>
      <w:r>
        <w:rPr>
          <w:rFonts w:hint="eastAsia" w:eastAsia="宋体" w:cstheme="minorBidi"/>
          <w:iCs/>
          <w:color w:val="auto"/>
          <w:kern w:val="2"/>
          <w:sz w:val="24"/>
          <w:szCs w:val="22"/>
          <w:highlight w:val="none"/>
          <w:shd w:val="clear" w:color="auto" w:fill="FFFFFF" w:themeFill="background1"/>
          <w:lang w:val="en-US" w:eastAsia="zh-CN" w:bidi="ar-SA"/>
        </w:rPr>
        <w:t>及</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加盖</w:t>
      </w:r>
      <w:r>
        <w:rPr>
          <w:rFonts w:hint="eastAsia" w:ascii="宋体" w:hAnsi="宋体" w:eastAsia="宋体" w:cstheme="minorBidi"/>
          <w:iCs/>
          <w:color w:val="auto"/>
          <w:kern w:val="2"/>
          <w:sz w:val="24"/>
          <w:szCs w:val="22"/>
          <w:highlight w:val="none"/>
          <w:shd w:val="clear" w:color="auto" w:fill="FFFFFF" w:themeFill="background1"/>
          <w:lang w:val="en-US" w:eastAsia="zh-CN" w:bidi="ar-SA"/>
        </w:rPr>
        <w:t>联合体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各成员公章，</w:t>
      </w:r>
      <w:r>
        <w:rPr>
          <w:rFonts w:hint="eastAsia" w:eastAsia="宋体" w:cstheme="minorBidi"/>
          <w:iCs/>
          <w:color w:val="auto"/>
          <w:kern w:val="2"/>
          <w:sz w:val="24"/>
          <w:szCs w:val="22"/>
          <w:highlight w:val="none"/>
          <w:shd w:val="clear" w:color="auto" w:fill="FFFFFF" w:themeFill="background1"/>
          <w:lang w:val="en-US" w:eastAsia="zh-CN" w:bidi="ar-SA"/>
        </w:rPr>
        <w:t>并</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72C3CFE0">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zh-CN" w:eastAsia="zh-CN" w:bidi="ar-SA"/>
        </w:rPr>
        <w:t>4.2</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7</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联合体或其成员不得将其在合同项下的权利或义务全部或部分转让给第三人，有关分包事项须事先取得采购</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人</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书面同意并且须遵守相关法律、法规、本次招标的全部相关规定。</w:t>
      </w:r>
    </w:p>
    <w:p w14:paraId="7D2803AB">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8</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对联合体投标的其他资格要求见</w:t>
      </w:r>
      <w:r>
        <w:rPr>
          <w:rFonts w:hint="eastAsia" w:eastAsia="宋体"/>
          <w:color w:val="auto"/>
          <w:sz w:val="24"/>
          <w:highlight w:val="none"/>
        </w:rPr>
        <w:t>“</w:t>
      </w:r>
      <w:r>
        <w:rPr>
          <w:rFonts w:hint="eastAsia" w:eastAsia="宋体"/>
          <w:color w:val="auto"/>
          <w:sz w:val="24"/>
          <w:highlight w:val="none"/>
          <w:lang w:val="en-US" w:eastAsia="zh-CN"/>
        </w:rPr>
        <w:t>第一章 招标公告</w:t>
      </w:r>
      <w:r>
        <w:rPr>
          <w:rFonts w:hint="eastAsia" w:eastAsia="宋体"/>
          <w:color w:val="auto"/>
          <w:sz w:val="24"/>
          <w:highlight w:val="none"/>
        </w:rPr>
        <w:t>”</w:t>
      </w:r>
      <w:r>
        <w:rPr>
          <w:rFonts w:hint="eastAsia" w:eastAsia="宋体"/>
          <w:color w:val="auto"/>
          <w:sz w:val="24"/>
          <w:highlight w:val="none"/>
          <w:lang w:val="en-US" w:eastAsia="zh-CN"/>
        </w:rPr>
        <w:t>中的“二、</w:t>
      </w:r>
      <w:r>
        <w:rPr>
          <w:rFonts w:hint="eastAsia" w:ascii="宋体" w:hAnsi="宋体" w:eastAsia="宋体" w:cstheme="minorBidi"/>
          <w:iCs/>
          <w:color w:val="auto"/>
          <w:kern w:val="2"/>
          <w:sz w:val="24"/>
          <w:szCs w:val="22"/>
          <w:highlight w:val="none"/>
          <w:shd w:val="clear" w:color="auto" w:fill="FFFFFF" w:themeFill="background1"/>
          <w:lang w:val="en-US" w:eastAsia="zh-CN" w:bidi="ar-SA"/>
        </w:rPr>
        <w:t>申请人的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资格</w:t>
      </w:r>
      <w:r>
        <w:rPr>
          <w:rFonts w:hint="eastAsia" w:ascii="宋体" w:hAnsi="宋体" w:eastAsia="宋体" w:cstheme="minorBidi"/>
          <w:iCs/>
          <w:color w:val="auto"/>
          <w:kern w:val="2"/>
          <w:sz w:val="24"/>
          <w:szCs w:val="22"/>
          <w:highlight w:val="none"/>
          <w:shd w:val="clear" w:color="auto" w:fill="FFFFFF" w:themeFill="background1"/>
          <w:lang w:val="en-US" w:eastAsia="zh-CN" w:bidi="ar-SA"/>
        </w:rPr>
        <w:t>要求</w:t>
      </w:r>
      <w:r>
        <w:rPr>
          <w:rFonts w:hint="eastAsia"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p>
    <w:p w14:paraId="4DE6446D">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54" w:name="_Toc21085"/>
      <w:bookmarkStart w:id="155" w:name="_Toc8952"/>
      <w:bookmarkStart w:id="156" w:name="_Toc163492827"/>
      <w:bookmarkStart w:id="157" w:name="_Toc18974"/>
      <w:bookmarkStart w:id="158" w:name="_Toc14011"/>
      <w:bookmarkStart w:id="159" w:name="_Toc2393"/>
      <w:r>
        <w:rPr>
          <w:rFonts w:hint="eastAsia" w:ascii="宋体" w:hAnsi="宋体" w:eastAsia="宋体" w:cs="宋体"/>
          <w:b/>
          <w:bCs/>
          <w:color w:val="auto"/>
          <w:kern w:val="2"/>
          <w:sz w:val="24"/>
          <w:szCs w:val="28"/>
          <w:highlight w:val="none"/>
          <w:lang w:val="en-US" w:eastAsia="zh-CN" w:bidi="ar-SA"/>
        </w:rPr>
        <w:t>5.费用承担</w:t>
      </w:r>
      <w:bookmarkEnd w:id="154"/>
      <w:bookmarkEnd w:id="155"/>
      <w:bookmarkEnd w:id="156"/>
      <w:bookmarkEnd w:id="157"/>
      <w:bookmarkEnd w:id="158"/>
      <w:bookmarkEnd w:id="159"/>
    </w:p>
    <w:p w14:paraId="3C6741ED">
      <w:pPr>
        <w:pStyle w:val="38"/>
        <w:keepNext w:val="0"/>
        <w:keepLines w:val="0"/>
        <w:pageBreakBefore w:val="0"/>
        <w:widowControl w:val="0"/>
        <w:kinsoku/>
        <w:overflowPunct/>
        <w:topLinePunct w:val="0"/>
        <w:autoSpaceDE/>
        <w:autoSpaceDN/>
        <w:bidi w:val="0"/>
        <w:adjustRightInd/>
        <w:snapToGrid/>
        <w:textAlignment w:val="auto"/>
        <w:rPr>
          <w:rFonts w:hint="eastAsia" w:eastAsia="宋体"/>
          <w:color w:val="auto"/>
          <w:sz w:val="24"/>
          <w:highlight w:val="none"/>
        </w:rPr>
      </w:pPr>
      <w:r>
        <w:rPr>
          <w:rFonts w:hint="eastAsia" w:eastAsia="宋体"/>
          <w:color w:val="auto"/>
          <w:sz w:val="24"/>
          <w:highlight w:val="none"/>
        </w:rPr>
        <w:t>5.1</w:t>
      </w:r>
      <w:r>
        <w:rPr>
          <w:rFonts w:hint="eastAsia" w:eastAsia="宋体"/>
          <w:color w:val="auto"/>
          <w:sz w:val="24"/>
          <w:highlight w:val="none"/>
          <w:lang w:val="en-US" w:eastAsia="zh-CN"/>
        </w:rPr>
        <w:t>不论投标的结果如何，投标人应承担所有与准备和参加投标有关的费用。</w:t>
      </w:r>
    </w:p>
    <w:p w14:paraId="0CE9ACA3">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60" w:name="_Toc140132761"/>
      <w:bookmarkStart w:id="161" w:name="_Toc21595"/>
      <w:bookmarkStart w:id="162" w:name="_Toc163492828"/>
      <w:bookmarkStart w:id="163" w:name="_Toc12379"/>
      <w:bookmarkStart w:id="164" w:name="_Toc7681"/>
      <w:bookmarkStart w:id="165" w:name="_Toc18248"/>
      <w:bookmarkStart w:id="166" w:name="_Toc30861"/>
      <w:r>
        <w:rPr>
          <w:rFonts w:hint="eastAsia" w:ascii="宋体" w:hAnsi="宋体" w:eastAsia="宋体" w:cs="宋体"/>
          <w:b/>
          <w:bCs/>
          <w:color w:val="auto"/>
          <w:kern w:val="2"/>
          <w:sz w:val="24"/>
          <w:szCs w:val="28"/>
          <w:highlight w:val="none"/>
          <w:lang w:val="en-US" w:eastAsia="zh-CN" w:bidi="ar-SA"/>
        </w:rPr>
        <w:t>6.保密</w:t>
      </w:r>
      <w:bookmarkEnd w:id="160"/>
      <w:bookmarkEnd w:id="161"/>
      <w:bookmarkEnd w:id="162"/>
      <w:bookmarkEnd w:id="163"/>
      <w:bookmarkEnd w:id="164"/>
      <w:bookmarkEnd w:id="165"/>
      <w:bookmarkEnd w:id="166"/>
    </w:p>
    <w:p w14:paraId="7CBA93F7">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6.1</w:t>
      </w:r>
      <w:r>
        <w:rPr>
          <w:rFonts w:hint="eastAsia" w:eastAsia="宋体"/>
          <w:color w:val="auto"/>
          <w:sz w:val="24"/>
          <w:highlight w:val="none"/>
          <w:lang w:val="en-US" w:eastAsia="zh-CN"/>
        </w:rPr>
        <w:t xml:space="preserve"> </w:t>
      </w:r>
      <w:r>
        <w:rPr>
          <w:rFonts w:hint="eastAsia" w:eastAsia="宋体"/>
          <w:color w:val="auto"/>
          <w:sz w:val="24"/>
          <w:highlight w:val="none"/>
        </w:rPr>
        <w:t>参与招标投标活动的各方应对招标文件和投标文件中的商业和技术等秘密保密，否则应承担相应的法律责任。</w:t>
      </w:r>
    </w:p>
    <w:p w14:paraId="2947ABFF">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2 </w:t>
      </w:r>
      <w:r>
        <w:rPr>
          <w:rFonts w:hint="eastAsia" w:ascii="宋体" w:hAnsi="宋体" w:eastAsia="宋体" w:cs="宋体"/>
          <w:color w:val="auto"/>
          <w:kern w:val="2"/>
          <w:sz w:val="24"/>
          <w:szCs w:val="22"/>
          <w:highlight w:val="none"/>
        </w:rPr>
        <w:t>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14:paraId="38BD9605">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3 </w:t>
      </w:r>
      <w:r>
        <w:rPr>
          <w:rFonts w:hint="eastAsia" w:ascii="宋体" w:hAnsi="宋体" w:eastAsia="宋体" w:cs="宋体"/>
          <w:color w:val="auto"/>
          <w:kern w:val="2"/>
          <w:sz w:val="24"/>
          <w:szCs w:val="22"/>
          <w:highlight w:val="none"/>
        </w:rPr>
        <w:t>采购代理机构有权将投标人提供的所有资料向有关政府部门或评审</w:t>
      </w:r>
      <w:r>
        <w:rPr>
          <w:rFonts w:hint="eastAsia" w:ascii="宋体" w:hAnsi="宋体" w:eastAsia="宋体" w:cs="宋体"/>
          <w:color w:val="auto"/>
          <w:kern w:val="2"/>
          <w:sz w:val="24"/>
          <w:szCs w:val="22"/>
          <w:highlight w:val="none"/>
          <w:lang w:val="en-US" w:eastAsia="zh-CN"/>
        </w:rPr>
        <w:t>投标文件</w:t>
      </w:r>
      <w:r>
        <w:rPr>
          <w:rFonts w:hint="eastAsia" w:ascii="宋体" w:hAnsi="宋体" w:eastAsia="宋体" w:cs="宋体"/>
          <w:color w:val="auto"/>
          <w:kern w:val="2"/>
          <w:sz w:val="24"/>
          <w:szCs w:val="22"/>
          <w:highlight w:val="none"/>
        </w:rPr>
        <w:t>的有关人员披露。</w:t>
      </w:r>
    </w:p>
    <w:p w14:paraId="7D9AB2DE">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4 各级人民政府财政部门对政府采购活动进行监督检查，有权查阅、复制有关文件、资料，相关单位和人员应当予以配合。</w:t>
      </w:r>
    </w:p>
    <w:p w14:paraId="284B114B">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67" w:name="_Toc163492829"/>
      <w:bookmarkStart w:id="168" w:name="_Toc140132762"/>
      <w:bookmarkStart w:id="169" w:name="_Toc29628"/>
      <w:bookmarkStart w:id="170" w:name="_Toc30926"/>
      <w:bookmarkStart w:id="171" w:name="_Toc31425"/>
      <w:bookmarkStart w:id="172" w:name="_Toc15553"/>
      <w:bookmarkStart w:id="173" w:name="_Toc9558"/>
      <w:r>
        <w:rPr>
          <w:rFonts w:hint="eastAsia" w:ascii="宋体" w:hAnsi="宋体" w:eastAsia="宋体" w:cs="宋体"/>
          <w:b/>
          <w:bCs/>
          <w:color w:val="auto"/>
          <w:kern w:val="2"/>
          <w:sz w:val="24"/>
          <w:szCs w:val="28"/>
          <w:highlight w:val="none"/>
          <w:lang w:val="en-US" w:eastAsia="zh-CN" w:bidi="ar-SA"/>
        </w:rPr>
        <w:t>7.语言文字</w:t>
      </w:r>
      <w:bookmarkEnd w:id="167"/>
      <w:bookmarkEnd w:id="168"/>
      <w:bookmarkEnd w:id="169"/>
      <w:bookmarkEnd w:id="170"/>
      <w:bookmarkEnd w:id="171"/>
      <w:bookmarkEnd w:id="172"/>
      <w:bookmarkEnd w:id="173"/>
    </w:p>
    <w:p w14:paraId="25140936">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7.1招标投标</w:t>
      </w:r>
      <w:r>
        <w:rPr>
          <w:rFonts w:hint="eastAsia" w:eastAsia="宋体"/>
          <w:color w:val="auto"/>
          <w:sz w:val="24"/>
          <w:highlight w:val="none"/>
          <w:lang w:val="en-US" w:eastAsia="zh-CN"/>
        </w:rPr>
        <w:t>过程</w:t>
      </w:r>
      <w:r>
        <w:rPr>
          <w:rFonts w:hint="eastAsia" w:eastAsia="宋体"/>
          <w:color w:val="auto"/>
          <w:sz w:val="24"/>
          <w:highlight w:val="none"/>
        </w:rPr>
        <w:t>文件使用的语言文字为中文。专用术语使用外文的，应附有中文注释。</w:t>
      </w:r>
      <w:r>
        <w:rPr>
          <w:rFonts w:hint="eastAsia" w:eastAsia="宋体"/>
          <w:color w:val="auto"/>
          <w:sz w:val="24"/>
          <w:highlight w:val="none"/>
          <w:lang w:val="en-US" w:eastAsia="zh-CN"/>
        </w:rPr>
        <w:t>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2F336166">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74" w:name="_Toc19184"/>
      <w:bookmarkStart w:id="175" w:name="_Toc163492830"/>
      <w:bookmarkStart w:id="176" w:name="_Toc16458"/>
      <w:bookmarkStart w:id="177" w:name="_Toc31019"/>
      <w:bookmarkStart w:id="178" w:name="_Toc28427"/>
      <w:bookmarkStart w:id="179" w:name="_Toc24449"/>
      <w:bookmarkStart w:id="180" w:name="_Toc140132763"/>
      <w:r>
        <w:rPr>
          <w:rFonts w:hint="eastAsia" w:ascii="宋体" w:hAnsi="宋体" w:eastAsia="宋体" w:cs="宋体"/>
          <w:b/>
          <w:bCs/>
          <w:color w:val="auto"/>
          <w:kern w:val="2"/>
          <w:sz w:val="24"/>
          <w:szCs w:val="28"/>
          <w:highlight w:val="none"/>
          <w:lang w:val="en-US" w:eastAsia="zh-CN" w:bidi="ar-SA"/>
        </w:rPr>
        <w:t>8.计量单位</w:t>
      </w:r>
      <w:bookmarkEnd w:id="174"/>
      <w:bookmarkEnd w:id="175"/>
      <w:bookmarkEnd w:id="176"/>
      <w:bookmarkEnd w:id="177"/>
      <w:bookmarkEnd w:id="178"/>
      <w:bookmarkEnd w:id="179"/>
      <w:bookmarkEnd w:id="180"/>
    </w:p>
    <w:p w14:paraId="45A7AE57">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8.1所有计量均采用中华人民共和国法定计量单位。</w:t>
      </w:r>
    </w:p>
    <w:p w14:paraId="099F3EF6">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81" w:name="_Toc140132764"/>
      <w:bookmarkStart w:id="182" w:name="_Toc29979"/>
      <w:bookmarkStart w:id="183" w:name="_Toc30077"/>
      <w:bookmarkStart w:id="184" w:name="_Toc28428"/>
      <w:bookmarkStart w:id="185" w:name="_Toc8827"/>
      <w:bookmarkStart w:id="186" w:name="_Toc163492831"/>
      <w:bookmarkStart w:id="187" w:name="_Toc30434"/>
      <w:r>
        <w:rPr>
          <w:rFonts w:hint="eastAsia" w:ascii="宋体" w:hAnsi="宋体" w:eastAsia="宋体" w:cs="宋体"/>
          <w:b/>
          <w:bCs/>
          <w:color w:val="auto"/>
          <w:kern w:val="2"/>
          <w:sz w:val="24"/>
          <w:szCs w:val="28"/>
          <w:highlight w:val="none"/>
          <w:lang w:val="en-US" w:eastAsia="zh-CN" w:bidi="ar-SA"/>
        </w:rPr>
        <w:t>9.现场考察和答疑会</w:t>
      </w:r>
      <w:bookmarkEnd w:id="181"/>
      <w:bookmarkEnd w:id="182"/>
      <w:bookmarkEnd w:id="183"/>
      <w:bookmarkEnd w:id="184"/>
      <w:bookmarkEnd w:id="185"/>
      <w:bookmarkEnd w:id="186"/>
      <w:bookmarkEnd w:id="187"/>
    </w:p>
    <w:p w14:paraId="5A8B8C45">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188" w:name="_Hlk143529198"/>
      <w:r>
        <w:rPr>
          <w:rFonts w:hint="eastAsia" w:eastAsia="宋体"/>
          <w:color w:val="auto"/>
          <w:sz w:val="24"/>
          <w:highlight w:val="none"/>
        </w:rPr>
        <w:t xml:space="preserve">9.1 “投标人须知前附表”规定组织现场考察的，采购代理机构按“投标人须知前附表”规定的时间、地点组织投标人项目现场考察。 </w:t>
      </w:r>
    </w:p>
    <w:p w14:paraId="5F8A235F">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9.2 投标人现场考察发生的费用自理。</w:t>
      </w:r>
    </w:p>
    <w:p w14:paraId="199A48B2">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9.3 在现场考察中，因投标人自身原因发生的人员伤亡和财产损失，由投标人自行负责。</w:t>
      </w:r>
    </w:p>
    <w:p w14:paraId="6F1F6A2D">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9.4 采购人在现场考察中介绍的项目场地和相关的周边环境情况，仅供投标人在编制投标文件时参考，采购人和采购代理机构不对投标人据此作出的判断和决策负责。</w:t>
      </w:r>
    </w:p>
    <w:p w14:paraId="0E249AE3">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9.5 “投标人须知前附表”规定召开答疑会的，采购代理机构按“投标人须知前附表”规定的时间和地点召开答疑会，澄清投标人提出的问题。</w:t>
      </w:r>
    </w:p>
    <w:p w14:paraId="00943847">
      <w:pPr>
        <w:pStyle w:val="38"/>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hint="eastAsia" w:eastAsia="宋体"/>
          <w:color w:val="auto"/>
          <w:sz w:val="24"/>
          <w:highlight w:val="none"/>
          <w:lang w:val="en-US" w:eastAsia="zh-CN"/>
        </w:rPr>
        <w:t>9.6 由于未参加现场考察或未参加标前答疑会而导致对项目实际情况不了解，影响投标文件编制、投标报价准确性、综合因素响应不全面等问题的，由投标人自行承担不利评审后果。</w:t>
      </w:r>
    </w:p>
    <w:bookmarkEnd w:id="188"/>
    <w:p w14:paraId="015C1ED3">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189" w:name="_Toc26824"/>
      <w:bookmarkStart w:id="190" w:name="_Toc155185858"/>
      <w:bookmarkStart w:id="191" w:name="_Toc163492833"/>
      <w:bookmarkStart w:id="192" w:name="_Toc31066"/>
      <w:bookmarkStart w:id="193" w:name="_Toc17833"/>
      <w:bookmarkStart w:id="194" w:name="_Toc2189"/>
      <w:bookmarkStart w:id="195" w:name="_Toc1905"/>
      <w:bookmarkStart w:id="196" w:name="_Toc155185871"/>
      <w:r>
        <w:rPr>
          <w:rFonts w:hint="eastAsia" w:ascii="宋体" w:hAnsi="宋体" w:eastAsia="宋体" w:cs="宋体"/>
          <w:b/>
          <w:bCs/>
          <w:color w:val="auto"/>
          <w:kern w:val="2"/>
          <w:sz w:val="24"/>
          <w:szCs w:val="28"/>
          <w:highlight w:val="none"/>
          <w:lang w:val="en-US" w:eastAsia="zh-CN" w:bidi="ar-SA"/>
        </w:rPr>
        <w:t>10.电子投标说明</w:t>
      </w:r>
      <w:bookmarkEnd w:id="189"/>
      <w:bookmarkEnd w:id="190"/>
      <w:bookmarkEnd w:id="191"/>
      <w:bookmarkEnd w:id="192"/>
      <w:bookmarkEnd w:id="193"/>
      <w:bookmarkEnd w:id="194"/>
      <w:bookmarkEnd w:id="195"/>
      <w:r>
        <w:rPr>
          <w:rFonts w:hint="eastAsia" w:ascii="宋体" w:hAnsi="宋体" w:eastAsia="宋体" w:cs="宋体"/>
          <w:b/>
          <w:bCs/>
          <w:color w:val="auto"/>
          <w:kern w:val="2"/>
          <w:sz w:val="24"/>
          <w:szCs w:val="28"/>
          <w:highlight w:val="none"/>
          <w:lang w:val="en-US" w:eastAsia="zh-CN" w:bidi="ar-SA"/>
        </w:rPr>
        <w:t xml:space="preserve">   </w:t>
      </w:r>
    </w:p>
    <w:p w14:paraId="111A1565">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 xml:space="preserve">.1 </w:t>
      </w:r>
      <w:r>
        <w:rPr>
          <w:rFonts w:hint="eastAsia" w:ascii="宋体" w:hAnsi="宋体" w:eastAsia="宋体"/>
          <w:color w:val="auto"/>
          <w:sz w:val="24"/>
          <w:highlight w:val="none"/>
        </w:rPr>
        <w:t>本次采购采用电子交易方式，电子交易平台为</w:t>
      </w:r>
      <w:r>
        <w:rPr>
          <w:rFonts w:hint="eastAsia" w:ascii="宋体" w:hAnsi="宋体" w:eastAsia="宋体"/>
          <w:color w:val="auto"/>
          <w:sz w:val="24"/>
          <w:highlight w:val="none"/>
          <w:lang w:val="en-US"/>
        </w:rPr>
        <w:t>兵团</w:t>
      </w:r>
      <w:r>
        <w:rPr>
          <w:rFonts w:hint="eastAsia" w:ascii="宋体" w:hAnsi="宋体" w:eastAsia="宋体"/>
          <w:color w:val="auto"/>
          <w:sz w:val="24"/>
          <w:highlight w:val="none"/>
        </w:rPr>
        <w:t>政府采购</w:t>
      </w:r>
      <w:r>
        <w:rPr>
          <w:rFonts w:hint="eastAsia" w:ascii="宋体" w:hAnsi="宋体" w:eastAsia="宋体"/>
          <w:color w:val="auto"/>
          <w:sz w:val="24"/>
          <w:highlight w:val="none"/>
          <w:lang w:val="en-US"/>
        </w:rPr>
        <w:t>电子交易云</w:t>
      </w:r>
      <w:r>
        <w:rPr>
          <w:rFonts w:hint="eastAsia" w:ascii="宋体" w:hAnsi="宋体" w:eastAsia="宋体"/>
          <w:color w:val="auto"/>
          <w:sz w:val="24"/>
          <w:highlight w:val="none"/>
        </w:rPr>
        <w:t>平台</w:t>
      </w:r>
      <w:r>
        <w:rPr>
          <w:rFonts w:hint="eastAsia" w:ascii="宋体" w:hAnsi="宋体" w:eastAsia="宋体"/>
          <w:color w:val="auto"/>
          <w:sz w:val="24"/>
          <w:highlight w:val="none"/>
          <w:lang w:val="hr-HR"/>
        </w:rPr>
        <w:t>（</w:t>
      </w:r>
      <w:r>
        <w:rPr>
          <w:rFonts w:hint="eastAsia" w:ascii="宋体" w:hAnsi="宋体" w:eastAsia="宋体"/>
          <w:color w:val="auto"/>
          <w:sz w:val="24"/>
          <w:highlight w:val="none"/>
        </w:rPr>
        <w:t>网址</w:t>
      </w:r>
      <w:r>
        <w:rPr>
          <w:rFonts w:hint="eastAsia" w:ascii="宋体" w:hAnsi="宋体" w:eastAsia="宋体"/>
          <w:color w:val="auto"/>
          <w:sz w:val="24"/>
          <w:highlight w:val="none"/>
          <w:lang w:val="hr-HR"/>
        </w:rPr>
        <w:t>：https://www.zcygov.cn/）</w:t>
      </w:r>
      <w:r>
        <w:rPr>
          <w:rFonts w:hint="eastAsia" w:ascii="宋体" w:hAnsi="宋体" w:eastAsia="宋体"/>
          <w:color w:val="auto"/>
          <w:sz w:val="24"/>
          <w:highlight w:val="none"/>
        </w:rPr>
        <w:t>。投标人参与本项目电子交易活动前，应</w:t>
      </w:r>
      <w:r>
        <w:rPr>
          <w:rFonts w:hint="eastAsia" w:eastAsia="宋体"/>
          <w:color w:val="auto"/>
          <w:sz w:val="24"/>
          <w:highlight w:val="none"/>
          <w:lang w:val="en-US" w:eastAsia="zh-CN"/>
        </w:rPr>
        <w:t>在</w:t>
      </w:r>
      <w:r>
        <w:rPr>
          <w:rFonts w:hint="eastAsia" w:ascii="宋体" w:hAnsi="宋体" w:eastAsia="宋体"/>
          <w:color w:val="auto"/>
          <w:sz w:val="24"/>
          <w:highlight w:val="none"/>
        </w:rPr>
        <w:t>政</w:t>
      </w:r>
      <w:r>
        <w:rPr>
          <w:rFonts w:hint="eastAsia" w:eastAsia="宋体"/>
          <w:color w:val="auto"/>
          <w:sz w:val="24"/>
          <w:highlight w:val="none"/>
          <w:lang w:val="en-US" w:eastAsia="zh-CN"/>
        </w:rPr>
        <w:t>采</w:t>
      </w:r>
      <w:r>
        <w:rPr>
          <w:rFonts w:hint="eastAsia" w:ascii="宋体" w:hAnsi="宋体" w:eastAsia="宋体"/>
          <w:color w:val="auto"/>
          <w:sz w:val="24"/>
          <w:highlight w:val="none"/>
          <w:lang w:val="en-US"/>
        </w:rPr>
        <w:t>云</w:t>
      </w:r>
      <w:r>
        <w:rPr>
          <w:rFonts w:hint="eastAsia" w:ascii="宋体" w:hAnsi="宋体" w:eastAsia="宋体"/>
          <w:color w:val="auto"/>
          <w:sz w:val="24"/>
          <w:highlight w:val="none"/>
        </w:rPr>
        <w:t>平台</w:t>
      </w:r>
      <w:r>
        <w:rPr>
          <w:rFonts w:hint="eastAsia" w:eastAsia="宋体"/>
          <w:color w:val="auto"/>
          <w:sz w:val="24"/>
          <w:highlight w:val="none"/>
          <w:lang w:val="en-US" w:eastAsia="zh-CN"/>
        </w:rPr>
        <w:t>上</w:t>
      </w:r>
      <w:r>
        <w:rPr>
          <w:rFonts w:hint="eastAsia" w:ascii="宋体" w:hAnsi="宋体" w:eastAsia="宋体"/>
          <w:color w:val="auto"/>
          <w:sz w:val="24"/>
          <w:highlight w:val="none"/>
        </w:rPr>
        <w:t>注册</w:t>
      </w:r>
      <w:r>
        <w:rPr>
          <w:rFonts w:hint="eastAsia" w:eastAsia="宋体"/>
          <w:color w:val="auto"/>
          <w:sz w:val="24"/>
          <w:highlight w:val="none"/>
          <w:lang w:val="en-US" w:eastAsia="zh-CN"/>
        </w:rPr>
        <w:t>投标人账号</w:t>
      </w:r>
      <w:r>
        <w:rPr>
          <w:rFonts w:hint="eastAsia" w:ascii="宋体" w:hAnsi="宋体" w:eastAsia="宋体"/>
          <w:color w:val="auto"/>
          <w:sz w:val="24"/>
          <w:highlight w:val="none"/>
        </w:rPr>
        <w:t>。编制电子</w:t>
      </w:r>
      <w:r>
        <w:rPr>
          <w:rFonts w:hint="eastAsia" w:ascii="宋体" w:hAnsi="宋体" w:eastAsia="宋体"/>
          <w:color w:val="auto"/>
          <w:sz w:val="24"/>
          <w:highlight w:val="none"/>
          <w:lang w:val="en-US" w:eastAsia="zh-CN"/>
        </w:rPr>
        <w:t>投标</w:t>
      </w:r>
      <w:r>
        <w:rPr>
          <w:rFonts w:hint="eastAsia" w:ascii="宋体" w:hAnsi="宋体" w:eastAsia="宋体"/>
          <w:color w:val="auto"/>
          <w:sz w:val="24"/>
          <w:highlight w:val="none"/>
        </w:rPr>
        <w:t>文件前还需</w:t>
      </w:r>
      <w:r>
        <w:rPr>
          <w:rFonts w:hint="eastAsia" w:ascii="宋体" w:hAnsi="宋体" w:eastAsia="宋体"/>
          <w:color w:val="auto"/>
          <w:sz w:val="24"/>
          <w:highlight w:val="none"/>
          <w:lang w:val="en-US" w:eastAsia="zh-CN"/>
        </w:rPr>
        <w:t>申领CA证书并绑定帐号。投标人应充分考虑完成平台注册、申领CA证书等所需的时间。</w:t>
      </w:r>
      <w:r>
        <w:rPr>
          <w:rFonts w:hint="eastAsia" w:ascii="宋体" w:hAnsi="宋体" w:eastAsia="宋体"/>
          <w:color w:val="auto"/>
          <w:sz w:val="24"/>
          <w:highlight w:val="none"/>
          <w:lang w:val="zh-CN" w:eastAsia="zh-CN"/>
        </w:rPr>
        <w:t>潜在投标人领取文件须提前完成注册、CA证书和电子签章申领和绑定、下载投标客户端。因未办理CA数字证书、CA证书故障、操作不当等原因造成无法投标或投标失败等后果由投标人自行承担。</w:t>
      </w:r>
      <w:r>
        <w:rPr>
          <w:rFonts w:hint="eastAsia" w:eastAsia="宋体"/>
          <w:color w:val="auto"/>
          <w:sz w:val="24"/>
          <w:highlight w:val="none"/>
          <w:lang w:val="en-US" w:eastAsia="zh-CN"/>
        </w:rPr>
        <w:t>投标人</w:t>
      </w:r>
      <w:r>
        <w:rPr>
          <w:rFonts w:hint="eastAsia" w:ascii="宋体" w:hAnsi="宋体" w:eastAsia="宋体"/>
          <w:color w:val="auto"/>
          <w:sz w:val="24"/>
          <w:highlight w:val="none"/>
          <w:lang w:val="zh-CN" w:eastAsia="zh-CN"/>
        </w:rPr>
        <w:t>登录兵团政府采购网“投标人注册”—“新疆生产建设兵团政府采购投标人入驻登记”—“立即登记”进行自助注册绑定。</w:t>
      </w:r>
    </w:p>
    <w:p w14:paraId="18ECC266">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2</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投标人将</w:t>
      </w:r>
      <w:r>
        <w:rPr>
          <w:rFonts w:hint="eastAsia" w:ascii="宋体" w:hAnsi="宋体" w:eastAsia="宋体"/>
          <w:color w:val="auto"/>
          <w:sz w:val="24"/>
          <w:highlight w:val="none"/>
          <w:lang w:val="en-US"/>
        </w:rPr>
        <w:t>兵团</w:t>
      </w:r>
      <w:r>
        <w:rPr>
          <w:rFonts w:hint="eastAsia" w:ascii="宋体" w:hAnsi="宋体" w:eastAsia="宋体"/>
          <w:color w:val="auto"/>
          <w:sz w:val="24"/>
          <w:highlight w:val="none"/>
        </w:rPr>
        <w:t>政府采购</w:t>
      </w:r>
      <w:r>
        <w:rPr>
          <w:rFonts w:hint="eastAsia" w:ascii="宋体" w:hAnsi="宋体" w:eastAsia="宋体"/>
          <w:color w:val="auto"/>
          <w:sz w:val="24"/>
          <w:highlight w:val="none"/>
          <w:lang w:val="en-US"/>
        </w:rPr>
        <w:t>电子交易云</w:t>
      </w:r>
      <w:r>
        <w:rPr>
          <w:rFonts w:hint="eastAsia" w:ascii="宋体" w:hAnsi="宋体" w:eastAsia="宋体"/>
          <w:color w:val="auto"/>
          <w:sz w:val="24"/>
          <w:highlight w:val="none"/>
        </w:rPr>
        <w:t>平台电子交易客户端下载、安装完成后，可通过账号密码或CA登录客户端进行</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制作。在使用政采云投标客户端时，建议使用WIN7及以上操作系统。</w:t>
      </w:r>
      <w:r>
        <w:rPr>
          <w:rFonts w:hint="eastAsia" w:eastAsia="宋体"/>
          <w:color w:val="auto"/>
          <w:sz w:val="24"/>
          <w:highlight w:val="none"/>
          <w:lang w:val="en-US" w:eastAsia="zh-CN"/>
        </w:rPr>
        <w:t>投标人</w:t>
      </w:r>
      <w:r>
        <w:rPr>
          <w:rFonts w:hint="eastAsia" w:ascii="宋体" w:hAnsi="宋体" w:eastAsia="宋体"/>
          <w:color w:val="auto"/>
          <w:sz w:val="24"/>
          <w:highlight w:val="none"/>
        </w:rPr>
        <w:t>登录兵团政府采购网“下载专区”—“电子招投标客户端下载”下载相关客户端，如有问题可拨打政采云客户服务热线95763进行咨询。</w:t>
      </w:r>
    </w:p>
    <w:p w14:paraId="1E16A3EF">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3</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加密的电子</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应在</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递交截止时间前通过政采云平台上传完成。逾期上传或者未上传指定地点的</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，不予受理。</w:t>
      </w:r>
    </w:p>
    <w:p w14:paraId="53B28965">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4</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投标人在开标前须提前配置好电脑</w:t>
      </w:r>
      <w:r>
        <w:rPr>
          <w:rFonts w:hint="eastAsia" w:eastAsia="宋体"/>
          <w:color w:val="auto"/>
          <w:sz w:val="24"/>
          <w:highlight w:val="none"/>
          <w:lang w:val="en-US" w:eastAsia="zh-CN"/>
        </w:rPr>
        <w:t>及</w:t>
      </w:r>
      <w:r>
        <w:rPr>
          <w:rFonts w:hint="eastAsia" w:ascii="宋体" w:hAnsi="宋体" w:eastAsia="宋体"/>
          <w:color w:val="auto"/>
          <w:sz w:val="24"/>
          <w:highlight w:val="none"/>
        </w:rPr>
        <w:t>浏览器，开标时请使用制作加密电子</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的CA锁进行解密及报价确认。本项目</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解密时间</w:t>
      </w:r>
      <w:r>
        <w:rPr>
          <w:rFonts w:hint="eastAsia" w:eastAsia="宋体"/>
          <w:color w:val="auto"/>
          <w:sz w:val="24"/>
          <w:highlight w:val="none"/>
          <w:lang w:val="en-US" w:eastAsia="zh-CN"/>
        </w:rPr>
        <w:t>详见“投标人须知前附表”</w:t>
      </w:r>
      <w:r>
        <w:rPr>
          <w:rFonts w:hint="eastAsia" w:ascii="宋体" w:hAnsi="宋体" w:eastAsia="宋体"/>
          <w:color w:val="auto"/>
          <w:sz w:val="24"/>
          <w:highlight w:val="none"/>
        </w:rPr>
        <w:t>，如因自身原因导致无法正常解密，后果由投标人自行承担。</w:t>
      </w:r>
    </w:p>
    <w:p w14:paraId="469768F0">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5</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如遇“</w:t>
      </w:r>
      <w:r>
        <w:rPr>
          <w:rFonts w:hint="eastAsia" w:ascii="宋体" w:hAnsi="宋体" w:eastAsia="宋体"/>
          <w:color w:val="auto"/>
          <w:sz w:val="24"/>
          <w:highlight w:val="none"/>
          <w:lang w:val="en-US"/>
        </w:rPr>
        <w:t>兵团</w:t>
      </w:r>
      <w:r>
        <w:rPr>
          <w:rFonts w:hint="eastAsia" w:ascii="宋体" w:hAnsi="宋体" w:eastAsia="宋体"/>
          <w:color w:val="auto"/>
          <w:sz w:val="24"/>
          <w:highlight w:val="none"/>
        </w:rPr>
        <w:t>政府采购</w:t>
      </w:r>
      <w:r>
        <w:rPr>
          <w:rFonts w:hint="eastAsia" w:ascii="宋体" w:hAnsi="宋体" w:eastAsia="宋体"/>
          <w:color w:val="auto"/>
          <w:sz w:val="24"/>
          <w:highlight w:val="none"/>
          <w:lang w:val="en-US"/>
        </w:rPr>
        <w:t>电子交易云</w:t>
      </w:r>
      <w:r>
        <w:rPr>
          <w:rFonts w:hint="eastAsia" w:ascii="宋体" w:hAnsi="宋体" w:eastAsia="宋体"/>
          <w:color w:val="auto"/>
          <w:sz w:val="24"/>
          <w:highlight w:val="none"/>
        </w:rPr>
        <w:t>平台</w:t>
      </w:r>
      <w:r>
        <w:rPr>
          <w:rFonts w:hint="eastAsia" w:ascii="宋体" w:hAnsi="宋体" w:eastAsia="宋体"/>
          <w:color w:val="auto"/>
          <w:sz w:val="24"/>
          <w:highlight w:val="none"/>
          <w:lang w:val="hr-HR"/>
        </w:rPr>
        <w:t>（</w:t>
      </w:r>
      <w:r>
        <w:rPr>
          <w:rFonts w:hint="eastAsia" w:ascii="宋体" w:hAnsi="宋体" w:eastAsia="宋体"/>
          <w:color w:val="auto"/>
          <w:sz w:val="24"/>
          <w:highlight w:val="none"/>
        </w:rPr>
        <w:t>网址</w:t>
      </w:r>
      <w:r>
        <w:rPr>
          <w:rFonts w:hint="eastAsia" w:ascii="宋体" w:hAnsi="宋体" w:eastAsia="宋体"/>
          <w:color w:val="auto"/>
          <w:sz w:val="24"/>
          <w:highlight w:val="none"/>
          <w:lang w:val="hr-HR"/>
        </w:rPr>
        <w:t>：https://www.zcygov.cn/）</w:t>
      </w:r>
      <w:r>
        <w:rPr>
          <w:rFonts w:hint="eastAsia" w:ascii="宋体" w:hAnsi="宋体" w:eastAsia="宋体"/>
          <w:color w:val="auto"/>
          <w:sz w:val="24"/>
          <w:highlight w:val="none"/>
        </w:rPr>
        <w:t>”电子交易规则调整，以最新要求为准。</w:t>
      </w:r>
    </w:p>
    <w:p w14:paraId="08AA0ABB">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.6 电子交易系统咨询：投标人应当充分考虑到电子投标可能会发生的各种问题和风险，特别是投标文件签署、提交等问题，</w:t>
      </w:r>
      <w:r>
        <w:rPr>
          <w:rFonts w:hint="eastAsia" w:eastAsia="宋体"/>
          <w:color w:val="auto"/>
          <w:sz w:val="24"/>
          <w:highlight w:val="none"/>
          <w:lang w:val="en-US" w:eastAsia="zh-CN"/>
        </w:rPr>
        <w:t>可</w:t>
      </w:r>
      <w:r>
        <w:rPr>
          <w:rFonts w:hint="eastAsia" w:ascii="宋体" w:hAnsi="宋体" w:eastAsia="宋体"/>
          <w:color w:val="auto"/>
          <w:sz w:val="24"/>
          <w:highlight w:val="none"/>
          <w:lang w:val="en-US" w:eastAsia="zh-CN"/>
        </w:rPr>
        <w:t>按照“</w:t>
      </w:r>
      <w:r>
        <w:rPr>
          <w:rFonts w:hint="eastAsia" w:eastAsia="宋体"/>
          <w:color w:val="auto"/>
          <w:sz w:val="24"/>
          <w:highlight w:val="none"/>
          <w:lang w:val="en-US" w:eastAsia="zh-CN"/>
        </w:rPr>
        <w:t>第一章 招标公告</w:t>
      </w:r>
      <w:r>
        <w:rPr>
          <w:rFonts w:hint="eastAsia" w:ascii="宋体" w:hAnsi="宋体" w:eastAsia="宋体"/>
          <w:color w:val="auto"/>
          <w:sz w:val="24"/>
          <w:highlight w:val="none"/>
          <w:lang w:val="en-US" w:eastAsia="zh-CN"/>
        </w:rPr>
        <w:t>”的</w:t>
      </w:r>
      <w:r>
        <w:rPr>
          <w:rFonts w:hint="eastAsia" w:eastAsia="宋体"/>
          <w:color w:val="auto"/>
          <w:sz w:val="24"/>
          <w:highlight w:val="none"/>
          <w:lang w:val="en-US" w:eastAsia="zh-CN"/>
        </w:rPr>
        <w:t>联系方式咨询相关人员</w:t>
      </w:r>
      <w:r>
        <w:rPr>
          <w:rFonts w:hint="eastAsia" w:ascii="宋体" w:hAnsi="宋体" w:eastAsia="宋体"/>
          <w:color w:val="auto"/>
          <w:sz w:val="24"/>
          <w:highlight w:val="none"/>
          <w:lang w:val="en-US" w:eastAsia="zh-CN"/>
        </w:rPr>
        <w:t>。</w:t>
      </w:r>
    </w:p>
    <w:p w14:paraId="39CA1037">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.7 由于本项目采用电子招标方式，潜在投标人的名单将在</w:t>
      </w:r>
      <w:r>
        <w:rPr>
          <w:rFonts w:hint="eastAsia" w:eastAsia="宋体"/>
          <w:color w:val="auto"/>
          <w:sz w:val="24"/>
          <w:highlight w:val="none"/>
          <w:lang w:val="en-US" w:eastAsia="zh-CN"/>
        </w:rPr>
        <w:t>提交</w:t>
      </w:r>
      <w:r>
        <w:rPr>
          <w:rFonts w:hint="eastAsia" w:ascii="宋体" w:hAnsi="宋体" w:eastAsia="宋体"/>
          <w:color w:val="auto"/>
          <w:sz w:val="24"/>
          <w:highlight w:val="none"/>
          <w:lang w:val="en-US" w:eastAsia="zh-CN"/>
        </w:rPr>
        <w:t>投标</w:t>
      </w:r>
      <w:r>
        <w:rPr>
          <w:rFonts w:hint="eastAsia" w:eastAsia="宋体"/>
          <w:color w:val="auto"/>
          <w:sz w:val="24"/>
          <w:highlight w:val="none"/>
          <w:lang w:val="en-US" w:eastAsia="zh-CN"/>
        </w:rPr>
        <w:t>文件</w:t>
      </w:r>
      <w:r>
        <w:rPr>
          <w:rFonts w:hint="eastAsia" w:ascii="宋体" w:hAnsi="宋体" w:eastAsia="宋体"/>
          <w:color w:val="auto"/>
          <w:sz w:val="24"/>
          <w:highlight w:val="none"/>
          <w:lang w:val="en-US" w:eastAsia="zh-CN"/>
        </w:rPr>
        <w:t>截止时间后才会解密。因此，采购人或采购代理机构无法通过传统的传真或邮件方式，将招标文件的澄清或修改内容逐一通知到每位已获取招标文件的潜在投标人。为确保信息的及时性和准确性，澄清或修改的内容将仅在政采云平台以更正公告的形式发布。潜在投标人需密切关注该网站，及时查看并下载相关更正公告。若因潜在投标人未能及时查看或下载相关更正公告，而导致的一切后果，将由潜在投标人自行承担。</w:t>
      </w:r>
    </w:p>
    <w:p w14:paraId="7A306C00">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197" w:name="_Toc27586"/>
      <w:bookmarkStart w:id="198" w:name="_Toc2058"/>
      <w:bookmarkStart w:id="199" w:name="_Toc2606"/>
      <w:bookmarkStart w:id="200" w:name="_Toc18137"/>
      <w:bookmarkStart w:id="201" w:name="_Toc163492834"/>
      <w:bookmarkStart w:id="202" w:name="_Toc25633"/>
      <w:r>
        <w:rPr>
          <w:rFonts w:hint="eastAsia" w:ascii="宋体" w:hAnsi="宋体" w:eastAsia="宋体" w:cstheme="minorBidi"/>
          <w:b/>
          <w:bCs/>
          <w:color w:val="auto"/>
          <w:kern w:val="2"/>
          <w:sz w:val="24"/>
          <w:szCs w:val="32"/>
          <w:highlight w:val="none"/>
          <w:lang w:val="en-US" w:eastAsia="zh-CN" w:bidi="ar-SA"/>
        </w:rPr>
        <w:t>（二）招标文件</w:t>
      </w:r>
      <w:bookmarkEnd w:id="196"/>
      <w:bookmarkEnd w:id="197"/>
      <w:bookmarkEnd w:id="198"/>
      <w:bookmarkEnd w:id="199"/>
      <w:bookmarkEnd w:id="200"/>
      <w:bookmarkEnd w:id="201"/>
      <w:bookmarkEnd w:id="202"/>
    </w:p>
    <w:p w14:paraId="08A2C6A4">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03" w:name="_Toc140132768"/>
      <w:bookmarkStart w:id="204" w:name="_Toc13808"/>
      <w:bookmarkStart w:id="205" w:name="_Toc163492835"/>
      <w:bookmarkStart w:id="206" w:name="_Toc27444"/>
      <w:bookmarkStart w:id="207" w:name="_Toc7878"/>
      <w:bookmarkStart w:id="208" w:name="_Toc11591"/>
      <w:bookmarkStart w:id="209" w:name="_Toc24167"/>
      <w:r>
        <w:rPr>
          <w:rFonts w:hint="eastAsia" w:ascii="宋体" w:hAnsi="宋体" w:eastAsia="宋体" w:cs="宋体"/>
          <w:b/>
          <w:bCs/>
          <w:color w:val="auto"/>
          <w:kern w:val="2"/>
          <w:sz w:val="24"/>
          <w:szCs w:val="28"/>
          <w:highlight w:val="none"/>
          <w:lang w:val="en-US" w:eastAsia="zh-CN" w:bidi="ar-SA"/>
        </w:rPr>
        <w:t>11.招标文件的组成</w:t>
      </w:r>
      <w:bookmarkEnd w:id="203"/>
      <w:bookmarkEnd w:id="204"/>
      <w:bookmarkEnd w:id="205"/>
      <w:bookmarkEnd w:id="206"/>
      <w:bookmarkEnd w:id="207"/>
      <w:bookmarkEnd w:id="208"/>
      <w:bookmarkEnd w:id="209"/>
    </w:p>
    <w:p w14:paraId="0FCCC628">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1</w:t>
      </w:r>
      <w:r>
        <w:rPr>
          <w:rFonts w:hint="eastAsia" w:eastAsia="宋体" w:cs="仿宋_GB2312"/>
          <w:color w:val="auto"/>
          <w:sz w:val="24"/>
          <w:szCs w:val="24"/>
          <w:highlight w:val="none"/>
        </w:rPr>
        <w:t>.1本招标文件包括下列文件及根据本章第9款、第</w:t>
      </w: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款对招标文件所作的澄清或者修改。</w:t>
      </w:r>
    </w:p>
    <w:p w14:paraId="5876B8A3">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 xml:space="preserve">第一章 </w:t>
      </w:r>
      <w:r>
        <w:rPr>
          <w:rFonts w:hint="eastAsia" w:eastAsia="宋体"/>
          <w:color w:val="auto"/>
          <w:sz w:val="24"/>
          <w:highlight w:val="none"/>
          <w:lang w:val="en-US" w:eastAsia="zh-CN"/>
        </w:rPr>
        <w:t>招标公告</w:t>
      </w:r>
    </w:p>
    <w:p w14:paraId="626801D6">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第二章 投标人须知</w:t>
      </w:r>
    </w:p>
    <w:p w14:paraId="5E339F13">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第三章 采购需求</w:t>
      </w:r>
    </w:p>
    <w:p w14:paraId="750A6D4C">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第四章 资格审查</w:t>
      </w:r>
    </w:p>
    <w:p w14:paraId="08BF9358">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第五章 评标</w:t>
      </w:r>
      <w:r>
        <w:rPr>
          <w:rFonts w:hint="eastAsia" w:eastAsia="宋体" w:cs="仿宋_GB2312"/>
          <w:color w:val="auto"/>
          <w:sz w:val="24"/>
          <w:szCs w:val="24"/>
          <w:highlight w:val="none"/>
          <w:lang w:val="en-US" w:eastAsia="zh-CN"/>
        </w:rPr>
        <w:t>方</w:t>
      </w:r>
      <w:r>
        <w:rPr>
          <w:rFonts w:hint="eastAsia" w:eastAsia="宋体" w:cs="仿宋_GB2312"/>
          <w:color w:val="auto"/>
          <w:sz w:val="24"/>
          <w:szCs w:val="24"/>
          <w:highlight w:val="none"/>
        </w:rPr>
        <w:t>法及标准</w:t>
      </w:r>
    </w:p>
    <w:p w14:paraId="3F57501F">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第六章 合同草案</w:t>
      </w:r>
    </w:p>
    <w:p w14:paraId="5855AFA7">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第七章 投标文件的格式</w:t>
      </w:r>
    </w:p>
    <w:p w14:paraId="78CADEE1">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10" w:name="_Toc30904"/>
      <w:bookmarkStart w:id="211" w:name="_Toc14064"/>
      <w:bookmarkStart w:id="212" w:name="_Toc13699"/>
      <w:bookmarkStart w:id="213" w:name="_Toc20196"/>
      <w:bookmarkStart w:id="214" w:name="_Toc163492836"/>
      <w:bookmarkStart w:id="215" w:name="_Toc28460"/>
      <w:bookmarkStart w:id="216" w:name="_Toc140132769"/>
      <w:r>
        <w:rPr>
          <w:rFonts w:hint="eastAsia" w:ascii="宋体" w:hAnsi="宋体" w:eastAsia="宋体" w:cs="宋体"/>
          <w:b/>
          <w:bCs/>
          <w:color w:val="auto"/>
          <w:kern w:val="2"/>
          <w:sz w:val="24"/>
          <w:szCs w:val="28"/>
          <w:highlight w:val="none"/>
          <w:lang w:val="en-US" w:eastAsia="zh-CN" w:bidi="ar-SA"/>
        </w:rPr>
        <w:t>12.招标文件的询问、澄清或者修改</w:t>
      </w:r>
      <w:bookmarkEnd w:id="210"/>
      <w:bookmarkEnd w:id="211"/>
      <w:bookmarkEnd w:id="212"/>
      <w:bookmarkEnd w:id="213"/>
      <w:bookmarkEnd w:id="214"/>
      <w:bookmarkEnd w:id="215"/>
      <w:bookmarkEnd w:id="216"/>
    </w:p>
    <w:p w14:paraId="3A36B8C0">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w:t>
      </w:r>
      <w:r>
        <w:rPr>
          <w:rFonts w:eastAsia="宋体" w:cs="仿宋_GB2312"/>
          <w:color w:val="auto"/>
          <w:sz w:val="24"/>
          <w:szCs w:val="24"/>
          <w:highlight w:val="none"/>
        </w:rPr>
        <w:t>1</w:t>
      </w:r>
      <w:r>
        <w:rPr>
          <w:rFonts w:hint="eastAsia" w:eastAsia="宋体" w:cs="仿宋_GB2312"/>
          <w:color w:val="auto"/>
          <w:sz w:val="24"/>
          <w:szCs w:val="24"/>
          <w:highlight w:val="none"/>
        </w:rPr>
        <w:t xml:space="preserve"> 投标人对采购项目有疑问的，可以按照“投标人须知前附表”中的规定提出询问。提出后，请投标人及时通过交易平台“答疑文件下载”栏目查看答疑文件或澄清文件。必要时，采购代理机构将组织相关专家召开答疑会，如召开，答疑会安排另行通知。采购人或采购代理机构将在收到询问后依法予以答复。对招标文件询问的答复，在必要时将以澄清形式推送给每个获取招标文件的潜在投标人(答复中不包括问题的来源)。</w:t>
      </w:r>
    </w:p>
    <w:p w14:paraId="56F4138C">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投标人在规定的时间内未对招标文件提出疑问或要求澄清的，采购代理机构将视其为同意，对在“投标人须知前附表”中“</w:t>
      </w:r>
      <w:r>
        <w:rPr>
          <w:rFonts w:hint="eastAsia" w:eastAsia="宋体" w:cs="仿宋_GB2312"/>
          <w:color w:val="auto"/>
          <w:sz w:val="24"/>
          <w:szCs w:val="24"/>
          <w:highlight w:val="none"/>
          <w:lang w:val="en-US" w:eastAsia="zh-CN"/>
        </w:rPr>
        <w:t>提出询问的</w:t>
      </w:r>
      <w:r>
        <w:rPr>
          <w:rFonts w:hint="eastAsia" w:eastAsia="宋体" w:cs="仿宋_GB2312"/>
          <w:color w:val="auto"/>
          <w:sz w:val="24"/>
          <w:szCs w:val="24"/>
          <w:highlight w:val="none"/>
        </w:rPr>
        <w:t>时间</w:t>
      </w:r>
      <w:r>
        <w:rPr>
          <w:rFonts w:hint="eastAsia" w:eastAsia="宋体" w:cs="仿宋_GB2312"/>
          <w:color w:val="auto"/>
          <w:sz w:val="24"/>
          <w:szCs w:val="24"/>
          <w:highlight w:val="none"/>
          <w:lang w:val="en-US" w:eastAsia="zh-CN"/>
        </w:rPr>
        <w:t>要求</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之</w:t>
      </w:r>
      <w:r>
        <w:rPr>
          <w:rFonts w:hint="eastAsia" w:eastAsia="宋体" w:cs="仿宋_GB2312"/>
          <w:color w:val="auto"/>
          <w:sz w:val="24"/>
          <w:szCs w:val="24"/>
          <w:highlight w:val="none"/>
        </w:rPr>
        <w:t>后就招标文件内容提出的疑问及澄清要求将不予受理。</w:t>
      </w:r>
    </w:p>
    <w:p w14:paraId="4A5FAB87">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.2 采购人或者采购代理机构可以对已发出的招标文件进行必要的澄清或者修改。</w:t>
      </w:r>
      <w:r>
        <w:rPr>
          <w:rFonts w:hint="eastAsia" w:eastAsia="宋体"/>
          <w:color w:val="auto"/>
          <w:sz w:val="24"/>
          <w:highlight w:val="none"/>
        </w:rPr>
        <w:t>澄清或修改的内容为招标文件的组成部分，并对所有获取招标文件的潜在投标人具有约束力。</w:t>
      </w:r>
    </w:p>
    <w:p w14:paraId="1EB83C80">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.3 招标文件的澄清或者修改以当面交接、邮寄、传真或电子邮件、网站披露等其中至少一种方式，发给所有领取招标文件的</w:t>
      </w:r>
      <w:r>
        <w:rPr>
          <w:rFonts w:hint="eastAsia" w:eastAsia="宋体" w:cs="仿宋_GB2312"/>
          <w:color w:val="auto"/>
          <w:sz w:val="24"/>
          <w:szCs w:val="24"/>
          <w:highlight w:val="none"/>
          <w:lang w:val="en-US" w:eastAsia="zh-CN"/>
        </w:rPr>
        <w:t>潜在</w:t>
      </w:r>
      <w:r>
        <w:rPr>
          <w:rFonts w:hint="eastAsia" w:eastAsia="宋体" w:cs="仿宋_GB2312"/>
          <w:color w:val="auto"/>
          <w:sz w:val="24"/>
          <w:szCs w:val="24"/>
          <w:highlight w:val="none"/>
        </w:rPr>
        <w:t>投标人，但不包括问题的来源。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6F274E6E">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1</w:t>
      </w:r>
      <w:r>
        <w:rPr>
          <w:rFonts w:hint="eastAsia" w:eastAsia="宋体"/>
          <w:color w:val="auto"/>
          <w:sz w:val="24"/>
          <w:highlight w:val="none"/>
          <w:lang w:val="en-US" w:eastAsia="zh-CN"/>
        </w:rPr>
        <w:t>2</w:t>
      </w:r>
      <w:r>
        <w:rPr>
          <w:rFonts w:eastAsia="宋体"/>
          <w:color w:val="auto"/>
          <w:sz w:val="24"/>
          <w:highlight w:val="none"/>
        </w:rPr>
        <w:t>.</w:t>
      </w:r>
      <w:r>
        <w:rPr>
          <w:rFonts w:hint="eastAsia" w:eastAsia="宋体"/>
          <w:color w:val="auto"/>
          <w:sz w:val="24"/>
          <w:highlight w:val="none"/>
        </w:rPr>
        <w:t xml:space="preserve">4 </w:t>
      </w:r>
      <w:r>
        <w:rPr>
          <w:rFonts w:hint="eastAsia" w:eastAsia="宋体" w:cs="仿宋_GB2312"/>
          <w:color w:val="auto"/>
          <w:sz w:val="24"/>
          <w:szCs w:val="24"/>
          <w:highlight w:val="none"/>
          <w:lang w:val="en-US" w:eastAsia="zh-CN"/>
        </w:rPr>
        <w:t>“</w:t>
      </w:r>
      <w:r>
        <w:rPr>
          <w:rFonts w:hint="eastAsia" w:eastAsia="宋体" w:cs="仿宋_GB2312"/>
          <w:color w:val="auto"/>
          <w:sz w:val="24"/>
          <w:szCs w:val="24"/>
          <w:highlight w:val="none"/>
        </w:rPr>
        <w:t>投标人须知”所称“</w:t>
      </w:r>
      <w:r>
        <w:rPr>
          <w:rFonts w:hint="eastAsia" w:eastAsia="宋体"/>
          <w:color w:val="auto"/>
          <w:sz w:val="24"/>
          <w:highlight w:val="none"/>
        </w:rPr>
        <w:t>书面形式</w:t>
      </w:r>
      <w:r>
        <w:rPr>
          <w:rFonts w:hint="eastAsia" w:eastAsia="宋体" w:cs="仿宋_GB2312"/>
          <w:color w:val="auto"/>
          <w:sz w:val="24"/>
          <w:szCs w:val="24"/>
          <w:highlight w:val="none"/>
        </w:rPr>
        <w:t>”</w:t>
      </w:r>
      <w:r>
        <w:rPr>
          <w:rFonts w:hint="eastAsia" w:eastAsia="宋体"/>
          <w:color w:val="auto"/>
          <w:sz w:val="24"/>
          <w:highlight w:val="none"/>
        </w:rPr>
        <w:t>包括系统消息、政府采购</w:t>
      </w:r>
      <w:r>
        <w:rPr>
          <w:rFonts w:hint="eastAsia" w:eastAsia="宋体"/>
          <w:color w:val="auto"/>
          <w:sz w:val="24"/>
          <w:highlight w:val="none"/>
          <w:lang w:val="en-US" w:eastAsia="zh-CN"/>
        </w:rPr>
        <w:t>云平台</w:t>
      </w:r>
      <w:r>
        <w:rPr>
          <w:rFonts w:hint="eastAsia" w:eastAsia="宋体"/>
          <w:color w:val="auto"/>
          <w:sz w:val="24"/>
          <w:highlight w:val="none"/>
        </w:rPr>
        <w:t>发布的公告。</w:t>
      </w:r>
    </w:p>
    <w:p w14:paraId="1E6D774C">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2</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5</w:t>
      </w:r>
      <w:r>
        <w:rPr>
          <w:rFonts w:hint="eastAsia" w:ascii="宋体" w:hAnsi="宋体" w:eastAsia="宋体" w:cs="宋体"/>
          <w:color w:val="auto"/>
          <w:kern w:val="2"/>
          <w:sz w:val="24"/>
          <w:szCs w:val="22"/>
          <w:highlight w:val="none"/>
        </w:rPr>
        <w:t>采购代理机构一旦对招标文件作出了澄清、修改，即刻发生效力，采购代理机构有关的澄清、修改文件，将作为招标文件的组成部分，对所有现实的或潜在的投标人均具有约束力，而无论是否已经实际收到上述文件。同时，采购代理机构和投标人的权利及义务将受到新的截止期的约束。</w:t>
      </w:r>
    </w:p>
    <w:p w14:paraId="39FCE417">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2</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采购代理机构对招标文件作出的澄清、修改在平台内进行披露，请投标人及时关注并获取相关资料。因登记有误、线路故障或其它任何意外情形，导致投标人未及时获取的，采购代理机构不因此承担任何责任，且有关的招标活动继续有效地进行。当招标文件的澄清、修改及进行其他答复等就同一内容的表述不一致时，以最后发布的内容为准。</w:t>
      </w:r>
    </w:p>
    <w:p w14:paraId="578320B0">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217" w:name="_Toc155185872"/>
      <w:bookmarkStart w:id="218" w:name="_Toc195"/>
      <w:bookmarkStart w:id="219" w:name="_Toc163492837"/>
      <w:bookmarkStart w:id="220" w:name="_Toc21666"/>
      <w:bookmarkStart w:id="221" w:name="_Toc9097"/>
      <w:bookmarkStart w:id="222" w:name="_Toc13035"/>
      <w:bookmarkStart w:id="223" w:name="_Toc3060"/>
      <w:r>
        <w:rPr>
          <w:rFonts w:hint="eastAsia" w:ascii="宋体" w:hAnsi="宋体" w:eastAsia="宋体" w:cstheme="minorBidi"/>
          <w:b/>
          <w:bCs/>
          <w:color w:val="auto"/>
          <w:kern w:val="2"/>
          <w:sz w:val="24"/>
          <w:szCs w:val="32"/>
          <w:highlight w:val="none"/>
          <w:lang w:val="en-US" w:eastAsia="zh-CN" w:bidi="ar-SA"/>
        </w:rPr>
        <w:t>（三）投标文件</w:t>
      </w:r>
      <w:bookmarkEnd w:id="217"/>
      <w:bookmarkEnd w:id="218"/>
      <w:bookmarkEnd w:id="219"/>
      <w:bookmarkEnd w:id="220"/>
      <w:bookmarkEnd w:id="221"/>
      <w:bookmarkEnd w:id="222"/>
      <w:bookmarkEnd w:id="223"/>
    </w:p>
    <w:p w14:paraId="67D7EC68">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224" w:name="_Toc163492838"/>
      <w:bookmarkStart w:id="225" w:name="_Toc17068"/>
      <w:bookmarkStart w:id="226" w:name="_Toc24818"/>
      <w:bookmarkStart w:id="227" w:name="_Toc1776"/>
      <w:bookmarkStart w:id="228" w:name="_Toc30794"/>
      <w:bookmarkStart w:id="229" w:name="_Toc13879"/>
      <w:r>
        <w:rPr>
          <w:rFonts w:hint="eastAsia" w:ascii="宋体" w:hAnsi="宋体" w:eastAsia="宋体" w:cs="宋体"/>
          <w:b/>
          <w:bCs/>
          <w:color w:val="auto"/>
          <w:kern w:val="2"/>
          <w:sz w:val="24"/>
          <w:szCs w:val="28"/>
          <w:highlight w:val="none"/>
          <w:lang w:val="en-US" w:eastAsia="zh-CN" w:bidi="ar-SA"/>
        </w:rPr>
        <w:t>13.投标文件的组成</w:t>
      </w:r>
      <w:bookmarkEnd w:id="224"/>
      <w:bookmarkEnd w:id="225"/>
      <w:bookmarkEnd w:id="226"/>
      <w:bookmarkEnd w:id="227"/>
      <w:bookmarkEnd w:id="228"/>
      <w:bookmarkEnd w:id="229"/>
    </w:p>
    <w:p w14:paraId="174A0A3D">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bookmarkStart w:id="230" w:name="_Toc163492839"/>
      <w:bookmarkStart w:id="231" w:name="_Toc140132772"/>
      <w:r>
        <w:rPr>
          <w:rFonts w:hint="eastAsia" w:ascii="宋体" w:hAnsi="宋体" w:eastAsia="宋体" w:cs="宋体"/>
          <w:color w:val="auto"/>
          <w:kern w:val="2"/>
          <w:sz w:val="24"/>
          <w:szCs w:val="22"/>
          <w:highlight w:val="none"/>
          <w:lang w:val="en-US" w:eastAsia="zh-CN"/>
        </w:rPr>
        <w:t>13</w:t>
      </w:r>
      <w:r>
        <w:rPr>
          <w:rFonts w:hint="eastAsia" w:ascii="宋体" w:hAnsi="宋体" w:eastAsia="宋体" w:cs="宋体"/>
          <w:color w:val="auto"/>
          <w:kern w:val="2"/>
          <w:sz w:val="24"/>
          <w:szCs w:val="22"/>
          <w:highlight w:val="none"/>
        </w:rPr>
        <w:t>.1投标人应完整地按招标文件提供的投标文件格式及要求编写投标文件，具体内容详见</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lang w:val="en-US" w:eastAsia="zh-CN"/>
        </w:rPr>
        <w:t xml:space="preserve">第七章 </w:t>
      </w:r>
      <w:r>
        <w:rPr>
          <w:rFonts w:hint="eastAsia" w:ascii="宋体" w:hAnsi="宋体" w:eastAsia="宋体" w:cs="宋体"/>
          <w:color w:val="auto"/>
          <w:kern w:val="2"/>
          <w:sz w:val="24"/>
          <w:szCs w:val="22"/>
          <w:highlight w:val="none"/>
        </w:rPr>
        <w:t>投标文件格式</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的相关内容。</w:t>
      </w:r>
    </w:p>
    <w:p w14:paraId="3BB3A0B7">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13.2</w:t>
      </w:r>
      <w:r>
        <w:rPr>
          <w:rFonts w:hint="eastAsia" w:ascii="宋体" w:hAnsi="宋体" w:eastAsia="宋体" w:cs="宋体"/>
          <w:color w:val="auto"/>
          <w:kern w:val="2"/>
          <w:sz w:val="24"/>
          <w:szCs w:val="22"/>
          <w:highlight w:val="none"/>
        </w:rPr>
        <w:t>投标人应提交招标文件要求的证明文件，证明其投标内容符合招标文件规定</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该证明文件是投标文件的一部分</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证明文件</w:t>
      </w:r>
      <w:r>
        <w:rPr>
          <w:rFonts w:hint="eastAsia" w:ascii="宋体" w:hAnsi="宋体" w:eastAsia="宋体" w:cs="宋体"/>
          <w:color w:val="auto"/>
          <w:kern w:val="2"/>
          <w:sz w:val="24"/>
          <w:szCs w:val="22"/>
          <w:highlight w:val="none"/>
          <w:lang w:val="en-US" w:eastAsia="zh-CN"/>
        </w:rPr>
        <w:t>形式</w:t>
      </w:r>
      <w:r>
        <w:rPr>
          <w:rFonts w:hint="eastAsia" w:ascii="宋体" w:hAnsi="宋体" w:eastAsia="宋体" w:cs="宋体"/>
          <w:color w:val="auto"/>
          <w:kern w:val="2"/>
          <w:sz w:val="24"/>
          <w:szCs w:val="22"/>
          <w:highlight w:val="none"/>
        </w:rPr>
        <w:t>可以是文字资料、图纸和数据</w:t>
      </w:r>
      <w:bookmarkStart w:id="232" w:name="_Hlk11703583"/>
      <w:r>
        <w:rPr>
          <w:rFonts w:hint="eastAsia" w:ascii="宋体" w:hAnsi="宋体" w:eastAsia="宋体" w:cs="宋体"/>
          <w:color w:val="auto"/>
          <w:kern w:val="2"/>
          <w:sz w:val="24"/>
          <w:szCs w:val="22"/>
          <w:highlight w:val="none"/>
          <w:lang w:val="en-US" w:eastAsia="zh-CN"/>
        </w:rPr>
        <w:t>等。</w:t>
      </w:r>
    </w:p>
    <w:bookmarkEnd w:id="232"/>
    <w:p w14:paraId="781BBAEB">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13.3</w:t>
      </w:r>
      <w:r>
        <w:rPr>
          <w:rFonts w:hint="eastAsia" w:ascii="宋体" w:hAnsi="宋体" w:eastAsia="宋体" w:cs="宋体"/>
          <w:color w:val="auto"/>
          <w:kern w:val="2"/>
          <w:sz w:val="24"/>
          <w:szCs w:val="22"/>
          <w:highlight w:val="none"/>
        </w:rPr>
        <w:t>为保证公平公正，除非</w:t>
      </w:r>
      <w:r>
        <w:rPr>
          <w:rFonts w:hint="eastAsia" w:ascii="宋体" w:hAnsi="宋体" w:eastAsia="宋体" w:cs="宋体"/>
          <w:color w:val="auto"/>
          <w:kern w:val="2"/>
          <w:sz w:val="24"/>
          <w:szCs w:val="22"/>
          <w:highlight w:val="none"/>
          <w:lang w:val="en-US" w:eastAsia="zh-CN"/>
        </w:rPr>
        <w:t>本招标文件</w:t>
      </w:r>
      <w:r>
        <w:rPr>
          <w:rFonts w:hint="eastAsia" w:ascii="宋体" w:hAnsi="宋体" w:eastAsia="宋体" w:cs="宋体"/>
          <w:color w:val="auto"/>
          <w:kern w:val="2"/>
          <w:sz w:val="24"/>
          <w:szCs w:val="22"/>
          <w:highlight w:val="none"/>
        </w:rPr>
        <w:t>另有规定或说明，投标人对同一项目投标时，不得同时提供备选投标方案。</w:t>
      </w:r>
    </w:p>
    <w:p w14:paraId="2DB5A9E4">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33" w:name="_Toc893"/>
      <w:bookmarkStart w:id="234" w:name="_Toc26488"/>
      <w:bookmarkStart w:id="235" w:name="_Toc12233"/>
      <w:bookmarkStart w:id="236" w:name="_Toc16697"/>
      <w:bookmarkStart w:id="237" w:name="_Toc10265"/>
      <w:r>
        <w:rPr>
          <w:rFonts w:hint="eastAsia" w:ascii="宋体" w:hAnsi="宋体" w:eastAsia="宋体" w:cs="宋体"/>
          <w:b/>
          <w:bCs/>
          <w:color w:val="auto"/>
          <w:kern w:val="2"/>
          <w:sz w:val="24"/>
          <w:szCs w:val="28"/>
          <w:highlight w:val="none"/>
          <w:lang w:val="en-US" w:eastAsia="zh-CN" w:bidi="ar-SA"/>
        </w:rPr>
        <w:t>14.投标报价</w:t>
      </w:r>
      <w:bookmarkEnd w:id="230"/>
      <w:bookmarkEnd w:id="231"/>
      <w:bookmarkEnd w:id="233"/>
      <w:bookmarkEnd w:id="234"/>
      <w:bookmarkEnd w:id="235"/>
      <w:bookmarkEnd w:id="236"/>
      <w:bookmarkEnd w:id="237"/>
    </w:p>
    <w:p w14:paraId="3BD2CDC3">
      <w:pPr>
        <w:keepNext w:val="0"/>
        <w:keepLines w:val="0"/>
        <w:pageBreakBefore w:val="0"/>
        <w:widowControl w:val="0"/>
        <w:kinsoku/>
        <w:overflowPunct/>
        <w:topLinePunct w:val="0"/>
        <w:autoSpaceDE/>
        <w:autoSpaceDN/>
        <w:bidi w:val="0"/>
        <w:adjustRightInd/>
        <w:ind w:firstLine="480" w:firstLineChars="200"/>
        <w:textAlignment w:val="auto"/>
        <w:rPr>
          <w:rFonts w:eastAsia="宋体" w:cs="宋体"/>
          <w:snapToGrid w:val="0"/>
          <w:color w:val="auto"/>
          <w:sz w:val="24"/>
          <w:szCs w:val="24"/>
          <w:highlight w:val="none"/>
          <w:lang w:val="zh-CN"/>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 xml:space="preserve">.1 </w:t>
      </w:r>
      <w:r>
        <w:rPr>
          <w:rFonts w:hint="eastAsia" w:eastAsia="宋体" w:cs="宋体"/>
          <w:snapToGrid w:val="0"/>
          <w:color w:val="auto"/>
          <w:sz w:val="24"/>
          <w:szCs w:val="24"/>
          <w:highlight w:val="none"/>
          <w:lang w:val="zh-CN"/>
        </w:rPr>
        <w:t>投标人的报价均应以人民币进行报价。</w:t>
      </w:r>
    </w:p>
    <w:p w14:paraId="6CC00543">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宋体"/>
          <w:snapToGrid w:val="0"/>
          <w:color w:val="auto"/>
          <w:sz w:val="24"/>
          <w:szCs w:val="24"/>
          <w:highlight w:val="none"/>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.2 投标人应按照本招标文件规定的报价方式进行报价，投标报价中不得包含招标文件要求以外的内容，否则，在评标时不予核减。投标报价中也不得</w:t>
      </w:r>
      <w:r>
        <w:rPr>
          <w:rFonts w:hint="eastAsia" w:eastAsia="宋体" w:cs="宋体"/>
          <w:snapToGrid w:val="0"/>
          <w:color w:val="auto"/>
          <w:sz w:val="24"/>
          <w:szCs w:val="24"/>
          <w:highlight w:val="none"/>
          <w:lang w:val="en-US" w:eastAsia="zh-CN"/>
        </w:rPr>
        <w:t>缺</w:t>
      </w:r>
      <w:r>
        <w:rPr>
          <w:rFonts w:hint="eastAsia" w:eastAsia="宋体" w:cs="宋体"/>
          <w:snapToGrid w:val="0"/>
          <w:color w:val="auto"/>
          <w:sz w:val="24"/>
          <w:szCs w:val="24"/>
          <w:highlight w:val="none"/>
        </w:rPr>
        <w:t>漏招标文件所要求的内容，否则，其</w:t>
      </w:r>
      <w:r>
        <w:rPr>
          <w:rFonts w:hint="eastAsia" w:eastAsia="宋体" w:cs="宋体"/>
          <w:b/>
          <w:bCs/>
          <w:snapToGrid w:val="0"/>
          <w:color w:val="auto"/>
          <w:sz w:val="24"/>
          <w:szCs w:val="24"/>
          <w:highlight w:val="none"/>
        </w:rPr>
        <w:t>投标无效</w:t>
      </w:r>
      <w:r>
        <w:rPr>
          <w:rFonts w:hint="eastAsia" w:eastAsia="宋体" w:cs="宋体"/>
          <w:snapToGrid w:val="0"/>
          <w:color w:val="auto"/>
          <w:sz w:val="24"/>
          <w:szCs w:val="24"/>
          <w:highlight w:val="none"/>
        </w:rPr>
        <w:t>。</w:t>
      </w:r>
    </w:p>
    <w:p w14:paraId="1197AD09">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kern w:val="2"/>
          <w:sz w:val="24"/>
          <w:szCs w:val="22"/>
          <w:highlight w:val="none"/>
        </w:rPr>
      </w:pPr>
      <w:r>
        <w:rPr>
          <w:rFonts w:hint="eastAsia" w:eastAsia="宋体" w:cs="宋体"/>
          <w:color w:val="auto"/>
          <w:kern w:val="2"/>
          <w:sz w:val="24"/>
          <w:szCs w:val="22"/>
          <w:highlight w:val="none"/>
          <w:lang w:val="en-US" w:eastAsia="zh-CN"/>
        </w:rPr>
        <w:t>投标人的报价应包括为完成本项目所发生的一切费用和税费，采购人将不再支付报价以外的任何费用。</w:t>
      </w:r>
      <w:r>
        <w:rPr>
          <w:rFonts w:hint="eastAsia" w:ascii="宋体" w:hAnsi="宋体" w:eastAsia="宋体" w:cs="宋体"/>
          <w:color w:val="auto"/>
          <w:kern w:val="2"/>
          <w:sz w:val="24"/>
          <w:szCs w:val="22"/>
          <w:highlight w:val="none"/>
        </w:rPr>
        <w:t>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41BDFD38">
      <w:pPr>
        <w:pStyle w:val="11"/>
        <w:keepNext w:val="0"/>
        <w:keepLines w:val="0"/>
        <w:pageBreakBefore w:val="0"/>
        <w:widowControl w:val="0"/>
        <w:kinsoku/>
        <w:overflowPunct/>
        <w:topLinePunct w:val="0"/>
        <w:autoSpaceDE/>
        <w:autoSpaceDN/>
        <w:bidi w:val="0"/>
        <w:adjustRightInd/>
        <w:textAlignment w:val="auto"/>
        <w:rPr>
          <w:rFonts w:hint="eastAsia" w:eastAsia="宋体" w:cs="宋体"/>
          <w:color w:val="auto"/>
          <w:kern w:val="2"/>
          <w:sz w:val="24"/>
          <w:szCs w:val="22"/>
          <w:highlight w:val="none"/>
          <w:lang w:val="en-US" w:eastAsia="zh-CN"/>
        </w:rPr>
      </w:pPr>
      <w:r>
        <w:rPr>
          <w:rFonts w:hint="eastAsia" w:eastAsia="宋体" w:cs="宋体"/>
          <w:color w:val="auto"/>
          <w:kern w:val="2"/>
          <w:sz w:val="24"/>
          <w:szCs w:val="22"/>
          <w:highlight w:val="none"/>
          <w:lang w:val="en-US" w:eastAsia="zh-CN"/>
        </w:rPr>
        <w:t xml:space="preserve">投标人的报价应包括但不限于下列内容： </w:t>
      </w:r>
    </w:p>
    <w:p w14:paraId="4342C0DA">
      <w:pPr>
        <w:pStyle w:val="11"/>
        <w:keepNext w:val="0"/>
        <w:keepLines w:val="0"/>
        <w:pageBreakBefore w:val="0"/>
        <w:widowControl w:val="0"/>
        <w:kinsoku/>
        <w:overflowPunct/>
        <w:topLinePunct w:val="0"/>
        <w:autoSpaceDE/>
        <w:autoSpaceDN/>
        <w:bidi w:val="0"/>
        <w:adjustRightInd/>
        <w:textAlignment w:val="auto"/>
        <w:rPr>
          <w:rFonts w:hint="eastAsia" w:eastAsia="宋体" w:cs="宋体"/>
          <w:color w:val="auto"/>
          <w:kern w:val="2"/>
          <w:sz w:val="24"/>
          <w:szCs w:val="22"/>
          <w:highlight w:val="none"/>
          <w:lang w:val="en-US" w:eastAsia="zh-CN"/>
        </w:rPr>
      </w:pPr>
      <w:r>
        <w:rPr>
          <w:rFonts w:hint="eastAsia" w:ascii="宋体" w:hAnsi="宋体" w:eastAsia="宋体" w:cs="宋体"/>
          <w:snapToGrid w:val="0"/>
          <w:color w:val="auto"/>
          <w:kern w:val="2"/>
          <w:sz w:val="24"/>
          <w:szCs w:val="24"/>
          <w:highlight w:val="none"/>
          <w:lang w:val="en-US" w:eastAsia="zh-CN" w:bidi="ar-SA"/>
        </w:rPr>
        <w:t>14.2.1 投标货物及标准附件、备品备件、专用工具等的出厂价（包括已在中</w:t>
      </w:r>
      <w:r>
        <w:rPr>
          <w:rFonts w:hint="eastAsia" w:eastAsia="宋体" w:cs="宋体"/>
          <w:color w:val="auto"/>
          <w:kern w:val="2"/>
          <w:sz w:val="24"/>
          <w:szCs w:val="22"/>
          <w:highlight w:val="none"/>
          <w:lang w:val="en-US" w:eastAsia="zh-CN"/>
        </w:rPr>
        <w:t xml:space="preserve">国国内的进口货物完税后的仓库交货价、展室交货价或货架交货价）和运至最终目的地的运输费和保险费，安装调试、检验、技术服务、培训、质量保证、售后服务、税费等； </w:t>
      </w:r>
    </w:p>
    <w:p w14:paraId="412F0384">
      <w:pPr>
        <w:pStyle w:val="1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14.2.2 按照招标文件要求完成本项目的全部相关费用。</w:t>
      </w:r>
    </w:p>
    <w:p w14:paraId="3EFD841C">
      <w:pPr>
        <w:keepNext w:val="0"/>
        <w:keepLines w:val="0"/>
        <w:pageBreakBefore w:val="0"/>
        <w:widowControl w:val="0"/>
        <w:kinsoku/>
        <w:overflowPunct/>
        <w:topLinePunct w:val="0"/>
        <w:autoSpaceDE/>
        <w:autoSpaceDN/>
        <w:bidi w:val="0"/>
        <w:adjustRightInd/>
        <w:ind w:firstLine="480" w:firstLineChars="200"/>
        <w:textAlignment w:val="auto"/>
        <w:rPr>
          <w:rFonts w:eastAsia="宋体" w:cs="宋体"/>
          <w:snapToGrid w:val="0"/>
          <w:color w:val="auto"/>
          <w:sz w:val="24"/>
          <w:szCs w:val="24"/>
          <w:highlight w:val="none"/>
          <w:lang w:val="zh-CN"/>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 xml:space="preserve">.3 </w:t>
      </w:r>
      <w:r>
        <w:rPr>
          <w:rFonts w:hint="eastAsia" w:ascii="宋体" w:hAnsi="宋体" w:eastAsia="宋体" w:cs="宋体"/>
          <w:color w:val="auto"/>
          <w:kern w:val="2"/>
          <w:sz w:val="24"/>
          <w:szCs w:val="22"/>
          <w:highlight w:val="none"/>
        </w:rPr>
        <w:t>投标人须严格按照</w:t>
      </w:r>
      <w:r>
        <w:rPr>
          <w:rFonts w:hint="eastAsia" w:eastAsia="宋体" w:cs="宋体"/>
          <w:color w:val="auto"/>
          <w:kern w:val="2"/>
          <w:sz w:val="24"/>
          <w:szCs w:val="22"/>
          <w:highlight w:val="none"/>
          <w:lang w:val="en-US" w:eastAsia="zh-CN"/>
        </w:rPr>
        <w:t>分项</w:t>
      </w:r>
      <w:r>
        <w:rPr>
          <w:rFonts w:hint="eastAsia" w:ascii="宋体" w:hAnsi="宋体" w:eastAsia="宋体" w:cs="宋体"/>
          <w:color w:val="auto"/>
          <w:kern w:val="2"/>
          <w:sz w:val="24"/>
          <w:szCs w:val="22"/>
          <w:highlight w:val="none"/>
        </w:rPr>
        <w:t>报价表规定的内容填写货物单价以及其他事项。</w:t>
      </w:r>
      <w:r>
        <w:rPr>
          <w:rFonts w:hint="eastAsia" w:eastAsia="宋体" w:cs="宋体"/>
          <w:snapToGrid w:val="0"/>
          <w:color w:val="auto"/>
          <w:sz w:val="24"/>
          <w:szCs w:val="24"/>
          <w:highlight w:val="none"/>
          <w:lang w:val="zh-CN"/>
        </w:rPr>
        <w:t>投标人应根据本招标文件的规定和要求、市场价格水平及其走势、投标人的管理水平、投标人的方案和由这些因素决定的投标人之于本项目的成本水平等提出自己的报价。报价应合理，并包含完成本招标文件采购需求全部内容的所有费用，所有根据本招标文件或其它原因应由投标人支付的税款和其他应</w:t>
      </w:r>
      <w:r>
        <w:rPr>
          <w:rFonts w:hint="eastAsia" w:eastAsia="宋体" w:cs="宋体"/>
          <w:snapToGrid w:val="0"/>
          <w:color w:val="auto"/>
          <w:sz w:val="24"/>
          <w:szCs w:val="24"/>
          <w:highlight w:val="none"/>
          <w:lang w:val="en-US" w:eastAsia="zh-CN"/>
        </w:rPr>
        <w:t>缴</w:t>
      </w:r>
      <w:r>
        <w:rPr>
          <w:rFonts w:hint="eastAsia" w:eastAsia="宋体" w:cs="宋体"/>
          <w:snapToGrid w:val="0"/>
          <w:color w:val="auto"/>
          <w:sz w:val="24"/>
          <w:szCs w:val="24"/>
          <w:highlight w:val="none"/>
          <w:lang w:val="zh-CN"/>
        </w:rPr>
        <w:t>纳的费用都应包括在投标人提交的投标报价中。</w:t>
      </w:r>
    </w:p>
    <w:p w14:paraId="5E3B6519">
      <w:pPr>
        <w:keepNext w:val="0"/>
        <w:keepLines w:val="0"/>
        <w:pageBreakBefore w:val="0"/>
        <w:widowControl w:val="0"/>
        <w:kinsoku/>
        <w:overflowPunct/>
        <w:topLinePunct w:val="0"/>
        <w:autoSpaceDE/>
        <w:autoSpaceDN/>
        <w:bidi w:val="0"/>
        <w:adjustRightInd/>
        <w:ind w:firstLine="480" w:firstLineChars="200"/>
        <w:textAlignment w:val="auto"/>
        <w:rPr>
          <w:rFonts w:eastAsia="宋体" w:cs="宋体"/>
          <w:snapToGrid w:val="0"/>
          <w:color w:val="auto"/>
          <w:sz w:val="24"/>
          <w:szCs w:val="24"/>
          <w:highlight w:val="none"/>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.4 投标人在投标文件中注明免费的项目将视为包含在投标报价中。</w:t>
      </w:r>
    </w:p>
    <w:p w14:paraId="78B9FFCD">
      <w:pPr>
        <w:pStyle w:val="11"/>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ascii="宋体" w:hAnsi="宋体" w:eastAsia="宋体" w:cs="宋体"/>
          <w:snapToGrid w:val="0"/>
          <w:color w:val="auto"/>
          <w:kern w:val="2"/>
          <w:sz w:val="24"/>
          <w:szCs w:val="24"/>
          <w:highlight w:val="none"/>
          <w:lang w:val="en-US" w:eastAsia="zh-CN" w:bidi="ar-SA"/>
        </w:rPr>
        <w:t>1</w:t>
      </w:r>
      <w:r>
        <w:rPr>
          <w:rFonts w:hint="eastAsia" w:ascii="宋体" w:hAnsi="宋体" w:eastAsia="宋体" w:cs="宋体"/>
          <w:snapToGrid w:val="0"/>
          <w:color w:val="auto"/>
          <w:kern w:val="2"/>
          <w:sz w:val="24"/>
          <w:szCs w:val="24"/>
          <w:highlight w:val="none"/>
          <w:lang w:val="en-US" w:eastAsia="zh-CN" w:bidi="ar-SA"/>
        </w:rPr>
        <w:t>4.5 每一</w:t>
      </w:r>
      <w:r>
        <w:rPr>
          <w:rFonts w:hint="eastAsia" w:eastAsia="宋体" w:cs="宋体"/>
          <w:snapToGrid w:val="0"/>
          <w:color w:val="auto"/>
          <w:sz w:val="24"/>
          <w:szCs w:val="24"/>
          <w:highlight w:val="none"/>
        </w:rPr>
        <w:t>种采购内容只允许有一个报价，否则其</w:t>
      </w:r>
      <w:r>
        <w:rPr>
          <w:rFonts w:hint="eastAsia" w:eastAsia="宋体" w:cs="宋体"/>
          <w:b/>
          <w:bCs/>
          <w:snapToGrid w:val="0"/>
          <w:color w:val="auto"/>
          <w:sz w:val="24"/>
          <w:szCs w:val="24"/>
          <w:highlight w:val="none"/>
        </w:rPr>
        <w:t>投标无效</w:t>
      </w:r>
      <w:r>
        <w:rPr>
          <w:rFonts w:hint="eastAsia" w:eastAsia="宋体" w:cs="宋体"/>
          <w:snapToGrid w:val="0"/>
          <w:color w:val="auto"/>
          <w:sz w:val="24"/>
          <w:szCs w:val="24"/>
          <w:highlight w:val="none"/>
        </w:rPr>
        <w:t>。</w:t>
      </w:r>
      <w:r>
        <w:rPr>
          <w:rFonts w:hint="eastAsia" w:ascii="宋体" w:hAnsi="宋体" w:eastAsia="宋体" w:cs="宋体"/>
          <w:color w:val="auto"/>
          <w:kern w:val="2"/>
          <w:sz w:val="24"/>
          <w:szCs w:val="22"/>
          <w:highlight w:val="none"/>
        </w:rPr>
        <w:t>除非招标文件另有规定，不接受可选择或可调整的投标方案和报价，任何有选择的或可调整的投标方案和报价将被视为非</w:t>
      </w:r>
      <w:r>
        <w:rPr>
          <w:rFonts w:hint="eastAsia" w:ascii="宋体" w:hAnsi="宋体" w:eastAsia="宋体" w:cs="宋体"/>
          <w:color w:val="auto"/>
          <w:kern w:val="2"/>
          <w:sz w:val="24"/>
          <w:szCs w:val="22"/>
          <w:highlight w:val="none"/>
          <w:lang w:val="en-US" w:eastAsia="zh-CN"/>
        </w:rPr>
        <w:t>实质性</w:t>
      </w:r>
      <w:r>
        <w:rPr>
          <w:rFonts w:hint="eastAsia" w:ascii="宋体" w:hAnsi="宋体" w:eastAsia="宋体" w:cs="宋体"/>
          <w:color w:val="auto"/>
          <w:kern w:val="2"/>
          <w:sz w:val="24"/>
          <w:szCs w:val="22"/>
          <w:highlight w:val="none"/>
        </w:rPr>
        <w:t>响应</w:t>
      </w:r>
      <w:r>
        <w:rPr>
          <w:rFonts w:hint="eastAsia" w:ascii="宋体" w:hAnsi="宋体" w:eastAsia="宋体" w:cs="宋体"/>
          <w:color w:val="auto"/>
          <w:kern w:val="2"/>
          <w:sz w:val="24"/>
          <w:szCs w:val="22"/>
          <w:highlight w:val="none"/>
          <w:lang w:val="en-US" w:eastAsia="zh-CN"/>
        </w:rPr>
        <w:t>招标文件,其</w:t>
      </w:r>
      <w:r>
        <w:rPr>
          <w:rFonts w:hint="eastAsia" w:eastAsia="宋体" w:cs="宋体"/>
          <w:b/>
          <w:bCs/>
          <w:snapToGrid w:val="0"/>
          <w:color w:val="auto"/>
          <w:sz w:val="24"/>
          <w:szCs w:val="24"/>
          <w:highlight w:val="none"/>
          <w:lang w:eastAsia="zh-CN"/>
        </w:rPr>
        <w:t>投标无效</w:t>
      </w:r>
      <w:r>
        <w:rPr>
          <w:rFonts w:hint="eastAsia" w:ascii="宋体" w:hAnsi="宋体" w:eastAsia="宋体" w:cs="宋体"/>
          <w:color w:val="auto"/>
          <w:kern w:val="2"/>
          <w:sz w:val="24"/>
          <w:szCs w:val="22"/>
          <w:highlight w:val="none"/>
        </w:rPr>
        <w:t>。</w:t>
      </w:r>
    </w:p>
    <w:p w14:paraId="234C15F2">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4</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 xml:space="preserve">6 </w:t>
      </w:r>
      <w:r>
        <w:rPr>
          <w:rFonts w:hint="eastAsia" w:eastAsia="宋体" w:cs="仿宋_GB2312"/>
          <w:color w:val="auto"/>
          <w:sz w:val="24"/>
          <w:szCs w:val="24"/>
          <w:highlight w:val="none"/>
        </w:rPr>
        <w:t>投标报价不得超过“</w:t>
      </w:r>
      <w:r>
        <w:rPr>
          <w:rFonts w:hint="eastAsia" w:eastAsia="宋体"/>
          <w:color w:val="auto"/>
          <w:sz w:val="24"/>
          <w:highlight w:val="none"/>
          <w:lang w:val="en-US" w:eastAsia="zh-CN"/>
        </w:rPr>
        <w:t>第一章 招标公告</w:t>
      </w:r>
      <w:r>
        <w:rPr>
          <w:rFonts w:hint="eastAsia" w:eastAsia="宋体" w:cs="仿宋_GB2312"/>
          <w:color w:val="auto"/>
          <w:sz w:val="24"/>
          <w:szCs w:val="24"/>
          <w:highlight w:val="none"/>
        </w:rPr>
        <w:t>”中规定的最高投标限价</w:t>
      </w:r>
      <w:r>
        <w:rPr>
          <w:rFonts w:hint="eastAsia" w:ascii="宋体" w:hAnsi="宋体" w:eastAsia="宋体"/>
          <w:color w:val="auto"/>
          <w:sz w:val="24"/>
          <w:highlight w:val="none"/>
          <w:lang w:val="en-US" w:eastAsia="zh-CN"/>
        </w:rPr>
        <w:t>或者预算金额</w:t>
      </w:r>
      <w:r>
        <w:rPr>
          <w:rFonts w:hint="eastAsia" w:eastAsia="宋体" w:cs="仿宋_GB2312"/>
          <w:color w:val="auto"/>
          <w:sz w:val="24"/>
          <w:szCs w:val="24"/>
          <w:highlight w:val="none"/>
        </w:rPr>
        <w:t>，否则</w:t>
      </w:r>
      <w:r>
        <w:rPr>
          <w:rFonts w:eastAsia="宋体" w:cs="仿宋_GB2312"/>
          <w:color w:val="auto"/>
          <w:sz w:val="24"/>
          <w:szCs w:val="24"/>
          <w:highlight w:val="none"/>
        </w:rPr>
        <w:t>评标委员会将</w:t>
      </w:r>
      <w:r>
        <w:rPr>
          <w:rFonts w:hint="eastAsia" w:eastAsia="宋体" w:cs="仿宋_GB2312"/>
          <w:b w:val="0"/>
          <w:bCs w:val="0"/>
          <w:color w:val="auto"/>
          <w:sz w:val="24"/>
          <w:szCs w:val="24"/>
          <w:highlight w:val="none"/>
          <w:lang w:val="en-US" w:eastAsia="zh-CN"/>
        </w:rPr>
        <w:t>对</w:t>
      </w:r>
      <w:r>
        <w:rPr>
          <w:rFonts w:eastAsia="宋体" w:cs="仿宋_GB2312"/>
          <w:b w:val="0"/>
          <w:bCs w:val="0"/>
          <w:color w:val="auto"/>
          <w:sz w:val="24"/>
          <w:szCs w:val="24"/>
          <w:highlight w:val="none"/>
        </w:rPr>
        <w:t>其</w:t>
      </w:r>
      <w:r>
        <w:rPr>
          <w:rFonts w:hint="eastAsia" w:eastAsia="宋体" w:cs="仿宋_GB2312"/>
          <w:b w:val="0"/>
          <w:bCs w:val="0"/>
          <w:color w:val="auto"/>
          <w:sz w:val="24"/>
          <w:szCs w:val="24"/>
          <w:highlight w:val="none"/>
          <w:lang w:val="en-US" w:eastAsia="zh-CN"/>
        </w:rPr>
        <w:t>作</w:t>
      </w:r>
      <w:r>
        <w:rPr>
          <w:rFonts w:hint="eastAsia" w:eastAsia="宋体" w:cs="仿宋_GB2312"/>
          <w:b/>
          <w:bCs/>
          <w:color w:val="auto"/>
          <w:sz w:val="24"/>
          <w:szCs w:val="24"/>
          <w:highlight w:val="none"/>
          <w:lang w:val="en-US" w:eastAsia="zh-CN"/>
        </w:rPr>
        <w:t>无效</w:t>
      </w:r>
      <w:r>
        <w:rPr>
          <w:rFonts w:eastAsia="宋体" w:cs="仿宋_GB2312"/>
          <w:b/>
          <w:bCs/>
          <w:color w:val="auto"/>
          <w:sz w:val="24"/>
          <w:szCs w:val="24"/>
          <w:highlight w:val="none"/>
        </w:rPr>
        <w:t>投标</w:t>
      </w:r>
      <w:r>
        <w:rPr>
          <w:rFonts w:hint="eastAsia" w:eastAsia="宋体" w:cs="仿宋_GB2312"/>
          <w:b/>
          <w:bCs/>
          <w:color w:val="auto"/>
          <w:sz w:val="24"/>
          <w:szCs w:val="24"/>
          <w:highlight w:val="none"/>
          <w:lang w:val="en-US" w:eastAsia="zh-CN"/>
        </w:rPr>
        <w:t>处理</w:t>
      </w:r>
      <w:r>
        <w:rPr>
          <w:rFonts w:eastAsia="宋体" w:cs="仿宋_GB2312"/>
          <w:color w:val="auto"/>
          <w:sz w:val="24"/>
          <w:szCs w:val="24"/>
          <w:highlight w:val="none"/>
        </w:rPr>
        <w:t>。</w:t>
      </w:r>
    </w:p>
    <w:p w14:paraId="313FA63F">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7 </w:t>
      </w:r>
      <w:r>
        <w:rPr>
          <w:rFonts w:hint="eastAsia" w:ascii="宋体" w:hAnsi="宋体" w:eastAsia="宋体" w:cs="宋体"/>
          <w:color w:val="auto"/>
          <w:kern w:val="2"/>
          <w:sz w:val="24"/>
          <w:szCs w:val="22"/>
          <w:highlight w:val="none"/>
        </w:rPr>
        <w:t>投标人对投标报价若有说明应在投标文件中显著处注明。</w:t>
      </w:r>
    </w:p>
    <w:p w14:paraId="2DE4CF29">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除政策性文件规定以外，投标人所报价格在合同实施期间不因市场变化因素而变动。</w:t>
      </w:r>
    </w:p>
    <w:p w14:paraId="2C302D73">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8 </w:t>
      </w:r>
      <w:r>
        <w:rPr>
          <w:rFonts w:hint="eastAsia" w:ascii="宋体" w:hAnsi="宋体" w:eastAsia="宋体" w:cs="宋体"/>
          <w:color w:val="auto"/>
          <w:kern w:val="2"/>
          <w:sz w:val="24"/>
          <w:szCs w:val="22"/>
          <w:highlight w:val="none"/>
        </w:rPr>
        <w:t>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采购人以其他条款签订合同的权利。</w:t>
      </w:r>
    </w:p>
    <w:p w14:paraId="7CD424F2">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9 </w:t>
      </w:r>
      <w:r>
        <w:rPr>
          <w:rFonts w:hint="eastAsia" w:ascii="宋体" w:hAnsi="宋体" w:eastAsia="宋体" w:cs="宋体"/>
          <w:color w:val="auto"/>
          <w:kern w:val="2"/>
          <w:sz w:val="24"/>
          <w:szCs w:val="22"/>
          <w:highlight w:val="none"/>
        </w:rPr>
        <w:t>最低报价不能作为中标的保证。</w:t>
      </w:r>
    </w:p>
    <w:p w14:paraId="2C6B9037">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default"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w:t>
      </w:r>
      <w:r>
        <w:rPr>
          <w:rFonts w:hint="eastAsia"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lang w:val="en-US" w:eastAsia="zh-CN"/>
        </w:rPr>
        <w:t>.10</w:t>
      </w:r>
      <w:r>
        <w:rPr>
          <w:rFonts w:hint="eastAsia" w:ascii="宋体" w:hAnsi="宋体" w:eastAsia="宋体" w:cs="宋体"/>
          <w:color w:val="auto"/>
          <w:kern w:val="0"/>
          <w:sz w:val="24"/>
          <w:szCs w:val="24"/>
          <w:highlight w:val="none"/>
          <w:lang w:val="en-US" w:eastAsia="zh-CN" w:bidi="ar"/>
        </w:rPr>
        <w:t>采购人不得向</w:t>
      </w:r>
      <w:r>
        <w:rPr>
          <w:rFonts w:hint="eastAsia" w:eastAsia="宋体" w:cs="宋体"/>
          <w:color w:val="auto"/>
          <w:kern w:val="0"/>
          <w:sz w:val="24"/>
          <w:szCs w:val="24"/>
          <w:highlight w:val="none"/>
          <w:lang w:val="en-US" w:eastAsia="zh-CN" w:bidi="ar"/>
        </w:rPr>
        <w:t>投标人</w:t>
      </w:r>
      <w:r>
        <w:rPr>
          <w:rFonts w:hint="eastAsia" w:ascii="宋体" w:hAnsi="宋体" w:eastAsia="宋体" w:cs="宋体"/>
          <w:color w:val="auto"/>
          <w:kern w:val="0"/>
          <w:sz w:val="24"/>
          <w:szCs w:val="24"/>
          <w:highlight w:val="none"/>
          <w:lang w:val="en-US" w:eastAsia="zh-CN" w:bidi="ar"/>
        </w:rPr>
        <w:t>索要或者接受其给予的赠品、回扣或者与采购无关的其他商品、服务。</w:t>
      </w:r>
    </w:p>
    <w:p w14:paraId="691BBD09">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38" w:name="_Toc11990"/>
      <w:bookmarkStart w:id="239" w:name="_Toc140132773"/>
      <w:bookmarkStart w:id="240" w:name="_Toc15358"/>
      <w:bookmarkStart w:id="241" w:name="_Toc3529"/>
      <w:bookmarkStart w:id="242" w:name="_Toc4011"/>
      <w:bookmarkStart w:id="243" w:name="_Toc2907"/>
      <w:bookmarkStart w:id="244" w:name="_Toc163492840"/>
      <w:r>
        <w:rPr>
          <w:rFonts w:hint="eastAsia" w:ascii="宋体" w:hAnsi="宋体" w:eastAsia="宋体" w:cs="宋体"/>
          <w:b/>
          <w:bCs/>
          <w:color w:val="auto"/>
          <w:kern w:val="2"/>
          <w:sz w:val="24"/>
          <w:szCs w:val="28"/>
          <w:highlight w:val="none"/>
          <w:lang w:val="en-US" w:eastAsia="zh-CN" w:bidi="ar-SA"/>
        </w:rPr>
        <w:t>15.投标有效期</w:t>
      </w:r>
      <w:bookmarkEnd w:id="238"/>
      <w:bookmarkEnd w:id="239"/>
      <w:bookmarkEnd w:id="240"/>
      <w:bookmarkEnd w:id="241"/>
      <w:bookmarkEnd w:id="242"/>
      <w:bookmarkEnd w:id="243"/>
      <w:bookmarkEnd w:id="244"/>
    </w:p>
    <w:p w14:paraId="13B2B164">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 xml:space="preserve">.1 </w:t>
      </w:r>
      <w:r>
        <w:rPr>
          <w:rFonts w:ascii="Arial" w:hAnsi="Arial" w:eastAsia="宋体" w:cs="Arial"/>
          <w:color w:val="auto"/>
          <w:kern w:val="0"/>
          <w:sz w:val="24"/>
          <w:szCs w:val="21"/>
          <w:highlight w:val="none"/>
          <w:lang w:val="en"/>
        </w:rPr>
        <w:t>投标有效期</w:t>
      </w:r>
      <w:r>
        <w:rPr>
          <w:rFonts w:hint="eastAsia" w:eastAsia="宋体" w:cs="仿宋_GB2312"/>
          <w:color w:val="auto"/>
          <w:sz w:val="24"/>
          <w:szCs w:val="24"/>
          <w:highlight w:val="none"/>
        </w:rPr>
        <w:t>见“</w:t>
      </w:r>
      <w:r>
        <w:rPr>
          <w:rFonts w:hint="eastAsia" w:eastAsia="宋体" w:cs="仿宋_GB2312"/>
          <w:color w:val="auto"/>
          <w:sz w:val="24"/>
          <w:szCs w:val="24"/>
          <w:highlight w:val="none"/>
          <w:lang w:val="en-US" w:eastAsia="zh-CN"/>
        </w:rPr>
        <w:t xml:space="preserve">第二章 </w:t>
      </w:r>
      <w:r>
        <w:rPr>
          <w:rFonts w:eastAsia="宋体" w:cs="仿宋_GB2312"/>
          <w:color w:val="auto"/>
          <w:sz w:val="24"/>
          <w:szCs w:val="24"/>
          <w:highlight w:val="none"/>
        </w:rPr>
        <w:t>投标人须知前附表</w:t>
      </w:r>
      <w:r>
        <w:rPr>
          <w:rFonts w:hint="eastAsia" w:eastAsia="宋体" w:cs="仿宋_GB2312"/>
          <w:color w:val="auto"/>
          <w:sz w:val="24"/>
          <w:szCs w:val="24"/>
          <w:highlight w:val="none"/>
        </w:rPr>
        <w:t>”，投标人承诺的投标有效期</w:t>
      </w:r>
      <w:r>
        <w:rPr>
          <w:rFonts w:hint="eastAsia" w:eastAsia="宋体"/>
          <w:snapToGrid w:val="0"/>
          <w:color w:val="auto"/>
          <w:sz w:val="24"/>
          <w:highlight w:val="none"/>
          <w:lang w:val="zh-CN" w:eastAsia="zh-CN"/>
        </w:rPr>
        <w:t>少于</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val="zh-CN" w:eastAsia="zh-CN"/>
        </w:rPr>
        <w:t>文件规定期限的，其</w:t>
      </w:r>
      <w:r>
        <w:rPr>
          <w:rFonts w:hint="eastAsia" w:eastAsia="宋体"/>
          <w:b/>
          <w:bCs/>
          <w:snapToGrid w:val="0"/>
          <w:color w:val="auto"/>
          <w:sz w:val="24"/>
          <w:highlight w:val="none"/>
          <w:lang w:val="en-US" w:eastAsia="zh-CN"/>
        </w:rPr>
        <w:t>投标</w:t>
      </w:r>
      <w:r>
        <w:rPr>
          <w:rFonts w:hint="eastAsia" w:eastAsia="宋体"/>
          <w:b/>
          <w:bCs/>
          <w:snapToGrid w:val="0"/>
          <w:color w:val="auto"/>
          <w:sz w:val="24"/>
          <w:highlight w:val="none"/>
          <w:lang w:val="zh-CN" w:eastAsia="zh-CN"/>
        </w:rPr>
        <w:t>无效</w:t>
      </w:r>
      <w:r>
        <w:rPr>
          <w:rFonts w:hint="eastAsia" w:eastAsia="宋体"/>
          <w:snapToGrid w:val="0"/>
          <w:color w:val="auto"/>
          <w:sz w:val="24"/>
          <w:highlight w:val="none"/>
          <w:lang w:val="zh-CN" w:eastAsia="zh-CN"/>
        </w:rPr>
        <w:t>。</w:t>
      </w:r>
    </w:p>
    <w:p w14:paraId="6D112F8D">
      <w:pPr>
        <w:keepNext w:val="0"/>
        <w:keepLines w:val="0"/>
        <w:pageBreakBefore w:val="0"/>
        <w:widowControl w:val="0"/>
        <w:kinsoku/>
        <w:overflowPunct/>
        <w:topLinePunct w:val="0"/>
        <w:autoSpaceDE/>
        <w:autoSpaceDN/>
        <w:bidi w:val="0"/>
        <w:adjustRightInd/>
        <w:ind w:firstLine="480" w:firstLineChars="200"/>
        <w:textAlignment w:val="auto"/>
        <w:rPr>
          <w:rFonts w:hint="default" w:eastAsia="宋体" w:cs="仿宋_GB2312"/>
          <w:color w:val="auto"/>
          <w:sz w:val="24"/>
          <w:szCs w:val="24"/>
          <w:highlight w:val="none"/>
          <w:lang w:val="en-US" w:eastAsia="zh-CN"/>
        </w:rPr>
      </w:pPr>
      <w:r>
        <w:rPr>
          <w:rFonts w:hint="eastAsia" w:eastAsia="宋体" w:cs="仿宋_GB2312"/>
          <w:color w:val="auto"/>
          <w:sz w:val="24"/>
          <w:szCs w:val="24"/>
          <w:highlight w:val="none"/>
          <w:lang w:val="en-US" w:eastAsia="zh-CN"/>
        </w:rPr>
        <w:t>15.2 投标有效期从提交投标文件的截止之日起算。投标文件中承诺的投标有效期应当不少于招标文件中载明的投标有效期。投标有效期内投标人撤销投标文件的，采购人或者采购代理机构可以不退还投标保证金。</w:t>
      </w:r>
    </w:p>
    <w:p w14:paraId="4457FE8E">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5</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3</w:t>
      </w:r>
      <w:r>
        <w:rPr>
          <w:rFonts w:eastAsia="宋体" w:cs="仿宋_GB2312"/>
          <w:color w:val="auto"/>
          <w:sz w:val="24"/>
          <w:szCs w:val="24"/>
          <w:highlight w:val="none"/>
        </w:rPr>
        <w:t>特殊情况下，在原</w:t>
      </w:r>
      <w:r>
        <w:rPr>
          <w:rFonts w:hint="eastAsia" w:eastAsia="宋体" w:cs="仿宋_GB2312"/>
          <w:color w:val="auto"/>
          <w:sz w:val="24"/>
          <w:szCs w:val="24"/>
          <w:highlight w:val="none"/>
        </w:rPr>
        <w:t>投标文件</w:t>
      </w:r>
      <w:r>
        <w:rPr>
          <w:rFonts w:eastAsia="宋体" w:cs="仿宋_GB2312"/>
          <w:color w:val="auto"/>
          <w:sz w:val="24"/>
          <w:szCs w:val="24"/>
          <w:highlight w:val="none"/>
        </w:rPr>
        <w:t>有效期截止之前，采购代理机构或采购人可要求</w:t>
      </w:r>
      <w:r>
        <w:rPr>
          <w:rFonts w:hint="eastAsia" w:eastAsia="宋体" w:cs="仿宋_GB2312"/>
          <w:color w:val="auto"/>
          <w:sz w:val="24"/>
          <w:szCs w:val="24"/>
          <w:highlight w:val="none"/>
        </w:rPr>
        <w:t>投标人</w:t>
      </w:r>
      <w:r>
        <w:rPr>
          <w:rFonts w:eastAsia="宋体" w:cs="仿宋_GB2312"/>
          <w:color w:val="auto"/>
          <w:sz w:val="24"/>
          <w:szCs w:val="24"/>
          <w:highlight w:val="none"/>
        </w:rPr>
        <w:t>延长</w:t>
      </w:r>
      <w:r>
        <w:rPr>
          <w:rFonts w:hint="eastAsia" w:eastAsia="宋体" w:cs="仿宋_GB2312"/>
          <w:color w:val="auto"/>
          <w:sz w:val="24"/>
          <w:szCs w:val="24"/>
          <w:highlight w:val="none"/>
        </w:rPr>
        <w:t>投标</w:t>
      </w:r>
      <w:r>
        <w:rPr>
          <w:rFonts w:eastAsia="宋体" w:cs="仿宋_GB2312"/>
          <w:color w:val="auto"/>
          <w:sz w:val="24"/>
          <w:szCs w:val="24"/>
          <w:highlight w:val="none"/>
        </w:rPr>
        <w:t>有效期。需要延长</w:t>
      </w:r>
      <w:r>
        <w:rPr>
          <w:rFonts w:hint="eastAsia" w:eastAsia="宋体" w:cs="仿宋_GB2312"/>
          <w:color w:val="auto"/>
          <w:sz w:val="24"/>
          <w:szCs w:val="24"/>
          <w:highlight w:val="none"/>
        </w:rPr>
        <w:t>投标</w:t>
      </w:r>
      <w:r>
        <w:rPr>
          <w:rFonts w:eastAsia="宋体" w:cs="仿宋_GB2312"/>
          <w:color w:val="auto"/>
          <w:sz w:val="24"/>
          <w:szCs w:val="24"/>
          <w:highlight w:val="none"/>
        </w:rPr>
        <w:t>有效期时，采购代理机构或采购人将以书面形式通知所有</w:t>
      </w:r>
      <w:r>
        <w:rPr>
          <w:rFonts w:hint="eastAsia" w:eastAsia="宋体" w:cs="仿宋_GB2312"/>
          <w:color w:val="auto"/>
          <w:sz w:val="24"/>
          <w:szCs w:val="24"/>
          <w:highlight w:val="none"/>
        </w:rPr>
        <w:t>投标人</w:t>
      </w:r>
      <w:r>
        <w:rPr>
          <w:rFonts w:eastAsia="宋体" w:cs="仿宋_GB2312"/>
          <w:color w:val="auto"/>
          <w:sz w:val="24"/>
          <w:szCs w:val="24"/>
          <w:highlight w:val="none"/>
        </w:rPr>
        <w:t>，</w:t>
      </w:r>
      <w:r>
        <w:rPr>
          <w:rFonts w:hint="eastAsia" w:eastAsia="宋体" w:cs="仿宋_GB2312"/>
          <w:color w:val="auto"/>
          <w:sz w:val="24"/>
          <w:szCs w:val="24"/>
          <w:highlight w:val="none"/>
        </w:rPr>
        <w:t>投标人</w:t>
      </w:r>
      <w:r>
        <w:rPr>
          <w:rFonts w:eastAsia="宋体" w:cs="仿宋_GB2312"/>
          <w:color w:val="auto"/>
          <w:sz w:val="24"/>
          <w:szCs w:val="24"/>
          <w:highlight w:val="none"/>
        </w:rPr>
        <w:t>应以书面形式答复是否同意延长</w:t>
      </w:r>
      <w:r>
        <w:rPr>
          <w:rFonts w:hint="eastAsia" w:eastAsia="宋体" w:cs="仿宋_GB2312"/>
          <w:color w:val="auto"/>
          <w:sz w:val="24"/>
          <w:szCs w:val="24"/>
          <w:highlight w:val="none"/>
        </w:rPr>
        <w:t>投标</w:t>
      </w:r>
      <w:r>
        <w:rPr>
          <w:rFonts w:eastAsia="宋体" w:cs="仿宋_GB2312"/>
          <w:color w:val="auto"/>
          <w:sz w:val="24"/>
          <w:szCs w:val="24"/>
          <w:highlight w:val="none"/>
        </w:rPr>
        <w:t>有效期。</w:t>
      </w:r>
    </w:p>
    <w:p w14:paraId="2EF7720C">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5</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4</w:t>
      </w:r>
      <w:r>
        <w:rPr>
          <w:rFonts w:hint="eastAsia" w:eastAsia="宋体" w:cs="仿宋_GB2312"/>
          <w:color w:val="auto"/>
          <w:sz w:val="24"/>
          <w:szCs w:val="24"/>
          <w:highlight w:val="none"/>
        </w:rPr>
        <w:t>投标人</w:t>
      </w:r>
      <w:r>
        <w:rPr>
          <w:rFonts w:eastAsia="宋体" w:cs="仿宋_GB2312"/>
          <w:color w:val="auto"/>
          <w:sz w:val="24"/>
          <w:szCs w:val="24"/>
          <w:highlight w:val="none"/>
        </w:rPr>
        <w:t>同意延长的，</w:t>
      </w:r>
      <w:r>
        <w:rPr>
          <w:rFonts w:hint="eastAsia" w:eastAsia="宋体" w:cs="宋体"/>
          <w:color w:val="auto"/>
          <w:kern w:val="2"/>
          <w:sz w:val="24"/>
          <w:szCs w:val="22"/>
          <w:highlight w:val="none"/>
          <w:lang w:val="en-US" w:eastAsia="zh-CN"/>
        </w:rPr>
        <w:t>其</w:t>
      </w:r>
      <w:r>
        <w:rPr>
          <w:rFonts w:hint="eastAsia" w:ascii="宋体" w:hAnsi="宋体" w:eastAsia="宋体" w:cs="宋体"/>
          <w:color w:val="auto"/>
          <w:kern w:val="2"/>
          <w:sz w:val="24"/>
          <w:szCs w:val="22"/>
          <w:highlight w:val="none"/>
        </w:rPr>
        <w:t>投标保证金的有效期也相应延长</w:t>
      </w:r>
      <w:r>
        <w:rPr>
          <w:rFonts w:hint="eastAsia" w:eastAsia="宋体" w:cs="宋体"/>
          <w:color w:val="auto"/>
          <w:kern w:val="2"/>
          <w:sz w:val="24"/>
          <w:szCs w:val="22"/>
          <w:highlight w:val="none"/>
          <w:lang w:eastAsia="zh-CN"/>
        </w:rPr>
        <w:t>，</w:t>
      </w:r>
      <w:r>
        <w:rPr>
          <w:rFonts w:hint="eastAsia" w:eastAsia="宋体" w:cs="宋体"/>
          <w:color w:val="auto"/>
          <w:kern w:val="2"/>
          <w:sz w:val="24"/>
          <w:szCs w:val="22"/>
          <w:highlight w:val="none"/>
          <w:lang w:val="en-US" w:eastAsia="zh-CN"/>
        </w:rPr>
        <w:t>但</w:t>
      </w:r>
      <w:r>
        <w:rPr>
          <w:rFonts w:eastAsia="宋体" w:cs="仿宋_GB2312"/>
          <w:color w:val="auto"/>
          <w:sz w:val="24"/>
          <w:szCs w:val="24"/>
          <w:highlight w:val="none"/>
        </w:rPr>
        <w:t>不得要求或被允许修改或撤销其</w:t>
      </w:r>
      <w:r>
        <w:rPr>
          <w:rFonts w:hint="eastAsia" w:eastAsia="宋体" w:cs="仿宋_GB2312"/>
          <w:color w:val="auto"/>
          <w:sz w:val="24"/>
          <w:szCs w:val="24"/>
          <w:highlight w:val="none"/>
        </w:rPr>
        <w:t>投标文件</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投标人</w:t>
      </w:r>
      <w:r>
        <w:rPr>
          <w:rFonts w:eastAsia="宋体" w:cs="仿宋_GB2312"/>
          <w:color w:val="auto"/>
          <w:sz w:val="24"/>
          <w:szCs w:val="24"/>
          <w:highlight w:val="none"/>
        </w:rPr>
        <w:t>拒绝延长的，其</w:t>
      </w:r>
      <w:r>
        <w:rPr>
          <w:rFonts w:hint="eastAsia" w:eastAsia="宋体" w:cs="仿宋_GB2312"/>
          <w:color w:val="auto"/>
          <w:sz w:val="24"/>
          <w:szCs w:val="24"/>
          <w:highlight w:val="none"/>
        </w:rPr>
        <w:t>投标文件</w:t>
      </w:r>
      <w:r>
        <w:rPr>
          <w:rFonts w:eastAsia="宋体" w:cs="仿宋_GB2312"/>
          <w:color w:val="auto"/>
          <w:sz w:val="24"/>
          <w:szCs w:val="24"/>
          <w:highlight w:val="none"/>
        </w:rPr>
        <w:t>在原</w:t>
      </w:r>
      <w:r>
        <w:rPr>
          <w:rFonts w:hint="eastAsia" w:eastAsia="宋体" w:cs="仿宋_GB2312"/>
          <w:color w:val="auto"/>
          <w:sz w:val="24"/>
          <w:szCs w:val="24"/>
          <w:highlight w:val="none"/>
        </w:rPr>
        <w:t>投标</w:t>
      </w:r>
      <w:r>
        <w:rPr>
          <w:rFonts w:eastAsia="宋体" w:cs="仿宋_GB2312"/>
          <w:color w:val="auto"/>
          <w:sz w:val="24"/>
          <w:szCs w:val="24"/>
          <w:highlight w:val="none"/>
        </w:rPr>
        <w:t>有效期满后将不再有效</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lang w:val="en-US" w:eastAsia="zh-CN"/>
        </w:rPr>
        <w:t>但其提交的投标保证金可予以退还</w:t>
      </w:r>
      <w:r>
        <w:rPr>
          <w:rFonts w:eastAsia="宋体" w:cs="仿宋_GB2312"/>
          <w:color w:val="auto"/>
          <w:sz w:val="24"/>
          <w:szCs w:val="24"/>
          <w:highlight w:val="none"/>
        </w:rPr>
        <w:t>。</w:t>
      </w:r>
    </w:p>
    <w:p w14:paraId="51F7C8DB">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45" w:name="_Toc140132774"/>
      <w:bookmarkStart w:id="246" w:name="_Toc22098"/>
      <w:bookmarkStart w:id="247" w:name="_Toc17233"/>
      <w:bookmarkStart w:id="248" w:name="_Toc163492841"/>
      <w:bookmarkStart w:id="249" w:name="_Toc18088"/>
      <w:bookmarkStart w:id="250" w:name="_Toc30828"/>
      <w:bookmarkStart w:id="251" w:name="_Toc25519"/>
      <w:r>
        <w:rPr>
          <w:rFonts w:hint="eastAsia" w:ascii="宋体" w:hAnsi="宋体" w:eastAsia="宋体" w:cs="宋体"/>
          <w:b/>
          <w:bCs/>
          <w:color w:val="auto"/>
          <w:kern w:val="2"/>
          <w:sz w:val="24"/>
          <w:szCs w:val="28"/>
          <w:highlight w:val="none"/>
          <w:lang w:val="en-US" w:eastAsia="zh-CN" w:bidi="ar-SA"/>
        </w:rPr>
        <w:t>16.投标文件的编制</w:t>
      </w:r>
      <w:bookmarkEnd w:id="245"/>
      <w:bookmarkEnd w:id="246"/>
      <w:bookmarkEnd w:id="247"/>
      <w:bookmarkEnd w:id="248"/>
      <w:bookmarkEnd w:id="249"/>
      <w:bookmarkEnd w:id="250"/>
      <w:bookmarkEnd w:id="251"/>
    </w:p>
    <w:p w14:paraId="523C51E8">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6</w:t>
      </w:r>
      <w:r>
        <w:rPr>
          <w:rFonts w:hint="eastAsia" w:eastAsia="宋体" w:cs="仿宋_GB2312"/>
          <w:color w:val="auto"/>
          <w:sz w:val="24"/>
          <w:szCs w:val="24"/>
          <w:highlight w:val="none"/>
        </w:rPr>
        <w:t>.1投标文件应在</w:t>
      </w:r>
      <w:r>
        <w:rPr>
          <w:rFonts w:hint="eastAsia" w:eastAsia="宋体" w:cs="仿宋_GB2312"/>
          <w:color w:val="auto"/>
          <w:sz w:val="24"/>
          <w:szCs w:val="24"/>
          <w:highlight w:val="none"/>
          <w:lang w:eastAsia="zh-CN"/>
        </w:rPr>
        <w:t>投标人</w:t>
      </w:r>
      <w:r>
        <w:rPr>
          <w:rFonts w:hint="eastAsia" w:eastAsia="宋体" w:cs="仿宋_GB2312"/>
          <w:color w:val="auto"/>
          <w:sz w:val="24"/>
          <w:szCs w:val="24"/>
          <w:highlight w:val="none"/>
        </w:rPr>
        <w:t>客户端中进行编制，在投标文件中要求加盖印章的，除有特殊说明之外，</w:t>
      </w:r>
      <w:r>
        <w:rPr>
          <w:rFonts w:hint="eastAsia" w:eastAsia="宋体" w:cs="仿宋_GB2312"/>
          <w:color w:val="auto"/>
          <w:sz w:val="24"/>
          <w:szCs w:val="24"/>
          <w:highlight w:val="none"/>
          <w:lang w:val="en-US" w:eastAsia="zh-CN"/>
        </w:rPr>
        <w:t>可</w:t>
      </w:r>
      <w:r>
        <w:rPr>
          <w:rFonts w:hint="eastAsia" w:eastAsia="宋体" w:cs="仿宋_GB2312"/>
          <w:color w:val="auto"/>
          <w:sz w:val="24"/>
          <w:szCs w:val="24"/>
          <w:highlight w:val="none"/>
        </w:rPr>
        <w:t>使用电子签章签署。</w:t>
      </w:r>
    </w:p>
    <w:p w14:paraId="540601F4">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1</w:t>
      </w:r>
      <w:r>
        <w:rPr>
          <w:rFonts w:hint="eastAsia" w:eastAsia="宋体"/>
          <w:color w:val="auto"/>
          <w:sz w:val="24"/>
          <w:highlight w:val="none"/>
          <w:lang w:val="en-US" w:eastAsia="zh-CN"/>
        </w:rPr>
        <w:t>6</w:t>
      </w:r>
      <w:r>
        <w:rPr>
          <w:rFonts w:hint="eastAsia" w:eastAsia="宋体"/>
          <w:color w:val="auto"/>
          <w:sz w:val="24"/>
          <w:highlight w:val="none"/>
        </w:rPr>
        <w:t>.</w:t>
      </w:r>
      <w:bookmarkStart w:id="252" w:name="_Hlk143528557"/>
      <w:r>
        <w:rPr>
          <w:rFonts w:eastAsia="宋体"/>
          <w:color w:val="auto"/>
          <w:sz w:val="24"/>
          <w:highlight w:val="none"/>
        </w:rPr>
        <w:t>2</w:t>
      </w:r>
      <w:r>
        <w:rPr>
          <w:rFonts w:hint="eastAsia" w:eastAsia="宋体"/>
          <w:color w:val="auto"/>
          <w:sz w:val="24"/>
          <w:highlight w:val="none"/>
        </w:rPr>
        <w:t>投标人在</w:t>
      </w:r>
      <w:r>
        <w:rPr>
          <w:rFonts w:hint="eastAsia" w:eastAsia="宋体"/>
          <w:color w:val="auto"/>
          <w:sz w:val="24"/>
          <w:highlight w:val="none"/>
          <w:lang w:eastAsia="zh-CN"/>
        </w:rPr>
        <w:t>投标人</w:t>
      </w:r>
      <w:r>
        <w:rPr>
          <w:rFonts w:hint="eastAsia" w:eastAsia="宋体"/>
          <w:color w:val="auto"/>
          <w:sz w:val="24"/>
          <w:highlight w:val="none"/>
        </w:rPr>
        <w:t>客户端中按照</w:t>
      </w:r>
      <w:r>
        <w:rPr>
          <w:rFonts w:hint="eastAsia" w:eastAsia="宋体"/>
          <w:color w:val="auto"/>
          <w:sz w:val="24"/>
          <w:highlight w:val="none"/>
          <w:lang w:eastAsia="zh-CN"/>
        </w:rPr>
        <w:t>投标人</w:t>
      </w:r>
      <w:r>
        <w:rPr>
          <w:rFonts w:hint="eastAsia" w:eastAsia="宋体"/>
          <w:color w:val="auto"/>
          <w:sz w:val="24"/>
          <w:highlight w:val="none"/>
        </w:rPr>
        <w:t>客户端中的格式要求填写响应内容后，生成投标文件。投标人须按照招标文件的要求使用电子签章对要求加盖印章的部分逐一进行签章。</w:t>
      </w:r>
      <w:bookmarkEnd w:id="252"/>
    </w:p>
    <w:p w14:paraId="1A7BD123">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3</w:t>
      </w:r>
      <w:r>
        <w:rPr>
          <w:rFonts w:hint="eastAsia" w:ascii="宋体" w:hAnsi="宋体" w:eastAsia="宋体"/>
          <w:color w:val="auto"/>
          <w:sz w:val="24"/>
          <w:highlight w:val="none"/>
        </w:rPr>
        <w:t>投标人应详细阅读招标文件的全部内容。投标文件须对招标文件中的内容作出实质性和完整的响应，如果投标文件填报的内容不详，或没有提供招标文件中所要求的全部资料及数据，将可能</w:t>
      </w:r>
      <w:r>
        <w:rPr>
          <w:rFonts w:hint="eastAsia" w:ascii="宋体" w:hAnsi="宋体" w:eastAsia="宋体"/>
          <w:b/>
          <w:bCs/>
          <w:color w:val="auto"/>
          <w:sz w:val="24"/>
          <w:highlight w:val="none"/>
        </w:rPr>
        <w:t>导致</w:t>
      </w:r>
      <w:r>
        <w:rPr>
          <w:rFonts w:hint="eastAsia" w:eastAsia="宋体"/>
          <w:b/>
          <w:bCs/>
          <w:color w:val="auto"/>
          <w:sz w:val="24"/>
          <w:highlight w:val="none"/>
          <w:lang w:val="en-US" w:eastAsia="zh-CN"/>
        </w:rPr>
        <w:t>其</w:t>
      </w:r>
      <w:r>
        <w:rPr>
          <w:rFonts w:hint="eastAsia" w:ascii="宋体" w:hAnsi="宋体" w:eastAsia="宋体"/>
          <w:b/>
          <w:bCs/>
          <w:color w:val="auto"/>
          <w:sz w:val="24"/>
          <w:highlight w:val="none"/>
        </w:rPr>
        <w:t>投标</w:t>
      </w:r>
      <w:r>
        <w:rPr>
          <w:rFonts w:hint="eastAsia" w:eastAsia="宋体"/>
          <w:b/>
          <w:bCs/>
          <w:color w:val="auto"/>
          <w:sz w:val="24"/>
          <w:highlight w:val="none"/>
          <w:lang w:val="en-US" w:eastAsia="zh-CN"/>
        </w:rPr>
        <w:t>无效</w:t>
      </w:r>
      <w:r>
        <w:rPr>
          <w:rFonts w:hint="eastAsia" w:ascii="宋体" w:hAnsi="宋体" w:eastAsia="宋体"/>
          <w:color w:val="auto"/>
          <w:sz w:val="24"/>
          <w:highlight w:val="none"/>
        </w:rPr>
        <w:t>。</w:t>
      </w:r>
    </w:p>
    <w:p w14:paraId="7A6BB4B7">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投标文件须严格按照</w:t>
      </w:r>
      <w:r>
        <w:rPr>
          <w:rFonts w:hint="eastAsia" w:ascii="宋体" w:hAnsi="宋体" w:eastAsia="宋体"/>
          <w:color w:val="auto"/>
          <w:sz w:val="24"/>
          <w:highlight w:val="none"/>
          <w:lang w:val="en-US" w:eastAsia="zh-CN"/>
        </w:rPr>
        <w:t>本</w:t>
      </w:r>
      <w:r>
        <w:rPr>
          <w:rFonts w:hint="eastAsia" w:ascii="宋体" w:hAnsi="宋体" w:eastAsia="宋体"/>
          <w:color w:val="auto"/>
          <w:sz w:val="24"/>
          <w:highlight w:val="none"/>
        </w:rPr>
        <w:t>招标文件第</w:t>
      </w:r>
      <w:r>
        <w:rPr>
          <w:rFonts w:hint="eastAsia" w:ascii="宋体" w:hAnsi="宋体" w:eastAsia="宋体"/>
          <w:color w:val="auto"/>
          <w:sz w:val="24"/>
          <w:highlight w:val="none"/>
          <w:lang w:val="en-US" w:eastAsia="zh-CN"/>
        </w:rPr>
        <w:t>七章</w:t>
      </w:r>
      <w:r>
        <w:rPr>
          <w:rFonts w:hint="eastAsia" w:ascii="宋体" w:hAnsi="宋体" w:eastAsia="宋体"/>
          <w:color w:val="auto"/>
          <w:sz w:val="24"/>
          <w:highlight w:val="none"/>
        </w:rPr>
        <w:t>规定的格式提交，并按规定的统一格式逐项填写，不准有空项；无相应内容可填的项，应填写“无”、“未测试”、“没有相应指标”等明确的回答文字。由于编排混乱导致投标文件被误读或查找不到，其责任由投标人承担。</w:t>
      </w:r>
    </w:p>
    <w:p w14:paraId="10A9DC8A">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eastAsia="宋体"/>
          <w:color w:val="auto"/>
          <w:sz w:val="24"/>
          <w:highlight w:val="none"/>
          <w:lang w:val="en-US" w:eastAsia="zh-CN"/>
        </w:rPr>
        <w:t>16.5货物的</w:t>
      </w:r>
      <w:r>
        <w:rPr>
          <w:rFonts w:hint="eastAsia" w:ascii="宋体" w:hAnsi="宋体" w:eastAsia="宋体"/>
          <w:color w:val="auto"/>
          <w:sz w:val="24"/>
          <w:highlight w:val="none"/>
          <w:lang w:val="en-US" w:eastAsia="zh-CN"/>
        </w:rPr>
        <w:t>技术参数有具体数值要求的，</w:t>
      </w:r>
      <w:r>
        <w:rPr>
          <w:rFonts w:hint="eastAsia" w:eastAsia="宋体"/>
          <w:color w:val="auto"/>
          <w:sz w:val="24"/>
          <w:highlight w:val="none"/>
          <w:lang w:val="en-US" w:eastAsia="zh-CN"/>
        </w:rPr>
        <w:t>且招标</w:t>
      </w:r>
      <w:r>
        <w:rPr>
          <w:rFonts w:hint="eastAsia" w:ascii="宋体" w:hAnsi="宋体" w:eastAsia="宋体"/>
          <w:color w:val="auto"/>
          <w:sz w:val="24"/>
          <w:highlight w:val="none"/>
          <w:lang w:val="en-US" w:eastAsia="zh-CN"/>
        </w:rPr>
        <w:t>文件要求</w:t>
      </w:r>
      <w:r>
        <w:rPr>
          <w:rFonts w:hint="eastAsia" w:eastAsia="宋体"/>
          <w:color w:val="auto"/>
          <w:sz w:val="24"/>
          <w:highlight w:val="none"/>
          <w:lang w:val="en-US" w:eastAsia="zh-CN"/>
        </w:rPr>
        <w:t>投标人</w:t>
      </w:r>
      <w:r>
        <w:rPr>
          <w:rFonts w:hint="eastAsia" w:ascii="宋体" w:hAnsi="宋体" w:eastAsia="宋体"/>
          <w:color w:val="auto"/>
          <w:sz w:val="24"/>
          <w:highlight w:val="none"/>
          <w:lang w:val="en-US" w:eastAsia="zh-CN"/>
        </w:rPr>
        <w:t>提供响应产品彩页、检验检测报告、厂家使用说明书等证明材料，</w:t>
      </w:r>
      <w:r>
        <w:rPr>
          <w:rFonts w:hint="eastAsia" w:eastAsia="宋体"/>
          <w:color w:val="auto"/>
          <w:sz w:val="24"/>
          <w:highlight w:val="none"/>
          <w:lang w:val="en-US" w:eastAsia="zh-CN"/>
        </w:rPr>
        <w:t>则投标人</w:t>
      </w:r>
      <w:r>
        <w:rPr>
          <w:rFonts w:hint="eastAsia" w:ascii="宋体" w:hAnsi="宋体" w:eastAsia="宋体"/>
          <w:color w:val="auto"/>
          <w:sz w:val="24"/>
          <w:highlight w:val="none"/>
          <w:lang w:val="en-US" w:eastAsia="zh-CN"/>
        </w:rPr>
        <w:t>在技术参数响应表中</w:t>
      </w:r>
      <w:r>
        <w:rPr>
          <w:rFonts w:hint="eastAsia" w:eastAsia="宋体"/>
          <w:color w:val="auto"/>
          <w:sz w:val="24"/>
          <w:highlight w:val="none"/>
          <w:lang w:val="en-US" w:eastAsia="zh-CN"/>
        </w:rPr>
        <w:t>须</w:t>
      </w:r>
      <w:r>
        <w:rPr>
          <w:rFonts w:hint="eastAsia" w:ascii="宋体" w:hAnsi="宋体" w:eastAsia="宋体"/>
          <w:color w:val="auto"/>
          <w:sz w:val="24"/>
          <w:highlight w:val="none"/>
          <w:lang w:val="en-US" w:eastAsia="zh-CN"/>
        </w:rPr>
        <w:t>标注产品实际参数数值，照搬照抄</w:t>
      </w:r>
      <w:r>
        <w:rPr>
          <w:rFonts w:hint="eastAsia" w:eastAsia="宋体"/>
          <w:color w:val="auto"/>
          <w:sz w:val="24"/>
          <w:highlight w:val="none"/>
          <w:lang w:val="en-US" w:eastAsia="zh-CN"/>
        </w:rPr>
        <w:t>招标</w:t>
      </w:r>
      <w:r>
        <w:rPr>
          <w:rFonts w:hint="eastAsia" w:ascii="宋体" w:hAnsi="宋体" w:eastAsia="宋体"/>
          <w:color w:val="auto"/>
          <w:sz w:val="24"/>
          <w:highlight w:val="none"/>
          <w:lang w:val="en-US" w:eastAsia="zh-CN"/>
        </w:rPr>
        <w:t>文件参数、不注明实际数值者</w:t>
      </w:r>
      <w:r>
        <w:rPr>
          <w:rFonts w:hint="eastAsia" w:ascii="宋体" w:hAnsi="宋体" w:eastAsia="宋体"/>
          <w:b/>
          <w:bCs/>
          <w:color w:val="auto"/>
          <w:sz w:val="24"/>
          <w:highlight w:val="none"/>
          <w:lang w:val="en-US" w:eastAsia="zh-CN"/>
        </w:rPr>
        <w:t>视为未响应</w:t>
      </w:r>
      <w:r>
        <w:rPr>
          <w:rFonts w:hint="eastAsia" w:ascii="宋体" w:hAnsi="宋体" w:eastAsia="宋体"/>
          <w:color w:val="auto"/>
          <w:sz w:val="24"/>
          <w:highlight w:val="none"/>
          <w:lang w:val="en-US" w:eastAsia="zh-CN"/>
        </w:rPr>
        <w:t>。</w:t>
      </w:r>
    </w:p>
    <w:p w14:paraId="4B72F25A">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6</w:t>
      </w:r>
      <w:r>
        <w:rPr>
          <w:rFonts w:hint="eastAsia" w:ascii="宋体" w:hAnsi="宋体" w:eastAsia="宋体"/>
          <w:color w:val="auto"/>
          <w:sz w:val="24"/>
          <w:highlight w:val="none"/>
        </w:rPr>
        <w:t>开标一览表为在开标</w:t>
      </w:r>
      <w:r>
        <w:rPr>
          <w:rFonts w:hint="eastAsia" w:eastAsia="宋体"/>
          <w:color w:val="auto"/>
          <w:sz w:val="24"/>
          <w:highlight w:val="none"/>
          <w:lang w:val="en-US" w:eastAsia="zh-CN"/>
        </w:rPr>
        <w:t>时</w:t>
      </w:r>
      <w:r>
        <w:rPr>
          <w:rFonts w:hint="eastAsia" w:ascii="宋体" w:hAnsi="宋体" w:eastAsia="宋体"/>
          <w:color w:val="auto"/>
          <w:sz w:val="24"/>
          <w:highlight w:val="none"/>
        </w:rPr>
        <w:t>唱标的内容，要求按格式统一填写，不得自行增减内容。</w:t>
      </w:r>
    </w:p>
    <w:p w14:paraId="499D7059">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7</w:t>
      </w:r>
      <w:r>
        <w:rPr>
          <w:rFonts w:hint="eastAsia" w:ascii="宋体" w:hAnsi="宋体" w:eastAsia="宋体"/>
          <w:color w:val="auto"/>
          <w:sz w:val="24"/>
          <w:highlight w:val="none"/>
        </w:rPr>
        <w:t>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w:t>
      </w:r>
      <w:r>
        <w:rPr>
          <w:rFonts w:hint="eastAsia" w:eastAsia="宋体"/>
          <w:color w:val="auto"/>
          <w:sz w:val="24"/>
          <w:highlight w:val="none"/>
          <w:lang w:val="en-US" w:eastAsia="zh-CN"/>
        </w:rPr>
        <w:t>按</w:t>
      </w:r>
      <w:r>
        <w:rPr>
          <w:rFonts w:hint="eastAsia" w:eastAsia="宋体"/>
          <w:b/>
          <w:bCs/>
          <w:color w:val="auto"/>
          <w:sz w:val="24"/>
          <w:highlight w:val="none"/>
          <w:lang w:val="en-US" w:eastAsia="zh-CN"/>
        </w:rPr>
        <w:t>无效投标</w:t>
      </w:r>
      <w:r>
        <w:rPr>
          <w:rFonts w:hint="eastAsia" w:ascii="宋体" w:hAnsi="宋体" w:eastAsia="宋体"/>
          <w:color w:val="auto"/>
          <w:sz w:val="24"/>
          <w:highlight w:val="none"/>
        </w:rPr>
        <w:t>处理。</w:t>
      </w:r>
    </w:p>
    <w:p w14:paraId="7DBECB06">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8</w:t>
      </w:r>
      <w:r>
        <w:rPr>
          <w:rFonts w:hint="eastAsia" w:ascii="宋体" w:hAnsi="宋体" w:eastAsia="宋体"/>
          <w:color w:val="auto"/>
          <w:sz w:val="24"/>
          <w:highlight w:val="none"/>
        </w:rPr>
        <w:t>投标人必须保证投标文件所提供的全部资料真实可靠，并接受采购</w:t>
      </w:r>
      <w:r>
        <w:rPr>
          <w:rFonts w:hint="eastAsia" w:ascii="宋体" w:hAnsi="宋体" w:eastAsia="宋体"/>
          <w:color w:val="auto"/>
          <w:sz w:val="24"/>
          <w:highlight w:val="none"/>
          <w:lang w:val="en-US" w:eastAsia="zh-CN"/>
        </w:rPr>
        <w:t>人、采购</w:t>
      </w:r>
      <w:r>
        <w:rPr>
          <w:rFonts w:hint="eastAsia" w:ascii="宋体" w:hAnsi="宋体" w:eastAsia="宋体"/>
          <w:color w:val="auto"/>
          <w:sz w:val="24"/>
          <w:highlight w:val="none"/>
        </w:rPr>
        <w:t>代理机构或评标委员会对其中任何资料进一步审查的要求。</w:t>
      </w:r>
    </w:p>
    <w:p w14:paraId="7AE3718F">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9</w:t>
      </w:r>
      <w:r>
        <w:rPr>
          <w:rFonts w:hint="eastAsia" w:ascii="宋体" w:hAnsi="宋体" w:eastAsia="宋体"/>
          <w:color w:val="auto"/>
          <w:sz w:val="24"/>
          <w:highlight w:val="none"/>
        </w:rPr>
        <w:t>投标人在投标文件及相关文件的签订、履行、通知等事项的文件中的单位盖章、印章、公章等处均指与当事人全称相一致的标准公章，不得使用其他形式（如带有“专用章”等字样的印章）。不符合本条规定的按</w:t>
      </w:r>
      <w:r>
        <w:rPr>
          <w:rFonts w:hint="eastAsia" w:ascii="宋体" w:hAnsi="宋体" w:eastAsia="宋体"/>
          <w:b/>
          <w:bCs/>
          <w:color w:val="auto"/>
          <w:sz w:val="24"/>
          <w:highlight w:val="none"/>
        </w:rPr>
        <w:t>无效投标</w:t>
      </w:r>
      <w:r>
        <w:rPr>
          <w:rFonts w:hint="eastAsia" w:ascii="宋体" w:hAnsi="宋体" w:eastAsia="宋体"/>
          <w:color w:val="auto"/>
          <w:sz w:val="24"/>
          <w:highlight w:val="none"/>
        </w:rPr>
        <w:t>处理。</w:t>
      </w:r>
    </w:p>
    <w:p w14:paraId="323B93DE">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16.10电子投标文件的编制</w:t>
      </w:r>
    </w:p>
    <w:p w14:paraId="072DFFA4">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16.10.1电子投标文件需按招标文件要求进行制作编制。投标文件制作时，不同内容按标签提示制作导入，按照招标文件中明确的投标文件目录和格式进行编制，保证目录清晰、内容完整；           </w:t>
      </w:r>
    </w:p>
    <w:p w14:paraId="51F1928B">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16.10.2电子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w:t>
      </w:r>
      <w:r>
        <w:rPr>
          <w:rFonts w:hint="eastAsia" w:ascii="宋体" w:hAnsi="宋体" w:eastAsia="宋体" w:cstheme="minorBidi"/>
          <w:b/>
          <w:bCs/>
          <w:iCs/>
          <w:color w:val="auto"/>
          <w:kern w:val="2"/>
          <w:sz w:val="24"/>
          <w:szCs w:val="22"/>
          <w:highlight w:val="none"/>
          <w:shd w:val="clear" w:color="auto" w:fill="FFFFFF" w:themeFill="background1"/>
          <w:lang w:val="en-US" w:eastAsia="zh-CN" w:bidi="ar-SA"/>
        </w:rPr>
        <w:t>其投标无效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6B2E6D6A">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253" w:name="_Toc163492842"/>
      <w:bookmarkStart w:id="254" w:name="_Toc155185873"/>
      <w:bookmarkStart w:id="255" w:name="_Toc4470"/>
      <w:bookmarkStart w:id="256" w:name="_Toc3198"/>
      <w:bookmarkStart w:id="257" w:name="_Toc17210"/>
      <w:bookmarkStart w:id="258" w:name="_Toc3247"/>
      <w:bookmarkStart w:id="259" w:name="_Toc29237"/>
      <w:r>
        <w:rPr>
          <w:rFonts w:hint="eastAsia" w:ascii="宋体" w:hAnsi="宋体" w:eastAsia="宋体" w:cstheme="minorBidi"/>
          <w:b/>
          <w:bCs/>
          <w:color w:val="auto"/>
          <w:kern w:val="2"/>
          <w:sz w:val="24"/>
          <w:szCs w:val="32"/>
          <w:highlight w:val="none"/>
          <w:lang w:val="en-US" w:eastAsia="zh-CN" w:bidi="ar-SA"/>
        </w:rPr>
        <w:t>（四）投标</w:t>
      </w:r>
      <w:bookmarkEnd w:id="253"/>
      <w:bookmarkEnd w:id="254"/>
      <w:bookmarkEnd w:id="255"/>
      <w:bookmarkEnd w:id="256"/>
      <w:bookmarkEnd w:id="257"/>
      <w:bookmarkEnd w:id="258"/>
      <w:bookmarkEnd w:id="259"/>
    </w:p>
    <w:p w14:paraId="386CC8EA">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60" w:name="_Toc4876"/>
      <w:bookmarkStart w:id="261" w:name="_Toc28270"/>
      <w:bookmarkStart w:id="262" w:name="_Toc22324"/>
      <w:bookmarkStart w:id="263" w:name="_Toc19600"/>
      <w:bookmarkStart w:id="264" w:name="_Toc18595"/>
      <w:bookmarkStart w:id="265" w:name="_Toc163492843"/>
      <w:r>
        <w:rPr>
          <w:rFonts w:hint="eastAsia" w:ascii="宋体" w:hAnsi="宋体" w:eastAsia="宋体" w:cs="宋体"/>
          <w:b/>
          <w:bCs/>
          <w:color w:val="auto"/>
          <w:kern w:val="2"/>
          <w:sz w:val="24"/>
          <w:szCs w:val="28"/>
          <w:highlight w:val="none"/>
          <w:lang w:val="en-US" w:eastAsia="zh-CN" w:bidi="ar-SA"/>
        </w:rPr>
        <w:t>17.投标保证金</w:t>
      </w:r>
      <w:bookmarkEnd w:id="260"/>
      <w:bookmarkEnd w:id="261"/>
      <w:bookmarkEnd w:id="262"/>
      <w:bookmarkEnd w:id="263"/>
      <w:bookmarkEnd w:id="264"/>
    </w:p>
    <w:p w14:paraId="1182B9BB">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17.1投标人应按照招标文件“第二章 投标人须知前附表”规定的金额及要求提交投标保证金。投标人自愿超额缴纳投标保证金的，投标文件不做无效处理。</w:t>
      </w:r>
    </w:p>
    <w:p w14:paraId="370C7C1E">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eastAsia="宋体" w:cstheme="minorBidi"/>
          <w:iCs/>
          <w:color w:val="auto"/>
          <w:kern w:val="2"/>
          <w:sz w:val="24"/>
          <w:szCs w:val="22"/>
          <w:highlight w:val="none"/>
          <w:shd w:val="clear" w:color="auto" w:fill="FFFFFF" w:themeFill="background1"/>
          <w:lang w:val="en-US" w:eastAsia="zh-CN" w:bidi="ar-SA"/>
        </w:rPr>
        <w:t>7</w:t>
      </w:r>
      <w:r>
        <w:rPr>
          <w:rFonts w:hint="eastAsia" w:ascii="宋体" w:hAnsi="宋体" w:eastAsia="宋体" w:cstheme="minorBidi"/>
          <w:iCs/>
          <w:color w:val="auto"/>
          <w:kern w:val="2"/>
          <w:sz w:val="24"/>
          <w:szCs w:val="22"/>
          <w:highlight w:val="none"/>
          <w:shd w:val="clear" w:color="auto" w:fill="FFFFFF" w:themeFill="background1"/>
          <w:lang w:val="en-US" w:eastAsia="zh-CN" w:bidi="ar-SA"/>
        </w:rPr>
        <w:t>.2</w:t>
      </w:r>
      <w:r>
        <w:rPr>
          <w:rFonts w:hint="eastAsia" w:eastAsia="宋体" w:cstheme="minorBidi"/>
          <w:iCs/>
          <w:color w:val="auto"/>
          <w:kern w:val="2"/>
          <w:sz w:val="24"/>
          <w:szCs w:val="22"/>
          <w:highlight w:val="none"/>
          <w:shd w:val="clear" w:color="auto" w:fill="FFFFFF" w:themeFill="background1"/>
          <w:lang w:val="en-US" w:eastAsia="zh-CN" w:bidi="ar-SA"/>
        </w:rPr>
        <w:t>提交</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投标保证金可采用的形式：政府采购法律法规接受的支票、汇票、本票、网上银行支付或者金融机构、担保机构出具的保函等非现金形式。</w:t>
      </w:r>
      <w:r>
        <w:rPr>
          <w:rFonts w:hint="eastAsia" w:ascii="宋体" w:hAnsi="宋体" w:eastAsia="宋体" w:cs="宋体"/>
          <w:color w:val="auto"/>
          <w:kern w:val="2"/>
          <w:sz w:val="24"/>
          <w:szCs w:val="22"/>
          <w:highlight w:val="none"/>
          <w:lang w:val="en-US" w:eastAsia="zh-CN" w:bidi="ar-SA"/>
        </w:rPr>
        <w:t>投标人未按照招标文件要求提交投标保证金的，</w:t>
      </w:r>
      <w:r>
        <w:rPr>
          <w:rFonts w:hint="eastAsia" w:eastAsia="宋体" w:cs="宋体"/>
          <w:color w:val="auto"/>
          <w:kern w:val="2"/>
          <w:sz w:val="24"/>
          <w:szCs w:val="22"/>
          <w:highlight w:val="none"/>
          <w:lang w:val="en-US" w:eastAsia="zh-CN" w:bidi="ar-SA"/>
        </w:rPr>
        <w:t>其</w:t>
      </w:r>
      <w:r>
        <w:rPr>
          <w:rFonts w:hint="eastAsia" w:ascii="宋体" w:hAnsi="宋体" w:eastAsia="宋体" w:cs="宋体"/>
          <w:b/>
          <w:bCs/>
          <w:color w:val="auto"/>
          <w:kern w:val="2"/>
          <w:sz w:val="24"/>
          <w:szCs w:val="22"/>
          <w:highlight w:val="none"/>
          <w:lang w:val="en-US" w:eastAsia="zh-CN" w:bidi="ar-SA"/>
        </w:rPr>
        <w:t>投标无效</w:t>
      </w:r>
      <w:r>
        <w:rPr>
          <w:rFonts w:hint="eastAsia" w:ascii="宋体" w:hAnsi="宋体" w:eastAsia="宋体" w:cs="宋体"/>
          <w:color w:val="auto"/>
          <w:kern w:val="2"/>
          <w:sz w:val="24"/>
          <w:szCs w:val="22"/>
          <w:highlight w:val="none"/>
          <w:lang w:val="en-US" w:eastAsia="zh-CN" w:bidi="ar-SA"/>
        </w:rPr>
        <w:t>。</w:t>
      </w:r>
      <w:r>
        <w:rPr>
          <w:rFonts w:hint="eastAsia" w:eastAsia="宋体"/>
          <w:color w:val="auto"/>
          <w:sz w:val="24"/>
          <w:highlight w:val="none"/>
          <w:lang w:val="en-US" w:eastAsia="zh-CN"/>
        </w:rPr>
        <w:t>投标保证金有效期同投标有效期。</w:t>
      </w:r>
    </w:p>
    <w:p w14:paraId="54BD0912">
      <w:pPr>
        <w:pStyle w:val="1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17.3投标保证金到账（保函提交）截止时间同投标截止时间。以支票、汇票、本票、网上银行支付等形式提交投标保证金的，应在投标截止时间前到账；以金融机构、担保机构出具的保函等形式提交投标保证金的，应在投标截止时间前将投标保证金支付原件扫描后作为投标文件的组成部分与投标文件一起上传。由于到账时间晚于投标截止时间，或者票据错误、印鉴不清等原因导致不能到账的，其</w:t>
      </w:r>
      <w:r>
        <w:rPr>
          <w:rFonts w:hint="eastAsia" w:ascii="宋体" w:hAnsi="宋体" w:eastAsia="宋体" w:cs="宋体"/>
          <w:b/>
          <w:bCs/>
          <w:color w:val="auto"/>
          <w:kern w:val="2"/>
          <w:sz w:val="24"/>
          <w:szCs w:val="22"/>
          <w:highlight w:val="none"/>
          <w:lang w:val="en-US" w:eastAsia="zh-CN"/>
        </w:rPr>
        <w:t>投标无效</w:t>
      </w:r>
      <w:r>
        <w:rPr>
          <w:rFonts w:hint="eastAsia" w:ascii="宋体" w:hAnsi="宋体" w:eastAsia="宋体" w:cs="宋体"/>
          <w:color w:val="auto"/>
          <w:kern w:val="2"/>
          <w:sz w:val="24"/>
          <w:szCs w:val="22"/>
          <w:highlight w:val="none"/>
          <w:lang w:val="en-US" w:eastAsia="zh-CN"/>
        </w:rPr>
        <w:t>。</w:t>
      </w:r>
    </w:p>
    <w:p w14:paraId="3BAA958D">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4</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投标人为联合体的，可以由联合体中的一方或者多方共同</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提交</w:t>
      </w:r>
      <w:r>
        <w:rPr>
          <w:rFonts w:hint="default" w:ascii="宋体" w:hAnsi="宋体" w:eastAsia="宋体" w:cstheme="minorBidi"/>
          <w:iCs/>
          <w:color w:val="auto"/>
          <w:kern w:val="2"/>
          <w:sz w:val="24"/>
          <w:szCs w:val="22"/>
          <w:highlight w:val="none"/>
          <w:shd w:val="clear" w:color="auto" w:fill="FFFFFF" w:themeFill="background1"/>
          <w:lang w:val="en-US" w:eastAsia="zh-CN" w:bidi="ar-SA"/>
        </w:rPr>
        <w:t>投标保证金，其</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提交</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的投标保证金对联合体各方均具有约束力。</w:t>
      </w:r>
    </w:p>
    <w:p w14:paraId="27BA1101">
      <w:pPr>
        <w:pStyle w:val="65"/>
        <w:keepNext w:val="0"/>
        <w:keepLines w:val="0"/>
        <w:pageBreakBefore w:val="0"/>
        <w:widowControl w:val="0"/>
        <w:shd w:val="clear" w:color="auto" w:fill="auto"/>
        <w:kinsoku/>
        <w:wordWrap/>
        <w:overflowPunct/>
        <w:topLinePunct w:val="0"/>
        <w:autoSpaceDE/>
        <w:autoSpaceDN/>
        <w:bidi w:val="0"/>
        <w:adjustRightInd/>
        <w:spacing w:line="360" w:lineRule="auto"/>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    17.5</w:t>
      </w:r>
      <w:r>
        <w:rPr>
          <w:rFonts w:hint="default" w:ascii="宋体" w:hAnsi="宋体" w:eastAsia="宋体" w:cstheme="minorBidi"/>
          <w:iCs/>
          <w:color w:val="auto"/>
          <w:kern w:val="2"/>
          <w:sz w:val="24"/>
          <w:szCs w:val="22"/>
          <w:highlight w:val="none"/>
          <w:shd w:val="clear" w:color="auto" w:fill="FFFFFF" w:themeFill="background1"/>
          <w:lang w:val="en-US" w:eastAsia="zh-CN" w:bidi="ar-SA"/>
        </w:rPr>
        <w:t>采购人或者采购代理机构应当在采购活动结束后及时退还</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保证金，采用银行保函、担保机构担保函等形式递交的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保证金，经</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同意后采购人、采购代理机构可以不再退还，但因</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自身原因导致无法及时退还的除外。未</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中标投标人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保证金应当自中标通知书发出之日起 5 个工作日内退还，</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中标投标人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保证金应当自采购合同签订之日起 5 个工作日内退还。 </w:t>
      </w:r>
    </w:p>
    <w:p w14:paraId="6CFB121F">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6</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投标人在投标截止时间前撤回已</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提</w:t>
      </w:r>
      <w:r>
        <w:rPr>
          <w:rFonts w:hint="default" w:ascii="宋体" w:hAnsi="宋体" w:eastAsia="宋体" w:cstheme="minorBidi"/>
          <w:iCs/>
          <w:color w:val="auto"/>
          <w:kern w:val="2"/>
          <w:sz w:val="24"/>
          <w:szCs w:val="22"/>
          <w:highlight w:val="none"/>
          <w:shd w:val="clear" w:color="auto" w:fill="FFFFFF" w:themeFill="background1"/>
          <w:lang w:val="en-US" w:eastAsia="zh-CN" w:bidi="ar-SA"/>
        </w:rPr>
        <w:t>交的投标文件的，自收到投标人书面撤回通知之日起 5 个工作日内，退还已收取的投标保证金，但因投标人自身原因导致无法及时退还的除外</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28156F6E">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终止招标项目已经收取投标保证金的，自终止采购活动后 5 个工作日内退还已收取的投标保证金及其在银行产生的孳息。</w:t>
      </w:r>
    </w:p>
    <w:p w14:paraId="0B6A028F">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8</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有下列情形之一的，采购人或采购代理机构可以不予退还投标保证金</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宋体"/>
          <w:color w:val="auto"/>
          <w:kern w:val="2"/>
          <w:sz w:val="24"/>
          <w:szCs w:val="22"/>
          <w:highlight w:val="none"/>
        </w:rPr>
        <w:t>情节严重的将其列入不良记录名单</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02F7ADEB">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8</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.1 </w:t>
      </w:r>
      <w:r>
        <w:rPr>
          <w:rFonts w:hint="eastAsia" w:ascii="宋体" w:hAnsi="宋体" w:eastAsia="宋体" w:cs="宋体"/>
          <w:color w:val="auto"/>
          <w:kern w:val="2"/>
          <w:sz w:val="24"/>
          <w:szCs w:val="22"/>
          <w:highlight w:val="none"/>
        </w:rPr>
        <w:t>开标后在投标有效期内，投标人撤</w:t>
      </w:r>
      <w:r>
        <w:rPr>
          <w:rFonts w:hint="eastAsia" w:ascii="宋体" w:hAnsi="宋体" w:eastAsia="宋体" w:cs="宋体"/>
          <w:color w:val="auto"/>
          <w:kern w:val="2"/>
          <w:sz w:val="24"/>
          <w:szCs w:val="22"/>
          <w:highlight w:val="none"/>
          <w:lang w:val="en-US" w:eastAsia="zh-CN"/>
        </w:rPr>
        <w:t>销</w:t>
      </w:r>
      <w:r>
        <w:rPr>
          <w:rFonts w:hint="eastAsia" w:ascii="宋体" w:hAnsi="宋体" w:eastAsia="宋体" w:cs="宋体"/>
          <w:color w:val="auto"/>
          <w:kern w:val="2"/>
          <w:sz w:val="24"/>
          <w:szCs w:val="22"/>
          <w:highlight w:val="none"/>
        </w:rPr>
        <w:t>其投标</w:t>
      </w:r>
      <w:r>
        <w:rPr>
          <w:rFonts w:hint="eastAsia" w:ascii="宋体" w:hAnsi="宋体" w:eastAsia="宋体" w:cs="宋体"/>
          <w:color w:val="auto"/>
          <w:kern w:val="2"/>
          <w:sz w:val="24"/>
          <w:szCs w:val="22"/>
          <w:highlight w:val="none"/>
          <w:lang w:val="en-US" w:eastAsia="zh-CN"/>
        </w:rPr>
        <w:t>的</w:t>
      </w:r>
      <w:r>
        <w:rPr>
          <w:rFonts w:hint="eastAsia" w:ascii="宋体" w:hAnsi="宋体" w:eastAsia="宋体" w:cs="宋体"/>
          <w:color w:val="auto"/>
          <w:kern w:val="2"/>
          <w:sz w:val="24"/>
          <w:szCs w:val="22"/>
          <w:highlight w:val="none"/>
        </w:rPr>
        <w:t>；</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36FC9D74">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8</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.2 </w:t>
      </w:r>
      <w:r>
        <w:rPr>
          <w:rFonts w:hint="eastAsia" w:ascii="宋体" w:hAnsi="宋体" w:eastAsia="宋体" w:cs="宋体"/>
          <w:color w:val="auto"/>
          <w:kern w:val="2"/>
          <w:sz w:val="24"/>
          <w:szCs w:val="22"/>
          <w:highlight w:val="none"/>
        </w:rPr>
        <w:t>中标后无正当理由不与采购人签订合同的；</w:t>
      </w:r>
    </w:p>
    <w:p w14:paraId="3694295C">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17.8.3 </w:t>
      </w:r>
      <w:r>
        <w:rPr>
          <w:rFonts w:hint="eastAsia" w:ascii="宋体" w:hAnsi="宋体" w:eastAsia="宋体" w:cs="宋体"/>
          <w:color w:val="auto"/>
          <w:kern w:val="2"/>
          <w:sz w:val="24"/>
          <w:szCs w:val="22"/>
          <w:highlight w:val="none"/>
        </w:rPr>
        <w:t>中标人与采购人订立背离合同实质性内容的其他协议；</w:t>
      </w:r>
    </w:p>
    <w:p w14:paraId="54583F23">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4</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将中标项目转让给他人，或者在投标文件中未说明，且未经采购</w:t>
      </w:r>
      <w:r>
        <w:rPr>
          <w:rFonts w:hint="eastAsia" w:ascii="宋体" w:hAnsi="宋体" w:eastAsia="宋体" w:cs="宋体"/>
          <w:color w:val="auto"/>
          <w:kern w:val="2"/>
          <w:sz w:val="24"/>
          <w:szCs w:val="22"/>
          <w:highlight w:val="none"/>
          <w:lang w:val="en-US" w:eastAsia="zh-CN"/>
        </w:rPr>
        <w:t>人</w:t>
      </w:r>
      <w:r>
        <w:rPr>
          <w:rFonts w:hint="eastAsia" w:ascii="宋体" w:hAnsi="宋体" w:eastAsia="宋体" w:cs="宋体"/>
          <w:color w:val="auto"/>
          <w:kern w:val="2"/>
          <w:sz w:val="24"/>
          <w:szCs w:val="22"/>
          <w:highlight w:val="none"/>
        </w:rPr>
        <w:t>同意，将中标项目分包给他人的；</w:t>
      </w:r>
    </w:p>
    <w:p w14:paraId="433DB211">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5</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存在串通投标行为的；</w:t>
      </w:r>
    </w:p>
    <w:p w14:paraId="0A3E2CC4">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6</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存在弄虚作假或提供虚假材料谋取中标的；</w:t>
      </w:r>
    </w:p>
    <w:p w14:paraId="3CBF915F">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7</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投标人其他未按招标文件规定和合同约定履行义务的行为。</w:t>
      </w:r>
    </w:p>
    <w:p w14:paraId="330E240F">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17.9如开标时投标人对本单位投标保证金缴纳情况有疑义，投标人应在开标结束前向采购人提交书面申请核实保证金缴纳情况。由银行或保险公司核实后出具书面材料予以答复。</w:t>
      </w:r>
    </w:p>
    <w:p w14:paraId="7018BCE4">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17.10为支持和促进中小企业发展，进一步发挥政府采购政策功能，鼓励投标投标人使用电子保函代替现金缴纳投标保证金，在线完成保函的申请、审核、开票、出函等环节，投标企业注意区分办理保函类型，并确认投标有效期，如采用政采云电子保函，可登录“兵团政府采购网”—顶部通栏“信用融资”或者“兵团政府采购网”首页“政采贷｜电子保函”快捷模块查看：</w:t>
      </w:r>
    </w:p>
    <w:p w14:paraId="1F3A8C5E">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直达链接（电子保函）：</w:t>
      </w:r>
    </w:p>
    <w:p w14:paraId="15E30E92">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https://jinrong.zcygov.cn/luban/finance/xinjiang?utm=site.site-PC-4838.1473-pc-wsg-customFloatWindow-front.1.b9d627301e6311efb796b33a13fe0d0a</w:t>
      </w:r>
    </w:p>
    <w:p w14:paraId="071DFFA7">
      <w:pPr>
        <w:pStyle w:val="65"/>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金融服务支撑热线：</w:t>
      </w:r>
      <w:r>
        <w:rPr>
          <w:rFonts w:hint="eastAsia" w:ascii="宋体" w:hAnsi="宋体" w:eastAsia="宋体" w:cstheme="minorBidi"/>
          <w:b/>
          <w:bCs/>
          <w:iCs/>
          <w:color w:val="auto"/>
          <w:kern w:val="2"/>
          <w:sz w:val="24"/>
          <w:szCs w:val="22"/>
          <w:highlight w:val="none"/>
          <w:shd w:val="clear" w:color="auto" w:fill="FFFFFF" w:themeFill="background1"/>
          <w:lang w:val="en-US" w:eastAsia="zh-CN" w:bidi="ar-SA"/>
        </w:rPr>
        <w:t>0991-2661159</w:t>
      </w: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3586E853">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66" w:name="_Toc27486"/>
      <w:bookmarkStart w:id="267" w:name="_Toc16247"/>
      <w:bookmarkStart w:id="268" w:name="_Toc28464"/>
      <w:bookmarkStart w:id="269" w:name="_Toc26606"/>
      <w:bookmarkStart w:id="270" w:name="_Toc8188"/>
      <w:r>
        <w:rPr>
          <w:rFonts w:hint="eastAsia" w:ascii="宋体" w:hAnsi="宋体" w:eastAsia="宋体" w:cs="宋体"/>
          <w:b/>
          <w:bCs/>
          <w:color w:val="auto"/>
          <w:kern w:val="2"/>
          <w:sz w:val="24"/>
          <w:szCs w:val="28"/>
          <w:highlight w:val="none"/>
          <w:lang w:val="en-US" w:eastAsia="zh-CN" w:bidi="ar-SA"/>
        </w:rPr>
        <w:t>18.投标文件的加密</w:t>
      </w:r>
      <w:bookmarkEnd w:id="265"/>
      <w:bookmarkEnd w:id="266"/>
      <w:bookmarkEnd w:id="267"/>
      <w:bookmarkEnd w:id="268"/>
      <w:bookmarkEnd w:id="269"/>
      <w:bookmarkEnd w:id="270"/>
    </w:p>
    <w:p w14:paraId="7CFFC076">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u w:val="single"/>
        </w:rPr>
      </w:pPr>
      <w:bookmarkStart w:id="271" w:name="_Hlk143531864"/>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.1投标人在</w:t>
      </w:r>
      <w:r>
        <w:rPr>
          <w:rFonts w:hint="eastAsia" w:eastAsia="宋体" w:cs="仿宋_GB2312"/>
          <w:color w:val="auto"/>
          <w:sz w:val="24"/>
          <w:szCs w:val="24"/>
          <w:highlight w:val="none"/>
          <w:lang w:eastAsia="zh-CN"/>
        </w:rPr>
        <w:t>投标人</w:t>
      </w:r>
      <w:r>
        <w:rPr>
          <w:rFonts w:hint="eastAsia" w:eastAsia="宋体" w:cs="仿宋_GB2312"/>
          <w:color w:val="auto"/>
          <w:sz w:val="24"/>
          <w:szCs w:val="24"/>
          <w:highlight w:val="none"/>
        </w:rPr>
        <w:t>客户端中生成投标文件并完成签章之后，使用CA证书在</w:t>
      </w:r>
      <w:r>
        <w:rPr>
          <w:rFonts w:hint="eastAsia" w:eastAsia="宋体" w:cs="仿宋_GB2312"/>
          <w:color w:val="auto"/>
          <w:sz w:val="24"/>
          <w:szCs w:val="24"/>
          <w:highlight w:val="none"/>
          <w:lang w:eastAsia="zh-CN"/>
        </w:rPr>
        <w:t>投标人</w:t>
      </w:r>
      <w:r>
        <w:rPr>
          <w:rFonts w:hint="eastAsia" w:eastAsia="宋体" w:cs="仿宋_GB2312"/>
          <w:color w:val="auto"/>
          <w:sz w:val="24"/>
          <w:szCs w:val="24"/>
          <w:highlight w:val="none"/>
        </w:rPr>
        <w:t>客户端中对投标文件进行加密。</w:t>
      </w:r>
    </w:p>
    <w:p w14:paraId="20075D69">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.2投标人应在</w:t>
      </w:r>
      <w:r>
        <w:rPr>
          <w:rFonts w:hint="eastAsia" w:eastAsia="宋体" w:cs="仿宋_GB2312"/>
          <w:color w:val="auto"/>
          <w:sz w:val="24"/>
          <w:szCs w:val="24"/>
          <w:highlight w:val="none"/>
          <w:lang w:eastAsia="zh-CN"/>
        </w:rPr>
        <w:t>投标人</w:t>
      </w:r>
      <w:r>
        <w:rPr>
          <w:rFonts w:hint="eastAsia" w:eastAsia="宋体" w:cs="仿宋_GB2312"/>
          <w:color w:val="auto"/>
          <w:sz w:val="24"/>
          <w:szCs w:val="24"/>
          <w:highlight w:val="none"/>
        </w:rPr>
        <w:t>客户端中对加密的投标文件进行解密验证，以防止投标文件加密异常，在开标时无法解密。</w:t>
      </w:r>
    </w:p>
    <w:p w14:paraId="60E84957">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.3 投标人应保证加密投标文件的CA证书有效期在开标时间之前。若CA证书有效期临近开标时间，建议投标人提前办理CA证书续期，以免开标时无法进行解密。</w:t>
      </w:r>
    </w:p>
    <w:p w14:paraId="4D80B003">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4</w:t>
      </w:r>
      <w:r>
        <w:rPr>
          <w:rFonts w:hint="eastAsia" w:eastAsia="宋体" w:cs="仿宋_GB2312"/>
          <w:color w:val="auto"/>
          <w:sz w:val="24"/>
          <w:szCs w:val="24"/>
          <w:highlight w:val="none"/>
          <w:lang w:eastAsia="zh-CN"/>
        </w:rPr>
        <w:t>投标人</w:t>
      </w:r>
      <w:r>
        <w:rPr>
          <w:rFonts w:hint="eastAsia" w:eastAsia="宋体" w:cs="仿宋_GB2312"/>
          <w:color w:val="auto"/>
          <w:sz w:val="24"/>
          <w:szCs w:val="24"/>
          <w:highlight w:val="none"/>
        </w:rPr>
        <w:t>在</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递交截</w:t>
      </w:r>
      <w:r>
        <w:rPr>
          <w:rFonts w:hint="eastAsia" w:eastAsia="宋体" w:cs="仿宋_GB2312"/>
          <w:color w:val="auto"/>
          <w:sz w:val="24"/>
          <w:szCs w:val="24"/>
          <w:highlight w:val="none"/>
          <w:lang w:val="en-US" w:eastAsia="zh-CN"/>
        </w:rPr>
        <w:t>止</w:t>
      </w:r>
      <w:r>
        <w:rPr>
          <w:rFonts w:hint="eastAsia" w:eastAsia="宋体" w:cs="仿宋_GB2312"/>
          <w:color w:val="auto"/>
          <w:sz w:val="24"/>
          <w:szCs w:val="24"/>
          <w:highlight w:val="none"/>
        </w:rPr>
        <w:t>时间前通过</w:t>
      </w:r>
      <w:r>
        <w:rPr>
          <w:rFonts w:hint="eastAsia" w:eastAsia="宋体" w:cs="仿宋_GB2312"/>
          <w:color w:val="auto"/>
          <w:sz w:val="24"/>
          <w:szCs w:val="24"/>
          <w:highlight w:val="none"/>
          <w:lang w:val="en-US" w:eastAsia="zh-CN"/>
        </w:rPr>
        <w:t>兵团</w:t>
      </w:r>
      <w:r>
        <w:rPr>
          <w:rFonts w:hint="eastAsia" w:eastAsia="宋体" w:cs="仿宋_GB2312"/>
          <w:color w:val="auto"/>
          <w:sz w:val="24"/>
          <w:szCs w:val="24"/>
          <w:highlight w:val="none"/>
        </w:rPr>
        <w:t>政府采购网（http://ccgp-bingtuan.gov.cn/）的”政采云登录入口”登录后，将加密电子</w:t>
      </w:r>
      <w:r>
        <w:rPr>
          <w:rFonts w:hint="eastAsia" w:eastAsia="宋体" w:cs="仿宋_GB2312"/>
          <w:color w:val="auto"/>
          <w:sz w:val="24"/>
          <w:szCs w:val="24"/>
          <w:highlight w:val="none"/>
          <w:lang w:eastAsia="zh-CN"/>
        </w:rPr>
        <w:t>投标文件</w:t>
      </w:r>
      <w:r>
        <w:rPr>
          <w:rFonts w:hint="eastAsia" w:ascii="宋体" w:hAnsi="宋体" w:eastAsia="宋体" w:cs="仿宋_GB2312"/>
          <w:color w:val="auto"/>
          <w:sz w:val="24"/>
          <w:szCs w:val="24"/>
          <w:highlight w:val="none"/>
        </w:rPr>
        <w:t>（为.jmbs后缀格式）</w:t>
      </w:r>
      <w:r>
        <w:rPr>
          <w:rFonts w:hint="eastAsia" w:eastAsia="宋体" w:cs="仿宋_GB2312"/>
          <w:color w:val="auto"/>
          <w:sz w:val="24"/>
          <w:szCs w:val="24"/>
          <w:highlight w:val="none"/>
        </w:rPr>
        <w:t>上传到对应项目的指定位置</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rPr>
        <w:t>投标人认为有必要提交的其他资料请于投标截止时间前一并提交。</w:t>
      </w:r>
    </w:p>
    <w:p w14:paraId="7FD09881">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如果投标人未按上述要求</w:t>
      </w:r>
      <w:r>
        <w:rPr>
          <w:rFonts w:hint="eastAsia" w:eastAsia="宋体" w:cs="仿宋_GB2312"/>
          <w:color w:val="auto"/>
          <w:sz w:val="24"/>
          <w:szCs w:val="24"/>
          <w:highlight w:val="none"/>
          <w:lang w:val="en-US" w:eastAsia="zh-CN"/>
        </w:rPr>
        <w:t>加密并上传</w:t>
      </w:r>
      <w:r>
        <w:rPr>
          <w:rFonts w:hint="eastAsia" w:eastAsia="宋体" w:cs="仿宋_GB2312"/>
          <w:color w:val="auto"/>
          <w:sz w:val="24"/>
          <w:szCs w:val="24"/>
          <w:highlight w:val="none"/>
        </w:rPr>
        <w:t>，采购代理机构对投标文件的误投</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lang w:val="en-US" w:eastAsia="zh-CN"/>
        </w:rPr>
        <w:t>无法解密、传输错误等问题</w:t>
      </w:r>
      <w:r>
        <w:rPr>
          <w:rFonts w:hint="eastAsia" w:eastAsia="宋体" w:cs="仿宋_GB2312"/>
          <w:color w:val="auto"/>
          <w:sz w:val="24"/>
          <w:szCs w:val="24"/>
          <w:highlight w:val="none"/>
        </w:rPr>
        <w:t>概不负责。对由此造成</w:t>
      </w:r>
      <w:r>
        <w:rPr>
          <w:rFonts w:hint="eastAsia" w:eastAsia="宋体" w:cs="仿宋_GB2312"/>
          <w:color w:val="auto"/>
          <w:sz w:val="24"/>
          <w:szCs w:val="24"/>
          <w:highlight w:val="none"/>
          <w:lang w:val="en-US" w:eastAsia="zh-CN"/>
        </w:rPr>
        <w:t>无法正常开启</w:t>
      </w:r>
      <w:r>
        <w:rPr>
          <w:rFonts w:hint="eastAsia" w:eastAsia="宋体" w:cs="仿宋_GB2312"/>
          <w:color w:val="auto"/>
          <w:sz w:val="24"/>
          <w:szCs w:val="24"/>
          <w:highlight w:val="none"/>
        </w:rPr>
        <w:t>的投标文件，采购代理机构有权予以拒绝，并退回投标人。</w:t>
      </w:r>
    </w:p>
    <w:p w14:paraId="23051441">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6</w:t>
      </w:r>
      <w:r>
        <w:rPr>
          <w:rFonts w:hint="eastAsia" w:eastAsia="宋体" w:cs="仿宋_GB2312"/>
          <w:color w:val="auto"/>
          <w:sz w:val="24"/>
          <w:szCs w:val="24"/>
          <w:highlight w:val="none"/>
        </w:rPr>
        <w:t>本项目采用不见面开标，无需提供电子</w:t>
      </w:r>
      <w:r>
        <w:rPr>
          <w:rFonts w:hint="eastAsia" w:ascii="宋体" w:hAnsi="宋体" w:eastAsia="宋体" w:cs="仿宋_GB2312"/>
          <w:color w:val="auto"/>
          <w:sz w:val="24"/>
          <w:szCs w:val="24"/>
          <w:highlight w:val="none"/>
        </w:rPr>
        <w:t>投标文件U盘</w:t>
      </w:r>
      <w:r>
        <w:rPr>
          <w:rFonts w:hint="eastAsia" w:eastAsia="宋体" w:cs="仿宋_GB2312"/>
          <w:color w:val="auto"/>
          <w:sz w:val="24"/>
          <w:szCs w:val="24"/>
          <w:highlight w:val="none"/>
        </w:rPr>
        <w:t>。</w:t>
      </w:r>
    </w:p>
    <w:bookmarkEnd w:id="271"/>
    <w:p w14:paraId="31ED663E">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72" w:name="_Toc140132777"/>
      <w:bookmarkStart w:id="273" w:name="_Toc163492844"/>
      <w:bookmarkStart w:id="274" w:name="_Toc32423"/>
      <w:bookmarkStart w:id="275" w:name="_Toc13907"/>
      <w:bookmarkStart w:id="276" w:name="_Toc29763"/>
      <w:bookmarkStart w:id="277" w:name="_Toc27844"/>
      <w:bookmarkStart w:id="278" w:name="_Toc16258"/>
      <w:r>
        <w:rPr>
          <w:rFonts w:hint="eastAsia" w:ascii="宋体" w:hAnsi="宋体" w:eastAsia="宋体" w:cs="宋体"/>
          <w:b/>
          <w:bCs/>
          <w:color w:val="auto"/>
          <w:kern w:val="2"/>
          <w:sz w:val="24"/>
          <w:szCs w:val="28"/>
          <w:highlight w:val="none"/>
          <w:lang w:val="en-US" w:eastAsia="zh-CN" w:bidi="ar-SA"/>
        </w:rPr>
        <w:t>19.投标文件的递交</w:t>
      </w:r>
      <w:bookmarkEnd w:id="272"/>
      <w:r>
        <w:rPr>
          <w:rFonts w:hint="eastAsia" w:ascii="宋体" w:hAnsi="宋体" w:eastAsia="宋体" w:cs="宋体"/>
          <w:b/>
          <w:bCs/>
          <w:color w:val="auto"/>
          <w:kern w:val="2"/>
          <w:sz w:val="24"/>
          <w:szCs w:val="28"/>
          <w:highlight w:val="none"/>
          <w:lang w:val="en-US" w:eastAsia="zh-CN" w:bidi="ar-SA"/>
        </w:rPr>
        <w:t>（上传）</w:t>
      </w:r>
      <w:bookmarkEnd w:id="273"/>
      <w:bookmarkEnd w:id="274"/>
      <w:bookmarkEnd w:id="275"/>
      <w:bookmarkEnd w:id="276"/>
      <w:bookmarkEnd w:id="277"/>
      <w:bookmarkEnd w:id="278"/>
    </w:p>
    <w:p w14:paraId="68ADD5DF">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bookmarkStart w:id="279" w:name="_Hlk143531977"/>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.1 投标人应在“</w:t>
      </w:r>
      <w:r>
        <w:rPr>
          <w:rFonts w:hint="eastAsia" w:eastAsia="宋体" w:cs="仿宋_GB2312"/>
          <w:color w:val="auto"/>
          <w:sz w:val="24"/>
          <w:szCs w:val="24"/>
          <w:highlight w:val="none"/>
          <w:lang w:val="en-US" w:eastAsia="zh-CN"/>
        </w:rPr>
        <w:t xml:space="preserve">第一章 </w:t>
      </w:r>
      <w:r>
        <w:rPr>
          <w:rFonts w:hint="eastAsia" w:eastAsia="宋体"/>
          <w:color w:val="auto"/>
          <w:sz w:val="24"/>
          <w:highlight w:val="none"/>
          <w:lang w:val="en-US" w:eastAsia="zh-CN"/>
        </w:rPr>
        <w:t>招标公告</w:t>
      </w:r>
      <w:r>
        <w:rPr>
          <w:rFonts w:hint="eastAsia" w:eastAsia="宋体" w:cs="仿宋_GB2312"/>
          <w:color w:val="auto"/>
          <w:sz w:val="24"/>
          <w:szCs w:val="24"/>
          <w:highlight w:val="none"/>
        </w:rPr>
        <w:t>”规定的投标截止时间前递交（上传）投标文件。</w:t>
      </w:r>
    </w:p>
    <w:p w14:paraId="0686D9A3">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.2 投标人递交（上传）投标文件的地点见“</w:t>
      </w:r>
      <w:r>
        <w:rPr>
          <w:rFonts w:hint="eastAsia" w:eastAsia="宋体" w:cs="仿宋_GB2312"/>
          <w:color w:val="auto"/>
          <w:sz w:val="24"/>
          <w:szCs w:val="24"/>
          <w:highlight w:val="none"/>
          <w:lang w:val="en-US" w:eastAsia="zh-CN"/>
        </w:rPr>
        <w:t xml:space="preserve">第一章 </w:t>
      </w:r>
      <w:r>
        <w:rPr>
          <w:rFonts w:hint="eastAsia" w:eastAsia="宋体"/>
          <w:color w:val="auto"/>
          <w:sz w:val="24"/>
          <w:highlight w:val="none"/>
          <w:lang w:val="en-US" w:eastAsia="zh-CN"/>
        </w:rPr>
        <w:t>招标公告</w:t>
      </w:r>
      <w:r>
        <w:rPr>
          <w:rFonts w:hint="eastAsia" w:eastAsia="宋体" w:cs="仿宋_GB2312"/>
          <w:color w:val="auto"/>
          <w:sz w:val="24"/>
          <w:szCs w:val="24"/>
          <w:highlight w:val="none"/>
        </w:rPr>
        <w:t>”。</w:t>
      </w:r>
    </w:p>
    <w:p w14:paraId="6AE6974A">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lang w:eastAsia="zh-CN"/>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.3投标人应充分评估集中同时投标带来的网络影响，尽量避开投标高峰时间，错峰进行电子投标。投标人递交全部的投标文件后可在政采云平台（项目采购</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rPr>
        <w:t>投标文件上传）中获取投标文件递交回执单。</w:t>
      </w:r>
    </w:p>
    <w:p w14:paraId="66FB688C">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.4 投标人应在</w:t>
      </w:r>
      <w:r>
        <w:rPr>
          <w:rFonts w:hint="eastAsia" w:eastAsia="宋体" w:cs="仿宋_GB2312"/>
          <w:color w:val="auto"/>
          <w:sz w:val="24"/>
          <w:szCs w:val="24"/>
          <w:highlight w:val="none"/>
          <w:lang w:eastAsia="zh-CN"/>
        </w:rPr>
        <w:t>投标人</w:t>
      </w:r>
      <w:r>
        <w:rPr>
          <w:rFonts w:hint="eastAsia" w:eastAsia="宋体" w:cs="仿宋_GB2312"/>
          <w:color w:val="auto"/>
          <w:sz w:val="24"/>
          <w:szCs w:val="24"/>
          <w:highlight w:val="none"/>
        </w:rPr>
        <w:t>客户端中下载未加密且完成签章的投标文件妥善保存，以便启动应急开标程序时使用。</w:t>
      </w:r>
    </w:p>
    <w:p w14:paraId="4469D505">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.5投标人所递交的投标文件不予退还。</w:t>
      </w:r>
    </w:p>
    <w:bookmarkEnd w:id="279"/>
    <w:p w14:paraId="6AD70963">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80" w:name="_Toc4892"/>
      <w:bookmarkStart w:id="281" w:name="_Toc32306"/>
      <w:bookmarkStart w:id="282" w:name="_Toc22348"/>
      <w:bookmarkStart w:id="283" w:name="_Toc29074"/>
      <w:bookmarkStart w:id="284" w:name="_Toc30939"/>
      <w:bookmarkStart w:id="285" w:name="_Toc163492845"/>
      <w:r>
        <w:rPr>
          <w:rFonts w:hint="eastAsia" w:ascii="宋体" w:hAnsi="宋体" w:eastAsia="宋体" w:cs="宋体"/>
          <w:b/>
          <w:bCs/>
          <w:color w:val="auto"/>
          <w:kern w:val="2"/>
          <w:sz w:val="24"/>
          <w:szCs w:val="28"/>
          <w:highlight w:val="none"/>
          <w:lang w:val="en-US" w:eastAsia="zh-CN" w:bidi="ar-SA"/>
        </w:rPr>
        <w:t>20.拒收</w:t>
      </w:r>
      <w:bookmarkEnd w:id="280"/>
      <w:bookmarkEnd w:id="281"/>
      <w:bookmarkEnd w:id="282"/>
      <w:bookmarkEnd w:id="283"/>
      <w:bookmarkEnd w:id="284"/>
      <w:bookmarkEnd w:id="285"/>
    </w:p>
    <w:p w14:paraId="163AD542">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2</w:t>
      </w:r>
      <w:r>
        <w:rPr>
          <w:rFonts w:hint="eastAsia" w:eastAsia="宋体" w:cs="仿宋_GB2312"/>
          <w:color w:val="auto"/>
          <w:sz w:val="24"/>
          <w:szCs w:val="24"/>
          <w:highlight w:val="none"/>
          <w:lang w:val="en-US" w:eastAsia="zh-CN"/>
        </w:rPr>
        <w:t>0</w:t>
      </w:r>
      <w:r>
        <w:rPr>
          <w:rFonts w:hint="eastAsia" w:eastAsia="宋体" w:cs="仿宋_GB2312"/>
          <w:color w:val="auto"/>
          <w:sz w:val="24"/>
          <w:szCs w:val="24"/>
          <w:highlight w:val="none"/>
        </w:rPr>
        <w:t>.1 超过投标文件提交截止时间</w:t>
      </w:r>
      <w:bookmarkStart w:id="286" w:name="_Hlk143532404"/>
      <w:r>
        <w:rPr>
          <w:rFonts w:hint="eastAsia" w:eastAsia="宋体" w:cs="仿宋_GB2312"/>
          <w:color w:val="auto"/>
          <w:sz w:val="24"/>
          <w:szCs w:val="24"/>
          <w:highlight w:val="none"/>
        </w:rPr>
        <w:t>或者不按照本章要求加密的投标文件，交易系统应当拒收</w:t>
      </w:r>
      <w:bookmarkEnd w:id="286"/>
      <w:r>
        <w:rPr>
          <w:rFonts w:hint="eastAsia" w:eastAsia="宋体" w:cs="仿宋_GB2312"/>
          <w:color w:val="auto"/>
          <w:sz w:val="24"/>
          <w:szCs w:val="24"/>
          <w:highlight w:val="none"/>
        </w:rPr>
        <w:t>。</w:t>
      </w:r>
    </w:p>
    <w:p w14:paraId="03561218">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87" w:name="_Toc18184"/>
      <w:bookmarkStart w:id="288" w:name="_Toc4072"/>
      <w:bookmarkStart w:id="289" w:name="_Toc2528"/>
      <w:bookmarkStart w:id="290" w:name="_Toc29200"/>
      <w:bookmarkStart w:id="291" w:name="_Toc140132778"/>
      <w:bookmarkStart w:id="292" w:name="_Toc26768"/>
      <w:bookmarkStart w:id="293" w:name="_Toc163492846"/>
      <w:r>
        <w:rPr>
          <w:rFonts w:hint="eastAsia" w:ascii="宋体" w:hAnsi="宋体" w:eastAsia="宋体" w:cs="宋体"/>
          <w:b/>
          <w:bCs/>
          <w:color w:val="auto"/>
          <w:kern w:val="2"/>
          <w:sz w:val="24"/>
          <w:szCs w:val="28"/>
          <w:highlight w:val="none"/>
          <w:lang w:val="en-US" w:eastAsia="zh-CN" w:bidi="ar-SA"/>
        </w:rPr>
        <w:t>21.投标文件的修改与撤回</w:t>
      </w:r>
      <w:bookmarkEnd w:id="287"/>
      <w:bookmarkEnd w:id="288"/>
      <w:bookmarkEnd w:id="289"/>
      <w:bookmarkEnd w:id="290"/>
      <w:bookmarkEnd w:id="291"/>
      <w:bookmarkEnd w:id="292"/>
      <w:bookmarkEnd w:id="293"/>
    </w:p>
    <w:p w14:paraId="7DBF29E0">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2</w:t>
      </w:r>
      <w:r>
        <w:rPr>
          <w:rFonts w:hint="eastAsia" w:eastAsia="宋体" w:cs="仿宋_GB2312"/>
          <w:color w:val="auto"/>
          <w:sz w:val="24"/>
          <w:szCs w:val="24"/>
          <w:highlight w:val="none"/>
          <w:lang w:val="en-US" w:eastAsia="zh-CN"/>
        </w:rPr>
        <w:t>1</w:t>
      </w:r>
      <w:r>
        <w:rPr>
          <w:rFonts w:hint="eastAsia" w:eastAsia="宋体" w:cs="仿宋_GB2312"/>
          <w:color w:val="auto"/>
          <w:sz w:val="24"/>
          <w:szCs w:val="24"/>
          <w:highlight w:val="none"/>
        </w:rPr>
        <w:t>.1</w:t>
      </w:r>
      <w:bookmarkStart w:id="294" w:name="_Hlk143532466"/>
      <w:r>
        <w:rPr>
          <w:rFonts w:hint="eastAsia" w:eastAsia="宋体" w:cs="仿宋_GB2312"/>
          <w:color w:val="auto"/>
          <w:sz w:val="24"/>
          <w:szCs w:val="24"/>
          <w:highlight w:val="none"/>
          <w:lang w:eastAsia="zh-CN"/>
        </w:rPr>
        <w:t>投标人</w:t>
      </w:r>
      <w:r>
        <w:rPr>
          <w:rFonts w:hint="eastAsia" w:eastAsia="宋体" w:cs="仿宋_GB2312"/>
          <w:color w:val="auto"/>
          <w:sz w:val="24"/>
          <w:szCs w:val="24"/>
          <w:highlight w:val="none"/>
        </w:rPr>
        <w:t>在</w:t>
      </w:r>
      <w:r>
        <w:rPr>
          <w:rFonts w:hint="eastAsia" w:eastAsia="宋体" w:cs="仿宋_GB2312"/>
          <w:color w:val="auto"/>
          <w:sz w:val="24"/>
          <w:szCs w:val="24"/>
          <w:highlight w:val="none"/>
          <w:lang w:eastAsia="zh-CN"/>
        </w:rPr>
        <w:t>“</w:t>
      </w:r>
      <w:r>
        <w:rPr>
          <w:rFonts w:hint="eastAsia" w:eastAsia="宋体"/>
          <w:color w:val="auto"/>
          <w:sz w:val="24"/>
          <w:highlight w:val="none"/>
          <w:lang w:val="en-US" w:eastAsia="zh-CN"/>
        </w:rPr>
        <w:t>第一章 招标公告</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rPr>
        <w:t>规定的</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递交截止时间之前，可在兵团政府采购电子交易云平台上随时撤回已上传的电子</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，将修改好的电子</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在</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递交截止时间前重新上传到兵团政府采购电子交易云平台的</w:t>
      </w:r>
      <w:r>
        <w:rPr>
          <w:rFonts w:hint="eastAsia" w:eastAsia="宋体" w:cs="仿宋_GB2312"/>
          <w:color w:val="auto"/>
          <w:sz w:val="24"/>
          <w:szCs w:val="24"/>
          <w:highlight w:val="none"/>
          <w:lang w:val="en-US" w:eastAsia="zh-CN"/>
        </w:rPr>
        <w:t>指</w:t>
      </w:r>
      <w:r>
        <w:rPr>
          <w:rFonts w:hint="eastAsia" w:eastAsia="宋体" w:cs="仿宋_GB2312"/>
          <w:color w:val="auto"/>
          <w:sz w:val="24"/>
          <w:szCs w:val="24"/>
          <w:highlight w:val="none"/>
        </w:rPr>
        <w:t>定位置。</w:t>
      </w:r>
    </w:p>
    <w:bookmarkEnd w:id="294"/>
    <w:p w14:paraId="20434D8C">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95" w:name="_Toc163492847"/>
      <w:bookmarkStart w:id="296" w:name="_Toc9242"/>
      <w:bookmarkStart w:id="297" w:name="_Toc24996"/>
      <w:bookmarkStart w:id="298" w:name="_Toc6575"/>
      <w:bookmarkStart w:id="299" w:name="_Toc19338"/>
      <w:bookmarkStart w:id="300" w:name="_Toc155185874"/>
      <w:bookmarkStart w:id="301" w:name="_Toc14158"/>
      <w:r>
        <w:rPr>
          <w:rFonts w:hint="eastAsia" w:ascii="宋体" w:hAnsi="宋体" w:eastAsia="宋体" w:cs="宋体"/>
          <w:b/>
          <w:bCs/>
          <w:color w:val="auto"/>
          <w:kern w:val="2"/>
          <w:sz w:val="24"/>
          <w:szCs w:val="28"/>
          <w:highlight w:val="none"/>
          <w:lang w:val="en-US" w:eastAsia="zh-CN" w:bidi="ar-SA"/>
        </w:rPr>
        <w:t>22.实物样品</w:t>
      </w:r>
      <w:bookmarkEnd w:id="295"/>
      <w:bookmarkEnd w:id="296"/>
      <w:bookmarkEnd w:id="297"/>
      <w:bookmarkEnd w:id="298"/>
      <w:bookmarkEnd w:id="299"/>
      <w:bookmarkEnd w:id="300"/>
      <w:bookmarkEnd w:id="301"/>
    </w:p>
    <w:p w14:paraId="52D4EAF6">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2</w:t>
      </w:r>
      <w:r>
        <w:rPr>
          <w:rFonts w:hint="eastAsia" w:eastAsia="宋体"/>
          <w:color w:val="auto"/>
          <w:sz w:val="24"/>
          <w:highlight w:val="none"/>
        </w:rPr>
        <w:t>.1“投标人须知前附表”要求提供样品的，样品的具体要求及评审详见“第三章 采购需求”和“第五章 评标</w:t>
      </w:r>
      <w:r>
        <w:rPr>
          <w:rFonts w:hint="eastAsia" w:eastAsia="宋体"/>
          <w:color w:val="auto"/>
          <w:sz w:val="24"/>
          <w:highlight w:val="none"/>
          <w:lang w:val="en-US" w:eastAsia="zh-CN"/>
        </w:rPr>
        <w:t>方</w:t>
      </w:r>
      <w:r>
        <w:rPr>
          <w:rFonts w:hint="eastAsia" w:eastAsia="宋体"/>
          <w:color w:val="auto"/>
          <w:sz w:val="24"/>
          <w:highlight w:val="none"/>
        </w:rPr>
        <w:t>法及标准”。</w:t>
      </w:r>
    </w:p>
    <w:p w14:paraId="2D6ED3FC">
      <w:pPr>
        <w:pStyle w:val="38"/>
        <w:keepNext w:val="0"/>
        <w:keepLines w:val="0"/>
        <w:pageBreakBefore w:val="0"/>
        <w:widowControl w:val="0"/>
        <w:kinsoku/>
        <w:overflowPunct/>
        <w:topLinePunct w:val="0"/>
        <w:autoSpaceDE/>
        <w:autoSpaceDN/>
        <w:bidi w:val="0"/>
        <w:adjustRightInd/>
        <w:textAlignment w:val="auto"/>
        <w:rPr>
          <w:rFonts w:eastAsia="宋体" w:cs="仿宋_GB2312"/>
          <w:b/>
          <w:color w:val="auto"/>
          <w:sz w:val="24"/>
          <w:szCs w:val="24"/>
          <w:highlight w:val="none"/>
        </w:rPr>
      </w:pPr>
      <w:r>
        <w:rPr>
          <w:rFonts w:eastAsia="宋体"/>
          <w:color w:val="auto"/>
          <w:sz w:val="24"/>
          <w:highlight w:val="none"/>
        </w:rPr>
        <w:t>2</w:t>
      </w:r>
      <w:r>
        <w:rPr>
          <w:rFonts w:hint="eastAsia" w:eastAsia="宋体"/>
          <w:color w:val="auto"/>
          <w:sz w:val="24"/>
          <w:highlight w:val="none"/>
          <w:lang w:val="en-US" w:eastAsia="zh-CN"/>
        </w:rPr>
        <w:t>2</w:t>
      </w:r>
      <w:r>
        <w:rPr>
          <w:rFonts w:hint="eastAsia" w:eastAsia="宋体"/>
          <w:color w:val="auto"/>
          <w:sz w:val="24"/>
          <w:highlight w:val="none"/>
        </w:rPr>
        <w:t>.2样品退还：</w:t>
      </w:r>
      <w:r>
        <w:rPr>
          <w:rFonts w:hint="eastAsia" w:ascii="宋体" w:hAnsi="宋体" w:eastAsia="宋体"/>
          <w:color w:val="auto"/>
          <w:sz w:val="24"/>
          <w:highlight w:val="none"/>
        </w:rPr>
        <w:t>未中标的投标人应</w:t>
      </w:r>
      <w:r>
        <w:rPr>
          <w:rFonts w:hint="eastAsia" w:ascii="宋体" w:hAnsi="宋体" w:eastAsia="宋体"/>
          <w:color w:val="auto"/>
          <w:sz w:val="24"/>
          <w:highlight w:val="none"/>
          <w:lang w:val="en-US" w:eastAsia="zh-CN"/>
        </w:rPr>
        <w:t>按照</w:t>
      </w:r>
      <w:r>
        <w:rPr>
          <w:rFonts w:hint="eastAsia" w:ascii="宋体" w:hAnsi="宋体" w:eastAsia="宋体"/>
          <w:color w:val="auto"/>
          <w:sz w:val="24"/>
          <w:highlight w:val="none"/>
        </w:rPr>
        <w:t>“投标人须知前附表”</w:t>
      </w:r>
      <w:r>
        <w:rPr>
          <w:rFonts w:hint="eastAsia" w:ascii="宋体" w:hAnsi="宋体" w:eastAsia="宋体"/>
          <w:color w:val="auto"/>
          <w:sz w:val="24"/>
          <w:highlight w:val="none"/>
          <w:lang w:val="en-US" w:eastAsia="zh-CN"/>
        </w:rPr>
        <w:t>要求</w:t>
      </w:r>
      <w:r>
        <w:rPr>
          <w:rFonts w:hint="eastAsia" w:ascii="宋体" w:hAnsi="宋体" w:eastAsia="宋体"/>
          <w:color w:val="auto"/>
          <w:sz w:val="24"/>
          <w:highlight w:val="none"/>
        </w:rPr>
        <w:t>自行联系采购人取回投标样品；中标人的样品由采购人进行保管、封存，并作为履约验收的参考</w:t>
      </w:r>
      <w:r>
        <w:rPr>
          <w:rFonts w:hint="eastAsia" w:eastAsia="宋体"/>
          <w:color w:val="auto"/>
          <w:sz w:val="24"/>
          <w:highlight w:val="none"/>
        </w:rPr>
        <w:t>（招标文件另有规定的从其规定）。</w:t>
      </w:r>
    </w:p>
    <w:p w14:paraId="7DD3C31F">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02" w:name="_Toc16829"/>
      <w:bookmarkStart w:id="303" w:name="_Toc31127"/>
      <w:bookmarkStart w:id="304" w:name="_Toc155185875"/>
      <w:bookmarkStart w:id="305" w:name="_Toc28857"/>
      <w:bookmarkStart w:id="306" w:name="_Toc163492848"/>
      <w:bookmarkStart w:id="307" w:name="_Toc29711"/>
      <w:bookmarkStart w:id="308" w:name="_Toc25755"/>
      <w:r>
        <w:rPr>
          <w:rFonts w:hint="eastAsia" w:ascii="宋体" w:hAnsi="宋体" w:eastAsia="宋体" w:cs="宋体"/>
          <w:b/>
          <w:bCs/>
          <w:color w:val="auto"/>
          <w:kern w:val="2"/>
          <w:sz w:val="24"/>
          <w:szCs w:val="28"/>
          <w:highlight w:val="none"/>
          <w:lang w:val="en-US" w:eastAsia="zh-CN" w:bidi="ar-SA"/>
        </w:rPr>
        <w:t>23.演示</w:t>
      </w:r>
      <w:bookmarkEnd w:id="302"/>
      <w:bookmarkEnd w:id="303"/>
      <w:bookmarkEnd w:id="304"/>
      <w:bookmarkEnd w:id="305"/>
      <w:bookmarkEnd w:id="306"/>
      <w:bookmarkEnd w:id="307"/>
      <w:bookmarkEnd w:id="308"/>
    </w:p>
    <w:p w14:paraId="1A234B38">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3</w:t>
      </w:r>
      <w:r>
        <w:rPr>
          <w:rFonts w:hint="eastAsia" w:eastAsia="宋体"/>
          <w:color w:val="auto"/>
          <w:sz w:val="24"/>
          <w:highlight w:val="none"/>
        </w:rPr>
        <w:t>.1要求投标人进行演示的，演示要求详见“投标人须知前附表”。</w:t>
      </w:r>
    </w:p>
    <w:p w14:paraId="527E9036">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3</w:t>
      </w:r>
      <w:r>
        <w:rPr>
          <w:rFonts w:hint="eastAsia" w:eastAsia="宋体"/>
          <w:color w:val="auto"/>
          <w:sz w:val="24"/>
          <w:highlight w:val="none"/>
        </w:rPr>
        <w:t>.2演示的评审详见“第三章 采购需求”和“第五章 评标</w:t>
      </w:r>
      <w:r>
        <w:rPr>
          <w:rFonts w:hint="eastAsia" w:eastAsia="宋体"/>
          <w:color w:val="auto"/>
          <w:sz w:val="24"/>
          <w:highlight w:val="none"/>
          <w:lang w:val="en-US" w:eastAsia="zh-CN"/>
        </w:rPr>
        <w:t>方</w:t>
      </w:r>
      <w:r>
        <w:rPr>
          <w:rFonts w:hint="eastAsia" w:eastAsia="宋体"/>
          <w:color w:val="auto"/>
          <w:sz w:val="24"/>
          <w:highlight w:val="none"/>
        </w:rPr>
        <w:t>法及标准”。</w:t>
      </w:r>
    </w:p>
    <w:p w14:paraId="44828689">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309" w:name="_Toc163492849"/>
      <w:bookmarkStart w:id="310" w:name="_Toc25557"/>
      <w:bookmarkStart w:id="311" w:name="_Toc6826"/>
      <w:bookmarkStart w:id="312" w:name="_Toc155185876"/>
      <w:bookmarkStart w:id="313" w:name="_Toc7097"/>
      <w:bookmarkStart w:id="314" w:name="_Toc926"/>
      <w:bookmarkStart w:id="315" w:name="_Toc21792"/>
      <w:bookmarkStart w:id="316" w:name="_Toc140132779"/>
      <w:r>
        <w:rPr>
          <w:rFonts w:hint="eastAsia" w:ascii="宋体" w:hAnsi="宋体" w:eastAsia="宋体" w:cstheme="minorBidi"/>
          <w:b/>
          <w:bCs/>
          <w:color w:val="auto"/>
          <w:kern w:val="2"/>
          <w:sz w:val="24"/>
          <w:szCs w:val="32"/>
          <w:highlight w:val="none"/>
          <w:lang w:val="en-US" w:eastAsia="zh-CN" w:bidi="ar-SA"/>
        </w:rPr>
        <w:t>（五）开标</w:t>
      </w:r>
      <w:bookmarkEnd w:id="309"/>
      <w:bookmarkEnd w:id="310"/>
      <w:bookmarkEnd w:id="311"/>
      <w:bookmarkEnd w:id="312"/>
      <w:bookmarkEnd w:id="313"/>
      <w:bookmarkEnd w:id="314"/>
      <w:bookmarkEnd w:id="315"/>
      <w:bookmarkEnd w:id="316"/>
    </w:p>
    <w:p w14:paraId="1705A8FF">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17" w:name="_Toc410"/>
      <w:bookmarkStart w:id="318" w:name="_Toc163492850"/>
      <w:bookmarkStart w:id="319" w:name="_Toc25197"/>
      <w:bookmarkStart w:id="320" w:name="_Toc140132780"/>
      <w:bookmarkStart w:id="321" w:name="_Toc16939"/>
      <w:bookmarkStart w:id="322" w:name="_Toc29962"/>
      <w:bookmarkStart w:id="323" w:name="_Toc31983"/>
      <w:r>
        <w:rPr>
          <w:rFonts w:hint="eastAsia" w:ascii="宋体" w:hAnsi="宋体" w:eastAsia="宋体" w:cs="宋体"/>
          <w:b/>
          <w:bCs/>
          <w:color w:val="auto"/>
          <w:kern w:val="2"/>
          <w:sz w:val="24"/>
          <w:szCs w:val="28"/>
          <w:highlight w:val="none"/>
          <w:lang w:val="en-US" w:eastAsia="zh-CN" w:bidi="ar-SA"/>
        </w:rPr>
        <w:t>24.开标会议</w:t>
      </w:r>
      <w:bookmarkEnd w:id="317"/>
      <w:bookmarkEnd w:id="318"/>
      <w:bookmarkEnd w:id="319"/>
      <w:bookmarkEnd w:id="320"/>
      <w:bookmarkEnd w:id="321"/>
      <w:bookmarkEnd w:id="322"/>
      <w:bookmarkEnd w:id="323"/>
    </w:p>
    <w:p w14:paraId="43376441">
      <w:pPr>
        <w:keepNext w:val="0"/>
        <w:keepLines w:val="0"/>
        <w:pageBreakBefore w:val="0"/>
        <w:widowControl w:val="0"/>
        <w:kinsoku/>
        <w:overflowPunct/>
        <w:topLinePunct w:val="0"/>
        <w:autoSpaceDE/>
        <w:autoSpaceDN/>
        <w:bidi w:val="0"/>
        <w:adjustRightInd/>
        <w:snapToGrid/>
        <w:ind w:firstLine="480" w:firstLineChars="200"/>
        <w:textAlignment w:val="auto"/>
        <w:rPr>
          <w:rFonts w:hint="eastAsia" w:eastAsia="宋体" w:cs="仿宋_GB2312"/>
          <w:color w:val="auto"/>
          <w:sz w:val="24"/>
          <w:szCs w:val="24"/>
          <w:highlight w:val="none"/>
          <w:lang w:eastAsia="zh-CN"/>
        </w:rPr>
      </w:pPr>
      <w:bookmarkStart w:id="324" w:name="_Toc140132781"/>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4</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1</w:t>
      </w:r>
      <w:r>
        <w:rPr>
          <w:rFonts w:hint="eastAsia" w:eastAsia="宋体" w:cs="仿宋_GB2312"/>
          <w:color w:val="auto"/>
          <w:sz w:val="24"/>
          <w:szCs w:val="24"/>
          <w:highlight w:val="none"/>
        </w:rPr>
        <w:t>开标会按“</w:t>
      </w:r>
      <w:r>
        <w:rPr>
          <w:rFonts w:hint="eastAsia" w:eastAsia="宋体" w:cs="仿宋_GB2312"/>
          <w:color w:val="auto"/>
          <w:sz w:val="24"/>
          <w:szCs w:val="24"/>
          <w:highlight w:val="none"/>
          <w:lang w:val="en-US" w:eastAsia="zh-CN"/>
        </w:rPr>
        <w:t xml:space="preserve">第一章 </w:t>
      </w:r>
      <w:r>
        <w:rPr>
          <w:rFonts w:hint="eastAsia" w:eastAsia="宋体"/>
          <w:color w:val="auto"/>
          <w:sz w:val="24"/>
          <w:highlight w:val="none"/>
          <w:lang w:val="en-US" w:eastAsia="zh-CN"/>
        </w:rPr>
        <w:t>招标公告</w:t>
      </w:r>
      <w:r>
        <w:rPr>
          <w:rFonts w:hint="eastAsia" w:eastAsia="宋体" w:cs="仿宋_GB2312"/>
          <w:color w:val="auto"/>
          <w:sz w:val="24"/>
          <w:szCs w:val="24"/>
          <w:highlight w:val="none"/>
        </w:rPr>
        <w:t>”规定的开标时间和地点准时举行，采购人、采购代理机构邀请所有投标人准时参加开标会。</w:t>
      </w:r>
      <w:r>
        <w:rPr>
          <w:rFonts w:hint="eastAsia" w:eastAsia="宋体"/>
          <w:color w:val="auto"/>
          <w:sz w:val="24"/>
          <w:highlight w:val="none"/>
        </w:rPr>
        <w:t>投标人应按照</w:t>
      </w:r>
      <w:r>
        <w:rPr>
          <w:rFonts w:hint="eastAsia" w:eastAsia="宋体"/>
          <w:color w:val="auto"/>
          <w:sz w:val="24"/>
          <w:highlight w:val="none"/>
          <w:lang w:val="en-US" w:eastAsia="zh-CN"/>
        </w:rPr>
        <w:t>招标文件</w:t>
      </w:r>
      <w:r>
        <w:rPr>
          <w:rFonts w:hint="eastAsia" w:eastAsia="宋体"/>
          <w:color w:val="auto"/>
          <w:sz w:val="24"/>
          <w:highlight w:val="none"/>
        </w:rPr>
        <w:t>的要求参与</w:t>
      </w:r>
      <w:r>
        <w:rPr>
          <w:rFonts w:hint="eastAsia" w:eastAsia="宋体"/>
          <w:color w:val="auto"/>
          <w:sz w:val="24"/>
          <w:highlight w:val="none"/>
          <w:lang w:val="en-US" w:eastAsia="zh-CN"/>
        </w:rPr>
        <w:t>不见面开标</w:t>
      </w:r>
      <w:r>
        <w:rPr>
          <w:rFonts w:hint="eastAsia" w:eastAsia="宋体"/>
          <w:color w:val="auto"/>
          <w:sz w:val="24"/>
          <w:highlight w:val="none"/>
        </w:rPr>
        <w:t>。</w:t>
      </w:r>
    </w:p>
    <w:p w14:paraId="60A061F0">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ascii="宋体" w:hAnsi="宋体" w:eastAsia="宋体" w:cs="宋体"/>
          <w:color w:val="auto"/>
          <w:kern w:val="2"/>
          <w:sz w:val="24"/>
          <w:szCs w:val="22"/>
          <w:highlight w:val="none"/>
        </w:rPr>
      </w:pPr>
      <w:r>
        <w:rPr>
          <w:rFonts w:eastAsia="宋体"/>
          <w:color w:val="auto"/>
          <w:sz w:val="24"/>
          <w:highlight w:val="none"/>
        </w:rPr>
        <w:t>2</w:t>
      </w:r>
      <w:r>
        <w:rPr>
          <w:rFonts w:hint="eastAsia" w:eastAsia="宋体"/>
          <w:color w:val="auto"/>
          <w:sz w:val="24"/>
          <w:highlight w:val="none"/>
          <w:lang w:val="en-US" w:eastAsia="zh-CN"/>
        </w:rPr>
        <w:t>4</w:t>
      </w:r>
      <w:r>
        <w:rPr>
          <w:rFonts w:hint="eastAsia" w:eastAsia="宋体"/>
          <w:color w:val="auto"/>
          <w:sz w:val="24"/>
          <w:highlight w:val="none"/>
        </w:rPr>
        <w:t>.</w:t>
      </w:r>
      <w:r>
        <w:rPr>
          <w:rFonts w:hint="eastAsia" w:eastAsia="宋体"/>
          <w:color w:val="auto"/>
          <w:sz w:val="24"/>
          <w:highlight w:val="none"/>
          <w:lang w:val="en-US" w:eastAsia="zh-CN"/>
        </w:rPr>
        <w:t>2</w:t>
      </w:r>
      <w:r>
        <w:rPr>
          <w:rFonts w:hint="eastAsia" w:eastAsia="宋体"/>
          <w:color w:val="auto"/>
          <w:sz w:val="24"/>
          <w:highlight w:val="none"/>
        </w:rPr>
        <w:t xml:space="preserve"> </w:t>
      </w:r>
      <w:bookmarkEnd w:id="324"/>
      <w:r>
        <w:rPr>
          <w:rFonts w:hint="eastAsia" w:ascii="宋体" w:hAnsi="宋体" w:eastAsia="宋体" w:cs="宋体"/>
          <w:color w:val="auto"/>
          <w:kern w:val="2"/>
          <w:sz w:val="24"/>
          <w:szCs w:val="22"/>
          <w:highlight w:val="none"/>
        </w:rPr>
        <w:t>采购代理机构按照招标文件规定的时间、地点主持开标。采购人在规定的</w:t>
      </w:r>
      <w:r>
        <w:rPr>
          <w:rFonts w:hint="eastAsia" w:ascii="宋体" w:hAnsi="宋体" w:eastAsia="宋体" w:cs="宋体"/>
          <w:color w:val="auto"/>
          <w:kern w:val="2"/>
          <w:sz w:val="24"/>
          <w:szCs w:val="22"/>
          <w:highlight w:val="none"/>
          <w:lang w:eastAsia="zh-CN"/>
        </w:rPr>
        <w:t>投标文件</w:t>
      </w:r>
      <w:r>
        <w:rPr>
          <w:rFonts w:hint="eastAsia" w:ascii="宋体" w:hAnsi="宋体" w:eastAsia="宋体" w:cs="宋体"/>
          <w:color w:val="auto"/>
          <w:kern w:val="2"/>
          <w:sz w:val="24"/>
          <w:szCs w:val="22"/>
          <w:highlight w:val="none"/>
        </w:rPr>
        <w:t>递交截止时间（开标时间）和地点进行不见面远程开标。</w:t>
      </w:r>
      <w:r>
        <w:rPr>
          <w:rFonts w:hint="eastAsia" w:ascii="宋体" w:hAnsi="宋体" w:eastAsia="宋体" w:cs="宋体"/>
          <w:color w:val="auto"/>
          <w:kern w:val="2"/>
          <w:sz w:val="24"/>
          <w:szCs w:val="22"/>
          <w:highlight w:val="none"/>
          <w:lang w:eastAsia="zh-CN"/>
        </w:rPr>
        <w:t>投标人</w:t>
      </w:r>
      <w:r>
        <w:rPr>
          <w:rFonts w:hint="eastAsia" w:ascii="宋体" w:hAnsi="宋体" w:eastAsia="宋体" w:cs="宋体"/>
          <w:color w:val="auto"/>
          <w:kern w:val="2"/>
          <w:sz w:val="24"/>
          <w:szCs w:val="22"/>
          <w:highlight w:val="none"/>
        </w:rPr>
        <w:t>的法定代表人或其委托代理人无需到达开标现场，仅需在任意地点通过</w:t>
      </w:r>
      <w:r>
        <w:rPr>
          <w:rFonts w:hint="eastAsia" w:ascii="宋体" w:hAnsi="宋体" w:eastAsia="宋体" w:cs="宋体"/>
          <w:color w:val="auto"/>
          <w:kern w:val="2"/>
          <w:sz w:val="24"/>
          <w:szCs w:val="22"/>
          <w:highlight w:val="none"/>
          <w:lang w:val="en-US" w:eastAsia="zh-CN"/>
        </w:rPr>
        <w:t>兵团政府采购电子交易云平台（网址：https://www.zcygov.cn/）</w:t>
      </w:r>
      <w:r>
        <w:rPr>
          <w:rFonts w:hint="eastAsia" w:ascii="宋体" w:hAnsi="宋体" w:eastAsia="宋体" w:cs="宋体"/>
          <w:color w:val="auto"/>
          <w:kern w:val="2"/>
          <w:sz w:val="24"/>
          <w:szCs w:val="22"/>
          <w:highlight w:val="none"/>
        </w:rPr>
        <w:t>的</w:t>
      </w:r>
      <w:r>
        <w:rPr>
          <w:rFonts w:hint="eastAsia"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政采云登录入口”登录后，进入“政采云远程开标大厅”参加开标会议，并使用CA密钥完成远程解密、提疑澄清、开标唱标、结果公布等交互环节。</w:t>
      </w:r>
    </w:p>
    <w:p w14:paraId="4F83B05F">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2</w:t>
      </w:r>
      <w:r>
        <w:rPr>
          <w:rFonts w:hint="eastAsia"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lang w:val="en-US" w:eastAsia="zh-CN"/>
        </w:rPr>
        <w:t xml:space="preserve">.3开标过程将宣布投标人名称、投标价格和招标文件规定的需要宣布的其他内容并进行记录，并由参加开标的各投标人确认。投标人未在规定时间内提 出疑义或确认一览表的，视同认可开标结果。 </w:t>
      </w:r>
    </w:p>
    <w:p w14:paraId="63FB5E60">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25" w:name="_Toc20710"/>
      <w:bookmarkStart w:id="326" w:name="_Toc30827"/>
      <w:bookmarkStart w:id="327" w:name="_Toc163492852"/>
      <w:bookmarkStart w:id="328" w:name="_Toc12764"/>
      <w:bookmarkStart w:id="329" w:name="_Toc17474"/>
      <w:bookmarkStart w:id="330" w:name="_Toc140132783"/>
      <w:bookmarkStart w:id="331" w:name="_Toc18231"/>
      <w:r>
        <w:rPr>
          <w:rFonts w:hint="eastAsia" w:ascii="宋体" w:hAnsi="宋体" w:eastAsia="宋体" w:cs="宋体"/>
          <w:b/>
          <w:bCs/>
          <w:color w:val="auto"/>
          <w:kern w:val="2"/>
          <w:sz w:val="24"/>
          <w:szCs w:val="28"/>
          <w:highlight w:val="none"/>
          <w:lang w:val="en-US" w:eastAsia="zh-CN" w:bidi="ar-SA"/>
        </w:rPr>
        <w:t>25.开标程序</w:t>
      </w:r>
      <w:bookmarkEnd w:id="325"/>
      <w:bookmarkEnd w:id="326"/>
      <w:bookmarkEnd w:id="327"/>
      <w:bookmarkEnd w:id="328"/>
      <w:bookmarkEnd w:id="329"/>
      <w:bookmarkEnd w:id="330"/>
      <w:bookmarkEnd w:id="331"/>
    </w:p>
    <w:p w14:paraId="60F7948B">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.1 投标人不足3家的，不得开标。</w:t>
      </w:r>
    </w:p>
    <w:p w14:paraId="5B4EFA66">
      <w:pPr>
        <w:keepNext w:val="0"/>
        <w:keepLines w:val="0"/>
        <w:pageBreakBefore w:val="0"/>
        <w:widowControl w:val="0"/>
        <w:kinsoku/>
        <w:overflowPunct/>
        <w:topLinePunct w:val="0"/>
        <w:autoSpaceDE/>
        <w:autoSpaceDN/>
        <w:bidi w:val="0"/>
        <w:adjustRightInd/>
        <w:ind w:firstLine="480" w:firstLineChars="200"/>
        <w:textAlignment w:val="auto"/>
        <w:rPr>
          <w:rFonts w:eastAsia="宋体"/>
          <w:color w:val="auto"/>
          <w:sz w:val="24"/>
          <w:highlight w:val="none"/>
        </w:rPr>
      </w:pPr>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.2 评标委员会成员不得参加开标活动。</w:t>
      </w:r>
    </w:p>
    <w:p w14:paraId="6EDD80B3">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.3主持人按下列程序进行开标：</w:t>
      </w:r>
    </w:p>
    <w:p w14:paraId="02BF7803">
      <w:pPr>
        <w:keepNext w:val="0"/>
        <w:keepLines w:val="0"/>
        <w:pageBreakBefore w:val="0"/>
        <w:widowControl w:val="0"/>
        <w:kinsoku/>
        <w:overflowPunct/>
        <w:topLinePunct w:val="0"/>
        <w:autoSpaceDE/>
        <w:autoSpaceDN/>
        <w:bidi w:val="0"/>
        <w:adjustRightInd/>
        <w:ind w:firstLine="398" w:firstLineChars="166"/>
        <w:textAlignment w:val="auto"/>
        <w:rPr>
          <w:rFonts w:eastAsia="宋体" w:cs="仿宋_GB2312"/>
          <w:color w:val="auto"/>
          <w:sz w:val="24"/>
          <w:szCs w:val="24"/>
          <w:highlight w:val="none"/>
        </w:rPr>
      </w:pPr>
      <w:r>
        <w:rPr>
          <w:rFonts w:hint="eastAsia" w:eastAsia="宋体" w:cs="仿宋_GB2312"/>
          <w:color w:val="auto"/>
          <w:sz w:val="24"/>
          <w:szCs w:val="24"/>
          <w:highlight w:val="none"/>
        </w:rPr>
        <w:t>（1）宣布开标会纪律；</w:t>
      </w:r>
    </w:p>
    <w:p w14:paraId="06FE8596">
      <w:pPr>
        <w:keepNext w:val="0"/>
        <w:keepLines w:val="0"/>
        <w:pageBreakBefore w:val="0"/>
        <w:widowControl w:val="0"/>
        <w:kinsoku/>
        <w:overflowPunct/>
        <w:topLinePunct w:val="0"/>
        <w:autoSpaceDE/>
        <w:autoSpaceDN/>
        <w:bidi w:val="0"/>
        <w:adjustRightInd/>
        <w:ind w:firstLine="398" w:firstLineChars="166"/>
        <w:textAlignment w:val="auto"/>
        <w:rPr>
          <w:rFonts w:eastAsia="宋体" w:cs="仿宋_GB2312"/>
          <w:color w:val="auto"/>
          <w:sz w:val="24"/>
          <w:szCs w:val="24"/>
          <w:highlight w:val="none"/>
        </w:rPr>
      </w:pPr>
      <w:r>
        <w:rPr>
          <w:rFonts w:hint="eastAsia" w:eastAsia="宋体" w:cs="仿宋_GB2312"/>
          <w:color w:val="auto"/>
          <w:sz w:val="24"/>
          <w:szCs w:val="24"/>
          <w:highlight w:val="none"/>
        </w:rPr>
        <w:t>（2）介绍参加开标会的单位和人员；</w:t>
      </w:r>
    </w:p>
    <w:p w14:paraId="69CFC68B">
      <w:pPr>
        <w:keepNext w:val="0"/>
        <w:keepLines w:val="0"/>
        <w:pageBreakBefore w:val="0"/>
        <w:widowControl w:val="0"/>
        <w:kinsoku/>
        <w:overflowPunct/>
        <w:topLinePunct w:val="0"/>
        <w:autoSpaceDE/>
        <w:autoSpaceDN/>
        <w:bidi w:val="0"/>
        <w:adjustRightInd/>
        <w:ind w:firstLine="398" w:firstLineChars="166"/>
        <w:textAlignment w:val="auto"/>
        <w:rPr>
          <w:rFonts w:eastAsia="宋体" w:cs="仿宋_GB2312"/>
          <w:color w:val="auto"/>
          <w:sz w:val="24"/>
          <w:szCs w:val="24"/>
          <w:highlight w:val="none"/>
        </w:rPr>
      </w:pPr>
      <w:r>
        <w:rPr>
          <w:rFonts w:hint="eastAsia" w:eastAsia="宋体" w:cs="仿宋_GB2312"/>
          <w:color w:val="auto"/>
          <w:sz w:val="24"/>
          <w:szCs w:val="24"/>
          <w:highlight w:val="none"/>
        </w:rPr>
        <w:t>（3）发起投标文件解密。投标人应在“投标人须知前附表”规定的时间内使用加密投标文件的CA证书在系统中完成投标文件的解密；</w:t>
      </w:r>
    </w:p>
    <w:p w14:paraId="30C058B0">
      <w:pPr>
        <w:keepNext w:val="0"/>
        <w:keepLines w:val="0"/>
        <w:pageBreakBefore w:val="0"/>
        <w:widowControl w:val="0"/>
        <w:kinsoku/>
        <w:overflowPunct/>
        <w:topLinePunct w:val="0"/>
        <w:autoSpaceDE/>
        <w:autoSpaceDN/>
        <w:bidi w:val="0"/>
        <w:adjustRightInd/>
        <w:ind w:firstLine="398" w:firstLineChars="166"/>
        <w:textAlignment w:val="auto"/>
        <w:rPr>
          <w:rFonts w:eastAsia="宋体" w:cs="仿宋_GB2312"/>
          <w:color w:val="auto"/>
          <w:sz w:val="24"/>
          <w:szCs w:val="24"/>
          <w:highlight w:val="none"/>
        </w:rPr>
      </w:pPr>
      <w:r>
        <w:rPr>
          <w:rFonts w:hint="eastAsia" w:eastAsia="宋体" w:cs="仿宋_GB2312"/>
          <w:color w:val="auto"/>
          <w:sz w:val="24"/>
          <w:szCs w:val="24"/>
          <w:highlight w:val="none"/>
        </w:rPr>
        <w:t>（4）解密完成后，系统自动显示投标人名称、投标价格和招标文件规定的需要宣布的其他内容；</w:t>
      </w:r>
    </w:p>
    <w:p w14:paraId="102D4E44">
      <w:pPr>
        <w:keepNext w:val="0"/>
        <w:keepLines w:val="0"/>
        <w:pageBreakBefore w:val="0"/>
        <w:widowControl w:val="0"/>
        <w:kinsoku/>
        <w:overflowPunct/>
        <w:topLinePunct w:val="0"/>
        <w:autoSpaceDE/>
        <w:autoSpaceDN/>
        <w:bidi w:val="0"/>
        <w:adjustRightInd/>
        <w:ind w:left="484" w:leftChars="200" w:hanging="84" w:hangingChars="35"/>
        <w:textAlignment w:val="auto"/>
        <w:rPr>
          <w:rFonts w:hint="eastAsia" w:eastAsia="宋体" w:cs="仿宋_GB2312"/>
          <w:color w:val="auto"/>
          <w:sz w:val="24"/>
          <w:szCs w:val="24"/>
          <w:highlight w:val="none"/>
          <w:lang w:val="en-US" w:eastAsia="zh-CN"/>
        </w:rPr>
      </w:pPr>
      <w:r>
        <w:rPr>
          <w:rFonts w:hint="eastAsia" w:eastAsia="宋体" w:cs="仿宋_GB2312"/>
          <w:color w:val="auto"/>
          <w:sz w:val="24"/>
          <w:szCs w:val="24"/>
          <w:highlight w:val="none"/>
        </w:rPr>
        <w:t>（5）系统自动生成开标记录表，</w:t>
      </w:r>
      <w:r>
        <w:rPr>
          <w:rFonts w:hint="eastAsia" w:eastAsia="宋体" w:cs="仿宋_GB2312"/>
          <w:color w:val="auto"/>
          <w:sz w:val="24"/>
          <w:szCs w:val="24"/>
          <w:highlight w:val="none"/>
          <w:lang w:val="en-US" w:eastAsia="zh-CN"/>
        </w:rPr>
        <w:t>投标人</w:t>
      </w:r>
      <w:r>
        <w:rPr>
          <w:rFonts w:hint="eastAsia" w:eastAsia="宋体" w:cs="仿宋_GB2312"/>
          <w:color w:val="auto"/>
          <w:sz w:val="24"/>
          <w:szCs w:val="24"/>
          <w:highlight w:val="none"/>
        </w:rPr>
        <w:t>应在线对开标记录进行签署确认</w:t>
      </w:r>
      <w:r>
        <w:rPr>
          <w:rFonts w:hint="eastAsia" w:eastAsia="宋体" w:cs="仿宋_GB2312"/>
          <w:color w:val="auto"/>
          <w:sz w:val="24"/>
          <w:szCs w:val="24"/>
          <w:highlight w:val="none"/>
          <w:lang w:val="en-US" w:eastAsia="zh-CN"/>
        </w:rPr>
        <w:t>；</w:t>
      </w:r>
    </w:p>
    <w:p w14:paraId="1E68785D">
      <w:pPr>
        <w:keepNext w:val="0"/>
        <w:keepLines w:val="0"/>
        <w:pageBreakBefore w:val="0"/>
        <w:widowControl w:val="0"/>
        <w:kinsoku/>
        <w:overflowPunct/>
        <w:topLinePunct w:val="0"/>
        <w:autoSpaceDE/>
        <w:autoSpaceDN/>
        <w:bidi w:val="0"/>
        <w:adjustRightInd/>
        <w:ind w:left="484" w:leftChars="200" w:hanging="84" w:hangingChars="35"/>
        <w:textAlignment w:val="auto"/>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（6）开标会结束。</w:t>
      </w:r>
      <w:bookmarkStart w:id="332" w:name="_Toc140132784"/>
      <w:bookmarkStart w:id="333" w:name="_Toc163492853"/>
    </w:p>
    <w:p w14:paraId="459D358F">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34" w:name="_Toc15283"/>
      <w:bookmarkStart w:id="335" w:name="_Toc10387"/>
      <w:bookmarkStart w:id="336" w:name="_Toc20123"/>
      <w:bookmarkStart w:id="337" w:name="_Toc22624"/>
      <w:bookmarkStart w:id="338" w:name="_Toc19420"/>
      <w:r>
        <w:rPr>
          <w:rFonts w:hint="eastAsia" w:ascii="宋体" w:hAnsi="宋体" w:eastAsia="宋体" w:cs="宋体"/>
          <w:b/>
          <w:bCs/>
          <w:color w:val="auto"/>
          <w:kern w:val="2"/>
          <w:sz w:val="24"/>
          <w:szCs w:val="28"/>
          <w:highlight w:val="none"/>
          <w:lang w:val="en-US" w:eastAsia="zh-CN" w:bidi="ar-SA"/>
        </w:rPr>
        <w:t>26.开标疑义及回避情形</w:t>
      </w:r>
      <w:bookmarkEnd w:id="332"/>
      <w:bookmarkEnd w:id="333"/>
      <w:bookmarkEnd w:id="334"/>
      <w:bookmarkEnd w:id="335"/>
      <w:bookmarkEnd w:id="336"/>
      <w:bookmarkEnd w:id="337"/>
      <w:bookmarkEnd w:id="338"/>
    </w:p>
    <w:p w14:paraId="04573EB2">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6</w:t>
      </w:r>
      <w:r>
        <w:rPr>
          <w:rFonts w:hint="eastAsia" w:eastAsia="宋体"/>
          <w:color w:val="auto"/>
          <w:sz w:val="24"/>
          <w:highlight w:val="none"/>
        </w:rPr>
        <w:t>.1投标人代表对开标过程和开标记录有疑义，以及认为采购人、采购代理机构相关工作人员有需要回避的情形的，应在开标会议中提出询问或者回避申请。采购人、采购代理机构对投标人授权代表提出的询问或者回避申请应当及时处理。</w:t>
      </w:r>
    </w:p>
    <w:p w14:paraId="4E69EE01">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6</w:t>
      </w:r>
      <w:r>
        <w:rPr>
          <w:rFonts w:hint="eastAsia" w:eastAsia="宋体"/>
          <w:color w:val="auto"/>
          <w:sz w:val="24"/>
          <w:highlight w:val="none"/>
        </w:rPr>
        <w:t>.2投标人未参加开标的，视同认可开标结果。</w:t>
      </w:r>
    </w:p>
    <w:p w14:paraId="55D243EF">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339" w:name="_Toc155185877"/>
      <w:bookmarkStart w:id="340" w:name="_Toc23769"/>
      <w:bookmarkStart w:id="341" w:name="_Toc11421"/>
      <w:bookmarkStart w:id="342" w:name="_Toc163492854"/>
      <w:bookmarkStart w:id="343" w:name="_Toc20084"/>
      <w:bookmarkStart w:id="344" w:name="_Toc19512"/>
      <w:bookmarkStart w:id="345" w:name="_Toc140132785"/>
      <w:bookmarkStart w:id="346" w:name="_Toc2893"/>
      <w:r>
        <w:rPr>
          <w:rFonts w:hint="eastAsia" w:ascii="宋体" w:hAnsi="宋体" w:eastAsia="宋体" w:cstheme="minorBidi"/>
          <w:b/>
          <w:bCs/>
          <w:color w:val="auto"/>
          <w:kern w:val="2"/>
          <w:sz w:val="24"/>
          <w:szCs w:val="32"/>
          <w:highlight w:val="none"/>
          <w:lang w:val="en-US" w:eastAsia="zh-CN" w:bidi="ar-SA"/>
        </w:rPr>
        <w:t>（六）资格审查</w:t>
      </w:r>
      <w:bookmarkEnd w:id="339"/>
      <w:bookmarkEnd w:id="340"/>
      <w:bookmarkEnd w:id="341"/>
      <w:bookmarkEnd w:id="342"/>
      <w:bookmarkEnd w:id="343"/>
      <w:bookmarkEnd w:id="344"/>
      <w:bookmarkEnd w:id="345"/>
      <w:bookmarkEnd w:id="346"/>
    </w:p>
    <w:p w14:paraId="2C1B5FD6">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47" w:name="_Toc9963"/>
      <w:bookmarkStart w:id="348" w:name="_Toc1466"/>
      <w:bookmarkStart w:id="349" w:name="_Toc163492855"/>
      <w:bookmarkStart w:id="350" w:name="_Toc19907"/>
      <w:bookmarkStart w:id="351" w:name="_Toc162"/>
      <w:bookmarkStart w:id="352" w:name="_Toc13821"/>
      <w:r>
        <w:rPr>
          <w:rFonts w:hint="eastAsia" w:ascii="宋体" w:hAnsi="宋体" w:eastAsia="宋体" w:cs="宋体"/>
          <w:b/>
          <w:bCs/>
          <w:color w:val="auto"/>
          <w:kern w:val="2"/>
          <w:sz w:val="24"/>
          <w:szCs w:val="28"/>
          <w:highlight w:val="none"/>
          <w:lang w:val="en-US" w:eastAsia="zh-CN" w:bidi="ar-SA"/>
        </w:rPr>
        <w:t>27.资格审查及审查主体</w:t>
      </w:r>
      <w:bookmarkEnd w:id="347"/>
      <w:bookmarkEnd w:id="348"/>
      <w:bookmarkEnd w:id="349"/>
      <w:bookmarkEnd w:id="350"/>
      <w:bookmarkEnd w:id="351"/>
      <w:bookmarkEnd w:id="352"/>
    </w:p>
    <w:p w14:paraId="3F6E8AD4">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353" w:name="_Toc140132786"/>
      <w:r>
        <w:rPr>
          <w:rFonts w:hint="eastAsia"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.1</w:t>
      </w:r>
      <w:bookmarkEnd w:id="353"/>
      <w:r>
        <w:rPr>
          <w:rFonts w:hint="eastAsia" w:eastAsia="宋体"/>
          <w:color w:val="auto"/>
          <w:sz w:val="24"/>
          <w:highlight w:val="none"/>
        </w:rPr>
        <w:t>开标结束后，采购人或者采购代理机构应当依法对投标人的资格进行审查。</w:t>
      </w:r>
    </w:p>
    <w:p w14:paraId="6F7626D3">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354" w:name="_Toc140132787"/>
      <w:r>
        <w:rPr>
          <w:rFonts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.2</w:t>
      </w:r>
      <w:r>
        <w:rPr>
          <w:rFonts w:eastAsia="宋体"/>
          <w:color w:val="auto"/>
          <w:sz w:val="24"/>
          <w:highlight w:val="none"/>
        </w:rPr>
        <w:t>资格审查</w:t>
      </w:r>
      <w:r>
        <w:rPr>
          <w:rFonts w:hint="eastAsia" w:eastAsia="宋体"/>
          <w:color w:val="auto"/>
          <w:sz w:val="24"/>
          <w:highlight w:val="none"/>
        </w:rPr>
        <w:t>按“第四章</w:t>
      </w:r>
      <w:r>
        <w:rPr>
          <w:rFonts w:hint="eastAsia" w:eastAsia="宋体"/>
          <w:color w:val="auto"/>
          <w:sz w:val="24"/>
          <w:highlight w:val="none"/>
          <w:lang w:val="en-US" w:eastAsia="zh-CN"/>
        </w:rPr>
        <w:t xml:space="preserve"> </w:t>
      </w:r>
      <w:r>
        <w:rPr>
          <w:rFonts w:hint="eastAsia" w:eastAsia="宋体"/>
          <w:color w:val="auto"/>
          <w:sz w:val="24"/>
          <w:highlight w:val="none"/>
        </w:rPr>
        <w:t>资格审查”的规定进行。</w:t>
      </w:r>
      <w:bookmarkEnd w:id="354"/>
    </w:p>
    <w:p w14:paraId="44D43B82">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355" w:name="_Toc140132788"/>
      <w:r>
        <w:rPr>
          <w:rFonts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.3</w:t>
      </w:r>
      <w:r>
        <w:rPr>
          <w:rFonts w:eastAsia="宋体"/>
          <w:color w:val="auto"/>
          <w:sz w:val="24"/>
          <w:highlight w:val="none"/>
        </w:rPr>
        <w:t>资格审查结束后，应及时对资格审查结果进行复核，对资格审查错误进行及时纠正并记录。</w:t>
      </w:r>
      <w:bookmarkEnd w:id="355"/>
    </w:p>
    <w:p w14:paraId="272F167A">
      <w:pPr>
        <w:pStyle w:val="38"/>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hint="eastAsia" w:eastAsia="宋体"/>
          <w:color w:val="auto"/>
          <w:sz w:val="24"/>
          <w:highlight w:val="none"/>
          <w:lang w:val="en-US" w:eastAsia="zh-CN"/>
        </w:rPr>
        <w:t>27.4</w:t>
      </w:r>
      <w:r>
        <w:rPr>
          <w:rFonts w:eastAsia="宋体"/>
          <w:color w:val="auto"/>
          <w:sz w:val="24"/>
          <w:highlight w:val="none"/>
        </w:rPr>
        <w:t>资格审查</w:t>
      </w:r>
      <w:r>
        <w:rPr>
          <w:rFonts w:hint="eastAsia" w:eastAsia="宋体"/>
          <w:color w:val="auto"/>
          <w:sz w:val="24"/>
          <w:highlight w:val="none"/>
        </w:rPr>
        <w:t>合格投标人不足3家的，不得评标。</w:t>
      </w:r>
    </w:p>
    <w:p w14:paraId="7A1F7D21">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356" w:name="_Toc163492856"/>
      <w:bookmarkStart w:id="357" w:name="_Toc19832"/>
      <w:bookmarkStart w:id="358" w:name="_Toc140132789"/>
      <w:bookmarkStart w:id="359" w:name="_Toc155185878"/>
      <w:bookmarkStart w:id="360" w:name="_Toc8249"/>
      <w:bookmarkStart w:id="361" w:name="_Toc31247"/>
      <w:bookmarkStart w:id="362" w:name="_Toc30290"/>
      <w:bookmarkStart w:id="363" w:name="_Toc14198"/>
      <w:r>
        <w:rPr>
          <w:rFonts w:hint="eastAsia" w:ascii="宋体" w:hAnsi="宋体" w:eastAsia="宋体" w:cstheme="minorBidi"/>
          <w:b/>
          <w:bCs/>
          <w:color w:val="auto"/>
          <w:kern w:val="2"/>
          <w:sz w:val="24"/>
          <w:szCs w:val="32"/>
          <w:highlight w:val="none"/>
          <w:lang w:val="en-US" w:eastAsia="zh-CN" w:bidi="ar-SA"/>
        </w:rPr>
        <w:t>（七）评标</w:t>
      </w:r>
      <w:bookmarkEnd w:id="356"/>
      <w:bookmarkEnd w:id="357"/>
      <w:bookmarkEnd w:id="358"/>
      <w:bookmarkEnd w:id="359"/>
      <w:bookmarkEnd w:id="360"/>
      <w:bookmarkEnd w:id="361"/>
      <w:bookmarkEnd w:id="362"/>
      <w:bookmarkEnd w:id="363"/>
    </w:p>
    <w:p w14:paraId="7EBE7ABE">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64" w:name="_Toc20462"/>
      <w:bookmarkStart w:id="365" w:name="_Toc4659"/>
      <w:bookmarkStart w:id="366" w:name="_Toc140132790"/>
      <w:bookmarkStart w:id="367" w:name="_Toc11954"/>
      <w:bookmarkStart w:id="368" w:name="_Toc16858"/>
      <w:bookmarkStart w:id="369" w:name="_Toc32434"/>
      <w:bookmarkStart w:id="370" w:name="_Toc163492857"/>
      <w:r>
        <w:rPr>
          <w:rFonts w:hint="eastAsia" w:ascii="宋体" w:hAnsi="宋体" w:eastAsia="宋体" w:cs="宋体"/>
          <w:b/>
          <w:bCs/>
          <w:color w:val="auto"/>
          <w:kern w:val="2"/>
          <w:sz w:val="24"/>
          <w:szCs w:val="28"/>
          <w:highlight w:val="none"/>
          <w:lang w:val="en-US" w:eastAsia="zh-CN" w:bidi="ar-SA"/>
        </w:rPr>
        <w:t>28.评标委员会</w:t>
      </w:r>
      <w:bookmarkEnd w:id="364"/>
      <w:bookmarkEnd w:id="365"/>
      <w:bookmarkEnd w:id="366"/>
      <w:bookmarkEnd w:id="367"/>
      <w:bookmarkEnd w:id="368"/>
      <w:bookmarkEnd w:id="369"/>
      <w:bookmarkEnd w:id="370"/>
    </w:p>
    <w:p w14:paraId="1EA2B13D">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ascii="宋体" w:hAnsi="宋体" w:eastAsia="宋体"/>
          <w:color w:val="auto"/>
          <w:sz w:val="24"/>
          <w:highlight w:val="none"/>
        </w:rPr>
        <w:t>2</w:t>
      </w:r>
      <w:r>
        <w:rPr>
          <w:rFonts w:hint="eastAsia" w:ascii="宋体" w:hAnsi="宋体" w:eastAsia="宋体"/>
          <w:color w:val="auto"/>
          <w:sz w:val="24"/>
          <w:highlight w:val="none"/>
          <w:lang w:val="en-US" w:eastAsia="zh-CN"/>
        </w:rPr>
        <w:t>8</w:t>
      </w:r>
      <w:r>
        <w:rPr>
          <w:rFonts w:hint="eastAsia" w:ascii="宋体" w:hAnsi="宋体" w:eastAsia="宋体"/>
          <w:color w:val="auto"/>
          <w:sz w:val="24"/>
          <w:highlight w:val="none"/>
        </w:rPr>
        <w:t>.1 评标由采购人依法组建的评标委员会负责。评标委员会由采购人代表和评审专家组成</w:t>
      </w:r>
      <w:r>
        <w:rPr>
          <w:rFonts w:hint="eastAsia" w:ascii="宋体" w:hAnsi="宋体" w:eastAsia="宋体"/>
          <w:color w:val="auto"/>
          <w:sz w:val="24"/>
          <w:highlight w:val="none"/>
          <w:lang w:eastAsia="zh-CN"/>
        </w:rPr>
        <w:t>，</w:t>
      </w:r>
      <w:r>
        <w:rPr>
          <w:rFonts w:hint="eastAsia" w:ascii="宋体" w:hAnsi="宋体" w:eastAsia="宋体"/>
          <w:color w:val="auto"/>
          <w:sz w:val="24"/>
          <w:highlight w:val="none"/>
          <w:lang w:val="en-US" w:eastAsia="zh-CN"/>
        </w:rPr>
        <w:t>成员人数应当为5</w:t>
      </w:r>
      <w:r>
        <w:rPr>
          <w:rFonts w:hint="eastAsia" w:ascii="宋体" w:hAnsi="宋体" w:eastAsia="宋体"/>
          <w:color w:val="auto"/>
          <w:sz w:val="24"/>
          <w:highlight w:val="none"/>
        </w:rPr>
        <w:t>人以上单数，其中</w:t>
      </w:r>
      <w:r>
        <w:rPr>
          <w:rFonts w:hint="eastAsia" w:ascii="宋体" w:hAnsi="宋体" w:eastAsia="宋体"/>
          <w:color w:val="auto"/>
          <w:sz w:val="24"/>
          <w:highlight w:val="none"/>
          <w:lang w:val="en-US" w:eastAsia="zh-CN"/>
        </w:rPr>
        <w:t>评审</w:t>
      </w:r>
      <w:r>
        <w:rPr>
          <w:rFonts w:hint="eastAsia" w:ascii="宋体" w:hAnsi="宋体" w:eastAsia="宋体"/>
          <w:color w:val="auto"/>
          <w:sz w:val="24"/>
          <w:highlight w:val="none"/>
        </w:rPr>
        <w:t>专家不</w:t>
      </w:r>
      <w:r>
        <w:rPr>
          <w:rFonts w:hint="eastAsia" w:ascii="宋体" w:hAnsi="宋体" w:eastAsia="宋体"/>
          <w:color w:val="auto"/>
          <w:sz w:val="24"/>
          <w:highlight w:val="none"/>
          <w:lang w:val="en-US" w:eastAsia="zh-CN"/>
        </w:rPr>
        <w:t>得</w:t>
      </w:r>
      <w:r>
        <w:rPr>
          <w:rFonts w:hint="eastAsia" w:ascii="宋体" w:hAnsi="宋体" w:eastAsia="宋体"/>
          <w:color w:val="auto"/>
          <w:sz w:val="24"/>
          <w:highlight w:val="none"/>
        </w:rPr>
        <w:t>少于</w:t>
      </w:r>
      <w:r>
        <w:rPr>
          <w:rFonts w:hint="eastAsia" w:ascii="宋体" w:hAnsi="宋体" w:eastAsia="宋体"/>
          <w:color w:val="auto"/>
          <w:sz w:val="24"/>
          <w:highlight w:val="none"/>
          <w:lang w:val="en-US" w:eastAsia="zh-CN"/>
        </w:rPr>
        <w:t>成员总数的</w:t>
      </w:r>
      <w:r>
        <w:rPr>
          <w:rFonts w:hint="eastAsia" w:ascii="宋体" w:hAnsi="宋体" w:eastAsia="宋体"/>
          <w:color w:val="auto"/>
          <w:sz w:val="24"/>
          <w:highlight w:val="none"/>
        </w:rPr>
        <w:t>三分之二。</w:t>
      </w:r>
      <w:r>
        <w:rPr>
          <w:rFonts w:hint="default" w:ascii="宋体" w:hAnsi="宋体" w:eastAsia="宋体"/>
          <w:color w:val="auto"/>
          <w:sz w:val="24"/>
          <w:highlight w:val="none"/>
          <w:lang w:val="en-US" w:eastAsia="zh-CN"/>
        </w:rPr>
        <w:t>采购人或者采购代理机构应当从省级以上财政部门设立的政府采购评审专家库中，通过随机方式抽取评审专家。</w:t>
      </w:r>
    </w:p>
    <w:p w14:paraId="32DE7801">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 xml:space="preserve">28.2 </w:t>
      </w:r>
      <w:r>
        <w:rPr>
          <w:rFonts w:ascii="宋体" w:hAnsi="宋体" w:eastAsia="宋体"/>
          <w:color w:val="auto"/>
          <w:sz w:val="24"/>
          <w:highlight w:val="none"/>
          <w:lang w:val="en-US" w:eastAsia="zh-CN"/>
        </w:rPr>
        <w:t>采购项目符合下列情形之一的，评标委员会成员人数应当为</w:t>
      </w:r>
      <w:r>
        <w:rPr>
          <w:rFonts w:hint="default" w:ascii="宋体" w:hAnsi="宋体" w:eastAsia="宋体"/>
          <w:color w:val="auto"/>
          <w:sz w:val="24"/>
          <w:highlight w:val="none"/>
          <w:lang w:val="en-US" w:eastAsia="zh-CN"/>
        </w:rPr>
        <w:t>7人以上单数：</w:t>
      </w:r>
    </w:p>
    <w:p w14:paraId="05C639B0">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default" w:ascii="宋体" w:hAnsi="宋体" w:eastAsia="宋体"/>
          <w:color w:val="auto"/>
          <w:sz w:val="24"/>
          <w:highlight w:val="none"/>
          <w:lang w:val="en-US" w:eastAsia="zh-CN"/>
        </w:rPr>
        <w:t>（</w:t>
      </w:r>
      <w:r>
        <w:rPr>
          <w:rFonts w:hint="eastAsia" w:ascii="宋体" w:hAnsi="宋体" w:eastAsia="宋体"/>
          <w:color w:val="auto"/>
          <w:sz w:val="24"/>
          <w:highlight w:val="none"/>
          <w:lang w:val="en-US" w:eastAsia="zh-CN"/>
        </w:rPr>
        <w:t>1</w:t>
      </w:r>
      <w:r>
        <w:rPr>
          <w:rFonts w:hint="default" w:ascii="宋体" w:hAnsi="宋体" w:eastAsia="宋体"/>
          <w:color w:val="auto"/>
          <w:sz w:val="24"/>
          <w:highlight w:val="none"/>
          <w:lang w:val="en-US" w:eastAsia="zh-CN"/>
        </w:rPr>
        <w:t>）采购预算金额在1000万元以上；</w:t>
      </w:r>
    </w:p>
    <w:p w14:paraId="67DFE620">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default" w:ascii="宋体" w:hAnsi="宋体" w:eastAsia="宋体"/>
          <w:color w:val="auto"/>
          <w:sz w:val="24"/>
          <w:highlight w:val="none"/>
          <w:lang w:val="en-US" w:eastAsia="zh-CN"/>
        </w:rPr>
        <w:t>（</w:t>
      </w:r>
      <w:r>
        <w:rPr>
          <w:rFonts w:hint="eastAsia" w:ascii="宋体" w:hAnsi="宋体" w:eastAsia="宋体"/>
          <w:color w:val="auto"/>
          <w:sz w:val="24"/>
          <w:highlight w:val="none"/>
          <w:lang w:val="en-US" w:eastAsia="zh-CN"/>
        </w:rPr>
        <w:t>2</w:t>
      </w:r>
      <w:r>
        <w:rPr>
          <w:rFonts w:hint="default" w:ascii="宋体" w:hAnsi="宋体" w:eastAsia="宋体"/>
          <w:color w:val="auto"/>
          <w:sz w:val="24"/>
          <w:highlight w:val="none"/>
          <w:lang w:val="en-US" w:eastAsia="zh-CN"/>
        </w:rPr>
        <w:t>）技术复杂；</w:t>
      </w:r>
    </w:p>
    <w:p w14:paraId="6B9FB10B">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default" w:ascii="宋体" w:hAnsi="宋体" w:eastAsia="宋体"/>
          <w:color w:val="auto"/>
          <w:sz w:val="24"/>
          <w:highlight w:val="none"/>
          <w:lang w:val="en-US" w:eastAsia="zh-CN"/>
        </w:rPr>
        <w:t>（</w:t>
      </w:r>
      <w:r>
        <w:rPr>
          <w:rFonts w:hint="eastAsia" w:ascii="宋体" w:hAnsi="宋体" w:eastAsia="宋体"/>
          <w:color w:val="auto"/>
          <w:sz w:val="24"/>
          <w:highlight w:val="none"/>
          <w:lang w:val="en-US" w:eastAsia="zh-CN"/>
        </w:rPr>
        <w:t>3</w:t>
      </w:r>
      <w:r>
        <w:rPr>
          <w:rFonts w:hint="default" w:ascii="宋体" w:hAnsi="宋体" w:eastAsia="宋体"/>
          <w:color w:val="auto"/>
          <w:sz w:val="24"/>
          <w:highlight w:val="none"/>
          <w:lang w:val="en-US" w:eastAsia="zh-CN"/>
        </w:rPr>
        <w:t>）社会影响较大。</w:t>
      </w:r>
    </w:p>
    <w:p w14:paraId="4590A674">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28.3</w:t>
      </w:r>
      <w:r>
        <w:rPr>
          <w:rFonts w:hint="default" w:ascii="宋体" w:hAnsi="宋体" w:eastAsia="宋体"/>
          <w:color w:val="auto"/>
          <w:sz w:val="24"/>
          <w:highlight w:val="none"/>
          <w:lang w:val="en-US" w:eastAsia="zh-CN"/>
        </w:rPr>
        <w:t>评审专家对本单位的采购项目只能作为采购人代表参与评标，对技术复杂、专业性强的采购项目，通过随机方式难以确定合适评审专家的，经主管预算单位同意，采购人可以自行选定相应专业领域的评审专家。采购代理机构工作人员不得参加由本机构代理的政府采购项目的评标。</w:t>
      </w:r>
    </w:p>
    <w:p w14:paraId="16E92807">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28.4</w:t>
      </w:r>
      <w:r>
        <w:rPr>
          <w:rFonts w:hint="default" w:ascii="宋体" w:hAnsi="宋体" w:eastAsia="宋体"/>
          <w:color w:val="auto"/>
          <w:sz w:val="24"/>
          <w:highlight w:val="none"/>
          <w:lang w:val="en-US" w:eastAsia="zh-CN"/>
        </w:rPr>
        <w:t>评标委员会成员名单在评标结果公告前应当保密。</w:t>
      </w:r>
    </w:p>
    <w:p w14:paraId="2F8842E2">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28.5</w:t>
      </w:r>
      <w:r>
        <w:rPr>
          <w:rFonts w:hint="default" w:ascii="宋体" w:hAnsi="宋体" w:eastAsia="宋体"/>
          <w:color w:val="auto"/>
          <w:sz w:val="24"/>
          <w:highlight w:val="none"/>
          <w:lang w:val="en-US" w:eastAsia="zh-CN"/>
        </w:rPr>
        <w:t>评标中因评标委员会成员缺席、回避或者健康等特殊原因导致评标委员会组成不符合本办法规定的，采购人或者采购代理机构应当依法补足后继续评标。被更换的评标委员会成员所作出的评标意见无效。</w:t>
      </w:r>
    </w:p>
    <w:p w14:paraId="28948BF7">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28.6</w:t>
      </w:r>
      <w:r>
        <w:rPr>
          <w:rFonts w:hint="default" w:ascii="宋体" w:hAnsi="宋体" w:eastAsia="宋体"/>
          <w:color w:val="auto"/>
          <w:sz w:val="24"/>
          <w:highlight w:val="none"/>
          <w:lang w:val="en-US" w:eastAsia="zh-CN"/>
        </w:rPr>
        <w:t>无法及时补足评标委员会成员的，采购人或者采购代理机构应当停止评标活动，封存所有投标文件和开标、评标资料，依法重新组建评标委员会进行评标。原评标委员会所作出的评标意见无效。</w:t>
      </w:r>
    </w:p>
    <w:p w14:paraId="301CAD81">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8</w:t>
      </w:r>
      <w:r>
        <w:rPr>
          <w:rFonts w:hint="eastAsia" w:eastAsia="宋体"/>
          <w:color w:val="auto"/>
          <w:sz w:val="24"/>
          <w:highlight w:val="none"/>
        </w:rPr>
        <w:t>.</w:t>
      </w:r>
      <w:r>
        <w:rPr>
          <w:rFonts w:hint="eastAsia" w:eastAsia="宋体"/>
          <w:color w:val="auto"/>
          <w:sz w:val="24"/>
          <w:highlight w:val="none"/>
          <w:lang w:val="en-US" w:eastAsia="zh-CN"/>
        </w:rPr>
        <w:t>7</w:t>
      </w:r>
      <w:r>
        <w:rPr>
          <w:rFonts w:hint="eastAsia" w:eastAsia="宋体"/>
          <w:color w:val="auto"/>
          <w:sz w:val="24"/>
          <w:highlight w:val="none"/>
        </w:rPr>
        <w:t xml:space="preserve"> 评标委员会成员有下列情形之一的，应当回避：</w:t>
      </w:r>
    </w:p>
    <w:p w14:paraId="0656ACEF">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（1）参加采购活动前3年内与投标人存在劳动关系；</w:t>
      </w:r>
    </w:p>
    <w:p w14:paraId="55B6A1BF">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（2）参加采购活动前3年内担任投标人的董事、监事；</w:t>
      </w:r>
    </w:p>
    <w:p w14:paraId="61A1D2B8">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（3）参加采购活动前3年内是投标人的控股股东或实际控制人；</w:t>
      </w:r>
    </w:p>
    <w:p w14:paraId="2961D582">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（4）与投标人的法定代表人或者负责人有夫妻、直系血亲、三代以内旁系血亲或者近姻亲关系；</w:t>
      </w:r>
    </w:p>
    <w:p w14:paraId="20FB9B78">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（5）与投标人有其他可能影响采购活动公平、公正进行的关系。</w:t>
      </w:r>
    </w:p>
    <w:p w14:paraId="25BEA5A7">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71" w:name="_Toc140132791"/>
      <w:bookmarkStart w:id="372" w:name="_Toc3667"/>
      <w:bookmarkStart w:id="373" w:name="_Toc15103"/>
      <w:bookmarkStart w:id="374" w:name="_Toc8934"/>
      <w:bookmarkStart w:id="375" w:name="_Toc163492858"/>
      <w:bookmarkStart w:id="376" w:name="_Toc26969"/>
      <w:bookmarkStart w:id="377" w:name="_Toc23723"/>
      <w:r>
        <w:rPr>
          <w:rFonts w:hint="eastAsia" w:ascii="宋体" w:hAnsi="宋体" w:eastAsia="宋体" w:cs="宋体"/>
          <w:b/>
          <w:bCs/>
          <w:color w:val="auto"/>
          <w:kern w:val="2"/>
          <w:sz w:val="24"/>
          <w:szCs w:val="28"/>
          <w:highlight w:val="none"/>
          <w:lang w:val="en-US" w:eastAsia="zh-CN" w:bidi="ar-SA"/>
        </w:rPr>
        <w:t>29.评标</w:t>
      </w:r>
      <w:bookmarkEnd w:id="371"/>
      <w:bookmarkEnd w:id="372"/>
      <w:bookmarkEnd w:id="373"/>
      <w:bookmarkEnd w:id="374"/>
      <w:bookmarkEnd w:id="375"/>
      <w:bookmarkEnd w:id="376"/>
      <w:bookmarkEnd w:id="377"/>
    </w:p>
    <w:p w14:paraId="6D0B095D">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eastAsia="zh-CN"/>
        </w:rPr>
      </w:pPr>
      <w:r>
        <w:rPr>
          <w:rFonts w:hint="eastAsia" w:eastAsia="宋体"/>
          <w:color w:val="auto"/>
          <w:sz w:val="24"/>
          <w:highlight w:val="none"/>
          <w:lang w:val="en-US" w:eastAsia="zh-CN"/>
        </w:rPr>
        <w:t>29</w:t>
      </w:r>
      <w:r>
        <w:rPr>
          <w:rFonts w:hint="eastAsia" w:eastAsia="宋体"/>
          <w:color w:val="auto"/>
          <w:sz w:val="24"/>
          <w:highlight w:val="none"/>
        </w:rPr>
        <w:t>.1</w:t>
      </w:r>
      <w:r>
        <w:rPr>
          <w:rFonts w:hint="eastAsia" w:eastAsia="宋体"/>
          <w:color w:val="auto"/>
          <w:sz w:val="24"/>
          <w:highlight w:val="none"/>
          <w:lang w:val="en-US" w:eastAsia="zh-CN"/>
        </w:rPr>
        <w:t xml:space="preserve"> 评标方法分为综合评分法和</w:t>
      </w:r>
      <w:r>
        <w:rPr>
          <w:rFonts w:eastAsia="宋体"/>
          <w:color w:val="auto"/>
          <w:sz w:val="24"/>
          <w:highlight w:val="none"/>
        </w:rPr>
        <w:t>最低评标价法</w:t>
      </w:r>
      <w:r>
        <w:rPr>
          <w:rFonts w:hint="eastAsia" w:eastAsia="宋体"/>
          <w:color w:val="auto"/>
          <w:sz w:val="24"/>
          <w:highlight w:val="none"/>
          <w:lang w:eastAsia="zh-CN"/>
        </w:rPr>
        <w:t>，</w:t>
      </w:r>
      <w:r>
        <w:rPr>
          <w:rFonts w:eastAsia="宋体"/>
          <w:color w:val="auto"/>
          <w:sz w:val="24"/>
          <w:highlight w:val="none"/>
        </w:rPr>
        <w:t>本项目</w:t>
      </w:r>
      <w:r>
        <w:rPr>
          <w:rFonts w:hint="eastAsia" w:eastAsia="宋体"/>
          <w:color w:val="auto"/>
          <w:sz w:val="24"/>
          <w:highlight w:val="none"/>
        </w:rPr>
        <w:t>评标</w:t>
      </w:r>
      <w:r>
        <w:rPr>
          <w:rFonts w:hint="eastAsia" w:eastAsia="宋体"/>
          <w:color w:val="auto"/>
          <w:sz w:val="24"/>
          <w:highlight w:val="none"/>
          <w:lang w:val="en-US" w:eastAsia="zh-CN"/>
        </w:rPr>
        <w:t>方法详见</w:t>
      </w:r>
      <w:r>
        <w:rPr>
          <w:rFonts w:hint="eastAsia" w:eastAsia="宋体"/>
          <w:color w:val="auto"/>
          <w:sz w:val="24"/>
          <w:highlight w:val="none"/>
        </w:rPr>
        <w:t>“投标人须知前附表”</w:t>
      </w:r>
      <w:r>
        <w:rPr>
          <w:rFonts w:hint="eastAsia" w:eastAsia="宋体"/>
          <w:color w:val="auto"/>
          <w:sz w:val="24"/>
          <w:highlight w:val="none"/>
          <w:lang w:eastAsia="zh-CN"/>
        </w:rPr>
        <w:t>。</w:t>
      </w:r>
    </w:p>
    <w:p w14:paraId="2BC22B3E">
      <w:pPr>
        <w:pStyle w:val="38"/>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9.1.1</w:t>
      </w:r>
      <w:r>
        <w:rPr>
          <w:rFonts w:eastAsia="宋体"/>
          <w:color w:val="auto"/>
          <w:sz w:val="24"/>
          <w:highlight w:val="none"/>
        </w:rPr>
        <w:t>综合评分法，是指投标文件满足招标文件全部实质性要求</w:t>
      </w:r>
      <w:r>
        <w:rPr>
          <w:rFonts w:hint="eastAsia" w:eastAsia="宋体"/>
          <w:color w:val="auto"/>
          <w:sz w:val="24"/>
          <w:highlight w:val="none"/>
          <w:lang w:eastAsia="zh-CN"/>
        </w:rPr>
        <w:t>，</w:t>
      </w:r>
      <w:r>
        <w:rPr>
          <w:rFonts w:eastAsia="宋体"/>
          <w:color w:val="auto"/>
          <w:sz w:val="24"/>
          <w:highlight w:val="none"/>
        </w:rPr>
        <w:t>且按照评审因素的量化指标评审得分最高的投标人为中标候选人的评标方法。</w:t>
      </w:r>
    </w:p>
    <w:p w14:paraId="0E3867EE">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29.1.2.</w:t>
      </w:r>
      <w:r>
        <w:rPr>
          <w:rFonts w:eastAsia="宋体"/>
          <w:color w:val="auto"/>
          <w:sz w:val="24"/>
          <w:highlight w:val="none"/>
        </w:rPr>
        <w:t>最低评标价法，是指投标文件满足招标文件全部实质性要求</w:t>
      </w:r>
      <w:r>
        <w:rPr>
          <w:rFonts w:hint="eastAsia" w:eastAsia="宋体"/>
          <w:color w:val="auto"/>
          <w:sz w:val="24"/>
          <w:highlight w:val="none"/>
          <w:lang w:eastAsia="zh-CN"/>
        </w:rPr>
        <w:t>，</w:t>
      </w:r>
      <w:r>
        <w:rPr>
          <w:rFonts w:eastAsia="宋体"/>
          <w:color w:val="auto"/>
          <w:sz w:val="24"/>
          <w:highlight w:val="none"/>
        </w:rPr>
        <w:t>且投标报价最低的投标人为中标候选人的评标方法。</w:t>
      </w:r>
    </w:p>
    <w:p w14:paraId="418DE4CD">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lang w:val="en-US" w:eastAsia="zh-CN"/>
        </w:rPr>
        <w:t>29</w:t>
      </w:r>
      <w:r>
        <w:rPr>
          <w:rFonts w:hint="eastAsia" w:eastAsia="宋体"/>
          <w:color w:val="auto"/>
          <w:sz w:val="24"/>
          <w:highlight w:val="none"/>
        </w:rPr>
        <w:t>.</w:t>
      </w:r>
      <w:r>
        <w:rPr>
          <w:rFonts w:hint="eastAsia" w:eastAsia="宋体"/>
          <w:color w:val="auto"/>
          <w:sz w:val="24"/>
          <w:highlight w:val="none"/>
          <w:lang w:val="en-US" w:eastAsia="zh-CN"/>
        </w:rPr>
        <w:t xml:space="preserve">2 </w:t>
      </w:r>
      <w:r>
        <w:rPr>
          <w:rFonts w:hint="eastAsia" w:eastAsia="宋体"/>
          <w:color w:val="auto"/>
          <w:sz w:val="24"/>
          <w:highlight w:val="none"/>
        </w:rPr>
        <w:t>评标委员会按照“第五章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w:t>
      </w:r>
      <w:r>
        <w:rPr>
          <w:rFonts w:hint="eastAsia" w:eastAsia="宋体"/>
          <w:color w:val="auto"/>
          <w:sz w:val="24"/>
          <w:highlight w:val="none"/>
          <w:lang w:val="en-US" w:eastAsia="zh-CN"/>
        </w:rPr>
        <w:t>的</w:t>
      </w:r>
      <w:r>
        <w:rPr>
          <w:rFonts w:hint="eastAsia" w:eastAsia="宋体"/>
          <w:color w:val="auto"/>
          <w:sz w:val="24"/>
          <w:highlight w:val="none"/>
        </w:rPr>
        <w:t>规定对投标文件进行评审。“第五章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法及标准”没有规定的方法、评审因素和标准，不作为评标依据。</w:t>
      </w:r>
    </w:p>
    <w:p w14:paraId="1A9007D8">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29</w:t>
      </w:r>
      <w:r>
        <w:rPr>
          <w:rFonts w:hint="eastAsia" w:eastAsia="宋体"/>
          <w:color w:val="auto"/>
          <w:sz w:val="24"/>
          <w:highlight w:val="none"/>
        </w:rPr>
        <w:t>.</w:t>
      </w:r>
      <w:r>
        <w:rPr>
          <w:rFonts w:hint="eastAsia" w:eastAsia="宋体"/>
          <w:color w:val="auto"/>
          <w:sz w:val="24"/>
          <w:highlight w:val="none"/>
          <w:lang w:val="en-US" w:eastAsia="zh-CN"/>
        </w:rPr>
        <w:t xml:space="preserve">3 </w:t>
      </w:r>
      <w:r>
        <w:rPr>
          <w:rFonts w:hint="eastAsia" w:eastAsia="宋体"/>
          <w:color w:val="auto"/>
          <w:sz w:val="24"/>
          <w:highlight w:val="none"/>
        </w:rPr>
        <w:t>评标委员会按“投标人须知前附表”规定的中标候选人数量在评标报告中向采购人推荐中标候选人。</w:t>
      </w:r>
    </w:p>
    <w:p w14:paraId="1E63454C">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29.4 开标之后，直到签订合同止，凡是属于审查、澄清、评价和比较投标的有关资料以及定标意向等，均不得向投标人或者其他与评标无关的人员透露。</w:t>
      </w:r>
    </w:p>
    <w:p w14:paraId="57927CBE">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29.5 在确定中标人之前，投标人试图在投标文件审查、澄清、比较和评标时对评标委员会、采购人和采购代理机构施加任何影响都可能导致其</w:t>
      </w:r>
      <w:r>
        <w:rPr>
          <w:rFonts w:hint="eastAsia" w:eastAsia="宋体"/>
          <w:b/>
          <w:bCs/>
          <w:color w:val="auto"/>
          <w:sz w:val="24"/>
          <w:highlight w:val="none"/>
          <w:lang w:val="en-US" w:eastAsia="zh-CN"/>
        </w:rPr>
        <w:t>投标无效</w:t>
      </w:r>
      <w:r>
        <w:rPr>
          <w:rFonts w:hint="eastAsia" w:eastAsia="宋体"/>
          <w:color w:val="auto"/>
          <w:sz w:val="24"/>
          <w:highlight w:val="none"/>
          <w:lang w:val="en-US" w:eastAsia="zh-CN"/>
        </w:rPr>
        <w:t>。</w:t>
      </w:r>
    </w:p>
    <w:p w14:paraId="32A32003">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29.6 电子招投标的应急措施</w:t>
      </w:r>
    </w:p>
    <w:p w14:paraId="52525CD6">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29.6.1电子开标、评标如出现下列原因，导致系统无法正常运行或无法正常评标时，应采取应急措施。</w:t>
      </w:r>
    </w:p>
    <w:p w14:paraId="3D99F562">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（1）系统服务器发生故障，无法访问或无法使用系统；</w:t>
      </w:r>
    </w:p>
    <w:p w14:paraId="518B308A">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（2）系统的软件或数据库出现错误，不能进行正常操作；</w:t>
      </w:r>
    </w:p>
    <w:p w14:paraId="657BA7B3">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（3）系统发现有安全漏洞，有潜在的泄密危险；</w:t>
      </w:r>
    </w:p>
    <w:p w14:paraId="26B15397">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（4）病毒发作或受到外来病毒的攻击；</w:t>
      </w:r>
    </w:p>
    <w:p w14:paraId="6BCA43D9">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（5）出现其他不可抗拒的客观原因造成开评标系统无法正常使用。</w:t>
      </w:r>
    </w:p>
    <w:p w14:paraId="2BA3CE00">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出现上述情况时，应对未开标的暂停开标。已在系统内开标、评标的立即停止。采取应急措施时，必须对原有资料及信息作出妥善保密处理。</w:t>
      </w:r>
    </w:p>
    <w:p w14:paraId="791CC4F0">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29.6.2因系统原因导致投标人均无法解密电子投标文件时，采购代理机构可在开标现场直接导入投标人在投标截止时间前递交的未加密的电子投标文件进行开标、评标。</w:t>
      </w:r>
    </w:p>
    <w:p w14:paraId="28CD45E0">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29.7 投标人瑕疵滞后发现的处理规则</w:t>
      </w:r>
    </w:p>
    <w:p w14:paraId="11E85EAD">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29.7.1无论基于何种原因，各项本应作</w:t>
      </w:r>
      <w:r>
        <w:rPr>
          <w:rFonts w:hint="eastAsia" w:eastAsia="宋体"/>
          <w:b/>
          <w:bCs/>
          <w:color w:val="auto"/>
          <w:sz w:val="24"/>
          <w:highlight w:val="none"/>
          <w:lang w:val="en-US" w:eastAsia="zh-CN"/>
        </w:rPr>
        <w:t>无效投标</w:t>
      </w:r>
      <w:r>
        <w:rPr>
          <w:rFonts w:hint="eastAsia" w:eastAsia="宋体"/>
          <w:color w:val="auto"/>
          <w:sz w:val="24"/>
          <w:highlight w:val="none"/>
          <w:lang w:val="en-US" w:eastAsia="zh-CN"/>
        </w:rPr>
        <w:t>处理的情形即便未被及时发现而使该投标人进入初审、综合评审或其他后续程序，包括已经签订合同的情形，一旦该投标人的投标作无效投标处理或该投标人的此前评议结果被取消，其现有的位置将被其他投标人依序替代，相关的一切损失均由该投标人承担。</w:t>
      </w:r>
    </w:p>
    <w:p w14:paraId="34027149">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378" w:name="_Toc5073"/>
      <w:bookmarkStart w:id="379" w:name="_Toc4255"/>
      <w:bookmarkStart w:id="380" w:name="_Toc140132792"/>
      <w:bookmarkStart w:id="381" w:name="_Toc1414"/>
      <w:bookmarkStart w:id="382" w:name="_Toc163492859"/>
      <w:bookmarkStart w:id="383" w:name="_Toc22170"/>
      <w:bookmarkStart w:id="384" w:name="_Toc155185879"/>
      <w:bookmarkStart w:id="385" w:name="_Toc8349"/>
      <w:r>
        <w:rPr>
          <w:rFonts w:hint="eastAsia" w:ascii="宋体" w:hAnsi="宋体" w:eastAsia="宋体" w:cstheme="minorBidi"/>
          <w:b/>
          <w:bCs/>
          <w:color w:val="auto"/>
          <w:kern w:val="2"/>
          <w:sz w:val="24"/>
          <w:szCs w:val="32"/>
          <w:highlight w:val="none"/>
          <w:lang w:val="en-US" w:eastAsia="zh-CN" w:bidi="ar-SA"/>
        </w:rPr>
        <w:t>（八）中标</w:t>
      </w:r>
      <w:bookmarkEnd w:id="378"/>
      <w:bookmarkEnd w:id="379"/>
      <w:bookmarkEnd w:id="380"/>
      <w:bookmarkEnd w:id="381"/>
      <w:bookmarkEnd w:id="382"/>
      <w:bookmarkEnd w:id="383"/>
      <w:bookmarkEnd w:id="384"/>
      <w:bookmarkEnd w:id="385"/>
    </w:p>
    <w:p w14:paraId="37B6B950">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86" w:name="_Toc140132793"/>
      <w:bookmarkStart w:id="387" w:name="_Toc26318"/>
      <w:bookmarkStart w:id="388" w:name="_Toc31516"/>
      <w:bookmarkStart w:id="389" w:name="_Toc22768"/>
      <w:bookmarkStart w:id="390" w:name="_Toc163492860"/>
      <w:bookmarkStart w:id="391" w:name="_Toc9777"/>
      <w:bookmarkStart w:id="392" w:name="_Toc4784"/>
      <w:r>
        <w:rPr>
          <w:rFonts w:hint="eastAsia" w:ascii="宋体" w:hAnsi="宋体" w:eastAsia="宋体" w:cs="宋体"/>
          <w:b/>
          <w:bCs/>
          <w:color w:val="auto"/>
          <w:kern w:val="2"/>
          <w:sz w:val="24"/>
          <w:szCs w:val="28"/>
          <w:highlight w:val="none"/>
          <w:lang w:val="en-US" w:eastAsia="zh-CN" w:bidi="ar-SA"/>
        </w:rPr>
        <w:t>30.确定中标人</w:t>
      </w:r>
      <w:bookmarkEnd w:id="386"/>
      <w:bookmarkEnd w:id="387"/>
      <w:bookmarkEnd w:id="388"/>
      <w:bookmarkEnd w:id="389"/>
      <w:bookmarkEnd w:id="390"/>
      <w:bookmarkEnd w:id="391"/>
      <w:bookmarkEnd w:id="392"/>
    </w:p>
    <w:p w14:paraId="23CC2B81">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eastAsia="宋体"/>
          <w:color w:val="auto"/>
          <w:sz w:val="24"/>
          <w:highlight w:val="none"/>
          <w:lang w:val="en-US" w:eastAsia="zh-CN"/>
        </w:rPr>
        <w:t>30.1</w:t>
      </w:r>
      <w:r>
        <w:rPr>
          <w:rFonts w:hint="eastAsia" w:ascii="宋体" w:hAnsi="宋体" w:eastAsia="宋体" w:cs="宋体"/>
          <w:color w:val="auto"/>
          <w:kern w:val="0"/>
          <w:sz w:val="24"/>
          <w:szCs w:val="24"/>
          <w:highlight w:val="none"/>
          <w:lang w:val="en-US" w:eastAsia="zh-CN" w:bidi="ar"/>
        </w:rPr>
        <w:t>采购人将在评标报告确定的中标候选人名单中按顺序确定中标人，中标候选人并列的，按照</w:t>
      </w:r>
      <w:r>
        <w:rPr>
          <w:rFonts w:hint="eastAsia" w:eastAsia="宋体"/>
          <w:color w:val="auto"/>
          <w:sz w:val="24"/>
          <w:highlight w:val="none"/>
        </w:rPr>
        <w:t>“投标人须知前附表”</w:t>
      </w:r>
      <w:r>
        <w:rPr>
          <w:rFonts w:hint="eastAsia" w:ascii="宋体" w:hAnsi="宋体" w:eastAsia="宋体" w:cs="宋体"/>
          <w:color w:val="auto"/>
          <w:kern w:val="0"/>
          <w:sz w:val="24"/>
          <w:szCs w:val="24"/>
          <w:highlight w:val="none"/>
          <w:lang w:val="en-US" w:eastAsia="zh-CN" w:bidi="ar"/>
        </w:rPr>
        <w:t>确定中标人；招标文件未规定的，采取随机抽取的方式确定。采购人是否委托评标委员会直接确定中标人，见</w:t>
      </w:r>
      <w:r>
        <w:rPr>
          <w:rFonts w:hint="eastAsia" w:eastAsia="宋体"/>
          <w:color w:val="auto"/>
          <w:sz w:val="24"/>
          <w:highlight w:val="none"/>
        </w:rPr>
        <w:t>“投标人须知前附表”</w:t>
      </w:r>
      <w:r>
        <w:rPr>
          <w:rFonts w:hint="eastAsia" w:ascii="宋体" w:hAnsi="宋体" w:eastAsia="宋体" w:cs="宋体"/>
          <w:color w:val="auto"/>
          <w:kern w:val="0"/>
          <w:sz w:val="24"/>
          <w:szCs w:val="24"/>
          <w:highlight w:val="none"/>
          <w:lang w:val="en-US" w:eastAsia="zh-CN" w:bidi="ar"/>
        </w:rPr>
        <w:t>。</w:t>
      </w:r>
    </w:p>
    <w:p w14:paraId="1B14917F">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w:t>
      </w:r>
      <w:r>
        <w:rPr>
          <w:rFonts w:hint="eastAsia" w:eastAsia="宋体" w:cs="宋体"/>
          <w:color w:val="auto"/>
          <w:kern w:val="0"/>
          <w:sz w:val="24"/>
          <w:szCs w:val="24"/>
          <w:highlight w:val="none"/>
          <w:lang w:val="en-US" w:eastAsia="zh-CN" w:bidi="ar"/>
        </w:rPr>
        <w:t>0</w:t>
      </w:r>
      <w:r>
        <w:rPr>
          <w:rFonts w:hint="eastAsia" w:ascii="宋体" w:hAnsi="宋体" w:eastAsia="宋体" w:cs="宋体"/>
          <w:color w:val="auto"/>
          <w:kern w:val="0"/>
          <w:sz w:val="24"/>
          <w:szCs w:val="24"/>
          <w:highlight w:val="none"/>
          <w:lang w:val="en-US" w:eastAsia="zh-CN" w:bidi="ar"/>
        </w:rPr>
        <w:t>.</w:t>
      </w:r>
      <w:r>
        <w:rPr>
          <w:rFonts w:hint="eastAsia" w:eastAsia="宋体" w:cs="宋体"/>
          <w:color w:val="auto"/>
          <w:kern w:val="0"/>
          <w:sz w:val="24"/>
          <w:szCs w:val="24"/>
          <w:highlight w:val="none"/>
          <w:lang w:val="en-US" w:eastAsia="zh-CN" w:bidi="ar"/>
        </w:rPr>
        <w:t>2采</w:t>
      </w:r>
      <w:r>
        <w:rPr>
          <w:rFonts w:hint="eastAsia" w:ascii="宋体" w:hAnsi="宋体" w:eastAsia="宋体" w:cs="宋体"/>
          <w:color w:val="auto"/>
          <w:kern w:val="0"/>
          <w:sz w:val="24"/>
          <w:szCs w:val="24"/>
          <w:highlight w:val="none"/>
          <w:lang w:val="en-US" w:eastAsia="zh-CN" w:bidi="ar"/>
        </w:rPr>
        <w:t>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w:t>
      </w:r>
      <w:r>
        <w:rPr>
          <w:rFonts w:hint="eastAsia" w:eastAsia="宋体"/>
          <w:color w:val="auto"/>
          <w:sz w:val="24"/>
          <w:highlight w:val="none"/>
        </w:rPr>
        <w:t>“投标人须知前附表”</w:t>
      </w:r>
      <w:r>
        <w:rPr>
          <w:rFonts w:hint="eastAsia" w:ascii="宋体" w:hAnsi="宋体" w:eastAsia="宋体" w:cs="宋体"/>
          <w:color w:val="auto"/>
          <w:kern w:val="0"/>
          <w:sz w:val="24"/>
          <w:szCs w:val="24"/>
          <w:highlight w:val="none"/>
          <w:lang w:val="en-US" w:eastAsia="zh-CN" w:bidi="ar"/>
        </w:rPr>
        <w:t>规定的方式确定一个投标人获得中标人推荐资格，招标文件未规定的采取随机抽取方式确定，其他同品牌投标人不作为中标候选人。</w:t>
      </w:r>
    </w:p>
    <w:p w14:paraId="5EF9107C">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eastAsia="宋体" w:cs="宋体"/>
          <w:color w:val="auto"/>
          <w:kern w:val="0"/>
          <w:sz w:val="24"/>
          <w:szCs w:val="24"/>
          <w:highlight w:val="none"/>
          <w:lang w:val="en-US" w:eastAsia="zh-CN" w:bidi="ar"/>
        </w:rPr>
      </w:pPr>
      <w:r>
        <w:rPr>
          <w:rFonts w:hint="eastAsia" w:eastAsia="宋体" w:cs="宋体"/>
          <w:color w:val="auto"/>
          <w:kern w:val="0"/>
          <w:sz w:val="24"/>
          <w:szCs w:val="24"/>
          <w:highlight w:val="none"/>
          <w:lang w:val="en-US" w:eastAsia="zh-CN" w:bidi="ar"/>
        </w:rPr>
        <w:t>30.3采用最低评标价法的采购项目，提供相同品牌产品的不同投标人参加同一合同项下投标的，以其中通过资格审查、符合性审查且报价最低的参加评标；报价相同的，由采购人或者采购人委托评标委员会按照</w:t>
      </w:r>
      <w:r>
        <w:rPr>
          <w:rFonts w:hint="eastAsia" w:eastAsia="宋体"/>
          <w:color w:val="auto"/>
          <w:sz w:val="24"/>
          <w:highlight w:val="none"/>
        </w:rPr>
        <w:t>“投标人须知前附表”</w:t>
      </w:r>
      <w:r>
        <w:rPr>
          <w:rFonts w:hint="eastAsia" w:eastAsia="宋体" w:cs="宋体"/>
          <w:color w:val="auto"/>
          <w:kern w:val="0"/>
          <w:sz w:val="24"/>
          <w:szCs w:val="24"/>
          <w:highlight w:val="none"/>
          <w:lang w:val="en-US" w:eastAsia="zh-CN" w:bidi="ar"/>
        </w:rPr>
        <w:t>规定的方式确定一个参加评标的投标人，招标文件未规定的采取随机抽取方式确定，其他投标无效。</w:t>
      </w:r>
    </w:p>
    <w:p w14:paraId="4A5A7398">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eastAsia="宋体"/>
          <w:color w:val="auto"/>
          <w:sz w:val="24"/>
          <w:highlight w:val="none"/>
        </w:rPr>
      </w:pPr>
      <w:r>
        <w:rPr>
          <w:rFonts w:hint="eastAsia" w:eastAsia="宋体" w:cs="宋体"/>
          <w:color w:val="auto"/>
          <w:kern w:val="0"/>
          <w:sz w:val="24"/>
          <w:szCs w:val="24"/>
          <w:highlight w:val="none"/>
          <w:lang w:val="en-US" w:eastAsia="zh-CN" w:bidi="ar"/>
        </w:rPr>
        <w:t>30.4非单一产品采购项目，采购人应当根据采购项目技术构成、产品价格比重等合理确定核心产品，并在</w:t>
      </w:r>
      <w:r>
        <w:rPr>
          <w:rFonts w:hint="eastAsia" w:eastAsia="宋体"/>
          <w:color w:val="auto"/>
          <w:sz w:val="24"/>
          <w:highlight w:val="none"/>
        </w:rPr>
        <w:t>“投标人须知前附表”</w:t>
      </w:r>
      <w:r>
        <w:rPr>
          <w:rFonts w:hint="eastAsia" w:eastAsia="宋体" w:cs="宋体"/>
          <w:color w:val="auto"/>
          <w:kern w:val="0"/>
          <w:sz w:val="24"/>
          <w:szCs w:val="24"/>
          <w:highlight w:val="none"/>
          <w:lang w:val="en-US" w:eastAsia="zh-CN" w:bidi="ar"/>
        </w:rPr>
        <w:t>中载明。多家投标人提供的核心产品品牌相同的，按前两款规定处理。</w:t>
      </w:r>
      <w:r>
        <w:rPr>
          <w:rFonts w:hint="eastAsia" w:ascii="宋体" w:hAnsi="宋体" w:eastAsia="宋体" w:cs="宋体"/>
          <w:color w:val="auto"/>
          <w:kern w:val="0"/>
          <w:sz w:val="24"/>
          <w:szCs w:val="24"/>
          <w:highlight w:val="none"/>
          <w:lang w:val="en-US" w:eastAsia="zh-CN" w:bidi="ar"/>
        </w:rPr>
        <w:t xml:space="preserve"> </w:t>
      </w:r>
    </w:p>
    <w:p w14:paraId="18971451">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393" w:name="_Toc163492861"/>
      <w:bookmarkStart w:id="394" w:name="_Toc7431"/>
      <w:bookmarkStart w:id="395" w:name="_Toc19155"/>
      <w:bookmarkStart w:id="396" w:name="_Toc161"/>
      <w:bookmarkStart w:id="397" w:name="_Toc140132794"/>
      <w:bookmarkStart w:id="398" w:name="_Toc6330"/>
      <w:bookmarkStart w:id="399" w:name="_Toc24795"/>
      <w:r>
        <w:rPr>
          <w:rFonts w:hint="eastAsia" w:ascii="宋体" w:hAnsi="宋体" w:eastAsia="宋体" w:cs="宋体"/>
          <w:b/>
          <w:bCs/>
          <w:color w:val="auto"/>
          <w:kern w:val="2"/>
          <w:sz w:val="24"/>
          <w:szCs w:val="28"/>
          <w:highlight w:val="none"/>
          <w:lang w:val="en-US" w:eastAsia="zh-CN" w:bidi="ar-SA"/>
        </w:rPr>
        <w:t>31.中标结果公告</w:t>
      </w:r>
      <w:bookmarkEnd w:id="393"/>
      <w:bookmarkEnd w:id="394"/>
      <w:bookmarkEnd w:id="395"/>
      <w:bookmarkEnd w:id="396"/>
      <w:bookmarkEnd w:id="397"/>
      <w:bookmarkEnd w:id="398"/>
      <w:bookmarkEnd w:id="399"/>
    </w:p>
    <w:p w14:paraId="712AF3E4">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1</w:t>
      </w:r>
      <w:r>
        <w:rPr>
          <w:rFonts w:hint="eastAsia" w:eastAsia="宋体"/>
          <w:color w:val="auto"/>
          <w:sz w:val="24"/>
          <w:highlight w:val="none"/>
        </w:rPr>
        <w:t>.1</w:t>
      </w:r>
      <w:r>
        <w:rPr>
          <w:rFonts w:hint="eastAsia" w:eastAsia="宋体"/>
          <w:color w:val="auto"/>
          <w:sz w:val="24"/>
          <w:highlight w:val="none"/>
          <w:lang w:val="en-US" w:eastAsia="zh-CN"/>
        </w:rPr>
        <w:t>采购人或</w:t>
      </w:r>
      <w:r>
        <w:rPr>
          <w:rFonts w:hint="eastAsia" w:eastAsia="宋体"/>
          <w:color w:val="auto"/>
          <w:sz w:val="24"/>
          <w:highlight w:val="none"/>
        </w:rPr>
        <w:t>采购代理机构应当自中标人确定之日起2个工作日内，在</w:t>
      </w:r>
      <w:r>
        <w:rPr>
          <w:rFonts w:hint="eastAsia" w:eastAsia="宋体"/>
          <w:color w:val="auto"/>
          <w:sz w:val="24"/>
          <w:highlight w:val="none"/>
          <w:lang w:val="en-US" w:eastAsia="zh-CN"/>
        </w:rPr>
        <w:t>发布招标公告的同一</w:t>
      </w:r>
      <w:r>
        <w:rPr>
          <w:rFonts w:hint="eastAsia" w:eastAsia="宋体"/>
          <w:color w:val="auto"/>
          <w:sz w:val="24"/>
          <w:highlight w:val="none"/>
        </w:rPr>
        <w:t>媒体上发布中标结果公告，</w:t>
      </w:r>
      <w:r>
        <w:rPr>
          <w:rFonts w:hint="eastAsia" w:eastAsia="宋体"/>
          <w:color w:val="auto"/>
          <w:sz w:val="24"/>
          <w:highlight w:val="none"/>
          <w:lang w:val="en-US" w:eastAsia="zh-CN"/>
        </w:rPr>
        <w:t>同时向中标人</w:t>
      </w:r>
      <w:r>
        <w:rPr>
          <w:rFonts w:hint="eastAsia" w:eastAsia="宋体"/>
          <w:color w:val="auto"/>
          <w:sz w:val="24"/>
          <w:highlight w:val="none"/>
        </w:rPr>
        <w:t>发出中标通知书</w:t>
      </w:r>
      <w:r>
        <w:rPr>
          <w:rFonts w:hint="eastAsia" w:eastAsia="宋体"/>
          <w:color w:val="auto"/>
          <w:sz w:val="24"/>
          <w:highlight w:val="none"/>
          <w:lang w:eastAsia="zh-CN"/>
        </w:rPr>
        <w:t>。招标文件随中标结果同时公告，</w:t>
      </w:r>
      <w:r>
        <w:rPr>
          <w:rFonts w:hint="eastAsia" w:eastAsia="宋体"/>
          <w:color w:val="auto"/>
          <w:sz w:val="24"/>
          <w:highlight w:val="none"/>
        </w:rPr>
        <w:t>中标结果公告期限为1个工作日。</w:t>
      </w:r>
    </w:p>
    <w:p w14:paraId="5352A1FC">
      <w:pPr>
        <w:pStyle w:val="38"/>
        <w:keepNext w:val="0"/>
        <w:keepLines w:val="0"/>
        <w:pageBreakBefore w:val="0"/>
        <w:widowControl w:val="0"/>
        <w:kinsoku/>
        <w:overflowPunct/>
        <w:topLinePunct w:val="0"/>
        <w:autoSpaceDE/>
        <w:autoSpaceDN/>
        <w:bidi w:val="0"/>
        <w:adjustRightInd/>
        <w:textAlignment w:val="auto"/>
        <w:rPr>
          <w:rFonts w:hint="eastAsia" w:eastAsia="宋体"/>
          <w:bCs/>
          <w:color w:val="auto"/>
          <w:sz w:val="24"/>
          <w:highlight w:val="none"/>
          <w:lang w:eastAsia="zh-CN"/>
        </w:rPr>
      </w:pPr>
      <w:r>
        <w:rPr>
          <w:rFonts w:hint="eastAsia" w:eastAsia="宋体"/>
          <w:bCs/>
          <w:color w:val="auto"/>
          <w:sz w:val="24"/>
          <w:highlight w:val="none"/>
        </w:rPr>
        <w:t>3</w:t>
      </w:r>
      <w:r>
        <w:rPr>
          <w:rFonts w:hint="eastAsia" w:eastAsia="宋体"/>
          <w:bCs/>
          <w:color w:val="auto"/>
          <w:sz w:val="24"/>
          <w:highlight w:val="none"/>
          <w:lang w:val="en-US" w:eastAsia="zh-CN"/>
        </w:rPr>
        <w:t>1</w:t>
      </w:r>
      <w:r>
        <w:rPr>
          <w:rFonts w:eastAsia="宋体"/>
          <w:bCs/>
          <w:color w:val="auto"/>
          <w:sz w:val="24"/>
          <w:highlight w:val="none"/>
        </w:rPr>
        <w:t>.2</w:t>
      </w:r>
      <w:r>
        <w:rPr>
          <w:rFonts w:hint="eastAsia" w:eastAsia="宋体"/>
          <w:bCs/>
          <w:color w:val="auto"/>
          <w:sz w:val="24"/>
          <w:highlight w:val="none"/>
          <w:lang w:eastAsia="zh-CN"/>
        </w:rPr>
        <w:t>中标</w:t>
      </w:r>
      <w:r>
        <w:rPr>
          <w:rFonts w:hint="eastAsia" w:eastAsia="宋体"/>
          <w:bCs/>
          <w:color w:val="auto"/>
          <w:sz w:val="24"/>
          <w:highlight w:val="none"/>
          <w:lang w:val="en-US" w:eastAsia="zh-CN"/>
        </w:rPr>
        <w:t>人</w:t>
      </w:r>
      <w:r>
        <w:rPr>
          <w:rFonts w:hint="eastAsia" w:eastAsia="宋体"/>
          <w:bCs/>
          <w:color w:val="auto"/>
          <w:sz w:val="24"/>
          <w:highlight w:val="none"/>
          <w:lang w:eastAsia="zh-CN"/>
        </w:rPr>
        <w:t>为中小企业</w:t>
      </w:r>
      <w:r>
        <w:rPr>
          <w:rFonts w:hint="eastAsia" w:eastAsia="宋体"/>
          <w:bCs/>
          <w:color w:val="auto"/>
          <w:sz w:val="24"/>
          <w:highlight w:val="none"/>
          <w:lang w:val="en-US" w:eastAsia="zh-CN"/>
        </w:rPr>
        <w:t>享受中小企业扶持政策的</w:t>
      </w:r>
      <w:r>
        <w:rPr>
          <w:rFonts w:hint="eastAsia" w:eastAsia="宋体"/>
          <w:bCs/>
          <w:color w:val="auto"/>
          <w:sz w:val="24"/>
          <w:highlight w:val="none"/>
          <w:lang w:eastAsia="zh-CN"/>
        </w:rPr>
        <w:t>，其“中小企业声明函”随中标结果同时公告。中标</w:t>
      </w:r>
      <w:r>
        <w:rPr>
          <w:rFonts w:hint="eastAsia" w:eastAsia="宋体"/>
          <w:bCs/>
          <w:color w:val="auto"/>
          <w:sz w:val="24"/>
          <w:highlight w:val="none"/>
          <w:lang w:val="en-US" w:eastAsia="zh-CN"/>
        </w:rPr>
        <w:t>人</w:t>
      </w:r>
      <w:r>
        <w:rPr>
          <w:rFonts w:hint="eastAsia" w:eastAsia="宋体"/>
          <w:bCs/>
          <w:color w:val="auto"/>
          <w:sz w:val="24"/>
          <w:highlight w:val="none"/>
          <w:lang w:eastAsia="zh-CN"/>
        </w:rPr>
        <w:t>为残疾人福利性单位的，其“残疾人福利性单位声明函”随中标结果同时公告。</w:t>
      </w:r>
    </w:p>
    <w:p w14:paraId="284DD9EA">
      <w:pPr>
        <w:pStyle w:val="38"/>
        <w:keepNext w:val="0"/>
        <w:keepLines w:val="0"/>
        <w:pageBreakBefore w:val="0"/>
        <w:widowControl w:val="0"/>
        <w:kinsoku/>
        <w:overflowPunct/>
        <w:topLinePunct w:val="0"/>
        <w:autoSpaceDE/>
        <w:autoSpaceDN/>
        <w:bidi w:val="0"/>
        <w:adjustRightInd/>
        <w:textAlignment w:val="auto"/>
        <w:rPr>
          <w:rFonts w:hint="eastAsia" w:ascii="宋体" w:hAnsi="宋体" w:eastAsia="宋体"/>
          <w:bCs/>
          <w:color w:val="auto"/>
          <w:sz w:val="24"/>
          <w:highlight w:val="none"/>
        </w:rPr>
      </w:pPr>
      <w:r>
        <w:rPr>
          <w:rFonts w:hint="eastAsia" w:ascii="宋体" w:hAnsi="宋体" w:eastAsia="宋体"/>
          <w:bCs/>
          <w:color w:val="auto"/>
          <w:sz w:val="24"/>
          <w:highlight w:val="none"/>
          <w:lang w:val="en-US" w:eastAsia="zh-CN"/>
        </w:rPr>
        <w:t>31.3</w:t>
      </w:r>
      <w:r>
        <w:rPr>
          <w:rFonts w:hint="eastAsia" w:ascii="宋体" w:hAnsi="宋体" w:eastAsia="宋体"/>
          <w:bCs/>
          <w:color w:val="auto"/>
          <w:sz w:val="24"/>
          <w:highlight w:val="none"/>
        </w:rPr>
        <w:t>项目采购采用最低评标价法的，公告中标结果时同时公告因落实政府采购政策等原因进行价格扣除后中标</w:t>
      </w:r>
      <w:r>
        <w:rPr>
          <w:rFonts w:hint="eastAsia" w:ascii="宋体" w:hAnsi="宋体" w:eastAsia="宋体"/>
          <w:bCs/>
          <w:color w:val="auto"/>
          <w:sz w:val="24"/>
          <w:highlight w:val="none"/>
          <w:lang w:val="en-US" w:eastAsia="zh-CN"/>
        </w:rPr>
        <w:t>人</w:t>
      </w:r>
      <w:r>
        <w:rPr>
          <w:rFonts w:hint="eastAsia" w:ascii="宋体" w:hAnsi="宋体" w:eastAsia="宋体"/>
          <w:bCs/>
          <w:color w:val="auto"/>
          <w:sz w:val="24"/>
          <w:highlight w:val="none"/>
        </w:rPr>
        <w:t>的评审报价；项目采购采用综合评分法的，公告中标结果时同时公告中标</w:t>
      </w:r>
      <w:r>
        <w:rPr>
          <w:rFonts w:hint="eastAsia" w:ascii="宋体" w:hAnsi="宋体" w:eastAsia="宋体"/>
          <w:bCs/>
          <w:color w:val="auto"/>
          <w:sz w:val="24"/>
          <w:highlight w:val="none"/>
          <w:lang w:val="en-US" w:eastAsia="zh-CN"/>
        </w:rPr>
        <w:t>投标人</w:t>
      </w:r>
      <w:r>
        <w:rPr>
          <w:rFonts w:hint="eastAsia" w:ascii="宋体" w:hAnsi="宋体" w:eastAsia="宋体"/>
          <w:bCs/>
          <w:color w:val="auto"/>
          <w:sz w:val="24"/>
          <w:highlight w:val="none"/>
        </w:rPr>
        <w:t>的评审总得分。</w:t>
      </w:r>
    </w:p>
    <w:p w14:paraId="24E8EB4D">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00" w:name="_Toc17586"/>
      <w:bookmarkStart w:id="401" w:name="_Toc140132795"/>
      <w:bookmarkStart w:id="402" w:name="_Toc10317"/>
      <w:bookmarkStart w:id="403" w:name="_Toc2830"/>
      <w:bookmarkStart w:id="404" w:name="_Toc163492862"/>
      <w:bookmarkStart w:id="405" w:name="_Toc7104"/>
      <w:bookmarkStart w:id="406" w:name="_Toc17569"/>
      <w:r>
        <w:rPr>
          <w:rFonts w:hint="eastAsia" w:ascii="宋体" w:hAnsi="宋体" w:eastAsia="宋体" w:cs="宋体"/>
          <w:b/>
          <w:bCs/>
          <w:color w:val="auto"/>
          <w:kern w:val="2"/>
          <w:sz w:val="24"/>
          <w:szCs w:val="28"/>
          <w:highlight w:val="none"/>
          <w:lang w:val="en-US" w:eastAsia="zh-CN" w:bidi="ar-SA"/>
        </w:rPr>
        <w:t>32.中标通知</w:t>
      </w:r>
      <w:bookmarkEnd w:id="400"/>
      <w:bookmarkEnd w:id="401"/>
      <w:bookmarkEnd w:id="402"/>
      <w:bookmarkEnd w:id="403"/>
      <w:bookmarkEnd w:id="404"/>
      <w:bookmarkEnd w:id="405"/>
      <w:bookmarkEnd w:id="406"/>
    </w:p>
    <w:p w14:paraId="41D33E18">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2</w:t>
      </w:r>
      <w:r>
        <w:rPr>
          <w:rFonts w:hint="eastAsia" w:eastAsia="宋体"/>
          <w:color w:val="auto"/>
          <w:sz w:val="24"/>
          <w:highlight w:val="none"/>
        </w:rPr>
        <w:t>.1采购人和采购代理机构以书面形式向中标人发出中标通知书，同时将招标结果通知未中标的投标人。对未通过资格审查的投标人，应当告知其未通过的原因；采用综合评分法评审的，还应当告知未中标人本人的评审得分与排序。</w:t>
      </w:r>
    </w:p>
    <w:p w14:paraId="67E9F9A5">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32.2中标通知书对采购人和中标人均具有法律效力。中标通知书发出后，采购人改变中标结果的，或者中标人放弃中标项目的，应当依法承担法律责任。</w:t>
      </w:r>
    </w:p>
    <w:p w14:paraId="004C264E">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407" w:name="_Toc9494"/>
      <w:bookmarkStart w:id="408" w:name="_Toc28090"/>
      <w:bookmarkStart w:id="409" w:name="_Toc4010"/>
      <w:bookmarkStart w:id="410" w:name="_Toc27448"/>
      <w:bookmarkStart w:id="411" w:name="_Toc2364"/>
      <w:bookmarkStart w:id="412" w:name="_Toc163492863"/>
      <w:r>
        <w:rPr>
          <w:rFonts w:hint="eastAsia" w:ascii="宋体" w:hAnsi="宋体" w:eastAsia="宋体" w:cstheme="minorBidi"/>
          <w:b/>
          <w:bCs/>
          <w:color w:val="auto"/>
          <w:kern w:val="2"/>
          <w:sz w:val="24"/>
          <w:szCs w:val="32"/>
          <w:highlight w:val="none"/>
          <w:lang w:val="en-US" w:eastAsia="zh-CN" w:bidi="ar-SA"/>
        </w:rPr>
        <w:t>（九）签订</w:t>
      </w:r>
      <w:bookmarkStart w:id="413" w:name="_Toc155185880"/>
      <w:bookmarkStart w:id="414" w:name="_Toc140132796"/>
      <w:r>
        <w:rPr>
          <w:rFonts w:hint="eastAsia" w:ascii="宋体" w:hAnsi="宋体" w:eastAsia="宋体" w:cstheme="minorBidi"/>
          <w:b/>
          <w:bCs/>
          <w:color w:val="auto"/>
          <w:kern w:val="2"/>
          <w:sz w:val="24"/>
          <w:szCs w:val="32"/>
          <w:highlight w:val="none"/>
          <w:lang w:val="en-US" w:eastAsia="zh-CN" w:bidi="ar-SA"/>
        </w:rPr>
        <w:t>合同</w:t>
      </w:r>
      <w:bookmarkEnd w:id="407"/>
      <w:bookmarkEnd w:id="408"/>
      <w:bookmarkEnd w:id="409"/>
      <w:bookmarkEnd w:id="410"/>
      <w:bookmarkEnd w:id="411"/>
      <w:bookmarkEnd w:id="412"/>
      <w:bookmarkEnd w:id="413"/>
      <w:bookmarkEnd w:id="414"/>
    </w:p>
    <w:p w14:paraId="547E6B99">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15" w:name="_Toc521"/>
      <w:bookmarkStart w:id="416" w:name="_Toc140132797"/>
      <w:bookmarkStart w:id="417" w:name="_Toc6972"/>
      <w:bookmarkStart w:id="418" w:name="_Toc18377"/>
      <w:bookmarkStart w:id="419" w:name="_Toc18923"/>
      <w:bookmarkStart w:id="420" w:name="_Toc163492864"/>
      <w:bookmarkStart w:id="421" w:name="_Toc22178"/>
      <w:r>
        <w:rPr>
          <w:rFonts w:hint="eastAsia" w:ascii="宋体" w:hAnsi="宋体" w:eastAsia="宋体" w:cs="宋体"/>
          <w:b/>
          <w:bCs/>
          <w:color w:val="auto"/>
          <w:kern w:val="2"/>
          <w:sz w:val="24"/>
          <w:szCs w:val="28"/>
          <w:highlight w:val="none"/>
          <w:lang w:val="en-US" w:eastAsia="zh-CN" w:bidi="ar-SA"/>
        </w:rPr>
        <w:t>33.履约保证金</w:t>
      </w:r>
      <w:bookmarkEnd w:id="415"/>
      <w:bookmarkEnd w:id="416"/>
      <w:bookmarkEnd w:id="417"/>
      <w:bookmarkEnd w:id="418"/>
      <w:bookmarkEnd w:id="419"/>
      <w:bookmarkEnd w:id="420"/>
      <w:bookmarkEnd w:id="421"/>
    </w:p>
    <w:p w14:paraId="77717F01">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3</w:t>
      </w:r>
      <w:r>
        <w:rPr>
          <w:rFonts w:hint="eastAsia" w:eastAsia="宋体"/>
          <w:color w:val="auto"/>
          <w:sz w:val="24"/>
          <w:highlight w:val="none"/>
        </w:rPr>
        <w:t>.1在签订合同前，中标人应按“投标人须知前附表”规定的金额、担保形式和采购人认可的履约担保格式向采购人提交履约保证金。</w:t>
      </w:r>
    </w:p>
    <w:p w14:paraId="73BC7DAF">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3</w:t>
      </w:r>
      <w:r>
        <w:rPr>
          <w:rFonts w:hint="eastAsia" w:eastAsia="宋体"/>
          <w:color w:val="auto"/>
          <w:sz w:val="24"/>
          <w:highlight w:val="none"/>
        </w:rPr>
        <w:t>.2中标人不能按本章第</w:t>
      </w:r>
      <w:r>
        <w:rPr>
          <w:rFonts w:eastAsia="宋体"/>
          <w:color w:val="auto"/>
          <w:sz w:val="24"/>
          <w:highlight w:val="none"/>
        </w:rPr>
        <w:t>3</w:t>
      </w:r>
      <w:r>
        <w:rPr>
          <w:rFonts w:hint="eastAsia" w:eastAsia="宋体"/>
          <w:color w:val="auto"/>
          <w:sz w:val="24"/>
          <w:highlight w:val="none"/>
          <w:lang w:val="en-US" w:eastAsia="zh-CN"/>
        </w:rPr>
        <w:t>3</w:t>
      </w:r>
      <w:r>
        <w:rPr>
          <w:rFonts w:hint="eastAsia" w:eastAsia="宋体"/>
          <w:color w:val="auto"/>
          <w:sz w:val="24"/>
          <w:highlight w:val="none"/>
        </w:rPr>
        <w:t>.1项要求提交履约担保的，视为放弃中标，给采购人造成损失的，中标人还应当承担民事责任。</w:t>
      </w:r>
    </w:p>
    <w:p w14:paraId="4B3DD6F8">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22" w:name="_Toc19464"/>
      <w:bookmarkStart w:id="423" w:name="_Toc140132798"/>
      <w:bookmarkStart w:id="424" w:name="_Toc30681"/>
      <w:bookmarkStart w:id="425" w:name="_Toc2818"/>
      <w:bookmarkStart w:id="426" w:name="_Toc163492865"/>
      <w:bookmarkStart w:id="427" w:name="_Toc25821"/>
      <w:bookmarkStart w:id="428" w:name="_Toc6789"/>
      <w:r>
        <w:rPr>
          <w:rFonts w:hint="eastAsia" w:ascii="宋体" w:hAnsi="宋体" w:eastAsia="宋体" w:cs="宋体"/>
          <w:b/>
          <w:bCs/>
          <w:color w:val="auto"/>
          <w:kern w:val="2"/>
          <w:sz w:val="24"/>
          <w:szCs w:val="28"/>
          <w:highlight w:val="none"/>
          <w:lang w:val="en-US" w:eastAsia="zh-CN" w:bidi="ar-SA"/>
        </w:rPr>
        <w:t>34.签订合同</w:t>
      </w:r>
      <w:bookmarkEnd w:id="422"/>
      <w:bookmarkEnd w:id="423"/>
      <w:bookmarkEnd w:id="424"/>
      <w:bookmarkEnd w:id="425"/>
      <w:bookmarkEnd w:id="426"/>
      <w:bookmarkEnd w:id="427"/>
      <w:bookmarkEnd w:id="428"/>
    </w:p>
    <w:p w14:paraId="77507EBB">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4</w:t>
      </w:r>
      <w:r>
        <w:rPr>
          <w:rFonts w:hint="eastAsia" w:eastAsia="宋体"/>
          <w:color w:val="auto"/>
          <w:sz w:val="24"/>
          <w:highlight w:val="none"/>
        </w:rPr>
        <w:t>.1 采购人和中标人应当自中标通知书发出之日起</w:t>
      </w:r>
      <w:r>
        <w:rPr>
          <w:rFonts w:hint="eastAsia" w:eastAsia="宋体"/>
          <w:color w:val="auto"/>
          <w:sz w:val="24"/>
          <w:highlight w:val="none"/>
          <w:lang w:val="en-US" w:eastAsia="zh-CN"/>
        </w:rPr>
        <w:t>25</w:t>
      </w:r>
      <w:r>
        <w:rPr>
          <w:rFonts w:hint="eastAsia" w:eastAsia="宋体"/>
          <w:color w:val="auto"/>
          <w:sz w:val="24"/>
          <w:highlight w:val="none"/>
        </w:rPr>
        <w:t>天内，根据招标文件和中标人的投标文件订立书面合同。</w:t>
      </w:r>
      <w:r>
        <w:rPr>
          <w:rFonts w:hint="eastAsia" w:ascii="宋体" w:hAnsi="宋体" w:eastAsia="宋体"/>
          <w:color w:val="auto"/>
          <w:sz w:val="24"/>
          <w:highlight w:val="none"/>
        </w:rPr>
        <w:t>采购人因不可抗力原因迟延签订合同的，应当自不可抗力事由消除之日起7日内完成合同签订事宜。</w:t>
      </w:r>
      <w:r>
        <w:rPr>
          <w:rFonts w:hint="eastAsia" w:eastAsia="宋体"/>
          <w:color w:val="auto"/>
          <w:sz w:val="24"/>
          <w:highlight w:val="none"/>
        </w:rPr>
        <w:t>所签订的合同不得对招标文件和中标人投标文件作实质性修改。中标人无正当理由拒签合同，给采购人造成损失的，中标人还应当承担民事责任。</w:t>
      </w:r>
    </w:p>
    <w:p w14:paraId="72CF4FDD">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34.2 中标人拒绝与采购人签订合同的，采购人可以按照评标报告推荐的中标候选人名单排序，确定下一候选人为中标人，也可以重新开展政府采购活动。</w:t>
      </w:r>
    </w:p>
    <w:p w14:paraId="0D3421B6">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4</w:t>
      </w:r>
      <w:r>
        <w:rPr>
          <w:rFonts w:hint="eastAsia" w:eastAsia="宋体"/>
          <w:color w:val="auto"/>
          <w:sz w:val="24"/>
          <w:highlight w:val="none"/>
        </w:rPr>
        <w:t>.</w:t>
      </w:r>
      <w:r>
        <w:rPr>
          <w:rFonts w:hint="eastAsia" w:eastAsia="宋体"/>
          <w:color w:val="auto"/>
          <w:sz w:val="24"/>
          <w:highlight w:val="none"/>
          <w:lang w:val="en-US" w:eastAsia="zh-CN"/>
        </w:rPr>
        <w:t>3</w:t>
      </w:r>
      <w:r>
        <w:rPr>
          <w:rFonts w:hint="eastAsia" w:eastAsia="宋体"/>
          <w:color w:val="auto"/>
          <w:sz w:val="24"/>
          <w:highlight w:val="none"/>
        </w:rPr>
        <w:t xml:space="preserve"> 采购人和中标人不得向对方提出任何不合理的要求，作为签订合同的条件，双方不得私下订立背离合同实质性内容的协议。</w:t>
      </w:r>
    </w:p>
    <w:p w14:paraId="5551DDAE">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34.4 联合体中标的，联合体各方应当共同与采购人签订合同，就采购合同约定的事项向采购人承担连带责任。</w:t>
      </w:r>
    </w:p>
    <w:p w14:paraId="2BA187E8">
      <w:pPr>
        <w:pStyle w:val="38"/>
        <w:keepNext w:val="0"/>
        <w:keepLines w:val="0"/>
        <w:pageBreakBefore w:val="0"/>
        <w:widowControl w:val="0"/>
        <w:kinsoku/>
        <w:overflowPunct/>
        <w:topLinePunct w:val="0"/>
        <w:autoSpaceDE/>
        <w:autoSpaceDN/>
        <w:bidi w:val="0"/>
        <w:adjustRightInd/>
        <w:textAlignment w:val="auto"/>
        <w:rPr>
          <w:rFonts w:hint="eastAsia" w:eastAsia="宋体"/>
          <w:b/>
          <w:bCs/>
          <w:color w:val="auto"/>
          <w:sz w:val="24"/>
          <w:highlight w:val="none"/>
          <w:lang w:val="en-US" w:eastAsia="zh-CN"/>
        </w:rPr>
      </w:pPr>
      <w:r>
        <w:rPr>
          <w:rFonts w:hint="eastAsia" w:eastAsia="宋体"/>
          <w:color w:val="auto"/>
          <w:sz w:val="24"/>
          <w:highlight w:val="none"/>
          <w:lang w:val="en-US" w:eastAsia="zh-CN"/>
        </w:rPr>
        <w:t>34.5 本项目的非主体、非关键性工作是否允许分包，见“投标人须知前附表”。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eastAsia="宋体"/>
          <w:b/>
          <w:bCs/>
          <w:color w:val="auto"/>
          <w:sz w:val="24"/>
          <w:highlight w:val="none"/>
          <w:lang w:val="en-US" w:eastAsia="zh-CN"/>
        </w:rPr>
        <w:t>投标无效</w:t>
      </w:r>
      <w:r>
        <w:rPr>
          <w:rFonts w:hint="eastAsia" w:eastAsia="宋体"/>
          <w:color w:val="auto"/>
          <w:sz w:val="24"/>
          <w:highlight w:val="none"/>
          <w:lang w:val="en-US" w:eastAsia="zh-CN"/>
        </w:rPr>
        <w:t>。中标人就采购项目和分包项目向采购人负责，分包投标人就分包项目承担责任。</w:t>
      </w:r>
      <w:r>
        <w:rPr>
          <w:rFonts w:hint="eastAsia" w:eastAsia="宋体"/>
          <w:b/>
          <w:bCs/>
          <w:color w:val="auto"/>
          <w:sz w:val="24"/>
          <w:highlight w:val="none"/>
          <w:lang w:val="en-US" w:eastAsia="zh-CN"/>
        </w:rPr>
        <w:t>政府采购合同不能转包。</w:t>
      </w:r>
    </w:p>
    <w:p w14:paraId="13D12B87">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4</w:t>
      </w:r>
      <w:r>
        <w:rPr>
          <w:rFonts w:hint="eastAsia" w:eastAsia="宋体"/>
          <w:color w:val="auto"/>
          <w:sz w:val="24"/>
          <w:highlight w:val="none"/>
        </w:rPr>
        <w:t>.</w:t>
      </w:r>
      <w:r>
        <w:rPr>
          <w:rFonts w:hint="eastAsia" w:eastAsia="宋体"/>
          <w:color w:val="auto"/>
          <w:sz w:val="24"/>
          <w:highlight w:val="none"/>
          <w:lang w:val="en-US" w:eastAsia="zh-CN"/>
        </w:rPr>
        <w:t>6</w:t>
      </w:r>
      <w:r>
        <w:rPr>
          <w:rFonts w:hint="eastAsia" w:eastAsia="宋体"/>
          <w:color w:val="auto"/>
          <w:sz w:val="24"/>
          <w:highlight w:val="none"/>
        </w:rPr>
        <w:t>采购合同履行中，采购人需追加与合同标的相同的</w:t>
      </w:r>
      <w:r>
        <w:rPr>
          <w:rFonts w:hint="eastAsia" w:eastAsia="宋体"/>
          <w:color w:val="auto"/>
          <w:sz w:val="24"/>
          <w:highlight w:val="none"/>
          <w:lang w:val="en-US" w:eastAsia="zh-CN"/>
        </w:rPr>
        <w:t>货物、工程或者服务</w:t>
      </w:r>
      <w:r>
        <w:rPr>
          <w:rFonts w:hint="eastAsia" w:eastAsia="宋体"/>
          <w:color w:val="auto"/>
          <w:sz w:val="24"/>
          <w:highlight w:val="none"/>
        </w:rPr>
        <w:t>的，在不改变合同其他条款的前提下，可以与中标人协商签订补充合同，但所有补充合同的采购金额不得超过原合同采购金额的百分之十。</w:t>
      </w:r>
    </w:p>
    <w:p w14:paraId="259D0E8B">
      <w:pPr>
        <w:pStyle w:val="38"/>
        <w:keepNext w:val="0"/>
        <w:keepLines w:val="0"/>
        <w:pageBreakBefore w:val="0"/>
        <w:widowControl w:val="0"/>
        <w:kinsoku/>
        <w:overflowPunct/>
        <w:topLinePunct w:val="0"/>
        <w:autoSpaceDE/>
        <w:autoSpaceDN/>
        <w:bidi w:val="0"/>
        <w:adjustRightInd/>
        <w:textAlignment w:val="auto"/>
        <w:rPr>
          <w:rFonts w:hint="default"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34.7 采购人应于签订合同之日起2个工作日内在政采云平台备案公示。</w:t>
      </w:r>
    </w:p>
    <w:p w14:paraId="12490EB6">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429" w:name="_Toc3470"/>
      <w:bookmarkStart w:id="430" w:name="_Toc16755"/>
      <w:bookmarkStart w:id="431" w:name="_Toc1880"/>
      <w:bookmarkStart w:id="432" w:name="_Toc9575"/>
      <w:bookmarkStart w:id="433" w:name="_Toc140132799"/>
      <w:bookmarkStart w:id="434" w:name="_Toc155185881"/>
      <w:bookmarkStart w:id="435" w:name="_Toc163492866"/>
      <w:bookmarkStart w:id="436" w:name="_Toc16618"/>
      <w:r>
        <w:rPr>
          <w:rFonts w:hint="eastAsia" w:ascii="宋体" w:hAnsi="宋体" w:eastAsia="宋体" w:cstheme="minorBidi"/>
          <w:b/>
          <w:bCs/>
          <w:color w:val="auto"/>
          <w:kern w:val="2"/>
          <w:sz w:val="24"/>
          <w:szCs w:val="32"/>
          <w:highlight w:val="none"/>
          <w:lang w:val="en-US" w:eastAsia="zh-CN" w:bidi="ar-SA"/>
        </w:rPr>
        <w:t>（十）质疑和投诉</w:t>
      </w:r>
      <w:bookmarkEnd w:id="429"/>
      <w:bookmarkEnd w:id="430"/>
      <w:bookmarkEnd w:id="431"/>
      <w:bookmarkEnd w:id="432"/>
      <w:bookmarkEnd w:id="433"/>
      <w:bookmarkEnd w:id="434"/>
      <w:bookmarkEnd w:id="435"/>
      <w:bookmarkEnd w:id="436"/>
    </w:p>
    <w:p w14:paraId="23BE6A9F">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37" w:name="_Toc8211"/>
      <w:bookmarkStart w:id="438" w:name="_Toc8505"/>
      <w:bookmarkStart w:id="439" w:name="_Toc26264"/>
      <w:bookmarkStart w:id="440" w:name="_Toc140132800"/>
      <w:bookmarkStart w:id="441" w:name="_Toc1814"/>
      <w:bookmarkStart w:id="442" w:name="_Toc163492867"/>
      <w:bookmarkStart w:id="443" w:name="_Toc5638"/>
      <w:r>
        <w:rPr>
          <w:rFonts w:hint="eastAsia" w:ascii="宋体" w:hAnsi="宋体" w:eastAsia="宋体" w:cs="宋体"/>
          <w:b/>
          <w:bCs/>
          <w:color w:val="auto"/>
          <w:kern w:val="2"/>
          <w:sz w:val="24"/>
          <w:szCs w:val="28"/>
          <w:highlight w:val="none"/>
          <w:lang w:val="en-US" w:eastAsia="zh-CN" w:bidi="ar-SA"/>
        </w:rPr>
        <w:t>35.质疑</w:t>
      </w:r>
      <w:bookmarkEnd w:id="437"/>
      <w:bookmarkEnd w:id="438"/>
      <w:bookmarkEnd w:id="439"/>
      <w:bookmarkEnd w:id="440"/>
      <w:bookmarkEnd w:id="441"/>
      <w:bookmarkEnd w:id="442"/>
      <w:bookmarkEnd w:id="443"/>
    </w:p>
    <w:p w14:paraId="097AA162">
      <w:pPr>
        <w:pStyle w:val="38"/>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eastAsia="宋体"/>
          <w:color w:val="auto"/>
          <w:sz w:val="24"/>
          <w:highlight w:val="none"/>
        </w:rPr>
        <w:t>3</w:t>
      </w:r>
      <w:r>
        <w:rPr>
          <w:rFonts w:hint="eastAsia" w:eastAsia="宋体"/>
          <w:color w:val="auto"/>
          <w:sz w:val="24"/>
          <w:highlight w:val="none"/>
          <w:lang w:val="en-US" w:eastAsia="zh-CN"/>
        </w:rPr>
        <w:t>5</w:t>
      </w:r>
      <w:r>
        <w:rPr>
          <w:rFonts w:hint="eastAsia" w:eastAsia="宋体"/>
          <w:color w:val="auto"/>
          <w:sz w:val="24"/>
          <w:highlight w:val="none"/>
        </w:rPr>
        <w:t>.1</w:t>
      </w:r>
      <w:r>
        <w:rPr>
          <w:rFonts w:hint="eastAsia" w:eastAsia="宋体"/>
          <w:color w:val="auto"/>
          <w:sz w:val="24"/>
          <w:highlight w:val="none"/>
          <w:lang w:eastAsia="zh-CN"/>
        </w:rPr>
        <w:t>投标人</w:t>
      </w:r>
      <w:r>
        <w:rPr>
          <w:rFonts w:hint="eastAsia" w:eastAsia="宋体"/>
          <w:color w:val="auto"/>
          <w:sz w:val="24"/>
          <w:highlight w:val="none"/>
        </w:rPr>
        <w:t>认为采购文件、采购过程、中标结果使自己的权益受到损害的，可以在知道或者应知其权益受到损害之日起7个工作日内，以书面形式向采购人、采购代理机构提出质疑</w:t>
      </w:r>
      <w:r>
        <w:rPr>
          <w:rFonts w:hint="eastAsia" w:eastAsia="宋体"/>
          <w:color w:val="auto"/>
          <w:sz w:val="24"/>
          <w:highlight w:val="none"/>
          <w:lang w:eastAsia="zh-CN"/>
        </w:rPr>
        <w:t>，</w:t>
      </w:r>
      <w:r>
        <w:rPr>
          <w:rFonts w:hint="eastAsia" w:eastAsia="宋体"/>
          <w:color w:val="auto"/>
          <w:sz w:val="24"/>
          <w:highlight w:val="none"/>
          <w:lang w:val="en-US" w:eastAsia="zh-CN"/>
        </w:rPr>
        <w:t>详见“投标人须知前附表”</w:t>
      </w:r>
      <w:r>
        <w:rPr>
          <w:rFonts w:hint="eastAsia" w:eastAsia="宋体"/>
          <w:color w:val="auto"/>
          <w:sz w:val="24"/>
          <w:highlight w:val="none"/>
        </w:rPr>
        <w:t>。</w:t>
      </w:r>
      <w:r>
        <w:rPr>
          <w:rFonts w:hint="eastAsia" w:eastAsia="宋体"/>
          <w:color w:val="auto"/>
          <w:sz w:val="24"/>
          <w:highlight w:val="none"/>
          <w:lang w:eastAsia="zh-CN"/>
        </w:rPr>
        <w:t>投标人</w:t>
      </w:r>
      <w:r>
        <w:rPr>
          <w:rFonts w:hint="eastAsia" w:eastAsia="宋体"/>
          <w:color w:val="auto"/>
          <w:sz w:val="24"/>
          <w:highlight w:val="none"/>
        </w:rPr>
        <w:t>在法定质疑期内一次性提出针对同一采购程序环节的质疑。</w:t>
      </w:r>
    </w:p>
    <w:p w14:paraId="35972B93">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3</w:t>
      </w:r>
      <w:r>
        <w:rPr>
          <w:rFonts w:hint="eastAsia" w:eastAsia="宋体"/>
          <w:color w:val="auto"/>
          <w:sz w:val="24"/>
          <w:highlight w:val="none"/>
          <w:lang w:val="en-US" w:eastAsia="zh-CN"/>
        </w:rPr>
        <w:t>5</w:t>
      </w:r>
      <w:r>
        <w:rPr>
          <w:rFonts w:hint="eastAsia" w:eastAsia="宋体"/>
          <w:color w:val="auto"/>
          <w:sz w:val="24"/>
          <w:highlight w:val="none"/>
        </w:rPr>
        <w:t>.2提出质疑的</w:t>
      </w:r>
      <w:r>
        <w:rPr>
          <w:rFonts w:hint="eastAsia" w:eastAsia="宋体"/>
          <w:color w:val="auto"/>
          <w:sz w:val="24"/>
          <w:highlight w:val="none"/>
          <w:lang w:eastAsia="zh-CN"/>
        </w:rPr>
        <w:t>投标人</w:t>
      </w:r>
      <w:r>
        <w:rPr>
          <w:rFonts w:hint="eastAsia" w:eastAsia="宋体"/>
          <w:color w:val="auto"/>
          <w:sz w:val="24"/>
          <w:highlight w:val="none"/>
        </w:rPr>
        <w:t>（以下简称质疑</w:t>
      </w:r>
      <w:r>
        <w:rPr>
          <w:rFonts w:hint="eastAsia" w:eastAsia="宋体"/>
          <w:color w:val="auto"/>
          <w:sz w:val="24"/>
          <w:highlight w:val="none"/>
          <w:lang w:eastAsia="zh-CN"/>
        </w:rPr>
        <w:t>投标人</w:t>
      </w:r>
      <w:r>
        <w:rPr>
          <w:rFonts w:hint="eastAsia" w:eastAsia="宋体"/>
          <w:color w:val="auto"/>
          <w:sz w:val="24"/>
          <w:highlight w:val="none"/>
        </w:rPr>
        <w:t>）应当是参与所质疑项目采购活动的</w:t>
      </w:r>
      <w:r>
        <w:rPr>
          <w:rFonts w:hint="eastAsia" w:eastAsia="宋体"/>
          <w:color w:val="auto"/>
          <w:sz w:val="24"/>
          <w:highlight w:val="none"/>
          <w:lang w:eastAsia="zh-CN"/>
        </w:rPr>
        <w:t>投标人</w:t>
      </w:r>
      <w:r>
        <w:rPr>
          <w:rFonts w:hint="eastAsia" w:eastAsia="宋体"/>
          <w:color w:val="auto"/>
          <w:sz w:val="24"/>
          <w:highlight w:val="none"/>
        </w:rPr>
        <w:t>。</w:t>
      </w:r>
    </w:p>
    <w:p w14:paraId="6503DC74">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35.3</w:t>
      </w:r>
      <w:r>
        <w:rPr>
          <w:rFonts w:hint="eastAsia" w:eastAsia="宋体"/>
          <w:color w:val="auto"/>
          <w:sz w:val="24"/>
          <w:highlight w:val="none"/>
        </w:rPr>
        <w:t>潜在</w:t>
      </w:r>
      <w:r>
        <w:rPr>
          <w:rFonts w:hint="eastAsia" w:eastAsia="宋体"/>
          <w:color w:val="auto"/>
          <w:sz w:val="24"/>
          <w:highlight w:val="none"/>
          <w:lang w:eastAsia="zh-CN"/>
        </w:rPr>
        <w:t>投标人</w:t>
      </w:r>
      <w:r>
        <w:rPr>
          <w:rFonts w:hint="eastAsia" w:eastAsia="宋体"/>
          <w:color w:val="auto"/>
          <w:sz w:val="24"/>
          <w:highlight w:val="none"/>
        </w:rPr>
        <w:t>已依法获取其可质疑的采购文件的，可以对该文件提出质疑。对采购文件提出质疑的，应当在获取采购文件或者采购文件公告期限届满之日起7个工作日内提出。</w:t>
      </w:r>
    </w:p>
    <w:p w14:paraId="7A916D67">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35.4</w:t>
      </w:r>
      <w:r>
        <w:rPr>
          <w:rFonts w:hint="eastAsia" w:eastAsia="宋体"/>
          <w:color w:val="auto"/>
          <w:sz w:val="24"/>
          <w:highlight w:val="none"/>
          <w:lang w:eastAsia="zh-CN"/>
        </w:rPr>
        <w:t>投标人</w:t>
      </w:r>
      <w:r>
        <w:rPr>
          <w:rFonts w:hint="eastAsia" w:eastAsia="宋体"/>
          <w:color w:val="auto"/>
          <w:sz w:val="24"/>
          <w:highlight w:val="none"/>
        </w:rPr>
        <w:t>提出质疑应当提交质疑函和必要的证明材料。质疑函应当包括下列内容：</w:t>
      </w:r>
    </w:p>
    <w:p w14:paraId="57C1F480">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1</w:t>
      </w:r>
      <w:r>
        <w:rPr>
          <w:rFonts w:hint="eastAsia" w:eastAsia="宋体"/>
          <w:color w:val="auto"/>
          <w:sz w:val="24"/>
          <w:highlight w:val="none"/>
        </w:rPr>
        <w:t>）</w:t>
      </w:r>
      <w:r>
        <w:rPr>
          <w:rFonts w:hint="eastAsia" w:eastAsia="宋体"/>
          <w:color w:val="auto"/>
          <w:sz w:val="24"/>
          <w:highlight w:val="none"/>
          <w:lang w:eastAsia="zh-CN"/>
        </w:rPr>
        <w:t>投标人</w:t>
      </w:r>
      <w:r>
        <w:rPr>
          <w:rFonts w:hint="eastAsia" w:eastAsia="宋体"/>
          <w:color w:val="auto"/>
          <w:sz w:val="24"/>
          <w:highlight w:val="none"/>
        </w:rPr>
        <w:t>的姓名或者名称、地址、邮编、联系人及联系电话；</w:t>
      </w:r>
    </w:p>
    <w:p w14:paraId="2B1F4E61">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2</w:t>
      </w:r>
      <w:r>
        <w:rPr>
          <w:rFonts w:hint="eastAsia" w:eastAsia="宋体"/>
          <w:color w:val="auto"/>
          <w:sz w:val="24"/>
          <w:highlight w:val="none"/>
        </w:rPr>
        <w:t>）质疑项目的名称、</w:t>
      </w:r>
      <w:r>
        <w:rPr>
          <w:rFonts w:hint="eastAsia" w:eastAsia="宋体"/>
          <w:color w:val="auto"/>
          <w:sz w:val="24"/>
          <w:highlight w:val="none"/>
          <w:lang w:val="en-US" w:eastAsia="zh-CN"/>
        </w:rPr>
        <w:t>项目</w:t>
      </w:r>
      <w:r>
        <w:rPr>
          <w:rFonts w:hint="eastAsia" w:eastAsia="宋体"/>
          <w:color w:val="auto"/>
          <w:sz w:val="24"/>
          <w:highlight w:val="none"/>
        </w:rPr>
        <w:t>编号</w:t>
      </w:r>
      <w:r>
        <w:rPr>
          <w:rFonts w:hint="eastAsia" w:eastAsia="宋体"/>
          <w:color w:val="auto"/>
          <w:sz w:val="24"/>
          <w:highlight w:val="none"/>
          <w:lang w:val="en-US" w:eastAsia="zh-CN"/>
        </w:rPr>
        <w:t>/包号</w:t>
      </w:r>
      <w:r>
        <w:rPr>
          <w:rFonts w:hint="eastAsia" w:eastAsia="宋体"/>
          <w:color w:val="auto"/>
          <w:sz w:val="24"/>
          <w:highlight w:val="none"/>
        </w:rPr>
        <w:t>；</w:t>
      </w:r>
    </w:p>
    <w:p w14:paraId="1AA8BB74">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3</w:t>
      </w:r>
      <w:r>
        <w:rPr>
          <w:rFonts w:hint="eastAsia" w:eastAsia="宋体"/>
          <w:color w:val="auto"/>
          <w:sz w:val="24"/>
          <w:highlight w:val="none"/>
        </w:rPr>
        <w:t>）具体、明确的质疑事项和与质疑事项相关的请求；</w:t>
      </w:r>
    </w:p>
    <w:p w14:paraId="6456E8B1">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4</w:t>
      </w:r>
      <w:r>
        <w:rPr>
          <w:rFonts w:hint="eastAsia" w:eastAsia="宋体"/>
          <w:color w:val="auto"/>
          <w:sz w:val="24"/>
          <w:highlight w:val="none"/>
        </w:rPr>
        <w:t>）事实依据；</w:t>
      </w:r>
    </w:p>
    <w:p w14:paraId="4D032ABB">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5</w:t>
      </w:r>
      <w:r>
        <w:rPr>
          <w:rFonts w:hint="eastAsia" w:eastAsia="宋体"/>
          <w:color w:val="auto"/>
          <w:sz w:val="24"/>
          <w:highlight w:val="none"/>
        </w:rPr>
        <w:t>）必要的法律依据；</w:t>
      </w:r>
    </w:p>
    <w:p w14:paraId="2E14DE4D">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6</w:t>
      </w:r>
      <w:r>
        <w:rPr>
          <w:rFonts w:hint="eastAsia" w:eastAsia="宋体"/>
          <w:color w:val="auto"/>
          <w:sz w:val="24"/>
          <w:highlight w:val="none"/>
        </w:rPr>
        <w:t>）提出质疑的日期。</w:t>
      </w:r>
    </w:p>
    <w:p w14:paraId="553B627B">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lang w:eastAsia="zh-CN"/>
        </w:rPr>
        <w:t>投标人</w:t>
      </w:r>
      <w:r>
        <w:rPr>
          <w:rFonts w:hint="eastAsia" w:eastAsia="宋体"/>
          <w:color w:val="auto"/>
          <w:sz w:val="24"/>
          <w:highlight w:val="none"/>
        </w:rPr>
        <w:t>为自然人的，应当由本人签字；</w:t>
      </w:r>
      <w:r>
        <w:rPr>
          <w:rFonts w:hint="eastAsia" w:eastAsia="宋体"/>
          <w:color w:val="auto"/>
          <w:sz w:val="24"/>
          <w:highlight w:val="none"/>
          <w:lang w:eastAsia="zh-CN"/>
        </w:rPr>
        <w:t>投标人</w:t>
      </w:r>
      <w:r>
        <w:rPr>
          <w:rFonts w:hint="eastAsia" w:eastAsia="宋体"/>
          <w:color w:val="auto"/>
          <w:sz w:val="24"/>
          <w:highlight w:val="none"/>
        </w:rPr>
        <w:t>为法人或者其他组织的，应当由法定代表人、主要负责人，或者其授权代表签字或者盖章，并加盖公章。</w:t>
      </w:r>
    </w:p>
    <w:p w14:paraId="5F1352A8">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3</w:t>
      </w:r>
      <w:r>
        <w:rPr>
          <w:rFonts w:hint="eastAsia" w:eastAsia="宋体"/>
          <w:color w:val="auto"/>
          <w:sz w:val="24"/>
          <w:highlight w:val="none"/>
          <w:lang w:val="en-US" w:eastAsia="zh-CN"/>
        </w:rPr>
        <w:t>5</w:t>
      </w:r>
      <w:r>
        <w:rPr>
          <w:rFonts w:hint="eastAsia" w:eastAsia="宋体"/>
          <w:color w:val="auto"/>
          <w:sz w:val="24"/>
          <w:highlight w:val="none"/>
        </w:rPr>
        <w:t>.5质疑函不符合上述要求的，采购人或代理机构应书面告知具体事项，质疑人应当按要求进行修改或补充，并在质疑有效期限内提交。</w:t>
      </w:r>
    </w:p>
    <w:p w14:paraId="4A4B9243">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r>
        <w:rPr>
          <w:rFonts w:hint="eastAsia" w:eastAsia="宋体"/>
          <w:snapToGrid w:val="0"/>
          <w:color w:val="auto"/>
          <w:sz w:val="24"/>
          <w:highlight w:val="none"/>
        </w:rPr>
        <w:t>3</w:t>
      </w:r>
      <w:r>
        <w:rPr>
          <w:rFonts w:hint="eastAsia" w:eastAsia="宋体"/>
          <w:snapToGrid w:val="0"/>
          <w:color w:val="auto"/>
          <w:sz w:val="24"/>
          <w:highlight w:val="none"/>
          <w:lang w:val="en-US" w:eastAsia="zh-CN"/>
        </w:rPr>
        <w:t>5</w:t>
      </w:r>
      <w:r>
        <w:rPr>
          <w:rFonts w:hint="eastAsia" w:eastAsia="宋体"/>
          <w:snapToGrid w:val="0"/>
          <w:color w:val="auto"/>
          <w:sz w:val="24"/>
          <w:highlight w:val="none"/>
        </w:rPr>
        <w:t>.</w:t>
      </w:r>
      <w:r>
        <w:rPr>
          <w:rFonts w:hint="eastAsia" w:eastAsia="宋体"/>
          <w:snapToGrid w:val="0"/>
          <w:color w:val="auto"/>
          <w:sz w:val="24"/>
          <w:highlight w:val="none"/>
          <w:lang w:val="en-US" w:eastAsia="zh-CN"/>
        </w:rPr>
        <w:t>6</w:t>
      </w:r>
      <w:r>
        <w:rPr>
          <w:rFonts w:hint="eastAsia" w:eastAsia="宋体"/>
          <w:snapToGrid w:val="0"/>
          <w:color w:val="auto"/>
          <w:sz w:val="24"/>
          <w:highlight w:val="none"/>
        </w:rPr>
        <w:t>投标人进行虚假和恶意</w:t>
      </w:r>
      <w:r>
        <w:rPr>
          <w:rFonts w:hint="eastAsia" w:eastAsia="宋体"/>
          <w:snapToGrid w:val="0"/>
          <w:color w:val="auto"/>
          <w:sz w:val="24"/>
          <w:highlight w:val="none"/>
          <w:lang w:val="en-US" w:eastAsia="zh-CN"/>
        </w:rPr>
        <w:t>质疑投诉</w:t>
      </w:r>
      <w:r>
        <w:rPr>
          <w:rFonts w:hint="eastAsia" w:eastAsia="宋体"/>
          <w:snapToGrid w:val="0"/>
          <w:color w:val="auto"/>
          <w:sz w:val="24"/>
          <w:highlight w:val="none"/>
        </w:rPr>
        <w:t>的，采购代理机构将提请有关部门将其列入不良记录名单，在一至三年内禁止参加政府采购活动，并将处理决定在相关政府采购媒体上公布。</w:t>
      </w:r>
    </w:p>
    <w:p w14:paraId="3E72DE8B">
      <w:pPr>
        <w:pStyle w:val="38"/>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35.7</w:t>
      </w:r>
      <w:r>
        <w:rPr>
          <w:rFonts w:hint="eastAsia" w:eastAsia="宋体"/>
          <w:color w:val="auto"/>
          <w:sz w:val="24"/>
          <w:highlight w:val="none"/>
        </w:rPr>
        <w:t>质疑函</w:t>
      </w:r>
      <w:r>
        <w:rPr>
          <w:rFonts w:hint="eastAsia" w:eastAsia="宋体"/>
          <w:color w:val="auto"/>
          <w:sz w:val="24"/>
          <w:highlight w:val="none"/>
          <w:lang w:val="en-US" w:eastAsia="zh-CN"/>
        </w:rPr>
        <w:t>应当使用中文，并采用财政部门制定的范本。</w:t>
      </w:r>
    </w:p>
    <w:p w14:paraId="57BB856E">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44" w:name="_Toc26869"/>
      <w:bookmarkStart w:id="445" w:name="_Toc163492868"/>
      <w:bookmarkStart w:id="446" w:name="_Toc21790"/>
      <w:bookmarkStart w:id="447" w:name="_Toc28277"/>
      <w:bookmarkStart w:id="448" w:name="_Toc140132801"/>
      <w:bookmarkStart w:id="449" w:name="_Toc13773"/>
      <w:bookmarkStart w:id="450" w:name="_Toc2311"/>
      <w:r>
        <w:rPr>
          <w:rFonts w:hint="eastAsia" w:ascii="宋体" w:hAnsi="宋体" w:eastAsia="宋体" w:cs="宋体"/>
          <w:b/>
          <w:bCs/>
          <w:color w:val="auto"/>
          <w:kern w:val="2"/>
          <w:sz w:val="24"/>
          <w:szCs w:val="28"/>
          <w:highlight w:val="none"/>
          <w:lang w:val="en-US" w:eastAsia="zh-CN" w:bidi="ar-SA"/>
        </w:rPr>
        <w:t>36.质疑答复</w:t>
      </w:r>
      <w:bookmarkEnd w:id="444"/>
      <w:bookmarkEnd w:id="445"/>
      <w:bookmarkEnd w:id="446"/>
      <w:bookmarkEnd w:id="447"/>
      <w:bookmarkEnd w:id="448"/>
      <w:bookmarkEnd w:id="449"/>
      <w:bookmarkEnd w:id="450"/>
    </w:p>
    <w:p w14:paraId="43D7F91D">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3</w:t>
      </w:r>
      <w:r>
        <w:rPr>
          <w:rFonts w:hint="eastAsia" w:eastAsia="宋体"/>
          <w:color w:val="auto"/>
          <w:sz w:val="24"/>
          <w:highlight w:val="none"/>
          <w:lang w:val="en-US" w:eastAsia="zh-CN"/>
        </w:rPr>
        <w:t>6</w:t>
      </w:r>
      <w:r>
        <w:rPr>
          <w:rFonts w:hint="eastAsia" w:eastAsia="宋体"/>
          <w:color w:val="auto"/>
          <w:sz w:val="24"/>
          <w:highlight w:val="none"/>
        </w:rPr>
        <w:t>.1采购人、采购代理机构不得拒收质疑</w:t>
      </w:r>
      <w:r>
        <w:rPr>
          <w:rFonts w:hint="eastAsia" w:eastAsia="宋体"/>
          <w:color w:val="auto"/>
          <w:sz w:val="24"/>
          <w:highlight w:val="none"/>
          <w:lang w:eastAsia="zh-CN"/>
        </w:rPr>
        <w:t>投标人</w:t>
      </w:r>
      <w:r>
        <w:rPr>
          <w:rFonts w:hint="eastAsia" w:eastAsia="宋体"/>
          <w:color w:val="auto"/>
          <w:sz w:val="24"/>
          <w:highlight w:val="none"/>
        </w:rPr>
        <w:t>在法定质疑期内发出的质疑函，应当在收到质疑函后7个工作日内作出答复，并以书面形式通知质疑</w:t>
      </w:r>
      <w:r>
        <w:rPr>
          <w:rFonts w:hint="eastAsia" w:eastAsia="宋体"/>
          <w:color w:val="auto"/>
          <w:sz w:val="24"/>
          <w:highlight w:val="none"/>
          <w:lang w:eastAsia="zh-CN"/>
        </w:rPr>
        <w:t>投标人</w:t>
      </w:r>
      <w:r>
        <w:rPr>
          <w:rFonts w:hint="eastAsia" w:eastAsia="宋体"/>
          <w:color w:val="auto"/>
          <w:sz w:val="24"/>
          <w:highlight w:val="none"/>
        </w:rPr>
        <w:t>和其他有关</w:t>
      </w:r>
      <w:r>
        <w:rPr>
          <w:rFonts w:hint="eastAsia" w:eastAsia="宋体"/>
          <w:color w:val="auto"/>
          <w:sz w:val="24"/>
          <w:highlight w:val="none"/>
          <w:lang w:eastAsia="zh-CN"/>
        </w:rPr>
        <w:t>投标人</w:t>
      </w:r>
      <w:r>
        <w:rPr>
          <w:rFonts w:hint="eastAsia" w:eastAsia="宋体"/>
          <w:color w:val="auto"/>
          <w:sz w:val="24"/>
          <w:highlight w:val="none"/>
        </w:rPr>
        <w:t>。</w:t>
      </w:r>
    </w:p>
    <w:p w14:paraId="6776834F">
      <w:pPr>
        <w:pStyle w:val="38"/>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hint="eastAsia" w:eastAsia="宋体"/>
          <w:color w:val="auto"/>
          <w:sz w:val="24"/>
          <w:highlight w:val="none"/>
          <w:lang w:val="en-US" w:eastAsia="zh-CN"/>
        </w:rPr>
        <w:t>36.2投标人对评审过程、中标结果提出质疑的，采购人、采购代理机构可以组织原评标委员会协助答复质疑。</w:t>
      </w:r>
    </w:p>
    <w:p w14:paraId="14E02AAA">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bookmarkStart w:id="451" w:name="_Toc140132802"/>
      <w:bookmarkStart w:id="452" w:name="_Toc163492869"/>
      <w:r>
        <w:rPr>
          <w:rFonts w:hint="eastAsia" w:eastAsia="宋体"/>
          <w:color w:val="auto"/>
          <w:sz w:val="24"/>
          <w:highlight w:val="none"/>
          <w:lang w:val="zh-CN" w:eastAsia="zh-CN"/>
        </w:rPr>
        <w:t>质疑答复应当包括下列内容：</w:t>
      </w:r>
    </w:p>
    <w:p w14:paraId="457CAA68">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1</w:t>
      </w:r>
      <w:r>
        <w:rPr>
          <w:rFonts w:hint="eastAsia" w:eastAsia="宋体"/>
          <w:color w:val="auto"/>
          <w:sz w:val="24"/>
          <w:highlight w:val="none"/>
          <w:lang w:val="zh-CN" w:eastAsia="zh-CN"/>
        </w:rPr>
        <w:t>）质疑投标人的姓名或者名称；</w:t>
      </w:r>
    </w:p>
    <w:p w14:paraId="462FCFC0">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2</w:t>
      </w:r>
      <w:r>
        <w:rPr>
          <w:rFonts w:hint="eastAsia" w:eastAsia="宋体"/>
          <w:color w:val="auto"/>
          <w:sz w:val="24"/>
          <w:highlight w:val="none"/>
          <w:lang w:val="zh-CN" w:eastAsia="zh-CN"/>
        </w:rPr>
        <w:t>）收到质疑函的日期、质疑项目名称及</w:t>
      </w:r>
      <w:r>
        <w:rPr>
          <w:rFonts w:hint="eastAsia" w:eastAsia="宋体"/>
          <w:color w:val="auto"/>
          <w:sz w:val="24"/>
          <w:highlight w:val="none"/>
          <w:lang w:val="en-US" w:eastAsia="zh-CN"/>
        </w:rPr>
        <w:t>项目</w:t>
      </w:r>
      <w:r>
        <w:rPr>
          <w:rFonts w:hint="eastAsia" w:eastAsia="宋体"/>
          <w:color w:val="auto"/>
          <w:sz w:val="24"/>
          <w:highlight w:val="none"/>
          <w:lang w:val="zh-CN" w:eastAsia="zh-CN"/>
        </w:rPr>
        <w:t>编号/包号；</w:t>
      </w:r>
    </w:p>
    <w:p w14:paraId="18D72157">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3</w:t>
      </w:r>
      <w:r>
        <w:rPr>
          <w:rFonts w:hint="eastAsia" w:eastAsia="宋体"/>
          <w:color w:val="auto"/>
          <w:sz w:val="24"/>
          <w:highlight w:val="none"/>
          <w:lang w:val="zh-CN" w:eastAsia="zh-CN"/>
        </w:rPr>
        <w:t>）质疑事项、质疑答复的具体内容、事实依据和法律依据；</w:t>
      </w:r>
    </w:p>
    <w:p w14:paraId="416368F5">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4</w:t>
      </w:r>
      <w:r>
        <w:rPr>
          <w:rFonts w:hint="eastAsia" w:eastAsia="宋体"/>
          <w:color w:val="auto"/>
          <w:sz w:val="24"/>
          <w:highlight w:val="none"/>
          <w:lang w:val="zh-CN" w:eastAsia="zh-CN"/>
        </w:rPr>
        <w:t>）告知质疑投标人依法投诉的权利；</w:t>
      </w:r>
    </w:p>
    <w:p w14:paraId="36EE7969">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5</w:t>
      </w:r>
      <w:r>
        <w:rPr>
          <w:rFonts w:hint="eastAsia" w:eastAsia="宋体"/>
          <w:color w:val="auto"/>
          <w:sz w:val="24"/>
          <w:highlight w:val="none"/>
          <w:lang w:val="zh-CN" w:eastAsia="zh-CN"/>
        </w:rPr>
        <w:t>）质疑答复人名称；</w:t>
      </w:r>
    </w:p>
    <w:p w14:paraId="7E632C0C">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6</w:t>
      </w:r>
      <w:r>
        <w:rPr>
          <w:rFonts w:hint="eastAsia" w:eastAsia="宋体"/>
          <w:color w:val="auto"/>
          <w:sz w:val="24"/>
          <w:highlight w:val="none"/>
          <w:lang w:val="zh-CN" w:eastAsia="zh-CN"/>
        </w:rPr>
        <w:t>）答复质疑的日期。</w:t>
      </w:r>
    </w:p>
    <w:p w14:paraId="56A5E1E9">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质疑答复的内容不得涉及商业秘密。</w:t>
      </w:r>
    </w:p>
    <w:p w14:paraId="6D6B407C">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53" w:name="_Toc13357"/>
      <w:bookmarkStart w:id="454" w:name="_Toc11920"/>
      <w:bookmarkStart w:id="455" w:name="_Toc28243"/>
      <w:bookmarkStart w:id="456" w:name="_Toc32321"/>
      <w:bookmarkStart w:id="457" w:name="_Toc32007"/>
      <w:r>
        <w:rPr>
          <w:rFonts w:hint="eastAsia" w:ascii="宋体" w:hAnsi="宋体" w:eastAsia="宋体" w:cs="宋体"/>
          <w:b/>
          <w:bCs/>
          <w:color w:val="auto"/>
          <w:kern w:val="2"/>
          <w:sz w:val="24"/>
          <w:szCs w:val="28"/>
          <w:highlight w:val="none"/>
          <w:lang w:val="en-US" w:eastAsia="zh-CN" w:bidi="ar-SA"/>
        </w:rPr>
        <w:t>37.投诉</w:t>
      </w:r>
      <w:bookmarkEnd w:id="451"/>
      <w:bookmarkEnd w:id="452"/>
      <w:bookmarkEnd w:id="453"/>
      <w:bookmarkEnd w:id="454"/>
      <w:bookmarkEnd w:id="455"/>
      <w:bookmarkEnd w:id="456"/>
      <w:bookmarkEnd w:id="457"/>
    </w:p>
    <w:p w14:paraId="5BD0CD3B">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37.1</w:t>
      </w:r>
      <w:r>
        <w:rPr>
          <w:rFonts w:hint="eastAsia" w:eastAsia="宋体"/>
          <w:color w:val="auto"/>
          <w:sz w:val="24"/>
          <w:highlight w:val="none"/>
        </w:rPr>
        <w:t>质疑</w:t>
      </w:r>
      <w:r>
        <w:rPr>
          <w:rFonts w:hint="eastAsia" w:eastAsia="宋体"/>
          <w:color w:val="auto"/>
          <w:sz w:val="24"/>
          <w:highlight w:val="none"/>
          <w:lang w:eastAsia="zh-CN"/>
        </w:rPr>
        <w:t>投标人</w:t>
      </w:r>
      <w:r>
        <w:rPr>
          <w:rFonts w:hint="eastAsia" w:eastAsia="宋体"/>
          <w:color w:val="auto"/>
          <w:sz w:val="24"/>
          <w:highlight w:val="none"/>
        </w:rPr>
        <w:t>对采购人、采购代理机构的答复不满意，或者采购人、采购代理机构未在规定时间内作出答复的，可以在答复期满后15个工作日内向</w:t>
      </w:r>
      <w:r>
        <w:rPr>
          <w:rFonts w:hint="eastAsia" w:eastAsia="宋体"/>
          <w:color w:val="auto"/>
          <w:sz w:val="24"/>
          <w:highlight w:val="none"/>
          <w:lang w:val="en-US" w:eastAsia="zh-CN"/>
        </w:rPr>
        <w:t>同级政府采购监督管理部门</w:t>
      </w:r>
      <w:r>
        <w:rPr>
          <w:rFonts w:hint="eastAsia" w:eastAsia="宋体"/>
          <w:color w:val="auto"/>
          <w:sz w:val="24"/>
          <w:highlight w:val="none"/>
        </w:rPr>
        <w:t>提起投诉。</w:t>
      </w:r>
    </w:p>
    <w:p w14:paraId="348027D2">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37.2</w:t>
      </w:r>
      <w:r>
        <w:rPr>
          <w:rFonts w:hint="eastAsia" w:eastAsia="宋体"/>
          <w:color w:val="auto"/>
          <w:sz w:val="24"/>
          <w:highlight w:val="none"/>
        </w:rPr>
        <w:t>投诉人投诉时,应当提交投诉书和必要的证明材料，并按照被投诉采购人、采购代理机构（以下简称被投诉人）和与投诉事项有关的</w:t>
      </w:r>
      <w:r>
        <w:rPr>
          <w:rFonts w:hint="eastAsia" w:eastAsia="宋体"/>
          <w:color w:val="auto"/>
          <w:sz w:val="24"/>
          <w:highlight w:val="none"/>
          <w:lang w:eastAsia="zh-CN"/>
        </w:rPr>
        <w:t>投标人</w:t>
      </w:r>
      <w:r>
        <w:rPr>
          <w:rFonts w:hint="eastAsia" w:eastAsia="宋体"/>
          <w:color w:val="auto"/>
          <w:sz w:val="24"/>
          <w:highlight w:val="none"/>
        </w:rPr>
        <w:t>数量提供投诉书的副本。投诉书应当包括下列内容：</w:t>
      </w:r>
    </w:p>
    <w:p w14:paraId="057A5A91">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1</w:t>
      </w:r>
      <w:r>
        <w:rPr>
          <w:rFonts w:hint="eastAsia" w:eastAsia="宋体"/>
          <w:color w:val="auto"/>
          <w:sz w:val="24"/>
          <w:highlight w:val="none"/>
        </w:rPr>
        <w:t>）投诉人和被投诉人的姓名或者名称、通讯地址、邮编、联系人及联系电话；</w:t>
      </w:r>
    </w:p>
    <w:p w14:paraId="4B753851">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2</w:t>
      </w:r>
      <w:r>
        <w:rPr>
          <w:rFonts w:hint="eastAsia" w:eastAsia="宋体"/>
          <w:color w:val="auto"/>
          <w:sz w:val="24"/>
          <w:highlight w:val="none"/>
        </w:rPr>
        <w:t>）质疑和质疑答复情况说明及相关证明材料；</w:t>
      </w:r>
    </w:p>
    <w:p w14:paraId="086B0607">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3</w:t>
      </w:r>
      <w:r>
        <w:rPr>
          <w:rFonts w:hint="eastAsia" w:eastAsia="宋体"/>
          <w:color w:val="auto"/>
          <w:sz w:val="24"/>
          <w:highlight w:val="none"/>
        </w:rPr>
        <w:t>）具体、明确的投诉事项和与投诉事项相关的投诉请求；</w:t>
      </w:r>
    </w:p>
    <w:p w14:paraId="78BC80FD">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4</w:t>
      </w:r>
      <w:r>
        <w:rPr>
          <w:rFonts w:hint="eastAsia" w:eastAsia="宋体"/>
          <w:color w:val="auto"/>
          <w:sz w:val="24"/>
          <w:highlight w:val="none"/>
        </w:rPr>
        <w:t>）事实依据；</w:t>
      </w:r>
    </w:p>
    <w:p w14:paraId="2AD666C0">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5</w:t>
      </w:r>
      <w:r>
        <w:rPr>
          <w:rFonts w:hint="eastAsia" w:eastAsia="宋体"/>
          <w:color w:val="auto"/>
          <w:sz w:val="24"/>
          <w:highlight w:val="none"/>
        </w:rPr>
        <w:t>）法律依据；</w:t>
      </w:r>
    </w:p>
    <w:p w14:paraId="28B1919B">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6</w:t>
      </w:r>
      <w:r>
        <w:rPr>
          <w:rFonts w:hint="eastAsia" w:eastAsia="宋体"/>
          <w:color w:val="auto"/>
          <w:sz w:val="24"/>
          <w:highlight w:val="none"/>
        </w:rPr>
        <w:t>）提起投诉的日期。</w:t>
      </w:r>
    </w:p>
    <w:p w14:paraId="29B1C185">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投诉人为自然人的，应当由本人签字；投诉人为法人或者其他组织的，应当由法定代表人、主要负责人，或者其授权代表签字或者盖章，并加盖公章。</w:t>
      </w:r>
    </w:p>
    <w:p w14:paraId="2A3BCE0B">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37.3</w:t>
      </w:r>
      <w:r>
        <w:rPr>
          <w:rFonts w:hint="eastAsia" w:eastAsia="宋体"/>
          <w:color w:val="auto"/>
          <w:sz w:val="24"/>
          <w:highlight w:val="none"/>
          <w:lang w:eastAsia="zh-CN"/>
        </w:rPr>
        <w:t>投标人</w:t>
      </w:r>
      <w:r>
        <w:rPr>
          <w:rFonts w:hint="eastAsia" w:eastAsia="宋体"/>
          <w:color w:val="auto"/>
          <w:sz w:val="24"/>
          <w:highlight w:val="none"/>
          <w:lang w:val="en-US" w:eastAsia="zh-CN"/>
        </w:rPr>
        <w:t>质疑、</w:t>
      </w:r>
      <w:r>
        <w:rPr>
          <w:rFonts w:hint="eastAsia" w:eastAsia="宋体"/>
          <w:color w:val="auto"/>
          <w:sz w:val="24"/>
          <w:highlight w:val="none"/>
        </w:rPr>
        <w:t>投诉</w:t>
      </w:r>
      <w:r>
        <w:rPr>
          <w:rFonts w:hint="eastAsia" w:eastAsia="宋体"/>
          <w:color w:val="auto"/>
          <w:sz w:val="24"/>
          <w:highlight w:val="none"/>
          <w:lang w:val="en-US" w:eastAsia="zh-CN"/>
        </w:rPr>
        <w:t>应当有明确的请求和必要的证明材料</w:t>
      </w:r>
      <w:r>
        <w:rPr>
          <w:rFonts w:hint="eastAsia" w:eastAsia="宋体"/>
          <w:color w:val="auto"/>
          <w:sz w:val="24"/>
          <w:highlight w:val="none"/>
          <w:lang w:eastAsia="zh-CN"/>
        </w:rPr>
        <w:t>。投标人</w:t>
      </w:r>
      <w:r>
        <w:rPr>
          <w:rFonts w:hint="eastAsia" w:eastAsia="宋体"/>
          <w:color w:val="auto"/>
          <w:sz w:val="24"/>
          <w:highlight w:val="none"/>
        </w:rPr>
        <w:t>投诉的事项不得超出</w:t>
      </w:r>
      <w:r>
        <w:rPr>
          <w:rFonts w:hint="eastAsia" w:eastAsia="宋体"/>
          <w:color w:val="auto"/>
          <w:sz w:val="24"/>
          <w:highlight w:val="none"/>
          <w:lang w:val="en-US" w:eastAsia="zh-CN"/>
        </w:rPr>
        <w:t>已</w:t>
      </w:r>
      <w:r>
        <w:rPr>
          <w:rFonts w:hint="eastAsia" w:eastAsia="宋体"/>
          <w:color w:val="auto"/>
          <w:sz w:val="24"/>
          <w:highlight w:val="none"/>
        </w:rPr>
        <w:t>质疑事项的范围，但基于质疑答复内容提出的投诉事项除外。</w:t>
      </w:r>
    </w:p>
    <w:p w14:paraId="4A2CC2E9">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snapToGrid w:val="0"/>
          <w:color w:val="auto"/>
          <w:sz w:val="24"/>
          <w:highlight w:val="none"/>
          <w:lang w:val="en-US" w:eastAsia="zh-CN"/>
        </w:rPr>
        <w:t>37.4</w:t>
      </w:r>
      <w:r>
        <w:rPr>
          <w:rFonts w:hint="eastAsia" w:eastAsia="宋体"/>
          <w:color w:val="auto"/>
          <w:sz w:val="24"/>
          <w:highlight w:val="none"/>
          <w:lang w:val="en-US" w:eastAsia="zh-CN"/>
        </w:rPr>
        <w:t>投诉书应当使用中文，并采用财政部门制定的范本。</w:t>
      </w:r>
    </w:p>
    <w:p w14:paraId="076E00EB">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458" w:name="_Toc140132803"/>
      <w:bookmarkStart w:id="459" w:name="_Toc12918"/>
      <w:bookmarkStart w:id="460" w:name="_Toc3580"/>
      <w:bookmarkStart w:id="461" w:name="_Toc163492870"/>
      <w:bookmarkStart w:id="462" w:name="_Toc30549"/>
      <w:bookmarkStart w:id="463" w:name="_Toc13943"/>
      <w:bookmarkStart w:id="464" w:name="_Toc18525"/>
      <w:bookmarkStart w:id="465" w:name="_Toc155185882"/>
      <w:r>
        <w:rPr>
          <w:rFonts w:hint="eastAsia" w:ascii="宋体" w:hAnsi="宋体" w:eastAsia="宋体" w:cstheme="minorBidi"/>
          <w:b/>
          <w:bCs/>
          <w:color w:val="auto"/>
          <w:kern w:val="2"/>
          <w:sz w:val="24"/>
          <w:szCs w:val="32"/>
          <w:highlight w:val="none"/>
          <w:lang w:val="en-US" w:eastAsia="zh-CN" w:bidi="ar-SA"/>
        </w:rPr>
        <w:t>（十一）采购代理服务费</w:t>
      </w:r>
      <w:bookmarkEnd w:id="458"/>
      <w:bookmarkEnd w:id="459"/>
      <w:bookmarkEnd w:id="460"/>
      <w:bookmarkEnd w:id="461"/>
      <w:bookmarkEnd w:id="462"/>
      <w:bookmarkEnd w:id="463"/>
      <w:bookmarkEnd w:id="464"/>
      <w:bookmarkEnd w:id="465"/>
    </w:p>
    <w:p w14:paraId="3EF5B76A">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66" w:name="_Toc17649"/>
      <w:bookmarkStart w:id="467" w:name="_Toc13299"/>
      <w:bookmarkStart w:id="468" w:name="_Toc27533"/>
      <w:bookmarkStart w:id="469" w:name="_Toc6328"/>
      <w:bookmarkStart w:id="470" w:name="_Toc140132804"/>
      <w:bookmarkStart w:id="471" w:name="_Toc163492871"/>
      <w:bookmarkStart w:id="472" w:name="_Toc30395"/>
      <w:r>
        <w:rPr>
          <w:rFonts w:hint="eastAsia" w:ascii="宋体" w:hAnsi="宋体" w:eastAsia="宋体" w:cs="宋体"/>
          <w:b/>
          <w:bCs/>
          <w:color w:val="auto"/>
          <w:kern w:val="2"/>
          <w:sz w:val="24"/>
          <w:szCs w:val="28"/>
          <w:highlight w:val="none"/>
          <w:lang w:val="en-US" w:eastAsia="zh-CN" w:bidi="ar-SA"/>
        </w:rPr>
        <w:t>38.收取方式和标准</w:t>
      </w:r>
      <w:bookmarkEnd w:id="466"/>
      <w:bookmarkEnd w:id="467"/>
      <w:bookmarkEnd w:id="468"/>
      <w:bookmarkEnd w:id="469"/>
      <w:bookmarkEnd w:id="470"/>
      <w:bookmarkEnd w:id="471"/>
      <w:bookmarkEnd w:id="472"/>
    </w:p>
    <w:p w14:paraId="0FDD9E25">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8</w:t>
      </w:r>
      <w:r>
        <w:rPr>
          <w:rFonts w:hint="eastAsia" w:eastAsia="宋体"/>
          <w:color w:val="auto"/>
          <w:sz w:val="24"/>
          <w:highlight w:val="none"/>
        </w:rPr>
        <w:t>.1采购代理机构按“投标人须知前附表”规定的方式和标准收取采购代理服务费。</w:t>
      </w:r>
    </w:p>
    <w:p w14:paraId="3ED844E1">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473" w:name="_Toc12331"/>
      <w:bookmarkStart w:id="474" w:name="_Toc163492872"/>
      <w:bookmarkStart w:id="475" w:name="_Toc21208"/>
      <w:bookmarkStart w:id="476" w:name="_Toc26936"/>
      <w:bookmarkStart w:id="477" w:name="_Toc155185883"/>
      <w:bookmarkStart w:id="478" w:name="_Toc8195"/>
      <w:bookmarkStart w:id="479" w:name="_Toc4233"/>
      <w:bookmarkStart w:id="480" w:name="_Toc140132805"/>
      <w:r>
        <w:rPr>
          <w:rFonts w:hint="eastAsia" w:ascii="宋体" w:hAnsi="宋体" w:eastAsia="宋体" w:cstheme="minorBidi"/>
          <w:b/>
          <w:bCs/>
          <w:color w:val="auto"/>
          <w:kern w:val="2"/>
          <w:sz w:val="24"/>
          <w:szCs w:val="32"/>
          <w:highlight w:val="none"/>
          <w:lang w:val="en-US" w:eastAsia="zh-CN" w:bidi="ar-SA"/>
        </w:rPr>
        <w:t>（十二）无效投标和废标</w:t>
      </w:r>
      <w:bookmarkEnd w:id="473"/>
      <w:bookmarkEnd w:id="474"/>
      <w:bookmarkEnd w:id="475"/>
      <w:bookmarkEnd w:id="476"/>
      <w:bookmarkEnd w:id="477"/>
      <w:bookmarkEnd w:id="478"/>
      <w:bookmarkEnd w:id="479"/>
      <w:bookmarkEnd w:id="480"/>
    </w:p>
    <w:p w14:paraId="25869235">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81" w:name="_Toc4746"/>
      <w:bookmarkStart w:id="482" w:name="_Toc27690"/>
      <w:bookmarkStart w:id="483" w:name="_Toc2323"/>
      <w:bookmarkStart w:id="484" w:name="_Toc8456"/>
      <w:bookmarkStart w:id="485" w:name="_Toc163492873"/>
      <w:bookmarkStart w:id="486" w:name="_Toc6212"/>
      <w:bookmarkStart w:id="487" w:name="_Toc140132806"/>
      <w:r>
        <w:rPr>
          <w:rFonts w:hint="eastAsia" w:ascii="宋体" w:hAnsi="宋体" w:eastAsia="宋体" w:cs="宋体"/>
          <w:b/>
          <w:bCs/>
          <w:color w:val="auto"/>
          <w:kern w:val="2"/>
          <w:sz w:val="24"/>
          <w:szCs w:val="28"/>
          <w:highlight w:val="none"/>
          <w:lang w:val="en-US" w:eastAsia="zh-CN" w:bidi="ar-SA"/>
        </w:rPr>
        <w:t>39.无效投标</w:t>
      </w:r>
      <w:bookmarkEnd w:id="481"/>
      <w:bookmarkEnd w:id="482"/>
      <w:bookmarkEnd w:id="483"/>
      <w:bookmarkEnd w:id="484"/>
      <w:bookmarkEnd w:id="485"/>
      <w:bookmarkEnd w:id="486"/>
      <w:bookmarkEnd w:id="487"/>
    </w:p>
    <w:p w14:paraId="0EBD1306">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lang w:val="en-US" w:eastAsia="zh-CN"/>
        </w:rPr>
        <w:t>39</w:t>
      </w:r>
      <w:r>
        <w:rPr>
          <w:rFonts w:hint="eastAsia" w:eastAsia="宋体"/>
          <w:color w:val="auto"/>
          <w:sz w:val="24"/>
          <w:highlight w:val="none"/>
        </w:rPr>
        <w:t>.1投标文件存在“第四章</w:t>
      </w:r>
      <w:r>
        <w:rPr>
          <w:rFonts w:hint="eastAsia" w:eastAsia="宋体"/>
          <w:color w:val="auto"/>
          <w:sz w:val="24"/>
          <w:highlight w:val="none"/>
          <w:lang w:val="en-US" w:eastAsia="zh-CN"/>
        </w:rPr>
        <w:t xml:space="preserve"> </w:t>
      </w:r>
      <w:r>
        <w:rPr>
          <w:rFonts w:hint="eastAsia" w:eastAsia="宋体"/>
          <w:color w:val="auto"/>
          <w:sz w:val="24"/>
          <w:highlight w:val="none"/>
        </w:rPr>
        <w:t>资格审查”、“第五章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w:t>
      </w:r>
      <w:r>
        <w:rPr>
          <w:rFonts w:hint="eastAsia" w:eastAsia="宋体"/>
          <w:color w:val="auto"/>
          <w:sz w:val="24"/>
          <w:highlight w:val="none"/>
          <w:lang w:val="en-US" w:eastAsia="zh-CN"/>
        </w:rPr>
        <w:t>及本招标文件</w:t>
      </w:r>
      <w:r>
        <w:rPr>
          <w:rFonts w:hint="eastAsia" w:eastAsia="宋体"/>
          <w:color w:val="auto"/>
          <w:sz w:val="24"/>
          <w:highlight w:val="none"/>
        </w:rPr>
        <w:t>规定的投标无效情形的，其</w:t>
      </w:r>
      <w:r>
        <w:rPr>
          <w:rFonts w:hint="eastAsia" w:eastAsia="宋体"/>
          <w:b/>
          <w:bCs/>
          <w:color w:val="auto"/>
          <w:sz w:val="24"/>
          <w:highlight w:val="none"/>
        </w:rPr>
        <w:t>投标无效</w:t>
      </w:r>
      <w:r>
        <w:rPr>
          <w:rFonts w:hint="eastAsia" w:eastAsia="宋体"/>
          <w:color w:val="auto"/>
          <w:sz w:val="24"/>
          <w:highlight w:val="none"/>
        </w:rPr>
        <w:t>。</w:t>
      </w:r>
    </w:p>
    <w:p w14:paraId="7306E47B">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488" w:name="_Toc15530"/>
      <w:bookmarkStart w:id="489" w:name="_Toc25565"/>
      <w:bookmarkStart w:id="490" w:name="_Toc163492874"/>
      <w:bookmarkStart w:id="491" w:name="_Toc22537"/>
      <w:bookmarkStart w:id="492" w:name="_Toc31646"/>
      <w:bookmarkStart w:id="493" w:name="_Toc31376"/>
      <w:bookmarkStart w:id="494" w:name="_Toc140132807"/>
      <w:r>
        <w:rPr>
          <w:rFonts w:hint="eastAsia" w:ascii="宋体" w:hAnsi="宋体" w:eastAsia="宋体" w:cs="宋体"/>
          <w:b/>
          <w:bCs/>
          <w:color w:val="auto"/>
          <w:kern w:val="2"/>
          <w:sz w:val="24"/>
          <w:szCs w:val="28"/>
          <w:highlight w:val="none"/>
          <w:lang w:val="en-US" w:eastAsia="zh-CN" w:bidi="ar-SA"/>
        </w:rPr>
        <w:t>40.废标</w:t>
      </w:r>
      <w:bookmarkEnd w:id="488"/>
      <w:bookmarkEnd w:id="489"/>
      <w:bookmarkEnd w:id="490"/>
      <w:bookmarkEnd w:id="491"/>
      <w:bookmarkEnd w:id="492"/>
      <w:bookmarkEnd w:id="493"/>
      <w:bookmarkEnd w:id="494"/>
    </w:p>
    <w:p w14:paraId="5BFCDD79">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eastAsia="zh-CN"/>
        </w:rPr>
      </w:pPr>
      <w:r>
        <w:rPr>
          <w:rFonts w:eastAsia="宋体"/>
          <w:color w:val="auto"/>
          <w:sz w:val="24"/>
          <w:highlight w:val="none"/>
        </w:rPr>
        <w:t>4</w:t>
      </w:r>
      <w:r>
        <w:rPr>
          <w:rFonts w:hint="eastAsia" w:eastAsia="宋体"/>
          <w:color w:val="auto"/>
          <w:sz w:val="24"/>
          <w:highlight w:val="none"/>
          <w:lang w:val="en-US" w:eastAsia="zh-CN"/>
        </w:rPr>
        <w:t>0</w:t>
      </w:r>
      <w:r>
        <w:rPr>
          <w:rFonts w:hint="eastAsia" w:eastAsia="宋体"/>
          <w:color w:val="auto"/>
          <w:sz w:val="24"/>
          <w:highlight w:val="none"/>
        </w:rPr>
        <w:t>.1在招标采购中出现有“第五章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w:t>
      </w:r>
      <w:r>
        <w:rPr>
          <w:rFonts w:hint="eastAsia" w:eastAsia="宋体"/>
          <w:color w:val="auto"/>
          <w:sz w:val="24"/>
          <w:highlight w:val="none"/>
          <w:lang w:val="en-US" w:eastAsia="zh-CN"/>
        </w:rPr>
        <w:t>及本招标文件</w:t>
      </w:r>
      <w:r>
        <w:rPr>
          <w:rFonts w:hint="eastAsia" w:eastAsia="宋体"/>
          <w:color w:val="auto"/>
          <w:sz w:val="24"/>
          <w:highlight w:val="none"/>
        </w:rPr>
        <w:t>规定的废标情形的，应予以</w:t>
      </w:r>
      <w:r>
        <w:rPr>
          <w:rFonts w:hint="eastAsia" w:eastAsia="宋体"/>
          <w:b/>
          <w:bCs/>
          <w:color w:val="auto"/>
          <w:sz w:val="24"/>
          <w:highlight w:val="none"/>
        </w:rPr>
        <w:t>废标</w:t>
      </w:r>
      <w:r>
        <w:rPr>
          <w:rFonts w:hint="eastAsia" w:eastAsia="宋体"/>
          <w:color w:val="auto"/>
          <w:sz w:val="24"/>
          <w:highlight w:val="none"/>
          <w:lang w:eastAsia="zh-CN"/>
        </w:rPr>
        <w:t>。</w:t>
      </w:r>
    </w:p>
    <w:p w14:paraId="0C4DEC92">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495" w:name="_Toc140132766"/>
      <w:bookmarkStart w:id="496" w:name="_Toc163492875"/>
      <w:bookmarkStart w:id="497" w:name="_Toc7834"/>
      <w:bookmarkStart w:id="498" w:name="_Toc8342"/>
      <w:bookmarkStart w:id="499" w:name="_Toc21776"/>
      <w:bookmarkStart w:id="500" w:name="_Toc23246"/>
      <w:bookmarkStart w:id="501" w:name="_Toc21919"/>
      <w:bookmarkStart w:id="502" w:name="_Toc140132808"/>
      <w:bookmarkStart w:id="503" w:name="_Toc155185884"/>
      <w:r>
        <w:rPr>
          <w:rFonts w:hint="eastAsia" w:ascii="宋体" w:hAnsi="宋体" w:eastAsia="宋体" w:cstheme="minorBidi"/>
          <w:b/>
          <w:bCs/>
          <w:color w:val="auto"/>
          <w:kern w:val="2"/>
          <w:sz w:val="24"/>
          <w:szCs w:val="32"/>
          <w:highlight w:val="none"/>
          <w:lang w:val="en-US" w:eastAsia="zh-CN" w:bidi="ar-SA"/>
        </w:rPr>
        <w:t>（十三）落实政府采购政策</w:t>
      </w:r>
      <w:bookmarkEnd w:id="495"/>
      <w:bookmarkEnd w:id="496"/>
      <w:r>
        <w:rPr>
          <w:rFonts w:hint="eastAsia" w:ascii="宋体" w:hAnsi="宋体" w:eastAsia="宋体" w:cstheme="minorBidi"/>
          <w:b/>
          <w:bCs/>
          <w:color w:val="auto"/>
          <w:kern w:val="2"/>
          <w:sz w:val="24"/>
          <w:szCs w:val="32"/>
          <w:highlight w:val="none"/>
          <w:lang w:val="en-US" w:eastAsia="zh-CN" w:bidi="ar-SA"/>
        </w:rPr>
        <w:t>（包括但不限于下列具体政策要求）</w:t>
      </w:r>
      <w:bookmarkEnd w:id="497"/>
      <w:bookmarkEnd w:id="498"/>
      <w:bookmarkEnd w:id="499"/>
      <w:bookmarkEnd w:id="500"/>
      <w:bookmarkEnd w:id="501"/>
    </w:p>
    <w:p w14:paraId="5800BCE0">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504" w:name="_Toc3043"/>
      <w:bookmarkStart w:id="505" w:name="_Toc27084"/>
      <w:bookmarkStart w:id="506" w:name="_Toc30437"/>
      <w:bookmarkStart w:id="507" w:name="_Toc20299"/>
      <w:bookmarkStart w:id="508" w:name="_Toc163492876"/>
      <w:bookmarkStart w:id="509" w:name="_Toc9831"/>
      <w:r>
        <w:rPr>
          <w:rFonts w:hint="eastAsia" w:ascii="宋体" w:hAnsi="宋体" w:eastAsia="宋体" w:cs="宋体"/>
          <w:b/>
          <w:bCs/>
          <w:color w:val="auto"/>
          <w:kern w:val="2"/>
          <w:sz w:val="24"/>
          <w:szCs w:val="28"/>
          <w:highlight w:val="none"/>
          <w:lang w:val="en-US" w:eastAsia="zh-CN" w:bidi="ar-SA"/>
        </w:rPr>
        <w:t>41.支持国产和进口产品审批</w:t>
      </w:r>
      <w:bookmarkEnd w:id="504"/>
      <w:bookmarkEnd w:id="505"/>
      <w:bookmarkEnd w:id="506"/>
      <w:bookmarkEnd w:id="507"/>
      <w:bookmarkEnd w:id="508"/>
      <w:bookmarkEnd w:id="509"/>
    </w:p>
    <w:p w14:paraId="26D924DD">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r>
        <w:rPr>
          <w:rFonts w:eastAsia="宋体"/>
          <w:snapToGrid w:val="0"/>
          <w:color w:val="auto"/>
          <w:sz w:val="24"/>
          <w:highlight w:val="none"/>
        </w:rPr>
        <w:t>4</w:t>
      </w:r>
      <w:r>
        <w:rPr>
          <w:rFonts w:hint="eastAsia" w:eastAsia="宋体"/>
          <w:snapToGrid w:val="0"/>
          <w:color w:val="auto"/>
          <w:sz w:val="24"/>
          <w:highlight w:val="none"/>
          <w:lang w:val="en-US" w:eastAsia="zh-CN"/>
        </w:rPr>
        <w:t>1</w:t>
      </w:r>
      <w:r>
        <w:rPr>
          <w:rFonts w:hint="eastAsia" w:eastAsia="宋体"/>
          <w:snapToGrid w:val="0"/>
          <w:color w:val="auto"/>
          <w:sz w:val="24"/>
          <w:highlight w:val="none"/>
        </w:rPr>
        <w:t>.1除“投标人须知前附表”另有规定外，政府采购应当采购本国</w:t>
      </w:r>
      <w:r>
        <w:rPr>
          <w:rFonts w:hint="eastAsia" w:eastAsia="宋体"/>
          <w:snapToGrid w:val="0"/>
          <w:color w:val="auto"/>
          <w:sz w:val="24"/>
          <w:highlight w:val="none"/>
          <w:lang w:val="en-US" w:eastAsia="zh-CN"/>
        </w:rPr>
        <w:t>货物、工程和服务</w:t>
      </w:r>
      <w:r>
        <w:rPr>
          <w:rFonts w:hint="eastAsia" w:eastAsia="宋体"/>
          <w:snapToGrid w:val="0"/>
          <w:color w:val="auto"/>
          <w:sz w:val="24"/>
          <w:highlight w:val="none"/>
        </w:rPr>
        <w:t>，确需采购进口产品的，采购人应当按照</w:t>
      </w:r>
      <w:r>
        <w:rPr>
          <w:rFonts w:hint="eastAsia" w:eastAsia="宋体"/>
          <w:snapToGrid w:val="0"/>
          <w:color w:val="auto"/>
          <w:sz w:val="24"/>
          <w:highlight w:val="none"/>
          <w:lang w:val="en-US" w:eastAsia="zh-CN"/>
        </w:rPr>
        <w:t>《政府采购进口产品管理办法》（财库〔2007〕119 号文）、</w:t>
      </w:r>
      <w:r>
        <w:rPr>
          <w:rFonts w:hint="eastAsia" w:eastAsia="宋体"/>
          <w:snapToGrid w:val="0"/>
          <w:color w:val="auto"/>
          <w:sz w:val="24"/>
          <w:highlight w:val="none"/>
        </w:rPr>
        <w:t>《关于政府采购进口产品管理有关问题的通知》（财办库〔</w:t>
      </w:r>
      <w:r>
        <w:rPr>
          <w:rFonts w:eastAsia="宋体"/>
          <w:snapToGrid w:val="0"/>
          <w:color w:val="auto"/>
          <w:sz w:val="24"/>
          <w:highlight w:val="none"/>
        </w:rPr>
        <w:t>2008〕248号）规定执行（进口产品审批制，科研院所监管部门另有规定的从其规定）。</w:t>
      </w:r>
      <w:r>
        <w:rPr>
          <w:rFonts w:hint="eastAsia" w:eastAsia="宋体"/>
          <w:snapToGrid w:val="0"/>
          <w:color w:val="auto"/>
          <w:sz w:val="24"/>
          <w:highlight w:val="none"/>
        </w:rPr>
        <w:t>项目若涉及采购进口产品的，具体要求详见“第三章</w:t>
      </w:r>
      <w:r>
        <w:rPr>
          <w:rFonts w:eastAsia="宋体"/>
          <w:snapToGrid w:val="0"/>
          <w:color w:val="auto"/>
          <w:sz w:val="24"/>
          <w:highlight w:val="none"/>
        </w:rPr>
        <w:t xml:space="preserve"> 采购需求”</w:t>
      </w:r>
      <w:r>
        <w:rPr>
          <w:rFonts w:hint="eastAsia" w:eastAsia="宋体"/>
          <w:snapToGrid w:val="0"/>
          <w:color w:val="auto"/>
          <w:sz w:val="24"/>
          <w:highlight w:val="none"/>
        </w:rPr>
        <w:t>。</w:t>
      </w:r>
    </w:p>
    <w:p w14:paraId="201F13F9">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41.2进口产品指通过中国海关报关验放进入中国境内且产自关境外的产品，包括已经进入中国境内的进口产品。 </w:t>
      </w:r>
    </w:p>
    <w:p w14:paraId="0C404CE2">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41.3若采购需求中写明允许采购进口产品，投标人应保证所投产品可履行合法报通关手续进入中国关境内。</w:t>
      </w:r>
    </w:p>
    <w:p w14:paraId="50A8DE9A">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41.4若采购需求中未写明允许采购进口产品，如投标人所投产品为进口产品，其投标将被认定为</w:t>
      </w:r>
      <w:r>
        <w:rPr>
          <w:rFonts w:hint="eastAsia" w:eastAsia="宋体"/>
          <w:b/>
          <w:bCs/>
          <w:snapToGrid w:val="0"/>
          <w:color w:val="auto"/>
          <w:sz w:val="24"/>
          <w:highlight w:val="none"/>
          <w:lang w:val="en-US" w:eastAsia="zh-CN"/>
        </w:rPr>
        <w:t>投标无效</w:t>
      </w:r>
      <w:r>
        <w:rPr>
          <w:rFonts w:hint="eastAsia" w:eastAsia="宋体"/>
          <w:snapToGrid w:val="0"/>
          <w:color w:val="auto"/>
          <w:sz w:val="24"/>
          <w:highlight w:val="none"/>
          <w:lang w:val="en-US" w:eastAsia="zh-CN"/>
        </w:rPr>
        <w:t>。</w:t>
      </w:r>
    </w:p>
    <w:p w14:paraId="6764F885">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510" w:name="_Toc6874"/>
      <w:bookmarkStart w:id="511" w:name="_Toc18106"/>
      <w:bookmarkStart w:id="512" w:name="_Toc6934"/>
      <w:bookmarkStart w:id="513" w:name="_Toc163492877"/>
      <w:bookmarkStart w:id="514" w:name="_Toc9595"/>
      <w:bookmarkStart w:id="515" w:name="_Toc31892"/>
      <w:r>
        <w:rPr>
          <w:rFonts w:hint="eastAsia" w:ascii="宋体" w:hAnsi="宋体" w:eastAsia="宋体" w:cs="宋体"/>
          <w:b/>
          <w:bCs/>
          <w:color w:val="auto"/>
          <w:kern w:val="2"/>
          <w:sz w:val="24"/>
          <w:szCs w:val="28"/>
          <w:highlight w:val="none"/>
          <w:lang w:val="en-US" w:eastAsia="zh-CN" w:bidi="ar-SA"/>
        </w:rPr>
        <w:t>42.中小企业、监狱企业及残疾人福利性单位</w:t>
      </w:r>
      <w:bookmarkEnd w:id="510"/>
      <w:bookmarkEnd w:id="511"/>
      <w:bookmarkEnd w:id="512"/>
      <w:bookmarkEnd w:id="513"/>
      <w:bookmarkEnd w:id="514"/>
      <w:bookmarkEnd w:id="515"/>
    </w:p>
    <w:p w14:paraId="6CF3C244">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eastAsia" w:eastAsia="宋体"/>
          <w:snapToGrid w:val="0"/>
          <w:color w:val="auto"/>
          <w:sz w:val="24"/>
          <w:highlight w:val="none"/>
        </w:rPr>
        <w:t>.</w:t>
      </w:r>
      <w:r>
        <w:rPr>
          <w:rFonts w:hint="eastAsia" w:eastAsia="宋体"/>
          <w:snapToGrid w:val="0"/>
          <w:color w:val="auto"/>
          <w:sz w:val="24"/>
          <w:highlight w:val="none"/>
          <w:lang w:val="en-US" w:eastAsia="zh-CN"/>
        </w:rPr>
        <w:t>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w:t>
      </w:r>
      <w:r>
        <w:rPr>
          <w:rFonts w:hint="default" w:eastAsia="宋体"/>
          <w:snapToGrid w:val="0"/>
          <w:color w:val="auto"/>
          <w:sz w:val="24"/>
          <w:highlight w:val="none"/>
          <w:lang w:val="en-US" w:eastAsia="zh-CN"/>
        </w:rPr>
        <w:t>2022</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19 </w:t>
      </w:r>
      <w:r>
        <w:rPr>
          <w:rFonts w:hint="eastAsia" w:eastAsia="宋体"/>
          <w:snapToGrid w:val="0"/>
          <w:color w:val="auto"/>
          <w:sz w:val="24"/>
          <w:highlight w:val="none"/>
          <w:lang w:val="en-US" w:eastAsia="zh-CN"/>
        </w:rPr>
        <w:t>号）、《政府采购促进中小企业发展管理办法》（财库〔</w:t>
      </w:r>
      <w:r>
        <w:rPr>
          <w:rFonts w:hint="default" w:eastAsia="宋体"/>
          <w:snapToGrid w:val="0"/>
          <w:color w:val="auto"/>
          <w:sz w:val="24"/>
          <w:highlight w:val="none"/>
          <w:lang w:val="en-US" w:eastAsia="zh-CN"/>
        </w:rPr>
        <w:t>2020</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46 </w:t>
      </w:r>
      <w:r>
        <w:rPr>
          <w:rFonts w:hint="eastAsia" w:eastAsia="宋体"/>
          <w:snapToGrid w:val="0"/>
          <w:color w:val="auto"/>
          <w:sz w:val="24"/>
          <w:highlight w:val="none"/>
          <w:lang w:val="en-US" w:eastAsia="zh-CN"/>
        </w:rPr>
        <w:t>号）、《关于印发中小企业划型标准规定的通知》（工信部联企业〔</w:t>
      </w:r>
      <w:r>
        <w:rPr>
          <w:rFonts w:hint="default" w:eastAsia="宋体"/>
          <w:snapToGrid w:val="0"/>
          <w:color w:val="auto"/>
          <w:sz w:val="24"/>
          <w:highlight w:val="none"/>
          <w:lang w:val="en-US" w:eastAsia="zh-CN"/>
        </w:rPr>
        <w:t>2011</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300 </w:t>
      </w:r>
      <w:r>
        <w:rPr>
          <w:rFonts w:hint="eastAsia" w:eastAsia="宋体"/>
          <w:snapToGrid w:val="0"/>
          <w:color w:val="auto"/>
          <w:sz w:val="24"/>
          <w:highlight w:val="none"/>
          <w:lang w:val="en-US" w:eastAsia="zh-CN"/>
        </w:rPr>
        <w:t xml:space="preserve">号）、《金融业企业划型标准规定》（〔2015〕309 号）等国务院批准的中小企业划分标准执行。 </w:t>
      </w:r>
    </w:p>
    <w:p w14:paraId="775C3158">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eastAsia" w:eastAsia="宋体"/>
          <w:snapToGrid w:val="0"/>
          <w:color w:val="auto"/>
          <w:sz w:val="24"/>
          <w:highlight w:val="none"/>
        </w:rPr>
        <w:t>.</w:t>
      </w:r>
      <w:r>
        <w:rPr>
          <w:rFonts w:hint="eastAsia" w:eastAsia="宋体"/>
          <w:snapToGrid w:val="0"/>
          <w:color w:val="auto"/>
          <w:sz w:val="24"/>
          <w:highlight w:val="none"/>
          <w:lang w:val="en-US" w:eastAsia="zh-CN"/>
        </w:rPr>
        <w:t>2</w:t>
      </w:r>
      <w:r>
        <w:rPr>
          <w:rFonts w:hint="eastAsia" w:eastAsia="宋体"/>
          <w:snapToGrid w:val="0"/>
          <w:color w:val="auto"/>
          <w:sz w:val="24"/>
          <w:highlight w:val="none"/>
        </w:rPr>
        <w:t>为促进中小企业发展，依据《关于印发&lt;政府采购促进中小企业发展管理办法&gt;的通知》（财库〔2020〕46号）、《财政部 司法部关于政府采购支持监狱企业发展有关问题的通知》（财库〔2014〕68号）、《关于促进残疾人就业政府采购政策的通知》（财库〔2017〕141号）的规定，本项目</w:t>
      </w:r>
      <w:r>
        <w:rPr>
          <w:rFonts w:hint="eastAsia" w:eastAsia="宋体"/>
          <w:snapToGrid w:val="0"/>
          <w:color w:val="auto"/>
          <w:sz w:val="24"/>
          <w:highlight w:val="none"/>
          <w:lang w:eastAsia="zh-CN"/>
        </w:rPr>
        <w:t>投标人</w:t>
      </w:r>
      <w:r>
        <w:rPr>
          <w:rFonts w:hint="eastAsia" w:eastAsia="宋体"/>
          <w:snapToGrid w:val="0"/>
          <w:color w:val="auto"/>
          <w:sz w:val="24"/>
          <w:highlight w:val="none"/>
        </w:rPr>
        <w:t>如</w:t>
      </w:r>
      <w:r>
        <w:rPr>
          <w:rFonts w:hint="eastAsia" w:eastAsia="宋体"/>
          <w:snapToGrid w:val="0"/>
          <w:color w:val="auto"/>
          <w:sz w:val="24"/>
          <w:highlight w:val="none"/>
          <w:lang w:eastAsia="zh-CN"/>
        </w:rPr>
        <w:t>需享受中小企业相关政策的，且</w:t>
      </w:r>
      <w:r>
        <w:rPr>
          <w:rFonts w:hint="eastAsia" w:eastAsia="宋体"/>
          <w:snapToGrid w:val="0"/>
          <w:color w:val="auto"/>
          <w:sz w:val="24"/>
          <w:highlight w:val="none"/>
        </w:rPr>
        <w:t>符合上述文件规定的，</w:t>
      </w:r>
      <w:r>
        <w:rPr>
          <w:rFonts w:hint="eastAsia" w:eastAsia="宋体"/>
          <w:snapToGrid w:val="0"/>
          <w:color w:val="auto"/>
          <w:sz w:val="24"/>
          <w:highlight w:val="none"/>
          <w:lang w:eastAsia="zh-CN"/>
        </w:rPr>
        <w:t>应按本</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文件规定格式</w:t>
      </w:r>
      <w:r>
        <w:rPr>
          <w:rFonts w:hint="eastAsia" w:eastAsia="宋体"/>
          <w:snapToGrid w:val="0"/>
          <w:color w:val="auto"/>
          <w:sz w:val="24"/>
          <w:highlight w:val="none"/>
        </w:rPr>
        <w:t>提供</w:t>
      </w:r>
      <w:r>
        <w:rPr>
          <w:rFonts w:hint="eastAsia" w:eastAsia="宋体"/>
          <w:snapToGrid w:val="0"/>
          <w:color w:val="auto"/>
          <w:sz w:val="24"/>
          <w:highlight w:val="none"/>
          <w:lang w:eastAsia="zh-CN"/>
        </w:rPr>
        <w:t>“</w:t>
      </w:r>
      <w:r>
        <w:rPr>
          <w:rFonts w:hint="eastAsia" w:eastAsia="宋体"/>
          <w:snapToGrid w:val="0"/>
          <w:color w:val="auto"/>
          <w:sz w:val="24"/>
          <w:highlight w:val="none"/>
        </w:rPr>
        <w:t>中小企业声明函</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rPr>
        <w:t>监狱企业证明文件</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lang w:eastAsia="zh-CN"/>
        </w:rPr>
        <w:t>“</w:t>
      </w:r>
      <w:r>
        <w:rPr>
          <w:rFonts w:hint="eastAsia" w:eastAsia="宋体"/>
          <w:snapToGrid w:val="0"/>
          <w:color w:val="auto"/>
          <w:sz w:val="24"/>
          <w:highlight w:val="none"/>
        </w:rPr>
        <w:t>残疾人福利性单位声明函</w:t>
      </w:r>
      <w:r>
        <w:rPr>
          <w:rFonts w:hint="eastAsia" w:eastAsia="宋体"/>
          <w:snapToGrid w:val="0"/>
          <w:color w:val="auto"/>
          <w:sz w:val="24"/>
          <w:highlight w:val="none"/>
          <w:lang w:eastAsia="zh-CN"/>
        </w:rPr>
        <w:t>”</w:t>
      </w:r>
      <w:r>
        <w:rPr>
          <w:rFonts w:hint="eastAsia" w:eastAsia="宋体"/>
          <w:snapToGrid w:val="0"/>
          <w:color w:val="auto"/>
          <w:sz w:val="24"/>
          <w:highlight w:val="none"/>
        </w:rPr>
        <w:t>，评审时，</w:t>
      </w:r>
      <w:r>
        <w:rPr>
          <w:rFonts w:hint="eastAsia" w:eastAsia="宋体"/>
          <w:snapToGrid w:val="0"/>
          <w:color w:val="auto"/>
          <w:sz w:val="24"/>
          <w:highlight w:val="none"/>
          <w:lang w:val="en-US" w:eastAsia="zh-CN"/>
        </w:rPr>
        <w:t>评标委员会</w:t>
      </w:r>
      <w:r>
        <w:rPr>
          <w:rFonts w:hint="eastAsia" w:eastAsia="宋体"/>
          <w:snapToGrid w:val="0"/>
          <w:color w:val="auto"/>
          <w:sz w:val="24"/>
          <w:highlight w:val="none"/>
        </w:rPr>
        <w:t>将依据</w:t>
      </w:r>
      <w:r>
        <w:rPr>
          <w:rFonts w:hint="eastAsia" w:eastAsia="宋体"/>
          <w:snapToGrid w:val="0"/>
          <w:color w:val="auto"/>
          <w:sz w:val="24"/>
          <w:highlight w:val="none"/>
          <w:lang w:eastAsia="zh-CN"/>
        </w:rPr>
        <w:t>本</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文件</w:t>
      </w:r>
      <w:r>
        <w:rPr>
          <w:rFonts w:hint="eastAsia" w:eastAsia="宋体"/>
          <w:snapToGrid w:val="0"/>
          <w:color w:val="auto"/>
          <w:sz w:val="24"/>
          <w:highlight w:val="none"/>
        </w:rPr>
        <w:t>“</w:t>
      </w:r>
      <w:r>
        <w:rPr>
          <w:rFonts w:hint="eastAsia" w:eastAsia="宋体"/>
          <w:snapToGrid w:val="0"/>
          <w:color w:val="auto"/>
          <w:sz w:val="24"/>
          <w:highlight w:val="none"/>
          <w:lang w:val="en-US" w:eastAsia="zh-CN"/>
        </w:rPr>
        <w:t>投标人</w:t>
      </w:r>
      <w:r>
        <w:rPr>
          <w:rFonts w:hint="eastAsia" w:eastAsia="宋体"/>
          <w:snapToGrid w:val="0"/>
          <w:color w:val="auto"/>
          <w:sz w:val="24"/>
          <w:highlight w:val="none"/>
        </w:rPr>
        <w:t>须知前附表”规定的报价扣除比例，对</w:t>
      </w:r>
      <w:r>
        <w:rPr>
          <w:rFonts w:hint="eastAsia" w:eastAsia="宋体"/>
          <w:snapToGrid w:val="0"/>
          <w:color w:val="auto"/>
          <w:sz w:val="24"/>
          <w:highlight w:val="none"/>
          <w:lang w:eastAsia="zh-CN"/>
        </w:rPr>
        <w:t>投标人</w:t>
      </w:r>
      <w:r>
        <w:rPr>
          <w:rFonts w:hint="eastAsia" w:eastAsia="宋体"/>
          <w:snapToGrid w:val="0"/>
          <w:color w:val="auto"/>
          <w:sz w:val="24"/>
          <w:highlight w:val="none"/>
        </w:rPr>
        <w:t>报价进行价格扣除，用扣除后的价格参与评审</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公告中明确项目专门面向中小企业采购的，“</w:t>
      </w:r>
      <w:r>
        <w:rPr>
          <w:rFonts w:hint="eastAsia" w:eastAsia="宋体"/>
          <w:snapToGrid w:val="0"/>
          <w:color w:val="auto"/>
          <w:sz w:val="24"/>
          <w:highlight w:val="none"/>
        </w:rPr>
        <w:t>中小企业声明函</w:t>
      </w:r>
      <w:r>
        <w:rPr>
          <w:rFonts w:hint="eastAsia" w:eastAsia="宋体"/>
          <w:snapToGrid w:val="0"/>
          <w:color w:val="auto"/>
          <w:sz w:val="24"/>
          <w:highlight w:val="none"/>
          <w:lang w:eastAsia="zh-CN"/>
        </w:rPr>
        <w:t>”为资格要求文件，投标人参与</w:t>
      </w:r>
      <w:r>
        <w:rPr>
          <w:rFonts w:hint="eastAsia" w:eastAsia="宋体"/>
          <w:snapToGrid w:val="0"/>
          <w:color w:val="auto"/>
          <w:sz w:val="24"/>
          <w:highlight w:val="none"/>
          <w:lang w:val="en-US" w:eastAsia="zh-CN"/>
        </w:rPr>
        <w:t>投标</w:t>
      </w:r>
      <w:r>
        <w:rPr>
          <w:rFonts w:hint="eastAsia" w:eastAsia="宋体"/>
          <w:snapToGrid w:val="0"/>
          <w:color w:val="auto"/>
          <w:sz w:val="24"/>
          <w:highlight w:val="none"/>
          <w:lang w:eastAsia="zh-CN"/>
        </w:rPr>
        <w:t>须按本</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文件规定格式</w:t>
      </w:r>
      <w:r>
        <w:rPr>
          <w:rFonts w:hint="eastAsia" w:eastAsia="宋体"/>
          <w:snapToGrid w:val="0"/>
          <w:color w:val="auto"/>
          <w:sz w:val="24"/>
          <w:highlight w:val="none"/>
        </w:rPr>
        <w:t>提供</w:t>
      </w:r>
      <w:r>
        <w:rPr>
          <w:rFonts w:hint="eastAsia" w:eastAsia="宋体"/>
          <w:snapToGrid w:val="0"/>
          <w:color w:val="auto"/>
          <w:sz w:val="24"/>
          <w:highlight w:val="none"/>
          <w:lang w:eastAsia="zh-CN"/>
        </w:rPr>
        <w:t>“</w:t>
      </w:r>
      <w:r>
        <w:rPr>
          <w:rFonts w:hint="eastAsia" w:eastAsia="宋体"/>
          <w:snapToGrid w:val="0"/>
          <w:color w:val="auto"/>
          <w:sz w:val="24"/>
          <w:highlight w:val="none"/>
        </w:rPr>
        <w:t>中小企业声明函</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rPr>
        <w:t>监狱企业证明文件</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lang w:eastAsia="zh-CN"/>
        </w:rPr>
        <w:t>“</w:t>
      </w:r>
      <w:r>
        <w:rPr>
          <w:rFonts w:hint="eastAsia" w:eastAsia="宋体"/>
          <w:snapToGrid w:val="0"/>
          <w:color w:val="auto"/>
          <w:sz w:val="24"/>
          <w:highlight w:val="none"/>
        </w:rPr>
        <w:t>残疾人福利性单位声明函</w:t>
      </w:r>
      <w:r>
        <w:rPr>
          <w:rFonts w:hint="eastAsia" w:eastAsia="宋体"/>
          <w:snapToGrid w:val="0"/>
          <w:color w:val="auto"/>
          <w:sz w:val="24"/>
          <w:highlight w:val="none"/>
          <w:lang w:eastAsia="zh-CN"/>
        </w:rPr>
        <w:t>”等作为资格证明文件。</w:t>
      </w:r>
      <w:r>
        <w:rPr>
          <w:rFonts w:hint="eastAsia" w:eastAsia="宋体"/>
          <w:snapToGrid w:val="0"/>
          <w:color w:val="auto"/>
          <w:sz w:val="24"/>
          <w:highlight w:val="none"/>
          <w:lang w:val="en-US" w:eastAsia="zh-CN"/>
        </w:rPr>
        <w:t xml:space="preserve"> </w:t>
      </w:r>
    </w:p>
    <w:p w14:paraId="743E5E0E">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3</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投标人提供的货物、工程或者服务符合下列情形的，享受中小企业扶持政策： </w:t>
      </w:r>
    </w:p>
    <w:p w14:paraId="07E7A00A">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1</w:t>
      </w:r>
      <w:r>
        <w:rPr>
          <w:rFonts w:hint="eastAsia" w:eastAsia="宋体"/>
          <w:snapToGrid w:val="0"/>
          <w:color w:val="auto"/>
          <w:sz w:val="24"/>
          <w:highlight w:val="none"/>
          <w:lang w:val="en-US" w:eastAsia="zh-CN"/>
        </w:rPr>
        <w:t xml:space="preserve">）在货物采购项目中，货物由中小企业制造，即货物由中小企业生产且使用该中小企业商号或者注册商标； </w:t>
      </w:r>
    </w:p>
    <w:p w14:paraId="128FB5A1">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2</w:t>
      </w:r>
      <w:r>
        <w:rPr>
          <w:rFonts w:hint="eastAsia" w:eastAsia="宋体"/>
          <w:snapToGrid w:val="0"/>
          <w:color w:val="auto"/>
          <w:sz w:val="24"/>
          <w:highlight w:val="none"/>
          <w:lang w:val="en-US" w:eastAsia="zh-CN"/>
        </w:rPr>
        <w:t xml:space="preserve">）在工程采购项目中，工程由中小企业承建，即工程施工单位为中小企业； </w:t>
      </w:r>
    </w:p>
    <w:p w14:paraId="4557B965">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3</w:t>
      </w:r>
      <w:r>
        <w:rPr>
          <w:rFonts w:hint="eastAsia" w:eastAsia="宋体"/>
          <w:snapToGrid w:val="0"/>
          <w:color w:val="auto"/>
          <w:sz w:val="24"/>
          <w:highlight w:val="none"/>
          <w:lang w:val="en-US" w:eastAsia="zh-CN"/>
        </w:rPr>
        <w:t>）在服务采购项目中，服务由中小企业承接，即提供服务的人员为中小企业依照《中华人民共和国劳动合同法》订立劳动合同的从业人员。</w:t>
      </w:r>
    </w:p>
    <w:p w14:paraId="5C38B69F">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eastAsia="宋体"/>
          <w:snapToGrid w:val="0"/>
          <w:color w:val="auto"/>
          <w:sz w:val="24"/>
          <w:highlight w:val="none"/>
          <w:lang w:val="en-US" w:eastAsia="zh-CN"/>
        </w:rPr>
        <w:t>.</w:t>
      </w:r>
      <w:r>
        <w:rPr>
          <w:rFonts w:hint="eastAsia" w:eastAsia="宋体"/>
          <w:snapToGrid w:val="0"/>
          <w:color w:val="auto"/>
          <w:sz w:val="24"/>
          <w:highlight w:val="none"/>
          <w:lang w:val="en-US" w:eastAsia="zh-CN"/>
        </w:rPr>
        <w:t>4</w:t>
      </w:r>
      <w:r>
        <w:rPr>
          <w:rFonts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在货物采购项目中，投标人提供的货物既有中小企业制造货物，也有大型企业制造货物的，不享受中小企业扶持政策。 </w:t>
      </w:r>
    </w:p>
    <w:p w14:paraId="0B6C9A16">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5</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以联合体形式参加政府采购活动，联合体各方均为中小企业的，联合体视同中小企业。其中，联合体各方均为小微企业的，联合体视同小微企业。  </w:t>
      </w:r>
    </w:p>
    <w:p w14:paraId="589A89E3">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6</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1EF9D90B">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2EADF7DB">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.1 </w:t>
      </w:r>
      <w:r>
        <w:rPr>
          <w:rFonts w:hint="eastAsia" w:eastAsia="宋体"/>
          <w:snapToGrid w:val="0"/>
          <w:color w:val="auto"/>
          <w:sz w:val="24"/>
          <w:highlight w:val="none"/>
          <w:lang w:val="en-US" w:eastAsia="zh-CN"/>
        </w:rPr>
        <w:t xml:space="preserve">安置的残疾人占本单位在职职工人数的比例不低于 </w:t>
      </w:r>
      <w:r>
        <w:rPr>
          <w:rFonts w:hint="default" w:eastAsia="宋体"/>
          <w:snapToGrid w:val="0"/>
          <w:color w:val="auto"/>
          <w:sz w:val="24"/>
          <w:highlight w:val="none"/>
          <w:lang w:val="en-US" w:eastAsia="zh-CN"/>
        </w:rPr>
        <w:t xml:space="preserve">25% </w:t>
      </w:r>
      <w:r>
        <w:rPr>
          <w:rFonts w:hint="eastAsia" w:eastAsia="宋体"/>
          <w:snapToGrid w:val="0"/>
          <w:color w:val="auto"/>
          <w:sz w:val="24"/>
          <w:highlight w:val="none"/>
          <w:lang w:val="en-US" w:eastAsia="zh-CN"/>
        </w:rPr>
        <w:t xml:space="preserve">（含 </w:t>
      </w:r>
      <w:r>
        <w:rPr>
          <w:rFonts w:hint="default" w:eastAsia="宋体"/>
          <w:snapToGrid w:val="0"/>
          <w:color w:val="auto"/>
          <w:sz w:val="24"/>
          <w:highlight w:val="none"/>
          <w:lang w:val="en-US" w:eastAsia="zh-CN"/>
        </w:rPr>
        <w:t>25%</w:t>
      </w:r>
      <w:r>
        <w:rPr>
          <w:rFonts w:hint="eastAsia" w:eastAsia="宋体"/>
          <w:snapToGrid w:val="0"/>
          <w:color w:val="auto"/>
          <w:sz w:val="24"/>
          <w:highlight w:val="none"/>
          <w:lang w:val="en-US" w:eastAsia="zh-CN"/>
        </w:rPr>
        <w:t xml:space="preserve">），并且安置的残疾人人数不少于 </w:t>
      </w:r>
      <w:r>
        <w:rPr>
          <w:rFonts w:hint="default" w:eastAsia="宋体"/>
          <w:snapToGrid w:val="0"/>
          <w:color w:val="auto"/>
          <w:sz w:val="24"/>
          <w:highlight w:val="none"/>
          <w:lang w:val="en-US" w:eastAsia="zh-CN"/>
        </w:rPr>
        <w:t xml:space="preserve">10 </w:t>
      </w:r>
      <w:r>
        <w:rPr>
          <w:rFonts w:hint="eastAsia" w:eastAsia="宋体"/>
          <w:snapToGrid w:val="0"/>
          <w:color w:val="auto"/>
          <w:sz w:val="24"/>
          <w:highlight w:val="none"/>
          <w:lang w:val="en-US" w:eastAsia="zh-CN"/>
        </w:rPr>
        <w:t xml:space="preserve">人（含 </w:t>
      </w:r>
      <w:r>
        <w:rPr>
          <w:rFonts w:hint="default" w:eastAsia="宋体"/>
          <w:snapToGrid w:val="0"/>
          <w:color w:val="auto"/>
          <w:sz w:val="24"/>
          <w:highlight w:val="none"/>
          <w:lang w:val="en-US" w:eastAsia="zh-CN"/>
        </w:rPr>
        <w:t>10</w:t>
      </w:r>
      <w:r>
        <w:rPr>
          <w:rFonts w:hint="eastAsia" w:eastAsia="宋体"/>
          <w:snapToGrid w:val="0"/>
          <w:color w:val="auto"/>
          <w:sz w:val="24"/>
          <w:highlight w:val="none"/>
          <w:lang w:val="en-US" w:eastAsia="zh-CN"/>
        </w:rPr>
        <w:t xml:space="preserve">人）； </w:t>
      </w:r>
    </w:p>
    <w:p w14:paraId="5B128E6C">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.2 </w:t>
      </w:r>
      <w:r>
        <w:rPr>
          <w:rFonts w:hint="eastAsia" w:eastAsia="宋体"/>
          <w:snapToGrid w:val="0"/>
          <w:color w:val="auto"/>
          <w:sz w:val="24"/>
          <w:highlight w:val="none"/>
          <w:lang w:val="en-US" w:eastAsia="zh-CN"/>
        </w:rPr>
        <w:t xml:space="preserve">依法与安置的每位残疾人签订了1年以上（含1年）的劳动合同或服务协议； </w:t>
      </w:r>
    </w:p>
    <w:p w14:paraId="750299D4">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.3 </w:t>
      </w:r>
      <w:r>
        <w:rPr>
          <w:rFonts w:hint="eastAsia" w:eastAsia="宋体"/>
          <w:snapToGrid w:val="0"/>
          <w:color w:val="auto"/>
          <w:sz w:val="24"/>
          <w:highlight w:val="none"/>
          <w:lang w:val="en-US" w:eastAsia="zh-CN"/>
        </w:rPr>
        <w:t xml:space="preserve">为安置的每位残疾人按月足额缴纳了基本养老保险、基本医疗保险、失业保险、工伤保险和生育保险等社会保险费； </w:t>
      </w:r>
    </w:p>
    <w:p w14:paraId="5494926D">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.4 </w:t>
      </w:r>
      <w:r>
        <w:rPr>
          <w:rFonts w:hint="eastAsia" w:eastAsia="宋体"/>
          <w:snapToGrid w:val="0"/>
          <w:color w:val="auto"/>
          <w:sz w:val="24"/>
          <w:highlight w:val="none"/>
          <w:lang w:val="en-US" w:eastAsia="zh-CN"/>
        </w:rPr>
        <w:t xml:space="preserve">通过银行等金融机构向安置的每位残疾人，按月支付了不低于单位所在区县适用的经省级人民政府批准的月最低工资标准的工资； </w:t>
      </w:r>
    </w:p>
    <w:p w14:paraId="6AD696D2">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.5 </w:t>
      </w:r>
      <w:r>
        <w:rPr>
          <w:rFonts w:hint="eastAsia" w:eastAsia="宋体"/>
          <w:snapToGrid w:val="0"/>
          <w:color w:val="auto"/>
          <w:sz w:val="24"/>
          <w:highlight w:val="none"/>
          <w:lang w:val="en-US" w:eastAsia="zh-CN"/>
        </w:rPr>
        <w:t xml:space="preserve">提供本单位制造的货物、承担的工程或者服务（以下简称产品），或者提供其他残疾人福利性单位制造的货物（不包括使用非残疾人福利性单位注册商标的货物）； </w:t>
      </w:r>
    </w:p>
    <w:p w14:paraId="6F6930A8">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.6 </w:t>
      </w:r>
      <w:r>
        <w:rPr>
          <w:rFonts w:hint="eastAsia" w:eastAsia="宋体"/>
          <w:snapToGrid w:val="0"/>
          <w:color w:val="auto"/>
          <w:sz w:val="24"/>
          <w:highlight w:val="none"/>
          <w:lang w:val="en-US" w:eastAsia="zh-CN"/>
        </w:rPr>
        <w:t>前款所称残疾人是指法定劳动年龄内，持有《中华人民共和国残疾人证》或者《中华人民共和国残疾军人证（</w:t>
      </w:r>
      <w:r>
        <w:rPr>
          <w:rFonts w:eastAsia="宋体"/>
          <w:snapToGrid w:val="0"/>
          <w:color w:val="auto"/>
          <w:sz w:val="24"/>
          <w:highlight w:val="none"/>
          <w:lang w:val="en-US" w:eastAsia="zh-CN"/>
        </w:rPr>
        <w:t xml:space="preserve">1 </w:t>
      </w:r>
      <w:r>
        <w:rPr>
          <w:rFonts w:hint="eastAsia" w:eastAsia="宋体"/>
          <w:snapToGrid w:val="0"/>
          <w:color w:val="auto"/>
          <w:sz w:val="24"/>
          <w:highlight w:val="none"/>
          <w:lang w:val="en-US" w:eastAsia="zh-CN"/>
        </w:rPr>
        <w:t xml:space="preserve">至 </w:t>
      </w:r>
      <w:r>
        <w:rPr>
          <w:rFonts w:hint="default" w:eastAsia="宋体"/>
          <w:snapToGrid w:val="0"/>
          <w:color w:val="auto"/>
          <w:sz w:val="24"/>
          <w:highlight w:val="none"/>
          <w:lang w:val="en-US" w:eastAsia="zh-CN"/>
        </w:rPr>
        <w:t xml:space="preserve">8 </w:t>
      </w:r>
      <w:r>
        <w:rPr>
          <w:rFonts w:hint="eastAsia" w:eastAsia="宋体"/>
          <w:snapToGrid w:val="0"/>
          <w:color w:val="auto"/>
          <w:sz w:val="24"/>
          <w:highlight w:val="none"/>
          <w:lang w:val="en-US" w:eastAsia="zh-CN"/>
        </w:rPr>
        <w:t xml:space="preserve">级）》的自然人，包括具有劳动条件和劳动意愿的精神残疾人。在职职工人数是指与残疾人福利性单位建立劳动关系并依法签订劳动合同或服务协议的雇员人数。 </w:t>
      </w:r>
    </w:p>
    <w:p w14:paraId="50A69BFA">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8</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本项目是否专门面向中小企业预留采购份额见“第一章 招标公告”。    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9</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采购标的对应的中小企业划分标准所属行业见“投标人须知前附表”。    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10</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小微企业价格评审优惠的政策调整：见“投标人须知前附表”及“第五章 评标方法及标准”。</w:t>
      </w:r>
    </w:p>
    <w:p w14:paraId="17DD5FF7">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516" w:name="_Toc163492878"/>
      <w:bookmarkStart w:id="517" w:name="_Toc9255"/>
      <w:bookmarkStart w:id="518" w:name="_Toc1808"/>
      <w:bookmarkStart w:id="519" w:name="_Toc12403"/>
      <w:bookmarkStart w:id="520" w:name="_Toc5822"/>
      <w:bookmarkStart w:id="521" w:name="_Toc7407"/>
      <w:r>
        <w:rPr>
          <w:rFonts w:hint="eastAsia" w:ascii="宋体" w:hAnsi="宋体" w:eastAsia="宋体" w:cs="宋体"/>
          <w:b/>
          <w:bCs/>
          <w:color w:val="auto"/>
          <w:kern w:val="2"/>
          <w:sz w:val="24"/>
          <w:szCs w:val="28"/>
          <w:highlight w:val="none"/>
          <w:lang w:val="en-US" w:eastAsia="zh-CN" w:bidi="ar-SA"/>
        </w:rPr>
        <w:t>43.政府采购节能产品、环境标志产品</w:t>
      </w:r>
      <w:bookmarkEnd w:id="516"/>
      <w:bookmarkEnd w:id="517"/>
      <w:bookmarkEnd w:id="518"/>
      <w:bookmarkEnd w:id="519"/>
      <w:bookmarkEnd w:id="520"/>
      <w:bookmarkEnd w:id="521"/>
    </w:p>
    <w:p w14:paraId="741E7E7A">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eastAsia="宋体"/>
          <w:snapToGrid w:val="0"/>
          <w:color w:val="auto"/>
          <w:sz w:val="24"/>
          <w:highlight w:val="none"/>
          <w:lang w:val="en-US" w:eastAsia="zh-CN"/>
        </w:rPr>
        <w:t xml:space="preserve">.1 </w:t>
      </w:r>
      <w:r>
        <w:rPr>
          <w:rFonts w:hint="eastAsia" w:eastAsia="宋体"/>
          <w:snapToGrid w:val="0"/>
          <w:color w:val="auto"/>
          <w:sz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w:t>
      </w:r>
      <w:r>
        <w:rPr>
          <w:rFonts w:hint="default" w:eastAsia="宋体"/>
          <w:snapToGrid w:val="0"/>
          <w:color w:val="auto"/>
          <w:sz w:val="24"/>
          <w:highlight w:val="none"/>
          <w:lang w:val="en-US" w:eastAsia="zh-CN"/>
        </w:rPr>
        <w:t>2019</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9 </w:t>
      </w:r>
      <w:r>
        <w:rPr>
          <w:rFonts w:hint="eastAsia" w:eastAsia="宋体"/>
          <w:snapToGrid w:val="0"/>
          <w:color w:val="auto"/>
          <w:sz w:val="24"/>
          <w:highlight w:val="none"/>
          <w:lang w:val="en-US" w:eastAsia="zh-CN"/>
        </w:rPr>
        <w:t>号）、《关于印发环境标志产品政府采购品目清单的通知》（财库〔2019〕18号）、《关于印发节能产品政府采购品目清单的通知》（财库〔2019〕19号）的规定。</w:t>
      </w:r>
    </w:p>
    <w:p w14:paraId="2EC4C51A">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hint="default" w:eastAsia="宋体"/>
          <w:snapToGrid w:val="0"/>
          <w:color w:val="auto"/>
          <w:sz w:val="24"/>
          <w:highlight w:val="none"/>
          <w:lang w:val="en-US" w:eastAsia="zh-CN"/>
        </w:rPr>
        <w:t xml:space="preserve">.2 </w:t>
      </w:r>
      <w:r>
        <w:rPr>
          <w:rFonts w:hint="eastAsia" w:eastAsia="宋体"/>
          <w:snapToGrid w:val="0"/>
          <w:color w:val="auto"/>
          <w:sz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25CFE0EE">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hint="default" w:eastAsia="宋体"/>
          <w:snapToGrid w:val="0"/>
          <w:color w:val="auto"/>
          <w:sz w:val="24"/>
          <w:highlight w:val="none"/>
          <w:lang w:val="en-US" w:eastAsia="zh-CN"/>
        </w:rPr>
        <w:t xml:space="preserve">.3 </w:t>
      </w:r>
      <w:r>
        <w:rPr>
          <w:rFonts w:hint="eastAsia" w:eastAsia="宋体"/>
          <w:snapToGrid w:val="0"/>
          <w:color w:val="auto"/>
          <w:sz w:val="24"/>
          <w:highlight w:val="none"/>
          <w:lang w:val="en-US" w:eastAsia="zh-CN"/>
        </w:rPr>
        <w:t>如本项目采购产品属于实施政府强制采购品目清单范围的节能产品，则投标人所报产品必须获得国家确定的认证机构出具的、处于有效期之内的节能产品认证证书，否则</w:t>
      </w:r>
      <w:r>
        <w:rPr>
          <w:rFonts w:hint="eastAsia" w:eastAsia="宋体"/>
          <w:b/>
          <w:bCs/>
          <w:snapToGrid w:val="0"/>
          <w:color w:val="auto"/>
          <w:sz w:val="24"/>
          <w:highlight w:val="none"/>
          <w:lang w:val="en-US" w:eastAsia="zh-CN"/>
        </w:rPr>
        <w:t>投标无效</w:t>
      </w:r>
      <w:r>
        <w:rPr>
          <w:rFonts w:hint="eastAsia" w:eastAsia="宋体"/>
          <w:snapToGrid w:val="0"/>
          <w:color w:val="auto"/>
          <w:sz w:val="24"/>
          <w:highlight w:val="none"/>
          <w:lang w:val="en-US" w:eastAsia="zh-CN"/>
        </w:rPr>
        <w:t xml:space="preserve">。 </w:t>
      </w:r>
    </w:p>
    <w:p w14:paraId="04E599F1">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hint="default" w:eastAsia="宋体"/>
          <w:snapToGrid w:val="0"/>
          <w:color w:val="auto"/>
          <w:sz w:val="24"/>
          <w:highlight w:val="none"/>
          <w:lang w:val="en-US" w:eastAsia="zh-CN"/>
        </w:rPr>
        <w:t xml:space="preserve">.4 </w:t>
      </w:r>
      <w:r>
        <w:rPr>
          <w:rFonts w:hint="eastAsia" w:eastAsia="宋体"/>
          <w:snapToGrid w:val="0"/>
          <w:color w:val="auto"/>
          <w:sz w:val="24"/>
          <w:highlight w:val="none"/>
          <w:lang w:val="en-US" w:eastAsia="zh-CN"/>
        </w:rPr>
        <w:t>非政府强制采购的节能产品或环境标志产品，依据品目清单和认证证书实施政府优先采购。优先采购的具体规定见“第五章 评标方法及标准”（如涉及）。</w:t>
      </w:r>
    </w:p>
    <w:p w14:paraId="51B3D928">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snapToGrid w:val="0"/>
          <w:color w:val="auto"/>
          <w:sz w:val="24"/>
          <w:highlight w:val="none"/>
          <w:lang w:val="en-US" w:eastAsia="zh-CN"/>
        </w:rPr>
        <w:t xml:space="preserve">43.5 </w:t>
      </w:r>
      <w:r>
        <w:rPr>
          <w:rFonts w:hint="eastAsia" w:eastAsia="宋体"/>
          <w:snapToGrid w:val="0"/>
          <w:color w:val="auto"/>
          <w:sz w:val="24"/>
          <w:highlight w:val="none"/>
        </w:rPr>
        <w:t>投标人所投产品如属于节能产品政府采购品目清单、环境标志产品政府采购品目清单范围的，须提供国家确定的认证机构出具的、处于有效期内的产品认证证书，认证证书的产品型号与所投产品不一致的，视为未提供。属于政府强制采购产品的，</w:t>
      </w:r>
      <w:r>
        <w:rPr>
          <w:rFonts w:eastAsia="宋体"/>
          <w:snapToGrid w:val="0"/>
          <w:color w:val="auto"/>
          <w:sz w:val="24"/>
          <w:highlight w:val="none"/>
        </w:rPr>
        <w:t>已作为投标时强制性要求不再给予</w:t>
      </w:r>
      <w:r>
        <w:rPr>
          <w:rFonts w:hint="eastAsia" w:eastAsia="宋体"/>
          <w:snapToGrid w:val="0"/>
          <w:color w:val="auto"/>
          <w:sz w:val="24"/>
          <w:highlight w:val="none"/>
          <w:lang w:val="en-US" w:eastAsia="zh-CN"/>
        </w:rPr>
        <w:t>价格评审优惠</w:t>
      </w:r>
      <w:r>
        <w:rPr>
          <w:rFonts w:hint="eastAsia" w:eastAsia="宋体"/>
          <w:snapToGrid w:val="0"/>
          <w:color w:val="auto"/>
          <w:sz w:val="24"/>
          <w:highlight w:val="none"/>
        </w:rPr>
        <w:t>，未提供认证证书的视为</w:t>
      </w:r>
      <w:r>
        <w:rPr>
          <w:rFonts w:hint="eastAsia" w:eastAsia="宋体"/>
          <w:b/>
          <w:bCs/>
          <w:snapToGrid w:val="0"/>
          <w:color w:val="auto"/>
          <w:sz w:val="24"/>
          <w:highlight w:val="none"/>
          <w:lang w:val="en-US" w:eastAsia="zh-CN"/>
        </w:rPr>
        <w:t>投标</w:t>
      </w:r>
      <w:r>
        <w:rPr>
          <w:rFonts w:hint="eastAsia" w:eastAsia="宋体"/>
          <w:b/>
          <w:bCs/>
          <w:snapToGrid w:val="0"/>
          <w:color w:val="auto"/>
          <w:sz w:val="24"/>
          <w:highlight w:val="none"/>
        </w:rPr>
        <w:t>无效</w:t>
      </w:r>
      <w:r>
        <w:rPr>
          <w:rFonts w:hint="eastAsia" w:eastAsia="宋体"/>
          <w:snapToGrid w:val="0"/>
          <w:color w:val="auto"/>
          <w:sz w:val="24"/>
          <w:highlight w:val="none"/>
        </w:rPr>
        <w:t>。属于</w:t>
      </w:r>
      <w:r>
        <w:rPr>
          <w:rFonts w:hint="eastAsia" w:eastAsia="宋体"/>
          <w:snapToGrid w:val="0"/>
          <w:color w:val="auto"/>
          <w:sz w:val="24"/>
          <w:highlight w:val="none"/>
          <w:lang w:val="en-US" w:eastAsia="zh-CN"/>
        </w:rPr>
        <w:t>优先采购</w:t>
      </w:r>
      <w:r>
        <w:rPr>
          <w:rFonts w:hint="eastAsia" w:eastAsia="宋体"/>
          <w:snapToGrid w:val="0"/>
          <w:color w:val="auto"/>
          <w:sz w:val="24"/>
          <w:highlight w:val="none"/>
        </w:rPr>
        <w:t>节能产品政府采购品目清单、环境标志产品政府采购品目清单</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创新产品</w:t>
      </w:r>
      <w:r>
        <w:rPr>
          <w:rFonts w:hint="eastAsia" w:eastAsia="宋体"/>
          <w:snapToGrid w:val="0"/>
          <w:color w:val="auto"/>
          <w:sz w:val="24"/>
          <w:highlight w:val="none"/>
        </w:rPr>
        <w:t>范围的，按照“</w:t>
      </w:r>
      <w:r>
        <w:rPr>
          <w:rFonts w:hint="eastAsia" w:eastAsia="宋体"/>
          <w:color w:val="auto"/>
          <w:sz w:val="24"/>
          <w:highlight w:val="none"/>
          <w:lang w:val="en-US" w:eastAsia="zh-CN"/>
        </w:rPr>
        <w:t>第五章 评标方法及标准</w:t>
      </w:r>
      <w:r>
        <w:rPr>
          <w:rFonts w:hint="eastAsia" w:eastAsia="宋体"/>
          <w:snapToGrid w:val="0"/>
          <w:color w:val="auto"/>
          <w:sz w:val="24"/>
          <w:highlight w:val="none"/>
        </w:rPr>
        <w:t>”中相关规定</w:t>
      </w:r>
      <w:r>
        <w:rPr>
          <w:rFonts w:hint="eastAsia" w:eastAsia="宋体"/>
          <w:color w:val="auto"/>
          <w:sz w:val="24"/>
          <w:highlight w:val="none"/>
          <w:lang w:val="en-US" w:eastAsia="zh-CN"/>
        </w:rPr>
        <w:t>在评审时给予价格评审优惠，具体详见</w:t>
      </w:r>
      <w:r>
        <w:rPr>
          <w:rFonts w:hint="eastAsia" w:eastAsia="宋体"/>
          <w:snapToGrid w:val="0"/>
          <w:color w:val="auto"/>
          <w:sz w:val="24"/>
          <w:highlight w:val="none"/>
          <w:lang w:val="en-US" w:eastAsia="zh-CN"/>
        </w:rPr>
        <w:t>“投标人须知前附表”及</w:t>
      </w:r>
      <w:r>
        <w:rPr>
          <w:rFonts w:hint="eastAsia" w:eastAsia="宋体"/>
          <w:color w:val="auto"/>
          <w:sz w:val="24"/>
          <w:highlight w:val="none"/>
          <w:lang w:val="en-US" w:eastAsia="zh-CN"/>
        </w:rPr>
        <w:t>“第五章 评标方法及标准”</w:t>
      </w:r>
      <w:r>
        <w:rPr>
          <w:rFonts w:hint="eastAsia" w:eastAsia="宋体"/>
          <w:color w:val="auto"/>
          <w:sz w:val="24"/>
          <w:highlight w:val="none"/>
        </w:rPr>
        <w:t>。</w:t>
      </w:r>
    </w:p>
    <w:p w14:paraId="5F04C72A">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522" w:name="_Toc18587"/>
      <w:bookmarkStart w:id="523" w:name="_Toc466"/>
      <w:bookmarkStart w:id="524" w:name="_Toc27639"/>
      <w:bookmarkStart w:id="525" w:name="_Toc27051"/>
      <w:bookmarkStart w:id="526" w:name="_Toc14967"/>
      <w:bookmarkStart w:id="527" w:name="_Toc163492879"/>
      <w:r>
        <w:rPr>
          <w:rFonts w:hint="eastAsia" w:ascii="宋体" w:hAnsi="宋体" w:eastAsia="宋体" w:cs="宋体"/>
          <w:b/>
          <w:bCs/>
          <w:color w:val="auto"/>
          <w:kern w:val="2"/>
          <w:sz w:val="24"/>
          <w:szCs w:val="28"/>
          <w:highlight w:val="none"/>
          <w:lang w:val="en-US" w:eastAsia="zh-CN" w:bidi="ar-SA"/>
        </w:rPr>
        <w:t>44.正版软件</w:t>
      </w:r>
      <w:bookmarkEnd w:id="522"/>
      <w:bookmarkEnd w:id="523"/>
      <w:bookmarkEnd w:id="524"/>
      <w:bookmarkEnd w:id="525"/>
      <w:bookmarkEnd w:id="526"/>
      <w:r>
        <w:rPr>
          <w:rFonts w:hint="eastAsia" w:ascii="宋体" w:hAnsi="宋体" w:eastAsia="宋体" w:cs="宋体"/>
          <w:b/>
          <w:bCs/>
          <w:color w:val="auto"/>
          <w:kern w:val="2"/>
          <w:sz w:val="24"/>
          <w:szCs w:val="28"/>
          <w:highlight w:val="none"/>
          <w:lang w:val="en-US" w:eastAsia="zh-CN" w:bidi="ar-SA"/>
        </w:rPr>
        <w:t xml:space="preserve">  </w:t>
      </w:r>
    </w:p>
    <w:p w14:paraId="415973C1">
      <w:pPr>
        <w:pStyle w:val="38"/>
        <w:keepNext w:val="0"/>
        <w:keepLines w:val="0"/>
        <w:pageBreakBefore w:val="0"/>
        <w:widowControl w:val="0"/>
        <w:kinsoku/>
        <w:overflowPunct/>
        <w:topLinePunct w:val="0"/>
        <w:autoSpaceDE/>
        <w:autoSpaceDN/>
        <w:bidi w:val="0"/>
        <w:adjustRightInd/>
        <w:snapToGri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44.1 依据《财政部 国家发展改革委 信息产业部关于印发无线局域网产品政府采购实施意见的通知》（财库〔</w:t>
      </w:r>
      <w:r>
        <w:rPr>
          <w:rFonts w:hint="default" w:eastAsia="宋体"/>
          <w:snapToGrid w:val="0"/>
          <w:color w:val="auto"/>
          <w:sz w:val="24"/>
          <w:highlight w:val="none"/>
          <w:lang w:val="en-US" w:eastAsia="zh-CN"/>
        </w:rPr>
        <w:t>2005</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366 </w:t>
      </w:r>
      <w:r>
        <w:rPr>
          <w:rFonts w:hint="eastAsia" w:eastAsia="宋体"/>
          <w:snapToGrid w:val="0"/>
          <w:color w:val="auto"/>
          <w:sz w:val="24"/>
          <w:highlight w:val="none"/>
          <w:lang w:val="en-US" w:eastAsia="zh-CN"/>
        </w:rPr>
        <w:t>号），采购无线局域网产品和含有无线局域网功能的计算机、通信设备、打印机、复印机、投影仪等产品的，优先采购符合国家无线局域网安全标准（GB 15629.11/1102）并通过国家产品认证的产品。其中，国家有特殊信息安全要求的项目必须采购认证产品，否则</w:t>
      </w:r>
      <w:r>
        <w:rPr>
          <w:rFonts w:hint="eastAsia" w:eastAsia="宋体"/>
          <w:b/>
          <w:bCs/>
          <w:snapToGrid w:val="0"/>
          <w:color w:val="auto"/>
          <w:sz w:val="24"/>
          <w:highlight w:val="none"/>
          <w:lang w:val="en-US" w:eastAsia="zh-CN"/>
        </w:rPr>
        <w:t>投标无效</w:t>
      </w:r>
      <w:r>
        <w:rPr>
          <w:rFonts w:hint="eastAsia" w:eastAsia="宋体"/>
          <w:snapToGrid w:val="0"/>
          <w:color w:val="auto"/>
          <w:sz w:val="24"/>
          <w:highlight w:val="none"/>
          <w:lang w:val="en-US" w:eastAsia="zh-CN"/>
        </w:rPr>
        <w:t xml:space="preserve">。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 </w:t>
      </w:r>
    </w:p>
    <w:p w14:paraId="7504E407">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44.2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号）、《国务院办公厅关于印发政府机关使用正版软件管理办法的通知》国办发〔2013〕88号。</w:t>
      </w:r>
    </w:p>
    <w:p w14:paraId="139B1CB1">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528" w:name="_Toc18124"/>
      <w:bookmarkStart w:id="529" w:name="_Toc5754"/>
      <w:bookmarkStart w:id="530" w:name="_Toc23823"/>
      <w:bookmarkStart w:id="531" w:name="_Toc22063"/>
      <w:bookmarkStart w:id="532" w:name="_Toc9349"/>
      <w:r>
        <w:rPr>
          <w:rFonts w:hint="eastAsia" w:ascii="宋体" w:hAnsi="宋体" w:eastAsia="宋体" w:cs="宋体"/>
          <w:b/>
          <w:bCs/>
          <w:color w:val="auto"/>
          <w:kern w:val="2"/>
          <w:sz w:val="24"/>
          <w:szCs w:val="28"/>
          <w:highlight w:val="none"/>
          <w:lang w:val="en-US" w:eastAsia="zh-CN" w:bidi="ar-SA"/>
        </w:rPr>
        <w:t>45.网络安全专用产品</w:t>
      </w:r>
      <w:bookmarkEnd w:id="528"/>
      <w:bookmarkEnd w:id="529"/>
      <w:bookmarkEnd w:id="530"/>
      <w:bookmarkEnd w:id="531"/>
      <w:bookmarkEnd w:id="532"/>
      <w:r>
        <w:rPr>
          <w:rFonts w:hint="eastAsia" w:ascii="宋体" w:hAnsi="宋体" w:eastAsia="宋体" w:cs="宋体"/>
          <w:b/>
          <w:bCs/>
          <w:color w:val="auto"/>
          <w:kern w:val="2"/>
          <w:sz w:val="24"/>
          <w:szCs w:val="28"/>
          <w:highlight w:val="none"/>
          <w:lang w:val="en-US" w:eastAsia="zh-CN" w:bidi="ar-SA"/>
        </w:rPr>
        <w:t xml:space="preserve">   </w:t>
      </w:r>
    </w:p>
    <w:p w14:paraId="13C08773">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人双方签订合同及验收环节，应包含上述网络安全要求的条款。</w:t>
      </w:r>
    </w:p>
    <w:p w14:paraId="575DAF11">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45.2本项目中如涉及国家强制性产品认证证书（CCC 认证证书）、电信设备进网许可证、无线电发射设备核准证等市场准入类资质的，应严格执行国家相关法律法规的要求。采购人、中标(成交)人双方签订合同及验收环节，应包含上述市场准入类资质要求的条款。 </w:t>
      </w:r>
    </w:p>
    <w:p w14:paraId="567E703D">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533" w:name="_Toc4446"/>
      <w:bookmarkStart w:id="534" w:name="_Toc30425"/>
      <w:bookmarkStart w:id="535" w:name="_Toc4141"/>
      <w:bookmarkStart w:id="536" w:name="_Toc26826"/>
      <w:bookmarkStart w:id="537" w:name="_Toc30358"/>
      <w:r>
        <w:rPr>
          <w:rFonts w:hint="eastAsia" w:ascii="宋体" w:hAnsi="宋体" w:eastAsia="宋体" w:cs="宋体"/>
          <w:b/>
          <w:bCs/>
          <w:color w:val="auto"/>
          <w:kern w:val="2"/>
          <w:sz w:val="24"/>
          <w:szCs w:val="28"/>
          <w:highlight w:val="none"/>
          <w:lang w:val="en-US" w:eastAsia="zh-CN" w:bidi="ar-SA"/>
        </w:rPr>
        <w:t>46.采购需求标准</w:t>
      </w:r>
      <w:bookmarkEnd w:id="533"/>
      <w:bookmarkEnd w:id="534"/>
      <w:bookmarkEnd w:id="535"/>
      <w:bookmarkEnd w:id="536"/>
      <w:bookmarkEnd w:id="537"/>
      <w:r>
        <w:rPr>
          <w:rFonts w:hint="eastAsia" w:ascii="宋体" w:hAnsi="宋体" w:eastAsia="宋体" w:cs="宋体"/>
          <w:b/>
          <w:bCs/>
          <w:color w:val="auto"/>
          <w:kern w:val="2"/>
          <w:sz w:val="24"/>
          <w:szCs w:val="28"/>
          <w:highlight w:val="none"/>
          <w:lang w:val="en-US" w:eastAsia="zh-CN" w:bidi="ar-SA"/>
        </w:rPr>
        <w:t xml:space="preserve">   </w:t>
      </w:r>
    </w:p>
    <w:p w14:paraId="77C63652">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46.1 商品包装、快递包装政府采购需求标准（试行） </w:t>
      </w:r>
    </w:p>
    <w:p w14:paraId="3DA94789">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为助力打好污染防治攻坚战，推广使用绿色包装，根据财政部关于印发《商品包装政府采购需求标准（试行）》、《快递包装政府采购需求标准（试行）》的通知（财办库〔2020〕123 号），本项目如涉及商品包装和快递包装的，则其具体要求见第三章《采购需求》。 </w:t>
      </w:r>
    </w:p>
    <w:p w14:paraId="27B020C7">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46.2 绿色数据中心政府采购需求标准（试行） </w:t>
      </w:r>
    </w:p>
    <w:p w14:paraId="16173830">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为加快数据中心绿色转型，根据财政部 生态环境部 工业和信息化部关于印发《绿色数据中心政府采购需求标准（试行）》的通知（财库〔2023〕7 号），本项目如涉及绿色数据中心，则具体要求见第三章《采购需求》。 </w:t>
      </w:r>
    </w:p>
    <w:p w14:paraId="752FA939">
      <w:pPr>
        <w:pStyle w:val="38"/>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46.3台式计算机政府采购需求标准</w:t>
      </w:r>
    </w:p>
    <w:p w14:paraId="3830872B">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工业和信息化部关于印发《台式计算机政府采购需求标准（2023年版）》的通知（财库〔2023〕29号），本项目如涉及台式计算机采购，则具体要求见第三章《采购需求》。</w:t>
      </w:r>
    </w:p>
    <w:p w14:paraId="3E8B3153">
      <w:pPr>
        <w:pStyle w:val="38"/>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46.4便携式计算机政府采购需求标准</w:t>
      </w:r>
    </w:p>
    <w:p w14:paraId="2DDABA79">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工业和信息化部关于印发《便携式计算机政府采购需求标准（2023年版）》的通知（财库〔2023〕30号），本项目如涉及便携式计算机采购，则具体要求见第三章《采购需求》。</w:t>
      </w:r>
    </w:p>
    <w:p w14:paraId="385FE90A">
      <w:pPr>
        <w:pStyle w:val="38"/>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46.5一体式计算机政府采购需求标准</w:t>
      </w:r>
    </w:p>
    <w:p w14:paraId="30E81396">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工业和信息化部关于印发《一体式计算机政府采购需求标准（2023年版）》的通知（财库〔2023〕31号），本项目如涉及一体式计算机采购，则具体要求见第三章《采购需求》。</w:t>
      </w:r>
    </w:p>
    <w:p w14:paraId="07FD3B31">
      <w:pPr>
        <w:pStyle w:val="38"/>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46.6工作站政府采购需求标准</w:t>
      </w:r>
    </w:p>
    <w:p w14:paraId="23F8A15A">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工业和信息化部关于印发《工作站政府采购需求标准（2023年版）》的通知（财库〔2023〕32号），本项目如涉及工作站采购，则具体要求见第三章《采购需求》。</w:t>
      </w:r>
    </w:p>
    <w:p w14:paraId="6FE6E6D6">
      <w:pPr>
        <w:pStyle w:val="38"/>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46.7通用服务器政府采购需求标准</w:t>
      </w:r>
    </w:p>
    <w:p w14:paraId="2DC5EFFC">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工业和信息化部关于印发《通用服务器政府采购需求标准（2023年版）》的通知（财库〔2023〕33号），本项目如涉及通用服务器采购，则具体要求见第三章《采购需求》。</w:t>
      </w:r>
    </w:p>
    <w:p w14:paraId="5822E475">
      <w:pPr>
        <w:pStyle w:val="38"/>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46.8操作系统政府采购需求标准</w:t>
      </w:r>
    </w:p>
    <w:p w14:paraId="0C0F87EE">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工业和信息化部关于印发《操作系统政府采购需求标准（2023年版）》的通知（财库〔2023〕34号），本项目如涉及操作系统采购，则具体要求见第三章《采购需求》。</w:t>
      </w:r>
    </w:p>
    <w:p w14:paraId="1177BDB0">
      <w:pPr>
        <w:pStyle w:val="38"/>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46.9数据库政府采购需求标准</w:t>
      </w:r>
    </w:p>
    <w:p w14:paraId="45BE4E61">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工业和信息化部关于印发《数据库政府采购需求标准（2023年版）》的通知（财库〔2023〕35号），本项目如涉及数据库采购，则具体要求见第三章《采购需求》。</w:t>
      </w:r>
    </w:p>
    <w:p w14:paraId="116745F5">
      <w:pPr>
        <w:pStyle w:val="38"/>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46.10物业管理服务政府采购需求标准（办公场所类）（试行）</w:t>
      </w:r>
    </w:p>
    <w:p w14:paraId="0169F247">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第三章《采购需求》。</w:t>
      </w:r>
    </w:p>
    <w:p w14:paraId="07C1DA2C">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538" w:name="_Toc13631"/>
      <w:bookmarkStart w:id="539" w:name="_Toc7189"/>
      <w:bookmarkStart w:id="540" w:name="_Toc6544"/>
      <w:bookmarkStart w:id="541" w:name="_Toc16879"/>
      <w:bookmarkStart w:id="542" w:name="_Toc14503"/>
      <w:r>
        <w:rPr>
          <w:rFonts w:hint="eastAsia" w:ascii="宋体" w:hAnsi="宋体" w:eastAsia="宋体" w:cstheme="minorBidi"/>
          <w:b/>
          <w:bCs/>
          <w:color w:val="auto"/>
          <w:kern w:val="2"/>
          <w:sz w:val="24"/>
          <w:szCs w:val="32"/>
          <w:highlight w:val="none"/>
          <w:lang w:val="en-US" w:eastAsia="zh-CN" w:bidi="ar-SA"/>
        </w:rPr>
        <w:t>（十四）政府采购合同融资政策</w:t>
      </w:r>
      <w:bookmarkEnd w:id="502"/>
      <w:bookmarkEnd w:id="503"/>
      <w:bookmarkEnd w:id="527"/>
      <w:bookmarkEnd w:id="538"/>
      <w:bookmarkEnd w:id="539"/>
      <w:bookmarkEnd w:id="540"/>
      <w:bookmarkEnd w:id="541"/>
      <w:bookmarkEnd w:id="542"/>
    </w:p>
    <w:p w14:paraId="7CF32745">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543" w:name="_Toc163492880"/>
      <w:bookmarkStart w:id="544" w:name="_Toc31455"/>
      <w:bookmarkStart w:id="545" w:name="_Toc6885"/>
      <w:bookmarkStart w:id="546" w:name="_Toc19607"/>
      <w:bookmarkStart w:id="547" w:name="_Toc10536"/>
      <w:bookmarkStart w:id="548" w:name="_Toc10513"/>
      <w:r>
        <w:rPr>
          <w:rFonts w:hint="eastAsia" w:ascii="宋体" w:hAnsi="宋体" w:eastAsia="宋体" w:cs="宋体"/>
          <w:b/>
          <w:bCs/>
          <w:color w:val="auto"/>
          <w:kern w:val="2"/>
          <w:sz w:val="24"/>
          <w:szCs w:val="28"/>
          <w:highlight w:val="none"/>
          <w:lang w:val="en-US" w:eastAsia="zh-CN" w:bidi="ar-SA"/>
        </w:rPr>
        <w:t>47.政府采购合同融资政策</w:t>
      </w:r>
      <w:bookmarkEnd w:id="543"/>
      <w:bookmarkEnd w:id="544"/>
      <w:bookmarkEnd w:id="545"/>
      <w:bookmarkEnd w:id="546"/>
      <w:bookmarkEnd w:id="547"/>
      <w:bookmarkEnd w:id="548"/>
    </w:p>
    <w:p w14:paraId="2F908697">
      <w:pPr>
        <w:pStyle w:val="38"/>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4</w:t>
      </w:r>
      <w:r>
        <w:rPr>
          <w:rFonts w:hint="eastAsia" w:eastAsia="宋体"/>
          <w:color w:val="auto"/>
          <w:sz w:val="24"/>
          <w:highlight w:val="none"/>
          <w:lang w:val="en-US" w:eastAsia="zh-CN"/>
        </w:rPr>
        <w:t>7</w:t>
      </w:r>
      <w:r>
        <w:rPr>
          <w:rFonts w:eastAsia="宋体"/>
          <w:color w:val="auto"/>
          <w:sz w:val="24"/>
          <w:highlight w:val="none"/>
        </w:rPr>
        <w:t>.</w:t>
      </w:r>
      <w:r>
        <w:rPr>
          <w:rFonts w:hint="eastAsia" w:eastAsia="宋体"/>
          <w:color w:val="auto"/>
          <w:sz w:val="24"/>
          <w:highlight w:val="none"/>
        </w:rPr>
        <w:t>1政府采购合同融资政策：见投标人须知前附表。</w:t>
      </w:r>
    </w:p>
    <w:p w14:paraId="198FC626">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lang w:val="en-US" w:eastAsia="zh-CN" w:bidi="ar-SA"/>
        </w:rPr>
      </w:pPr>
      <w:bookmarkStart w:id="549" w:name="_Toc14730"/>
      <w:bookmarkStart w:id="550" w:name="_Toc2385"/>
      <w:bookmarkStart w:id="551" w:name="_Toc28029"/>
      <w:bookmarkStart w:id="552" w:name="_Toc163492881"/>
      <w:bookmarkStart w:id="553" w:name="_Toc27544"/>
      <w:bookmarkStart w:id="554" w:name="_Toc29894"/>
      <w:r>
        <w:rPr>
          <w:rFonts w:hint="eastAsia" w:ascii="宋体" w:hAnsi="宋体" w:eastAsia="宋体" w:cstheme="minorBidi"/>
          <w:b/>
          <w:bCs/>
          <w:color w:val="auto"/>
          <w:kern w:val="2"/>
          <w:sz w:val="24"/>
          <w:szCs w:val="32"/>
          <w:highlight w:val="none"/>
          <w:lang w:val="en-US" w:eastAsia="zh-CN" w:bidi="ar-SA"/>
        </w:rPr>
        <w:t>（十五）其他</w:t>
      </w:r>
      <w:bookmarkEnd w:id="549"/>
      <w:bookmarkEnd w:id="550"/>
      <w:bookmarkEnd w:id="551"/>
      <w:bookmarkEnd w:id="552"/>
      <w:bookmarkEnd w:id="553"/>
      <w:bookmarkEnd w:id="554"/>
    </w:p>
    <w:p w14:paraId="370F802C">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555" w:name="_Toc21736"/>
      <w:bookmarkStart w:id="556" w:name="_Toc15832"/>
      <w:bookmarkStart w:id="557" w:name="_Toc4822"/>
      <w:bookmarkStart w:id="558" w:name="_Toc25907"/>
      <w:bookmarkStart w:id="559" w:name="_Toc7838"/>
      <w:bookmarkStart w:id="560" w:name="_Toc163492882"/>
      <w:r>
        <w:rPr>
          <w:rFonts w:hint="eastAsia" w:ascii="宋体" w:hAnsi="宋体" w:eastAsia="宋体" w:cs="宋体"/>
          <w:b/>
          <w:bCs/>
          <w:color w:val="auto"/>
          <w:kern w:val="2"/>
          <w:sz w:val="24"/>
          <w:szCs w:val="28"/>
          <w:highlight w:val="none"/>
          <w:lang w:val="en-US" w:eastAsia="zh-CN" w:bidi="ar-SA"/>
        </w:rPr>
        <w:t>48.需要补充的其他内容</w:t>
      </w:r>
      <w:bookmarkEnd w:id="555"/>
      <w:bookmarkEnd w:id="556"/>
      <w:bookmarkEnd w:id="557"/>
      <w:bookmarkEnd w:id="558"/>
      <w:bookmarkEnd w:id="559"/>
      <w:bookmarkEnd w:id="560"/>
    </w:p>
    <w:p w14:paraId="32516407">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4</w:t>
      </w:r>
      <w:r>
        <w:rPr>
          <w:rFonts w:hint="eastAsia" w:eastAsia="宋体"/>
          <w:color w:val="auto"/>
          <w:sz w:val="24"/>
          <w:highlight w:val="none"/>
          <w:lang w:val="en-US" w:eastAsia="zh-CN"/>
        </w:rPr>
        <w:t>8</w:t>
      </w:r>
      <w:r>
        <w:rPr>
          <w:rFonts w:eastAsia="宋体"/>
          <w:color w:val="auto"/>
          <w:sz w:val="24"/>
          <w:highlight w:val="none"/>
        </w:rPr>
        <w:t>.1</w:t>
      </w:r>
      <w:r>
        <w:rPr>
          <w:rFonts w:hint="eastAsia" w:eastAsia="宋体"/>
          <w:color w:val="auto"/>
          <w:sz w:val="24"/>
          <w:highlight w:val="none"/>
        </w:rPr>
        <w:t>需要补充的其他内容：见投标人须知前附表。</w:t>
      </w:r>
    </w:p>
    <w:p w14:paraId="1BD29CBA">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561" w:name="_Toc4492"/>
      <w:bookmarkStart w:id="562" w:name="_Toc163492883"/>
      <w:bookmarkStart w:id="563" w:name="_Toc5587"/>
      <w:bookmarkStart w:id="564" w:name="_Toc16633"/>
      <w:bookmarkStart w:id="565" w:name="_Toc155185886"/>
      <w:bookmarkStart w:id="566" w:name="_Toc5942"/>
      <w:bookmarkStart w:id="567" w:name="_Toc31803"/>
      <w:bookmarkStart w:id="568" w:name="_Toc140132810"/>
      <w:r>
        <w:rPr>
          <w:rFonts w:hint="eastAsia" w:ascii="宋体" w:hAnsi="宋体" w:eastAsia="宋体" w:cs="宋体"/>
          <w:b/>
          <w:bCs/>
          <w:color w:val="auto"/>
          <w:kern w:val="2"/>
          <w:sz w:val="24"/>
          <w:szCs w:val="28"/>
          <w:highlight w:val="none"/>
          <w:lang w:val="en-US" w:eastAsia="zh-CN" w:bidi="ar-SA"/>
        </w:rPr>
        <w:t>49.适用法律</w:t>
      </w:r>
      <w:bookmarkEnd w:id="561"/>
      <w:bookmarkEnd w:id="562"/>
      <w:bookmarkEnd w:id="563"/>
      <w:bookmarkEnd w:id="564"/>
      <w:bookmarkEnd w:id="565"/>
      <w:bookmarkEnd w:id="566"/>
      <w:bookmarkEnd w:id="567"/>
      <w:bookmarkEnd w:id="568"/>
    </w:p>
    <w:p w14:paraId="0953B8AD">
      <w:pPr>
        <w:pStyle w:val="38"/>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49</w:t>
      </w:r>
      <w:r>
        <w:rPr>
          <w:rFonts w:eastAsia="宋体"/>
          <w:snapToGrid w:val="0"/>
          <w:color w:val="auto"/>
          <w:sz w:val="24"/>
          <w:highlight w:val="none"/>
        </w:rPr>
        <w:t>.1</w:t>
      </w:r>
      <w:r>
        <w:rPr>
          <w:rFonts w:hint="eastAsia" w:eastAsia="宋体"/>
          <w:snapToGrid w:val="0"/>
          <w:color w:val="auto"/>
          <w:sz w:val="24"/>
          <w:highlight w:val="none"/>
        </w:rPr>
        <w:t>采购人、采购代理机构及投标人的一切采购活动均适用《中华人民共和国政府采购法》、《中华人民共和国政府采购法实施条例》、《政府采购货物和服务招标投标管理办法》（财政部令第87号）及相关法律法规。</w:t>
      </w:r>
    </w:p>
    <w:p w14:paraId="6AD32247">
      <w:pPr>
        <w:pStyle w:val="38"/>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snapToGrid w:val="0"/>
          <w:color w:val="auto"/>
          <w:sz w:val="24"/>
          <w:highlight w:val="none"/>
          <w:lang w:val="en-US" w:eastAsia="zh-CN"/>
        </w:rPr>
        <w:t>49</w:t>
      </w:r>
      <w:r>
        <w:rPr>
          <w:rFonts w:eastAsia="宋体"/>
          <w:snapToGrid w:val="0"/>
          <w:color w:val="auto"/>
          <w:sz w:val="24"/>
          <w:highlight w:val="none"/>
        </w:rPr>
        <w:t>.2</w:t>
      </w:r>
      <w:r>
        <w:rPr>
          <w:rFonts w:hint="eastAsia" w:eastAsia="宋体"/>
          <w:snapToGrid w:val="0"/>
          <w:color w:val="auto"/>
          <w:sz w:val="24"/>
          <w:highlight w:val="none"/>
        </w:rPr>
        <w:t>政府采购合同的履行、违约责任和解决争议的方法等适用《中华人民共和国民法典》。</w:t>
      </w:r>
    </w:p>
    <w:p w14:paraId="468836B9">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569" w:name="_Toc26457"/>
      <w:bookmarkStart w:id="570" w:name="_Toc155185887"/>
      <w:bookmarkStart w:id="571" w:name="_Toc12709"/>
      <w:bookmarkStart w:id="572" w:name="_Toc26968"/>
      <w:bookmarkStart w:id="573" w:name="_Toc163492884"/>
      <w:bookmarkStart w:id="574" w:name="_Toc18236"/>
      <w:bookmarkStart w:id="575" w:name="_Toc15020"/>
      <w:r>
        <w:rPr>
          <w:rFonts w:hint="eastAsia" w:ascii="宋体" w:hAnsi="宋体" w:eastAsia="宋体" w:cs="宋体"/>
          <w:b/>
          <w:bCs/>
          <w:color w:val="auto"/>
          <w:kern w:val="2"/>
          <w:sz w:val="24"/>
          <w:szCs w:val="28"/>
          <w:highlight w:val="none"/>
          <w:lang w:val="en-US" w:eastAsia="zh-CN" w:bidi="ar-SA"/>
        </w:rPr>
        <w:t>50.解释权</w:t>
      </w:r>
      <w:bookmarkEnd w:id="569"/>
      <w:bookmarkEnd w:id="570"/>
      <w:bookmarkEnd w:id="571"/>
      <w:bookmarkEnd w:id="572"/>
      <w:bookmarkEnd w:id="573"/>
      <w:bookmarkEnd w:id="574"/>
      <w:bookmarkEnd w:id="575"/>
    </w:p>
    <w:p w14:paraId="5C6D27F8">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r>
        <w:rPr>
          <w:rFonts w:hint="eastAsia" w:eastAsia="宋体"/>
          <w:snapToGrid w:val="0"/>
          <w:color w:val="auto"/>
          <w:sz w:val="24"/>
          <w:highlight w:val="none"/>
          <w:lang w:val="en-US" w:eastAsia="zh-CN"/>
        </w:rPr>
        <w:t>50</w:t>
      </w:r>
      <w:r>
        <w:rPr>
          <w:rFonts w:eastAsia="宋体"/>
          <w:snapToGrid w:val="0"/>
          <w:color w:val="auto"/>
          <w:sz w:val="24"/>
          <w:highlight w:val="none"/>
        </w:rPr>
        <w:t>.</w:t>
      </w:r>
      <w:r>
        <w:rPr>
          <w:rFonts w:hint="eastAsia" w:eastAsia="宋体"/>
          <w:snapToGrid w:val="0"/>
          <w:color w:val="auto"/>
          <w:sz w:val="24"/>
          <w:highlight w:val="none"/>
        </w:rPr>
        <w:t>1本招标文件最终解释权归采购人或采购代理机构所有。</w:t>
      </w:r>
    </w:p>
    <w:p w14:paraId="796E8E07">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65E035A0">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5316BD8F">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3F4CB083">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04DABD00">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38EF531B">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3B07C7EC">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3D61C0CB">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0F3F5E03">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1CD5ED59">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62A823BE">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16F310BA">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5AF2E4F4">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1A52268B">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1E9239D8">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797E2C0E">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64068D7B">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0E4076EA">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1139BE34">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3D1A36A9">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7C80F52D">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11D60E67">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3C4FFB3F">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3DF3255C">
      <w:pPr>
        <w:pStyle w:val="38"/>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p>
    <w:p w14:paraId="70704BD1">
      <w:pPr>
        <w:pStyle w:val="3"/>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576" w:name="_Toc1931"/>
      <w:bookmarkStart w:id="577" w:name="_Toc155185888"/>
      <w:r>
        <w:rPr>
          <w:rFonts w:hint="eastAsia" w:ascii="宋体" w:hAnsi="宋体" w:eastAsia="宋体" w:cs="宋体"/>
          <w:b/>
          <w:bCs/>
          <w:color w:val="auto"/>
          <w:kern w:val="44"/>
          <w:sz w:val="36"/>
          <w:szCs w:val="36"/>
          <w:highlight w:val="none"/>
          <w:lang w:val="en-US" w:eastAsia="zh-CN" w:bidi="ar-SA"/>
        </w:rPr>
        <w:t>第三章 采购需求</w:t>
      </w:r>
      <w:bookmarkEnd w:id="576"/>
      <w:bookmarkEnd w:id="577"/>
    </w:p>
    <w:p w14:paraId="74BCECBF">
      <w:pPr>
        <w:pStyle w:val="4"/>
        <w:bidi w:val="0"/>
        <w:spacing w:before="0" w:after="0" w:line="360" w:lineRule="auto"/>
        <w:rPr>
          <w:rFonts w:hint="eastAsia"/>
          <w:sz w:val="28"/>
          <w:szCs w:val="28"/>
          <w:highlight w:val="none"/>
          <w:lang w:val="en-US" w:eastAsia="zh-CN"/>
        </w:rPr>
      </w:pPr>
      <w:bookmarkStart w:id="578" w:name="_Toc22539"/>
      <w:bookmarkStart w:id="579" w:name="_Toc155185889"/>
      <w:bookmarkStart w:id="580" w:name="_Toc140132812"/>
      <w:r>
        <w:rPr>
          <w:rFonts w:hint="eastAsia"/>
          <w:sz w:val="28"/>
          <w:szCs w:val="28"/>
          <w:highlight w:val="none"/>
          <w:lang w:val="en-US" w:eastAsia="zh-CN"/>
        </w:rPr>
        <w:t>一、采购标的</w:t>
      </w:r>
      <w:bookmarkEnd w:id="578"/>
      <w:r>
        <w:rPr>
          <w:rFonts w:hint="eastAsia"/>
          <w:sz w:val="28"/>
          <w:szCs w:val="28"/>
          <w:highlight w:val="none"/>
          <w:lang w:val="en-US" w:eastAsia="zh-CN"/>
        </w:rPr>
        <w:t xml:space="preserve"> </w:t>
      </w:r>
    </w:p>
    <w:p w14:paraId="3E57EDE4">
      <w:pPr>
        <w:pStyle w:val="38"/>
        <w:keepNext w:val="0"/>
        <w:keepLines w:val="0"/>
        <w:pageBreakBefore w:val="0"/>
        <w:widowControl w:val="0"/>
        <w:kinsoku/>
        <w:overflowPunct/>
        <w:topLinePunct w:val="0"/>
        <w:autoSpaceDE/>
        <w:autoSpaceDN/>
        <w:bidi w:val="0"/>
        <w:adjustRightInd/>
        <w:spacing w:line="360" w:lineRule="auto"/>
        <w:textAlignment w:val="auto"/>
        <w:rPr>
          <w:rFonts w:hint="eastAsia"/>
          <w:snapToGrid w:val="0"/>
          <w:color w:val="auto"/>
          <w:sz w:val="24"/>
          <w:szCs w:val="24"/>
          <w:highlight w:val="none"/>
          <w:lang w:val="en-US" w:eastAsia="zh-CN"/>
        </w:rPr>
      </w:pPr>
      <w:r>
        <w:rPr>
          <w:rFonts w:hint="default"/>
          <w:snapToGrid w:val="0"/>
          <w:color w:val="auto"/>
          <w:sz w:val="24"/>
          <w:szCs w:val="24"/>
          <w:highlight w:val="none"/>
          <w:lang w:val="en-US" w:eastAsia="zh-CN"/>
        </w:rPr>
        <w:t xml:space="preserve">1. </w:t>
      </w:r>
      <w:r>
        <w:rPr>
          <w:rFonts w:hint="eastAsia"/>
          <w:snapToGrid w:val="0"/>
          <w:color w:val="auto"/>
          <w:sz w:val="24"/>
          <w:szCs w:val="24"/>
          <w:highlight w:val="none"/>
          <w:lang w:val="en-US" w:eastAsia="zh-CN"/>
        </w:rPr>
        <w:t>采购标的</w:t>
      </w:r>
    </w:p>
    <w:tbl>
      <w:tblPr>
        <w:tblStyle w:val="31"/>
        <w:tblW w:w="84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3136"/>
        <w:gridCol w:w="1217"/>
        <w:gridCol w:w="1116"/>
        <w:gridCol w:w="1703"/>
      </w:tblGrid>
      <w:tr w14:paraId="672C2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7" w:hRule="atLeast"/>
          <w:jc w:val="center"/>
        </w:trPr>
        <w:tc>
          <w:tcPr>
            <w:tcW w:w="1216" w:type="dxa"/>
            <w:noWrap w:val="0"/>
            <w:vAlign w:val="center"/>
          </w:tcPr>
          <w:p w14:paraId="367C8316">
            <w:pPr>
              <w:spacing w:line="360" w:lineRule="auto"/>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序号</w:t>
            </w:r>
          </w:p>
        </w:tc>
        <w:tc>
          <w:tcPr>
            <w:tcW w:w="3136" w:type="dxa"/>
            <w:noWrap w:val="0"/>
            <w:vAlign w:val="center"/>
          </w:tcPr>
          <w:p w14:paraId="7E024BC1">
            <w:pPr>
              <w:spacing w:line="360" w:lineRule="auto"/>
              <w:jc w:val="center"/>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标的名称</w:t>
            </w:r>
          </w:p>
        </w:tc>
        <w:tc>
          <w:tcPr>
            <w:tcW w:w="1217" w:type="dxa"/>
            <w:noWrap w:val="0"/>
            <w:vAlign w:val="center"/>
          </w:tcPr>
          <w:p w14:paraId="0DC6BF58">
            <w:pPr>
              <w:spacing w:line="360" w:lineRule="auto"/>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计量</w:t>
            </w:r>
          </w:p>
          <w:p w14:paraId="40851E14">
            <w:pPr>
              <w:spacing w:line="360" w:lineRule="auto"/>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单位</w:t>
            </w:r>
          </w:p>
        </w:tc>
        <w:tc>
          <w:tcPr>
            <w:tcW w:w="1116" w:type="dxa"/>
            <w:noWrap w:val="0"/>
            <w:vAlign w:val="center"/>
          </w:tcPr>
          <w:p w14:paraId="658570FF">
            <w:pPr>
              <w:spacing w:line="360" w:lineRule="auto"/>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数量</w:t>
            </w:r>
          </w:p>
        </w:tc>
        <w:tc>
          <w:tcPr>
            <w:tcW w:w="1703" w:type="dxa"/>
            <w:noWrap w:val="0"/>
            <w:vAlign w:val="center"/>
          </w:tcPr>
          <w:p w14:paraId="31437EA9">
            <w:pPr>
              <w:spacing w:line="360" w:lineRule="auto"/>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是否</w:t>
            </w:r>
          </w:p>
          <w:p w14:paraId="274FC092">
            <w:pPr>
              <w:spacing w:line="360" w:lineRule="auto"/>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进口</w:t>
            </w:r>
          </w:p>
        </w:tc>
      </w:tr>
      <w:tr w14:paraId="3BEF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9" w:hRule="atLeast"/>
          <w:jc w:val="center"/>
        </w:trPr>
        <w:tc>
          <w:tcPr>
            <w:tcW w:w="1216" w:type="dxa"/>
            <w:noWrap w:val="0"/>
            <w:vAlign w:val="center"/>
          </w:tcPr>
          <w:p w14:paraId="79DE0BDC">
            <w:pPr>
              <w:adjustRightInd w:val="0"/>
              <w:snapToGrid w:val="0"/>
              <w:spacing w:line="360" w:lineRule="auto"/>
              <w:jc w:val="center"/>
              <w:rPr>
                <w:rFonts w:hint="eastAsia" w:ascii="仿宋" w:hAnsi="仿宋" w:eastAsia="仿宋" w:cs="仿宋"/>
                <w:color w:val="auto"/>
                <w:kern w:val="0"/>
                <w:sz w:val="24"/>
                <w:szCs w:val="24"/>
                <w:highlight w:val="none"/>
                <w:u w:val="none"/>
                <w:shd w:val="clear" w:color="auto" w:fill="auto"/>
                <w:lang w:val="en-US" w:eastAsia="zh-CN" w:bidi="ar-SA"/>
              </w:rPr>
            </w:pPr>
            <w:r>
              <w:rPr>
                <w:rFonts w:hint="eastAsia" w:ascii="仿宋" w:hAnsi="仿宋" w:eastAsia="仿宋" w:cs="仿宋"/>
                <w:color w:val="auto"/>
                <w:kern w:val="0"/>
                <w:sz w:val="24"/>
                <w:szCs w:val="24"/>
                <w:highlight w:val="none"/>
                <w:u w:val="none"/>
                <w:shd w:val="clear" w:color="auto" w:fill="auto"/>
                <w:lang w:val="en-US" w:eastAsia="zh-CN" w:bidi="ar-SA"/>
              </w:rPr>
              <w:t>1</w:t>
            </w:r>
          </w:p>
        </w:tc>
        <w:tc>
          <w:tcPr>
            <w:tcW w:w="3136" w:type="dxa"/>
            <w:noWrap w:val="0"/>
            <w:vAlign w:val="center"/>
          </w:tcPr>
          <w:p w14:paraId="5D55A14E">
            <w:pPr>
              <w:adjustRightInd w:val="0"/>
              <w:snapToGrid w:val="0"/>
              <w:spacing w:line="360" w:lineRule="auto"/>
              <w:jc w:val="center"/>
              <w:rPr>
                <w:rFonts w:hint="eastAsia" w:ascii="仿宋" w:hAnsi="仿宋" w:eastAsia="仿宋" w:cs="仿宋"/>
                <w:b w:val="0"/>
                <w:bCs w:val="0"/>
                <w:color w:val="auto"/>
                <w:kern w:val="0"/>
                <w:sz w:val="24"/>
                <w:szCs w:val="24"/>
                <w:highlight w:val="none"/>
                <w:u w:val="none"/>
                <w:shd w:val="clear" w:color="auto" w:fill="auto"/>
                <w:lang w:val="en-US" w:eastAsia="zh-CN" w:bidi="ar-SA"/>
              </w:rPr>
            </w:pPr>
            <w:r>
              <w:rPr>
                <w:rFonts w:hint="eastAsia" w:ascii="仿宋" w:hAnsi="仿宋" w:eastAsia="仿宋" w:cs="仿宋"/>
                <w:b w:val="0"/>
                <w:bCs w:val="0"/>
                <w:color w:val="auto"/>
                <w:kern w:val="0"/>
                <w:sz w:val="24"/>
                <w:szCs w:val="24"/>
                <w:highlight w:val="none"/>
                <w:u w:val="none"/>
                <w:shd w:val="clear" w:color="auto" w:fill="auto"/>
                <w:lang w:val="en-US" w:eastAsia="zh-CN" w:bidi="ar-SA"/>
              </w:rPr>
              <w:t>消防救援车</w:t>
            </w:r>
          </w:p>
        </w:tc>
        <w:tc>
          <w:tcPr>
            <w:tcW w:w="1217" w:type="dxa"/>
            <w:noWrap w:val="0"/>
            <w:vAlign w:val="center"/>
          </w:tcPr>
          <w:p w14:paraId="20B2E266">
            <w:pPr>
              <w:adjustRightInd w:val="0"/>
              <w:snapToGrid w:val="0"/>
              <w:spacing w:line="360" w:lineRule="auto"/>
              <w:jc w:val="center"/>
              <w:rPr>
                <w:rFonts w:hint="eastAsia" w:ascii="仿宋" w:hAnsi="仿宋" w:eastAsia="仿宋" w:cs="仿宋"/>
                <w:b w:val="0"/>
                <w:bCs w:val="0"/>
                <w:color w:val="auto"/>
                <w:kern w:val="0"/>
                <w:sz w:val="24"/>
                <w:szCs w:val="24"/>
                <w:highlight w:val="none"/>
                <w:u w:val="none"/>
                <w:shd w:val="clear" w:color="auto" w:fill="auto"/>
                <w:lang w:val="en-US" w:eastAsia="zh-CN" w:bidi="ar-SA"/>
              </w:rPr>
            </w:pPr>
            <w:r>
              <w:rPr>
                <w:rFonts w:hint="eastAsia" w:ascii="仿宋" w:hAnsi="仿宋" w:eastAsia="仿宋" w:cs="仿宋"/>
                <w:b w:val="0"/>
                <w:bCs w:val="0"/>
                <w:color w:val="auto"/>
                <w:kern w:val="0"/>
                <w:sz w:val="24"/>
                <w:szCs w:val="24"/>
                <w:highlight w:val="none"/>
                <w:u w:val="none"/>
                <w:shd w:val="clear" w:color="auto" w:fill="auto"/>
                <w:lang w:val="en-US" w:eastAsia="zh-CN" w:bidi="ar-SA"/>
              </w:rPr>
              <w:t>辆</w:t>
            </w:r>
          </w:p>
        </w:tc>
        <w:tc>
          <w:tcPr>
            <w:tcW w:w="1116" w:type="dxa"/>
            <w:noWrap w:val="0"/>
            <w:vAlign w:val="center"/>
          </w:tcPr>
          <w:p w14:paraId="4E97807D">
            <w:pPr>
              <w:adjustRightInd w:val="0"/>
              <w:snapToGrid w:val="0"/>
              <w:spacing w:line="360" w:lineRule="auto"/>
              <w:jc w:val="center"/>
              <w:rPr>
                <w:rFonts w:hint="eastAsia" w:ascii="仿宋" w:hAnsi="仿宋" w:eastAsia="仿宋" w:cs="仿宋"/>
                <w:b w:val="0"/>
                <w:bCs w:val="0"/>
                <w:color w:val="auto"/>
                <w:kern w:val="0"/>
                <w:sz w:val="24"/>
                <w:szCs w:val="24"/>
                <w:highlight w:val="none"/>
                <w:u w:val="none"/>
                <w:shd w:val="clear" w:color="auto" w:fill="auto"/>
                <w:lang w:val="en-US" w:eastAsia="zh-CN" w:bidi="ar-SA"/>
              </w:rPr>
            </w:pPr>
            <w:r>
              <w:rPr>
                <w:rFonts w:hint="eastAsia" w:ascii="仿宋" w:hAnsi="仿宋" w:eastAsia="仿宋" w:cs="仿宋"/>
                <w:b w:val="0"/>
                <w:bCs w:val="0"/>
                <w:color w:val="auto"/>
                <w:kern w:val="0"/>
                <w:sz w:val="24"/>
                <w:szCs w:val="24"/>
                <w:highlight w:val="none"/>
                <w:u w:val="none"/>
                <w:shd w:val="clear" w:color="auto" w:fill="auto"/>
                <w:lang w:val="en-US" w:eastAsia="zh-CN" w:bidi="ar-SA"/>
              </w:rPr>
              <w:t>1</w:t>
            </w:r>
          </w:p>
        </w:tc>
        <w:tc>
          <w:tcPr>
            <w:tcW w:w="1703" w:type="dxa"/>
            <w:noWrap w:val="0"/>
            <w:vAlign w:val="center"/>
          </w:tcPr>
          <w:p w14:paraId="409C9E4D">
            <w:pPr>
              <w:adjustRightInd w:val="0"/>
              <w:snapToGrid w:val="0"/>
              <w:spacing w:line="360" w:lineRule="auto"/>
              <w:jc w:val="center"/>
              <w:rPr>
                <w:rFonts w:hint="eastAsia" w:ascii="仿宋" w:hAnsi="仿宋" w:eastAsia="仿宋" w:cs="仿宋"/>
                <w:b w:val="0"/>
                <w:bCs w:val="0"/>
                <w:color w:val="auto"/>
                <w:kern w:val="0"/>
                <w:sz w:val="24"/>
                <w:szCs w:val="24"/>
                <w:highlight w:val="none"/>
                <w:u w:val="none"/>
                <w:shd w:val="clear" w:color="auto" w:fill="auto"/>
                <w:lang w:val="en-US" w:eastAsia="zh-CN" w:bidi="ar-SA"/>
              </w:rPr>
            </w:pPr>
            <w:r>
              <w:rPr>
                <w:rFonts w:hint="eastAsia" w:ascii="仿宋" w:hAnsi="仿宋" w:eastAsia="仿宋" w:cs="仿宋"/>
                <w:b w:val="0"/>
                <w:bCs w:val="0"/>
                <w:color w:val="auto"/>
                <w:kern w:val="0"/>
                <w:sz w:val="24"/>
                <w:szCs w:val="24"/>
                <w:highlight w:val="none"/>
                <w:u w:val="none"/>
                <w:shd w:val="clear" w:color="auto" w:fill="auto"/>
                <w:lang w:val="en-US" w:eastAsia="zh-CN" w:bidi="ar-SA"/>
              </w:rPr>
              <w:t>否</w:t>
            </w:r>
          </w:p>
        </w:tc>
      </w:tr>
      <w:tr w14:paraId="4916A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9" w:hRule="atLeast"/>
          <w:jc w:val="center"/>
        </w:trPr>
        <w:tc>
          <w:tcPr>
            <w:tcW w:w="1216" w:type="dxa"/>
            <w:noWrap w:val="0"/>
            <w:vAlign w:val="center"/>
          </w:tcPr>
          <w:p w14:paraId="24B16B52">
            <w:pPr>
              <w:adjustRightInd w:val="0"/>
              <w:snapToGrid w:val="0"/>
              <w:spacing w:line="360" w:lineRule="auto"/>
              <w:jc w:val="center"/>
              <w:rPr>
                <w:rFonts w:hint="default" w:ascii="仿宋" w:hAnsi="仿宋" w:eastAsia="仿宋" w:cs="仿宋"/>
                <w:color w:val="auto"/>
                <w:kern w:val="0"/>
                <w:sz w:val="24"/>
                <w:szCs w:val="24"/>
                <w:highlight w:val="none"/>
                <w:u w:val="none"/>
                <w:shd w:val="clear" w:color="auto" w:fill="auto"/>
                <w:lang w:val="en-US" w:eastAsia="zh-CN" w:bidi="ar-SA"/>
              </w:rPr>
            </w:pPr>
            <w:r>
              <w:rPr>
                <w:rFonts w:hint="eastAsia" w:ascii="仿宋" w:hAnsi="仿宋" w:eastAsia="仿宋" w:cs="仿宋"/>
                <w:color w:val="auto"/>
                <w:kern w:val="0"/>
                <w:sz w:val="24"/>
                <w:szCs w:val="24"/>
                <w:highlight w:val="none"/>
                <w:u w:val="none"/>
                <w:shd w:val="clear" w:color="auto" w:fill="auto"/>
                <w:lang w:val="en-US" w:eastAsia="zh-CN" w:bidi="ar-SA"/>
              </w:rPr>
              <w:t>2</w:t>
            </w:r>
          </w:p>
        </w:tc>
        <w:tc>
          <w:tcPr>
            <w:tcW w:w="3136" w:type="dxa"/>
            <w:noWrap w:val="0"/>
            <w:vAlign w:val="center"/>
          </w:tcPr>
          <w:p w14:paraId="689692FA">
            <w:pPr>
              <w:adjustRightInd w:val="0"/>
              <w:snapToGrid w:val="0"/>
              <w:spacing w:line="360" w:lineRule="auto"/>
              <w:jc w:val="center"/>
              <w:rPr>
                <w:rFonts w:hint="eastAsia" w:ascii="仿宋" w:hAnsi="仿宋" w:eastAsia="仿宋" w:cs="仿宋"/>
                <w:b w:val="0"/>
                <w:bCs w:val="0"/>
                <w:color w:val="auto"/>
                <w:kern w:val="0"/>
                <w:sz w:val="24"/>
                <w:szCs w:val="24"/>
                <w:highlight w:val="none"/>
                <w:u w:val="none"/>
                <w:shd w:val="clear" w:color="auto" w:fill="auto"/>
                <w:lang w:val="en-US" w:eastAsia="zh-CN" w:bidi="ar-SA"/>
              </w:rPr>
            </w:pPr>
            <w:r>
              <w:rPr>
                <w:rFonts w:hint="eastAsia" w:ascii="仿宋" w:hAnsi="仿宋" w:eastAsia="仿宋" w:cs="仿宋"/>
                <w:b w:val="0"/>
                <w:bCs w:val="0"/>
                <w:color w:val="auto"/>
                <w:kern w:val="0"/>
                <w:sz w:val="24"/>
                <w:szCs w:val="24"/>
                <w:highlight w:val="none"/>
                <w:u w:val="none"/>
                <w:shd w:val="clear" w:color="auto" w:fill="auto"/>
                <w:lang w:val="en-US" w:eastAsia="zh-CN" w:bidi="ar-SA"/>
              </w:rPr>
              <w:t>25T水罐消防车</w:t>
            </w:r>
          </w:p>
        </w:tc>
        <w:tc>
          <w:tcPr>
            <w:tcW w:w="1217" w:type="dxa"/>
            <w:noWrap w:val="0"/>
            <w:vAlign w:val="center"/>
          </w:tcPr>
          <w:p w14:paraId="2FEB74A3">
            <w:pPr>
              <w:adjustRightInd w:val="0"/>
              <w:snapToGrid w:val="0"/>
              <w:spacing w:line="360" w:lineRule="auto"/>
              <w:jc w:val="center"/>
              <w:rPr>
                <w:rFonts w:hint="default" w:ascii="仿宋" w:hAnsi="仿宋" w:eastAsia="仿宋" w:cs="仿宋"/>
                <w:b w:val="0"/>
                <w:bCs w:val="0"/>
                <w:color w:val="auto"/>
                <w:kern w:val="0"/>
                <w:sz w:val="24"/>
                <w:szCs w:val="24"/>
                <w:highlight w:val="none"/>
                <w:u w:val="none"/>
                <w:shd w:val="clear" w:color="auto" w:fill="auto"/>
                <w:lang w:val="en-US" w:eastAsia="zh-CN" w:bidi="ar-SA"/>
              </w:rPr>
            </w:pPr>
            <w:r>
              <w:rPr>
                <w:rFonts w:hint="eastAsia" w:ascii="仿宋" w:hAnsi="仿宋" w:eastAsia="仿宋" w:cs="仿宋"/>
                <w:b w:val="0"/>
                <w:bCs w:val="0"/>
                <w:color w:val="auto"/>
                <w:kern w:val="0"/>
                <w:sz w:val="24"/>
                <w:szCs w:val="24"/>
                <w:highlight w:val="none"/>
                <w:u w:val="none"/>
                <w:shd w:val="clear" w:color="auto" w:fill="auto"/>
                <w:lang w:val="en-US" w:eastAsia="zh-CN" w:bidi="ar-SA"/>
              </w:rPr>
              <w:t>辆</w:t>
            </w:r>
          </w:p>
        </w:tc>
        <w:tc>
          <w:tcPr>
            <w:tcW w:w="1116" w:type="dxa"/>
            <w:noWrap w:val="0"/>
            <w:vAlign w:val="center"/>
          </w:tcPr>
          <w:p w14:paraId="3AF953D7">
            <w:pPr>
              <w:adjustRightInd w:val="0"/>
              <w:snapToGrid w:val="0"/>
              <w:spacing w:line="360" w:lineRule="auto"/>
              <w:jc w:val="center"/>
              <w:rPr>
                <w:rFonts w:hint="default" w:ascii="仿宋" w:hAnsi="仿宋" w:eastAsia="仿宋" w:cs="仿宋"/>
                <w:b w:val="0"/>
                <w:bCs w:val="0"/>
                <w:color w:val="auto"/>
                <w:kern w:val="0"/>
                <w:sz w:val="24"/>
                <w:szCs w:val="24"/>
                <w:highlight w:val="none"/>
                <w:u w:val="none"/>
                <w:shd w:val="clear" w:color="auto" w:fill="auto"/>
                <w:lang w:val="en-US" w:eastAsia="zh-CN" w:bidi="ar-SA"/>
              </w:rPr>
            </w:pPr>
            <w:r>
              <w:rPr>
                <w:rFonts w:hint="eastAsia" w:ascii="仿宋" w:hAnsi="仿宋" w:eastAsia="仿宋" w:cs="仿宋"/>
                <w:b w:val="0"/>
                <w:bCs w:val="0"/>
                <w:color w:val="auto"/>
                <w:kern w:val="0"/>
                <w:sz w:val="24"/>
                <w:szCs w:val="24"/>
                <w:highlight w:val="none"/>
                <w:u w:val="none"/>
                <w:shd w:val="clear" w:color="auto" w:fill="auto"/>
                <w:lang w:val="en-US" w:eastAsia="zh-CN" w:bidi="ar-SA"/>
              </w:rPr>
              <w:t>1</w:t>
            </w:r>
          </w:p>
        </w:tc>
        <w:tc>
          <w:tcPr>
            <w:tcW w:w="1703" w:type="dxa"/>
            <w:noWrap w:val="0"/>
            <w:vAlign w:val="center"/>
          </w:tcPr>
          <w:p w14:paraId="1358C0BB">
            <w:pPr>
              <w:adjustRightInd w:val="0"/>
              <w:snapToGrid w:val="0"/>
              <w:spacing w:line="360" w:lineRule="auto"/>
              <w:jc w:val="center"/>
              <w:rPr>
                <w:rFonts w:hint="default" w:ascii="仿宋" w:hAnsi="仿宋" w:eastAsia="仿宋" w:cs="仿宋"/>
                <w:b w:val="0"/>
                <w:bCs w:val="0"/>
                <w:color w:val="auto"/>
                <w:kern w:val="0"/>
                <w:sz w:val="24"/>
                <w:szCs w:val="24"/>
                <w:highlight w:val="none"/>
                <w:u w:val="none"/>
                <w:shd w:val="clear" w:color="auto" w:fill="auto"/>
                <w:lang w:val="en-US" w:eastAsia="zh-CN" w:bidi="ar-SA"/>
              </w:rPr>
            </w:pPr>
            <w:r>
              <w:rPr>
                <w:rFonts w:hint="eastAsia" w:ascii="仿宋" w:hAnsi="仿宋" w:eastAsia="仿宋" w:cs="仿宋"/>
                <w:b w:val="0"/>
                <w:bCs w:val="0"/>
                <w:color w:val="auto"/>
                <w:kern w:val="0"/>
                <w:sz w:val="24"/>
                <w:szCs w:val="24"/>
                <w:highlight w:val="none"/>
                <w:u w:val="none"/>
                <w:shd w:val="clear" w:color="auto" w:fill="auto"/>
                <w:lang w:val="en-US" w:eastAsia="zh-CN" w:bidi="ar-SA"/>
              </w:rPr>
              <w:t>否</w:t>
            </w:r>
          </w:p>
        </w:tc>
      </w:tr>
      <w:tr w14:paraId="7FCC4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9" w:hRule="atLeast"/>
          <w:jc w:val="center"/>
        </w:trPr>
        <w:tc>
          <w:tcPr>
            <w:tcW w:w="1216" w:type="dxa"/>
            <w:noWrap w:val="0"/>
            <w:vAlign w:val="center"/>
          </w:tcPr>
          <w:p w14:paraId="6BF1676B">
            <w:pPr>
              <w:adjustRightInd w:val="0"/>
              <w:snapToGrid w:val="0"/>
              <w:spacing w:line="360" w:lineRule="auto"/>
              <w:jc w:val="center"/>
              <w:rPr>
                <w:rFonts w:hint="default" w:ascii="仿宋" w:hAnsi="仿宋" w:eastAsia="仿宋" w:cs="仿宋"/>
                <w:b w:val="0"/>
                <w:bCs w:val="0"/>
                <w:color w:val="auto"/>
                <w:kern w:val="0"/>
                <w:sz w:val="24"/>
                <w:szCs w:val="24"/>
                <w:highlight w:val="none"/>
                <w:u w:val="none"/>
                <w:shd w:val="clear" w:color="auto" w:fill="auto"/>
                <w:lang w:val="en-US" w:eastAsia="zh-CN" w:bidi="ar-SA"/>
              </w:rPr>
            </w:pPr>
            <w:r>
              <w:rPr>
                <w:rFonts w:hint="eastAsia" w:ascii="仿宋" w:hAnsi="仿宋" w:eastAsia="仿宋" w:cs="仿宋"/>
                <w:b w:val="0"/>
                <w:bCs w:val="0"/>
                <w:color w:val="auto"/>
                <w:kern w:val="0"/>
                <w:sz w:val="24"/>
                <w:szCs w:val="24"/>
                <w:highlight w:val="none"/>
                <w:u w:val="none"/>
                <w:shd w:val="clear" w:color="auto" w:fill="auto"/>
                <w:lang w:val="en-US" w:eastAsia="zh-CN" w:bidi="ar-SA"/>
              </w:rPr>
              <w:t>3</w:t>
            </w:r>
          </w:p>
        </w:tc>
        <w:tc>
          <w:tcPr>
            <w:tcW w:w="3136" w:type="dxa"/>
            <w:noWrap w:val="0"/>
            <w:vAlign w:val="center"/>
          </w:tcPr>
          <w:p w14:paraId="02E35F63">
            <w:pPr>
              <w:adjustRightInd w:val="0"/>
              <w:snapToGrid w:val="0"/>
              <w:spacing w:line="360" w:lineRule="auto"/>
              <w:jc w:val="center"/>
              <w:rPr>
                <w:rFonts w:hint="eastAsia" w:ascii="仿宋" w:hAnsi="仿宋" w:eastAsia="仿宋" w:cs="仿宋"/>
                <w:b w:val="0"/>
                <w:bCs w:val="0"/>
                <w:color w:val="auto"/>
                <w:kern w:val="0"/>
                <w:sz w:val="24"/>
                <w:szCs w:val="24"/>
                <w:highlight w:val="none"/>
                <w:u w:val="none"/>
                <w:shd w:val="clear" w:color="auto" w:fill="auto"/>
                <w:lang w:val="en-US" w:eastAsia="zh-CN" w:bidi="ar-SA"/>
              </w:rPr>
            </w:pPr>
            <w:r>
              <w:rPr>
                <w:rFonts w:hint="eastAsia" w:ascii="宋体" w:hAnsi="宋体" w:eastAsia="宋体" w:cs="宋体"/>
                <w:b/>
                <w:bCs/>
                <w:color w:val="000000"/>
                <w:sz w:val="24"/>
                <w:szCs w:val="24"/>
                <w:highlight w:val="none"/>
              </w:rPr>
              <w:t>＃</w:t>
            </w:r>
            <w:r>
              <w:rPr>
                <w:rFonts w:hint="eastAsia" w:ascii="仿宋" w:hAnsi="仿宋" w:eastAsia="仿宋" w:cs="仿宋"/>
                <w:b w:val="0"/>
                <w:bCs w:val="0"/>
                <w:color w:val="auto"/>
                <w:kern w:val="0"/>
                <w:sz w:val="24"/>
                <w:szCs w:val="24"/>
                <w:highlight w:val="none"/>
                <w:u w:val="none"/>
                <w:shd w:val="clear" w:color="auto" w:fill="auto"/>
                <w:lang w:val="en-US" w:eastAsia="zh-CN" w:bidi="ar-SA"/>
              </w:rPr>
              <w:t>前突器材消防车</w:t>
            </w:r>
          </w:p>
        </w:tc>
        <w:tc>
          <w:tcPr>
            <w:tcW w:w="1217" w:type="dxa"/>
            <w:noWrap w:val="0"/>
            <w:vAlign w:val="center"/>
          </w:tcPr>
          <w:p w14:paraId="5AE04FDB">
            <w:pPr>
              <w:adjustRightInd w:val="0"/>
              <w:snapToGrid w:val="0"/>
              <w:spacing w:line="360" w:lineRule="auto"/>
              <w:jc w:val="center"/>
              <w:rPr>
                <w:rFonts w:hint="default" w:ascii="仿宋" w:hAnsi="仿宋" w:eastAsia="仿宋" w:cs="仿宋"/>
                <w:b w:val="0"/>
                <w:bCs w:val="0"/>
                <w:color w:val="auto"/>
                <w:kern w:val="0"/>
                <w:sz w:val="24"/>
                <w:szCs w:val="24"/>
                <w:highlight w:val="none"/>
                <w:u w:val="none"/>
                <w:shd w:val="clear" w:color="auto" w:fill="auto"/>
                <w:lang w:val="en-US" w:eastAsia="zh-CN" w:bidi="ar-SA"/>
              </w:rPr>
            </w:pPr>
            <w:r>
              <w:rPr>
                <w:rFonts w:hint="eastAsia" w:ascii="仿宋" w:hAnsi="仿宋" w:eastAsia="仿宋" w:cs="仿宋"/>
                <w:b w:val="0"/>
                <w:bCs w:val="0"/>
                <w:color w:val="auto"/>
                <w:kern w:val="0"/>
                <w:sz w:val="24"/>
                <w:szCs w:val="24"/>
                <w:highlight w:val="none"/>
                <w:u w:val="none"/>
                <w:shd w:val="clear" w:color="auto" w:fill="auto"/>
                <w:lang w:val="en-US" w:eastAsia="zh-CN" w:bidi="ar-SA"/>
              </w:rPr>
              <w:t>辆</w:t>
            </w:r>
          </w:p>
        </w:tc>
        <w:tc>
          <w:tcPr>
            <w:tcW w:w="1116" w:type="dxa"/>
            <w:noWrap w:val="0"/>
            <w:vAlign w:val="center"/>
          </w:tcPr>
          <w:p w14:paraId="1505C5D8">
            <w:pPr>
              <w:adjustRightInd w:val="0"/>
              <w:snapToGrid w:val="0"/>
              <w:spacing w:line="360" w:lineRule="auto"/>
              <w:jc w:val="center"/>
              <w:rPr>
                <w:rFonts w:hint="default" w:ascii="仿宋" w:hAnsi="仿宋" w:eastAsia="仿宋" w:cs="仿宋"/>
                <w:b w:val="0"/>
                <w:bCs w:val="0"/>
                <w:color w:val="auto"/>
                <w:kern w:val="0"/>
                <w:sz w:val="24"/>
                <w:szCs w:val="24"/>
                <w:highlight w:val="none"/>
                <w:u w:val="none"/>
                <w:shd w:val="clear" w:color="auto" w:fill="auto"/>
                <w:lang w:val="en-US" w:eastAsia="zh-CN" w:bidi="ar-SA"/>
              </w:rPr>
            </w:pPr>
            <w:r>
              <w:rPr>
                <w:rFonts w:hint="eastAsia" w:ascii="仿宋" w:hAnsi="仿宋" w:eastAsia="仿宋" w:cs="仿宋"/>
                <w:b w:val="0"/>
                <w:bCs w:val="0"/>
                <w:color w:val="auto"/>
                <w:kern w:val="0"/>
                <w:sz w:val="24"/>
                <w:szCs w:val="24"/>
                <w:highlight w:val="none"/>
                <w:u w:val="none"/>
                <w:shd w:val="clear" w:color="auto" w:fill="auto"/>
                <w:lang w:val="en-US" w:eastAsia="zh-CN" w:bidi="ar-SA"/>
              </w:rPr>
              <w:t>1</w:t>
            </w:r>
          </w:p>
        </w:tc>
        <w:tc>
          <w:tcPr>
            <w:tcW w:w="1703" w:type="dxa"/>
            <w:noWrap w:val="0"/>
            <w:vAlign w:val="center"/>
          </w:tcPr>
          <w:p w14:paraId="78A9D1AD">
            <w:pPr>
              <w:adjustRightInd w:val="0"/>
              <w:snapToGrid w:val="0"/>
              <w:spacing w:line="360" w:lineRule="auto"/>
              <w:jc w:val="center"/>
              <w:rPr>
                <w:rFonts w:hint="default" w:ascii="仿宋" w:hAnsi="仿宋" w:eastAsia="仿宋" w:cs="仿宋"/>
                <w:b w:val="0"/>
                <w:bCs w:val="0"/>
                <w:color w:val="auto"/>
                <w:kern w:val="0"/>
                <w:sz w:val="24"/>
                <w:szCs w:val="24"/>
                <w:highlight w:val="none"/>
                <w:u w:val="none"/>
                <w:shd w:val="clear" w:color="auto" w:fill="auto"/>
                <w:lang w:val="en-US" w:eastAsia="zh-CN" w:bidi="ar-SA"/>
              </w:rPr>
            </w:pPr>
            <w:r>
              <w:rPr>
                <w:rFonts w:hint="eastAsia" w:ascii="仿宋" w:hAnsi="仿宋" w:eastAsia="仿宋" w:cs="仿宋"/>
                <w:b w:val="0"/>
                <w:bCs w:val="0"/>
                <w:color w:val="auto"/>
                <w:kern w:val="0"/>
                <w:sz w:val="24"/>
                <w:szCs w:val="24"/>
                <w:highlight w:val="none"/>
                <w:u w:val="none"/>
                <w:shd w:val="clear" w:color="auto" w:fill="auto"/>
                <w:lang w:val="en-US" w:eastAsia="zh-CN" w:bidi="ar-SA"/>
              </w:rPr>
              <w:t>否</w:t>
            </w:r>
          </w:p>
        </w:tc>
      </w:tr>
    </w:tbl>
    <w:p w14:paraId="313245B9">
      <w:pPr>
        <w:pStyle w:val="38"/>
        <w:keepNext w:val="0"/>
        <w:keepLines w:val="0"/>
        <w:pageBreakBefore w:val="0"/>
        <w:widowControl w:val="0"/>
        <w:kinsoku/>
        <w:overflowPunct/>
        <w:topLinePunct w:val="0"/>
        <w:autoSpaceDE/>
        <w:autoSpaceDN/>
        <w:bidi w:val="0"/>
        <w:adjustRightInd/>
        <w:spacing w:line="240" w:lineRule="auto"/>
        <w:ind w:left="0" w:leftChars="0" w:firstLine="0" w:firstLineChars="0"/>
        <w:textAlignment w:val="auto"/>
        <w:outlineLvl w:val="9"/>
        <w:rPr>
          <w:rFonts w:hint="eastAsia"/>
          <w:snapToGrid w:val="0"/>
          <w:color w:val="auto"/>
          <w:sz w:val="24"/>
          <w:szCs w:val="24"/>
          <w:highlight w:val="none"/>
          <w:lang w:val="en-US" w:eastAsia="zh-CN"/>
        </w:rPr>
      </w:pPr>
    </w:p>
    <w:p w14:paraId="6D523F8D">
      <w:pPr>
        <w:pStyle w:val="4"/>
        <w:bidi w:val="0"/>
        <w:spacing w:before="0" w:after="0" w:line="360" w:lineRule="auto"/>
        <w:rPr>
          <w:rFonts w:hint="eastAsia"/>
          <w:sz w:val="24"/>
          <w:szCs w:val="24"/>
          <w:highlight w:val="none"/>
          <w:lang w:val="en-US" w:eastAsia="zh-CN"/>
        </w:rPr>
      </w:pPr>
      <w:bookmarkStart w:id="581" w:name="_Toc4637"/>
      <w:r>
        <w:rPr>
          <w:rFonts w:hint="eastAsia"/>
          <w:sz w:val="28"/>
          <w:szCs w:val="28"/>
          <w:highlight w:val="none"/>
          <w:lang w:val="en-US" w:eastAsia="zh-CN"/>
        </w:rPr>
        <w:t>二、商务要求</w:t>
      </w:r>
      <w:r>
        <w:rPr>
          <w:rFonts w:hint="eastAsia"/>
          <w:sz w:val="24"/>
          <w:szCs w:val="24"/>
          <w:highlight w:val="none"/>
          <w:lang w:val="en-US" w:eastAsia="zh-CN"/>
        </w:rPr>
        <w:t>【根据项目实际需求调整，如有实质性响应条款要求的，以“★”号作醒目标识，其他非实质性条款明确是否允许负偏离，允许几项负偏离】</w:t>
      </w:r>
      <w:bookmarkEnd w:id="581"/>
      <w:r>
        <w:rPr>
          <w:rFonts w:hint="eastAsia"/>
          <w:sz w:val="24"/>
          <w:szCs w:val="24"/>
          <w:highlight w:val="none"/>
          <w:lang w:val="en-US" w:eastAsia="zh-CN"/>
        </w:rPr>
        <w:t xml:space="preserve"> </w:t>
      </w:r>
    </w:p>
    <w:p w14:paraId="0BA73EE6">
      <w:pPr>
        <w:pStyle w:val="38"/>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w:t>
      </w:r>
      <w:r>
        <w:rPr>
          <w:rFonts w:hint="default"/>
          <w:snapToGrid w:val="0"/>
          <w:color w:val="auto"/>
          <w:sz w:val="24"/>
          <w:szCs w:val="24"/>
          <w:highlight w:val="none"/>
          <w:lang w:val="en-US" w:eastAsia="zh-CN"/>
        </w:rPr>
        <w:t xml:space="preserve">1. </w:t>
      </w:r>
      <w:r>
        <w:rPr>
          <w:rFonts w:hint="eastAsia"/>
          <w:snapToGrid w:val="0"/>
          <w:color w:val="auto"/>
          <w:sz w:val="24"/>
          <w:szCs w:val="24"/>
          <w:highlight w:val="none"/>
          <w:lang w:val="en-US" w:eastAsia="zh-CN"/>
        </w:rPr>
        <w:t>交付（实施）的时间（期限）和地点（范围）：</w:t>
      </w:r>
      <w:r>
        <w:rPr>
          <w:rFonts w:hint="eastAsia"/>
          <w:snapToGrid w:val="0"/>
          <w:color w:val="auto"/>
          <w:sz w:val="24"/>
          <w:szCs w:val="24"/>
          <w:highlight w:val="none"/>
          <w:u w:val="single"/>
          <w:lang w:val="en-US" w:eastAsia="zh-CN"/>
        </w:rPr>
        <w:t>自合同签订之日起30日内完成交付。</w:t>
      </w:r>
    </w:p>
    <w:p w14:paraId="2017E928">
      <w:pPr>
        <w:pStyle w:val="38"/>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w:t>
      </w:r>
      <w:r>
        <w:rPr>
          <w:rFonts w:hint="default"/>
          <w:snapToGrid w:val="0"/>
          <w:color w:val="auto"/>
          <w:sz w:val="24"/>
          <w:szCs w:val="24"/>
          <w:highlight w:val="none"/>
          <w:lang w:val="en-US" w:eastAsia="zh-CN"/>
        </w:rPr>
        <w:t xml:space="preserve">2. </w:t>
      </w:r>
      <w:r>
        <w:rPr>
          <w:rFonts w:hint="eastAsia"/>
          <w:snapToGrid w:val="0"/>
          <w:color w:val="auto"/>
          <w:sz w:val="24"/>
          <w:szCs w:val="24"/>
          <w:highlight w:val="none"/>
          <w:lang w:val="en-US" w:eastAsia="zh-CN"/>
        </w:rPr>
        <w:t>付款条件（进度和方式） ：</w:t>
      </w:r>
      <w:r>
        <w:rPr>
          <w:rFonts w:hint="eastAsia"/>
          <w:snapToGrid w:val="0"/>
          <w:color w:val="auto"/>
          <w:sz w:val="24"/>
          <w:szCs w:val="24"/>
          <w:highlight w:val="none"/>
          <w:u w:val="single"/>
          <w:lang w:val="en-US" w:eastAsia="zh-CN"/>
        </w:rPr>
        <w:t>自双方合同签订生效后30日内预付货款30%，所有货物到场，经甲方确认后，支付合同款的50%，乙方安装调试完成，并经甲方验收合格，支付合同款的20%。</w:t>
      </w:r>
      <w:r>
        <w:rPr>
          <w:rFonts w:hint="eastAsia"/>
          <w:snapToGrid w:val="0"/>
          <w:color w:val="auto"/>
          <w:sz w:val="24"/>
          <w:szCs w:val="24"/>
          <w:highlight w:val="none"/>
          <w:lang w:val="en-US" w:eastAsia="zh-CN"/>
        </w:rPr>
        <w:t xml:space="preserve"> </w:t>
      </w:r>
    </w:p>
    <w:p w14:paraId="4CD07220">
      <w:pPr>
        <w:pStyle w:val="38"/>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default"/>
          <w:snapToGrid w:val="0"/>
          <w:color w:val="auto"/>
          <w:sz w:val="24"/>
          <w:szCs w:val="24"/>
          <w:highlight w:val="none"/>
          <w:lang w:val="en-US" w:eastAsia="zh-CN"/>
        </w:rPr>
        <w:t xml:space="preserve">3. </w:t>
      </w:r>
      <w:r>
        <w:rPr>
          <w:rFonts w:hint="eastAsia"/>
          <w:snapToGrid w:val="0"/>
          <w:color w:val="auto"/>
          <w:sz w:val="24"/>
          <w:szCs w:val="24"/>
          <w:highlight w:val="none"/>
          <w:lang w:val="en-US" w:eastAsia="zh-CN"/>
        </w:rPr>
        <w:t>包装和运输（如适用，须满足《关于印发〈商品包装政府采购需求标准（试行）〉、〈快递包装政府采购需求标准（试行）〉的通知》（财办库﹝</w:t>
      </w:r>
      <w:r>
        <w:rPr>
          <w:rFonts w:hint="default"/>
          <w:snapToGrid w:val="0"/>
          <w:color w:val="auto"/>
          <w:sz w:val="24"/>
          <w:szCs w:val="24"/>
          <w:highlight w:val="none"/>
          <w:lang w:val="en-US" w:eastAsia="zh-CN"/>
        </w:rPr>
        <w:t>2020</w:t>
      </w:r>
      <w:r>
        <w:rPr>
          <w:rFonts w:hint="eastAsia"/>
          <w:snapToGrid w:val="0"/>
          <w:color w:val="auto"/>
          <w:sz w:val="24"/>
          <w:szCs w:val="24"/>
          <w:highlight w:val="none"/>
          <w:lang w:val="en-US" w:eastAsia="zh-CN"/>
        </w:rPr>
        <w:t>﹞</w:t>
      </w:r>
      <w:r>
        <w:rPr>
          <w:rFonts w:hint="default"/>
          <w:snapToGrid w:val="0"/>
          <w:color w:val="auto"/>
          <w:sz w:val="24"/>
          <w:szCs w:val="24"/>
          <w:highlight w:val="none"/>
          <w:lang w:val="en-US" w:eastAsia="zh-CN"/>
        </w:rPr>
        <w:t xml:space="preserve">123 </w:t>
      </w:r>
      <w:r>
        <w:rPr>
          <w:rFonts w:hint="eastAsia"/>
          <w:snapToGrid w:val="0"/>
          <w:color w:val="auto"/>
          <w:sz w:val="24"/>
          <w:szCs w:val="24"/>
          <w:highlight w:val="none"/>
          <w:lang w:val="en-US" w:eastAsia="zh-CN"/>
        </w:rPr>
        <w:t xml:space="preserve">号）） </w:t>
      </w:r>
    </w:p>
    <w:p w14:paraId="51AC9EDD">
      <w:pPr>
        <w:pStyle w:val="38"/>
        <w:keepNext w:val="0"/>
        <w:keepLines w:val="0"/>
        <w:pageBreakBefore w:val="0"/>
        <w:widowControl w:val="0"/>
        <w:shd w:val="clear"/>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w:t>
      </w:r>
      <w:r>
        <w:rPr>
          <w:rFonts w:hint="default"/>
          <w:snapToGrid w:val="0"/>
          <w:color w:val="auto"/>
          <w:sz w:val="24"/>
          <w:szCs w:val="24"/>
          <w:highlight w:val="none"/>
          <w:lang w:val="en-US" w:eastAsia="zh-CN"/>
        </w:rPr>
        <w:t xml:space="preserve">4. </w:t>
      </w:r>
      <w:r>
        <w:rPr>
          <w:rFonts w:hint="eastAsia"/>
          <w:snapToGrid w:val="0"/>
          <w:color w:val="auto"/>
          <w:sz w:val="24"/>
          <w:szCs w:val="24"/>
          <w:highlight w:val="none"/>
          <w:lang w:val="en-US" w:eastAsia="zh-CN"/>
        </w:rPr>
        <w:t>售后服务（质保期）：</w:t>
      </w:r>
      <w:r>
        <w:rPr>
          <w:rFonts w:hint="eastAsia"/>
          <w:snapToGrid w:val="0"/>
          <w:color w:val="auto"/>
          <w:sz w:val="24"/>
          <w:szCs w:val="24"/>
          <w:highlight w:val="none"/>
          <w:u w:val="single"/>
          <w:lang w:val="en-US" w:eastAsia="zh-CN"/>
        </w:rPr>
        <w:t xml:space="preserve">质量保证期6年内，投标人应对由于设计、工艺或材料的缺陷而发生的任何不足或故障负责，费用由投标人负担。（具体已签订合同为准） </w:t>
      </w:r>
    </w:p>
    <w:p w14:paraId="069E372F">
      <w:pPr>
        <w:pStyle w:val="18"/>
        <w:spacing w:line="360" w:lineRule="auto"/>
        <w:ind w:firstLine="480" w:firstLineChars="200"/>
        <w:rPr>
          <w:rFonts w:hint="eastAsia"/>
          <w:snapToGrid w:val="0"/>
          <w:color w:val="auto"/>
          <w:sz w:val="24"/>
          <w:szCs w:val="24"/>
          <w:highlight w:val="none"/>
          <w:lang w:val="en-US" w:eastAsia="zh-CN"/>
        </w:rPr>
      </w:pPr>
      <w:r>
        <w:rPr>
          <w:rFonts w:hint="eastAsia" w:ascii="宋体" w:hAnsi="宋体" w:eastAsia="宋体" w:cstheme="minorBidi"/>
          <w:iCs/>
          <w:snapToGrid w:val="0"/>
          <w:color w:val="auto"/>
          <w:kern w:val="2"/>
          <w:sz w:val="24"/>
          <w:szCs w:val="24"/>
          <w:highlight w:val="none"/>
          <w:shd w:val="clear" w:color="auto" w:fill="FFFFFF" w:themeFill="background1"/>
          <w:lang w:val="en-US" w:eastAsia="zh-CN" w:bidi="ar-SA"/>
        </w:rPr>
        <w:t>6.其他要求</w:t>
      </w:r>
      <w:r>
        <w:rPr>
          <w:rFonts w:hint="eastAsia"/>
          <w:snapToGrid w:val="0"/>
          <w:color w:val="auto"/>
          <w:sz w:val="24"/>
          <w:szCs w:val="24"/>
          <w:highlight w:val="none"/>
          <w:lang w:val="en-US" w:eastAsia="zh-CN"/>
        </w:rPr>
        <w:t>：</w:t>
      </w:r>
    </w:p>
    <w:p w14:paraId="135CE6CC">
      <w:pPr>
        <w:pStyle w:val="18"/>
        <w:spacing w:line="360" w:lineRule="auto"/>
        <w:ind w:firstLine="480" w:firstLineChars="200"/>
        <w:rPr>
          <w:rFonts w:hint="eastAsia" w:eastAsia="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1）</w:t>
      </w:r>
      <w:r>
        <w:rPr>
          <w:rFonts w:hint="eastAsia" w:eastAsia="宋体"/>
          <w:snapToGrid w:val="0"/>
          <w:color w:val="auto"/>
          <w:sz w:val="24"/>
          <w:szCs w:val="24"/>
          <w:highlight w:val="none"/>
          <w:lang w:val="en-US" w:eastAsia="zh-CN"/>
        </w:rPr>
        <w:t>本次采购需求内容是根据采购项目的实际需求制定的。</w:t>
      </w:r>
    </w:p>
    <w:p w14:paraId="6A9B3373">
      <w:pPr>
        <w:pStyle w:val="18"/>
        <w:spacing w:line="360" w:lineRule="auto"/>
        <w:ind w:firstLine="480" w:firstLineChars="200"/>
        <w:rPr>
          <w:rFonts w:hint="eastAsia" w:eastAsia="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2）</w:t>
      </w:r>
      <w:r>
        <w:rPr>
          <w:rFonts w:hint="eastAsia" w:eastAsia="宋体"/>
          <w:snapToGrid w:val="0"/>
          <w:color w:val="auto"/>
          <w:sz w:val="24"/>
          <w:szCs w:val="24"/>
          <w:highlight w:val="none"/>
          <w:lang w:val="en-US" w:eastAsia="zh-CN"/>
        </w:rPr>
        <w:t>投标人所报价格应充分考虑为含税全包价，包括但不限于产品的设计、制作、包装、保险、运输、装卸、安装、检测、税费、验收、保修等一切费用。</w:t>
      </w:r>
    </w:p>
    <w:p w14:paraId="6D8456E5">
      <w:pPr>
        <w:pStyle w:val="18"/>
        <w:spacing w:line="360" w:lineRule="auto"/>
        <w:ind w:firstLine="480" w:firstLineChars="200"/>
        <w:rPr>
          <w:rFonts w:hint="eastAsia"/>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3）</w:t>
      </w:r>
      <w:r>
        <w:rPr>
          <w:rFonts w:hint="eastAsia" w:eastAsia="宋体"/>
          <w:snapToGrid w:val="0"/>
          <w:color w:val="auto"/>
          <w:sz w:val="24"/>
          <w:szCs w:val="24"/>
          <w:highlight w:val="none"/>
          <w:lang w:val="en-US" w:eastAsia="zh-CN"/>
        </w:rPr>
        <w:t>货物</w:t>
      </w:r>
      <w:r>
        <w:rPr>
          <w:rFonts w:hint="eastAsia"/>
          <w:snapToGrid w:val="0"/>
          <w:color w:val="auto"/>
          <w:sz w:val="24"/>
          <w:szCs w:val="24"/>
          <w:highlight w:val="none"/>
          <w:lang w:val="en-US" w:eastAsia="zh-CN"/>
        </w:rPr>
        <w:t>必须为合格产品，质量达到国家有关标准，投标人供货时须提供有关货物（包括原材料、燃料、设备、产品等）的合格证明材料、详细技术资料和检测报告等。</w:t>
      </w:r>
    </w:p>
    <w:p w14:paraId="18BFDAB0">
      <w:pPr>
        <w:pStyle w:val="18"/>
        <w:spacing w:line="360" w:lineRule="auto"/>
        <w:ind w:firstLine="480" w:firstLineChars="200"/>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4）采购需求清单的条款内容为本项目的实质性技术或服务要求，如不满足，按无效投标处理。</w:t>
      </w:r>
    </w:p>
    <w:p w14:paraId="319B6ED4">
      <w:pPr>
        <w:pStyle w:val="18"/>
        <w:spacing w:line="360" w:lineRule="auto"/>
        <w:ind w:firstLine="480" w:firstLineChars="200"/>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5）为有助于投标人选择投标产品，项目说明中提供了推荐品牌（或型号）、参考品牌（或型号）等，但这些品牌（或型号）仅供参考，并无限制性。投标人可以选择性能不低于推荐（或参考）的品牌（或型号）的其他品牌产品，但投标时应当提供有关技术证明资料，未提供的可能导致投标无效。</w:t>
      </w:r>
    </w:p>
    <w:p w14:paraId="1C6B8A61">
      <w:pPr>
        <w:pStyle w:val="18"/>
        <w:spacing w:line="360" w:lineRule="auto"/>
        <w:ind w:firstLine="480" w:firstLineChars="200"/>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6）投标人需要提供投标产品技术支持资料（或证明材料），其中技术支持资料指生产厂家公开发布的印刷资料或检测机构出具的检验报告，若生产厂家公开发布的印刷资料或检测机构出具的检验报告不一致，以检测机构出具的检验报告为准。如投标人技术响应与技术支持资料（或证明材料）不一致，将以技术支持资料（或证明材料）为准。对于技术规格及参数中有特殊要求的技术参数，投标人须在响应文件中按照响应文件技术规格及参数的要求提供技术应答的证明材料，如技术规格及参数中无特殊要求则应提交本条款规定的技术支持资料。对于投标人提供的响应文件技术应答未按本条款要求提供投标产品技术支持资料 （或证明材料）的，评标委员会可不予承认，并可认为该技术应答不符合响应文件要求。由此产生的评标风险，由投标人承担。</w:t>
      </w:r>
    </w:p>
    <w:p w14:paraId="34D06FD3">
      <w:pPr>
        <w:pStyle w:val="18"/>
        <w:spacing w:line="360" w:lineRule="auto"/>
        <w:ind w:firstLine="480" w:firstLineChars="200"/>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7）投标人应当在响应文件中列出完成本项目并通过验收所需的所有各项服务等明细表及全部费用。投标人应踏勘现场，如投标人因未及时踏勘现场而导致的报价缺项漏项废标、或成交后无法完成，投标人自行承担一切后果；</w:t>
      </w:r>
      <w:r>
        <w:rPr>
          <w:rFonts w:hint="eastAsia" w:ascii="宋体" w:hAnsi="宋体" w:eastAsia="宋体" w:cs="宋体"/>
          <w:snapToGrid w:val="0"/>
          <w:color w:val="auto"/>
          <w:sz w:val="24"/>
          <w:szCs w:val="24"/>
          <w:highlight w:val="none"/>
          <w:lang w:val="en-US" w:eastAsia="zh-CN"/>
        </w:rPr>
        <w:cr/>
      </w:r>
      <w:r>
        <w:rPr>
          <w:rFonts w:hint="eastAsia" w:ascii="宋体" w:hAnsi="宋体" w:eastAsia="宋体" w:cs="宋体"/>
          <w:snapToGrid w:val="0"/>
          <w:color w:val="auto"/>
          <w:sz w:val="24"/>
          <w:szCs w:val="24"/>
          <w:highlight w:val="none"/>
          <w:lang w:val="en-US" w:eastAsia="zh-CN"/>
        </w:rPr>
        <w:t xml:space="preserve">    8）如对本招标文件有任何疑问或要求澄清，请按本招标文件的规定提出，否则视同理解和接受。                                                                                                                                     </w:t>
      </w:r>
    </w:p>
    <w:p w14:paraId="7128E606">
      <w:pPr>
        <w:pStyle w:val="18"/>
        <w:spacing w:line="360" w:lineRule="auto"/>
        <w:ind w:firstLine="480" w:firstLineChars="200"/>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9）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的同时不得耽误本项目供货。</w:t>
      </w:r>
    </w:p>
    <w:p w14:paraId="30B870AE">
      <w:pPr>
        <w:pStyle w:val="18"/>
        <w:spacing w:line="360" w:lineRule="auto"/>
        <w:ind w:firstLine="480" w:firstLineChars="200"/>
        <w:rPr>
          <w:rFonts w:hint="eastAsia"/>
          <w:snapToGrid w:val="0"/>
          <w:color w:val="auto"/>
          <w:sz w:val="24"/>
          <w:szCs w:val="24"/>
          <w:highlight w:val="none"/>
          <w:lang w:val="en-US" w:eastAsia="zh-CN"/>
        </w:rPr>
        <w:sectPr>
          <w:headerReference r:id="rId7" w:type="default"/>
          <w:footerReference r:id="rId8" w:type="default"/>
          <w:pgSz w:w="11900" w:h="18340"/>
          <w:pgMar w:top="1440" w:right="960" w:bottom="1440" w:left="960" w:header="720" w:footer="720" w:gutter="0"/>
          <w:cols w:space="720" w:num="1"/>
        </w:sectPr>
      </w:pPr>
      <w:r>
        <w:rPr>
          <w:rFonts w:hint="eastAsia" w:ascii="宋体" w:hAnsi="宋体" w:eastAsia="宋体" w:cs="宋体"/>
          <w:snapToGrid w:val="0"/>
          <w:color w:val="auto"/>
          <w:sz w:val="24"/>
          <w:szCs w:val="24"/>
          <w:highlight w:val="none"/>
          <w:lang w:val="en-US" w:eastAsia="zh-CN"/>
        </w:rPr>
        <w:t>10）</w:t>
      </w:r>
      <w:r>
        <w:rPr>
          <w:rFonts w:hint="eastAsia" w:eastAsia="宋体"/>
          <w:snapToGrid w:val="0"/>
          <w:color w:val="auto"/>
          <w:sz w:val="24"/>
          <w:szCs w:val="24"/>
          <w:highlight w:val="none"/>
          <w:lang w:val="en-US" w:eastAsia="zh-CN"/>
        </w:rPr>
        <w:t>根据《中华人民共和国民法典》第四百七十八条 有下列情形之一的，要约失效:(一)要约被拒绝;(二</w:t>
      </w:r>
      <w:r>
        <w:rPr>
          <w:rFonts w:hint="eastAsia"/>
          <w:snapToGrid w:val="0"/>
          <w:color w:val="auto"/>
          <w:sz w:val="24"/>
          <w:szCs w:val="24"/>
          <w:highlight w:val="none"/>
          <w:lang w:val="en-US" w:eastAsia="zh-CN"/>
        </w:rPr>
        <w:t>)要约被依法撤销;(三)承诺期限届满，受要约人未作出承诺;(四)受要约人对要约的内容作出实质性变更。第四百八十八条 承诺的内容应当与要约的内容一致。受要约人对要约的内容作出实质性变更的，为新要约。有关合同标的、数量、质量、价款或者报酬、履行期限、履行地点和方式、违约责任和解决争议方法等的变更，是对要约内容的实质性变更。采购需求中标注“★”项为实质性条款，负偏离将导致响应被否决</w:t>
      </w:r>
      <w:r>
        <w:rPr>
          <w:rFonts w:hint="eastAsia"/>
          <w:snapToGrid w:val="0"/>
          <w:color w:val="auto"/>
          <w:sz w:val="24"/>
          <w:szCs w:val="24"/>
          <w:highlight w:val="none"/>
          <w:lang w:val="en-US" w:eastAsia="zh-CN"/>
        </w:rPr>
        <mc:AlternateContent>
          <mc:Choice Requires="wps">
            <w:drawing>
              <wp:anchor distT="0" distB="0" distL="114300" distR="114300" simplePos="0" relativeHeight="251662336" behindDoc="0" locked="0" layoutInCell="1" allowOverlap="1">
                <wp:simplePos x="0" y="0"/>
                <wp:positionH relativeFrom="page">
                  <wp:posOffset>6337300</wp:posOffset>
                </wp:positionH>
                <wp:positionV relativeFrom="page">
                  <wp:posOffset>11645900</wp:posOffset>
                </wp:positionV>
                <wp:extent cx="698500" cy="50800"/>
                <wp:effectExtent l="0" t="0" r="0" b="0"/>
                <wp:wrapNone/>
                <wp:docPr id="3" name="文本框 3"/>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a:effectLst/>
                      </wps:spPr>
                      <wps:txbx>
                        <w:txbxContent>
                          <w:p w14:paraId="3B49FB77">
                            <w:pPr>
                              <w:spacing w:line="239" w:lineRule="auto"/>
                              <w:ind w:firstLine="0"/>
                              <w:jc w:val="right"/>
                              <w:rPr>
                                <w:sz w:val="18"/>
                              </w:rPr>
                            </w:pPr>
                            <w:r>
                              <w:rPr>
                                <w:rFonts w:hint="eastAsia" w:ascii="Calibri" w:hAnsi="Calibri" w:eastAsia="Calibri"/>
                                <w:color w:val="000000"/>
                                <w:sz w:val="18"/>
                              </w:rPr>
                              <w:t>1 1.. . ..</w:t>
                            </w:r>
                          </w:p>
                        </w:txbxContent>
                      </wps:txbx>
                      <wps:bodyPr wrap="square" lIns="25400" tIns="0" rIns="25400" bIns="0">
                        <a:noAutofit/>
                      </wps:bodyPr>
                    </wps:wsp>
                  </a:graphicData>
                </a:graphic>
              </wp:anchor>
            </w:drawing>
          </mc:Choice>
          <mc:Fallback>
            <w:pict>
              <v:shape id="_x0000_s1026" o:spid="_x0000_s1026" o:spt="202" type="#_x0000_t202" style="position:absolute;left:0pt;margin-left:499pt;margin-top:917pt;height:4pt;width:55pt;mso-position-horizontal-relative:page;mso-position-vertical-relative:page;z-index:251662336;mso-width-relative:page;mso-height-relative:page;" filled="f" stroked="f" coordsize="21600,21600" o:gfxdata="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1bxX&#10;GtkAAAAOAQAADwAAAAAAAAABACAAAAAiAAAAZHJzL2Rvd25yZXYueG1sUEsBAhQAFAAAAAgAh07i&#10;QEPESJboAQAAugMAAA4AAAAAAAAAAQAgAAAAKAEAAGRycy9lMm9Eb2MueG1sUEsFBgAAAAAGAAYA&#10;WQEAAIIFAAAAAA==&#10;">
                <v:fill on="f" focussize="0,0"/>
                <v:stroke on="f" weight="0.5pt"/>
                <v:imagedata o:title=""/>
                <o:lock v:ext="edit" aspectratio="f"/>
                <v:textbox inset="2pt,0mm,2pt,0mm">
                  <w:txbxContent>
                    <w:p w14:paraId="3B49FB77">
                      <w:pPr>
                        <w:spacing w:line="239" w:lineRule="auto"/>
                        <w:ind w:firstLine="0"/>
                        <w:jc w:val="right"/>
                        <w:rPr>
                          <w:sz w:val="18"/>
                        </w:rPr>
                      </w:pPr>
                      <w:r>
                        <w:rPr>
                          <w:rFonts w:hint="eastAsia" w:ascii="Calibri" w:hAnsi="Calibri" w:eastAsia="Calibri"/>
                          <w:color w:val="000000"/>
                          <w:sz w:val="18"/>
                        </w:rPr>
                        <w:t>1 1.. . ..</w:t>
                      </w:r>
                    </w:p>
                  </w:txbxContent>
                </v:textbox>
              </v:shape>
            </w:pict>
          </mc:Fallback>
        </mc:AlternateContent>
      </w:r>
      <w:r>
        <w:rPr>
          <w:rFonts w:hint="eastAsia"/>
          <w:snapToGrid w:val="0"/>
          <w:color w:val="auto"/>
          <w:sz w:val="24"/>
          <w:szCs w:val="24"/>
          <w:highlight w:val="none"/>
          <w:lang w:val="en-US" w:eastAsia="zh-CN"/>
        </w:rPr>
        <w:t>。</w:t>
      </w:r>
    </w:p>
    <w:p w14:paraId="3F90EB44">
      <w:pPr>
        <w:pStyle w:val="38"/>
        <w:keepNext w:val="0"/>
        <w:keepLines w:val="0"/>
        <w:pageBreakBefore w:val="0"/>
        <w:widowControl w:val="0"/>
        <w:kinsoku/>
        <w:wordWrap w:val="0"/>
        <w:overflowPunct/>
        <w:topLinePunct w:val="0"/>
        <w:autoSpaceDE/>
        <w:autoSpaceDN/>
        <w:bidi w:val="0"/>
        <w:adjustRightInd/>
        <w:snapToGrid/>
        <w:spacing w:before="157" w:beforeLines="50" w:after="157" w:afterLines="50"/>
        <w:ind w:left="0" w:leftChars="0" w:firstLine="0" w:firstLineChars="0"/>
        <w:textAlignment w:val="auto"/>
        <w:rPr>
          <w:rFonts w:hint="eastAsia"/>
          <w:b/>
          <w:bCs/>
          <w:snapToGrid w:val="0"/>
          <w:color w:val="auto"/>
          <w:sz w:val="24"/>
          <w:szCs w:val="24"/>
          <w:highlight w:val="none"/>
          <w:lang w:val="en-US" w:eastAsia="zh-CN"/>
        </w:rPr>
      </w:pPr>
      <w:bookmarkStart w:id="582" w:name="_Toc11874"/>
      <w:r>
        <w:rPr>
          <w:rStyle w:val="43"/>
          <w:rFonts w:hint="eastAsia"/>
          <w:highlight w:val="none"/>
          <w:lang w:val="en-US" w:eastAsia="zh-CN"/>
        </w:rPr>
        <w:t>三、技术要求</w:t>
      </w:r>
      <w:bookmarkEnd w:id="582"/>
    </w:p>
    <w:tbl>
      <w:tblPr>
        <w:tblStyle w:val="32"/>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1309"/>
        <w:gridCol w:w="5477"/>
        <w:gridCol w:w="523"/>
        <w:gridCol w:w="701"/>
        <w:gridCol w:w="701"/>
      </w:tblGrid>
      <w:tr w14:paraId="2E014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vAlign w:val="center"/>
          </w:tcPr>
          <w:p w14:paraId="4AB0C977">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序号</w:t>
            </w:r>
          </w:p>
        </w:tc>
        <w:tc>
          <w:tcPr>
            <w:tcW w:w="1309" w:type="dxa"/>
            <w:vAlign w:val="center"/>
          </w:tcPr>
          <w:p w14:paraId="5FE0CF06">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标的名称</w:t>
            </w:r>
          </w:p>
        </w:tc>
        <w:tc>
          <w:tcPr>
            <w:tcW w:w="5477" w:type="dxa"/>
            <w:vAlign w:val="center"/>
          </w:tcPr>
          <w:p w14:paraId="602996EF">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参数</w:t>
            </w:r>
          </w:p>
        </w:tc>
        <w:tc>
          <w:tcPr>
            <w:tcW w:w="523" w:type="dxa"/>
            <w:vAlign w:val="center"/>
          </w:tcPr>
          <w:p w14:paraId="76AA853C">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数量</w:t>
            </w:r>
          </w:p>
        </w:tc>
        <w:tc>
          <w:tcPr>
            <w:tcW w:w="701" w:type="dxa"/>
            <w:vAlign w:val="center"/>
          </w:tcPr>
          <w:p w14:paraId="5D60936D">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单位</w:t>
            </w:r>
          </w:p>
        </w:tc>
        <w:tc>
          <w:tcPr>
            <w:tcW w:w="701" w:type="dxa"/>
            <w:vAlign w:val="center"/>
          </w:tcPr>
          <w:p w14:paraId="4D52154D">
            <w:pPr>
              <w:spacing w:line="240" w:lineRule="auto"/>
              <w:jc w:val="center"/>
              <w:rPr>
                <w:rFonts w:hint="eastAsia"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备注</w:t>
            </w:r>
          </w:p>
        </w:tc>
      </w:tr>
      <w:tr w14:paraId="70EDC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vAlign w:val="center"/>
          </w:tcPr>
          <w:p w14:paraId="6C0F1C8D">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1</w:t>
            </w:r>
          </w:p>
        </w:tc>
        <w:tc>
          <w:tcPr>
            <w:tcW w:w="1309" w:type="dxa"/>
            <w:vAlign w:val="center"/>
          </w:tcPr>
          <w:p w14:paraId="560DBC7E">
            <w:pPr>
              <w:adjustRightInd w:val="0"/>
              <w:snapToGrid w:val="0"/>
              <w:spacing w:line="360" w:lineRule="auto"/>
              <w:jc w:val="center"/>
              <w:rPr>
                <w:rFonts w:hint="eastAsia" w:ascii="宋体" w:hAnsi="宋体" w:eastAsia="宋体"/>
                <w:b/>
                <w:bCs/>
                <w:snapToGrid w:val="0"/>
                <w:color w:val="auto"/>
                <w:sz w:val="24"/>
                <w:szCs w:val="24"/>
                <w:highlight w:val="none"/>
                <w:vertAlign w:val="baseline"/>
                <w:lang w:val="en-US" w:eastAsia="zh-CN"/>
              </w:rPr>
            </w:pPr>
            <w:r>
              <w:rPr>
                <w:rFonts w:hint="eastAsia" w:ascii="仿宋" w:hAnsi="仿宋" w:eastAsia="仿宋" w:cs="仿宋"/>
                <w:b w:val="0"/>
                <w:bCs w:val="0"/>
                <w:color w:val="auto"/>
                <w:kern w:val="0"/>
                <w:sz w:val="24"/>
                <w:szCs w:val="24"/>
                <w:highlight w:val="none"/>
                <w:u w:val="none"/>
                <w:shd w:val="clear" w:color="auto" w:fill="auto"/>
                <w:lang w:val="en-US" w:eastAsia="zh-CN" w:bidi="ar-SA"/>
              </w:rPr>
              <w:t>消防救援车</w:t>
            </w:r>
          </w:p>
        </w:tc>
        <w:tc>
          <w:tcPr>
            <w:tcW w:w="5477" w:type="dxa"/>
            <w:vAlign w:val="center"/>
          </w:tcPr>
          <w:p w14:paraId="0F7B77A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1、长×宽×高 ：≤9230×2540×3440mm；</w:t>
            </w:r>
          </w:p>
          <w:p w14:paraId="14491FB8">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2、发电机功率：≥10kW;</w:t>
            </w:r>
          </w:p>
          <w:p w14:paraId="43D3F44A">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3、升降照明灯功率：≥4×1000W金卤素灯；</w:t>
            </w:r>
          </w:p>
          <w:p w14:paraId="42661344">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4、牵引绞盘额定拉力：≥7.5T;</w:t>
            </w:r>
          </w:p>
          <w:p w14:paraId="4EE868D1">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5、起重吊臂起吊重量：≥5T；</w:t>
            </w:r>
          </w:p>
          <w:p w14:paraId="57EFBE81">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6、工作半径 ：≥8.3m；</w:t>
            </w:r>
          </w:p>
          <w:p w14:paraId="7282A4A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7、排放标准为国六</w:t>
            </w:r>
          </w:p>
          <w:p w14:paraId="3EB09D1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8、发动机功率 ≥257kW(350HP)； </w:t>
            </w:r>
          </w:p>
          <w:p w14:paraId="6F3409D2">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9、乘员数：1+1+4；</w:t>
            </w:r>
          </w:p>
          <w:p w14:paraId="3EAE9273">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10、最高车速 ：≥100km/h，带定速巡航和电子限速；</w:t>
            </w:r>
          </w:p>
          <w:p w14:paraId="7C3705AF">
            <w:pPr>
              <w:spacing w:line="360" w:lineRule="auto"/>
              <w:jc w:val="left"/>
              <w:rPr>
                <w:rFonts w:hint="eastAsia" w:ascii="宋体" w:hAnsi="宋体" w:eastAsia="宋体"/>
                <w:b/>
                <w:bCs/>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11、最小转弯直径：≤19m。</w:t>
            </w:r>
          </w:p>
        </w:tc>
        <w:tc>
          <w:tcPr>
            <w:tcW w:w="523" w:type="dxa"/>
            <w:vAlign w:val="center"/>
          </w:tcPr>
          <w:p w14:paraId="7DC3C85E">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1</w:t>
            </w:r>
          </w:p>
        </w:tc>
        <w:tc>
          <w:tcPr>
            <w:tcW w:w="701" w:type="dxa"/>
            <w:vAlign w:val="center"/>
          </w:tcPr>
          <w:p w14:paraId="16C6FE40">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辆</w:t>
            </w:r>
          </w:p>
        </w:tc>
        <w:tc>
          <w:tcPr>
            <w:tcW w:w="701" w:type="dxa"/>
            <w:vAlign w:val="center"/>
          </w:tcPr>
          <w:p w14:paraId="324BD5A7">
            <w:pPr>
              <w:spacing w:line="240" w:lineRule="auto"/>
              <w:jc w:val="center"/>
              <w:rPr>
                <w:rFonts w:hint="eastAsia" w:ascii="宋体" w:hAnsi="宋体" w:eastAsia="宋体"/>
                <w:b/>
                <w:bCs/>
                <w:snapToGrid w:val="0"/>
                <w:color w:val="auto"/>
                <w:sz w:val="24"/>
                <w:szCs w:val="24"/>
                <w:highlight w:val="none"/>
                <w:vertAlign w:val="baseline"/>
                <w:lang w:val="en-US" w:eastAsia="zh-CN"/>
              </w:rPr>
            </w:pPr>
          </w:p>
        </w:tc>
      </w:tr>
      <w:tr w14:paraId="4CDBF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8" w:type="dxa"/>
            <w:vAlign w:val="center"/>
          </w:tcPr>
          <w:p w14:paraId="37AE0C41">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2</w:t>
            </w:r>
          </w:p>
        </w:tc>
        <w:tc>
          <w:tcPr>
            <w:tcW w:w="1309" w:type="dxa"/>
            <w:vAlign w:val="center"/>
          </w:tcPr>
          <w:p w14:paraId="2890A3A3">
            <w:pPr>
              <w:adjustRightInd w:val="0"/>
              <w:snapToGrid w:val="0"/>
              <w:spacing w:line="360" w:lineRule="auto"/>
              <w:jc w:val="center"/>
              <w:rPr>
                <w:rFonts w:hint="eastAsia" w:ascii="宋体" w:hAnsi="宋体" w:eastAsia="宋体"/>
                <w:b/>
                <w:bCs/>
                <w:snapToGrid w:val="0"/>
                <w:color w:val="auto"/>
                <w:sz w:val="24"/>
                <w:szCs w:val="24"/>
                <w:highlight w:val="none"/>
                <w:vertAlign w:val="baseline"/>
                <w:lang w:val="en-US" w:eastAsia="zh-CN"/>
              </w:rPr>
            </w:pPr>
            <w:r>
              <w:rPr>
                <w:rFonts w:hint="eastAsia" w:ascii="仿宋" w:hAnsi="仿宋" w:eastAsia="仿宋" w:cs="仿宋"/>
                <w:b w:val="0"/>
                <w:bCs w:val="0"/>
                <w:color w:val="auto"/>
                <w:kern w:val="0"/>
                <w:sz w:val="24"/>
                <w:szCs w:val="24"/>
                <w:highlight w:val="none"/>
                <w:u w:val="none"/>
                <w:shd w:val="clear" w:color="auto" w:fill="auto"/>
                <w:lang w:val="en-US" w:eastAsia="zh-CN" w:bidi="ar-SA"/>
              </w:rPr>
              <w:t>25T水罐消防车</w:t>
            </w:r>
          </w:p>
        </w:tc>
        <w:tc>
          <w:tcPr>
            <w:tcW w:w="5477" w:type="dxa"/>
            <w:vAlign w:val="center"/>
          </w:tcPr>
          <w:p w14:paraId="1F86D267">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1、长×宽×高 ：≤11900×2550×3550mm；</w:t>
            </w:r>
          </w:p>
          <w:p w14:paraId="143C21B3">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2、水：≥24650kg ；</w:t>
            </w:r>
          </w:p>
          <w:p w14:paraId="2010439B">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3、消防泵在10bar压力额定流量为：≥6000L/min ；</w:t>
            </w:r>
          </w:p>
          <w:p w14:paraId="7F7C6A1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4、消防炮流量：≥4800L/min；</w:t>
            </w:r>
          </w:p>
          <w:p w14:paraId="39D938F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5、采用消防车专用1底盘 ；</w:t>
            </w:r>
          </w:p>
          <w:p w14:paraId="13D76817">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6、排放标准为国六 ；</w:t>
            </w:r>
          </w:p>
          <w:p w14:paraId="20CEC2FA">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7、发动机功率：≥341kW；</w:t>
            </w:r>
          </w:p>
          <w:p w14:paraId="1766E9A5">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8、成员人数:2+4人； </w:t>
            </w:r>
          </w:p>
          <w:p w14:paraId="1C93C38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9、最高车速:95km/h ；</w:t>
            </w:r>
          </w:p>
          <w:p w14:paraId="1B0CC7A7">
            <w:pPr>
              <w:spacing w:line="360" w:lineRule="auto"/>
              <w:jc w:val="left"/>
              <w:rPr>
                <w:rFonts w:hint="eastAsia" w:ascii="宋体" w:hAnsi="宋体" w:eastAsia="宋体"/>
                <w:b/>
                <w:bCs/>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10、带定速巡航和电子限速。</w:t>
            </w:r>
          </w:p>
        </w:tc>
        <w:tc>
          <w:tcPr>
            <w:tcW w:w="523" w:type="dxa"/>
            <w:vAlign w:val="center"/>
          </w:tcPr>
          <w:p w14:paraId="18D50219">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1</w:t>
            </w:r>
          </w:p>
        </w:tc>
        <w:tc>
          <w:tcPr>
            <w:tcW w:w="701" w:type="dxa"/>
            <w:vAlign w:val="center"/>
          </w:tcPr>
          <w:p w14:paraId="35F57EEF">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辆</w:t>
            </w:r>
          </w:p>
        </w:tc>
        <w:tc>
          <w:tcPr>
            <w:tcW w:w="701" w:type="dxa"/>
            <w:vAlign w:val="center"/>
          </w:tcPr>
          <w:p w14:paraId="463F5057">
            <w:pPr>
              <w:spacing w:line="240" w:lineRule="auto"/>
              <w:jc w:val="center"/>
              <w:rPr>
                <w:rFonts w:hint="eastAsia" w:ascii="宋体" w:hAnsi="宋体" w:eastAsia="宋体"/>
                <w:b/>
                <w:bCs/>
                <w:snapToGrid w:val="0"/>
                <w:color w:val="auto"/>
                <w:sz w:val="24"/>
                <w:szCs w:val="24"/>
                <w:highlight w:val="none"/>
                <w:vertAlign w:val="baseline"/>
                <w:lang w:val="en-US" w:eastAsia="zh-CN"/>
              </w:rPr>
            </w:pPr>
          </w:p>
        </w:tc>
      </w:tr>
      <w:tr w14:paraId="7DC39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dxa"/>
            <w:vAlign w:val="center"/>
          </w:tcPr>
          <w:p w14:paraId="6671699B">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3</w:t>
            </w:r>
          </w:p>
        </w:tc>
        <w:tc>
          <w:tcPr>
            <w:tcW w:w="1309" w:type="dxa"/>
            <w:vAlign w:val="center"/>
          </w:tcPr>
          <w:p w14:paraId="031F5AC6">
            <w:pPr>
              <w:adjustRightInd w:val="0"/>
              <w:snapToGrid w:val="0"/>
              <w:spacing w:line="360" w:lineRule="auto"/>
              <w:jc w:val="center"/>
              <w:rPr>
                <w:rFonts w:hint="eastAsia" w:ascii="宋体" w:hAnsi="宋体" w:eastAsia="宋体"/>
                <w:b/>
                <w:bCs/>
                <w:snapToGrid w:val="0"/>
                <w:color w:val="auto"/>
                <w:sz w:val="24"/>
                <w:szCs w:val="24"/>
                <w:highlight w:val="none"/>
                <w:vertAlign w:val="baseline"/>
                <w:lang w:val="en-US" w:eastAsia="zh-CN"/>
              </w:rPr>
            </w:pPr>
            <w:r>
              <w:rPr>
                <w:rFonts w:hint="eastAsia" w:ascii="宋体" w:hAnsi="宋体" w:eastAsia="宋体" w:cs="宋体"/>
                <w:b/>
                <w:bCs/>
                <w:color w:val="000000"/>
                <w:sz w:val="24"/>
                <w:szCs w:val="24"/>
                <w:highlight w:val="none"/>
              </w:rPr>
              <w:t>＃</w:t>
            </w:r>
            <w:r>
              <w:rPr>
                <w:rFonts w:hint="eastAsia" w:ascii="仿宋" w:hAnsi="仿宋" w:eastAsia="仿宋" w:cs="仿宋"/>
                <w:b w:val="0"/>
                <w:bCs w:val="0"/>
                <w:color w:val="auto"/>
                <w:kern w:val="0"/>
                <w:sz w:val="24"/>
                <w:szCs w:val="24"/>
                <w:highlight w:val="none"/>
                <w:u w:val="none"/>
                <w:shd w:val="clear" w:color="auto" w:fill="auto"/>
                <w:lang w:val="en-US" w:eastAsia="zh-CN" w:bidi="ar-SA"/>
              </w:rPr>
              <w:t>前突器材消防车</w:t>
            </w:r>
          </w:p>
        </w:tc>
        <w:tc>
          <w:tcPr>
            <w:tcW w:w="5477" w:type="dxa"/>
            <w:vAlign w:val="center"/>
          </w:tcPr>
          <w:p w14:paraId="455E1E1F">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bookmarkStart w:id="583" w:name="OLE_LINK1"/>
            <w:r>
              <w:rPr>
                <w:rFonts w:hint="eastAsia" w:ascii="宋体" w:hAnsi="宋体" w:eastAsia="宋体" w:cs="宋体"/>
                <w:b w:val="0"/>
                <w:bCs w:val="0"/>
                <w:snapToGrid w:val="0"/>
                <w:color w:val="auto"/>
                <w:sz w:val="24"/>
                <w:szCs w:val="24"/>
                <w:highlight w:val="none"/>
                <w:vertAlign w:val="baseline"/>
                <w:lang w:val="en-US" w:eastAsia="zh-CN"/>
              </w:rPr>
              <w:t>▲</w:t>
            </w:r>
            <w:bookmarkEnd w:id="583"/>
            <w:r>
              <w:rPr>
                <w:rFonts w:hint="eastAsia" w:ascii="宋体" w:hAnsi="宋体" w:eastAsia="宋体"/>
                <w:b w:val="0"/>
                <w:bCs w:val="0"/>
                <w:snapToGrid w:val="0"/>
                <w:color w:val="auto"/>
                <w:sz w:val="24"/>
                <w:szCs w:val="24"/>
                <w:highlight w:val="none"/>
                <w:vertAlign w:val="baseline"/>
                <w:lang w:val="en-US" w:eastAsia="zh-CN"/>
              </w:rPr>
              <w:t>1、前突器材消防车外形尺 寸:长×宽×高 ：≤5649×1881×1958mm；</w:t>
            </w:r>
          </w:p>
          <w:p w14:paraId="212F160B">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2、采用4x4消防车专用底盘，排放标准为国六，发动机功率≥120kW；</w:t>
            </w:r>
          </w:p>
          <w:p w14:paraId="3466BCD3">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3、最高车速 :≥120km/h；</w:t>
            </w:r>
          </w:p>
          <w:p w14:paraId="32978E5B">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4、底盘及驾驶室规格型号及驱动形式:4x4；</w:t>
            </w:r>
          </w:p>
          <w:p w14:paraId="783E35C1">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5、发动机型式:高压共轨、增压中冷、电控EGR、VGT增压器；整车最大功率 :120.0kW/3600rpm整车最大扭矩:400.0N·m/1500-2500rpm轴距 :≤3470mm；</w:t>
            </w:r>
          </w:p>
          <w:p w14:paraId="1551D69C">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6、车门数:4个 ；</w:t>
            </w:r>
          </w:p>
          <w:p w14:paraId="61991766">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Times New Roman"/>
                <w:b w:val="0"/>
                <w:bCs w:val="0"/>
                <w:snapToGrid w:val="0"/>
                <w:color w:val="auto"/>
                <w:sz w:val="24"/>
                <w:szCs w:val="24"/>
                <w:highlight w:val="none"/>
                <w:vertAlign w:val="baseline"/>
                <w:lang w:val="en-US" w:eastAsia="zh-CN" w:bidi="ar-SA"/>
              </w:rPr>
              <w:t>7、</w:t>
            </w:r>
            <w:r>
              <w:rPr>
                <w:rFonts w:hint="eastAsia" w:ascii="宋体" w:hAnsi="宋体" w:eastAsia="宋体"/>
                <w:b w:val="0"/>
                <w:bCs w:val="0"/>
                <w:snapToGrid w:val="0"/>
                <w:color w:val="auto"/>
                <w:sz w:val="24"/>
                <w:szCs w:val="24"/>
                <w:highlight w:val="none"/>
                <w:vertAlign w:val="baseline"/>
                <w:lang w:val="en-US" w:eastAsia="zh-CN"/>
              </w:rPr>
              <w:t>座位数:≥5个；</w:t>
            </w:r>
          </w:p>
          <w:p w14:paraId="408D50BF">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Times New Roman"/>
                <w:b w:val="0"/>
                <w:bCs w:val="0"/>
                <w:snapToGrid w:val="0"/>
                <w:color w:val="auto"/>
                <w:sz w:val="24"/>
                <w:szCs w:val="24"/>
                <w:highlight w:val="none"/>
                <w:vertAlign w:val="baseline"/>
                <w:lang w:val="en-US" w:eastAsia="zh-CN" w:bidi="ar-SA"/>
              </w:rPr>
              <w:t>8、</w:t>
            </w:r>
            <w:r>
              <w:rPr>
                <w:rFonts w:hint="eastAsia" w:ascii="宋体" w:hAnsi="宋体" w:eastAsia="宋体"/>
                <w:b w:val="0"/>
                <w:bCs w:val="0"/>
                <w:snapToGrid w:val="0"/>
                <w:color w:val="auto"/>
                <w:sz w:val="24"/>
                <w:szCs w:val="24"/>
                <w:highlight w:val="none"/>
                <w:vertAlign w:val="baseline"/>
                <w:lang w:val="en-US" w:eastAsia="zh-CN"/>
              </w:rPr>
              <w:t>满载质量:≤2810Kg；</w:t>
            </w:r>
          </w:p>
          <w:p w14:paraId="773EC56D">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9、驱动方式:四驱；发动机悬挂:液压；驾驶室:原装双排5人座，主驾完全气囊、副驾安全气囊、中控锁、遥控钥匙、方向盘调节、电动车窗、倒车雷达、冷暖空调（风速大小可调）、独立安全带等。仪表仪器:底盘原装仪表盘上安装有标准仪表；</w:t>
            </w:r>
          </w:p>
          <w:p w14:paraId="394FF9A2">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10、消防车上装结构设计:车身外部、内部和箱体等操作者可能触及的任何部件、构件等都没有任何使人致伤的尖锐突出物或锐利边缘。所有暴露在外的非耐腐蚀金属材料的表面做防腐处理，封闭 的厢体应通风防潮、设有排水孔；</w:t>
            </w:r>
          </w:p>
          <w:p w14:paraId="194CE3E2">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11、储物箱:储物箱内科学合理放置各类器材，固定牢靠、取放便捷；</w:t>
            </w:r>
          </w:p>
          <w:p w14:paraId="00540714">
            <w:pPr>
              <w:numPr>
                <w:ilvl w:val="0"/>
                <w:numId w:val="0"/>
              </w:numPr>
              <w:spacing w:line="360" w:lineRule="auto"/>
              <w:ind w:leftChars="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12、电气及辅助系统警灯及警报器:驾驶室顶部设置1个长排警灯内置100W警报器，驾驶室内设有麦克风；上装两侧安装频闪灯、车身下方安装有标志灯、尾部设置示廓灯；</w:t>
            </w:r>
          </w:p>
          <w:p w14:paraId="630D2193">
            <w:pPr>
              <w:numPr>
                <w:ilvl w:val="0"/>
                <w:numId w:val="0"/>
              </w:numPr>
              <w:spacing w:line="360" w:lineRule="auto"/>
              <w:ind w:left="0" w:leftChars="0" w:firstLine="0" w:firstLineChars="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13、其他配置及说明颜色喷涂:车身消防红、底盘原色，按照部局统型要求粘贴标识；</w:t>
            </w:r>
          </w:p>
          <w:p w14:paraId="2B4566A8">
            <w:pPr>
              <w:numPr>
                <w:ilvl w:val="0"/>
                <w:numId w:val="0"/>
              </w:numPr>
              <w:spacing w:line="360" w:lineRule="auto"/>
              <w:ind w:left="0" w:leftChars="0" w:firstLine="0" w:firstLineChars="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cs="Times New Roman"/>
                <w:b w:val="0"/>
                <w:bCs w:val="0"/>
                <w:snapToGrid w:val="0"/>
                <w:color w:val="auto"/>
                <w:sz w:val="24"/>
                <w:szCs w:val="24"/>
                <w:highlight w:val="none"/>
                <w:vertAlign w:val="baseline"/>
                <w:lang w:val="en-US" w:eastAsia="zh-CN" w:bidi="ar-SA"/>
              </w:rPr>
              <w:t>14、</w:t>
            </w:r>
            <w:r>
              <w:rPr>
                <w:rFonts w:hint="eastAsia" w:ascii="宋体" w:hAnsi="宋体" w:eastAsia="宋体"/>
                <w:b w:val="0"/>
                <w:bCs w:val="0"/>
                <w:snapToGrid w:val="0"/>
                <w:color w:val="auto"/>
                <w:sz w:val="24"/>
                <w:szCs w:val="24"/>
                <w:highlight w:val="none"/>
                <w:vertAlign w:val="baseline"/>
                <w:lang w:val="en-US" w:eastAsia="zh-CN"/>
              </w:rPr>
              <w:t>整车操作使用维护说明书及维修手册（中文）；底盘使用说明书（中文）；发动机号码及底盘VIN拓印件；随车器材清单；消防车交接清单；</w:t>
            </w:r>
          </w:p>
          <w:p w14:paraId="00567867">
            <w:pPr>
              <w:numPr>
                <w:ilvl w:val="0"/>
                <w:numId w:val="0"/>
              </w:numPr>
              <w:spacing w:line="360" w:lineRule="auto"/>
              <w:ind w:left="0" w:leftChars="0" w:firstLine="0" w:firstLineChars="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cs="Times New Roman"/>
                <w:b w:val="0"/>
                <w:bCs w:val="0"/>
                <w:snapToGrid w:val="0"/>
                <w:color w:val="auto"/>
                <w:sz w:val="24"/>
                <w:szCs w:val="24"/>
                <w:highlight w:val="none"/>
                <w:vertAlign w:val="baseline"/>
                <w:lang w:val="en-US" w:eastAsia="zh-CN" w:bidi="ar-SA"/>
              </w:rPr>
              <w:t>15、</w:t>
            </w:r>
            <w:r>
              <w:rPr>
                <w:rFonts w:hint="eastAsia" w:ascii="宋体" w:hAnsi="宋体" w:eastAsia="宋体"/>
                <w:b w:val="0"/>
                <w:bCs w:val="0"/>
                <w:snapToGrid w:val="0"/>
                <w:color w:val="auto"/>
                <w:sz w:val="24"/>
                <w:szCs w:val="24"/>
                <w:highlight w:val="none"/>
                <w:vertAlign w:val="baseline"/>
                <w:lang w:val="en-US" w:eastAsia="zh-CN"/>
              </w:rPr>
              <w:t xml:space="preserve">提供应急管理部上海消防研 究所国家消防装备质量检验检测 中心检测报告； </w:t>
            </w:r>
          </w:p>
          <w:p w14:paraId="1BA6FCEC">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16、车载视频会议终端（无缝衔接图综系统）可无缝接入消防图像综合管理平台，车载终端通过4G和5G网络可与后端指挥中心实现双向视音频交互；视频编码支持H.263+、H.264、H.264 HighProfile；音频编码支持G.711/G.722/G.722.1/G. 729，宽频语音；视频码流支持；</w:t>
            </w:r>
          </w:p>
          <w:p w14:paraId="050FC728">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17、32Kbps～6Mbps，活动图像帧率支持1～60帧/秒可选；至少具有1×CVBS标清输入，1×DVI-I数据输入，1×SDI高清输入，1×USB摄像头输入；至少1路VGA输出，1路HDMI输出，支持2路高清 </w:t>
            </w:r>
          </w:p>
          <w:p w14:paraId="75FC139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视频同时输出；音频接口需满足至少1路；MICIN3.5mm和1路SPKOUT3.5mm；网络接口需内置1×5G全网通模块，1×4G全网通模块，支持无线WIFI，1×10M/100M/1000M快速自适应以太网口；</w:t>
            </w:r>
          </w:p>
          <w:p w14:paraId="39AEFFE3">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18、高清车外云台摄像机；</w:t>
            </w:r>
          </w:p>
          <w:p w14:paraId="21201292">
            <w:pPr>
              <w:numPr>
                <w:ilvl w:val="0"/>
                <w:numId w:val="0"/>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19、1）支持SDI视频和网络视频同时输出；2） 可实现低功耗功能（检测报告体现）；3）-45℃ - 70℃ （检测报告中体现）；4）30倍光学变倍；5）水平方向360°连续旋转，垂直方向-90°～90°后连续 监视,无监视盲区；6）云台定位准确度：&lt;0.1°；7） 水平最大速度160°/S；8）垂直最大速度90°/S；9）采用200万像1920*1080P；10）支持100米红外灯补光，采用倍率与红外灯功率匹配算法，补光效果更均匀；11）支持255个预置位，8条巡航组，8组模式路径；12）支持手动雨刷功能14.支持DC9-36V宽电压输入；</w:t>
            </w:r>
          </w:p>
          <w:p w14:paraId="4C371EA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 xml:space="preserve">20、车内摄像机：1/2.8”SONYCMOS(IMX307)星光级传感器有效像素 :1945(H)x1109(V)Approx . 21、16M pixels分辨1080P(30fps),720P(60fps) </w:t>
            </w:r>
          </w:p>
          <w:p w14:paraId="7EAEB411">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彩色:DSS:0.00008LUX, 黑白:DSS: 0.00008 LUX </w:t>
            </w:r>
          </w:p>
          <w:p w14:paraId="1917F2D5">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支持3D降噪宽动态功能24颗红外灯，夜视功能可达10-20米 ；</w:t>
            </w:r>
          </w:p>
          <w:p w14:paraId="066D88E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22、8/4mm 镜头可选DC12供5.硬盘录像机1. 音视频输入：8路POERJ45接口，全通道1080P ；</w:t>
            </w:r>
          </w:p>
          <w:p w14:paraId="601EBA3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23、视频压缩标准：H.265、smartH.265、H.264、smartH.264 ；</w:t>
            </w:r>
          </w:p>
          <w:p w14:paraId="386D41E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24、音频压缩标准：G.711A、G.711U、PCM ；</w:t>
            </w:r>
          </w:p>
          <w:p w14:paraId="17BEDE5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25、存储：1个SATA接口，单硬盘最大支持2T； </w:t>
            </w:r>
          </w:p>
          <w:p w14:paraId="736F063B">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26、1个前置SD卡接口：单卡最大支持256G； </w:t>
            </w:r>
          </w:p>
          <w:p w14:paraId="42946447">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27、陀螺仪：支持侧翻、 撞车、急加速、急减速等事件检测并报警提示；</w:t>
            </w:r>
          </w:p>
          <w:p w14:paraId="2654509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28、GPS：支持内置GPS/北斗双模，可实现定位信息的显示、编码叠加、录像记录；</w:t>
            </w:r>
          </w:p>
          <w:p w14:paraId="10274B7D">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29、3G/4G：支持内置3G/4G全网通模块，1个前置SIM卡槽；</w:t>
            </w:r>
          </w:p>
          <w:p w14:paraId="35CA55E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30、Wi-Fi：支持内置WiFi模块，可连接Wi-Fi ；</w:t>
            </w:r>
          </w:p>
          <w:p w14:paraId="6873F3FC">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31、网络视频输出：1路VGA、1路AVOUT、1路 </w:t>
            </w:r>
          </w:p>
          <w:p w14:paraId="21225B7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HDMI、1路扩展CVBS ；</w:t>
            </w:r>
          </w:p>
          <w:p w14:paraId="2294B45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32、报警接口：9路输入 (8+1，第9路兼容脉冲测试)，2路输出；</w:t>
            </w:r>
          </w:p>
          <w:p w14:paraId="6501AC47">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33、语音对讲：1路，支持车载专用话咪、车载全双工对讲终端 ；</w:t>
            </w:r>
          </w:p>
          <w:p w14:paraId="3405D1F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34、 USB接口：2个前置USB2.0接口，1个后置扩展USB2.0接口 ；</w:t>
            </w:r>
          </w:p>
          <w:p w14:paraId="7B779201">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35、网口：1个前置RJ45，8个后置POERJ45百 </w:t>
            </w:r>
          </w:p>
          <w:p w14:paraId="4B3B635A">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兆自适应网口 ；</w:t>
            </w:r>
          </w:p>
          <w:p w14:paraId="7DFE8005">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36、其他接口：2个RS485接口、3个RS232接 </w:t>
            </w:r>
          </w:p>
          <w:p w14:paraId="1E43415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口、1个CAN接口； </w:t>
            </w:r>
          </w:p>
          <w:p w14:paraId="2E1E55C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37、供电：DC6V～DC36V ；</w:t>
            </w:r>
          </w:p>
          <w:p w14:paraId="2DB3D26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38、功耗：10.2W（不带外设）； </w:t>
            </w:r>
          </w:p>
          <w:p w14:paraId="327B794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39工作温度：- 30℃～＋70℃ ；</w:t>
            </w:r>
          </w:p>
          <w:p w14:paraId="799C6FFB">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 xml:space="preserve">40、尺寸：1DIN，前面板190mm×60mm、后面板 </w:t>
            </w:r>
          </w:p>
          <w:p w14:paraId="69C2E938">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180mm×50mm，深度190mm ；</w:t>
            </w:r>
          </w:p>
          <w:p w14:paraId="1ACCB69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功放产品说明 ：1）高对比度128X64中文 </w:t>
            </w:r>
          </w:p>
          <w:p w14:paraId="0FE7FFF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点阵屏,内置音源信息一目了然,自动屏保功能 ；2）内置高品质蓝牙解码芯片,音质完美,传输距离 </w:t>
            </w:r>
          </w:p>
          <w:p w14:paraId="4A6DF4E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远,连接速度快 ；3）内置高品质MP3解码芯 </w:t>
            </w:r>
          </w:p>
          <w:p w14:paraId="31874181">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片USB接口,音质完美,兼容MP3/WAV等多种音频格式；4）内置高灵敏度收音解码芯片,收台清晰,抗干扰强，频段宽；5）MP3可实现4种不同风 </w:t>
            </w:r>
          </w:p>
          <w:p w14:paraId="35F28F0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格音乐播放,一键到位方便快捷；6）MP3可实现多种播放模式,随机/单曲循环/全曲循环；7）MP3内置5种音效模式,适合不层次人群爱好；8）内置警报提示音输出，有强切入优先，并具备默音调节功能；9）内置高品质铃声提示音，有强切入优先，并具备默音调节功能；10）2路RCA莲花线路输入；11）3路话筒输入，话筒1有强切入优先，并具备默音调节功能；12）6路分区音量及各输入通道音量独立调节：13）高低音调节 ；14）2路RCA莲花混合输出；15）100V、70V定压输出&amp;4Ω-16Ω定阻输出；16）输出具备短路、过流、过载保护及LED警示；17）内置自激、过热、开关机防冲击保护及LED警示；18）饱和失真及LED警示；19）信号电平指示LED；20）内置智能温度检测驱动风冷，采用低噪声风扇；21）内置红外对频接收头，一键遥控功能。</w:t>
            </w:r>
          </w:p>
          <w:p w14:paraId="28AC12D9">
            <w:pPr>
              <w:spacing w:line="360" w:lineRule="auto"/>
              <w:jc w:val="left"/>
              <w:rPr>
                <w:rFonts w:hint="eastAsia"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技术参数：</w:t>
            </w:r>
          </w:p>
          <w:p w14:paraId="0357BFC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1、电源：AC220V/50Hz ；</w:t>
            </w:r>
          </w:p>
          <w:p w14:paraId="688E694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2、噪声比：话筒：&gt;68dB ；</w:t>
            </w:r>
          </w:p>
          <w:p w14:paraId="1D06A8C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3、线路：&gt;82dB ；</w:t>
            </w:r>
          </w:p>
          <w:p w14:paraId="1FA9DEC8">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4、总谐波失真：&lt;0.1% at1KHz ；</w:t>
            </w:r>
          </w:p>
          <w:p w14:paraId="74A61EE5">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5、频率响应：60Hz-18KHz（±2dB） ；</w:t>
            </w:r>
          </w:p>
          <w:p w14:paraId="6B9047FC">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6、音调低音：±10dB at ；</w:t>
            </w:r>
          </w:p>
          <w:p w14:paraId="36EE7FA8">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7、100Hz，高音：±10dBBat10KHz ；</w:t>
            </w:r>
          </w:p>
          <w:p w14:paraId="7ED2C553">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8、收音频段：76MHz-108MHz ；</w:t>
            </w:r>
          </w:p>
          <w:p w14:paraId="519150D7">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9、话筒输入灵敏度&amp;阻抗 ：8mV/600Ω不平衡； </w:t>
            </w:r>
          </w:p>
          <w:p w14:paraId="04F20A0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线路输入灵敏度&amp;阻抗 ：250mV/10KΩ不平衡 ；</w:t>
            </w:r>
          </w:p>
          <w:p w14:paraId="0D7D5EE8">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线路输出灵敏度&amp;阻抗：1V/600Ω不平衡； </w:t>
            </w:r>
          </w:p>
          <w:p w14:paraId="168ABCF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10、默音调节:0-38dB；</w:t>
            </w:r>
          </w:p>
          <w:p w14:paraId="0AA1FE6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11、输出功率：130W； </w:t>
            </w:r>
          </w:p>
          <w:p w14:paraId="2AAB915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12、电源功耗：10-180W；</w:t>
            </w:r>
          </w:p>
          <w:p w14:paraId="54C6CC73">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13、机器尺寸：482 x 352 x 90mm ；</w:t>
            </w:r>
          </w:p>
          <w:p w14:paraId="772692A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14、机器重量:9.5KG ；</w:t>
            </w:r>
          </w:p>
          <w:p w14:paraId="4F4BA0C5">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 xml:space="preserve">15、数字调音台阻抗平衡5kΩ，非平衡2.5 kΩ </w:t>
            </w:r>
          </w:p>
          <w:p w14:paraId="334DD84C">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最大输入电平+12dBu最大增益40分贝相声-63 dB@1kHz共模抑制比 (CMRR) &gt; 70 dB @ 1 kHz，22Hz–22 kHz等效输入噪声（EIN）-116 dBu， A 加权; 端接150 Ω类型 RCA 连接器，不平衡阻抗 20 kΩ，不平衡最大输入电平 +10 dBu最大增益13分贝输出L / 输出R / 辅助类型Euroblock 连接器，平衡阻抗 120Ω平衡， 60 Ω非平衡最高获得18分贝 ；</w:t>
            </w:r>
          </w:p>
          <w:p w14:paraId="69DCE377">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16、最高增益（输入/ 输出）58dB ；</w:t>
            </w:r>
          </w:p>
          <w:p w14:paraId="7445E43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17、最大输出水平+21分贝 ；</w:t>
            </w:r>
          </w:p>
          <w:p w14:paraId="2902238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18、串扰（输出/输出）-63dB@1kHz阻抗2.7千欧麦克风低切100Hz，18dB/oct。高通滤波器 </w:t>
            </w:r>
          </w:p>
          <w:p w14:paraId="2C31E9B3">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，巴特沃思频率响应20Hz至22kHz，±0.5dB </w:t>
            </w:r>
          </w:p>
          <w:p w14:paraId="0E7FBAB3">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失真度（THD+N）&lt;0.05% </w:t>
            </w:r>
          </w:p>
          <w:p w14:paraId="598C3D33">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19、开关电源：自动量程100-240V~50/60Hz </w:t>
            </w:r>
          </w:p>
          <w:p w14:paraId="71B9E65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能量消耗15瓦；</w:t>
            </w:r>
          </w:p>
          <w:p w14:paraId="44D84CF2">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20、尺寸（高x宽x深）：&lt; 44 x 483 x 153 毫米；</w:t>
            </w:r>
          </w:p>
          <w:p w14:paraId="60454B0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21、重量 ：&lt;1.7 公斤； </w:t>
            </w:r>
          </w:p>
          <w:p w14:paraId="6FB33F0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8.车外防水音柱一对产品描述全天候音柱，外壳采用铝镁合金制成，整体设计大方，适合各种室内外场合。</w:t>
            </w:r>
          </w:p>
          <w:p w14:paraId="46A1585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22、额定/最大功率：45/65W； </w:t>
            </w:r>
          </w:p>
          <w:p w14:paraId="06355EE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23、输入电压：100V； </w:t>
            </w:r>
          </w:p>
          <w:p w14:paraId="1F7B497D">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24、灵敏度(1m,1W)：89dB；频率响应：150- </w:t>
            </w:r>
          </w:p>
          <w:p w14:paraId="40A5562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20000Hz；</w:t>
            </w:r>
          </w:p>
          <w:p w14:paraId="47D18A2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25、喇叭单元4″×4，25芯号角高音″×1 ；</w:t>
            </w:r>
          </w:p>
          <w:p w14:paraId="74D9F9C3">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声音最大传输距离：70/120米 ；</w:t>
            </w:r>
          </w:p>
          <w:p w14:paraId="7B3B8BE0">
            <w:pPr>
              <w:numPr>
                <w:ilvl w:val="0"/>
                <w:numId w:val="3"/>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尺寸（H×W×L）：610×150×125mm；</w:t>
            </w:r>
          </w:p>
          <w:p w14:paraId="058AB002">
            <w:pPr>
              <w:numPr>
                <w:ilvl w:val="0"/>
                <w:numId w:val="3"/>
              </w:num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重量：5.8kg； </w:t>
            </w:r>
          </w:p>
          <w:p w14:paraId="2987014C">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28、视频矩阵支持分辨率 ：1920*1200@60Hz,1920* </w:t>
            </w:r>
          </w:p>
          <w:p w14:paraId="1FF78A54">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1080@60Hz </w:t>
            </w:r>
          </w:p>
          <w:p w14:paraId="6935D1D4">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29、输入端口：4*HDMI, 1*RS-232IN, 1xRS-232 </w:t>
            </w:r>
          </w:p>
          <w:p w14:paraId="2991B1B4">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OUT,1xRJ-45（控制）输出端口：4*HDMI </w:t>
            </w:r>
          </w:p>
          <w:p w14:paraId="5E6ADD55">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30、静电保护：人体放电模式：+8kV（气隙放电 </w:t>
            </w:r>
          </w:p>
          <w:p w14:paraId="52D4EEFC">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）+4kV（接触放电）控制：按键／遥控／RS232串 </w:t>
            </w:r>
          </w:p>
          <w:p w14:paraId="277AF533">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口；</w:t>
            </w:r>
          </w:p>
          <w:p w14:paraId="7A16BF95">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31、电源◇AC:110V-240V50/60Hz DC:12V2A；</w:t>
            </w:r>
          </w:p>
          <w:p w14:paraId="11E7F98C">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32、输入电压：电源100VAC~260VAC,50/60Hz；</w:t>
            </w:r>
          </w:p>
          <w:p w14:paraId="68CCA97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33、功耗：≤12w（最大）； </w:t>
            </w:r>
          </w:p>
          <w:p w14:paraId="3DED424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34、尺寸：≤482mm (W)*288mm(D)*44mm (H) ；</w:t>
            </w:r>
          </w:p>
          <w:p w14:paraId="3ED05F54">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35、重量：≤2Kg ；</w:t>
            </w:r>
          </w:p>
          <w:p w14:paraId="64699101">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36、工作温度：-20℃~60℃/-4°F~140°F； </w:t>
            </w:r>
          </w:p>
          <w:p w14:paraId="702178C7">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37、外壳材质：铝合金； </w:t>
            </w:r>
          </w:p>
          <w:p w14:paraId="7425298D">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cs="宋体"/>
                <w:b w:val="0"/>
                <w:bCs w:val="0"/>
                <w:snapToGrid w:val="0"/>
                <w:color w:val="auto"/>
                <w:sz w:val="24"/>
                <w:szCs w:val="24"/>
                <w:highlight w:val="none"/>
                <w:vertAlign w:val="baseline"/>
                <w:lang w:val="en-US" w:eastAsia="zh-CN"/>
              </w:rPr>
              <w:t>▲</w:t>
            </w:r>
            <w:r>
              <w:rPr>
                <w:rFonts w:hint="eastAsia" w:ascii="宋体" w:hAnsi="宋体" w:eastAsia="宋体"/>
                <w:b w:val="0"/>
                <w:bCs w:val="0"/>
                <w:snapToGrid w:val="0"/>
                <w:color w:val="auto"/>
                <w:sz w:val="24"/>
                <w:szCs w:val="24"/>
                <w:highlight w:val="none"/>
                <w:vertAlign w:val="baseline"/>
                <w:lang w:val="en-US" w:eastAsia="zh-CN"/>
              </w:rPr>
              <w:t xml:space="preserve">38、无线话筒：一拖二无线话筒。一键全频雷达扫描，按下扫描键，数秒内即可完成全频段扫描，并设定匹配完成对应的话筒。全频段避干扰技术，可容纳多达40只无线发射机同时工作支持演出环境下不低于100米的使用安全距离（空旷环境最高使用距离约500米） 高强度抗啸叫系统采用信号叠加双分集技术，四路天线系统超大字符显示，高对比度 ，高亮度电池电量主机显示兼容SHURE舒尔全线无线咪头使用屏幕背光双色显示智能一键无缝切换腰包/手持/会议话筒功能，从此解放复杂对频过程双色的显示屏幕，当失去无线信号连接时，主机屏幕显示橙色背光，一旦建立连接，屏幕显示蓝白背光。超大的字符显示，可以迅速观察屏幕信息，手柄的电池电量在主机上的显示格外引人注意。全新 UR-700系列配备了强大的一键雷达扫描功能，点击面板上的SET键后，屏幕立即进入全频雷达搜索状态，只需几秒就设定好了一个可以使用的干净频率，并与话筒取得匹配。完全不再担心无线干扰的问题，多台叠机无串频现象。所有演出活动中的干扰杂音从此不会再有； </w:t>
            </w:r>
          </w:p>
          <w:p w14:paraId="0089B0AD">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39、接收机规格频率范围：(641-690.8MHz); </w:t>
            </w:r>
          </w:p>
          <w:p w14:paraId="021C741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40、信道数： 100+100个信道；</w:t>
            </w:r>
          </w:p>
          <w:p w14:paraId="24DC947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41、振荡方式：锁相环（PLL）频率合成； </w:t>
            </w:r>
          </w:p>
          <w:p w14:paraId="36BCEC6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42、接收方式：一次变频超内差，二次变频超外差； </w:t>
            </w:r>
          </w:p>
          <w:p w14:paraId="76F28A8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43、接收灵敏度：-99~-69dBm； </w:t>
            </w:r>
          </w:p>
          <w:p w14:paraId="0CA9C28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44、音频频响：40~18000Hz; </w:t>
            </w:r>
          </w:p>
          <w:p w14:paraId="2D6BAAFC">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45、失真度： ≤0.5%; </w:t>
            </w:r>
          </w:p>
          <w:p w14:paraId="13509A43">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46、信噪比：≥110dB； </w:t>
            </w:r>
          </w:p>
          <w:p w14:paraId="5EC32F8D">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47、音频输出：(XLR)卡侬座； </w:t>
            </w:r>
          </w:p>
          <w:p w14:paraId="486B1BDC">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48、独立平衡输出和Φ6.35插；座混合不平衡输出； </w:t>
            </w:r>
          </w:p>
          <w:p w14:paraId="5EB8AA27">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49、电源规格：100V~240V/50~60Hz； </w:t>
            </w:r>
          </w:p>
          <w:p w14:paraId="1C889028">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50、消耗功率：≤8W； </w:t>
            </w:r>
          </w:p>
          <w:p w14:paraId="1B8F8BC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51、麦克风规格频率范围：(641-690.8MHz); </w:t>
            </w:r>
          </w:p>
          <w:p w14:paraId="70AA89B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52、信道数：100+100个信道； </w:t>
            </w:r>
          </w:p>
          <w:p w14:paraId="28EEEB9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53、调制方式：FM调频； </w:t>
            </w:r>
          </w:p>
          <w:p w14:paraId="66A409F8">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54、频率精度：+-10ppm; </w:t>
            </w:r>
          </w:p>
          <w:p w14:paraId="56B4309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55、辐射功率：≤10dBm; </w:t>
            </w:r>
          </w:p>
          <w:p w14:paraId="11BB80A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56、音频频响：40~18000Hz; </w:t>
            </w:r>
          </w:p>
          <w:p w14:paraId="50F5057B">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57、失真度：≤0.5%; </w:t>
            </w:r>
          </w:p>
          <w:p w14:paraId="57CC437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58、电池规格：2×1.5V AASize； </w:t>
            </w:r>
          </w:p>
          <w:p w14:paraId="2CF7E98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59、PDT数字车载台 车载350MHz-400MHz电台，支 </w:t>
            </w:r>
          </w:p>
          <w:p w14:paraId="0A78AD4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持PDT和常规。 </w:t>
            </w:r>
          </w:p>
          <w:p w14:paraId="5576CBE5">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60、单兵背负微波图传(一台车载图传接收机/一台 </w:t>
            </w:r>
          </w:p>
          <w:p w14:paraId="4A938C3C">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背负式单兵图传发射机)背负式单兵图传发射机 ：</w:t>
            </w:r>
            <w:r>
              <w:rPr>
                <w:rFonts w:hint="eastAsia" w:ascii="宋体" w:hAnsi="宋体" w:eastAsia="宋体"/>
                <w:b/>
                <w:bCs/>
                <w:snapToGrid w:val="0"/>
                <w:color w:val="auto"/>
                <w:sz w:val="24"/>
                <w:szCs w:val="24"/>
                <w:highlight w:val="none"/>
                <w:vertAlign w:val="baseline"/>
                <w:lang w:val="en-US" w:eastAsia="zh-CN"/>
              </w:rPr>
              <w:t>功能特点</w:t>
            </w:r>
            <w:r>
              <w:rPr>
                <w:rFonts w:hint="eastAsia" w:ascii="宋体" w:hAnsi="宋体" w:eastAsia="宋体"/>
                <w:b w:val="0"/>
                <w:bCs w:val="0"/>
                <w:snapToGrid w:val="0"/>
                <w:color w:val="auto"/>
                <w:sz w:val="24"/>
                <w:szCs w:val="24"/>
                <w:highlight w:val="none"/>
                <w:vertAlign w:val="baseline"/>
                <w:lang w:val="en-US" w:eastAsia="zh-CN"/>
              </w:rPr>
              <w:t xml:space="preserve"> </w:t>
            </w:r>
          </w:p>
          <w:p w14:paraId="758B004D">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 无线传输支持DMB-T标 准，调制方式支持TDS</w:t>
            </w:r>
          </w:p>
          <w:p w14:paraId="2275DACB">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OFDM（国产化技术标准）； </w:t>
            </w:r>
          </w:p>
          <w:p w14:paraId="02F3D247">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 射频节能采用DPD（数字非线性预失真处理技术 </w:t>
            </w:r>
          </w:p>
          <w:p w14:paraId="401809C8">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），整机功耗效率≥30% ；</w:t>
            </w:r>
          </w:p>
          <w:p w14:paraId="5925ADA7">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 无线通信保密，信道具备三层加密体系；</w:t>
            </w:r>
          </w:p>
          <w:p w14:paraId="21FC456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4) 支持UHF工作频率，调制带宽支持：1MHz，2MHz, 4MHz, 8MHz可选；</w:t>
            </w:r>
          </w:p>
          <w:p w14:paraId="19DD365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5) 支持高速移动运动环境、非视距传输； </w:t>
            </w:r>
          </w:p>
          <w:p w14:paraId="0245F274">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6) 视频编解码采用H.265标准，GB/T28181-2016和ONVIF协议标准；</w:t>
            </w:r>
          </w:p>
          <w:p w14:paraId="11AC3C6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7) 微波单兵图传环境适应性支持低温-30°C，高 </w:t>
            </w:r>
          </w:p>
          <w:p w14:paraId="292AE4F4">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温+65°C；</w:t>
            </w:r>
          </w:p>
          <w:p w14:paraId="0690354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8) 单兵自带温度保护装置，80°C，发射机不接天线开机1小时不烧坏，以及天线接口短路保护装置； </w:t>
            </w:r>
          </w:p>
          <w:p w14:paraId="25083FB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9) 单兵传输距离：接收天线1.5米高，背负式单 </w:t>
            </w:r>
          </w:p>
          <w:p w14:paraId="709AA60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兵沿直线街道传输距离≥3km ；</w:t>
            </w:r>
          </w:p>
          <w:p w14:paraId="34DC6D86">
            <w:pPr>
              <w:spacing w:line="360" w:lineRule="auto"/>
              <w:jc w:val="left"/>
              <w:rPr>
                <w:rFonts w:hint="eastAsia"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 xml:space="preserve">技术规格 </w:t>
            </w:r>
          </w:p>
          <w:p w14:paraId="708DC84D">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 发射功率：≥2w；</w:t>
            </w:r>
          </w:p>
          <w:p w14:paraId="1CC75BF3">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 带内平坦度：±1dB (工作可调带宽不小于 </w:t>
            </w:r>
          </w:p>
          <w:p w14:paraId="096E487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60MHz带宽内) ；</w:t>
            </w:r>
          </w:p>
          <w:p w14:paraId="460831FC">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 频率稳定度 ：±50Hz（低温- 30°C，高温+65°C）；</w:t>
            </w:r>
          </w:p>
          <w:p w14:paraId="5607CA01">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4) 带肩：≥45dBc；</w:t>
            </w:r>
          </w:p>
          <w:p w14:paraId="4C5C21E2">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5) 带外抑制:≥40dB；</w:t>
            </w:r>
          </w:p>
          <w:p w14:paraId="68D9E8F1">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6) 视频接口：HDMI；</w:t>
            </w:r>
          </w:p>
          <w:p w14:paraId="636F802C">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7) 数据接口:RS232透明数据； </w:t>
            </w:r>
          </w:p>
          <w:p w14:paraId="0284B63B">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8) 视频分辨率：1080P、720P可调；</w:t>
            </w:r>
          </w:p>
          <w:p w14:paraId="44B3CF2B">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9) 功耗效率：≥30% ；</w:t>
            </w:r>
          </w:p>
          <w:p w14:paraId="7196178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10) 电池工作时间：不小于4小时（低温-30°C时 </w:t>
            </w:r>
          </w:p>
          <w:p w14:paraId="4DB3A06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），电池可快速插拔更换 ；</w:t>
            </w:r>
          </w:p>
          <w:p w14:paraId="0AEEB29C">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11) 重量：≤ 2Kg </w:t>
            </w:r>
          </w:p>
          <w:p w14:paraId="459A6407">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12) 尺寸：≤180 * 120 * 90mm </w:t>
            </w:r>
          </w:p>
          <w:p w14:paraId="7EB969CD">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13) 天线规格：3.5dBi（长度小于40cm） </w:t>
            </w:r>
          </w:p>
          <w:p w14:paraId="33B741F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14) 供电电压：DC12V车载图传接收机：</w:t>
            </w:r>
          </w:p>
          <w:p w14:paraId="6BA80421">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功能特点：</w:t>
            </w:r>
            <w:r>
              <w:rPr>
                <w:rFonts w:hint="eastAsia" w:ascii="宋体" w:hAnsi="宋体" w:eastAsia="宋体"/>
                <w:b w:val="0"/>
                <w:bCs w:val="0"/>
                <w:snapToGrid w:val="0"/>
                <w:color w:val="auto"/>
                <w:sz w:val="24"/>
                <w:szCs w:val="24"/>
                <w:highlight w:val="none"/>
                <w:vertAlign w:val="baseline"/>
                <w:lang w:val="en-US" w:eastAsia="zh-CN"/>
              </w:rPr>
              <w:t xml:space="preserve"> </w:t>
            </w:r>
          </w:p>
          <w:p w14:paraId="180CC597">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 最大支持四路接收； </w:t>
            </w:r>
          </w:p>
          <w:p w14:paraId="2D75C38A">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 频道1~8可调； </w:t>
            </w:r>
          </w:p>
          <w:p w14:paraId="687874C2">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 带宽1/2/4/8M可调； </w:t>
            </w:r>
          </w:p>
          <w:p w14:paraId="1B22954F">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4) 频谱/场强自动检测 ；</w:t>
            </w:r>
          </w:p>
          <w:p w14:paraId="2B22137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5) AES加密，避免非法接收； </w:t>
            </w:r>
          </w:p>
          <w:p w14:paraId="4A039FDE">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6) 超低延时、实时传输； </w:t>
            </w:r>
          </w:p>
          <w:p w14:paraId="0E2B1BE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7) 支持远程控制，查询或设置参数； </w:t>
            </w:r>
          </w:p>
          <w:p w14:paraId="3F464403">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8) 可定制全向、高增益天线； </w:t>
            </w:r>
          </w:p>
          <w:p w14:paraId="3D7E656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9) 支持RJ45以太网输出； </w:t>
            </w:r>
          </w:p>
          <w:p w14:paraId="386F737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10) HDMI高清视频输出； </w:t>
            </w:r>
          </w:p>
          <w:p w14:paraId="668E8B2B">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11) 支持AC220V供电 ；</w:t>
            </w:r>
          </w:p>
          <w:p w14:paraId="5B633F2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12) 低功耗，发热量小，无风扇设计；</w:t>
            </w:r>
          </w:p>
          <w:p w14:paraId="679ED87B">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13) 标准1U机箱，安装简便 </w:t>
            </w:r>
          </w:p>
          <w:p w14:paraId="53C218CC">
            <w:pPr>
              <w:spacing w:line="360" w:lineRule="auto"/>
              <w:jc w:val="left"/>
              <w:rPr>
                <w:rFonts w:hint="eastAsia"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 xml:space="preserve">技术参数 </w:t>
            </w:r>
          </w:p>
          <w:p w14:paraId="22612EEA">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 接收增益：≥15dB；</w:t>
            </w:r>
          </w:p>
          <w:p w14:paraId="58838741">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 接收灵敏度：≤ -106dBm（2MHz@QPSK）； </w:t>
            </w:r>
          </w:p>
          <w:p w14:paraId="7D5589A9">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 解调方式：TDS-OFDM； </w:t>
            </w:r>
          </w:p>
          <w:p w14:paraId="7187BBC2">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 解调带宽：2、4、8MHz； </w:t>
            </w:r>
          </w:p>
          <w:p w14:paraId="435BB36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5) 解调模式：QPSK；</w:t>
            </w:r>
          </w:p>
          <w:p w14:paraId="434863A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6) 解密方式：AES128位；</w:t>
            </w:r>
          </w:p>
          <w:p w14:paraId="24741BFB">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7) 邻频干扰：≥65dBc； </w:t>
            </w:r>
          </w:p>
          <w:p w14:paraId="145397DD">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8) 开机工作图像延迟：≤ 2s； </w:t>
            </w:r>
          </w:p>
          <w:p w14:paraId="3D47EF20">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9) 图像传输延迟：≤100ms； </w:t>
            </w:r>
          </w:p>
          <w:p w14:paraId="00C21FB1">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10) 视频环路输出：HDMI，RJ45网络视频流 </w:t>
            </w:r>
          </w:p>
          <w:p w14:paraId="1688D608">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11) 数据接口：RS232； </w:t>
            </w:r>
          </w:p>
          <w:p w14:paraId="6A8434DB">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12) 图像制式：PAL/NTSC； </w:t>
            </w:r>
          </w:p>
          <w:p w14:paraId="434EF1B6">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13) 图像分辨率：D1/720P/1080i/1080P； </w:t>
            </w:r>
          </w:p>
          <w:p w14:paraId="4FA8DE78">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14) 尺寸：1U×400mm（深）； </w:t>
            </w:r>
          </w:p>
          <w:p w14:paraId="3E1EDB54">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15) 天线规格：5.5dBi（吸盘馈线≥4.5米）； </w:t>
            </w:r>
          </w:p>
          <w:p w14:paraId="7FF94978">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16) 工作电压 ：AC220V/50Hz； </w:t>
            </w:r>
          </w:p>
          <w:p w14:paraId="67B83013">
            <w:pPr>
              <w:spacing w:line="360" w:lineRule="auto"/>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17）网络交换机：1.1）固化端口：≥24个千兆电口 ，≥4个千兆光口（提供产品图片）；1.2）支持 web 网管，支持SNMP、 SSH 、LLDP和vlan配置 （提供配置界面截图）；1.3）支持配置ERPS和STP/RSTP/MSTP环网保护（提供配置界面截图 </w:t>
            </w:r>
          </w:p>
          <w:p w14:paraId="4A9CF782">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）；1.4）背板带宽≥336Gbps，包转发率≥126Mpps，MAC地址表大小≥8K，报文缓存大小≥32Mbit（提供官网截图或产品规格书）；1.5）MTBF≥500000h（提供官网截图或产品规格书）；1.6）宽温支持- </w:t>
            </w:r>
          </w:p>
          <w:p w14:paraId="3BE94C41">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40℃～75℃ 工作环境 （提供报告公安部检测报 </w:t>
            </w:r>
          </w:p>
          <w:p w14:paraId="05CD86D7">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告）；1.7）支持IPv4/IPv6双协议栈（提供官网截图或产品规格书）；1.8）支持 ≥9K 巨帧 （提供报告公安部检测报告）；1.9）外壳防护等级 </w:t>
            </w:r>
          </w:p>
          <w:p w14:paraId="46272C05">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检验：≥IP30防护等级（提供官网截图或产品规 </w:t>
            </w:r>
          </w:p>
          <w:p w14:paraId="4A86C3C8">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格书）；1.10）静电放电抗扰度：≥15kv空气放电 ≥8kv 接触放电（提供报告公安部检测报告）；1.11）满足≥IEC61000-4-2四级、≥IEC61000-4-4四级和≥IEC61000-4-5四级（提供官网截图或产品规格书）；1.12）支持机架式安装（提供官网截图或产品规格书）。 </w:t>
            </w:r>
          </w:p>
          <w:p w14:paraId="187DB7B0">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18）4G路由器：1）提供≥5个百兆电口，便于路 </w:t>
            </w:r>
          </w:p>
          <w:p w14:paraId="4CBCA239">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由器安装于狭小空间，设备尺寸小于120mm*100mm*30mm；2）绿色环保节能；</w:t>
            </w:r>
          </w:p>
          <w:p w14:paraId="29CA2517">
            <w:pPr>
              <w:keepNext w:val="0"/>
              <w:keepLines w:val="0"/>
              <w:widowControl/>
              <w:numPr>
                <w:ilvl w:val="0"/>
                <w:numId w:val="4"/>
              </w:numPr>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整机功耗小于6W，内存≥512MB，硬盘Flash≥128MB；</w:t>
            </w:r>
          </w:p>
          <w:p w14:paraId="377EA7A2">
            <w:pPr>
              <w:keepNext w:val="0"/>
              <w:keepLines w:val="0"/>
              <w:widowControl/>
              <w:numPr>
                <w:ilvl w:val="0"/>
                <w:numId w:val="4"/>
              </w:numPr>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支持-40~85℃工作温度；支持全网通(移动 </w:t>
            </w:r>
          </w:p>
          <w:p w14:paraId="5B4B297C">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/联通/电信的4G/3G/2G)，天线数量≥2根；</w:t>
            </w:r>
          </w:p>
          <w:p w14:paraId="2FC7087F">
            <w:pPr>
              <w:keepNext w:val="0"/>
              <w:keepLines w:val="0"/>
              <w:widowControl/>
              <w:numPr>
                <w:ilvl w:val="0"/>
                <w:numId w:val="4"/>
              </w:numPr>
              <w:suppressLineNumbers w:val="0"/>
              <w:ind w:left="0" w:leftChars="0" w:firstLine="0" w:firstLineChars="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为保证数据安全，需要支持L2TP VPN、IPSec VPN、MPLS VPN功能，支持QOS/H-QOS功能，具有视频传输优化功能；</w:t>
            </w:r>
          </w:p>
          <w:p w14:paraId="6B7A44FF">
            <w:pPr>
              <w:keepNext w:val="0"/>
              <w:keepLines w:val="0"/>
              <w:widowControl/>
              <w:numPr>
                <w:ilvl w:val="0"/>
                <w:numId w:val="4"/>
              </w:numPr>
              <w:suppressLineNumbers w:val="0"/>
              <w:ind w:left="0" w:leftChars="0" w:firstLine="0" w:firstLineChars="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支持国密局国密SM1/2/3/4加密算法15工控机不低于Intel i7 ；</w:t>
            </w:r>
          </w:p>
          <w:p w14:paraId="2259BABD">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23）3GHz，8G内存，512G固态硬盘，独立显卡，刻录光驱，WIN16静音发电机手提式设计，额定功率不低于2.5KW，峰值功率不低3KW；</w:t>
            </w:r>
          </w:p>
          <w:p w14:paraId="27A53139">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24）启动方式：同时支持按键和手拉，油箱容量不低于5.5升，尺寸不大于500*300*500mm，裸机重 </w:t>
            </w:r>
          </w:p>
          <w:p w14:paraId="1C8C93BB">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量不高于25KG； </w:t>
            </w:r>
          </w:p>
          <w:p w14:paraId="6A5D9C07">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25）机架式UPS（含逆变器）额定容量(kVA/kW) </w:t>
            </w:r>
          </w:p>
          <w:p w14:paraId="52B977C2">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3kVA/2.4kW； </w:t>
            </w:r>
          </w:p>
          <w:p w14:paraId="79619200">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27）输入输出制式：单进单出 </w:t>
            </w:r>
          </w:p>
          <w:p w14:paraId="6EBFA332">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28）输入制式：单相三线 </w:t>
            </w:r>
          </w:p>
          <w:p w14:paraId="7659C065">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29）主路：额定输入电压 200/208/220/230/240VAC </w:t>
            </w:r>
          </w:p>
          <w:p w14:paraId="1091452B">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输入电压范围：110~300Vac；输入频率范围：40~70Hz；</w:t>
            </w:r>
          </w:p>
          <w:p w14:paraId="295D1106">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30）旁路：额定输入电压：200/208/220/230/240VAC </w:t>
            </w:r>
          </w:p>
          <w:p w14:paraId="526E6D1D">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输入：输入频率范围：50/60±3Hz ；标机：72Vdc； </w:t>
            </w:r>
          </w:p>
          <w:p w14:paraId="256027E0">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31）电池：标机备电时间 4min ；</w:t>
            </w:r>
          </w:p>
          <w:p w14:paraId="306C4ED5">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32）输出制式：单相三线 ；输出插座 4路10A插座；</w:t>
            </w:r>
          </w:p>
          <w:p w14:paraId="2E93B61C">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33）额定输出电压：200/208/220/230/240VAC </w:t>
            </w:r>
          </w:p>
          <w:p w14:paraId="6CAF8A82">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 ；</w:t>
            </w:r>
          </w:p>
          <w:p w14:paraId="3457621D">
            <w:pPr>
              <w:keepNext w:val="0"/>
              <w:keepLines w:val="0"/>
              <w:widowControl/>
              <w:numPr>
                <w:ilvl w:val="0"/>
                <w:numId w:val="5"/>
              </w:numPr>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输出频率：同步状态下，跟踪旁路输入;电池模式:50/60Hz±0.05% ；输出波形失真正弦波，THDv≤3% 效率90% </w:t>
            </w:r>
          </w:p>
          <w:p w14:paraId="7702034F">
            <w:pPr>
              <w:keepNext w:val="0"/>
              <w:keepLines w:val="0"/>
              <w:widowControl/>
              <w:numPr>
                <w:ilvl w:val="0"/>
                <w:numId w:val="5"/>
              </w:numPr>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105%≤负载&lt;110%10min后转旁路过载能力 130%≤负载&lt;150%；3s后转旁路；150%≤负载 0.5s后转旁路；</w:t>
            </w:r>
          </w:p>
          <w:p w14:paraId="7A6FDA70">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36）工作温度 0~40°C； </w:t>
            </w:r>
          </w:p>
          <w:p w14:paraId="5EBD79EF">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37）储存温度 -40℃- +70℃(电池:-20℃-+40℃) </w:t>
            </w:r>
          </w:p>
          <w:p w14:paraId="57D5D1AD">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38）环境相对湿度：0%~95%(无凝露)； </w:t>
            </w:r>
          </w:p>
          <w:p w14:paraId="25003D8B">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39）海拔高度 0-1000m(1000m以上开始参考IEC62040-3标准降额，max高4000m) ；</w:t>
            </w:r>
          </w:p>
          <w:p w14:paraId="0B004D63">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40）噪音：&lt;50dB； </w:t>
            </w:r>
          </w:p>
          <w:p w14:paraId="5B7316C3">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41）高x宽x深(mm) 标机：88x438x630 ；</w:t>
            </w:r>
          </w:p>
          <w:p w14:paraId="7C6D7927">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42）重量：标机29kg ；</w:t>
            </w:r>
          </w:p>
          <w:p w14:paraId="404D9CD1">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 xml:space="preserve">43）其他认证与标准 YD/T 1095-2008，EN/IEC </w:t>
            </w:r>
          </w:p>
          <w:p w14:paraId="358A9ABB">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62040-1，EN/IEC 62040-2, EN/IEC 62040- 3，TLC，CE，CB，RoHS，Reach,WEEE等通讯 USB&amp;RS232(RS485，干节点，SNMP可选) ；</w:t>
            </w:r>
          </w:p>
          <w:p w14:paraId="3FB34FC6">
            <w:pPr>
              <w:keepNext w:val="0"/>
              <w:keepLines w:val="0"/>
              <w:widowControl/>
              <w:suppressLineNumbers w:val="0"/>
              <w:jc w:val="left"/>
              <w:rPr>
                <w:rFonts w:hint="eastAsia" w:ascii="宋体" w:hAnsi="宋体" w:eastAsia="宋体"/>
                <w:b w:val="0"/>
                <w:bCs w:val="0"/>
                <w:snapToGrid w:val="0"/>
                <w:color w:val="auto"/>
                <w:sz w:val="24"/>
                <w:szCs w:val="24"/>
                <w:highlight w:val="none"/>
                <w:vertAlign w:val="baseline"/>
                <w:lang w:val="en-US" w:eastAsia="zh-CN"/>
              </w:rPr>
            </w:pPr>
            <w:r>
              <w:rPr>
                <w:rFonts w:hint="eastAsia" w:ascii="宋体" w:hAnsi="宋体" w:eastAsia="宋体"/>
                <w:b w:val="0"/>
                <w:bCs w:val="0"/>
                <w:snapToGrid w:val="0"/>
                <w:color w:val="auto"/>
                <w:sz w:val="24"/>
                <w:szCs w:val="24"/>
                <w:highlight w:val="none"/>
                <w:vertAlign w:val="baseline"/>
                <w:lang w:val="en-US" w:eastAsia="zh-CN"/>
              </w:rPr>
              <w:t>44）具体样式甲方指定。</w:t>
            </w:r>
          </w:p>
          <w:p w14:paraId="7684788B">
            <w:pPr>
              <w:pStyle w:val="2"/>
              <w:rPr>
                <w:rFonts w:hint="eastAsia"/>
                <w:highlight w:val="none"/>
                <w:lang w:val="en-US" w:eastAsia="zh-CN"/>
              </w:rPr>
            </w:pPr>
          </w:p>
        </w:tc>
        <w:tc>
          <w:tcPr>
            <w:tcW w:w="523" w:type="dxa"/>
            <w:vAlign w:val="center"/>
          </w:tcPr>
          <w:p w14:paraId="251793BE">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1</w:t>
            </w:r>
          </w:p>
        </w:tc>
        <w:tc>
          <w:tcPr>
            <w:tcW w:w="701" w:type="dxa"/>
            <w:vAlign w:val="center"/>
          </w:tcPr>
          <w:p w14:paraId="4D63DE75">
            <w:pPr>
              <w:spacing w:line="240" w:lineRule="auto"/>
              <w:jc w:val="center"/>
              <w:rPr>
                <w:rFonts w:hint="default" w:ascii="宋体" w:hAnsi="宋体" w:eastAsia="宋体"/>
                <w:b/>
                <w:bCs/>
                <w:snapToGrid w:val="0"/>
                <w:color w:val="auto"/>
                <w:sz w:val="24"/>
                <w:szCs w:val="24"/>
                <w:highlight w:val="none"/>
                <w:vertAlign w:val="baseline"/>
                <w:lang w:val="en-US" w:eastAsia="zh-CN"/>
              </w:rPr>
            </w:pPr>
            <w:r>
              <w:rPr>
                <w:rFonts w:hint="eastAsia" w:ascii="宋体" w:hAnsi="宋体" w:eastAsia="宋体"/>
                <w:b/>
                <w:bCs/>
                <w:snapToGrid w:val="0"/>
                <w:color w:val="auto"/>
                <w:sz w:val="24"/>
                <w:szCs w:val="24"/>
                <w:highlight w:val="none"/>
                <w:vertAlign w:val="baseline"/>
                <w:lang w:val="en-US" w:eastAsia="zh-CN"/>
              </w:rPr>
              <w:t>辆</w:t>
            </w:r>
          </w:p>
        </w:tc>
        <w:tc>
          <w:tcPr>
            <w:tcW w:w="701" w:type="dxa"/>
            <w:vAlign w:val="center"/>
          </w:tcPr>
          <w:p w14:paraId="1B29A491">
            <w:pPr>
              <w:spacing w:line="240" w:lineRule="auto"/>
              <w:jc w:val="center"/>
              <w:rPr>
                <w:rFonts w:hint="eastAsia" w:ascii="宋体" w:hAnsi="宋体" w:eastAsia="宋体"/>
                <w:b/>
                <w:bCs/>
                <w:snapToGrid w:val="0"/>
                <w:color w:val="auto"/>
                <w:sz w:val="24"/>
                <w:szCs w:val="24"/>
                <w:highlight w:val="none"/>
                <w:vertAlign w:val="baseline"/>
                <w:lang w:val="en-US" w:eastAsia="zh-CN"/>
              </w:rPr>
            </w:pPr>
          </w:p>
        </w:tc>
      </w:tr>
    </w:tbl>
    <w:p w14:paraId="14A4E6FD">
      <w:pPr>
        <w:spacing w:line="240" w:lineRule="auto"/>
        <w:rPr>
          <w:rFonts w:hint="eastAsia" w:ascii="宋体" w:hAnsi="宋体" w:eastAsia="宋体"/>
          <w:b/>
          <w:bCs/>
          <w:snapToGrid w:val="0"/>
          <w:color w:val="auto"/>
          <w:sz w:val="24"/>
          <w:szCs w:val="24"/>
          <w:highlight w:val="none"/>
          <w:lang w:val="en-US" w:eastAsia="zh-CN"/>
        </w:rPr>
      </w:pPr>
    </w:p>
    <w:p w14:paraId="36EEB328">
      <w:pPr>
        <w:pStyle w:val="2"/>
        <w:rPr>
          <w:rFonts w:hint="eastAsia"/>
          <w:highlight w:val="none"/>
          <w:lang w:val="en-US" w:eastAsia="zh-CN"/>
        </w:rPr>
      </w:pPr>
    </w:p>
    <w:p w14:paraId="6B97DF9C">
      <w:pPr>
        <w:pStyle w:val="2"/>
        <w:rPr>
          <w:rFonts w:hint="eastAsia"/>
          <w:highlight w:val="none"/>
          <w:lang w:val="en-US" w:eastAsia="zh-CN"/>
        </w:rPr>
      </w:pPr>
    </w:p>
    <w:p w14:paraId="388E0D84">
      <w:pPr>
        <w:pStyle w:val="2"/>
        <w:rPr>
          <w:rFonts w:hint="eastAsia"/>
          <w:highlight w:val="none"/>
          <w:lang w:val="en-US" w:eastAsia="zh-CN"/>
        </w:rPr>
      </w:pPr>
    </w:p>
    <w:p w14:paraId="7A902902">
      <w:pPr>
        <w:pStyle w:val="2"/>
        <w:rPr>
          <w:rFonts w:hint="eastAsia"/>
          <w:highlight w:val="none"/>
          <w:lang w:val="en-US" w:eastAsia="zh-CN"/>
        </w:rPr>
      </w:pPr>
    </w:p>
    <w:p w14:paraId="168C07A5">
      <w:pPr>
        <w:pStyle w:val="2"/>
        <w:rPr>
          <w:rFonts w:hint="eastAsia"/>
          <w:highlight w:val="none"/>
          <w:lang w:val="en-US" w:eastAsia="zh-CN"/>
        </w:rPr>
      </w:pPr>
    </w:p>
    <w:p w14:paraId="18C1231B">
      <w:pPr>
        <w:pStyle w:val="2"/>
        <w:rPr>
          <w:rFonts w:hint="eastAsia"/>
          <w:highlight w:val="none"/>
          <w:lang w:val="en-US" w:eastAsia="zh-CN"/>
        </w:rPr>
      </w:pPr>
    </w:p>
    <w:p w14:paraId="4B600796">
      <w:pPr>
        <w:pStyle w:val="2"/>
        <w:rPr>
          <w:rFonts w:hint="eastAsia"/>
          <w:highlight w:val="none"/>
          <w:lang w:val="en-US" w:eastAsia="zh-CN"/>
        </w:rPr>
      </w:pPr>
    </w:p>
    <w:p w14:paraId="670B327B">
      <w:pPr>
        <w:pStyle w:val="2"/>
        <w:rPr>
          <w:rFonts w:hint="eastAsia"/>
          <w:highlight w:val="none"/>
          <w:lang w:val="en-US" w:eastAsia="zh-CN"/>
        </w:rPr>
      </w:pPr>
    </w:p>
    <w:p w14:paraId="27F2481B">
      <w:pPr>
        <w:pStyle w:val="2"/>
        <w:rPr>
          <w:rFonts w:hint="eastAsia"/>
          <w:highlight w:val="none"/>
          <w:lang w:val="en-US" w:eastAsia="zh-CN"/>
        </w:rPr>
      </w:pPr>
    </w:p>
    <w:p w14:paraId="01439645">
      <w:pPr>
        <w:pStyle w:val="2"/>
        <w:rPr>
          <w:rFonts w:hint="eastAsia"/>
          <w:highlight w:val="none"/>
          <w:lang w:val="en-US" w:eastAsia="zh-CN"/>
        </w:rPr>
      </w:pPr>
    </w:p>
    <w:p w14:paraId="444CB83B">
      <w:pPr>
        <w:pStyle w:val="2"/>
        <w:rPr>
          <w:rFonts w:hint="eastAsia"/>
          <w:highlight w:val="none"/>
          <w:lang w:val="en-US" w:eastAsia="zh-CN"/>
        </w:rPr>
      </w:pPr>
    </w:p>
    <w:p w14:paraId="2AA2E872">
      <w:pPr>
        <w:pStyle w:val="2"/>
        <w:rPr>
          <w:rFonts w:hint="eastAsia"/>
          <w:highlight w:val="none"/>
          <w:lang w:val="en-US" w:eastAsia="zh-CN"/>
        </w:rPr>
      </w:pPr>
    </w:p>
    <w:p w14:paraId="1E3DF33D">
      <w:pPr>
        <w:pStyle w:val="2"/>
        <w:rPr>
          <w:rFonts w:hint="eastAsia"/>
          <w:highlight w:val="none"/>
          <w:lang w:val="en-US" w:eastAsia="zh-CN"/>
        </w:rPr>
      </w:pPr>
    </w:p>
    <w:p w14:paraId="58AC8FAB">
      <w:pPr>
        <w:pStyle w:val="2"/>
        <w:rPr>
          <w:rFonts w:hint="eastAsia"/>
          <w:highlight w:val="none"/>
          <w:lang w:val="en-US" w:eastAsia="zh-CN"/>
        </w:rPr>
      </w:pPr>
    </w:p>
    <w:p w14:paraId="3ED5B851">
      <w:pPr>
        <w:pStyle w:val="2"/>
        <w:rPr>
          <w:rFonts w:hint="eastAsia"/>
          <w:highlight w:val="none"/>
          <w:lang w:val="en-US" w:eastAsia="zh-CN"/>
        </w:rPr>
      </w:pPr>
    </w:p>
    <w:p w14:paraId="7B5B466B">
      <w:pPr>
        <w:pStyle w:val="2"/>
        <w:rPr>
          <w:rFonts w:hint="eastAsia"/>
          <w:highlight w:val="none"/>
          <w:lang w:val="en-US" w:eastAsia="zh-CN"/>
        </w:rPr>
      </w:pPr>
    </w:p>
    <w:p w14:paraId="7FB7879F">
      <w:pPr>
        <w:pStyle w:val="2"/>
        <w:rPr>
          <w:rFonts w:hint="eastAsia"/>
          <w:highlight w:val="none"/>
          <w:lang w:val="en-US" w:eastAsia="zh-CN"/>
        </w:rPr>
      </w:pPr>
    </w:p>
    <w:p w14:paraId="1C9A3252">
      <w:pPr>
        <w:pStyle w:val="2"/>
        <w:rPr>
          <w:rFonts w:hint="eastAsia"/>
          <w:highlight w:val="none"/>
          <w:lang w:val="en-US" w:eastAsia="zh-CN"/>
        </w:rPr>
      </w:pPr>
    </w:p>
    <w:p w14:paraId="7E2246FD">
      <w:pPr>
        <w:pStyle w:val="2"/>
        <w:rPr>
          <w:rFonts w:hint="eastAsia"/>
          <w:highlight w:val="none"/>
          <w:lang w:val="en-US" w:eastAsia="zh-CN"/>
        </w:rPr>
      </w:pPr>
    </w:p>
    <w:p w14:paraId="535FB2E6">
      <w:pPr>
        <w:pStyle w:val="2"/>
        <w:rPr>
          <w:rFonts w:hint="eastAsia"/>
          <w:highlight w:val="none"/>
          <w:lang w:val="en-US" w:eastAsia="zh-CN"/>
        </w:rPr>
      </w:pPr>
    </w:p>
    <w:p w14:paraId="02177D69">
      <w:pPr>
        <w:pStyle w:val="2"/>
        <w:rPr>
          <w:rFonts w:hint="eastAsia"/>
          <w:highlight w:val="none"/>
          <w:lang w:val="en-US" w:eastAsia="zh-CN"/>
        </w:rPr>
      </w:pPr>
    </w:p>
    <w:p w14:paraId="12FF0662">
      <w:pPr>
        <w:pStyle w:val="2"/>
        <w:rPr>
          <w:rFonts w:hint="eastAsia"/>
          <w:highlight w:val="none"/>
          <w:lang w:val="en-US" w:eastAsia="zh-CN"/>
        </w:rPr>
      </w:pPr>
    </w:p>
    <w:p w14:paraId="469ABBE5">
      <w:pPr>
        <w:pStyle w:val="2"/>
        <w:rPr>
          <w:rFonts w:hint="eastAsia"/>
          <w:highlight w:val="none"/>
          <w:lang w:val="en-US" w:eastAsia="zh-CN"/>
        </w:rPr>
      </w:pPr>
    </w:p>
    <w:p w14:paraId="6B84AE0D">
      <w:pPr>
        <w:pStyle w:val="2"/>
        <w:rPr>
          <w:rFonts w:hint="eastAsia"/>
          <w:highlight w:val="none"/>
          <w:lang w:val="en-US" w:eastAsia="zh-CN"/>
        </w:rPr>
      </w:pPr>
    </w:p>
    <w:p w14:paraId="24930C56">
      <w:pPr>
        <w:pStyle w:val="2"/>
        <w:rPr>
          <w:rFonts w:hint="eastAsia"/>
          <w:highlight w:val="none"/>
          <w:lang w:val="en-US" w:eastAsia="zh-CN"/>
        </w:rPr>
      </w:pPr>
    </w:p>
    <w:p w14:paraId="5CEB0723">
      <w:pPr>
        <w:pStyle w:val="2"/>
        <w:rPr>
          <w:rFonts w:hint="eastAsia"/>
          <w:highlight w:val="none"/>
          <w:lang w:val="en-US" w:eastAsia="zh-CN"/>
        </w:rPr>
      </w:pPr>
    </w:p>
    <w:p w14:paraId="502D2E9E">
      <w:pPr>
        <w:pStyle w:val="2"/>
        <w:rPr>
          <w:rFonts w:hint="eastAsia"/>
          <w:highlight w:val="none"/>
          <w:lang w:val="en-US" w:eastAsia="zh-CN"/>
        </w:rPr>
      </w:pPr>
    </w:p>
    <w:p w14:paraId="30CA74E4">
      <w:pPr>
        <w:pStyle w:val="2"/>
        <w:rPr>
          <w:rFonts w:hint="eastAsia"/>
          <w:highlight w:val="none"/>
          <w:lang w:val="en-US" w:eastAsia="zh-CN"/>
        </w:rPr>
      </w:pPr>
    </w:p>
    <w:bookmarkEnd w:id="579"/>
    <w:bookmarkEnd w:id="580"/>
    <w:p w14:paraId="11B227F7">
      <w:pPr>
        <w:pStyle w:val="3"/>
        <w:keepNext/>
        <w:keepLines/>
        <w:pageBreakBefore w:val="0"/>
        <w:widowControl w:val="0"/>
        <w:numPr>
          <w:ilvl w:val="0"/>
          <w:numId w:val="0"/>
        </w:numPr>
        <w:kinsoku/>
        <w:wordWrap/>
        <w:overflowPunct/>
        <w:topLinePunct w:val="0"/>
        <w:autoSpaceDE/>
        <w:autoSpaceDN/>
        <w:bidi w:val="0"/>
        <w:adjustRightInd/>
        <w:snapToGrid/>
        <w:spacing w:before="100" w:after="10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584" w:name="_Toc21139"/>
      <w:bookmarkStart w:id="585" w:name="_Toc155185895"/>
      <w:r>
        <w:rPr>
          <w:rFonts w:hint="eastAsia" w:ascii="宋体" w:hAnsi="宋体" w:eastAsia="宋体" w:cs="宋体"/>
          <w:b/>
          <w:bCs/>
          <w:color w:val="auto"/>
          <w:kern w:val="44"/>
          <w:sz w:val="36"/>
          <w:szCs w:val="36"/>
          <w:highlight w:val="none"/>
          <w:lang w:val="en-US" w:eastAsia="zh-CN" w:bidi="ar-SA"/>
        </w:rPr>
        <w:t>第四章 资格审查</w:t>
      </w:r>
      <w:bookmarkEnd w:id="584"/>
      <w:bookmarkEnd w:id="585"/>
    </w:p>
    <w:p w14:paraId="2133133E">
      <w:pPr>
        <w:pStyle w:val="4"/>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color w:val="auto"/>
          <w:sz w:val="28"/>
          <w:szCs w:val="28"/>
          <w:highlight w:val="none"/>
          <w:lang w:val="zh-CN" w:eastAsia="zh-CN"/>
        </w:rPr>
      </w:pPr>
      <w:bookmarkStart w:id="586" w:name="_Toc12727"/>
      <w:r>
        <w:rPr>
          <w:rFonts w:hint="eastAsia"/>
          <w:color w:val="auto"/>
          <w:sz w:val="28"/>
          <w:szCs w:val="28"/>
          <w:highlight w:val="none"/>
          <w:lang w:val="en-US" w:eastAsia="zh-CN"/>
        </w:rPr>
        <w:t>一、资格审查程序</w:t>
      </w:r>
      <w:bookmarkEnd w:id="586"/>
      <w:r>
        <w:rPr>
          <w:rFonts w:hint="eastAsia"/>
          <w:color w:val="auto"/>
          <w:sz w:val="28"/>
          <w:szCs w:val="28"/>
          <w:highlight w:val="none"/>
          <w:lang w:val="en-US" w:eastAsia="zh-CN"/>
        </w:rPr>
        <w:t xml:space="preserve"> </w:t>
      </w:r>
    </w:p>
    <w:p w14:paraId="4E4090D3">
      <w:pPr>
        <w:pStyle w:val="38"/>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1 开标结束后，采购人或采购代理机构将根据《资格审查要求》中的规定，对投标人进行资格审查，并形成资格审查结果。 </w:t>
      </w:r>
    </w:p>
    <w:p w14:paraId="62799CDE">
      <w:pPr>
        <w:pStyle w:val="38"/>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 投标人《资格证明文件》有任何一项不符合《资格审查要求》的，资格审查不合格，其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 xml:space="preserve">。 </w:t>
      </w:r>
    </w:p>
    <w:p w14:paraId="37E914D8">
      <w:pPr>
        <w:pStyle w:val="38"/>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3 资格审查合格的投标人不足 3 家的，不进行评标。 </w:t>
      </w:r>
    </w:p>
    <w:p w14:paraId="1720E868">
      <w:pPr>
        <w:pStyle w:val="4"/>
        <w:keepNext/>
        <w:keepLines/>
        <w:pageBreakBefore w:val="0"/>
        <w:widowControl w:val="0"/>
        <w:numPr>
          <w:ilvl w:val="0"/>
          <w:numId w:val="6"/>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color w:val="auto"/>
          <w:sz w:val="28"/>
          <w:szCs w:val="28"/>
          <w:highlight w:val="none"/>
          <w:lang w:val="en-US" w:eastAsia="zh-CN"/>
        </w:rPr>
      </w:pPr>
      <w:bookmarkStart w:id="587" w:name="_Toc19735"/>
      <w:r>
        <w:rPr>
          <w:rFonts w:hint="eastAsia"/>
          <w:color w:val="auto"/>
          <w:sz w:val="28"/>
          <w:szCs w:val="28"/>
          <w:highlight w:val="none"/>
          <w:lang w:val="en-US" w:eastAsia="zh-CN"/>
        </w:rPr>
        <w:t>资格审查要求</w:t>
      </w:r>
      <w:bookmarkEnd w:id="587"/>
      <w:r>
        <w:rPr>
          <w:rFonts w:hint="eastAsia"/>
          <w:color w:val="auto"/>
          <w:sz w:val="28"/>
          <w:szCs w:val="28"/>
          <w:highlight w:val="none"/>
          <w:lang w:val="en-US" w:eastAsia="zh-CN"/>
        </w:rPr>
        <w:t xml:space="preserve"> </w:t>
      </w:r>
    </w:p>
    <w:tbl>
      <w:tblPr>
        <w:tblStyle w:val="31"/>
        <w:tblW w:w="56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816"/>
        <w:gridCol w:w="1817"/>
        <w:gridCol w:w="5384"/>
        <w:gridCol w:w="1601"/>
      </w:tblGrid>
      <w:tr w14:paraId="0EA93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424" w:type="pct"/>
            <w:shd w:val="clear" w:color="auto" w:fill="D8D8D8" w:themeFill="background1" w:themeFillShade="D9"/>
            <w:vAlign w:val="center"/>
          </w:tcPr>
          <w:p w14:paraId="45E05F5B">
            <w:pPr>
              <w:pStyle w:val="5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944" w:type="pct"/>
            <w:shd w:val="clear" w:color="auto" w:fill="D8D8D8" w:themeFill="background1" w:themeFillShade="D9"/>
            <w:vAlign w:val="center"/>
          </w:tcPr>
          <w:p w14:paraId="1C5DD1E2">
            <w:pPr>
              <w:pStyle w:val="50"/>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审查因素</w:t>
            </w:r>
          </w:p>
        </w:tc>
        <w:tc>
          <w:tcPr>
            <w:tcW w:w="2798" w:type="pct"/>
            <w:shd w:val="clear" w:color="auto" w:fill="D8D8D8" w:themeFill="background1" w:themeFillShade="D9"/>
            <w:vAlign w:val="center"/>
          </w:tcPr>
          <w:p w14:paraId="0844A477">
            <w:pPr>
              <w:pStyle w:val="5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审查内容</w:t>
            </w:r>
          </w:p>
        </w:tc>
        <w:tc>
          <w:tcPr>
            <w:tcW w:w="832" w:type="pct"/>
            <w:shd w:val="clear" w:color="auto" w:fill="D8D8D8" w:themeFill="background1" w:themeFillShade="D9"/>
            <w:vAlign w:val="center"/>
          </w:tcPr>
          <w:p w14:paraId="4FAAF385">
            <w:pPr>
              <w:pStyle w:val="50"/>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格式要求</w:t>
            </w:r>
          </w:p>
        </w:tc>
      </w:tr>
      <w:tr w14:paraId="1A7D0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364" w:hRule="atLeast"/>
          <w:jc w:val="center"/>
        </w:trPr>
        <w:tc>
          <w:tcPr>
            <w:tcW w:w="424" w:type="pct"/>
            <w:shd w:val="clear" w:color="auto" w:fill="FFFFFF" w:themeFill="background1"/>
            <w:vAlign w:val="center"/>
          </w:tcPr>
          <w:p w14:paraId="5FB8CCE2">
            <w:pPr>
              <w:pStyle w:val="50"/>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p>
        </w:tc>
        <w:tc>
          <w:tcPr>
            <w:tcW w:w="944" w:type="pct"/>
            <w:shd w:val="clear" w:color="auto" w:fill="FFFFFF" w:themeFill="background1"/>
            <w:vAlign w:val="center"/>
          </w:tcPr>
          <w:p w14:paraId="073F0B91">
            <w:pPr>
              <w:pStyle w:val="5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满足《政府采购 </w:t>
            </w:r>
          </w:p>
          <w:p w14:paraId="7BA606C3">
            <w:pPr>
              <w:pStyle w:val="5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法》第二十二条 </w:t>
            </w:r>
          </w:p>
          <w:p w14:paraId="19A39C3B">
            <w:pPr>
              <w:pStyle w:val="5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规定</w:t>
            </w:r>
          </w:p>
        </w:tc>
        <w:tc>
          <w:tcPr>
            <w:tcW w:w="2798" w:type="pct"/>
            <w:shd w:val="clear" w:color="auto" w:fill="FFFFFF" w:themeFill="background1"/>
            <w:vAlign w:val="center"/>
          </w:tcPr>
          <w:p w14:paraId="107EAC1B">
            <w:pPr>
              <w:pStyle w:val="5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具体规定见“第一章 招标公告”</w:t>
            </w:r>
          </w:p>
        </w:tc>
        <w:tc>
          <w:tcPr>
            <w:tcW w:w="832" w:type="pct"/>
            <w:shd w:val="clear" w:color="auto" w:fill="FFFFFF" w:themeFill="background1"/>
            <w:vAlign w:val="center"/>
          </w:tcPr>
          <w:p w14:paraId="7B188981">
            <w:pPr>
              <w:pStyle w:val="50"/>
              <w:jc w:val="center"/>
              <w:rPr>
                <w:rFonts w:hint="eastAsia" w:ascii="宋体" w:hAnsi="宋体" w:eastAsia="宋体" w:cs="宋体"/>
                <w:b/>
                <w:bCs/>
                <w:color w:val="auto"/>
                <w:sz w:val="24"/>
                <w:szCs w:val="24"/>
                <w:highlight w:val="none"/>
              </w:rPr>
            </w:pPr>
          </w:p>
        </w:tc>
      </w:tr>
      <w:tr w14:paraId="6E976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561" w:hRule="atLeast"/>
          <w:jc w:val="center"/>
        </w:trPr>
        <w:tc>
          <w:tcPr>
            <w:tcW w:w="424" w:type="pct"/>
            <w:shd w:val="clear" w:color="auto" w:fill="FFFFFF" w:themeFill="background1"/>
            <w:vAlign w:val="center"/>
          </w:tcPr>
          <w:p w14:paraId="11CCF59F">
            <w:pPr>
              <w:pStyle w:val="50"/>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1-1</w:t>
            </w:r>
          </w:p>
        </w:tc>
        <w:tc>
          <w:tcPr>
            <w:tcW w:w="944" w:type="pct"/>
            <w:shd w:val="clear" w:color="auto" w:fill="FFFFFF" w:themeFill="background1"/>
            <w:vAlign w:val="center"/>
          </w:tcPr>
          <w:p w14:paraId="75E53C52">
            <w:pPr>
              <w:pStyle w:val="5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营业执照等证明文件</w:t>
            </w:r>
          </w:p>
        </w:tc>
        <w:tc>
          <w:tcPr>
            <w:tcW w:w="2798" w:type="pct"/>
            <w:shd w:val="clear" w:color="auto" w:fill="FFFFFF" w:themeFill="background1"/>
            <w:vAlign w:val="center"/>
          </w:tcPr>
          <w:p w14:paraId="2C10E81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pacing w:val="-6"/>
                <w:sz w:val="24"/>
                <w:szCs w:val="24"/>
                <w:highlight w:val="none"/>
                <w:lang w:val="en-US" w:eastAsia="zh-CN"/>
              </w:rPr>
            </w:pPr>
            <w:r>
              <w:rPr>
                <w:rFonts w:hint="eastAsia"/>
                <w:sz w:val="24"/>
                <w:szCs w:val="32"/>
                <w:highlight w:val="none"/>
                <w:lang w:val="en-US" w:eastAsia="zh-CN"/>
              </w:rPr>
              <w:t>投标人法人营业执照（副本）或事业单位法人证书（副本）或个体工商户营业执照或有效的自然人身份证明、组织机构代码证扫描件（投标人按“三证合一”登记制度办理营业执照的,组织机构代码证和税务登记证（副本）以投标人所提供的营业执照（副本）扫描件为准。</w:t>
            </w:r>
          </w:p>
        </w:tc>
        <w:tc>
          <w:tcPr>
            <w:tcW w:w="832" w:type="pct"/>
            <w:shd w:val="clear" w:color="auto" w:fill="FFFFFF" w:themeFill="background1"/>
            <w:vAlign w:val="center"/>
          </w:tcPr>
          <w:p w14:paraId="28C7228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提供证明文件的电子件或电子证照</w:t>
            </w:r>
          </w:p>
        </w:tc>
      </w:tr>
      <w:tr w14:paraId="7CD18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16" w:hRule="atLeast"/>
          <w:jc w:val="center"/>
        </w:trPr>
        <w:tc>
          <w:tcPr>
            <w:tcW w:w="424" w:type="pct"/>
            <w:shd w:val="clear" w:color="auto" w:fill="FFFFFF" w:themeFill="background1"/>
            <w:vAlign w:val="center"/>
          </w:tcPr>
          <w:p w14:paraId="3D8BADD8">
            <w:pPr>
              <w:pStyle w:val="50"/>
              <w:jc w:val="center"/>
              <w:rPr>
                <w:rFonts w:hint="default" w:ascii="宋体" w:hAnsi="宋体" w:eastAsia="宋体" w:cs="宋体"/>
                <w:b/>
                <w:bCs/>
                <w:color w:val="auto"/>
                <w:sz w:val="24"/>
                <w:szCs w:val="24"/>
                <w:highlight w:val="none"/>
                <w:lang w:val="en-US" w:eastAsia="zh-CN"/>
              </w:rPr>
            </w:pPr>
            <w:r>
              <w:rPr>
                <w:rFonts w:hint="eastAsia" w:cs="宋体"/>
                <w:b/>
                <w:bCs/>
                <w:color w:val="auto"/>
                <w:sz w:val="24"/>
                <w:szCs w:val="24"/>
                <w:highlight w:val="none"/>
                <w:lang w:val="en-US" w:eastAsia="zh-CN"/>
              </w:rPr>
              <w:t>1-2</w:t>
            </w:r>
          </w:p>
        </w:tc>
        <w:tc>
          <w:tcPr>
            <w:tcW w:w="944" w:type="pct"/>
            <w:shd w:val="clear" w:color="auto" w:fill="FFFFFF" w:themeFill="background1"/>
            <w:vAlign w:val="center"/>
          </w:tcPr>
          <w:p w14:paraId="1A59690A">
            <w:pPr>
              <w:pStyle w:val="50"/>
              <w:jc w:val="both"/>
              <w:rPr>
                <w:rFonts w:hint="default" w:ascii="宋体" w:hAnsi="宋体" w:eastAsia="宋体" w:cs="宋体"/>
                <w:color w:val="auto"/>
                <w:sz w:val="24"/>
                <w:szCs w:val="24"/>
                <w:highlight w:val="none"/>
                <w:lang w:val="en-US" w:eastAsia="zh-CN"/>
              </w:rPr>
            </w:pPr>
            <w:r>
              <w:rPr>
                <w:rFonts w:hint="eastAsia"/>
                <w:sz w:val="24"/>
                <w:szCs w:val="32"/>
                <w:highlight w:val="none"/>
                <w:lang w:val="en-US" w:eastAsia="zh-CN"/>
              </w:rPr>
              <w:t>投标人法定代表人身份证明和法定代表人授权代表委托书</w:t>
            </w:r>
          </w:p>
        </w:tc>
        <w:tc>
          <w:tcPr>
            <w:tcW w:w="2798" w:type="pct"/>
            <w:shd w:val="clear" w:color="auto" w:fill="FFFFFF" w:themeFill="background1"/>
            <w:vAlign w:val="center"/>
          </w:tcPr>
          <w:p w14:paraId="592F6F6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sz w:val="24"/>
                <w:szCs w:val="32"/>
                <w:highlight w:val="none"/>
                <w:lang w:val="en-US" w:eastAsia="zh-CN"/>
              </w:rPr>
            </w:pPr>
            <w:r>
              <w:rPr>
                <w:rFonts w:hint="eastAsia"/>
                <w:sz w:val="24"/>
                <w:szCs w:val="32"/>
                <w:highlight w:val="none"/>
                <w:lang w:val="en-US" w:eastAsia="zh-CN"/>
              </w:rPr>
              <w:t>投标人法定代表人身份证明和法定代表人授权代表委托书。（注：如法定代表人出席开标会时，须提供法定代表人身份证明文件。如委托代理人出席开标会时需同时提供法定代表人资格证明文件和法定代表人授权委托书。）</w:t>
            </w:r>
          </w:p>
        </w:tc>
        <w:tc>
          <w:tcPr>
            <w:tcW w:w="832" w:type="pct"/>
            <w:shd w:val="clear" w:color="auto" w:fill="FFFFFF" w:themeFill="background1"/>
            <w:vAlign w:val="center"/>
          </w:tcPr>
          <w:p w14:paraId="061E8BE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格式见《第七章 投标文件格式》</w:t>
            </w:r>
          </w:p>
        </w:tc>
      </w:tr>
      <w:tr w14:paraId="18E41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48" w:hRule="atLeast"/>
          <w:jc w:val="center"/>
        </w:trPr>
        <w:tc>
          <w:tcPr>
            <w:tcW w:w="424" w:type="pct"/>
            <w:shd w:val="clear" w:color="auto" w:fill="FFFFFF" w:themeFill="background1"/>
            <w:vAlign w:val="center"/>
          </w:tcPr>
          <w:p w14:paraId="64B3E511">
            <w:pPr>
              <w:pStyle w:val="50"/>
              <w:jc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r>
              <w:rPr>
                <w:rFonts w:hint="eastAsia" w:cs="宋体"/>
                <w:b/>
                <w:bCs/>
                <w:color w:val="auto"/>
                <w:sz w:val="24"/>
                <w:szCs w:val="24"/>
                <w:highlight w:val="none"/>
                <w:lang w:val="en-US" w:eastAsia="zh-CN"/>
              </w:rPr>
              <w:t>3</w:t>
            </w:r>
          </w:p>
        </w:tc>
        <w:tc>
          <w:tcPr>
            <w:tcW w:w="944" w:type="pct"/>
            <w:shd w:val="clear" w:color="auto" w:fill="FFFFFF" w:themeFill="background1"/>
            <w:vAlign w:val="center"/>
          </w:tcPr>
          <w:p w14:paraId="32AFAF4E">
            <w:pPr>
              <w:pStyle w:val="5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投标人信用承诺函</w:t>
            </w:r>
          </w:p>
        </w:tc>
        <w:tc>
          <w:tcPr>
            <w:tcW w:w="2798" w:type="pct"/>
            <w:shd w:val="clear" w:color="auto" w:fill="FFFFFF" w:themeFill="background1"/>
            <w:vAlign w:val="center"/>
          </w:tcPr>
          <w:p w14:paraId="52709356">
            <w:pPr>
              <w:pStyle w:val="5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提供了符合招标文件要求的《兵团政府采购</w:t>
            </w:r>
            <w:r>
              <w:rPr>
                <w:rFonts w:hint="eastAsia" w:cs="宋体"/>
                <w:color w:val="auto"/>
                <w:sz w:val="24"/>
                <w:szCs w:val="24"/>
                <w:highlight w:val="none"/>
                <w:lang w:val="en-US" w:eastAsia="zh-CN"/>
              </w:rPr>
              <w:t>投标人</w:t>
            </w:r>
            <w:r>
              <w:rPr>
                <w:rFonts w:hint="eastAsia" w:ascii="宋体" w:hAnsi="宋体" w:eastAsia="宋体" w:cs="宋体"/>
                <w:color w:val="auto"/>
                <w:sz w:val="24"/>
                <w:szCs w:val="24"/>
                <w:highlight w:val="none"/>
                <w:lang w:val="en-US" w:eastAsia="zh-CN"/>
              </w:rPr>
              <w:t>信用承诺函》。</w:t>
            </w:r>
          </w:p>
        </w:tc>
        <w:tc>
          <w:tcPr>
            <w:tcW w:w="832" w:type="pct"/>
            <w:shd w:val="clear" w:color="auto" w:fill="FFFFFF" w:themeFill="background1"/>
            <w:vAlign w:val="center"/>
          </w:tcPr>
          <w:p w14:paraId="75E33C0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格式见《第七章 投标文件格式》</w:t>
            </w:r>
          </w:p>
        </w:tc>
      </w:tr>
      <w:tr w14:paraId="63513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44" w:hRule="atLeast"/>
          <w:jc w:val="center"/>
        </w:trPr>
        <w:tc>
          <w:tcPr>
            <w:tcW w:w="424" w:type="pct"/>
            <w:shd w:val="clear" w:color="auto" w:fill="FFFFFF" w:themeFill="background1"/>
            <w:vAlign w:val="center"/>
          </w:tcPr>
          <w:p w14:paraId="2589C06C">
            <w:pPr>
              <w:pStyle w:val="50"/>
              <w:jc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r>
              <w:rPr>
                <w:rFonts w:hint="eastAsia" w:cs="宋体"/>
                <w:b/>
                <w:bCs/>
                <w:color w:val="auto"/>
                <w:sz w:val="24"/>
                <w:szCs w:val="24"/>
                <w:highlight w:val="none"/>
                <w:lang w:val="en-US" w:eastAsia="zh-CN"/>
              </w:rPr>
              <w:t>4</w:t>
            </w:r>
          </w:p>
        </w:tc>
        <w:tc>
          <w:tcPr>
            <w:tcW w:w="944" w:type="pct"/>
            <w:shd w:val="clear" w:color="auto" w:fill="FFFFFF" w:themeFill="background1"/>
            <w:vAlign w:val="center"/>
          </w:tcPr>
          <w:p w14:paraId="56866A0A">
            <w:pPr>
              <w:pStyle w:val="5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投标人信用记录</w:t>
            </w:r>
          </w:p>
        </w:tc>
        <w:tc>
          <w:tcPr>
            <w:tcW w:w="2798" w:type="pct"/>
            <w:shd w:val="clear" w:color="auto" w:fill="FFFFFF" w:themeFill="background1"/>
            <w:vAlign w:val="center"/>
          </w:tcPr>
          <w:p w14:paraId="4A65A736">
            <w:pPr>
              <w:pStyle w:val="50"/>
              <w:jc w:val="both"/>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6"/>
                <w:sz w:val="24"/>
                <w:szCs w:val="24"/>
                <w:highlight w:val="none"/>
                <w:lang w:val="en-US" w:eastAsia="zh-CN"/>
              </w:rPr>
              <w:t xml:space="preserve">查询渠道：信用中国网站和中国政府采购网（ </w:t>
            </w:r>
          </w:p>
          <w:p w14:paraId="2D736744">
            <w:pPr>
              <w:pStyle w:val="5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6"/>
                <w:sz w:val="24"/>
                <w:szCs w:val="24"/>
                <w:highlight w:val="none"/>
                <w:lang w:val="en-US" w:eastAsia="zh-CN"/>
              </w:rPr>
              <w:t>www.creditchina.gov.cn 、www.ccgp.gov.cn）；</w:t>
            </w:r>
            <w:r>
              <w:rPr>
                <w:rFonts w:hint="eastAsia" w:ascii="宋体" w:hAnsi="宋体" w:eastAsia="宋体" w:cs="宋体"/>
                <w:color w:val="auto"/>
                <w:sz w:val="24"/>
                <w:szCs w:val="24"/>
                <w:highlight w:val="none"/>
                <w:lang w:val="en-US" w:eastAsia="zh-CN"/>
              </w:rPr>
              <w:t xml:space="preserve"> </w:t>
            </w:r>
          </w:p>
          <w:p w14:paraId="4E0C31F6">
            <w:pPr>
              <w:pStyle w:val="5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截止时点：投标截止时间以后、资格审查阶段采购人或采购代理机构的实际查询时间； </w:t>
            </w:r>
          </w:p>
          <w:p w14:paraId="3157DAA3">
            <w:pPr>
              <w:pStyle w:val="5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信用信息查询记录和证据留存具体方式：查询结果网页打印页作为查询记录和证据，与其他采购文件一并保存； </w:t>
            </w:r>
          </w:p>
          <w:p w14:paraId="4522FAB7">
            <w:pPr>
              <w:pStyle w:val="5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6"/>
                <w:sz w:val="24"/>
                <w:szCs w:val="24"/>
                <w:highlight w:val="none"/>
                <w:lang w:val="en-US" w:eastAsia="zh-CN"/>
              </w:rPr>
              <w:t>信用信息的使用原则：经认定的被列入失信被执行人、重大税收违法失信主体、政府采购严重违法失信行为记录名单的投标人，其</w:t>
            </w:r>
            <w:r>
              <w:rPr>
                <w:rFonts w:hint="eastAsia" w:ascii="宋体" w:hAnsi="宋体" w:eastAsia="宋体" w:cs="宋体"/>
                <w:b/>
                <w:bCs/>
                <w:color w:val="auto"/>
                <w:spacing w:val="-6"/>
                <w:sz w:val="24"/>
                <w:szCs w:val="24"/>
                <w:highlight w:val="none"/>
                <w:lang w:val="en-US" w:eastAsia="zh-CN"/>
              </w:rPr>
              <w:t>投标无效</w:t>
            </w:r>
            <w:r>
              <w:rPr>
                <w:rFonts w:hint="eastAsia" w:ascii="宋体" w:hAnsi="宋体" w:eastAsia="宋体" w:cs="宋体"/>
                <w:color w:val="auto"/>
                <w:spacing w:val="-6"/>
                <w:sz w:val="24"/>
                <w:szCs w:val="24"/>
                <w:highlight w:val="none"/>
                <w:lang w:val="en-US" w:eastAsia="zh-CN"/>
              </w:rPr>
              <w:t>。联合体形式投标的，联合体成员存在不良信用记录，视同联合体存在不良信用记录。</w:t>
            </w:r>
          </w:p>
        </w:tc>
        <w:tc>
          <w:tcPr>
            <w:tcW w:w="832" w:type="pct"/>
            <w:shd w:val="clear" w:color="auto" w:fill="FFFFFF" w:themeFill="background1"/>
            <w:vAlign w:val="center"/>
          </w:tcPr>
          <w:p w14:paraId="270112E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无须投标人提供，由采购人或采购代理机构查询。</w:t>
            </w:r>
          </w:p>
          <w:p w14:paraId="7248713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4"/>
                <w:szCs w:val="24"/>
                <w:highlight w:val="none"/>
                <w:lang w:val="en-US" w:eastAsia="zh-CN" w:bidi="ar"/>
              </w:rPr>
            </w:pPr>
          </w:p>
        </w:tc>
      </w:tr>
      <w:tr w14:paraId="65A8F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20" w:hRule="atLeast"/>
          <w:jc w:val="center"/>
        </w:trPr>
        <w:tc>
          <w:tcPr>
            <w:tcW w:w="424" w:type="pct"/>
            <w:shd w:val="clear" w:color="auto" w:fill="FFFFFF" w:themeFill="background1"/>
            <w:vAlign w:val="center"/>
          </w:tcPr>
          <w:p w14:paraId="12949A6B">
            <w:pPr>
              <w:pStyle w:val="50"/>
              <w:jc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r>
              <w:rPr>
                <w:rFonts w:hint="eastAsia" w:cs="宋体"/>
                <w:b/>
                <w:bCs/>
                <w:color w:val="auto"/>
                <w:sz w:val="24"/>
                <w:szCs w:val="24"/>
                <w:highlight w:val="none"/>
                <w:lang w:val="en-US" w:eastAsia="zh-CN"/>
              </w:rPr>
              <w:t>5</w:t>
            </w:r>
          </w:p>
        </w:tc>
        <w:tc>
          <w:tcPr>
            <w:tcW w:w="944" w:type="pct"/>
            <w:shd w:val="clear" w:color="auto" w:fill="FFFFFF" w:themeFill="background1"/>
            <w:vAlign w:val="center"/>
          </w:tcPr>
          <w:p w14:paraId="22C03910">
            <w:pPr>
              <w:pStyle w:val="5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法律、行政法规规定的其他条件</w:t>
            </w:r>
          </w:p>
        </w:tc>
        <w:tc>
          <w:tcPr>
            <w:tcW w:w="2798" w:type="pct"/>
            <w:shd w:val="clear" w:color="auto" w:fill="FFFFFF" w:themeFill="background1"/>
            <w:vAlign w:val="center"/>
          </w:tcPr>
          <w:p w14:paraId="63FDED9E">
            <w:pPr>
              <w:pStyle w:val="5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法律、行政法规规定的其他条件</w:t>
            </w:r>
          </w:p>
        </w:tc>
        <w:tc>
          <w:tcPr>
            <w:tcW w:w="832" w:type="pct"/>
            <w:shd w:val="clear" w:color="auto" w:fill="FFFFFF" w:themeFill="background1"/>
            <w:vAlign w:val="center"/>
          </w:tcPr>
          <w:p w14:paraId="1B03422C">
            <w:pPr>
              <w:pStyle w:val="50"/>
              <w:jc w:val="center"/>
              <w:rPr>
                <w:rFonts w:hint="eastAsia" w:ascii="宋体" w:hAnsi="宋体" w:eastAsia="宋体" w:cs="宋体"/>
                <w:b/>
                <w:bCs/>
                <w:color w:val="auto"/>
                <w:sz w:val="24"/>
                <w:szCs w:val="24"/>
                <w:highlight w:val="none"/>
              </w:rPr>
            </w:pPr>
          </w:p>
        </w:tc>
      </w:tr>
    </w:tbl>
    <w:p w14:paraId="326A8847">
      <w:pPr>
        <w:numPr>
          <w:ilvl w:val="0"/>
          <w:numId w:val="0"/>
        </w:numPr>
        <w:rPr>
          <w:rFonts w:hint="eastAsia"/>
          <w:highlight w:val="none"/>
          <w:lang w:val="en-US" w:eastAsia="zh-CN"/>
        </w:rPr>
      </w:pPr>
    </w:p>
    <w:p w14:paraId="74D64C48">
      <w:pPr>
        <w:pStyle w:val="30"/>
        <w:rPr>
          <w:rFonts w:hint="eastAsia"/>
          <w:highlight w:val="none"/>
          <w:lang w:val="en-US" w:eastAsia="zh-CN"/>
        </w:rPr>
      </w:pPr>
    </w:p>
    <w:p w14:paraId="2284C19A">
      <w:pPr>
        <w:rPr>
          <w:rFonts w:hint="eastAsia"/>
          <w:highlight w:val="none"/>
          <w:lang w:val="en-US" w:eastAsia="zh-CN"/>
        </w:rPr>
      </w:pPr>
    </w:p>
    <w:p w14:paraId="1F4A97BF">
      <w:pPr>
        <w:pStyle w:val="30"/>
        <w:rPr>
          <w:rFonts w:hint="eastAsia"/>
          <w:highlight w:val="none"/>
          <w:lang w:val="en-US" w:eastAsia="zh-CN"/>
        </w:rPr>
      </w:pPr>
    </w:p>
    <w:p w14:paraId="74BE78C6">
      <w:pPr>
        <w:rPr>
          <w:rFonts w:hint="eastAsia"/>
          <w:highlight w:val="none"/>
          <w:lang w:val="en-US" w:eastAsia="zh-CN"/>
        </w:rPr>
      </w:pPr>
    </w:p>
    <w:p w14:paraId="0A7B4DCE">
      <w:pPr>
        <w:pStyle w:val="2"/>
        <w:rPr>
          <w:rFonts w:hint="eastAsia"/>
          <w:highlight w:val="none"/>
          <w:lang w:val="en-US" w:eastAsia="zh-CN"/>
        </w:rPr>
      </w:pPr>
    </w:p>
    <w:p w14:paraId="325B2ED4">
      <w:pPr>
        <w:pStyle w:val="2"/>
        <w:rPr>
          <w:rFonts w:hint="eastAsia"/>
          <w:highlight w:val="none"/>
          <w:lang w:val="en-US" w:eastAsia="zh-CN"/>
        </w:rPr>
      </w:pPr>
    </w:p>
    <w:p w14:paraId="09F73681">
      <w:pPr>
        <w:pStyle w:val="2"/>
        <w:rPr>
          <w:rFonts w:hint="eastAsia"/>
          <w:highlight w:val="none"/>
          <w:lang w:val="en-US" w:eastAsia="zh-CN"/>
        </w:rPr>
      </w:pPr>
    </w:p>
    <w:p w14:paraId="71B094B3">
      <w:pPr>
        <w:pStyle w:val="2"/>
        <w:rPr>
          <w:rFonts w:hint="eastAsia"/>
          <w:highlight w:val="none"/>
          <w:lang w:val="en-US" w:eastAsia="zh-CN"/>
        </w:rPr>
      </w:pPr>
    </w:p>
    <w:p w14:paraId="5AF30E9F">
      <w:pPr>
        <w:pStyle w:val="2"/>
        <w:rPr>
          <w:rFonts w:hint="eastAsia"/>
          <w:highlight w:val="none"/>
          <w:lang w:val="en-US" w:eastAsia="zh-CN"/>
        </w:rPr>
      </w:pPr>
    </w:p>
    <w:p w14:paraId="27D344FB">
      <w:pPr>
        <w:pStyle w:val="2"/>
        <w:rPr>
          <w:rFonts w:hint="eastAsia"/>
          <w:highlight w:val="none"/>
          <w:lang w:val="en-US" w:eastAsia="zh-CN"/>
        </w:rPr>
      </w:pPr>
    </w:p>
    <w:p w14:paraId="2D35354F">
      <w:pPr>
        <w:pStyle w:val="2"/>
        <w:rPr>
          <w:rFonts w:hint="eastAsia"/>
          <w:highlight w:val="none"/>
          <w:lang w:val="en-US" w:eastAsia="zh-CN"/>
        </w:rPr>
      </w:pPr>
    </w:p>
    <w:p w14:paraId="552475D3">
      <w:pPr>
        <w:pStyle w:val="2"/>
        <w:rPr>
          <w:rFonts w:hint="eastAsia"/>
          <w:highlight w:val="none"/>
          <w:lang w:val="en-US" w:eastAsia="zh-CN"/>
        </w:rPr>
      </w:pPr>
    </w:p>
    <w:p w14:paraId="5F4F1A8A">
      <w:pPr>
        <w:pStyle w:val="2"/>
        <w:rPr>
          <w:rFonts w:hint="eastAsia"/>
          <w:highlight w:val="none"/>
          <w:lang w:val="en-US" w:eastAsia="zh-CN"/>
        </w:rPr>
      </w:pPr>
    </w:p>
    <w:p w14:paraId="5D2D7F82">
      <w:pPr>
        <w:pStyle w:val="2"/>
        <w:rPr>
          <w:rFonts w:hint="eastAsia"/>
          <w:highlight w:val="none"/>
          <w:lang w:val="en-US" w:eastAsia="zh-CN"/>
        </w:rPr>
      </w:pPr>
    </w:p>
    <w:p w14:paraId="2BDF68E4">
      <w:pPr>
        <w:pStyle w:val="2"/>
        <w:rPr>
          <w:rFonts w:hint="eastAsia"/>
          <w:highlight w:val="none"/>
          <w:lang w:val="en-US" w:eastAsia="zh-CN"/>
        </w:rPr>
      </w:pPr>
    </w:p>
    <w:p w14:paraId="2CE31E0E">
      <w:pPr>
        <w:pStyle w:val="2"/>
        <w:rPr>
          <w:rFonts w:hint="eastAsia"/>
          <w:highlight w:val="none"/>
          <w:lang w:val="en-US" w:eastAsia="zh-CN"/>
        </w:rPr>
      </w:pPr>
    </w:p>
    <w:p w14:paraId="4B1B6943">
      <w:pPr>
        <w:pStyle w:val="2"/>
        <w:rPr>
          <w:rFonts w:hint="eastAsia"/>
          <w:highlight w:val="none"/>
          <w:lang w:val="en-US" w:eastAsia="zh-CN"/>
        </w:rPr>
      </w:pPr>
    </w:p>
    <w:p w14:paraId="2ED77EE6">
      <w:pPr>
        <w:pStyle w:val="2"/>
        <w:rPr>
          <w:rFonts w:hint="eastAsia"/>
          <w:highlight w:val="none"/>
          <w:lang w:val="en-US" w:eastAsia="zh-CN"/>
        </w:rPr>
      </w:pPr>
    </w:p>
    <w:p w14:paraId="0EC32B87">
      <w:pPr>
        <w:pStyle w:val="2"/>
        <w:rPr>
          <w:rFonts w:hint="eastAsia"/>
          <w:highlight w:val="none"/>
          <w:lang w:val="en-US" w:eastAsia="zh-CN"/>
        </w:rPr>
      </w:pPr>
    </w:p>
    <w:p w14:paraId="5086A851">
      <w:pPr>
        <w:pStyle w:val="2"/>
        <w:rPr>
          <w:rFonts w:hint="eastAsia"/>
          <w:highlight w:val="none"/>
          <w:lang w:val="en-US" w:eastAsia="zh-CN"/>
        </w:rPr>
      </w:pPr>
    </w:p>
    <w:p w14:paraId="521B84E1">
      <w:pPr>
        <w:pStyle w:val="2"/>
        <w:rPr>
          <w:rFonts w:hint="eastAsia"/>
          <w:highlight w:val="none"/>
          <w:lang w:val="en-US" w:eastAsia="zh-CN"/>
        </w:rPr>
      </w:pPr>
    </w:p>
    <w:p w14:paraId="567F5A20">
      <w:pPr>
        <w:pStyle w:val="2"/>
        <w:rPr>
          <w:rFonts w:hint="eastAsia"/>
          <w:highlight w:val="none"/>
          <w:lang w:val="en-US" w:eastAsia="zh-CN"/>
        </w:rPr>
      </w:pPr>
    </w:p>
    <w:p w14:paraId="6199A454">
      <w:pPr>
        <w:pStyle w:val="2"/>
        <w:rPr>
          <w:rFonts w:hint="eastAsia"/>
          <w:highlight w:val="none"/>
          <w:lang w:val="en-US" w:eastAsia="zh-CN"/>
        </w:rPr>
      </w:pPr>
    </w:p>
    <w:p w14:paraId="729CB175">
      <w:pPr>
        <w:pStyle w:val="2"/>
        <w:rPr>
          <w:rFonts w:hint="eastAsia"/>
          <w:highlight w:val="none"/>
          <w:lang w:val="en-US" w:eastAsia="zh-CN"/>
        </w:rPr>
      </w:pPr>
    </w:p>
    <w:p w14:paraId="5B2CEF7E">
      <w:pPr>
        <w:pStyle w:val="2"/>
        <w:rPr>
          <w:rFonts w:hint="eastAsia"/>
          <w:highlight w:val="none"/>
          <w:lang w:val="en-US" w:eastAsia="zh-CN"/>
        </w:rPr>
      </w:pPr>
    </w:p>
    <w:p w14:paraId="5E9ACFF1">
      <w:pPr>
        <w:pStyle w:val="2"/>
        <w:rPr>
          <w:rFonts w:hint="eastAsia"/>
          <w:highlight w:val="none"/>
          <w:lang w:val="en-US" w:eastAsia="zh-CN"/>
        </w:rPr>
      </w:pPr>
    </w:p>
    <w:p w14:paraId="3463FA31">
      <w:pPr>
        <w:pStyle w:val="2"/>
        <w:rPr>
          <w:rFonts w:hint="eastAsia"/>
          <w:highlight w:val="none"/>
          <w:lang w:val="en-US" w:eastAsia="zh-CN"/>
        </w:rPr>
      </w:pPr>
    </w:p>
    <w:p w14:paraId="26D38CF6">
      <w:pPr>
        <w:pStyle w:val="2"/>
        <w:rPr>
          <w:rFonts w:hint="eastAsia"/>
          <w:highlight w:val="none"/>
          <w:lang w:val="en-US" w:eastAsia="zh-CN"/>
        </w:rPr>
      </w:pPr>
    </w:p>
    <w:p w14:paraId="322FFABA">
      <w:pPr>
        <w:pStyle w:val="2"/>
        <w:rPr>
          <w:rFonts w:hint="eastAsia"/>
          <w:highlight w:val="none"/>
          <w:lang w:val="en-US" w:eastAsia="zh-CN"/>
        </w:rPr>
      </w:pPr>
    </w:p>
    <w:p w14:paraId="73109D4E">
      <w:pPr>
        <w:pStyle w:val="30"/>
        <w:rPr>
          <w:rFonts w:hint="eastAsia"/>
          <w:highlight w:val="none"/>
          <w:lang w:val="en-US" w:eastAsia="zh-CN"/>
        </w:rPr>
      </w:pPr>
    </w:p>
    <w:p w14:paraId="21B53EAD">
      <w:pPr>
        <w:pStyle w:val="3"/>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588" w:name="_Toc155185903"/>
      <w:bookmarkStart w:id="589" w:name="_Toc15551"/>
      <w:r>
        <w:rPr>
          <w:rFonts w:hint="eastAsia" w:ascii="宋体" w:hAnsi="宋体" w:eastAsia="宋体" w:cs="宋体"/>
          <w:b/>
          <w:bCs/>
          <w:color w:val="auto"/>
          <w:kern w:val="44"/>
          <w:sz w:val="36"/>
          <w:szCs w:val="36"/>
          <w:highlight w:val="none"/>
          <w:lang w:val="en-US" w:eastAsia="zh-CN" w:bidi="ar-SA"/>
        </w:rPr>
        <w:t>第五章 评标方法</w:t>
      </w:r>
      <w:bookmarkEnd w:id="588"/>
      <w:r>
        <w:rPr>
          <w:rFonts w:hint="eastAsia" w:ascii="宋体" w:hAnsi="宋体" w:eastAsia="宋体" w:cs="宋体"/>
          <w:b/>
          <w:bCs/>
          <w:color w:val="auto"/>
          <w:kern w:val="44"/>
          <w:sz w:val="36"/>
          <w:szCs w:val="36"/>
          <w:highlight w:val="none"/>
          <w:lang w:val="en-US" w:eastAsia="zh-CN" w:bidi="ar-SA"/>
        </w:rPr>
        <w:t>及标准(综合评分法)</w:t>
      </w:r>
      <w:bookmarkEnd w:id="589"/>
    </w:p>
    <w:p w14:paraId="2BB6F8A4">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根据《中华人民共和国政府采购法》及其实施条例、《政府采购货物和服务招标投标管理办法》</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相关法律法规确定以下评标</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法及标准。</w:t>
      </w:r>
    </w:p>
    <w:p w14:paraId="040C2DF7">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zh-CN" w:eastAsia="zh-CN"/>
        </w:rPr>
      </w:pPr>
      <w:bookmarkStart w:id="590" w:name="_Toc9184"/>
      <w:bookmarkStart w:id="591" w:name="_Toc109899903"/>
      <w:bookmarkStart w:id="592" w:name="_Toc272247709"/>
      <w:bookmarkStart w:id="593" w:name="_Toc109900322"/>
      <w:bookmarkStart w:id="594" w:name="_Toc278891606"/>
      <w:bookmarkStart w:id="595" w:name="_Toc511894518"/>
      <w:bookmarkStart w:id="596" w:name="_Toc140132826"/>
      <w:bookmarkStart w:id="597" w:name="_Toc61280402"/>
      <w:bookmarkStart w:id="598" w:name="_Toc155185905"/>
      <w:bookmarkStart w:id="599" w:name="_Toc494561962"/>
      <w:bookmarkStart w:id="600" w:name="_Toc109899484"/>
      <w:r>
        <w:rPr>
          <w:rFonts w:hint="eastAsia" w:ascii="宋体" w:hAnsi="宋体" w:eastAsia="宋体" w:cs="宋体"/>
          <w:color w:val="auto"/>
          <w:sz w:val="28"/>
          <w:szCs w:val="28"/>
          <w:highlight w:val="none"/>
          <w:lang w:val="zh-CN" w:eastAsia="zh-CN"/>
        </w:rPr>
        <w:t>一、评标</w:t>
      </w:r>
      <w:r>
        <w:rPr>
          <w:rFonts w:hint="eastAsia" w:ascii="宋体" w:hAnsi="宋体" w:eastAsia="宋体" w:cs="宋体"/>
          <w:color w:val="auto"/>
          <w:sz w:val="28"/>
          <w:szCs w:val="28"/>
          <w:highlight w:val="none"/>
          <w:lang w:val="en-US" w:eastAsia="zh-CN"/>
        </w:rPr>
        <w:t>方</w:t>
      </w:r>
      <w:r>
        <w:rPr>
          <w:rFonts w:hint="eastAsia" w:ascii="宋体" w:hAnsi="宋体" w:eastAsia="宋体" w:cs="宋体"/>
          <w:color w:val="auto"/>
          <w:sz w:val="28"/>
          <w:szCs w:val="28"/>
          <w:highlight w:val="none"/>
          <w:lang w:val="zh-CN" w:eastAsia="zh-CN"/>
        </w:rPr>
        <w:t>法</w:t>
      </w:r>
      <w:bookmarkEnd w:id="590"/>
    </w:p>
    <w:p w14:paraId="40F9AE81">
      <w:pPr>
        <w:pStyle w:val="38"/>
        <w:rPr>
          <w:color w:val="auto"/>
          <w:highlight w:val="none"/>
        </w:rPr>
      </w:pPr>
      <w:r>
        <w:rPr>
          <w:rFonts w:hint="eastAsia"/>
          <w:color w:val="auto"/>
          <w:highlight w:val="none"/>
        </w:rPr>
        <w:t>1.</w:t>
      </w:r>
      <w:r>
        <w:rPr>
          <w:rFonts w:hint="eastAsia"/>
          <w:b/>
          <w:bCs/>
          <w:color w:val="auto"/>
          <w:highlight w:val="none"/>
        </w:rPr>
        <w:t>本项目采用综合评分法</w:t>
      </w:r>
      <w:r>
        <w:rPr>
          <w:rFonts w:hint="eastAsia"/>
          <w:color w:val="auto"/>
          <w:highlight w:val="none"/>
        </w:rPr>
        <w:t>。综合评分法，是指投标文件满足招标文件全部实质性要求，且按照评审因素的量化指标评审得分最高的投标人为中标候选人的评标方法。</w:t>
      </w:r>
    </w:p>
    <w:p w14:paraId="5EC2DCA1">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zh-CN" w:eastAsia="zh-CN"/>
        </w:rPr>
      </w:pPr>
      <w:bookmarkStart w:id="601" w:name="_Toc6629"/>
      <w:r>
        <w:rPr>
          <w:rFonts w:hint="eastAsia" w:ascii="宋体" w:hAnsi="宋体" w:eastAsia="宋体" w:cs="宋体"/>
          <w:color w:val="auto"/>
          <w:sz w:val="28"/>
          <w:szCs w:val="28"/>
          <w:highlight w:val="none"/>
          <w:lang w:val="en-US" w:eastAsia="zh-CN"/>
        </w:rPr>
        <w:t>二</w:t>
      </w:r>
      <w:r>
        <w:rPr>
          <w:rFonts w:hint="eastAsia" w:ascii="宋体" w:hAnsi="宋体" w:eastAsia="宋体" w:cs="宋体"/>
          <w:color w:val="auto"/>
          <w:sz w:val="28"/>
          <w:szCs w:val="28"/>
          <w:highlight w:val="none"/>
          <w:lang w:val="zh-CN" w:eastAsia="zh-CN"/>
        </w:rPr>
        <w:t>、评标程序</w:t>
      </w:r>
      <w:bookmarkEnd w:id="601"/>
    </w:p>
    <w:p w14:paraId="2CEA851A">
      <w:pPr>
        <w:pStyle w:val="5"/>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02" w:name="_Toc3212"/>
      <w:bookmarkStart w:id="603" w:name="_Toc9847"/>
      <w:bookmarkStart w:id="604" w:name="_Toc3127"/>
      <w:r>
        <w:rPr>
          <w:rFonts w:hint="eastAsia" w:ascii="宋体" w:hAnsi="宋体" w:eastAsia="宋体" w:cs="宋体"/>
          <w:b/>
          <w:bCs/>
          <w:color w:val="auto"/>
          <w:kern w:val="2"/>
          <w:sz w:val="24"/>
          <w:szCs w:val="24"/>
          <w:highlight w:val="none"/>
          <w:lang w:val="zh-CN" w:eastAsia="zh-CN" w:bidi="ar-SA"/>
        </w:rPr>
        <w:t>（一）符合性审查</w:t>
      </w:r>
      <w:bookmarkEnd w:id="602"/>
      <w:bookmarkEnd w:id="603"/>
      <w:bookmarkEnd w:id="604"/>
    </w:p>
    <w:p w14:paraId="0D55CFD2">
      <w:pPr>
        <w:pStyle w:val="38"/>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评标委员会应当对</w:t>
      </w:r>
      <w:r>
        <w:rPr>
          <w:rFonts w:hint="eastAsia" w:ascii="宋体" w:hAnsi="宋体" w:eastAsia="宋体" w:cs="宋体"/>
          <w:color w:val="auto"/>
          <w:sz w:val="24"/>
          <w:szCs w:val="24"/>
          <w:highlight w:val="none"/>
          <w:lang w:val="en-US" w:eastAsia="zh-CN"/>
        </w:rPr>
        <w:t>通过</w:t>
      </w:r>
      <w:r>
        <w:rPr>
          <w:rFonts w:hint="eastAsia" w:ascii="宋体" w:hAnsi="宋体" w:eastAsia="宋体" w:cs="宋体"/>
          <w:color w:val="auto"/>
          <w:sz w:val="24"/>
          <w:szCs w:val="24"/>
          <w:highlight w:val="none"/>
        </w:rPr>
        <w:t>资格</w:t>
      </w:r>
      <w:r>
        <w:rPr>
          <w:rFonts w:hint="eastAsia" w:ascii="宋体" w:hAnsi="宋体" w:eastAsia="宋体" w:cs="宋体"/>
          <w:color w:val="auto"/>
          <w:sz w:val="24"/>
          <w:szCs w:val="24"/>
          <w:highlight w:val="none"/>
          <w:lang w:val="en-US" w:eastAsia="zh-CN"/>
        </w:rPr>
        <w:t>审查</w:t>
      </w:r>
      <w:r>
        <w:rPr>
          <w:rFonts w:hint="eastAsia" w:ascii="宋体" w:hAnsi="宋体" w:eastAsia="宋体" w:cs="宋体"/>
          <w:color w:val="auto"/>
          <w:sz w:val="24"/>
          <w:szCs w:val="24"/>
          <w:highlight w:val="none"/>
        </w:rPr>
        <w:t>的投标人的投标文件进行符合性审查，以确定其是否满足招标文件的实质性要求。投标人必须通过符合性审查的全部评审指标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不满足招标文件的实质性要求的，</w:t>
      </w:r>
      <w:r>
        <w:rPr>
          <w:rFonts w:hint="eastAsia" w:ascii="宋体" w:hAnsi="宋体" w:eastAsia="宋体" w:cs="宋体"/>
          <w:color w:val="auto"/>
          <w:sz w:val="24"/>
          <w:szCs w:val="24"/>
          <w:highlight w:val="none"/>
          <w:lang w:val="en-US" w:eastAsia="zh-CN"/>
        </w:rPr>
        <w:t>其</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具体内容详</w:t>
      </w:r>
      <w:r>
        <w:rPr>
          <w:rFonts w:hint="eastAsia" w:ascii="宋体" w:hAnsi="宋体" w:eastAsia="宋体" w:cs="宋体"/>
          <w:color w:val="auto"/>
          <w:sz w:val="24"/>
          <w:szCs w:val="24"/>
          <w:highlight w:val="none"/>
          <w:lang w:val="zh-CN"/>
        </w:rPr>
        <w:t>本章“</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lang w:val="zh-CN"/>
        </w:rPr>
        <w:t>、评标标准”中</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val="zh-CN"/>
        </w:rPr>
        <w:t>“（一）符合性审查”。</w:t>
      </w:r>
    </w:p>
    <w:p w14:paraId="4E726315">
      <w:pPr>
        <w:pStyle w:val="38"/>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通过</w:t>
      </w:r>
      <w:r>
        <w:rPr>
          <w:rFonts w:hint="eastAsia" w:ascii="宋体" w:hAnsi="宋体" w:eastAsia="宋体" w:cs="宋体"/>
          <w:color w:val="auto"/>
          <w:sz w:val="24"/>
          <w:szCs w:val="24"/>
          <w:highlight w:val="none"/>
        </w:rPr>
        <w:t>符合性审查</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有效</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不足3家的应当终止采购活动，发布项目终止公告并说明原因，重新开展采购活动。</w:t>
      </w:r>
    </w:p>
    <w:p w14:paraId="34580356">
      <w:pPr>
        <w:pStyle w:val="5"/>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05" w:name="_Toc102116178"/>
      <w:bookmarkStart w:id="606" w:name="_Toc102056244"/>
      <w:bookmarkStart w:id="607" w:name="_Toc102114946"/>
      <w:bookmarkStart w:id="608" w:name="_Toc102116048"/>
      <w:bookmarkStart w:id="609" w:name="_Toc102119879"/>
      <w:bookmarkStart w:id="610" w:name="_Toc155185907"/>
      <w:bookmarkStart w:id="611" w:name="_Toc102057744"/>
      <w:bookmarkStart w:id="612" w:name="_Toc163492903"/>
      <w:bookmarkStart w:id="613" w:name="_Toc29198"/>
      <w:bookmarkStart w:id="614" w:name="_Toc14312"/>
      <w:bookmarkStart w:id="615" w:name="_Toc29096"/>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二</w:t>
      </w:r>
      <w:r>
        <w:rPr>
          <w:rFonts w:hint="eastAsia" w:ascii="宋体" w:hAnsi="宋体" w:eastAsia="宋体" w:cs="宋体"/>
          <w:b/>
          <w:bCs/>
          <w:color w:val="auto"/>
          <w:kern w:val="2"/>
          <w:sz w:val="24"/>
          <w:szCs w:val="24"/>
          <w:highlight w:val="none"/>
          <w:lang w:val="zh-CN" w:eastAsia="zh-CN" w:bidi="ar-SA"/>
        </w:rPr>
        <w:t>）投标文件澄清</w:t>
      </w:r>
      <w:bookmarkEnd w:id="605"/>
      <w:bookmarkEnd w:id="606"/>
      <w:bookmarkEnd w:id="607"/>
      <w:bookmarkEnd w:id="608"/>
      <w:bookmarkEnd w:id="609"/>
      <w:bookmarkEnd w:id="610"/>
      <w:bookmarkEnd w:id="611"/>
      <w:r>
        <w:rPr>
          <w:rFonts w:hint="eastAsia" w:ascii="宋体" w:hAnsi="宋体" w:eastAsia="宋体" w:cs="宋体"/>
          <w:b/>
          <w:bCs/>
          <w:color w:val="auto"/>
          <w:kern w:val="2"/>
          <w:sz w:val="24"/>
          <w:szCs w:val="24"/>
          <w:highlight w:val="none"/>
          <w:lang w:val="zh-CN" w:eastAsia="zh-CN" w:bidi="ar-SA"/>
        </w:rPr>
        <w:t>及修正</w:t>
      </w:r>
      <w:bookmarkEnd w:id="612"/>
      <w:bookmarkEnd w:id="613"/>
      <w:bookmarkEnd w:id="614"/>
      <w:bookmarkEnd w:id="615"/>
    </w:p>
    <w:p w14:paraId="0EC9197C">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.评标期间，对于投标文件中含义不明确、同类问题表述不一致或者有明显文字和计算错误的内容需要投标人作出必要的澄清、说明或者补正的，评标委员会应当在</w:t>
      </w:r>
      <w:r>
        <w:rPr>
          <w:rFonts w:hint="eastAsia" w:ascii="宋体" w:hAnsi="宋体" w:eastAsia="宋体" w:cs="宋体"/>
          <w:color w:val="auto"/>
          <w:sz w:val="24"/>
          <w:szCs w:val="24"/>
          <w:highlight w:val="none"/>
          <w:lang w:val="en-US" w:eastAsia="zh-CN"/>
        </w:rPr>
        <w:t>政采云平台评标</w:t>
      </w:r>
      <w:r>
        <w:rPr>
          <w:rFonts w:hint="eastAsia" w:ascii="宋体" w:hAnsi="宋体" w:eastAsia="宋体" w:cs="宋体"/>
          <w:color w:val="auto"/>
          <w:sz w:val="24"/>
          <w:szCs w:val="24"/>
          <w:highlight w:val="none"/>
        </w:rPr>
        <w:t>系统中以书面形式要求投标人作出必要的澄清、说明或者补正。</w:t>
      </w:r>
    </w:p>
    <w:p w14:paraId="079329DA">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.投标人应按照评标委员会要求在规定时间内作出澄清、说明或者补正，澄清、说明或者补正不得超出投标文件的范围或者改变投标文件的实质性内容。</w:t>
      </w:r>
    </w:p>
    <w:p w14:paraId="591A6455">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.投标人的澄清、说明或者补正是其投标文件的有效组成部分，澄清、说明或者补正应当在</w:t>
      </w:r>
      <w:r>
        <w:rPr>
          <w:rFonts w:hint="eastAsia" w:ascii="宋体" w:hAnsi="宋体" w:eastAsia="宋体" w:cs="宋体"/>
          <w:color w:val="auto"/>
          <w:sz w:val="24"/>
          <w:szCs w:val="24"/>
          <w:highlight w:val="none"/>
          <w:lang w:val="en-US" w:eastAsia="zh-CN"/>
        </w:rPr>
        <w:t>政采云平台评标</w:t>
      </w:r>
      <w:r>
        <w:rPr>
          <w:rFonts w:hint="eastAsia" w:ascii="宋体" w:hAnsi="宋体" w:eastAsia="宋体" w:cs="宋体"/>
          <w:color w:val="auto"/>
          <w:sz w:val="24"/>
          <w:szCs w:val="24"/>
          <w:highlight w:val="none"/>
        </w:rPr>
        <w:t>系统中加盖电子印章后提交。</w:t>
      </w:r>
    </w:p>
    <w:p w14:paraId="3B466024">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.报价合理性说明：评标委员会认为投标人的报价明显低于其他通过符合性审查投标人的报价，有可能影响</w:t>
      </w: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质量或者不能诚信履约的，</w:t>
      </w:r>
      <w:r>
        <w:rPr>
          <w:rFonts w:hint="eastAsia" w:ascii="宋体" w:hAnsi="宋体" w:eastAsia="宋体" w:cs="宋体"/>
          <w:color w:val="auto"/>
          <w:sz w:val="24"/>
          <w:szCs w:val="24"/>
          <w:highlight w:val="none"/>
          <w:lang w:val="en-US" w:eastAsia="zh-CN"/>
        </w:rPr>
        <w:t>应当</w:t>
      </w:r>
      <w:r>
        <w:rPr>
          <w:rFonts w:hint="eastAsia" w:ascii="宋体" w:hAnsi="宋体" w:eastAsia="宋体" w:cs="宋体"/>
          <w:color w:val="auto"/>
          <w:sz w:val="24"/>
          <w:szCs w:val="24"/>
          <w:highlight w:val="none"/>
        </w:rPr>
        <w:t>要求</w:t>
      </w:r>
      <w:r>
        <w:rPr>
          <w:rFonts w:hint="eastAsia" w:ascii="宋体" w:hAnsi="宋体" w:eastAsia="宋体" w:cs="宋体"/>
          <w:color w:val="auto"/>
          <w:sz w:val="24"/>
          <w:szCs w:val="24"/>
          <w:highlight w:val="none"/>
          <w:lang w:val="en-US" w:eastAsia="zh-CN"/>
        </w:rPr>
        <w:t>该投标人</w:t>
      </w:r>
      <w:r>
        <w:rPr>
          <w:rFonts w:hint="eastAsia" w:ascii="宋体" w:hAnsi="宋体" w:eastAsia="宋体" w:cs="宋体"/>
          <w:color w:val="auto"/>
          <w:sz w:val="24"/>
          <w:szCs w:val="24"/>
          <w:highlight w:val="none"/>
        </w:rPr>
        <w:t>在合理的时间内提供说明，必要时提交相关证明材料；</w:t>
      </w:r>
      <w:r>
        <w:rPr>
          <w:rFonts w:hint="eastAsia" w:ascii="宋体" w:hAnsi="宋体" w:eastAsia="宋体" w:cs="宋体"/>
          <w:color w:val="auto"/>
          <w:sz w:val="24"/>
          <w:szCs w:val="24"/>
          <w:highlight w:val="none"/>
          <w:lang w:val="en-US" w:eastAsia="zh-CN"/>
        </w:rPr>
        <w:t>若</w:t>
      </w:r>
      <w:r>
        <w:rPr>
          <w:rFonts w:hint="eastAsia" w:ascii="宋体" w:hAnsi="宋体" w:eastAsia="宋体" w:cs="宋体"/>
          <w:color w:val="auto"/>
          <w:sz w:val="24"/>
          <w:szCs w:val="24"/>
          <w:highlight w:val="none"/>
        </w:rPr>
        <w:t>投标人不能证明其报价合理性的，评标委员</w:t>
      </w:r>
      <w:r>
        <w:rPr>
          <w:rFonts w:hint="eastAsia" w:ascii="宋体" w:hAnsi="宋体" w:eastAsia="宋体" w:cs="宋体"/>
          <w:color w:val="auto"/>
          <w:sz w:val="24"/>
          <w:szCs w:val="24"/>
          <w:highlight w:val="none"/>
          <w:lang w:val="en-US" w:eastAsia="zh-CN"/>
        </w:rPr>
        <w:t>会应当</w:t>
      </w:r>
      <w:r>
        <w:rPr>
          <w:rFonts w:hint="eastAsia" w:ascii="宋体" w:hAnsi="宋体" w:eastAsia="宋体" w:cs="宋体"/>
          <w:color w:val="auto"/>
          <w:sz w:val="24"/>
          <w:szCs w:val="24"/>
          <w:highlight w:val="none"/>
        </w:rPr>
        <w:t>将其作</w:t>
      </w:r>
      <w:r>
        <w:rPr>
          <w:rFonts w:hint="eastAsia" w:ascii="宋体" w:hAnsi="宋体" w:eastAsia="宋体" w:cs="宋体"/>
          <w:b/>
          <w:bCs/>
          <w:color w:val="auto"/>
          <w:sz w:val="24"/>
          <w:szCs w:val="24"/>
          <w:highlight w:val="none"/>
        </w:rPr>
        <w:t>无效投标</w:t>
      </w:r>
      <w:r>
        <w:rPr>
          <w:rFonts w:hint="eastAsia" w:ascii="宋体" w:hAnsi="宋体" w:eastAsia="宋体" w:cs="宋体"/>
          <w:color w:val="auto"/>
          <w:sz w:val="24"/>
          <w:szCs w:val="24"/>
          <w:highlight w:val="none"/>
        </w:rPr>
        <w:t>处理。</w:t>
      </w:r>
    </w:p>
    <w:p w14:paraId="4FD6345C">
      <w:pPr>
        <w:pStyle w:val="38"/>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015D7E7F">
      <w:pPr>
        <w:pStyle w:val="38"/>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8.投标文件报价出现前后不一致的，除招标文件另有规定外，按照下列规定修正：</w:t>
      </w:r>
    </w:p>
    <w:p w14:paraId="4D967018">
      <w:pPr>
        <w:pStyle w:val="38"/>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8.1投标文件中开标一览表（报价表）内容与投标文件中相应内容不一致的，以开标一览表（报价表）为准；</w:t>
      </w:r>
    </w:p>
    <w:p w14:paraId="657B9F51">
      <w:pPr>
        <w:pStyle w:val="38"/>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8.2大写金额和小写金额不一致的，以大写金额为准；</w:t>
      </w:r>
    </w:p>
    <w:p w14:paraId="628E9D79">
      <w:pPr>
        <w:pStyle w:val="38"/>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8.3单价金额小数点或者百分比有明显错位的，以开标一览表的总价为准，并修改单价；</w:t>
      </w:r>
    </w:p>
    <w:p w14:paraId="3D45997F">
      <w:pPr>
        <w:pStyle w:val="38"/>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8.4总价金额与按单价汇总金额不一致的，以单价金额计算结果为准。</w:t>
      </w:r>
    </w:p>
    <w:p w14:paraId="4E5FFFFF">
      <w:pPr>
        <w:pStyle w:val="38"/>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同时出现两种以上不一致的，按照8.1—8.4的顺序修正。修正后的报价采用书面形式，并加盖公章，或者由法定代表人或其授权的代表签字，经投标人确认后产生约束力，投标人不确认的，其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33748C4F">
      <w:pPr>
        <w:pStyle w:val="5"/>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16" w:name="_Toc6545"/>
      <w:bookmarkStart w:id="617" w:name="_Toc826"/>
      <w:bookmarkStart w:id="618" w:name="_Toc26244"/>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kern w:val="2"/>
          <w:sz w:val="24"/>
          <w:szCs w:val="24"/>
          <w:highlight w:val="none"/>
          <w:lang w:val="zh-CN" w:eastAsia="zh-CN" w:bidi="ar-SA"/>
        </w:rPr>
        <w:t>）比较与评价</w:t>
      </w:r>
      <w:bookmarkEnd w:id="616"/>
      <w:bookmarkEnd w:id="617"/>
      <w:bookmarkEnd w:id="618"/>
    </w:p>
    <w:p w14:paraId="2BE6ECB2">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评标委员会应当按照招标文件中规定的评标方法和标准，对符合性审查合格的投标文件进行商务和技术评</w:t>
      </w:r>
      <w:r>
        <w:rPr>
          <w:rFonts w:hint="eastAsia" w:ascii="宋体" w:hAnsi="宋体" w:eastAsia="宋体" w:cs="宋体"/>
          <w:color w:val="auto"/>
          <w:sz w:val="24"/>
          <w:szCs w:val="24"/>
          <w:highlight w:val="none"/>
          <w:lang w:val="en-US" w:eastAsia="zh-CN"/>
        </w:rPr>
        <w:t>估</w:t>
      </w:r>
      <w:r>
        <w:rPr>
          <w:rFonts w:hint="eastAsia" w:ascii="宋体" w:hAnsi="宋体" w:eastAsia="宋体" w:cs="宋体"/>
          <w:color w:val="auto"/>
          <w:sz w:val="24"/>
          <w:szCs w:val="24"/>
          <w:highlight w:val="none"/>
        </w:rPr>
        <w:t>，综合比较与评价</w:t>
      </w:r>
      <w:r>
        <w:rPr>
          <w:rFonts w:hint="eastAsia" w:ascii="宋体" w:hAnsi="宋体" w:eastAsia="宋体" w:cs="宋体"/>
          <w:color w:val="auto"/>
          <w:sz w:val="24"/>
          <w:szCs w:val="24"/>
          <w:highlight w:val="none"/>
          <w:lang w:val="en-US" w:eastAsia="zh-CN"/>
        </w:rPr>
        <w:t>；未通过符合性审查的投标文件不得进入比较与评价</w:t>
      </w:r>
      <w:r>
        <w:rPr>
          <w:rFonts w:hint="eastAsia" w:ascii="宋体" w:hAnsi="宋体" w:eastAsia="宋体" w:cs="宋体"/>
          <w:color w:val="auto"/>
          <w:sz w:val="24"/>
          <w:szCs w:val="24"/>
          <w:highlight w:val="none"/>
        </w:rPr>
        <w:t>。评审因素包括投标报价、商务技术以及落实政府采购政策。评审因素及标准见本章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评</w:t>
      </w:r>
      <w:r>
        <w:rPr>
          <w:rFonts w:hint="eastAsia" w:ascii="宋体" w:hAnsi="宋体" w:eastAsia="宋体" w:cs="宋体"/>
          <w:color w:val="auto"/>
          <w:sz w:val="24"/>
          <w:szCs w:val="24"/>
          <w:highlight w:val="none"/>
          <w:lang w:val="en-US" w:eastAsia="zh-CN"/>
        </w:rPr>
        <w:t>标</w:t>
      </w:r>
      <w:r>
        <w:rPr>
          <w:rFonts w:hint="eastAsia" w:ascii="宋体" w:hAnsi="宋体" w:eastAsia="宋体" w:cs="宋体"/>
          <w:color w:val="auto"/>
          <w:sz w:val="24"/>
          <w:szCs w:val="24"/>
          <w:highlight w:val="none"/>
        </w:rPr>
        <w:t>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635A5086">
      <w:pPr>
        <w:pStyle w:val="38"/>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10.相同品牌处理原则</w:t>
      </w:r>
    </w:p>
    <w:p w14:paraId="7EDACD8A">
      <w:pPr>
        <w:pStyle w:val="38"/>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.1单一产品采购（或非单一产品采购中的核心产品），提供相同品牌产品且通过资格审查、符合性审查的不同投标人参加同一合同项下投标的，按一家投标人计算。</w:t>
      </w:r>
    </w:p>
    <w:p w14:paraId="6B4B1667">
      <w:pPr>
        <w:pStyle w:val="38"/>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.2非单一产品采购项目，采购人应当根据采购项目技术构成、产品价格比重等合理确定</w:t>
      </w:r>
      <w:r>
        <w:rPr>
          <w:rFonts w:hint="eastAsia" w:ascii="宋体" w:hAnsi="宋体" w:eastAsia="宋体" w:cs="宋体"/>
          <w:color w:val="auto"/>
          <w:sz w:val="24"/>
          <w:szCs w:val="24"/>
          <w:highlight w:val="none"/>
          <w:lang w:eastAsia="zh-CN"/>
        </w:rPr>
        <w:t>核心产品</w:t>
      </w:r>
      <w:r>
        <w:rPr>
          <w:rFonts w:hint="eastAsia" w:ascii="宋体" w:hAnsi="宋体" w:eastAsia="宋体" w:cs="宋体"/>
          <w:color w:val="auto"/>
          <w:sz w:val="24"/>
          <w:szCs w:val="24"/>
          <w:highlight w:val="none"/>
        </w:rPr>
        <w:t>（采购清单中作“与核心产品相同〈或同一〉品牌”实质性要求的产品，视为</w:t>
      </w:r>
      <w:r>
        <w:rPr>
          <w:rFonts w:hint="eastAsia" w:ascii="宋体" w:hAnsi="宋体" w:eastAsia="宋体" w:cs="宋体"/>
          <w:color w:val="auto"/>
          <w:sz w:val="24"/>
          <w:szCs w:val="24"/>
          <w:highlight w:val="none"/>
          <w:lang w:eastAsia="zh-CN"/>
        </w:rPr>
        <w:t>核心产品</w:t>
      </w:r>
      <w:r>
        <w:rPr>
          <w:rFonts w:hint="eastAsia" w:ascii="宋体" w:hAnsi="宋体" w:eastAsia="宋体" w:cs="宋体"/>
          <w:color w:val="auto"/>
          <w:sz w:val="24"/>
          <w:szCs w:val="24"/>
          <w:highlight w:val="none"/>
        </w:rPr>
        <w:t>），并以“核心产品”在“投标人须知前附表”中载明，评审时按前款规定处理。</w:t>
      </w:r>
    </w:p>
    <w:p w14:paraId="384D833B">
      <w:pPr>
        <w:pStyle w:val="38"/>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.3有效投标品牌不足3家的应按</w:t>
      </w:r>
      <w:r>
        <w:rPr>
          <w:rFonts w:hint="eastAsia" w:ascii="宋体" w:hAnsi="宋体" w:eastAsia="宋体" w:cs="宋体"/>
          <w:b/>
          <w:bCs/>
          <w:color w:val="auto"/>
          <w:sz w:val="24"/>
          <w:szCs w:val="24"/>
          <w:highlight w:val="none"/>
        </w:rPr>
        <w:t>废标</w:t>
      </w:r>
      <w:r>
        <w:rPr>
          <w:rFonts w:hint="eastAsia" w:ascii="宋体" w:hAnsi="宋体" w:eastAsia="宋体" w:cs="宋体"/>
          <w:color w:val="auto"/>
          <w:sz w:val="24"/>
          <w:szCs w:val="24"/>
          <w:highlight w:val="none"/>
        </w:rPr>
        <w:t>处理。</w:t>
      </w:r>
    </w:p>
    <w:p w14:paraId="7C54BD9F">
      <w:pPr>
        <w:pStyle w:val="5"/>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19" w:name="_Toc14352"/>
      <w:bookmarkStart w:id="620" w:name="_Toc22424"/>
      <w:bookmarkStart w:id="621" w:name="_Toc12492"/>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四</w:t>
      </w:r>
      <w:r>
        <w:rPr>
          <w:rFonts w:hint="eastAsia" w:ascii="宋体" w:hAnsi="宋体" w:eastAsia="宋体" w:cs="宋体"/>
          <w:b/>
          <w:bCs/>
          <w:color w:val="auto"/>
          <w:kern w:val="2"/>
          <w:sz w:val="24"/>
          <w:szCs w:val="24"/>
          <w:highlight w:val="none"/>
          <w:lang w:val="zh-CN" w:eastAsia="zh-CN" w:bidi="ar-SA"/>
        </w:rPr>
        <w:t>）报价评审</w:t>
      </w:r>
      <w:bookmarkEnd w:id="619"/>
      <w:bookmarkEnd w:id="620"/>
      <w:bookmarkEnd w:id="621"/>
    </w:p>
    <w:p w14:paraId="21874171">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投标报价评审</w:t>
      </w:r>
    </w:p>
    <w:p w14:paraId="266BD854">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货物项目的价格分值占总分值的比重不得低于30%。执行国家统一定价标准和采用固定价格采购的项目，其价格不列为评审因素。</w:t>
      </w:r>
      <w:r>
        <w:rPr>
          <w:rFonts w:hint="eastAsia" w:ascii="宋体" w:hAnsi="宋体" w:eastAsia="宋体" w:cs="宋体"/>
          <w:color w:val="auto"/>
          <w:sz w:val="24"/>
          <w:szCs w:val="24"/>
          <w:highlight w:val="none"/>
        </w:rPr>
        <w:t>价格分应当采用低价优先法计算，即满足招标文件要求且投标价格最低的投标报价为评标基准价，其价格分为满分。其他投标人的价格分统一按照下列公式计算：</w:t>
      </w:r>
    </w:p>
    <w:p w14:paraId="2D86B7AD">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投标报价得分=(评标基准价／投标报价)×价格分值</w:t>
      </w:r>
    </w:p>
    <w:p w14:paraId="0CCB2E48">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评标过程中，不得去掉报价中的最高报价和最低报价。</w:t>
      </w:r>
    </w:p>
    <w:p w14:paraId="14E623B0">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2</w:t>
      </w:r>
      <w:r>
        <w:rPr>
          <w:rFonts w:hint="eastAsia" w:ascii="宋体" w:hAnsi="宋体" w:eastAsia="宋体" w:cs="宋体"/>
          <w:iCs/>
          <w:color w:val="auto"/>
          <w:spacing w:val="-6"/>
          <w:sz w:val="24"/>
          <w:szCs w:val="24"/>
          <w:highlight w:val="none"/>
        </w:rPr>
        <w:t>除算术修正和落实政府采购政策的价格扣除外，不对投标报价进行调整；</w:t>
      </w:r>
    </w:p>
    <w:p w14:paraId="6DDDADCE">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3价格</w:t>
      </w:r>
      <w:r>
        <w:rPr>
          <w:rFonts w:hint="eastAsia" w:ascii="宋体" w:hAnsi="宋体" w:eastAsia="宋体" w:cs="宋体"/>
          <w:color w:val="auto"/>
          <w:sz w:val="24"/>
          <w:szCs w:val="24"/>
          <w:highlight w:val="none"/>
          <w:lang w:eastAsia="zh-CN"/>
        </w:rPr>
        <w:t>分值</w:t>
      </w:r>
      <w:r>
        <w:rPr>
          <w:rFonts w:hint="eastAsia" w:ascii="宋体" w:hAnsi="宋体" w:eastAsia="宋体" w:cs="宋体"/>
          <w:color w:val="auto"/>
          <w:sz w:val="24"/>
          <w:szCs w:val="24"/>
          <w:highlight w:val="none"/>
        </w:rPr>
        <w:t>见本章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评</w:t>
      </w:r>
      <w:r>
        <w:rPr>
          <w:rFonts w:hint="eastAsia" w:ascii="宋体" w:hAnsi="宋体" w:eastAsia="宋体" w:cs="宋体"/>
          <w:color w:val="auto"/>
          <w:sz w:val="24"/>
          <w:szCs w:val="24"/>
          <w:highlight w:val="none"/>
          <w:lang w:val="en-US" w:eastAsia="zh-CN"/>
        </w:rPr>
        <w:t>标</w:t>
      </w:r>
      <w:r>
        <w:rPr>
          <w:rFonts w:hint="eastAsia" w:ascii="宋体" w:hAnsi="宋体" w:eastAsia="宋体" w:cs="宋体"/>
          <w:color w:val="auto"/>
          <w:sz w:val="24"/>
          <w:szCs w:val="24"/>
          <w:highlight w:val="none"/>
        </w:rPr>
        <w:t>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30866637">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.政府采购政策评审</w:t>
      </w:r>
    </w:p>
    <w:p w14:paraId="7D57744F">
      <w:pPr>
        <w:pStyle w:val="38"/>
        <w:numPr>
          <w:ilvl w:val="0"/>
          <w:numId w:val="0"/>
        </w:numPr>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.1非专门面向中小企业的采购项目或采购包，对符合规定的小微企业（</w:t>
      </w:r>
      <w:r>
        <w:rPr>
          <w:rFonts w:hint="eastAsia" w:ascii="宋体" w:hAnsi="宋体" w:eastAsia="宋体" w:cs="宋体"/>
          <w:color w:val="auto"/>
          <w:sz w:val="24"/>
          <w:szCs w:val="24"/>
          <w:highlight w:val="none"/>
          <w:lang w:val="en-US" w:eastAsia="zh-CN"/>
        </w:rPr>
        <w:t>含</w:t>
      </w:r>
      <w:r>
        <w:rPr>
          <w:rFonts w:hint="eastAsia" w:ascii="宋体" w:hAnsi="宋体" w:eastAsia="宋体" w:cs="宋体"/>
          <w:color w:val="auto"/>
          <w:sz w:val="24"/>
          <w:szCs w:val="24"/>
          <w:highlight w:val="none"/>
        </w:rPr>
        <w:t>监狱企业、残疾人福利性单位、联合体各方均为小微企业的联合体、符合小微企业划分标准的个体工商户视同小微企业）报价按照本招标文件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投标人须知前附表”中的规定扣除，对小微企业中的监狱企业、残疾人福利性单位、采购产品纳入创新产品应用示范推荐目录内企业、采购产品获得节能产品或环境标志产品认证证书的企业报价按照本</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须知前附表”中的规定扣除，用扣除后的价格计算评审基准价</w:t>
      </w:r>
      <w:r>
        <w:rPr>
          <w:rFonts w:hint="eastAsia" w:ascii="宋体" w:hAnsi="宋体" w:eastAsia="宋体" w:cs="宋体"/>
          <w:color w:val="auto"/>
          <w:sz w:val="24"/>
          <w:szCs w:val="24"/>
          <w:highlight w:val="none"/>
          <w:lang w:eastAsia="zh-CN"/>
        </w:rPr>
        <w:t>。</w:t>
      </w:r>
    </w:p>
    <w:p w14:paraId="1E5F4E03">
      <w:pPr>
        <w:pStyle w:val="38"/>
        <w:numPr>
          <w:ilvl w:val="0"/>
          <w:numId w:val="0"/>
        </w:num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lang w:val="zh-CN" w:eastAsia="zh-CN"/>
        </w:rPr>
        <w:t>2</w:t>
      </w:r>
      <w:r>
        <w:rPr>
          <w:rFonts w:hint="eastAsia" w:ascii="宋体" w:hAnsi="宋体" w:eastAsia="宋体" w:cs="宋体"/>
          <w:color w:val="auto"/>
          <w:sz w:val="24"/>
          <w:szCs w:val="24"/>
          <w:highlight w:val="none"/>
        </w:rPr>
        <w:t>参加政府采购活动的小微企业（含节能环保、创新产品企业）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r>
        <w:rPr>
          <w:rFonts w:hint="eastAsia" w:ascii="宋体" w:hAnsi="宋体" w:eastAsia="宋体" w:cs="宋体"/>
          <w:color w:val="auto"/>
          <w:sz w:val="24"/>
          <w:szCs w:val="24"/>
          <w:highlight w:val="none"/>
          <w:lang w:val="en-US" w:eastAsia="zh-CN"/>
        </w:rPr>
        <w:t>若投标人同时属于小型或微型企业、监狱企业、残疾人福利性单位 中的两种及以上，将不重复享受小微企业价格扣减的优惠政策。</w:t>
      </w:r>
    </w:p>
    <w:p w14:paraId="1A495953">
      <w:pPr>
        <w:pStyle w:val="38"/>
        <w:numPr>
          <w:ilvl w:val="0"/>
          <w:numId w:val="0"/>
        </w:numPr>
        <w:shd w:val="clear" w:color="auto" w:fill="FFFFFF" w:themeFill="background1"/>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组成联合体或者接受分包的小微企业与联合体内其他企业、分包企业之间存在直接控股、管理关系的，不享受价格扣除优惠政策。</w:t>
      </w:r>
    </w:p>
    <w:p w14:paraId="74F2F1A2">
      <w:pPr>
        <w:pStyle w:val="38"/>
        <w:numPr>
          <w:ilvl w:val="0"/>
          <w:numId w:val="0"/>
        </w:num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价格扣除比例对小型企业和微型企业同等对待，不作区分。</w:t>
      </w:r>
    </w:p>
    <w:p w14:paraId="71DD10A8">
      <w:pPr>
        <w:pStyle w:val="38"/>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12.</w:t>
      </w:r>
      <w:r>
        <w:rPr>
          <w:rFonts w:hint="eastAsia" w:ascii="宋体" w:hAnsi="宋体" w:eastAsia="宋体" w:cs="宋体"/>
          <w:iCs/>
          <w:color w:val="auto"/>
          <w:kern w:val="2"/>
          <w:sz w:val="24"/>
          <w:szCs w:val="24"/>
          <w:highlight w:val="none"/>
          <w:shd w:val="clear" w:fill="FFFFFF" w:themeFill="background1"/>
          <w:lang w:val="zh-CN" w:eastAsia="zh-CN" w:bidi="ar-SA"/>
        </w:rPr>
        <w:t>3</w:t>
      </w:r>
      <w:r>
        <w:rPr>
          <w:rFonts w:hint="eastAsia" w:ascii="宋体" w:hAnsi="宋体" w:eastAsia="宋体" w:cs="宋体"/>
          <w:color w:val="auto"/>
          <w:sz w:val="24"/>
          <w:szCs w:val="24"/>
          <w:highlight w:val="none"/>
        </w:rPr>
        <w:t>专门面向中小企业、预留部分采购份额面向中小企业采购的项目或采购包，评审时不再进行价格扣除。</w:t>
      </w:r>
    </w:p>
    <w:p w14:paraId="3874ED83">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12.4</w:t>
      </w:r>
      <w:r>
        <w:rPr>
          <w:rFonts w:hint="eastAsia" w:ascii="宋体" w:hAnsi="宋体" w:eastAsia="宋体" w:cs="宋体"/>
          <w:color w:val="auto"/>
          <w:sz w:val="24"/>
          <w:szCs w:val="24"/>
          <w:highlight w:val="none"/>
        </w:rPr>
        <w:t>对于未预留份额专门面向中小企业的政府采购项目，以及预留份额政府采购项目中的非预留部分标项，对小型和微型企业的投标报价给予10%-20%的扣除，用扣除后的价格参与评审。接受大中型企业与小微企业组成联合体或者允许大中型企业向一家或者多家小微企业分包的政府采购项目，对于联合</w:t>
      </w:r>
      <w:r>
        <w:rPr>
          <w:rFonts w:hint="eastAsia" w:ascii="宋体" w:hAnsi="宋体" w:eastAsia="宋体" w:cs="宋体"/>
          <w:color w:val="auto"/>
          <w:sz w:val="24"/>
          <w:szCs w:val="24"/>
          <w:highlight w:val="none"/>
          <w:lang w:val="en-US" w:eastAsia="zh-CN"/>
        </w:rPr>
        <w:t>体</w:t>
      </w:r>
      <w:r>
        <w:rPr>
          <w:rFonts w:hint="eastAsia" w:ascii="宋体" w:hAnsi="宋体" w:eastAsia="宋体" w:cs="宋体"/>
          <w:color w:val="auto"/>
          <w:sz w:val="24"/>
          <w:szCs w:val="24"/>
          <w:highlight w:val="none"/>
        </w:rPr>
        <w:t>协议</w:t>
      </w:r>
      <w:r>
        <w:rPr>
          <w:rFonts w:hint="eastAsia" w:ascii="宋体" w:hAnsi="宋体" w:eastAsia="宋体" w:cs="宋体"/>
          <w:color w:val="auto"/>
          <w:sz w:val="24"/>
          <w:szCs w:val="24"/>
          <w:highlight w:val="none"/>
          <w:lang w:val="en-US" w:eastAsia="zh-CN"/>
        </w:rPr>
        <w:t>书</w:t>
      </w:r>
      <w:r>
        <w:rPr>
          <w:rFonts w:hint="eastAsia" w:ascii="宋体" w:hAnsi="宋体" w:eastAsia="宋体" w:cs="宋体"/>
          <w:color w:val="auto"/>
          <w:sz w:val="24"/>
          <w:szCs w:val="24"/>
          <w:highlight w:val="none"/>
        </w:rPr>
        <w:t>或者分包意向协议</w:t>
      </w:r>
      <w:r>
        <w:rPr>
          <w:rFonts w:hint="eastAsia" w:ascii="宋体" w:hAnsi="宋体" w:eastAsia="宋体" w:cs="宋体"/>
          <w:color w:val="auto"/>
          <w:sz w:val="24"/>
          <w:szCs w:val="24"/>
          <w:highlight w:val="none"/>
          <w:lang w:val="en-US" w:eastAsia="zh-CN"/>
        </w:rPr>
        <w:t>书</w:t>
      </w:r>
      <w:r>
        <w:rPr>
          <w:rFonts w:hint="eastAsia" w:ascii="宋体" w:hAnsi="宋体" w:eastAsia="宋体" w:cs="宋体"/>
          <w:color w:val="auto"/>
          <w:sz w:val="24"/>
          <w:szCs w:val="24"/>
          <w:highlight w:val="none"/>
        </w:rPr>
        <w:t>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548FFFDB">
      <w:pPr>
        <w:pStyle w:val="5"/>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22" w:name="_Toc23703"/>
      <w:bookmarkStart w:id="623" w:name="_Toc16419"/>
      <w:bookmarkStart w:id="624" w:name="_Toc3883"/>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五</w:t>
      </w:r>
      <w:r>
        <w:rPr>
          <w:rFonts w:hint="eastAsia" w:ascii="宋体" w:hAnsi="宋体" w:eastAsia="宋体" w:cs="宋体"/>
          <w:b/>
          <w:bCs/>
          <w:color w:val="auto"/>
          <w:kern w:val="2"/>
          <w:sz w:val="24"/>
          <w:szCs w:val="24"/>
          <w:highlight w:val="none"/>
          <w:lang w:val="zh-CN" w:eastAsia="zh-CN" w:bidi="ar-SA"/>
        </w:rPr>
        <w:t>）评标得分及复核</w:t>
      </w:r>
      <w:bookmarkEnd w:id="622"/>
      <w:bookmarkEnd w:id="623"/>
      <w:bookmarkEnd w:id="624"/>
    </w:p>
    <w:p w14:paraId="073A56A5">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rPr>
        <w:t>评标过程中，各项分值一般精确到小数点后两位，评标得分应为商务评分、技术评分、报价评分之和。评标委员会各成员应汇总每个投标人的得分。</w:t>
      </w:r>
    </w:p>
    <w:p w14:paraId="0BE80DC7">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14.</w:t>
      </w:r>
      <w:r>
        <w:rPr>
          <w:rFonts w:hint="eastAsia" w:ascii="宋体" w:hAnsi="宋体" w:eastAsia="宋体" w:cs="宋体"/>
          <w:iCs/>
          <w:color w:val="auto"/>
          <w:spacing w:val="-6"/>
          <w:sz w:val="24"/>
          <w:szCs w:val="24"/>
          <w:highlight w:val="none"/>
        </w:rPr>
        <w:t>评标结果汇总完成后，采购代理机构应对评标结果进行复核。经复核发现存在以下情形之一的，评标委员会应当当场修改评标结果，并在评标报告中记载：</w:t>
      </w:r>
    </w:p>
    <w:p w14:paraId="427128F3">
      <w:pPr>
        <w:pStyle w:val="38"/>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14.1</w:t>
      </w:r>
      <w:r>
        <w:rPr>
          <w:rFonts w:hint="eastAsia" w:ascii="宋体" w:hAnsi="宋体" w:eastAsia="宋体" w:cs="宋体"/>
          <w:color w:val="auto"/>
          <w:sz w:val="24"/>
          <w:szCs w:val="24"/>
          <w:highlight w:val="none"/>
        </w:rPr>
        <w:t>分值汇总计算错误的；</w:t>
      </w:r>
    </w:p>
    <w:p w14:paraId="4404F7B4">
      <w:pPr>
        <w:pStyle w:val="38"/>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14.2</w:t>
      </w:r>
      <w:r>
        <w:rPr>
          <w:rFonts w:hint="eastAsia" w:ascii="宋体" w:hAnsi="宋体" w:eastAsia="宋体" w:cs="宋体"/>
          <w:color w:val="auto"/>
          <w:sz w:val="24"/>
          <w:szCs w:val="24"/>
          <w:highlight w:val="none"/>
        </w:rPr>
        <w:t>分项评分超出评分标准范围的；</w:t>
      </w:r>
    </w:p>
    <w:p w14:paraId="18150CA8">
      <w:pPr>
        <w:pStyle w:val="38"/>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14.3</w:t>
      </w:r>
      <w:r>
        <w:rPr>
          <w:rFonts w:hint="eastAsia" w:ascii="宋体" w:hAnsi="宋体" w:eastAsia="宋体" w:cs="宋体"/>
          <w:color w:val="auto"/>
          <w:sz w:val="24"/>
          <w:szCs w:val="24"/>
          <w:highlight w:val="none"/>
        </w:rPr>
        <w:t>评标委员会成员对客观评审因素评分不一致的；</w:t>
      </w:r>
    </w:p>
    <w:p w14:paraId="6BFAB3DA">
      <w:pPr>
        <w:pStyle w:val="38"/>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14.4</w:t>
      </w:r>
      <w:r>
        <w:rPr>
          <w:rFonts w:hint="eastAsia" w:ascii="宋体" w:hAnsi="宋体" w:eastAsia="宋体" w:cs="宋体"/>
          <w:color w:val="auto"/>
          <w:sz w:val="24"/>
          <w:szCs w:val="24"/>
          <w:highlight w:val="none"/>
        </w:rPr>
        <w:t>经评标委员会认定评分畸高、畸低的。</w:t>
      </w:r>
    </w:p>
    <w:p w14:paraId="0FD26D1C">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各投标人的最终得分为评标委员会所有成员对各投标人评标得分汇总后的算术平均值。</w:t>
      </w:r>
    </w:p>
    <w:p w14:paraId="1FD846A7">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15.1除资格性检查认定错误、分值汇总计算错误、分项评分超出评分标准范围、客观分评分不一致、经评标委员会一致认定评分畸高、畸低的情形外，采购人或者采购代理机构不得以任何理由组织重新评审。采购人、采购代理机构发现评标委员会未按照招标文件规定的评审标准进行评审的，应当重新开展采购活动，并同时书面报告本级财政部门。</w:t>
      </w:r>
    </w:p>
    <w:p w14:paraId="125C5D08">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15.2采购人或者采购代理机构不得通过对样品进行检测、对投标人进行考察等方式改变评审结果。</w:t>
      </w:r>
    </w:p>
    <w:p w14:paraId="5AB9E04E">
      <w:pPr>
        <w:pStyle w:val="5"/>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25" w:name="_Toc19764"/>
      <w:bookmarkStart w:id="626" w:name="_Toc6168"/>
      <w:bookmarkStart w:id="627" w:name="_Toc23798"/>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六</w:t>
      </w:r>
      <w:r>
        <w:rPr>
          <w:rFonts w:hint="eastAsia" w:ascii="宋体" w:hAnsi="宋体" w:eastAsia="宋体" w:cs="宋体"/>
          <w:b/>
          <w:bCs/>
          <w:color w:val="auto"/>
          <w:kern w:val="2"/>
          <w:sz w:val="24"/>
          <w:szCs w:val="24"/>
          <w:highlight w:val="none"/>
          <w:lang w:val="zh-CN" w:eastAsia="zh-CN" w:bidi="ar-SA"/>
        </w:rPr>
        <w:t>）排序与推荐</w:t>
      </w:r>
      <w:bookmarkEnd w:id="625"/>
      <w:bookmarkEnd w:id="626"/>
      <w:bookmarkEnd w:id="627"/>
    </w:p>
    <w:p w14:paraId="514ADBD8">
      <w:pPr>
        <w:pStyle w:val="38"/>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评标结果按评审后得分由高到低顺序排列。投标文件满足招标文件全部实质性要求，且按照评审因素的量化指标评审得分最高的投标人为排名第一的中标候选人。得分相同的，按投标报价由低到高顺序排列。得分且投标报价相同的，按技术指标优劣顺序排列。</w:t>
      </w:r>
    </w:p>
    <w:p w14:paraId="7B12FA4F">
      <w:pPr>
        <w:pStyle w:val="38"/>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招标文件未规定的采取随机抽取方式确定，其他同品牌投标人不作为中标候选人。</w:t>
      </w:r>
    </w:p>
    <w:p w14:paraId="3B1F6C1A">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18.中标候选人推荐家数详见“投标人须知前附表”。</w:t>
      </w:r>
    </w:p>
    <w:p w14:paraId="1F98E10E">
      <w:pPr>
        <w:pStyle w:val="5"/>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28" w:name="_Toc1587"/>
      <w:bookmarkStart w:id="629" w:name="_Toc19594"/>
      <w:bookmarkStart w:id="630" w:name="_Toc7794"/>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七</w:t>
      </w:r>
      <w:r>
        <w:rPr>
          <w:rFonts w:hint="eastAsia" w:ascii="宋体" w:hAnsi="宋体" w:eastAsia="宋体" w:cs="宋体"/>
          <w:b/>
          <w:bCs/>
          <w:color w:val="auto"/>
          <w:kern w:val="2"/>
          <w:sz w:val="24"/>
          <w:szCs w:val="24"/>
          <w:highlight w:val="none"/>
          <w:lang w:val="zh-CN" w:eastAsia="zh-CN" w:bidi="ar-SA"/>
        </w:rPr>
        <w:t>）编写评标报告</w:t>
      </w:r>
      <w:bookmarkEnd w:id="628"/>
      <w:bookmarkEnd w:id="629"/>
      <w:bookmarkEnd w:id="630"/>
    </w:p>
    <w:p w14:paraId="3576CABA">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评标委员会根据全体评标成员签字的原始评标记录和评标结果编写评标报告。评标委员会应当在评标报告上签名，对自己的评审意见承担法律责任。评标委员会成员对需要共同认定的事项存在争议的，应当按照少数服从多数的原则作出结论。持不同意见的评标委员会成员应当在评标报告上签署不同意见，并说明理由，否则视为同意评标报告。</w:t>
      </w:r>
    </w:p>
    <w:p w14:paraId="29512443">
      <w:pPr>
        <w:pStyle w:val="5"/>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31" w:name="_Toc102119852"/>
      <w:bookmarkStart w:id="632" w:name="_Toc102114919"/>
      <w:bookmarkStart w:id="633" w:name="_Toc163492906"/>
      <w:bookmarkStart w:id="634" w:name="_Toc155185913"/>
      <w:bookmarkStart w:id="635" w:name="_Toc102056217"/>
      <w:bookmarkStart w:id="636" w:name="_Toc102057717"/>
      <w:bookmarkStart w:id="637" w:name="_Toc18008"/>
      <w:bookmarkStart w:id="638" w:name="_Toc11477"/>
      <w:bookmarkStart w:id="639" w:name="_Toc102116021"/>
      <w:bookmarkStart w:id="640" w:name="_Toc26377"/>
      <w:bookmarkStart w:id="641" w:name="_Toc102116151"/>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八</w:t>
      </w: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投标无效及</w:t>
      </w:r>
      <w:r>
        <w:rPr>
          <w:rFonts w:hint="eastAsia" w:ascii="宋体" w:hAnsi="宋体" w:eastAsia="宋体" w:cs="宋体"/>
          <w:b/>
          <w:bCs/>
          <w:color w:val="auto"/>
          <w:kern w:val="2"/>
          <w:sz w:val="24"/>
          <w:szCs w:val="24"/>
          <w:highlight w:val="none"/>
          <w:lang w:val="zh-CN" w:eastAsia="zh-CN" w:bidi="ar-SA"/>
        </w:rPr>
        <w:t>应予废标的情形</w:t>
      </w:r>
      <w:bookmarkEnd w:id="631"/>
      <w:bookmarkEnd w:id="632"/>
      <w:bookmarkEnd w:id="633"/>
      <w:bookmarkEnd w:id="634"/>
      <w:bookmarkEnd w:id="635"/>
      <w:bookmarkEnd w:id="636"/>
      <w:bookmarkEnd w:id="637"/>
      <w:bookmarkEnd w:id="638"/>
      <w:bookmarkEnd w:id="639"/>
      <w:bookmarkEnd w:id="640"/>
      <w:bookmarkEnd w:id="641"/>
    </w:p>
    <w:p w14:paraId="38B935D1">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20.投标人存在下列情形之一的，</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5C1B2C98">
      <w:pPr>
        <w:pStyle w:val="38"/>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1</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不具备《中华人民共和国政府采购法》第二十二条规定条件</w:t>
      </w:r>
      <w:r>
        <w:rPr>
          <w:rFonts w:hint="eastAsia" w:ascii="宋体" w:hAnsi="宋体" w:eastAsia="宋体" w:cs="宋体"/>
          <w:color w:val="auto"/>
          <w:sz w:val="24"/>
          <w:szCs w:val="24"/>
          <w:highlight w:val="none"/>
          <w:lang w:val="en-US" w:eastAsia="zh-CN"/>
        </w:rPr>
        <w:t>；</w:t>
      </w:r>
    </w:p>
    <w:p w14:paraId="15C939E8">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2</w:t>
      </w:r>
      <w:r>
        <w:rPr>
          <w:rFonts w:hint="eastAsia" w:ascii="宋体" w:hAnsi="宋体" w:eastAsia="宋体" w:cs="宋体"/>
          <w:color w:val="auto"/>
          <w:sz w:val="24"/>
          <w:szCs w:val="24"/>
          <w:highlight w:val="none"/>
        </w:rPr>
        <w:t>投标文件未按招标文件要求签署、盖章的</w:t>
      </w:r>
      <w:r>
        <w:rPr>
          <w:rFonts w:hint="eastAsia" w:ascii="宋体" w:hAnsi="宋体" w:eastAsia="宋体" w:cs="宋体"/>
          <w:color w:val="auto"/>
          <w:sz w:val="24"/>
          <w:szCs w:val="24"/>
          <w:highlight w:val="none"/>
          <w:lang w:val="en-US" w:eastAsia="zh-CN"/>
        </w:rPr>
        <w:t>；</w:t>
      </w:r>
    </w:p>
    <w:p w14:paraId="0A936FC6">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3</w:t>
      </w:r>
      <w:r>
        <w:rPr>
          <w:rFonts w:hint="eastAsia" w:ascii="宋体" w:hAnsi="宋体" w:eastAsia="宋体" w:cs="宋体"/>
          <w:color w:val="auto"/>
          <w:sz w:val="24"/>
          <w:szCs w:val="24"/>
          <w:highlight w:val="none"/>
          <w:lang w:val="en-US" w:eastAsia="zh-CN"/>
        </w:rPr>
        <w:t>不具备招标文件中规定的资格要求的（投标人未提供有效资格文件的，视为投标人不具备招标文件中规定的资格要求）；</w:t>
      </w:r>
    </w:p>
    <w:p w14:paraId="0C68E355">
      <w:pPr>
        <w:pStyle w:val="38"/>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4</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文件提供虚假材料的</w:t>
      </w:r>
      <w:r>
        <w:rPr>
          <w:rFonts w:hint="eastAsia" w:ascii="宋体" w:hAnsi="宋体" w:eastAsia="宋体" w:cs="宋体"/>
          <w:color w:val="auto"/>
          <w:sz w:val="24"/>
          <w:szCs w:val="24"/>
          <w:highlight w:val="none"/>
          <w:lang w:val="en-US" w:eastAsia="zh-CN"/>
        </w:rPr>
        <w:t>；</w:t>
      </w:r>
    </w:p>
    <w:p w14:paraId="3FDAE166">
      <w:pPr>
        <w:pStyle w:val="38"/>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5</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文件不满足</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val="zh-CN" w:eastAsia="zh-CN"/>
        </w:rPr>
        <w:t>文件中标注“★”号的实质性条款（或指标）要求的</w:t>
      </w:r>
      <w:r>
        <w:rPr>
          <w:rFonts w:hint="eastAsia" w:ascii="宋体" w:hAnsi="宋体" w:eastAsia="宋体" w:cs="宋体"/>
          <w:color w:val="auto"/>
          <w:sz w:val="24"/>
          <w:szCs w:val="24"/>
          <w:highlight w:val="none"/>
          <w:lang w:val="en-US" w:eastAsia="zh-CN"/>
        </w:rPr>
        <w:t>；</w:t>
      </w:r>
    </w:p>
    <w:p w14:paraId="2C5FC304">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6</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报价超过招标文件中规定的最高限价或者预算金额的</w:t>
      </w:r>
      <w:r>
        <w:rPr>
          <w:rFonts w:hint="eastAsia" w:ascii="宋体" w:hAnsi="宋体" w:eastAsia="宋体" w:cs="宋体"/>
          <w:color w:val="auto"/>
          <w:sz w:val="24"/>
          <w:szCs w:val="24"/>
          <w:highlight w:val="none"/>
          <w:lang w:val="en-US" w:eastAsia="zh-CN"/>
        </w:rPr>
        <w:t>；</w:t>
      </w:r>
    </w:p>
    <w:p w14:paraId="6FC2A54F">
      <w:pPr>
        <w:pStyle w:val="38"/>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7联合体的投标人未提交各方共同签署的</w:t>
      </w:r>
      <w:r>
        <w:rPr>
          <w:rFonts w:hint="eastAsia" w:ascii="宋体" w:hAnsi="宋体" w:eastAsia="宋体" w:cs="宋体"/>
          <w:color w:val="auto"/>
          <w:sz w:val="24"/>
          <w:szCs w:val="24"/>
          <w:highlight w:val="none"/>
          <w:lang w:val="en-US" w:eastAsia="zh-CN"/>
        </w:rPr>
        <w:t>联合体</w:t>
      </w:r>
      <w:r>
        <w:rPr>
          <w:rFonts w:hint="eastAsia" w:ascii="宋体" w:hAnsi="宋体" w:eastAsia="宋体" w:cs="宋体"/>
          <w:color w:val="auto"/>
          <w:sz w:val="24"/>
          <w:szCs w:val="24"/>
          <w:highlight w:val="none"/>
          <w:lang w:val="zh-CN" w:eastAsia="zh-CN"/>
        </w:rPr>
        <w:t>协议</w:t>
      </w:r>
      <w:r>
        <w:rPr>
          <w:rFonts w:hint="eastAsia" w:ascii="宋体" w:hAnsi="宋体" w:eastAsia="宋体" w:cs="宋体"/>
          <w:color w:val="auto"/>
          <w:sz w:val="24"/>
          <w:szCs w:val="24"/>
          <w:highlight w:val="none"/>
          <w:lang w:val="en-US" w:eastAsia="zh-CN"/>
        </w:rPr>
        <w:t>的；</w:t>
      </w:r>
    </w:p>
    <w:p w14:paraId="4D1E7850">
      <w:pPr>
        <w:pStyle w:val="38"/>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8</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未按</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val="zh-CN" w:eastAsia="zh-CN"/>
        </w:rPr>
        <w:t>文件</w:t>
      </w:r>
      <w:r>
        <w:rPr>
          <w:rFonts w:hint="eastAsia" w:ascii="宋体" w:hAnsi="宋体" w:eastAsia="宋体" w:cs="宋体"/>
          <w:color w:val="auto"/>
          <w:sz w:val="24"/>
          <w:szCs w:val="24"/>
          <w:highlight w:val="none"/>
          <w:lang w:val="en-US" w:eastAsia="zh-CN"/>
        </w:rPr>
        <w:t>的规定</w:t>
      </w:r>
      <w:r>
        <w:rPr>
          <w:rFonts w:hint="eastAsia" w:ascii="宋体" w:hAnsi="宋体" w:eastAsia="宋体" w:cs="宋体"/>
          <w:color w:val="auto"/>
          <w:sz w:val="24"/>
          <w:szCs w:val="24"/>
          <w:highlight w:val="none"/>
          <w:lang w:val="zh-CN" w:eastAsia="zh-CN"/>
        </w:rPr>
        <w:t>交纳投标保证金</w:t>
      </w:r>
      <w:r>
        <w:rPr>
          <w:rFonts w:hint="eastAsia" w:ascii="宋体" w:hAnsi="宋体" w:eastAsia="宋体" w:cs="宋体"/>
          <w:color w:val="auto"/>
          <w:sz w:val="24"/>
          <w:szCs w:val="24"/>
          <w:highlight w:val="none"/>
          <w:lang w:val="en-US" w:eastAsia="zh-CN"/>
        </w:rPr>
        <w:t>的；</w:t>
      </w:r>
    </w:p>
    <w:p w14:paraId="149A35CB">
      <w:pPr>
        <w:pStyle w:val="38"/>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9评审期间,</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没有按评标委员会的要求提交经授权代表签字的澄清、说明、补正或改变了</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文件的实质性内容</w:t>
      </w:r>
      <w:r>
        <w:rPr>
          <w:rFonts w:hint="eastAsia" w:ascii="宋体" w:hAnsi="宋体" w:eastAsia="宋体" w:cs="宋体"/>
          <w:color w:val="auto"/>
          <w:sz w:val="24"/>
          <w:szCs w:val="24"/>
          <w:highlight w:val="none"/>
          <w:lang w:val="en-US" w:eastAsia="zh-CN"/>
        </w:rPr>
        <w:t>的；</w:t>
      </w:r>
    </w:p>
    <w:p w14:paraId="19EFB935">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10</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对采购人、采购代理机构、评标委员会及其工作人员施加影响,有碍公平、公正</w:t>
      </w:r>
      <w:r>
        <w:rPr>
          <w:rFonts w:hint="eastAsia" w:ascii="宋体" w:hAnsi="宋体" w:eastAsia="宋体" w:cs="宋体"/>
          <w:color w:val="auto"/>
          <w:sz w:val="24"/>
          <w:szCs w:val="24"/>
          <w:highlight w:val="none"/>
          <w:lang w:val="en-US" w:eastAsia="zh-CN"/>
        </w:rPr>
        <w:t>的；</w:t>
      </w:r>
    </w:p>
    <w:p w14:paraId="3A6B2386">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20.11投标文件含有采购人不能接受的附加条件的；</w:t>
      </w:r>
    </w:p>
    <w:p w14:paraId="3764E979">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eastAsia="zh-CN"/>
        </w:rPr>
        <w:t>法律、法规、规章规定属于</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无效的其他情形。</w:t>
      </w:r>
    </w:p>
    <w:p w14:paraId="601D7976">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21.有下列情形之一的，视为投标人串通投标，其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0BD50610">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21.1不同投标人的投标文件由同一单位或者个人编制；</w:t>
      </w:r>
    </w:p>
    <w:p w14:paraId="31815558">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21.2不同投标人委托同一单位或者个人办理投标事宜；</w:t>
      </w:r>
    </w:p>
    <w:p w14:paraId="3AD20378">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21.3不同投标人的投标文件载明的项目管理成员或者联系人员为同一人；</w:t>
      </w:r>
    </w:p>
    <w:p w14:paraId="3F168EA2">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21.4不同投标人的投标文件异常一致或者投标报价呈规律性差异；</w:t>
      </w:r>
    </w:p>
    <w:p w14:paraId="634E7939">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21.5不同投标人的投标文件相互混装；</w:t>
      </w:r>
    </w:p>
    <w:p w14:paraId="3B078CE3">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21.6不同投标人的投标保证金从同一单位或者个人的账户转出；</w:t>
      </w:r>
    </w:p>
    <w:p w14:paraId="749F838F">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21.7</w:t>
      </w:r>
      <w:r>
        <w:rPr>
          <w:rFonts w:hint="eastAsia" w:ascii="宋体" w:hAnsi="宋体" w:eastAsia="宋体" w:cs="宋体"/>
          <w:color w:val="auto"/>
          <w:sz w:val="24"/>
          <w:szCs w:val="24"/>
          <w:highlight w:val="none"/>
          <w:lang w:val="zh-CN" w:eastAsia="zh-CN"/>
        </w:rPr>
        <w:t>不同投标人使用同一电脑（机器特征值一致：如MAC地址等）或使用同一电子密钥，编制或上传电子投标文件</w:t>
      </w:r>
      <w:r>
        <w:rPr>
          <w:rFonts w:hint="eastAsia" w:ascii="宋体" w:hAnsi="宋体" w:eastAsia="宋体" w:cs="宋体"/>
          <w:color w:val="auto"/>
          <w:sz w:val="24"/>
          <w:szCs w:val="24"/>
          <w:highlight w:val="none"/>
          <w:lang w:val="en-US" w:eastAsia="zh-CN"/>
        </w:rPr>
        <w:t>；</w:t>
      </w:r>
    </w:p>
    <w:p w14:paraId="2A1BC50E">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21.8法律、法规、规章规定属于投标人串通投标的其他情形</w:t>
      </w:r>
      <w:r>
        <w:rPr>
          <w:rFonts w:hint="eastAsia" w:ascii="宋体" w:hAnsi="宋体" w:eastAsia="宋体" w:cs="宋体"/>
          <w:color w:val="auto"/>
          <w:sz w:val="24"/>
          <w:szCs w:val="24"/>
          <w:highlight w:val="none"/>
          <w:lang w:val="zh-CN" w:eastAsia="zh-CN"/>
        </w:rPr>
        <w:t>。</w:t>
      </w:r>
    </w:p>
    <w:p w14:paraId="737FAF06">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.根据《中华人民共和国政府采购法》第三十六条之规定，在招标采购过程中，出现下列情形之一的，应予</w:t>
      </w:r>
      <w:r>
        <w:rPr>
          <w:rFonts w:hint="eastAsia" w:ascii="宋体" w:hAnsi="宋体" w:eastAsia="宋体" w:cs="宋体"/>
          <w:b/>
          <w:bCs/>
          <w:color w:val="auto"/>
          <w:sz w:val="24"/>
          <w:szCs w:val="24"/>
          <w:highlight w:val="none"/>
        </w:rPr>
        <w:t>废标</w:t>
      </w:r>
      <w:r>
        <w:rPr>
          <w:rFonts w:hint="eastAsia" w:ascii="宋体" w:hAnsi="宋体" w:eastAsia="宋体" w:cs="宋体"/>
          <w:color w:val="auto"/>
          <w:sz w:val="24"/>
          <w:szCs w:val="24"/>
          <w:highlight w:val="none"/>
        </w:rPr>
        <w:t>：</w:t>
      </w:r>
    </w:p>
    <w:p w14:paraId="2C92042A">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.1符合专业条件的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或者对招标文件作实质响应的</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不足3家的；</w:t>
      </w:r>
    </w:p>
    <w:p w14:paraId="34ECD7A2">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.2出现影响采购公正的违法、违规行为的；</w:t>
      </w:r>
    </w:p>
    <w:p w14:paraId="55223AA1">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.3投标人的报价均超过了采购预算，采购人不能支付的；</w:t>
      </w:r>
    </w:p>
    <w:p w14:paraId="7E486B60">
      <w:pPr>
        <w:pStyle w:val="38"/>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.4因重大变故，采购任务取消的</w:t>
      </w:r>
      <w:r>
        <w:rPr>
          <w:rFonts w:hint="eastAsia" w:ascii="宋体" w:hAnsi="宋体" w:eastAsia="宋体" w:cs="宋体"/>
          <w:color w:val="auto"/>
          <w:sz w:val="24"/>
          <w:szCs w:val="24"/>
          <w:highlight w:val="none"/>
          <w:lang w:val="en-US" w:eastAsia="zh-CN"/>
        </w:rPr>
        <w:t>；</w:t>
      </w:r>
    </w:p>
    <w:p w14:paraId="42948BC7">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22.5 </w:t>
      </w:r>
      <w:r>
        <w:rPr>
          <w:rFonts w:hint="eastAsia" w:ascii="宋体" w:hAnsi="宋体" w:eastAsia="宋体" w:cs="宋体"/>
          <w:color w:val="auto"/>
          <w:sz w:val="24"/>
          <w:szCs w:val="24"/>
          <w:highlight w:val="none"/>
        </w:rPr>
        <w:t>法律、法规、规章规定属于</w:t>
      </w:r>
      <w:r>
        <w:rPr>
          <w:rFonts w:hint="eastAsia" w:ascii="宋体" w:hAnsi="宋体" w:eastAsia="宋体" w:cs="宋体"/>
          <w:color w:val="auto"/>
          <w:sz w:val="24"/>
          <w:szCs w:val="24"/>
          <w:highlight w:val="none"/>
          <w:lang w:val="en-US" w:eastAsia="zh-CN"/>
        </w:rPr>
        <w:t>废标</w:t>
      </w:r>
      <w:r>
        <w:rPr>
          <w:rFonts w:hint="eastAsia" w:ascii="宋体" w:hAnsi="宋体" w:eastAsia="宋体" w:cs="宋体"/>
          <w:color w:val="auto"/>
          <w:sz w:val="24"/>
          <w:szCs w:val="24"/>
          <w:highlight w:val="none"/>
        </w:rPr>
        <w:t>的其他情形。</w:t>
      </w:r>
    </w:p>
    <w:p w14:paraId="3EE39131">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23.</w:t>
      </w:r>
      <w:r>
        <w:rPr>
          <w:rFonts w:hint="eastAsia" w:ascii="宋体" w:hAnsi="宋体" w:eastAsia="宋体" w:cs="宋体"/>
          <w:color w:val="auto"/>
          <w:sz w:val="24"/>
          <w:szCs w:val="24"/>
          <w:highlight w:val="none"/>
        </w:rPr>
        <w:t>废标后，采购人应当将废标理由通知所有投标人。</w:t>
      </w:r>
    </w:p>
    <w:p w14:paraId="05AB6DCD">
      <w:pPr>
        <w:pStyle w:val="5"/>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42" w:name="_Toc102057718"/>
      <w:bookmarkStart w:id="643" w:name="_Toc102116152"/>
      <w:bookmarkStart w:id="644" w:name="_Toc102116022"/>
      <w:bookmarkStart w:id="645" w:name="_Toc20186"/>
      <w:bookmarkStart w:id="646" w:name="_Toc102119853"/>
      <w:bookmarkStart w:id="647" w:name="_Toc163492907"/>
      <w:bookmarkStart w:id="648" w:name="_Toc102114920"/>
      <w:bookmarkStart w:id="649" w:name="_Toc155185914"/>
      <w:bookmarkStart w:id="650" w:name="_Toc27130"/>
      <w:bookmarkStart w:id="651" w:name="_Toc102056218"/>
      <w:bookmarkStart w:id="652" w:name="_Toc24945"/>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九</w:t>
      </w:r>
      <w:r>
        <w:rPr>
          <w:rFonts w:hint="eastAsia" w:ascii="宋体" w:hAnsi="宋体" w:eastAsia="宋体" w:cs="宋体"/>
          <w:b/>
          <w:bCs/>
          <w:color w:val="auto"/>
          <w:kern w:val="2"/>
          <w:sz w:val="24"/>
          <w:szCs w:val="24"/>
          <w:highlight w:val="none"/>
          <w:lang w:val="zh-CN" w:eastAsia="zh-CN" w:bidi="ar-SA"/>
        </w:rPr>
        <w:t>）停止评标的情形</w:t>
      </w:r>
      <w:bookmarkEnd w:id="642"/>
      <w:bookmarkEnd w:id="643"/>
      <w:bookmarkEnd w:id="644"/>
      <w:bookmarkEnd w:id="645"/>
      <w:bookmarkEnd w:id="646"/>
      <w:bookmarkEnd w:id="647"/>
      <w:bookmarkEnd w:id="648"/>
      <w:bookmarkEnd w:id="649"/>
      <w:bookmarkEnd w:id="650"/>
      <w:bookmarkEnd w:id="651"/>
      <w:bookmarkEnd w:id="652"/>
    </w:p>
    <w:p w14:paraId="190044DE">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2CDB1955">
      <w:pPr>
        <w:pStyle w:val="5"/>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53" w:name="_Toc28717"/>
      <w:bookmarkStart w:id="654" w:name="_Toc26301"/>
      <w:bookmarkStart w:id="655" w:name="_Toc15371"/>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十</w:t>
      </w:r>
      <w:r>
        <w:rPr>
          <w:rFonts w:hint="eastAsia" w:ascii="宋体" w:hAnsi="宋体" w:eastAsia="宋体" w:cs="宋体"/>
          <w:b/>
          <w:bCs/>
          <w:color w:val="auto"/>
          <w:kern w:val="2"/>
          <w:sz w:val="24"/>
          <w:szCs w:val="24"/>
          <w:highlight w:val="none"/>
          <w:lang w:val="zh-CN" w:eastAsia="zh-CN" w:bidi="ar-SA"/>
        </w:rPr>
        <w:t>）重新开展采购</w:t>
      </w:r>
      <w:bookmarkEnd w:id="653"/>
      <w:bookmarkEnd w:id="654"/>
      <w:bookmarkEnd w:id="655"/>
    </w:p>
    <w:p w14:paraId="461B653A">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第七十一条、第七十二条规定的违法行为之一，影响或者可能影响中标结果的，依照下列规定处理：</w:t>
      </w:r>
    </w:p>
    <w:p w14:paraId="7AA5C7C3">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.1未确定中标</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的，终止本次政府采购活动，重新开展政府采购活动。</w:t>
      </w:r>
    </w:p>
    <w:p w14:paraId="3A794890">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.2已确定中标</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但尚未签订政府采购合同的，中标结果无效，从合格的中标候选人中另行确定中标</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；没有合格的中标候选人的，重新开展政府采购活动。</w:t>
      </w:r>
    </w:p>
    <w:p w14:paraId="595100CC">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.3政府采购合同已签订但尚未履行的，撤销合同，从合格的中标候选人中另行确定中标</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；没有合格的中标候选人的，重新开展政府采购活动。</w:t>
      </w:r>
    </w:p>
    <w:p w14:paraId="45E078B1">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.4政府采购合同已经履行，给采购人、</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造成损失的，由责任人承担赔偿责任。</w:t>
      </w:r>
    </w:p>
    <w:p w14:paraId="43A428E9">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.5政府采购当事人有其他违反</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或者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中华人民共和国政府采购法实施条例</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等法律法规规定的行为，经改正后仍然影响或者可能影响中标结果或者依法被认定为中标无效的，依照</w:t>
      </w: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.4规定处理。</w:t>
      </w:r>
    </w:p>
    <w:bookmarkEnd w:id="591"/>
    <w:bookmarkEnd w:id="592"/>
    <w:bookmarkEnd w:id="593"/>
    <w:bookmarkEnd w:id="594"/>
    <w:bookmarkEnd w:id="595"/>
    <w:bookmarkEnd w:id="596"/>
    <w:bookmarkEnd w:id="597"/>
    <w:bookmarkEnd w:id="598"/>
    <w:bookmarkEnd w:id="599"/>
    <w:bookmarkEnd w:id="600"/>
    <w:p w14:paraId="6AD5E432">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default" w:ascii="宋体" w:hAnsi="宋体" w:eastAsia="宋体" w:cs="宋体"/>
          <w:color w:val="auto"/>
          <w:sz w:val="28"/>
          <w:szCs w:val="28"/>
          <w:highlight w:val="none"/>
          <w:lang w:val="en-US" w:eastAsia="zh-CN"/>
        </w:rPr>
      </w:pPr>
      <w:bookmarkStart w:id="656" w:name="_Toc22404"/>
      <w:r>
        <w:rPr>
          <w:rFonts w:hint="eastAsia" w:ascii="宋体" w:hAnsi="宋体" w:eastAsia="宋体" w:cs="宋体"/>
          <w:color w:val="auto"/>
          <w:sz w:val="28"/>
          <w:szCs w:val="28"/>
          <w:highlight w:val="none"/>
          <w:lang w:val="zh-CN" w:eastAsia="zh-CN"/>
        </w:rPr>
        <w:t>三、评标</w:t>
      </w:r>
      <w:r>
        <w:rPr>
          <w:rFonts w:hint="eastAsia" w:ascii="宋体" w:hAnsi="宋体" w:eastAsia="宋体" w:cs="宋体"/>
          <w:color w:val="auto"/>
          <w:sz w:val="28"/>
          <w:szCs w:val="28"/>
          <w:highlight w:val="none"/>
          <w:lang w:val="en-US" w:eastAsia="zh-CN"/>
        </w:rPr>
        <w:t>其他要求</w:t>
      </w:r>
      <w:bookmarkEnd w:id="656"/>
    </w:p>
    <w:p w14:paraId="555D6B49">
      <w:pPr>
        <w:pStyle w:val="38"/>
        <w:pageBreakBefore w:val="0"/>
        <w:widowControl w:val="0"/>
        <w:kinsoku/>
        <w:overflowPunct/>
        <w:topLinePunct w:val="0"/>
        <w:autoSpaceDE/>
        <w:autoSpaceDN/>
        <w:bidi w:val="0"/>
        <w:adjustRightInd/>
        <w:snapToGrid/>
        <w:textAlignment w:val="auto"/>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可根据项目的情况增加上述内容中未包含的要求</w:t>
      </w:r>
      <w:r>
        <w:rPr>
          <w:rFonts w:hint="eastAsia"/>
          <w:color w:val="auto"/>
          <w:highlight w:val="none"/>
          <w:lang w:eastAsia="zh-CN"/>
        </w:rPr>
        <w:t>】</w:t>
      </w:r>
    </w:p>
    <w:p w14:paraId="32B5EED4">
      <w:pPr>
        <w:pStyle w:val="4"/>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en-US" w:eastAsia="zh-CN"/>
        </w:rPr>
      </w:pPr>
      <w:bookmarkStart w:id="657" w:name="_Toc155185915"/>
    </w:p>
    <w:p w14:paraId="2D5D2532">
      <w:pPr>
        <w:pStyle w:val="4"/>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en-US" w:eastAsia="zh-CN"/>
        </w:rPr>
      </w:pPr>
    </w:p>
    <w:p w14:paraId="42E9B2C3">
      <w:pPr>
        <w:pStyle w:val="4"/>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en-US" w:eastAsia="zh-CN"/>
        </w:rPr>
      </w:pPr>
    </w:p>
    <w:p w14:paraId="0EA4DBB5">
      <w:pPr>
        <w:pStyle w:val="4"/>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en-US" w:eastAsia="zh-CN"/>
        </w:rPr>
      </w:pPr>
    </w:p>
    <w:p w14:paraId="4D3415E5">
      <w:pPr>
        <w:pStyle w:val="4"/>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zh-CN" w:eastAsia="zh-CN"/>
        </w:rPr>
      </w:pPr>
      <w:bookmarkStart w:id="658" w:name="_Toc13784"/>
      <w:r>
        <w:rPr>
          <w:rFonts w:hint="eastAsia" w:ascii="宋体" w:hAnsi="宋体" w:eastAsia="宋体" w:cs="宋体"/>
          <w:color w:val="auto"/>
          <w:sz w:val="28"/>
          <w:szCs w:val="28"/>
          <w:highlight w:val="none"/>
          <w:lang w:val="en-US" w:eastAsia="zh-CN"/>
        </w:rPr>
        <w:t>四</w:t>
      </w:r>
      <w:r>
        <w:rPr>
          <w:rFonts w:hint="eastAsia" w:ascii="宋体" w:hAnsi="宋体" w:eastAsia="宋体" w:cs="宋体"/>
          <w:color w:val="auto"/>
          <w:sz w:val="28"/>
          <w:szCs w:val="28"/>
          <w:highlight w:val="none"/>
          <w:lang w:val="zh-CN" w:eastAsia="zh-CN"/>
        </w:rPr>
        <w:t>、评标标准</w:t>
      </w:r>
      <w:bookmarkEnd w:id="657"/>
      <w:bookmarkEnd w:id="658"/>
    </w:p>
    <w:p w14:paraId="6FC1DEBE">
      <w:pPr>
        <w:pStyle w:val="5"/>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59" w:name="_Toc16256"/>
      <w:bookmarkStart w:id="660" w:name="_Toc12498"/>
      <w:bookmarkStart w:id="661" w:name="_Toc163492909"/>
      <w:bookmarkStart w:id="662" w:name="_Toc1043"/>
      <w:r>
        <w:rPr>
          <w:rFonts w:hint="eastAsia" w:ascii="宋体" w:hAnsi="宋体" w:eastAsia="宋体" w:cs="宋体"/>
          <w:b/>
          <w:bCs/>
          <w:color w:val="auto"/>
          <w:kern w:val="2"/>
          <w:sz w:val="24"/>
          <w:szCs w:val="24"/>
          <w:highlight w:val="none"/>
          <w:lang w:val="zh-CN" w:eastAsia="zh-CN" w:bidi="ar-SA"/>
        </w:rPr>
        <w:t>（一）符合性审查表</w:t>
      </w:r>
      <w:bookmarkEnd w:id="659"/>
      <w:bookmarkEnd w:id="660"/>
      <w:bookmarkEnd w:id="661"/>
      <w:bookmarkEnd w:id="662"/>
    </w:p>
    <w:tbl>
      <w:tblPr>
        <w:tblStyle w:val="31"/>
        <w:tblW w:w="542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06"/>
        <w:gridCol w:w="1302"/>
        <w:gridCol w:w="5483"/>
        <w:gridCol w:w="866"/>
        <w:gridCol w:w="1088"/>
      </w:tblGrid>
      <w:tr w14:paraId="5F3689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jc w:val="center"/>
        </w:trPr>
        <w:tc>
          <w:tcPr>
            <w:tcW w:w="274" w:type="pct"/>
            <w:vMerge w:val="restart"/>
            <w:shd w:val="clear" w:color="auto" w:fill="D8D8D8" w:themeFill="background1" w:themeFillShade="D9"/>
            <w:vAlign w:val="center"/>
          </w:tcPr>
          <w:p w14:paraId="3B00D2BB">
            <w:pPr>
              <w:pStyle w:val="50"/>
              <w:jc w:val="center"/>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序号</w:t>
            </w:r>
          </w:p>
        </w:tc>
        <w:tc>
          <w:tcPr>
            <w:tcW w:w="704" w:type="pct"/>
            <w:vMerge w:val="restart"/>
            <w:shd w:val="clear" w:color="auto" w:fill="D8D8D8" w:themeFill="background1" w:themeFillShade="D9"/>
            <w:vAlign w:val="center"/>
          </w:tcPr>
          <w:p w14:paraId="405F2323">
            <w:pPr>
              <w:pStyle w:val="50"/>
              <w:jc w:val="center"/>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审查项名称</w:t>
            </w:r>
          </w:p>
        </w:tc>
        <w:tc>
          <w:tcPr>
            <w:tcW w:w="2964" w:type="pct"/>
            <w:vMerge w:val="restart"/>
            <w:shd w:val="clear" w:color="auto" w:fill="D8D8D8" w:themeFill="background1" w:themeFillShade="D9"/>
            <w:vAlign w:val="center"/>
          </w:tcPr>
          <w:p w14:paraId="092AF45E">
            <w:pPr>
              <w:pStyle w:val="50"/>
              <w:jc w:val="center"/>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审查内容</w:t>
            </w:r>
          </w:p>
        </w:tc>
        <w:tc>
          <w:tcPr>
            <w:tcW w:w="1056" w:type="pct"/>
            <w:gridSpan w:val="2"/>
            <w:shd w:val="clear" w:color="auto" w:fill="D8D8D8" w:themeFill="background1" w:themeFillShade="D9"/>
            <w:vAlign w:val="center"/>
          </w:tcPr>
          <w:p w14:paraId="0920DBFE">
            <w:pPr>
              <w:pStyle w:val="5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审查结果</w:t>
            </w:r>
          </w:p>
        </w:tc>
      </w:tr>
      <w:tr w14:paraId="45818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jc w:val="center"/>
        </w:trPr>
        <w:tc>
          <w:tcPr>
            <w:tcW w:w="274" w:type="pct"/>
            <w:vMerge w:val="continue"/>
            <w:shd w:val="clear" w:color="auto" w:fill="D8D8D8" w:themeFill="background1" w:themeFillShade="D9"/>
            <w:vAlign w:val="center"/>
          </w:tcPr>
          <w:p w14:paraId="18E4E217">
            <w:pPr>
              <w:pStyle w:val="50"/>
              <w:jc w:val="center"/>
              <w:rPr>
                <w:rFonts w:hint="eastAsia" w:ascii="宋体" w:hAnsi="宋体" w:eastAsia="宋体" w:cs="宋体"/>
                <w:b/>
                <w:bCs/>
                <w:color w:val="auto"/>
                <w:sz w:val="21"/>
                <w:szCs w:val="21"/>
                <w:highlight w:val="none"/>
                <w:lang w:val="zh-CN"/>
              </w:rPr>
            </w:pPr>
          </w:p>
        </w:tc>
        <w:tc>
          <w:tcPr>
            <w:tcW w:w="704" w:type="pct"/>
            <w:vMerge w:val="continue"/>
            <w:shd w:val="clear" w:color="auto" w:fill="D8D8D8" w:themeFill="background1" w:themeFillShade="D9"/>
            <w:vAlign w:val="center"/>
          </w:tcPr>
          <w:p w14:paraId="5B17A001">
            <w:pPr>
              <w:pStyle w:val="50"/>
              <w:jc w:val="center"/>
              <w:rPr>
                <w:rFonts w:hint="eastAsia" w:ascii="宋体" w:hAnsi="宋体" w:eastAsia="宋体" w:cs="宋体"/>
                <w:b/>
                <w:bCs/>
                <w:color w:val="auto"/>
                <w:sz w:val="21"/>
                <w:szCs w:val="21"/>
                <w:highlight w:val="none"/>
                <w:lang w:val="zh-CN"/>
              </w:rPr>
            </w:pPr>
          </w:p>
        </w:tc>
        <w:tc>
          <w:tcPr>
            <w:tcW w:w="2964" w:type="pct"/>
            <w:vMerge w:val="continue"/>
            <w:shd w:val="clear" w:color="auto" w:fill="D8D8D8" w:themeFill="background1" w:themeFillShade="D9"/>
            <w:vAlign w:val="center"/>
          </w:tcPr>
          <w:p w14:paraId="7BFF0FDB">
            <w:pPr>
              <w:pStyle w:val="50"/>
              <w:jc w:val="center"/>
              <w:rPr>
                <w:rFonts w:hint="eastAsia" w:ascii="宋体" w:hAnsi="宋体" w:eastAsia="宋体" w:cs="宋体"/>
                <w:b/>
                <w:bCs/>
                <w:color w:val="auto"/>
                <w:sz w:val="21"/>
                <w:szCs w:val="21"/>
                <w:highlight w:val="none"/>
                <w:lang w:val="zh-CN"/>
              </w:rPr>
            </w:pPr>
          </w:p>
        </w:tc>
        <w:tc>
          <w:tcPr>
            <w:tcW w:w="468" w:type="pct"/>
            <w:shd w:val="clear" w:color="auto" w:fill="D8D8D8" w:themeFill="background1" w:themeFillShade="D9"/>
            <w:vAlign w:val="center"/>
          </w:tcPr>
          <w:p w14:paraId="12A3EBE0">
            <w:pPr>
              <w:pStyle w:val="5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符合</w:t>
            </w:r>
          </w:p>
        </w:tc>
        <w:tc>
          <w:tcPr>
            <w:tcW w:w="588" w:type="pct"/>
            <w:shd w:val="clear" w:color="auto" w:fill="D8D8D8" w:themeFill="background1" w:themeFillShade="D9"/>
            <w:vAlign w:val="center"/>
          </w:tcPr>
          <w:p w14:paraId="4C4D5545">
            <w:pPr>
              <w:pStyle w:val="5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不符合</w:t>
            </w:r>
          </w:p>
        </w:tc>
      </w:tr>
      <w:tr w14:paraId="1FB15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8" w:hRule="atLeast"/>
          <w:jc w:val="center"/>
        </w:trPr>
        <w:tc>
          <w:tcPr>
            <w:tcW w:w="274" w:type="pct"/>
            <w:shd w:val="clear" w:color="auto" w:fill="auto"/>
            <w:vAlign w:val="center"/>
          </w:tcPr>
          <w:p w14:paraId="466501C8">
            <w:pPr>
              <w:pStyle w:val="50"/>
              <w:numPr>
                <w:ilvl w:val="0"/>
                <w:numId w:val="0"/>
              </w:numPr>
              <w:ind w:left="420" w:leftChars="0" w:hanging="420" w:firstLineChars="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kern w:val="2"/>
                <w:sz w:val="21"/>
                <w:szCs w:val="21"/>
                <w:highlight w:val="none"/>
                <w:lang w:val="zh-CN" w:eastAsia="zh-CN" w:bidi="ar-SA"/>
              </w:rPr>
              <w:t>1</w:t>
            </w:r>
          </w:p>
        </w:tc>
        <w:tc>
          <w:tcPr>
            <w:tcW w:w="704" w:type="pct"/>
            <w:vAlign w:val="center"/>
          </w:tcPr>
          <w:p w14:paraId="2A9CA96A">
            <w:pPr>
              <w:pStyle w:val="5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投标文件</w:t>
            </w:r>
            <w:r>
              <w:rPr>
                <w:rFonts w:hint="eastAsia" w:ascii="宋体" w:hAnsi="宋体" w:eastAsia="宋体" w:cs="宋体"/>
                <w:color w:val="auto"/>
                <w:sz w:val="21"/>
                <w:szCs w:val="21"/>
                <w:highlight w:val="none"/>
              </w:rPr>
              <w:t>签署</w:t>
            </w:r>
          </w:p>
        </w:tc>
        <w:tc>
          <w:tcPr>
            <w:tcW w:w="2964" w:type="pct"/>
            <w:shd w:val="clear" w:color="auto" w:fill="auto"/>
            <w:vAlign w:val="center"/>
          </w:tcPr>
          <w:p w14:paraId="3E1812A9">
            <w:pPr>
              <w:pStyle w:val="50"/>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投标文件按招标文件要求签署、盖章的</w:t>
            </w:r>
          </w:p>
        </w:tc>
        <w:tc>
          <w:tcPr>
            <w:tcW w:w="468" w:type="pct"/>
            <w:shd w:val="clear" w:color="auto" w:fill="auto"/>
            <w:vAlign w:val="center"/>
          </w:tcPr>
          <w:p w14:paraId="20BAC19E">
            <w:pPr>
              <w:pStyle w:val="50"/>
              <w:rPr>
                <w:rFonts w:hint="eastAsia" w:ascii="宋体" w:hAnsi="宋体" w:eastAsia="宋体" w:cs="宋体"/>
                <w:color w:val="auto"/>
                <w:sz w:val="21"/>
                <w:szCs w:val="21"/>
                <w:highlight w:val="none"/>
                <w:lang w:val="zh-CN"/>
              </w:rPr>
            </w:pPr>
          </w:p>
        </w:tc>
        <w:tc>
          <w:tcPr>
            <w:tcW w:w="588" w:type="pct"/>
            <w:shd w:val="clear" w:color="auto" w:fill="auto"/>
            <w:vAlign w:val="center"/>
          </w:tcPr>
          <w:p w14:paraId="7E04A0F5">
            <w:pPr>
              <w:pStyle w:val="50"/>
              <w:rPr>
                <w:rFonts w:hint="eastAsia" w:ascii="宋体" w:hAnsi="宋体" w:eastAsia="宋体" w:cs="宋体"/>
                <w:color w:val="auto"/>
                <w:sz w:val="21"/>
                <w:szCs w:val="21"/>
                <w:highlight w:val="none"/>
                <w:lang w:val="zh-CN"/>
              </w:rPr>
            </w:pPr>
          </w:p>
        </w:tc>
      </w:tr>
      <w:tr w14:paraId="6BB86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jc w:val="center"/>
        </w:trPr>
        <w:tc>
          <w:tcPr>
            <w:tcW w:w="274" w:type="pct"/>
            <w:shd w:val="clear" w:color="auto" w:fill="auto"/>
            <w:vAlign w:val="center"/>
          </w:tcPr>
          <w:p w14:paraId="70154C2F">
            <w:pPr>
              <w:pStyle w:val="50"/>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2</w:t>
            </w:r>
          </w:p>
        </w:tc>
        <w:tc>
          <w:tcPr>
            <w:tcW w:w="704" w:type="pct"/>
            <w:shd w:val="clear" w:color="auto" w:fill="auto"/>
            <w:vAlign w:val="center"/>
          </w:tcPr>
          <w:p w14:paraId="1B390AF0">
            <w:pPr>
              <w:pStyle w:val="50"/>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zh-CN"/>
              </w:rPr>
              <w:t>实质性要求</w:t>
            </w:r>
          </w:p>
        </w:tc>
        <w:tc>
          <w:tcPr>
            <w:tcW w:w="2964" w:type="pct"/>
            <w:shd w:val="clear" w:color="auto" w:fill="auto"/>
            <w:vAlign w:val="center"/>
          </w:tcPr>
          <w:p w14:paraId="6D95F485">
            <w:pPr>
              <w:pStyle w:val="50"/>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文件满足</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lang w:val="zh-CN" w:eastAsia="zh-CN"/>
              </w:rPr>
              <w:t>文件中标注“★”号的实质性条款（或指标）要求的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具体详见</w:t>
            </w:r>
            <w:r>
              <w:rPr>
                <w:rFonts w:hint="eastAsia" w:ascii="宋体" w:hAnsi="宋体" w:eastAsia="宋体" w:cs="宋体"/>
                <w:color w:val="auto"/>
                <w:sz w:val="21"/>
                <w:szCs w:val="21"/>
                <w:highlight w:val="none"/>
                <w:lang w:val="zh-CN"/>
              </w:rPr>
              <w:t>“实质性响应一览表”</w:t>
            </w:r>
          </w:p>
        </w:tc>
        <w:tc>
          <w:tcPr>
            <w:tcW w:w="468" w:type="pct"/>
            <w:shd w:val="clear" w:color="auto" w:fill="auto"/>
            <w:vAlign w:val="center"/>
          </w:tcPr>
          <w:p w14:paraId="4C63B966">
            <w:pPr>
              <w:pStyle w:val="50"/>
              <w:rPr>
                <w:rFonts w:hint="eastAsia" w:ascii="宋体" w:hAnsi="宋体" w:eastAsia="宋体" w:cs="宋体"/>
                <w:color w:val="auto"/>
                <w:sz w:val="21"/>
                <w:szCs w:val="21"/>
                <w:highlight w:val="none"/>
                <w:lang w:val="zh-CN"/>
              </w:rPr>
            </w:pPr>
          </w:p>
        </w:tc>
        <w:tc>
          <w:tcPr>
            <w:tcW w:w="588" w:type="pct"/>
            <w:shd w:val="clear" w:color="auto" w:fill="auto"/>
            <w:vAlign w:val="center"/>
          </w:tcPr>
          <w:p w14:paraId="5A615EFE">
            <w:pPr>
              <w:pStyle w:val="50"/>
              <w:rPr>
                <w:rFonts w:hint="eastAsia" w:ascii="宋体" w:hAnsi="宋体" w:eastAsia="宋体" w:cs="宋体"/>
                <w:color w:val="auto"/>
                <w:sz w:val="21"/>
                <w:szCs w:val="21"/>
                <w:highlight w:val="none"/>
                <w:lang w:val="zh-CN"/>
              </w:rPr>
            </w:pPr>
          </w:p>
        </w:tc>
      </w:tr>
      <w:tr w14:paraId="591B9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74" w:type="pct"/>
            <w:shd w:val="clear" w:color="auto" w:fill="auto"/>
            <w:vAlign w:val="center"/>
          </w:tcPr>
          <w:p w14:paraId="48860C47">
            <w:pPr>
              <w:pStyle w:val="50"/>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3</w:t>
            </w:r>
          </w:p>
        </w:tc>
        <w:tc>
          <w:tcPr>
            <w:tcW w:w="704" w:type="pct"/>
            <w:vAlign w:val="center"/>
          </w:tcPr>
          <w:p w14:paraId="31EA832C">
            <w:pPr>
              <w:pStyle w:val="5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投标报价</w:t>
            </w:r>
          </w:p>
        </w:tc>
        <w:tc>
          <w:tcPr>
            <w:tcW w:w="2964" w:type="pct"/>
            <w:shd w:val="clear" w:color="auto" w:fill="auto"/>
            <w:vAlign w:val="center"/>
          </w:tcPr>
          <w:p w14:paraId="02D97709">
            <w:pPr>
              <w:pStyle w:val="5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投标人报价未超过招标文件中规定的</w:t>
            </w:r>
            <w:r>
              <w:rPr>
                <w:rFonts w:hint="eastAsia" w:ascii="宋体" w:hAnsi="宋体" w:eastAsia="宋体" w:cs="宋体"/>
                <w:color w:val="auto"/>
                <w:sz w:val="21"/>
                <w:szCs w:val="21"/>
                <w:highlight w:val="none"/>
                <w:lang w:val="en-US" w:eastAsia="zh-CN"/>
              </w:rPr>
              <w:t>最高限价或者预算金额</w:t>
            </w:r>
            <w:r>
              <w:rPr>
                <w:rFonts w:hint="eastAsia" w:ascii="宋体" w:hAnsi="宋体" w:eastAsia="宋体" w:cs="宋体"/>
                <w:color w:val="auto"/>
                <w:kern w:val="2"/>
                <w:sz w:val="21"/>
                <w:szCs w:val="21"/>
                <w:highlight w:val="none"/>
                <w:lang w:val="en-US" w:eastAsia="zh-CN" w:bidi="ar-SA"/>
              </w:rPr>
              <w:t>的</w:t>
            </w:r>
          </w:p>
        </w:tc>
        <w:tc>
          <w:tcPr>
            <w:tcW w:w="468" w:type="pct"/>
            <w:shd w:val="clear" w:color="auto" w:fill="auto"/>
            <w:vAlign w:val="center"/>
          </w:tcPr>
          <w:p w14:paraId="18835E98">
            <w:pPr>
              <w:pStyle w:val="50"/>
              <w:rPr>
                <w:rFonts w:hint="eastAsia" w:ascii="宋体" w:hAnsi="宋体" w:eastAsia="宋体" w:cs="宋体"/>
                <w:color w:val="auto"/>
                <w:sz w:val="21"/>
                <w:szCs w:val="21"/>
                <w:highlight w:val="none"/>
                <w:lang w:val="zh-CN"/>
              </w:rPr>
            </w:pPr>
          </w:p>
        </w:tc>
        <w:tc>
          <w:tcPr>
            <w:tcW w:w="588" w:type="pct"/>
            <w:shd w:val="clear" w:color="auto" w:fill="auto"/>
            <w:vAlign w:val="center"/>
          </w:tcPr>
          <w:p w14:paraId="32826E79">
            <w:pPr>
              <w:pStyle w:val="50"/>
              <w:rPr>
                <w:rFonts w:hint="eastAsia" w:ascii="宋体" w:hAnsi="宋体" w:eastAsia="宋体" w:cs="宋体"/>
                <w:color w:val="auto"/>
                <w:sz w:val="21"/>
                <w:szCs w:val="21"/>
                <w:highlight w:val="none"/>
                <w:lang w:val="zh-CN"/>
              </w:rPr>
            </w:pPr>
          </w:p>
        </w:tc>
      </w:tr>
      <w:tr w14:paraId="7C777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4" w:hRule="atLeast"/>
          <w:jc w:val="center"/>
        </w:trPr>
        <w:tc>
          <w:tcPr>
            <w:tcW w:w="274" w:type="pct"/>
            <w:shd w:val="clear" w:color="auto" w:fill="auto"/>
            <w:vAlign w:val="center"/>
          </w:tcPr>
          <w:p w14:paraId="0D25BA5B">
            <w:pPr>
              <w:pStyle w:val="50"/>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4</w:t>
            </w:r>
          </w:p>
        </w:tc>
        <w:tc>
          <w:tcPr>
            <w:tcW w:w="704" w:type="pct"/>
            <w:vAlign w:val="center"/>
          </w:tcPr>
          <w:p w14:paraId="6B53D7DD">
            <w:pPr>
              <w:pStyle w:val="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虚假材料</w:t>
            </w:r>
          </w:p>
        </w:tc>
        <w:tc>
          <w:tcPr>
            <w:tcW w:w="2964" w:type="pct"/>
            <w:shd w:val="clear" w:color="auto" w:fill="auto"/>
            <w:vAlign w:val="center"/>
          </w:tcPr>
          <w:p w14:paraId="3C241A91">
            <w:pPr>
              <w:pStyle w:val="50"/>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文件</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lang w:val="zh-CN" w:eastAsia="zh-CN"/>
              </w:rPr>
              <w:t>提供虚假材料的</w:t>
            </w:r>
          </w:p>
        </w:tc>
        <w:tc>
          <w:tcPr>
            <w:tcW w:w="468" w:type="pct"/>
            <w:shd w:val="clear" w:color="auto" w:fill="auto"/>
            <w:vAlign w:val="center"/>
          </w:tcPr>
          <w:p w14:paraId="4B513014">
            <w:pPr>
              <w:pStyle w:val="50"/>
              <w:rPr>
                <w:rFonts w:hint="eastAsia" w:ascii="宋体" w:hAnsi="宋体" w:eastAsia="宋体" w:cs="宋体"/>
                <w:color w:val="auto"/>
                <w:sz w:val="21"/>
                <w:szCs w:val="21"/>
                <w:highlight w:val="none"/>
                <w:lang w:val="zh-CN"/>
              </w:rPr>
            </w:pPr>
          </w:p>
        </w:tc>
        <w:tc>
          <w:tcPr>
            <w:tcW w:w="588" w:type="pct"/>
            <w:shd w:val="clear" w:color="auto" w:fill="auto"/>
            <w:vAlign w:val="center"/>
          </w:tcPr>
          <w:p w14:paraId="48AFA180">
            <w:pPr>
              <w:pStyle w:val="50"/>
              <w:rPr>
                <w:rFonts w:hint="eastAsia" w:ascii="宋体" w:hAnsi="宋体" w:eastAsia="宋体" w:cs="宋体"/>
                <w:color w:val="auto"/>
                <w:sz w:val="21"/>
                <w:szCs w:val="21"/>
                <w:highlight w:val="none"/>
                <w:lang w:val="zh-CN"/>
              </w:rPr>
            </w:pPr>
          </w:p>
        </w:tc>
      </w:tr>
      <w:tr w14:paraId="30B89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jc w:val="center"/>
        </w:trPr>
        <w:tc>
          <w:tcPr>
            <w:tcW w:w="274" w:type="pct"/>
            <w:shd w:val="clear" w:color="auto" w:fill="auto"/>
            <w:vAlign w:val="center"/>
          </w:tcPr>
          <w:p w14:paraId="6C002E13">
            <w:pPr>
              <w:pStyle w:val="50"/>
              <w:numPr>
                <w:ilvl w:val="0"/>
                <w:numId w:val="0"/>
              </w:numPr>
              <w:ind w:left="0" w:leftChars="0" w:firstLine="0" w:firstLineChars="0"/>
              <w:jc w:val="center"/>
              <w:rPr>
                <w:rFonts w:hint="default"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5</w:t>
            </w:r>
          </w:p>
        </w:tc>
        <w:tc>
          <w:tcPr>
            <w:tcW w:w="704" w:type="pct"/>
            <w:vAlign w:val="center"/>
          </w:tcPr>
          <w:p w14:paraId="5C91A4A7">
            <w:pPr>
              <w:pStyle w:val="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投标文件的澄清、说明、补正</w:t>
            </w:r>
          </w:p>
        </w:tc>
        <w:tc>
          <w:tcPr>
            <w:tcW w:w="2964" w:type="pct"/>
            <w:shd w:val="clear" w:color="auto" w:fill="auto"/>
            <w:vAlign w:val="center"/>
          </w:tcPr>
          <w:p w14:paraId="3E6052BB">
            <w:pPr>
              <w:pStyle w:val="50"/>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zh-CN" w:eastAsia="zh-CN"/>
              </w:rPr>
              <w:t>评审期间,</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lang w:val="zh-CN" w:eastAsia="zh-CN"/>
              </w:rPr>
              <w:t>按评标委员会的要求提交经授权代表签字的澄清、说明、补正或</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lang w:val="zh-CN" w:eastAsia="zh-CN"/>
              </w:rPr>
              <w:t>改变</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文件的实质性内容</w:t>
            </w:r>
          </w:p>
        </w:tc>
        <w:tc>
          <w:tcPr>
            <w:tcW w:w="468" w:type="pct"/>
            <w:shd w:val="clear" w:color="auto" w:fill="auto"/>
            <w:vAlign w:val="center"/>
          </w:tcPr>
          <w:p w14:paraId="1EA81190">
            <w:pPr>
              <w:pStyle w:val="50"/>
              <w:rPr>
                <w:rFonts w:hint="eastAsia" w:ascii="宋体" w:hAnsi="宋体" w:eastAsia="宋体" w:cs="宋体"/>
                <w:color w:val="auto"/>
                <w:sz w:val="21"/>
                <w:szCs w:val="21"/>
                <w:highlight w:val="none"/>
                <w:lang w:val="zh-CN"/>
              </w:rPr>
            </w:pPr>
          </w:p>
        </w:tc>
        <w:tc>
          <w:tcPr>
            <w:tcW w:w="588" w:type="pct"/>
            <w:shd w:val="clear" w:color="auto" w:fill="auto"/>
            <w:vAlign w:val="center"/>
          </w:tcPr>
          <w:p w14:paraId="2394B23D">
            <w:pPr>
              <w:pStyle w:val="50"/>
              <w:rPr>
                <w:rFonts w:hint="eastAsia" w:ascii="宋体" w:hAnsi="宋体" w:eastAsia="宋体" w:cs="宋体"/>
                <w:color w:val="auto"/>
                <w:sz w:val="21"/>
                <w:szCs w:val="21"/>
                <w:highlight w:val="none"/>
                <w:lang w:val="zh-CN"/>
              </w:rPr>
            </w:pPr>
          </w:p>
        </w:tc>
      </w:tr>
      <w:tr w14:paraId="6D40C3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jc w:val="center"/>
        </w:trPr>
        <w:tc>
          <w:tcPr>
            <w:tcW w:w="274" w:type="pct"/>
            <w:shd w:val="clear" w:color="auto" w:fill="auto"/>
            <w:vAlign w:val="center"/>
          </w:tcPr>
          <w:p w14:paraId="09617D9C">
            <w:pPr>
              <w:pStyle w:val="50"/>
              <w:numPr>
                <w:ilvl w:val="0"/>
                <w:numId w:val="0"/>
              </w:numPr>
              <w:ind w:left="420" w:leftChars="0" w:hanging="420" w:firstLineChars="0"/>
              <w:jc w:val="center"/>
              <w:rPr>
                <w:rFonts w:hint="default"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6</w:t>
            </w:r>
          </w:p>
        </w:tc>
        <w:tc>
          <w:tcPr>
            <w:tcW w:w="704" w:type="pct"/>
            <w:vAlign w:val="center"/>
          </w:tcPr>
          <w:p w14:paraId="2016E93A">
            <w:pPr>
              <w:pStyle w:val="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投标人影响评标</w:t>
            </w:r>
          </w:p>
        </w:tc>
        <w:tc>
          <w:tcPr>
            <w:tcW w:w="2964" w:type="pct"/>
            <w:shd w:val="clear" w:color="auto" w:fill="auto"/>
            <w:vAlign w:val="center"/>
          </w:tcPr>
          <w:p w14:paraId="50B76BB4">
            <w:pPr>
              <w:pStyle w:val="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lang w:val="zh-CN" w:eastAsia="zh-CN"/>
              </w:rPr>
              <w:t>对采购人、采购代理机构、评标委员会及其工作人员</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lang w:val="zh-CN" w:eastAsia="zh-CN"/>
              </w:rPr>
              <w:t>施加影响,</w:t>
            </w:r>
            <w:r>
              <w:rPr>
                <w:rFonts w:hint="eastAsia" w:ascii="宋体" w:hAnsi="宋体" w:eastAsia="宋体" w:cs="宋体"/>
                <w:color w:val="auto"/>
                <w:sz w:val="21"/>
                <w:szCs w:val="21"/>
                <w:highlight w:val="none"/>
                <w:lang w:val="en-US" w:eastAsia="zh-CN"/>
              </w:rPr>
              <w:t>无</w:t>
            </w:r>
            <w:r>
              <w:rPr>
                <w:rFonts w:hint="eastAsia" w:ascii="宋体" w:hAnsi="宋体" w:eastAsia="宋体" w:cs="宋体"/>
                <w:color w:val="auto"/>
                <w:sz w:val="21"/>
                <w:szCs w:val="21"/>
                <w:highlight w:val="none"/>
                <w:lang w:val="zh-CN" w:eastAsia="zh-CN"/>
              </w:rPr>
              <w:t>有碍公平、公正</w:t>
            </w:r>
            <w:r>
              <w:rPr>
                <w:rFonts w:hint="eastAsia" w:ascii="宋体" w:hAnsi="宋体" w:eastAsia="宋体" w:cs="宋体"/>
                <w:color w:val="auto"/>
                <w:sz w:val="21"/>
                <w:szCs w:val="21"/>
                <w:highlight w:val="none"/>
                <w:lang w:val="en-US" w:eastAsia="zh-CN"/>
              </w:rPr>
              <w:t>的</w:t>
            </w:r>
          </w:p>
        </w:tc>
        <w:tc>
          <w:tcPr>
            <w:tcW w:w="468" w:type="pct"/>
            <w:shd w:val="clear" w:color="auto" w:fill="auto"/>
            <w:vAlign w:val="center"/>
          </w:tcPr>
          <w:p w14:paraId="75DB24A7">
            <w:pPr>
              <w:pStyle w:val="50"/>
              <w:rPr>
                <w:rFonts w:hint="eastAsia" w:ascii="宋体" w:hAnsi="宋体" w:eastAsia="宋体" w:cs="宋体"/>
                <w:color w:val="auto"/>
                <w:sz w:val="21"/>
                <w:szCs w:val="21"/>
                <w:highlight w:val="none"/>
                <w:lang w:val="zh-CN"/>
              </w:rPr>
            </w:pPr>
          </w:p>
        </w:tc>
        <w:tc>
          <w:tcPr>
            <w:tcW w:w="588" w:type="pct"/>
            <w:shd w:val="clear" w:color="auto" w:fill="auto"/>
            <w:vAlign w:val="center"/>
          </w:tcPr>
          <w:p w14:paraId="7D6DA84C">
            <w:pPr>
              <w:pStyle w:val="50"/>
              <w:rPr>
                <w:rFonts w:hint="eastAsia" w:ascii="宋体" w:hAnsi="宋体" w:eastAsia="宋体" w:cs="宋体"/>
                <w:color w:val="auto"/>
                <w:sz w:val="21"/>
                <w:szCs w:val="21"/>
                <w:highlight w:val="none"/>
                <w:lang w:val="zh-CN"/>
              </w:rPr>
            </w:pPr>
          </w:p>
        </w:tc>
      </w:tr>
      <w:tr w14:paraId="67196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jc w:val="center"/>
        </w:trPr>
        <w:tc>
          <w:tcPr>
            <w:tcW w:w="274" w:type="pct"/>
            <w:shd w:val="clear" w:color="auto" w:fill="auto"/>
            <w:vAlign w:val="center"/>
          </w:tcPr>
          <w:p w14:paraId="06D38870">
            <w:pPr>
              <w:pStyle w:val="50"/>
              <w:numPr>
                <w:ilvl w:val="0"/>
                <w:numId w:val="0"/>
              </w:numPr>
              <w:ind w:left="420" w:leftChars="0" w:hanging="420" w:firstLineChars="0"/>
              <w:jc w:val="center"/>
              <w:rPr>
                <w:rFonts w:hint="default"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7</w:t>
            </w:r>
          </w:p>
        </w:tc>
        <w:tc>
          <w:tcPr>
            <w:tcW w:w="704" w:type="pct"/>
            <w:vAlign w:val="center"/>
          </w:tcPr>
          <w:p w14:paraId="32AEC3D4">
            <w:pPr>
              <w:pStyle w:val="5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围标串标情形</w:t>
            </w:r>
          </w:p>
        </w:tc>
        <w:tc>
          <w:tcPr>
            <w:tcW w:w="2964" w:type="pct"/>
            <w:shd w:val="clear" w:color="auto" w:fill="auto"/>
            <w:vAlign w:val="center"/>
          </w:tcPr>
          <w:p w14:paraId="68DBD364">
            <w:pPr>
              <w:pStyle w:val="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没有</w:t>
            </w:r>
            <w:r>
              <w:rPr>
                <w:rFonts w:hint="eastAsia" w:ascii="宋体" w:hAnsi="宋体" w:eastAsia="宋体" w:cs="宋体"/>
                <w:color w:val="auto"/>
                <w:sz w:val="21"/>
                <w:szCs w:val="21"/>
                <w:highlight w:val="none"/>
                <w:lang w:val="zh-CN" w:eastAsia="zh-CN"/>
              </w:rPr>
              <w:t>“第五章 评标方法及标准”</w:t>
            </w:r>
            <w:r>
              <w:rPr>
                <w:rFonts w:hint="eastAsia" w:ascii="宋体" w:hAnsi="宋体" w:eastAsia="宋体" w:cs="宋体"/>
                <w:color w:val="auto"/>
                <w:sz w:val="21"/>
                <w:szCs w:val="21"/>
                <w:highlight w:val="none"/>
                <w:lang w:val="en-US" w:eastAsia="zh-CN"/>
              </w:rPr>
              <w:t>第20条情形之一的</w:t>
            </w:r>
          </w:p>
        </w:tc>
        <w:tc>
          <w:tcPr>
            <w:tcW w:w="468" w:type="pct"/>
            <w:shd w:val="clear" w:color="auto" w:fill="auto"/>
            <w:vAlign w:val="center"/>
          </w:tcPr>
          <w:p w14:paraId="5A26F512">
            <w:pPr>
              <w:pStyle w:val="50"/>
              <w:rPr>
                <w:rFonts w:hint="eastAsia" w:ascii="宋体" w:hAnsi="宋体" w:eastAsia="宋体" w:cs="宋体"/>
                <w:color w:val="auto"/>
                <w:sz w:val="21"/>
                <w:szCs w:val="21"/>
                <w:highlight w:val="none"/>
                <w:lang w:val="zh-CN"/>
              </w:rPr>
            </w:pPr>
          </w:p>
        </w:tc>
        <w:tc>
          <w:tcPr>
            <w:tcW w:w="588" w:type="pct"/>
            <w:shd w:val="clear" w:color="auto" w:fill="auto"/>
            <w:vAlign w:val="center"/>
          </w:tcPr>
          <w:p w14:paraId="06C24958">
            <w:pPr>
              <w:pStyle w:val="50"/>
              <w:rPr>
                <w:rFonts w:hint="eastAsia" w:ascii="宋体" w:hAnsi="宋体" w:eastAsia="宋体" w:cs="宋体"/>
                <w:color w:val="auto"/>
                <w:sz w:val="21"/>
                <w:szCs w:val="21"/>
                <w:highlight w:val="none"/>
                <w:lang w:val="zh-CN"/>
              </w:rPr>
            </w:pPr>
          </w:p>
        </w:tc>
      </w:tr>
      <w:tr w14:paraId="68694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jc w:val="center"/>
        </w:trPr>
        <w:tc>
          <w:tcPr>
            <w:tcW w:w="274" w:type="pct"/>
            <w:shd w:val="clear" w:color="auto" w:fill="auto"/>
            <w:vAlign w:val="center"/>
          </w:tcPr>
          <w:p w14:paraId="26A753E2">
            <w:pPr>
              <w:pStyle w:val="50"/>
              <w:numPr>
                <w:ilvl w:val="0"/>
                <w:numId w:val="0"/>
              </w:numPr>
              <w:ind w:left="420" w:leftChars="0" w:hanging="420" w:firstLineChars="0"/>
              <w:jc w:val="center"/>
              <w:rPr>
                <w:rFonts w:hint="default"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8</w:t>
            </w:r>
          </w:p>
        </w:tc>
        <w:tc>
          <w:tcPr>
            <w:tcW w:w="704" w:type="pct"/>
            <w:vAlign w:val="center"/>
          </w:tcPr>
          <w:p w14:paraId="07717DBF">
            <w:pPr>
              <w:pStyle w:val="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附加条件</w:t>
            </w:r>
          </w:p>
        </w:tc>
        <w:tc>
          <w:tcPr>
            <w:tcW w:w="2964" w:type="pct"/>
            <w:shd w:val="clear" w:color="auto" w:fill="auto"/>
            <w:vAlign w:val="center"/>
          </w:tcPr>
          <w:p w14:paraId="2E1D2E2E">
            <w:pPr>
              <w:pStyle w:val="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投标文件没有采购人不能接受的附加条件的</w:t>
            </w:r>
          </w:p>
        </w:tc>
        <w:tc>
          <w:tcPr>
            <w:tcW w:w="468" w:type="pct"/>
            <w:shd w:val="clear" w:color="auto" w:fill="auto"/>
            <w:vAlign w:val="center"/>
          </w:tcPr>
          <w:p w14:paraId="676AD5A0">
            <w:pPr>
              <w:pStyle w:val="50"/>
              <w:rPr>
                <w:rFonts w:hint="eastAsia" w:ascii="宋体" w:hAnsi="宋体" w:eastAsia="宋体" w:cs="宋体"/>
                <w:color w:val="auto"/>
                <w:sz w:val="21"/>
                <w:szCs w:val="21"/>
                <w:highlight w:val="none"/>
                <w:lang w:val="zh-CN"/>
              </w:rPr>
            </w:pPr>
          </w:p>
        </w:tc>
        <w:tc>
          <w:tcPr>
            <w:tcW w:w="588" w:type="pct"/>
            <w:shd w:val="clear" w:color="auto" w:fill="auto"/>
            <w:vAlign w:val="center"/>
          </w:tcPr>
          <w:p w14:paraId="3582F5AB">
            <w:pPr>
              <w:pStyle w:val="50"/>
              <w:rPr>
                <w:rFonts w:hint="eastAsia" w:ascii="宋体" w:hAnsi="宋体" w:eastAsia="宋体" w:cs="宋体"/>
                <w:color w:val="auto"/>
                <w:sz w:val="21"/>
                <w:szCs w:val="21"/>
                <w:highlight w:val="none"/>
                <w:lang w:val="zh-CN"/>
              </w:rPr>
            </w:pPr>
          </w:p>
        </w:tc>
      </w:tr>
      <w:tr w14:paraId="56775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jc w:val="center"/>
        </w:trPr>
        <w:tc>
          <w:tcPr>
            <w:tcW w:w="274" w:type="pct"/>
            <w:shd w:val="clear" w:color="auto" w:fill="auto"/>
            <w:vAlign w:val="center"/>
          </w:tcPr>
          <w:p w14:paraId="3CD6AABE">
            <w:pPr>
              <w:pStyle w:val="50"/>
              <w:numPr>
                <w:ilvl w:val="0"/>
                <w:numId w:val="0"/>
              </w:numPr>
              <w:ind w:left="420" w:leftChars="0" w:hanging="420" w:firstLineChars="0"/>
              <w:jc w:val="center"/>
              <w:rPr>
                <w:rFonts w:hint="default"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9</w:t>
            </w:r>
          </w:p>
        </w:tc>
        <w:tc>
          <w:tcPr>
            <w:tcW w:w="704" w:type="pct"/>
            <w:vAlign w:val="center"/>
          </w:tcPr>
          <w:p w14:paraId="40726A5F">
            <w:pPr>
              <w:pStyle w:val="5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其他无效情形</w:t>
            </w:r>
          </w:p>
        </w:tc>
        <w:tc>
          <w:tcPr>
            <w:tcW w:w="2964" w:type="pct"/>
            <w:shd w:val="clear" w:color="auto" w:fill="auto"/>
            <w:vAlign w:val="center"/>
          </w:tcPr>
          <w:p w14:paraId="05CC0303">
            <w:pPr>
              <w:pStyle w:val="5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没有</w:t>
            </w:r>
            <w:r>
              <w:rPr>
                <w:rFonts w:hint="eastAsia" w:ascii="宋体" w:hAnsi="宋体" w:eastAsia="宋体" w:cs="宋体"/>
                <w:color w:val="auto"/>
                <w:sz w:val="21"/>
                <w:szCs w:val="21"/>
                <w:highlight w:val="none"/>
                <w:lang w:val="zh-CN" w:eastAsia="zh-CN"/>
              </w:rPr>
              <w:t>法律、法规、规章规定属于</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无效的其他情形。</w:t>
            </w:r>
          </w:p>
        </w:tc>
        <w:tc>
          <w:tcPr>
            <w:tcW w:w="468" w:type="pct"/>
            <w:shd w:val="clear" w:color="auto" w:fill="auto"/>
            <w:vAlign w:val="center"/>
          </w:tcPr>
          <w:p w14:paraId="3A44DE13">
            <w:pPr>
              <w:pStyle w:val="50"/>
              <w:rPr>
                <w:rFonts w:hint="eastAsia" w:ascii="宋体" w:hAnsi="宋体" w:eastAsia="宋体" w:cs="宋体"/>
                <w:color w:val="auto"/>
                <w:sz w:val="21"/>
                <w:szCs w:val="21"/>
                <w:highlight w:val="none"/>
                <w:lang w:val="zh-CN"/>
              </w:rPr>
            </w:pPr>
          </w:p>
        </w:tc>
        <w:tc>
          <w:tcPr>
            <w:tcW w:w="588" w:type="pct"/>
            <w:shd w:val="clear" w:color="auto" w:fill="auto"/>
            <w:vAlign w:val="center"/>
          </w:tcPr>
          <w:p w14:paraId="5D1C94D8">
            <w:pPr>
              <w:pStyle w:val="50"/>
              <w:rPr>
                <w:rFonts w:hint="eastAsia" w:ascii="宋体" w:hAnsi="宋体" w:eastAsia="宋体" w:cs="宋体"/>
                <w:color w:val="auto"/>
                <w:sz w:val="21"/>
                <w:szCs w:val="21"/>
                <w:highlight w:val="none"/>
                <w:lang w:val="zh-CN"/>
              </w:rPr>
            </w:pPr>
          </w:p>
        </w:tc>
      </w:tr>
    </w:tbl>
    <w:p w14:paraId="2FB39DBD">
      <w:pPr>
        <w:pStyle w:val="5"/>
        <w:keepNext/>
        <w:keepLines/>
        <w:pageBreakBefore w:val="0"/>
        <w:widowControl w:val="0"/>
        <w:numPr>
          <w:ilvl w:val="0"/>
          <w:numId w:val="0"/>
        </w:numPr>
        <w:kinsoku/>
        <w:wordWrap/>
        <w:overflowPunct/>
        <w:topLinePunct w:val="0"/>
        <w:autoSpaceDE/>
        <w:autoSpaceDN/>
        <w:bidi w:val="0"/>
        <w:adjustRightInd/>
        <w:snapToGrid/>
        <w:spacing w:before="80" w:after="80" w:line="240" w:lineRule="auto"/>
        <w:jc w:val="both"/>
        <w:textAlignment w:val="auto"/>
        <w:rPr>
          <w:rFonts w:hint="eastAsia" w:ascii="宋体" w:hAnsi="宋体" w:eastAsia="宋体" w:cstheme="minorBidi"/>
          <w:b/>
          <w:bCs/>
          <w:color w:val="auto"/>
          <w:kern w:val="2"/>
          <w:sz w:val="28"/>
          <w:szCs w:val="28"/>
          <w:highlight w:val="none"/>
          <w:lang w:val="zh-CN" w:eastAsia="zh-CN" w:bidi="ar-SA"/>
        </w:rPr>
      </w:pPr>
      <w:bookmarkStart w:id="663" w:name="_Toc3959"/>
      <w:bookmarkStart w:id="664" w:name="_Toc10068"/>
    </w:p>
    <w:p w14:paraId="06F94B90">
      <w:pPr>
        <w:rPr>
          <w:rFonts w:hint="eastAsia" w:ascii="宋体" w:hAnsi="宋体" w:eastAsia="宋体" w:cstheme="minorBidi"/>
          <w:b/>
          <w:bCs/>
          <w:color w:val="auto"/>
          <w:kern w:val="2"/>
          <w:sz w:val="28"/>
          <w:szCs w:val="28"/>
          <w:highlight w:val="none"/>
          <w:lang w:val="zh-CN" w:eastAsia="zh-CN" w:bidi="ar-SA"/>
        </w:rPr>
      </w:pPr>
    </w:p>
    <w:p w14:paraId="4E9991A1">
      <w:pPr>
        <w:pStyle w:val="30"/>
        <w:rPr>
          <w:rFonts w:hint="eastAsia" w:ascii="宋体" w:cstheme="minorBidi"/>
          <w:b/>
          <w:bCs/>
          <w:color w:val="auto"/>
          <w:kern w:val="2"/>
          <w:sz w:val="28"/>
          <w:szCs w:val="28"/>
          <w:highlight w:val="none"/>
          <w:lang w:val="en-US" w:eastAsia="zh-CN" w:bidi="ar-SA"/>
        </w:rPr>
      </w:pPr>
      <w:r>
        <w:rPr>
          <w:rFonts w:hint="eastAsia" w:ascii="宋体" w:cstheme="minorBidi"/>
          <w:b/>
          <w:bCs/>
          <w:color w:val="auto"/>
          <w:kern w:val="2"/>
          <w:sz w:val="28"/>
          <w:szCs w:val="28"/>
          <w:highlight w:val="none"/>
          <w:lang w:val="en-US" w:eastAsia="zh-CN" w:bidi="ar-SA"/>
        </w:rPr>
        <w:t xml:space="preserve">  </w:t>
      </w:r>
    </w:p>
    <w:p w14:paraId="0AC6EDDB">
      <w:pPr>
        <w:rPr>
          <w:rFonts w:hint="eastAsia" w:ascii="宋体" w:cstheme="minorBidi"/>
          <w:b/>
          <w:bCs/>
          <w:color w:val="auto"/>
          <w:kern w:val="2"/>
          <w:sz w:val="28"/>
          <w:szCs w:val="28"/>
          <w:highlight w:val="none"/>
          <w:lang w:val="en-US" w:eastAsia="zh-CN" w:bidi="ar-SA"/>
        </w:rPr>
      </w:pPr>
    </w:p>
    <w:p w14:paraId="5DD1A9AB">
      <w:pPr>
        <w:pStyle w:val="30"/>
        <w:rPr>
          <w:rFonts w:hint="eastAsia" w:ascii="宋体" w:cstheme="minorBidi"/>
          <w:b/>
          <w:bCs/>
          <w:color w:val="auto"/>
          <w:kern w:val="2"/>
          <w:sz w:val="28"/>
          <w:szCs w:val="28"/>
          <w:highlight w:val="none"/>
          <w:lang w:val="en-US" w:eastAsia="zh-CN" w:bidi="ar-SA"/>
        </w:rPr>
      </w:pPr>
    </w:p>
    <w:p w14:paraId="4D4001E0">
      <w:pPr>
        <w:rPr>
          <w:rFonts w:hint="default"/>
          <w:highlight w:val="none"/>
          <w:lang w:val="en-US" w:eastAsia="zh-CN"/>
        </w:rPr>
      </w:pPr>
    </w:p>
    <w:p w14:paraId="75E6E4B3">
      <w:pPr>
        <w:rPr>
          <w:rFonts w:hint="eastAsia" w:ascii="宋体" w:hAnsi="宋体" w:eastAsia="宋体" w:cstheme="minorBidi"/>
          <w:b/>
          <w:bCs/>
          <w:color w:val="auto"/>
          <w:kern w:val="2"/>
          <w:sz w:val="28"/>
          <w:szCs w:val="28"/>
          <w:highlight w:val="none"/>
          <w:lang w:val="zh-CN" w:eastAsia="zh-CN" w:bidi="ar-SA"/>
        </w:rPr>
      </w:pPr>
    </w:p>
    <w:p w14:paraId="6C1425BF">
      <w:pPr>
        <w:shd w:val="clear" w:color="auto" w:fill="FFFFFF"/>
        <w:tabs>
          <w:tab w:val="left" w:pos="3045"/>
        </w:tabs>
        <w:autoSpaceDE w:val="0"/>
        <w:autoSpaceDN w:val="0"/>
        <w:adjustRightInd w:val="0"/>
        <w:snapToGrid w:val="0"/>
        <w:spacing w:line="360" w:lineRule="exact"/>
        <w:rPr>
          <w:rFonts w:hint="eastAsia" w:ascii="宋体" w:hAnsi="宋体" w:eastAsia="宋体" w:cstheme="minorBidi"/>
          <w:b/>
          <w:bCs/>
          <w:color w:val="auto"/>
          <w:kern w:val="2"/>
          <w:sz w:val="28"/>
          <w:szCs w:val="28"/>
          <w:highlight w:val="none"/>
          <w:lang w:val="zh-CN" w:eastAsia="zh-CN" w:bidi="ar-SA"/>
        </w:rPr>
      </w:pPr>
      <w:r>
        <w:rPr>
          <w:rFonts w:hint="eastAsia" w:ascii="宋体" w:hAnsi="宋体" w:cs="宋体"/>
          <w:b/>
          <w:color w:val="auto"/>
          <w:sz w:val="24"/>
          <w:szCs w:val="24"/>
          <w:highlight w:val="none"/>
        </w:rPr>
        <w:t>符合</w:t>
      </w:r>
      <w:r>
        <w:rPr>
          <w:rFonts w:hint="eastAsia" w:ascii="宋体" w:hAnsi="宋体" w:cs="宋体"/>
          <w:b/>
          <w:color w:val="auto"/>
          <w:sz w:val="24"/>
          <w:szCs w:val="24"/>
          <w:highlight w:val="none"/>
          <w:lang w:eastAsia="zh-CN"/>
        </w:rPr>
        <w:t>性</w:t>
      </w:r>
      <w:r>
        <w:rPr>
          <w:rFonts w:hint="eastAsia" w:cs="宋体"/>
          <w:b/>
          <w:color w:val="auto"/>
          <w:sz w:val="24"/>
          <w:szCs w:val="24"/>
          <w:highlight w:val="none"/>
          <w:lang w:val="en-US" w:eastAsia="zh-CN"/>
        </w:rPr>
        <w:t>审查表-</w:t>
      </w:r>
      <w:r>
        <w:rPr>
          <w:rFonts w:hint="eastAsia" w:ascii="宋体" w:hAnsi="宋体" w:cs="宋体"/>
          <w:b/>
          <w:color w:val="auto"/>
          <w:sz w:val="24"/>
          <w:szCs w:val="24"/>
          <w:highlight w:val="none"/>
        </w:rPr>
        <w:t>附表</w:t>
      </w:r>
    </w:p>
    <w:p w14:paraId="70584E38">
      <w:pPr>
        <w:pStyle w:val="5"/>
        <w:keepNext/>
        <w:keepLines/>
        <w:pageBreakBefore w:val="0"/>
        <w:widowControl w:val="0"/>
        <w:numPr>
          <w:ilvl w:val="0"/>
          <w:numId w:val="0"/>
        </w:numPr>
        <w:kinsoku/>
        <w:wordWrap/>
        <w:overflowPunct/>
        <w:topLinePunct w:val="0"/>
        <w:autoSpaceDE/>
        <w:autoSpaceDN/>
        <w:bidi w:val="0"/>
        <w:adjustRightInd/>
        <w:snapToGrid/>
        <w:spacing w:before="80" w:after="80" w:line="240" w:lineRule="auto"/>
        <w:jc w:val="center"/>
        <w:textAlignment w:val="auto"/>
        <w:rPr>
          <w:rFonts w:hint="eastAsia" w:ascii="宋体" w:hAnsi="宋体" w:eastAsia="宋体" w:cstheme="minorBidi"/>
          <w:b/>
          <w:bCs/>
          <w:color w:val="auto"/>
          <w:kern w:val="2"/>
          <w:sz w:val="28"/>
          <w:szCs w:val="28"/>
          <w:highlight w:val="none"/>
          <w:lang w:val="zh-CN" w:eastAsia="zh-CN" w:bidi="ar-SA"/>
        </w:rPr>
      </w:pPr>
      <w:bookmarkStart w:id="665" w:name="_Toc17975"/>
      <w:r>
        <w:rPr>
          <w:rFonts w:hint="eastAsia" w:ascii="宋体" w:hAnsi="宋体" w:eastAsia="宋体" w:cstheme="minorBidi"/>
          <w:b/>
          <w:bCs/>
          <w:color w:val="auto"/>
          <w:kern w:val="2"/>
          <w:sz w:val="28"/>
          <w:szCs w:val="28"/>
          <w:highlight w:val="none"/>
          <w:lang w:val="zh-CN" w:eastAsia="zh-CN" w:bidi="ar-SA"/>
        </w:rPr>
        <w:t>实质性响应一览表</w:t>
      </w:r>
      <w:bookmarkEnd w:id="663"/>
      <w:bookmarkEnd w:id="664"/>
      <w:bookmarkEnd w:id="665"/>
    </w:p>
    <w:p w14:paraId="7DFD9111">
      <w:pPr>
        <w:shd w:val="clear" w:color="auto" w:fill="FFFFFF"/>
        <w:tabs>
          <w:tab w:val="left" w:pos="3045"/>
        </w:tabs>
        <w:autoSpaceDE w:val="0"/>
        <w:autoSpaceDN w:val="0"/>
        <w:adjustRightInd w:val="0"/>
        <w:snapToGrid w:val="0"/>
        <w:spacing w:line="360" w:lineRule="exact"/>
        <w:jc w:val="center"/>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w:t>
      </w:r>
      <w:r>
        <w:rPr>
          <w:rFonts w:hint="eastAsia" w:cs="宋体"/>
          <w:b w:val="0"/>
          <w:bCs/>
          <w:color w:val="auto"/>
          <w:sz w:val="24"/>
          <w:szCs w:val="24"/>
          <w:highlight w:val="none"/>
          <w:lang w:val="en-US" w:eastAsia="zh-CN"/>
        </w:rPr>
        <w:t>投标人</w:t>
      </w:r>
      <w:r>
        <w:rPr>
          <w:rFonts w:hint="eastAsia" w:ascii="宋体" w:hAnsi="宋体" w:cs="宋体"/>
          <w:b w:val="0"/>
          <w:bCs/>
          <w:color w:val="auto"/>
          <w:sz w:val="24"/>
          <w:szCs w:val="24"/>
          <w:highlight w:val="none"/>
        </w:rPr>
        <w:t>须对本附表所有内容逐条响应且无负偏离，否则</w:t>
      </w:r>
      <w:r>
        <w:rPr>
          <w:rFonts w:hint="eastAsia" w:cs="宋体"/>
          <w:b w:val="0"/>
          <w:bCs/>
          <w:color w:val="auto"/>
          <w:sz w:val="24"/>
          <w:szCs w:val="24"/>
          <w:highlight w:val="none"/>
          <w:lang w:val="en-US" w:eastAsia="zh-CN"/>
        </w:rPr>
        <w:t>其</w:t>
      </w:r>
      <w:r>
        <w:rPr>
          <w:rFonts w:hint="eastAsia" w:ascii="宋体" w:hAnsi="宋体" w:cs="宋体"/>
          <w:b/>
          <w:bCs w:val="0"/>
          <w:color w:val="auto"/>
          <w:sz w:val="24"/>
          <w:szCs w:val="24"/>
          <w:highlight w:val="none"/>
        </w:rPr>
        <w:t>投标无效</w:t>
      </w:r>
      <w:r>
        <w:rPr>
          <w:rFonts w:hint="eastAsia" w:ascii="宋体" w:hAnsi="宋体" w:cs="宋体"/>
          <w:b w:val="0"/>
          <w:bCs/>
          <w:color w:val="auto"/>
          <w:sz w:val="24"/>
          <w:szCs w:val="24"/>
          <w:highlight w:val="none"/>
        </w:rPr>
        <w:t>）</w:t>
      </w:r>
    </w:p>
    <w:p w14:paraId="212CF784">
      <w:pPr>
        <w:pStyle w:val="26"/>
        <w:rPr>
          <w:rFonts w:hint="eastAsia" w:ascii="宋体" w:hAnsi="宋体" w:cs="宋体"/>
          <w:color w:val="auto"/>
          <w:sz w:val="24"/>
          <w:szCs w:val="24"/>
          <w:highlight w:val="none"/>
        </w:rPr>
      </w:pPr>
    </w:p>
    <w:tbl>
      <w:tblPr>
        <w:tblStyle w:val="31"/>
        <w:tblW w:w="5435"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1992"/>
        <w:gridCol w:w="4259"/>
        <w:gridCol w:w="1873"/>
        <w:gridCol w:w="732"/>
      </w:tblGrid>
      <w:tr w14:paraId="098C5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20" w:type="pct"/>
            <w:vMerge w:val="restart"/>
            <w:noWrap w:val="0"/>
            <w:vAlign w:val="center"/>
          </w:tcPr>
          <w:p w14:paraId="7CE32AA3">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3373" w:type="pct"/>
            <w:gridSpan w:val="2"/>
            <w:noWrap w:val="0"/>
            <w:vAlign w:val="center"/>
          </w:tcPr>
          <w:p w14:paraId="01AF8505">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招标文件要求的实质性响应内容</w:t>
            </w:r>
          </w:p>
        </w:tc>
        <w:tc>
          <w:tcPr>
            <w:tcW w:w="1010" w:type="pct"/>
            <w:vMerge w:val="restart"/>
            <w:noWrap w:val="0"/>
            <w:vAlign w:val="center"/>
          </w:tcPr>
          <w:p w14:paraId="2428BDFD">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投标文件响应</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具体内容</w:t>
            </w:r>
          </w:p>
        </w:tc>
        <w:tc>
          <w:tcPr>
            <w:tcW w:w="395" w:type="pct"/>
            <w:vMerge w:val="restart"/>
            <w:noWrap w:val="0"/>
            <w:vAlign w:val="center"/>
          </w:tcPr>
          <w:p w14:paraId="2BD31803">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14:paraId="6F69C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20" w:type="pct"/>
            <w:vMerge w:val="continue"/>
            <w:noWrap w:val="0"/>
            <w:vAlign w:val="center"/>
          </w:tcPr>
          <w:p w14:paraId="03EF4065">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p>
        </w:tc>
        <w:tc>
          <w:tcPr>
            <w:tcW w:w="1075" w:type="pct"/>
            <w:shd w:val="clear" w:color="auto" w:fill="auto"/>
            <w:noWrap w:val="0"/>
            <w:vAlign w:val="center"/>
          </w:tcPr>
          <w:p w14:paraId="5FC570A7">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实质性要求</w:t>
            </w:r>
          </w:p>
        </w:tc>
        <w:tc>
          <w:tcPr>
            <w:tcW w:w="2298" w:type="pct"/>
            <w:shd w:val="clear" w:color="auto" w:fill="auto"/>
            <w:noWrap w:val="0"/>
            <w:vAlign w:val="center"/>
          </w:tcPr>
          <w:p w14:paraId="19DBCA50">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招标文件中的规定</w:t>
            </w:r>
          </w:p>
        </w:tc>
        <w:tc>
          <w:tcPr>
            <w:tcW w:w="1010" w:type="pct"/>
            <w:vMerge w:val="continue"/>
            <w:noWrap w:val="0"/>
            <w:vAlign w:val="center"/>
          </w:tcPr>
          <w:p w14:paraId="6263BFD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p>
        </w:tc>
        <w:tc>
          <w:tcPr>
            <w:tcW w:w="395" w:type="pct"/>
            <w:vMerge w:val="continue"/>
            <w:noWrap w:val="0"/>
            <w:vAlign w:val="center"/>
          </w:tcPr>
          <w:p w14:paraId="1B799351">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p>
        </w:tc>
      </w:tr>
      <w:tr w14:paraId="0E72D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220" w:type="pct"/>
            <w:noWrap w:val="0"/>
            <w:vAlign w:val="center"/>
          </w:tcPr>
          <w:p w14:paraId="7ECA8034">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992" w:type="dxa"/>
            <w:shd w:val="clear" w:color="auto" w:fill="auto"/>
            <w:noWrap w:val="0"/>
            <w:vAlign w:val="center"/>
          </w:tcPr>
          <w:p w14:paraId="62642515">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lang w:eastAsia="zh-CN"/>
              </w:rPr>
              <w:t>响应文件</w:t>
            </w:r>
            <w:r>
              <w:rPr>
                <w:rFonts w:hint="eastAsia" w:ascii="宋体" w:hAnsi="宋体" w:eastAsia="宋体" w:cs="宋体"/>
                <w:i w:val="0"/>
                <w:iCs w:val="0"/>
                <w:color w:val="auto"/>
                <w:sz w:val="21"/>
                <w:szCs w:val="21"/>
                <w:highlight w:val="none"/>
              </w:rPr>
              <w:t>有效期</w:t>
            </w:r>
          </w:p>
        </w:tc>
        <w:tc>
          <w:tcPr>
            <w:tcW w:w="4259" w:type="dxa"/>
            <w:shd w:val="clear" w:color="auto" w:fill="auto"/>
            <w:noWrap w:val="0"/>
            <w:vAlign w:val="center"/>
          </w:tcPr>
          <w:p w14:paraId="3517C392">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lang w:eastAsia="zh-CN"/>
              </w:rPr>
              <w:t>响应文件递交截止日期后90日历日。</w:t>
            </w:r>
          </w:p>
        </w:tc>
        <w:tc>
          <w:tcPr>
            <w:tcW w:w="1873" w:type="dxa"/>
            <w:shd w:val="clear" w:color="auto" w:fill="auto"/>
            <w:noWrap w:val="0"/>
            <w:vAlign w:val="center"/>
          </w:tcPr>
          <w:p w14:paraId="3F7DA8EA">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投标人在</w:t>
            </w:r>
            <w:r>
              <w:rPr>
                <w:rFonts w:hint="eastAsia" w:ascii="宋体" w:hAnsi="宋体" w:eastAsia="宋体" w:cs="宋体"/>
                <w:i w:val="0"/>
                <w:iCs w:val="0"/>
                <w:color w:val="auto"/>
                <w:sz w:val="21"/>
                <w:szCs w:val="21"/>
                <w:highlight w:val="none"/>
              </w:rPr>
              <w:t>此处填写</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lang w:val="en-US" w:eastAsia="zh-CN"/>
              </w:rPr>
              <w:t>文件的相关内容</w:t>
            </w:r>
            <w:r>
              <w:rPr>
                <w:rFonts w:hint="eastAsia" w:ascii="宋体" w:hAnsi="宋体" w:eastAsia="宋体" w:cs="宋体"/>
                <w:i w:val="0"/>
                <w:iCs w:val="0"/>
                <w:color w:val="auto"/>
                <w:sz w:val="21"/>
                <w:szCs w:val="21"/>
                <w:highlight w:val="none"/>
                <w:lang w:eastAsia="zh-CN"/>
              </w:rPr>
              <w:t>】</w:t>
            </w:r>
          </w:p>
        </w:tc>
        <w:tc>
          <w:tcPr>
            <w:tcW w:w="395" w:type="pct"/>
            <w:shd w:val="clear" w:color="auto" w:fill="auto"/>
            <w:noWrap w:val="0"/>
            <w:vAlign w:val="center"/>
          </w:tcPr>
          <w:p w14:paraId="729A3125">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671CC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220" w:type="pct"/>
            <w:noWrap w:val="0"/>
            <w:vAlign w:val="center"/>
          </w:tcPr>
          <w:p w14:paraId="79561691">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075" w:type="pct"/>
            <w:shd w:val="clear" w:color="auto" w:fill="auto"/>
            <w:noWrap w:val="0"/>
            <w:vAlign w:val="center"/>
          </w:tcPr>
          <w:p w14:paraId="7FB35A2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交付（实施）的时间（期限）和地点（范围）</w:t>
            </w:r>
          </w:p>
        </w:tc>
        <w:tc>
          <w:tcPr>
            <w:tcW w:w="2298" w:type="pct"/>
            <w:shd w:val="clear" w:color="auto" w:fill="auto"/>
            <w:noWrap w:val="0"/>
            <w:vAlign w:val="center"/>
          </w:tcPr>
          <w:p w14:paraId="119C002B">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自合同签订之日起30日内</w:t>
            </w:r>
            <w:r>
              <w:rPr>
                <w:rFonts w:hint="eastAsia" w:cs="宋体"/>
                <w:color w:val="auto"/>
                <w:kern w:val="2"/>
                <w:sz w:val="21"/>
                <w:szCs w:val="21"/>
                <w:highlight w:val="none"/>
                <w:lang w:val="en-US" w:eastAsia="zh-CN" w:bidi="ar-SA"/>
              </w:rPr>
              <w:t>完成交付</w:t>
            </w:r>
            <w:r>
              <w:rPr>
                <w:rFonts w:hint="eastAsia" w:ascii="宋体" w:hAnsi="宋体" w:eastAsia="宋体" w:cs="宋体"/>
                <w:color w:val="auto"/>
                <w:kern w:val="2"/>
                <w:sz w:val="21"/>
                <w:szCs w:val="21"/>
                <w:highlight w:val="none"/>
                <w:lang w:val="en-US" w:eastAsia="zh-CN" w:bidi="ar-SA"/>
              </w:rPr>
              <w:t>。</w:t>
            </w:r>
          </w:p>
        </w:tc>
        <w:tc>
          <w:tcPr>
            <w:tcW w:w="1010" w:type="pct"/>
            <w:shd w:val="clear" w:color="auto" w:fill="auto"/>
            <w:noWrap w:val="0"/>
            <w:vAlign w:val="center"/>
          </w:tcPr>
          <w:p w14:paraId="5BB89004">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投标人在</w:t>
            </w:r>
            <w:r>
              <w:rPr>
                <w:rFonts w:hint="eastAsia" w:ascii="宋体" w:hAnsi="宋体" w:eastAsia="宋体" w:cs="宋体"/>
                <w:i w:val="0"/>
                <w:iCs w:val="0"/>
                <w:color w:val="auto"/>
                <w:sz w:val="21"/>
                <w:szCs w:val="21"/>
                <w:highlight w:val="none"/>
              </w:rPr>
              <w:t>此处填写</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lang w:val="en-US" w:eastAsia="zh-CN"/>
              </w:rPr>
              <w:t>文件的相关内容</w:t>
            </w:r>
            <w:r>
              <w:rPr>
                <w:rFonts w:hint="eastAsia" w:ascii="宋体" w:hAnsi="宋体" w:eastAsia="宋体" w:cs="宋体"/>
                <w:i w:val="0"/>
                <w:iCs w:val="0"/>
                <w:color w:val="auto"/>
                <w:sz w:val="21"/>
                <w:szCs w:val="21"/>
                <w:highlight w:val="none"/>
                <w:lang w:eastAsia="zh-CN"/>
              </w:rPr>
              <w:t>】</w:t>
            </w:r>
          </w:p>
        </w:tc>
        <w:tc>
          <w:tcPr>
            <w:tcW w:w="395" w:type="pct"/>
            <w:shd w:val="clear" w:color="auto" w:fill="auto"/>
            <w:noWrap w:val="0"/>
            <w:vAlign w:val="center"/>
          </w:tcPr>
          <w:p w14:paraId="0E4E117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35056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220" w:type="pct"/>
            <w:shd w:val="clear" w:color="auto" w:fill="auto"/>
            <w:noWrap w:val="0"/>
            <w:vAlign w:val="center"/>
          </w:tcPr>
          <w:p w14:paraId="7D5DC93C">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3</w:t>
            </w:r>
          </w:p>
        </w:tc>
        <w:tc>
          <w:tcPr>
            <w:tcW w:w="1075" w:type="pct"/>
            <w:shd w:val="clear" w:color="auto" w:fill="auto"/>
            <w:noWrap w:val="0"/>
            <w:vAlign w:val="center"/>
          </w:tcPr>
          <w:p w14:paraId="505EE26A">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付款条件（进度和方式） </w:t>
            </w:r>
          </w:p>
        </w:tc>
        <w:tc>
          <w:tcPr>
            <w:tcW w:w="2298" w:type="pct"/>
            <w:shd w:val="clear" w:color="auto" w:fill="auto"/>
            <w:noWrap w:val="0"/>
            <w:vAlign w:val="center"/>
          </w:tcPr>
          <w:p w14:paraId="516B2C39">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自双方合同签订生效后30日内预付货款30%，所有货物到场，经甲方确认后，支付合同款的50%，乙方安装调试完成，并经甲方验收合格，支付合同款的20%。</w:t>
            </w:r>
          </w:p>
        </w:tc>
        <w:tc>
          <w:tcPr>
            <w:tcW w:w="1010" w:type="pct"/>
            <w:shd w:val="clear" w:color="auto" w:fill="auto"/>
            <w:noWrap w:val="0"/>
            <w:vAlign w:val="center"/>
          </w:tcPr>
          <w:p w14:paraId="042BD647">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投标人在</w:t>
            </w:r>
            <w:r>
              <w:rPr>
                <w:rFonts w:hint="eastAsia" w:ascii="宋体" w:hAnsi="宋体" w:eastAsia="宋体" w:cs="宋体"/>
                <w:i w:val="0"/>
                <w:iCs w:val="0"/>
                <w:color w:val="auto"/>
                <w:sz w:val="21"/>
                <w:szCs w:val="21"/>
                <w:highlight w:val="none"/>
              </w:rPr>
              <w:t>此处填写</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lang w:val="en-US" w:eastAsia="zh-CN"/>
              </w:rPr>
              <w:t>文件的相关内容</w:t>
            </w:r>
            <w:r>
              <w:rPr>
                <w:rFonts w:hint="eastAsia" w:ascii="宋体" w:hAnsi="宋体" w:eastAsia="宋体" w:cs="宋体"/>
                <w:i w:val="0"/>
                <w:iCs w:val="0"/>
                <w:color w:val="auto"/>
                <w:sz w:val="21"/>
                <w:szCs w:val="21"/>
                <w:highlight w:val="none"/>
                <w:lang w:eastAsia="zh-CN"/>
              </w:rPr>
              <w:t>】</w:t>
            </w:r>
          </w:p>
        </w:tc>
        <w:tc>
          <w:tcPr>
            <w:tcW w:w="395" w:type="pct"/>
            <w:shd w:val="clear" w:color="auto" w:fill="auto"/>
            <w:noWrap w:val="0"/>
            <w:vAlign w:val="center"/>
          </w:tcPr>
          <w:p w14:paraId="458E18AF">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7A1AE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220" w:type="pct"/>
            <w:shd w:val="clear" w:color="auto" w:fill="auto"/>
            <w:noWrap w:val="0"/>
            <w:vAlign w:val="center"/>
          </w:tcPr>
          <w:p w14:paraId="0DAFC13A">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4</w:t>
            </w:r>
          </w:p>
        </w:tc>
        <w:tc>
          <w:tcPr>
            <w:tcW w:w="1075" w:type="pct"/>
            <w:shd w:val="clear" w:color="auto" w:fill="auto"/>
            <w:noWrap w:val="0"/>
            <w:vAlign w:val="center"/>
          </w:tcPr>
          <w:p w14:paraId="155B22E8">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售后服务（质保期）</w:t>
            </w:r>
          </w:p>
        </w:tc>
        <w:tc>
          <w:tcPr>
            <w:tcW w:w="2298" w:type="pct"/>
            <w:shd w:val="clear" w:color="auto" w:fill="auto"/>
            <w:noWrap w:val="0"/>
            <w:vAlign w:val="center"/>
          </w:tcPr>
          <w:p w14:paraId="532BBD0B">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质量保证期6</w:t>
            </w:r>
            <w:r>
              <w:rPr>
                <w:rFonts w:hint="eastAsia" w:cs="宋体"/>
                <w:color w:val="auto"/>
                <w:kern w:val="2"/>
                <w:sz w:val="21"/>
                <w:szCs w:val="21"/>
                <w:highlight w:val="none"/>
                <w:lang w:val="en-US" w:eastAsia="zh-CN" w:bidi="ar-SA"/>
              </w:rPr>
              <w:t>年</w:t>
            </w:r>
            <w:r>
              <w:rPr>
                <w:rFonts w:hint="eastAsia" w:ascii="宋体" w:hAnsi="宋体" w:eastAsia="宋体" w:cs="宋体"/>
                <w:color w:val="auto"/>
                <w:kern w:val="2"/>
                <w:sz w:val="21"/>
                <w:szCs w:val="21"/>
                <w:highlight w:val="none"/>
                <w:lang w:val="en-US" w:eastAsia="zh-CN" w:bidi="ar-SA"/>
              </w:rPr>
              <w:t>内，投标人应对由于设计、工艺或材料的缺陷而发生的任何不足或故障负责，费用由投标人负担。</w:t>
            </w:r>
          </w:p>
        </w:tc>
        <w:tc>
          <w:tcPr>
            <w:tcW w:w="1010" w:type="pct"/>
            <w:shd w:val="clear" w:color="auto" w:fill="auto"/>
            <w:noWrap w:val="0"/>
            <w:vAlign w:val="center"/>
          </w:tcPr>
          <w:p w14:paraId="212854F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投标人在</w:t>
            </w:r>
            <w:r>
              <w:rPr>
                <w:rFonts w:hint="eastAsia" w:ascii="宋体" w:hAnsi="宋体" w:eastAsia="宋体" w:cs="宋体"/>
                <w:i w:val="0"/>
                <w:iCs w:val="0"/>
                <w:color w:val="auto"/>
                <w:sz w:val="21"/>
                <w:szCs w:val="21"/>
                <w:highlight w:val="none"/>
              </w:rPr>
              <w:t>此处填写</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lang w:val="en-US" w:eastAsia="zh-CN"/>
              </w:rPr>
              <w:t>文件的相关内容</w:t>
            </w:r>
            <w:r>
              <w:rPr>
                <w:rFonts w:hint="eastAsia" w:ascii="宋体" w:hAnsi="宋体" w:eastAsia="宋体" w:cs="宋体"/>
                <w:i w:val="0"/>
                <w:iCs w:val="0"/>
                <w:color w:val="auto"/>
                <w:sz w:val="21"/>
                <w:szCs w:val="21"/>
                <w:highlight w:val="none"/>
                <w:lang w:eastAsia="zh-CN"/>
              </w:rPr>
              <w:t>】</w:t>
            </w:r>
          </w:p>
        </w:tc>
        <w:tc>
          <w:tcPr>
            <w:tcW w:w="395" w:type="pct"/>
            <w:shd w:val="clear" w:color="auto" w:fill="auto"/>
            <w:noWrap w:val="0"/>
            <w:vAlign w:val="center"/>
          </w:tcPr>
          <w:p w14:paraId="0566B325">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bl>
    <w:p w14:paraId="5324B13E">
      <w:pPr>
        <w:rPr>
          <w:rFonts w:hint="eastAsia"/>
          <w:b/>
          <w:bCs/>
          <w:color w:val="auto"/>
          <w:highlight w:val="none"/>
          <w:lang w:val="en-US" w:eastAsia="zh-CN"/>
        </w:rPr>
      </w:pPr>
    </w:p>
    <w:p w14:paraId="73C7580B">
      <w:pPr>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注：“实质性响应一览表”中的内容为参考，可根据项目情况自行设置。</w:t>
      </w:r>
    </w:p>
    <w:p w14:paraId="48517D6B">
      <w:pPr>
        <w:shd w:val="clear" w:color="auto" w:fill="FFFFFF"/>
        <w:tabs>
          <w:tab w:val="left" w:pos="3045"/>
        </w:tabs>
        <w:autoSpaceDE w:val="0"/>
        <w:autoSpaceDN w:val="0"/>
        <w:adjustRightInd w:val="0"/>
        <w:snapToGrid w:val="0"/>
        <w:spacing w:line="360" w:lineRule="exact"/>
        <w:rPr>
          <w:rFonts w:hint="eastAsia" w:ascii="宋体" w:hAnsi="宋体" w:eastAsia="宋体" w:cstheme="minorBidi"/>
          <w:b/>
          <w:bCs/>
          <w:color w:val="auto"/>
          <w:kern w:val="2"/>
          <w:sz w:val="30"/>
          <w:szCs w:val="32"/>
          <w:highlight w:val="none"/>
          <w:lang w:val="zh-CN" w:eastAsia="zh-CN" w:bidi="ar-SA"/>
        </w:rPr>
      </w:pPr>
      <w:bookmarkStart w:id="666" w:name="_Toc163492910"/>
      <w:bookmarkStart w:id="667" w:name="_Toc155185917"/>
      <w:r>
        <w:rPr>
          <w:rFonts w:hint="eastAsia" w:ascii="宋体" w:hAnsi="宋体" w:eastAsia="宋体" w:cstheme="minorBidi"/>
          <w:b/>
          <w:bCs/>
          <w:color w:val="auto"/>
          <w:kern w:val="2"/>
          <w:sz w:val="30"/>
          <w:szCs w:val="32"/>
          <w:highlight w:val="none"/>
          <w:lang w:val="zh-CN" w:eastAsia="zh-CN" w:bidi="ar-SA"/>
        </w:rPr>
        <w:br w:type="page"/>
      </w:r>
    </w:p>
    <w:p w14:paraId="3FE0903E">
      <w:pPr>
        <w:pStyle w:val="5"/>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68" w:name="_Toc23165"/>
      <w:bookmarkStart w:id="669" w:name="_Toc21870"/>
      <w:bookmarkStart w:id="670" w:name="_Toc10178"/>
      <w:r>
        <w:rPr>
          <w:rFonts w:hint="eastAsia" w:ascii="宋体" w:hAnsi="宋体" w:eastAsia="宋体" w:cs="宋体"/>
          <w:b/>
          <w:bCs/>
          <w:color w:val="auto"/>
          <w:kern w:val="2"/>
          <w:sz w:val="24"/>
          <w:szCs w:val="24"/>
          <w:highlight w:val="none"/>
          <w:lang w:val="zh-CN" w:eastAsia="zh-CN" w:bidi="ar-SA"/>
        </w:rPr>
        <w:t>（二）评分标准</w:t>
      </w:r>
      <w:bookmarkEnd w:id="666"/>
      <w:bookmarkEnd w:id="667"/>
      <w:bookmarkEnd w:id="668"/>
      <w:bookmarkEnd w:id="669"/>
      <w:bookmarkEnd w:id="670"/>
    </w:p>
    <w:tbl>
      <w:tblPr>
        <w:tblStyle w:val="31"/>
        <w:tblW w:w="55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7"/>
        <w:gridCol w:w="1569"/>
        <w:gridCol w:w="1000"/>
        <w:gridCol w:w="6037"/>
      </w:tblGrid>
      <w:tr w14:paraId="5175C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19" w:type="pct"/>
            <w:shd w:val="clear" w:color="auto" w:fill="D8D8D8" w:themeFill="background1" w:themeFillShade="D9"/>
            <w:vAlign w:val="center"/>
          </w:tcPr>
          <w:p w14:paraId="4924CA4E">
            <w:pPr>
              <w:pStyle w:val="5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评标项目</w:t>
            </w:r>
          </w:p>
        </w:tc>
        <w:tc>
          <w:tcPr>
            <w:tcW w:w="834" w:type="pct"/>
            <w:shd w:val="clear" w:color="auto" w:fill="D8D8D8" w:themeFill="background1" w:themeFillShade="D9"/>
            <w:vAlign w:val="center"/>
          </w:tcPr>
          <w:p w14:paraId="7A3DCB70">
            <w:pPr>
              <w:pStyle w:val="5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评标分项</w:t>
            </w:r>
          </w:p>
        </w:tc>
        <w:tc>
          <w:tcPr>
            <w:tcW w:w="532" w:type="pct"/>
            <w:shd w:val="clear" w:color="auto" w:fill="D8D8D8" w:themeFill="background1" w:themeFillShade="D9"/>
            <w:vAlign w:val="center"/>
          </w:tcPr>
          <w:p w14:paraId="65B86E0D">
            <w:pPr>
              <w:pStyle w:val="5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3213" w:type="pct"/>
            <w:shd w:val="clear" w:color="auto" w:fill="D8D8D8" w:themeFill="background1" w:themeFillShade="D9"/>
            <w:vAlign w:val="center"/>
          </w:tcPr>
          <w:p w14:paraId="467A385D">
            <w:pPr>
              <w:pStyle w:val="5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子项目及分值</w:t>
            </w:r>
          </w:p>
        </w:tc>
      </w:tr>
      <w:tr w14:paraId="497D9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jc w:val="center"/>
        </w:trPr>
        <w:tc>
          <w:tcPr>
            <w:tcW w:w="419" w:type="pct"/>
            <w:vAlign w:val="center"/>
          </w:tcPr>
          <w:p w14:paraId="3C480381">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价格部分</w:t>
            </w:r>
          </w:p>
          <w:p w14:paraId="375F38AD">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30</w:t>
            </w:r>
            <w:r>
              <w:rPr>
                <w:rFonts w:hint="eastAsia" w:ascii="宋体" w:hAnsi="宋体" w:eastAsia="宋体" w:cs="宋体"/>
                <w:color w:val="auto"/>
                <w:sz w:val="21"/>
                <w:szCs w:val="21"/>
                <w:highlight w:val="none"/>
              </w:rPr>
              <w:t>分）</w:t>
            </w:r>
          </w:p>
        </w:tc>
        <w:tc>
          <w:tcPr>
            <w:tcW w:w="834" w:type="pct"/>
            <w:tcBorders>
              <w:bottom w:val="single" w:color="auto" w:sz="4" w:space="0"/>
            </w:tcBorders>
            <w:vAlign w:val="center"/>
          </w:tcPr>
          <w:p w14:paraId="4D31CF31">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w:t>
            </w:r>
          </w:p>
        </w:tc>
        <w:tc>
          <w:tcPr>
            <w:tcW w:w="532" w:type="pct"/>
            <w:vAlign w:val="center"/>
          </w:tcPr>
          <w:p w14:paraId="318A84CC">
            <w:pPr>
              <w:pStyle w:val="5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30分</w:t>
            </w:r>
          </w:p>
        </w:tc>
        <w:tc>
          <w:tcPr>
            <w:tcW w:w="3213" w:type="pct"/>
            <w:vAlign w:val="center"/>
          </w:tcPr>
          <w:p w14:paraId="76A28B05">
            <w:pPr>
              <w:pStyle w:val="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满足招标文件要求且投标价格最低的投标报价为评标基准价，其价格分为满分。其他投标人的价格分统一按照下列公式计算：</w:t>
            </w:r>
          </w:p>
          <w:p w14:paraId="201E7F07">
            <w:pPr>
              <w:pStyle w:val="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投标报价得分=（评标基准价／投标报价)×价格</w:t>
            </w:r>
            <w:r>
              <w:rPr>
                <w:rFonts w:hint="eastAsia" w:ascii="宋体" w:hAnsi="宋体" w:eastAsia="宋体" w:cs="宋体"/>
                <w:color w:val="auto"/>
                <w:sz w:val="21"/>
                <w:szCs w:val="21"/>
                <w:highlight w:val="none"/>
                <w:lang w:eastAsia="zh-CN"/>
              </w:rPr>
              <w:t>分值</w:t>
            </w:r>
          </w:p>
        </w:tc>
      </w:tr>
      <w:tr w14:paraId="1F71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419" w:type="pct"/>
            <w:vMerge w:val="restart"/>
            <w:vAlign w:val="center"/>
          </w:tcPr>
          <w:p w14:paraId="0EA62830">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商务部分</w:t>
            </w:r>
          </w:p>
          <w:p w14:paraId="6C0619A6">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12</w:t>
            </w:r>
            <w:r>
              <w:rPr>
                <w:rFonts w:hint="eastAsia" w:ascii="宋体" w:hAnsi="宋体" w:eastAsia="宋体" w:cs="宋体"/>
                <w:color w:val="auto"/>
                <w:sz w:val="21"/>
                <w:szCs w:val="21"/>
                <w:highlight w:val="none"/>
              </w:rPr>
              <w:t>分）</w:t>
            </w:r>
          </w:p>
        </w:tc>
        <w:tc>
          <w:tcPr>
            <w:tcW w:w="834" w:type="pct"/>
            <w:tcBorders>
              <w:top w:val="single" w:color="auto" w:sz="4" w:space="0"/>
            </w:tcBorders>
            <w:vAlign w:val="center"/>
          </w:tcPr>
          <w:p w14:paraId="2719967D">
            <w:pPr>
              <w:pStyle w:val="50"/>
              <w:jc w:val="center"/>
              <w:rPr>
                <w:rFonts w:hint="eastAsia" w:ascii="宋体" w:hAnsi="宋体" w:eastAsia="宋体" w:cs="宋体"/>
                <w:b/>
                <w:bCs/>
                <w:color w:val="auto"/>
                <w:sz w:val="21"/>
                <w:szCs w:val="21"/>
                <w:highlight w:val="none"/>
              </w:rPr>
            </w:pPr>
            <w:r>
              <w:rPr>
                <w:rFonts w:hint="eastAsia" w:ascii="宋体" w:hAnsi="宋体" w:eastAsia="宋体" w:cs="宋体"/>
                <w:b w:val="0"/>
                <w:bCs w:val="0"/>
                <w:color w:val="auto"/>
                <w:sz w:val="21"/>
                <w:szCs w:val="21"/>
                <w:highlight w:val="none"/>
              </w:rPr>
              <w:t>类似项目业绩</w:t>
            </w:r>
          </w:p>
        </w:tc>
        <w:tc>
          <w:tcPr>
            <w:tcW w:w="532" w:type="pct"/>
            <w:vAlign w:val="center"/>
          </w:tcPr>
          <w:p w14:paraId="4E7EA155">
            <w:pPr>
              <w:pStyle w:val="50"/>
              <w:jc w:val="center"/>
              <w:rPr>
                <w:rFonts w:hint="eastAsia" w:ascii="宋体" w:hAnsi="宋体" w:eastAsia="宋体" w:cs="宋体"/>
                <w:b/>
                <w:bCs/>
                <w:color w:val="auto"/>
                <w:sz w:val="21"/>
                <w:szCs w:val="21"/>
                <w:highlight w:val="none"/>
              </w:rPr>
            </w:pPr>
            <w:r>
              <w:rPr>
                <w:rFonts w:hint="eastAsia"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eastAsia="zh-CN"/>
              </w:rPr>
              <w:t>分</w:t>
            </w:r>
          </w:p>
        </w:tc>
        <w:tc>
          <w:tcPr>
            <w:tcW w:w="3213" w:type="pct"/>
            <w:vAlign w:val="center"/>
          </w:tcPr>
          <w:p w14:paraId="00872C1F">
            <w:pPr>
              <w:pStyle w:val="50"/>
              <w:numPr>
                <w:ilvl w:val="0"/>
                <w:numId w:val="0"/>
              </w:numPr>
              <w:rPr>
                <w:rFonts w:hint="eastAsia" w:ascii="宋体" w:hAnsi="宋体" w:eastAsia="宋体" w:cs="宋体"/>
                <w:b/>
                <w:bCs/>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投标人每提供1项类似业绩的得1分，满分</w:t>
            </w:r>
            <w:r>
              <w:rPr>
                <w:rFonts w:hint="eastAsia"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eastAsia="zh-CN"/>
              </w:rPr>
              <w:t>分。（注:业绩证明材料须提供合同原件扫描件（或协议书）加盖投标单位公章,以合同签订时间为准。未按要求提供证明材料的不得分;提供的证明文件未显示日期、未显示项目名称、无法定代表人或授权代表签字（签章）,则该合同视为无效业绩,不予以得分。）</w:t>
            </w:r>
          </w:p>
        </w:tc>
      </w:tr>
      <w:tr w14:paraId="05A34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419" w:type="pct"/>
            <w:vMerge w:val="continue"/>
            <w:vAlign w:val="center"/>
          </w:tcPr>
          <w:p w14:paraId="3BD7C09E">
            <w:pPr>
              <w:pStyle w:val="50"/>
              <w:jc w:val="center"/>
              <w:rPr>
                <w:rFonts w:hint="eastAsia" w:ascii="宋体" w:hAnsi="宋体" w:eastAsia="宋体" w:cs="宋体"/>
                <w:color w:val="auto"/>
                <w:sz w:val="21"/>
                <w:szCs w:val="21"/>
                <w:highlight w:val="none"/>
              </w:rPr>
            </w:pPr>
          </w:p>
        </w:tc>
        <w:tc>
          <w:tcPr>
            <w:tcW w:w="834" w:type="pct"/>
            <w:tcBorders>
              <w:top w:val="single" w:color="auto" w:sz="4" w:space="0"/>
            </w:tcBorders>
            <w:vAlign w:val="center"/>
          </w:tcPr>
          <w:p w14:paraId="6B9EB51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政府采购政策</w:t>
            </w:r>
          </w:p>
        </w:tc>
        <w:tc>
          <w:tcPr>
            <w:tcW w:w="532" w:type="pct"/>
            <w:vAlign w:val="center"/>
          </w:tcPr>
          <w:p w14:paraId="5CC6F5C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1分</w:t>
            </w:r>
          </w:p>
        </w:tc>
        <w:tc>
          <w:tcPr>
            <w:tcW w:w="3213" w:type="pct"/>
            <w:vAlign w:val="center"/>
          </w:tcPr>
          <w:p w14:paraId="178C5A2C">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1、根据投标人是否符合招标文件“第</w:t>
            </w:r>
            <w:r>
              <w:rPr>
                <w:rFonts w:hint="eastAsia" w:cs="宋体"/>
                <w:b w:val="0"/>
                <w:bCs w:val="0"/>
                <w:color w:val="auto"/>
                <w:kern w:val="2"/>
                <w:sz w:val="21"/>
                <w:szCs w:val="21"/>
                <w:highlight w:val="none"/>
                <w:lang w:val="en-US" w:eastAsia="zh-CN" w:bidi="ar-SA"/>
              </w:rPr>
              <w:t>三</w:t>
            </w:r>
            <w:r>
              <w:rPr>
                <w:rFonts w:hint="eastAsia" w:ascii="宋体" w:hAnsi="宋体" w:eastAsia="宋体" w:cs="宋体"/>
                <w:b w:val="0"/>
                <w:bCs w:val="0"/>
                <w:color w:val="auto"/>
                <w:kern w:val="2"/>
                <w:sz w:val="21"/>
                <w:szCs w:val="21"/>
                <w:highlight w:val="none"/>
                <w:lang w:val="en-US" w:eastAsia="zh-CN" w:bidi="ar-SA"/>
              </w:rPr>
              <w:t xml:space="preserve">章 </w:t>
            </w:r>
            <w:r>
              <w:rPr>
                <w:rFonts w:hint="eastAsia" w:cs="宋体"/>
                <w:b w:val="0"/>
                <w:bCs w:val="0"/>
                <w:color w:val="auto"/>
                <w:kern w:val="2"/>
                <w:sz w:val="21"/>
                <w:szCs w:val="21"/>
                <w:highlight w:val="none"/>
                <w:lang w:val="en-US" w:eastAsia="zh-CN" w:bidi="ar-SA"/>
              </w:rPr>
              <w:t>采购需求</w:t>
            </w:r>
            <w:r>
              <w:rPr>
                <w:rFonts w:hint="eastAsia" w:ascii="宋体" w:hAnsi="宋体" w:eastAsia="宋体" w:cs="宋体"/>
                <w:b w:val="0"/>
                <w:bCs w:val="0"/>
                <w:color w:val="auto"/>
                <w:kern w:val="2"/>
                <w:sz w:val="21"/>
                <w:szCs w:val="21"/>
                <w:highlight w:val="none"/>
                <w:lang w:val="en-US" w:eastAsia="zh-CN" w:bidi="ar-SA"/>
              </w:rPr>
              <w:t>中包装和运输快递包装环保要求”，提供出具检测报告的证明文件的得0.5分。</w:t>
            </w:r>
          </w:p>
          <w:p w14:paraId="6657298D">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2、根据投标人是否符合招标文件“第</w:t>
            </w:r>
            <w:r>
              <w:rPr>
                <w:rFonts w:hint="eastAsia" w:cs="宋体"/>
                <w:b w:val="0"/>
                <w:bCs w:val="0"/>
                <w:color w:val="auto"/>
                <w:kern w:val="2"/>
                <w:sz w:val="21"/>
                <w:szCs w:val="21"/>
                <w:highlight w:val="none"/>
                <w:lang w:val="en-US" w:eastAsia="zh-CN" w:bidi="ar-SA"/>
              </w:rPr>
              <w:t>三</w:t>
            </w:r>
            <w:r>
              <w:rPr>
                <w:rFonts w:hint="eastAsia" w:ascii="宋体" w:hAnsi="宋体" w:eastAsia="宋体" w:cs="宋体"/>
                <w:b w:val="0"/>
                <w:bCs w:val="0"/>
                <w:color w:val="auto"/>
                <w:kern w:val="2"/>
                <w:sz w:val="21"/>
                <w:szCs w:val="21"/>
                <w:highlight w:val="none"/>
                <w:lang w:val="en-US" w:eastAsia="zh-CN" w:bidi="ar-SA"/>
              </w:rPr>
              <w:t xml:space="preserve">章 </w:t>
            </w:r>
            <w:r>
              <w:rPr>
                <w:rFonts w:hint="eastAsia" w:cs="宋体"/>
                <w:b w:val="0"/>
                <w:bCs w:val="0"/>
                <w:color w:val="auto"/>
                <w:kern w:val="2"/>
                <w:sz w:val="21"/>
                <w:szCs w:val="21"/>
                <w:highlight w:val="none"/>
                <w:lang w:val="en-US" w:eastAsia="zh-CN" w:bidi="ar-SA"/>
              </w:rPr>
              <w:t>采购需求</w:t>
            </w:r>
            <w:r>
              <w:rPr>
                <w:rFonts w:hint="eastAsia" w:ascii="宋体" w:hAnsi="宋体" w:eastAsia="宋体" w:cs="宋体"/>
                <w:b w:val="0"/>
                <w:bCs w:val="0"/>
                <w:color w:val="auto"/>
                <w:kern w:val="2"/>
                <w:sz w:val="21"/>
                <w:szCs w:val="21"/>
                <w:highlight w:val="none"/>
                <w:lang w:val="en-US" w:eastAsia="zh-CN" w:bidi="ar-SA"/>
              </w:rPr>
              <w:t>中包装和运输商品包装环保要求”，提供出具检测报告的证明文件的得0.5分。</w:t>
            </w:r>
          </w:p>
        </w:tc>
      </w:tr>
      <w:tr w14:paraId="1E7CC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419" w:type="pct"/>
            <w:vMerge w:val="continue"/>
            <w:vAlign w:val="center"/>
          </w:tcPr>
          <w:p w14:paraId="62336E52">
            <w:pPr>
              <w:pStyle w:val="50"/>
              <w:jc w:val="center"/>
              <w:rPr>
                <w:rFonts w:hint="eastAsia" w:ascii="宋体" w:hAnsi="宋体" w:eastAsia="宋体" w:cs="宋体"/>
                <w:color w:val="auto"/>
                <w:sz w:val="21"/>
                <w:szCs w:val="21"/>
                <w:highlight w:val="none"/>
              </w:rPr>
            </w:pPr>
          </w:p>
        </w:tc>
        <w:tc>
          <w:tcPr>
            <w:tcW w:w="834" w:type="pct"/>
            <w:tcBorders>
              <w:top w:val="single" w:color="auto" w:sz="4" w:space="0"/>
            </w:tcBorders>
            <w:vAlign w:val="center"/>
          </w:tcPr>
          <w:p w14:paraId="16595CC7">
            <w:pPr>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服务承诺</w:t>
            </w:r>
          </w:p>
        </w:tc>
        <w:tc>
          <w:tcPr>
            <w:tcW w:w="532" w:type="pct"/>
            <w:vAlign w:val="center"/>
          </w:tcPr>
          <w:p w14:paraId="48AA2DE0">
            <w:pPr>
              <w:spacing w:line="24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5分</w:t>
            </w:r>
          </w:p>
        </w:tc>
        <w:tc>
          <w:tcPr>
            <w:tcW w:w="3213" w:type="pct"/>
            <w:vAlign w:val="center"/>
          </w:tcPr>
          <w:p w14:paraId="333CD040">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1、投标人提供7*24H响应、能够完成采购人紧急维修任务（为抑制事态扩大的可能，临时增派人员、设备）的承诺的得</w:t>
            </w:r>
            <w:r>
              <w:rPr>
                <w:rFonts w:hint="eastAsia" w:cs="宋体"/>
                <w:b w:val="0"/>
                <w:bCs w:val="0"/>
                <w:color w:val="auto"/>
                <w:kern w:val="2"/>
                <w:sz w:val="21"/>
                <w:szCs w:val="21"/>
                <w:highlight w:val="none"/>
                <w:lang w:val="en-US" w:eastAsia="zh-CN" w:bidi="ar-SA"/>
              </w:rPr>
              <w:t>3</w:t>
            </w:r>
            <w:r>
              <w:rPr>
                <w:rFonts w:hint="eastAsia" w:ascii="宋体" w:hAnsi="宋体" w:eastAsia="宋体" w:cs="宋体"/>
                <w:b w:val="0"/>
                <w:bCs w:val="0"/>
                <w:color w:val="auto"/>
                <w:kern w:val="2"/>
                <w:sz w:val="21"/>
                <w:szCs w:val="21"/>
                <w:highlight w:val="none"/>
                <w:lang w:val="en-US" w:eastAsia="zh-CN" w:bidi="ar-SA"/>
              </w:rPr>
              <w:t>分，未提供不得分。</w:t>
            </w:r>
          </w:p>
          <w:p w14:paraId="4ADF4CD0">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2、投标人提供积极主动配合采购人完成、积极主动配合采购人临时性工作的服务承诺的得</w:t>
            </w:r>
            <w:r>
              <w:rPr>
                <w:rFonts w:hint="eastAsia" w:cs="宋体"/>
                <w:b w:val="0"/>
                <w:bCs w:val="0"/>
                <w:color w:val="auto"/>
                <w:kern w:val="2"/>
                <w:sz w:val="21"/>
                <w:szCs w:val="21"/>
                <w:highlight w:val="none"/>
                <w:lang w:val="en-US" w:eastAsia="zh-CN" w:bidi="ar-SA"/>
              </w:rPr>
              <w:t>2</w:t>
            </w:r>
            <w:r>
              <w:rPr>
                <w:rFonts w:hint="eastAsia" w:ascii="宋体" w:hAnsi="宋体" w:eastAsia="宋体" w:cs="宋体"/>
                <w:b w:val="0"/>
                <w:bCs w:val="0"/>
                <w:color w:val="auto"/>
                <w:kern w:val="2"/>
                <w:sz w:val="21"/>
                <w:szCs w:val="21"/>
                <w:highlight w:val="none"/>
                <w:lang w:val="en-US" w:eastAsia="zh-CN" w:bidi="ar-SA"/>
              </w:rPr>
              <w:t>分，未提供不得分。</w:t>
            </w:r>
          </w:p>
        </w:tc>
      </w:tr>
      <w:tr w14:paraId="09565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419" w:type="pct"/>
            <w:vMerge w:val="continue"/>
            <w:vAlign w:val="center"/>
          </w:tcPr>
          <w:p w14:paraId="271BA664">
            <w:pPr>
              <w:pStyle w:val="50"/>
              <w:jc w:val="center"/>
              <w:rPr>
                <w:rFonts w:hint="eastAsia" w:ascii="宋体" w:hAnsi="宋体" w:eastAsia="宋体" w:cs="宋体"/>
                <w:color w:val="auto"/>
                <w:sz w:val="21"/>
                <w:szCs w:val="21"/>
                <w:highlight w:val="none"/>
              </w:rPr>
            </w:pPr>
          </w:p>
        </w:tc>
        <w:tc>
          <w:tcPr>
            <w:tcW w:w="834" w:type="pct"/>
            <w:tcBorders>
              <w:top w:val="single" w:color="auto" w:sz="4" w:space="0"/>
            </w:tcBorders>
            <w:vAlign w:val="center"/>
          </w:tcPr>
          <w:p w14:paraId="23875990">
            <w:pPr>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供货产品质量控制措施</w:t>
            </w:r>
          </w:p>
        </w:tc>
        <w:tc>
          <w:tcPr>
            <w:tcW w:w="532" w:type="pct"/>
            <w:vAlign w:val="center"/>
          </w:tcPr>
          <w:p w14:paraId="057CBCEF">
            <w:pPr>
              <w:spacing w:line="24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4分</w:t>
            </w:r>
          </w:p>
        </w:tc>
        <w:tc>
          <w:tcPr>
            <w:tcW w:w="3213" w:type="pct"/>
            <w:vAlign w:val="center"/>
          </w:tcPr>
          <w:p w14:paraId="5CD53CF5">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投标人对产品使用效果、质量标准、工艺流程等进行科学合理的描述，具有质量控制措施且描述完整者得4分。</w:t>
            </w:r>
          </w:p>
          <w:p w14:paraId="78DC2596">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注：每有一项方案内容与采购内容不符或不切实际的扣1分，扣完为止，未提供者不得分。</w:t>
            </w:r>
          </w:p>
        </w:tc>
      </w:tr>
      <w:tr w14:paraId="105D2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419" w:type="pct"/>
            <w:vMerge w:val="restart"/>
            <w:vAlign w:val="center"/>
          </w:tcPr>
          <w:p w14:paraId="009533AC">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技术部分</w:t>
            </w:r>
          </w:p>
          <w:p w14:paraId="3C5A6CF4">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58</w:t>
            </w:r>
            <w:r>
              <w:rPr>
                <w:rFonts w:hint="eastAsia" w:ascii="宋体" w:hAnsi="宋体" w:eastAsia="宋体" w:cs="宋体"/>
                <w:color w:val="auto"/>
                <w:sz w:val="21"/>
                <w:szCs w:val="21"/>
                <w:highlight w:val="none"/>
              </w:rPr>
              <w:t>分）</w:t>
            </w:r>
          </w:p>
        </w:tc>
        <w:tc>
          <w:tcPr>
            <w:tcW w:w="834" w:type="pct"/>
            <w:tcBorders>
              <w:top w:val="single" w:color="auto" w:sz="4" w:space="0"/>
            </w:tcBorders>
            <w:vAlign w:val="center"/>
          </w:tcPr>
          <w:p w14:paraId="1ECFDBB7">
            <w:pPr>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对招标文件技术参数要求的响应程度</w:t>
            </w:r>
          </w:p>
        </w:tc>
        <w:tc>
          <w:tcPr>
            <w:tcW w:w="532" w:type="pct"/>
            <w:vAlign w:val="center"/>
          </w:tcPr>
          <w:p w14:paraId="35C961A9">
            <w:pPr>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30分</w:t>
            </w:r>
          </w:p>
        </w:tc>
        <w:tc>
          <w:tcPr>
            <w:tcW w:w="3213" w:type="pct"/>
            <w:vAlign w:val="center"/>
          </w:tcPr>
          <w:p w14:paraId="355039B6">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 xml:space="preserve">技术参数：根据所投产品的配置与性能指标响应程度打分。完全满足招标要求的得30分。标“▲”技术参数为重要参数，每有一项负偏离扣1分，重要参数≥15项负偏离，此项不得分；一般参数每有一项负偏离扣0.5分，直至扣完为止。 </w:t>
            </w:r>
          </w:p>
          <w:p w14:paraId="6CD1E421">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（注：投标人须对本招标文件“第三章 货物内容及项目要求”中技术要求进行点对点应答，必须在引用本招标文件的基础上,进行逐条逐项答复、说明和解释,特别对有具体参数要求的指标，投标人必须提供所投产品的具体参数值并详细列出设备的品牌、型号、配置参数及所投产品的技术支持资料。不注明实际参数值者或未按要求提供者视为负偏离，投标文件商务技术偏离表响应情况与所附证明材料不一致的情况，按负偏离处理。）</w:t>
            </w:r>
          </w:p>
        </w:tc>
      </w:tr>
      <w:tr w14:paraId="1811E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419" w:type="pct"/>
            <w:vMerge w:val="continue"/>
            <w:vAlign w:val="center"/>
          </w:tcPr>
          <w:p w14:paraId="24E10105">
            <w:pPr>
              <w:pStyle w:val="50"/>
              <w:jc w:val="center"/>
              <w:rPr>
                <w:rFonts w:hint="eastAsia" w:ascii="宋体" w:hAnsi="宋体" w:eastAsia="宋体" w:cs="宋体"/>
                <w:color w:val="auto"/>
                <w:sz w:val="21"/>
                <w:szCs w:val="21"/>
                <w:highlight w:val="none"/>
              </w:rPr>
            </w:pPr>
          </w:p>
        </w:tc>
        <w:tc>
          <w:tcPr>
            <w:tcW w:w="834" w:type="pct"/>
            <w:vAlign w:val="center"/>
          </w:tcPr>
          <w:p w14:paraId="69144E03">
            <w:pPr>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项目实施方案</w:t>
            </w:r>
          </w:p>
        </w:tc>
        <w:tc>
          <w:tcPr>
            <w:tcW w:w="532" w:type="pct"/>
            <w:vAlign w:val="center"/>
          </w:tcPr>
          <w:p w14:paraId="7922AA03">
            <w:pPr>
              <w:pStyle w:val="89"/>
              <w:spacing w:before="74" w:line="282" w:lineRule="exact"/>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10分</w:t>
            </w:r>
          </w:p>
        </w:tc>
        <w:tc>
          <w:tcPr>
            <w:tcW w:w="3213" w:type="pct"/>
            <w:vAlign w:val="center"/>
          </w:tcPr>
          <w:p w14:paraId="206ADCD4">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投标人对本项目总体要求的理解，包括:（1）功能说明、性能指标、设备选型说明详尽；（2）投标人的项目实施进度计划安排具体，且相关保障措施详细;（3）对各项关键工作安排合理，有风险预见；（4）应急保障措施完备，有完善的项目应急解决方案;（5）项目管理方案完整,组织机构完善，人员有保障。</w:t>
            </w:r>
          </w:p>
          <w:p w14:paraId="1D51E6A6">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注：以上要求内容均能够完全满足的得10分，每缺少一项或每有一项方案内容与项目不符的扣1分，扣完为止。未提供者不得分。</w:t>
            </w:r>
          </w:p>
        </w:tc>
      </w:tr>
      <w:tr w14:paraId="7C309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419" w:type="pct"/>
            <w:vMerge w:val="continue"/>
            <w:vAlign w:val="center"/>
          </w:tcPr>
          <w:p w14:paraId="0474BC45">
            <w:pPr>
              <w:pStyle w:val="50"/>
              <w:jc w:val="center"/>
              <w:rPr>
                <w:rFonts w:hint="eastAsia" w:ascii="宋体" w:hAnsi="宋体" w:eastAsia="宋体" w:cs="宋体"/>
                <w:color w:val="auto"/>
                <w:sz w:val="21"/>
                <w:szCs w:val="21"/>
                <w:highlight w:val="none"/>
              </w:rPr>
            </w:pPr>
          </w:p>
        </w:tc>
        <w:tc>
          <w:tcPr>
            <w:tcW w:w="834" w:type="pct"/>
            <w:vAlign w:val="center"/>
          </w:tcPr>
          <w:p w14:paraId="562C6D03">
            <w:pPr>
              <w:pStyle w:val="65"/>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项目培训方案</w:t>
            </w:r>
          </w:p>
        </w:tc>
        <w:tc>
          <w:tcPr>
            <w:tcW w:w="532" w:type="pct"/>
            <w:vAlign w:val="center"/>
          </w:tcPr>
          <w:p w14:paraId="3E6BE4CD">
            <w:pPr>
              <w:pStyle w:val="89"/>
              <w:spacing w:before="74" w:line="282" w:lineRule="exact"/>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2分</w:t>
            </w:r>
          </w:p>
        </w:tc>
        <w:tc>
          <w:tcPr>
            <w:tcW w:w="3213" w:type="pct"/>
            <w:shd w:val="clear" w:color="auto" w:fill="auto"/>
            <w:vAlign w:val="center"/>
          </w:tcPr>
          <w:p w14:paraId="4E0A4D96">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投标人须对本项目所采购设备进行培训；根据投标人所提供的培训方案进行评审，方案完整详细、针对性强、可行性高，能够合理实施的得2分；注：经评审每有一项内容与项目不符的扣0.5分，扣完为止。未提供者不得分。</w:t>
            </w:r>
          </w:p>
        </w:tc>
      </w:tr>
      <w:tr w14:paraId="58C0B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419" w:type="pct"/>
            <w:vMerge w:val="continue"/>
            <w:vAlign w:val="center"/>
          </w:tcPr>
          <w:p w14:paraId="6EE5ECA6">
            <w:pPr>
              <w:pStyle w:val="50"/>
              <w:jc w:val="center"/>
              <w:rPr>
                <w:rFonts w:hint="eastAsia" w:ascii="宋体" w:hAnsi="宋体" w:eastAsia="宋体" w:cs="宋体"/>
                <w:color w:val="auto"/>
                <w:sz w:val="21"/>
                <w:szCs w:val="21"/>
                <w:highlight w:val="none"/>
              </w:rPr>
            </w:pPr>
          </w:p>
        </w:tc>
        <w:tc>
          <w:tcPr>
            <w:tcW w:w="834" w:type="pct"/>
            <w:vAlign w:val="center"/>
          </w:tcPr>
          <w:p w14:paraId="4FF5A0D7">
            <w:pPr>
              <w:pStyle w:val="65"/>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运输方案</w:t>
            </w:r>
          </w:p>
        </w:tc>
        <w:tc>
          <w:tcPr>
            <w:tcW w:w="532" w:type="pct"/>
            <w:vAlign w:val="center"/>
          </w:tcPr>
          <w:p w14:paraId="124035BA">
            <w:pPr>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4分</w:t>
            </w:r>
          </w:p>
        </w:tc>
        <w:tc>
          <w:tcPr>
            <w:tcW w:w="6037" w:type="dxa"/>
            <w:vAlign w:val="center"/>
          </w:tcPr>
          <w:p w14:paraId="62B48C14">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 xml:space="preserve">投标人提供针对本项目的供货方案，至少包括： ①运输形 </w:t>
            </w:r>
          </w:p>
          <w:p w14:paraId="23411F00">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 xml:space="preserve">式； ②运输周期及缩短运输周期方案； ③运输风险预防措 </w:t>
            </w:r>
          </w:p>
          <w:p w14:paraId="572373BA">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 xml:space="preserve">施； ④运输损坏处理方案。 各项中应有具体措施、项目名 </w:t>
            </w:r>
          </w:p>
          <w:p w14:paraId="5E5DCCCA">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 xml:space="preserve">称、重点难点问题、重点难点问题的处理方法、专业人员信 </w:t>
            </w:r>
          </w:p>
          <w:p w14:paraId="6919620A">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息。</w:t>
            </w:r>
          </w:p>
          <w:p w14:paraId="5F534117">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注：以上每提供一项内容得</w:t>
            </w:r>
            <w:r>
              <w:rPr>
                <w:rFonts w:hint="eastAsia" w:cs="宋体"/>
                <w:b w:val="0"/>
                <w:bCs w:val="0"/>
                <w:color w:val="auto"/>
                <w:kern w:val="2"/>
                <w:sz w:val="21"/>
                <w:szCs w:val="21"/>
                <w:highlight w:val="none"/>
                <w:lang w:val="en-US" w:eastAsia="zh-CN" w:bidi="ar-SA"/>
              </w:rPr>
              <w:t>1</w:t>
            </w:r>
            <w:r>
              <w:rPr>
                <w:rFonts w:hint="eastAsia" w:ascii="宋体" w:hAnsi="宋体" w:eastAsia="宋体" w:cs="宋体"/>
                <w:b w:val="0"/>
                <w:bCs w:val="0"/>
                <w:color w:val="auto"/>
                <w:kern w:val="2"/>
                <w:sz w:val="21"/>
                <w:szCs w:val="21"/>
                <w:highlight w:val="none"/>
                <w:lang w:val="en-US" w:eastAsia="zh-CN" w:bidi="ar-SA"/>
              </w:rPr>
              <w:t>分，共</w:t>
            </w:r>
            <w:r>
              <w:rPr>
                <w:rFonts w:hint="eastAsia" w:cs="宋体"/>
                <w:b w:val="0"/>
                <w:bCs w:val="0"/>
                <w:color w:val="auto"/>
                <w:kern w:val="2"/>
                <w:sz w:val="21"/>
                <w:szCs w:val="21"/>
                <w:highlight w:val="none"/>
                <w:lang w:val="en-US" w:eastAsia="zh-CN" w:bidi="ar-SA"/>
              </w:rPr>
              <w:t>4</w:t>
            </w:r>
            <w:r>
              <w:rPr>
                <w:rFonts w:hint="eastAsia" w:ascii="宋体" w:hAnsi="宋体" w:eastAsia="宋体" w:cs="宋体"/>
                <w:b w:val="0"/>
                <w:bCs w:val="0"/>
                <w:color w:val="auto"/>
                <w:kern w:val="2"/>
                <w:sz w:val="21"/>
                <w:szCs w:val="21"/>
                <w:highlight w:val="none"/>
                <w:lang w:val="en-US" w:eastAsia="zh-CN" w:bidi="ar-SA"/>
              </w:rPr>
              <w:t>分，每缺少一项或每有一项方案内容与项目不符的扣0.5分，扣完为止。未提供者不得分。</w:t>
            </w:r>
          </w:p>
        </w:tc>
      </w:tr>
      <w:tr w14:paraId="349B4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419" w:type="pct"/>
            <w:vMerge w:val="continue"/>
            <w:vAlign w:val="center"/>
          </w:tcPr>
          <w:p w14:paraId="0520050F">
            <w:pPr>
              <w:pStyle w:val="50"/>
              <w:jc w:val="center"/>
              <w:rPr>
                <w:rFonts w:hint="eastAsia" w:ascii="宋体" w:hAnsi="宋体" w:eastAsia="宋体" w:cs="宋体"/>
                <w:color w:val="auto"/>
                <w:sz w:val="21"/>
                <w:szCs w:val="21"/>
                <w:highlight w:val="none"/>
              </w:rPr>
            </w:pPr>
          </w:p>
        </w:tc>
        <w:tc>
          <w:tcPr>
            <w:tcW w:w="834" w:type="pct"/>
            <w:vAlign w:val="center"/>
          </w:tcPr>
          <w:p w14:paraId="17268526">
            <w:pPr>
              <w:pStyle w:val="65"/>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应急事件处理预案</w:t>
            </w:r>
          </w:p>
        </w:tc>
        <w:tc>
          <w:tcPr>
            <w:tcW w:w="532" w:type="pct"/>
            <w:vAlign w:val="center"/>
          </w:tcPr>
          <w:p w14:paraId="56908100">
            <w:pPr>
              <w:spacing w:line="360" w:lineRule="auto"/>
              <w:jc w:val="center"/>
              <w:rPr>
                <w:rFonts w:hint="eastAsia" w:ascii="宋体" w:hAnsi="宋体" w:eastAsia="宋体" w:cs="宋体"/>
                <w:b w:val="0"/>
                <w:bCs w:val="0"/>
                <w:color w:val="auto"/>
                <w:kern w:val="2"/>
                <w:sz w:val="21"/>
                <w:szCs w:val="21"/>
                <w:highlight w:val="none"/>
                <w:lang w:val="en-US" w:eastAsia="zh-CN" w:bidi="ar-SA"/>
              </w:rPr>
            </w:pPr>
            <w:r>
              <w:rPr>
                <w:rFonts w:hint="eastAsia" w:cs="宋体"/>
                <w:b w:val="0"/>
                <w:bCs w:val="0"/>
                <w:color w:val="auto"/>
                <w:kern w:val="2"/>
                <w:sz w:val="21"/>
                <w:szCs w:val="21"/>
                <w:highlight w:val="none"/>
                <w:lang w:val="en-US" w:eastAsia="zh-CN" w:bidi="ar-SA"/>
              </w:rPr>
              <w:t>5</w:t>
            </w:r>
            <w:r>
              <w:rPr>
                <w:rFonts w:hint="eastAsia" w:ascii="宋体" w:hAnsi="宋体" w:eastAsia="宋体" w:cs="宋体"/>
                <w:b w:val="0"/>
                <w:bCs w:val="0"/>
                <w:color w:val="auto"/>
                <w:kern w:val="2"/>
                <w:sz w:val="21"/>
                <w:szCs w:val="21"/>
                <w:highlight w:val="none"/>
                <w:lang w:val="en-US" w:eastAsia="zh-CN" w:bidi="ar-SA"/>
              </w:rPr>
              <w:t>分</w:t>
            </w:r>
          </w:p>
        </w:tc>
        <w:tc>
          <w:tcPr>
            <w:tcW w:w="6037" w:type="dxa"/>
            <w:vAlign w:val="center"/>
          </w:tcPr>
          <w:p w14:paraId="09D62C55">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投标人应针对本项目实际工作内容和环境，提供应急方案，要求切实合理可行：投标人综合应急预案包含系统在安装实施及后期运行过程中可能遇到的故障所指定的①应急方针、②应急行动、③应急措施、④应急保障等基本要求和程序</w:t>
            </w:r>
            <w:r>
              <w:rPr>
                <w:rFonts w:hint="eastAsia" w:cs="宋体"/>
                <w:b w:val="0"/>
                <w:bCs w:val="0"/>
                <w:color w:val="auto"/>
                <w:kern w:val="2"/>
                <w:sz w:val="21"/>
                <w:szCs w:val="21"/>
                <w:highlight w:val="none"/>
                <w:lang w:val="en-US" w:eastAsia="zh-CN" w:bidi="ar-SA"/>
              </w:rPr>
              <w:t>、</w:t>
            </w:r>
            <w:r>
              <w:rPr>
                <w:rFonts w:hint="eastAsia" w:ascii="微软雅黑" w:hAnsi="微软雅黑" w:eastAsia="微软雅黑" w:cs="微软雅黑"/>
                <w:b w:val="0"/>
                <w:bCs w:val="0"/>
                <w:color w:val="auto"/>
                <w:kern w:val="2"/>
                <w:sz w:val="21"/>
                <w:szCs w:val="21"/>
                <w:highlight w:val="none"/>
                <w:lang w:val="en-US" w:eastAsia="zh-CN" w:bidi="ar-SA"/>
              </w:rPr>
              <w:t>⑤</w:t>
            </w:r>
            <w:r>
              <w:rPr>
                <w:rFonts w:hint="eastAsia" w:ascii="宋体" w:hAnsi="宋体" w:eastAsia="宋体" w:cs="宋体"/>
                <w:b w:val="0"/>
                <w:bCs w:val="0"/>
                <w:color w:val="auto"/>
                <w:kern w:val="2"/>
                <w:sz w:val="21"/>
                <w:szCs w:val="21"/>
                <w:highlight w:val="none"/>
                <w:lang w:val="en-US" w:eastAsia="zh-CN" w:bidi="ar-SA"/>
              </w:rPr>
              <w:t>需提供公司承诺及故障处理的技术人员的相关证明材料。</w:t>
            </w:r>
          </w:p>
          <w:p w14:paraId="485D88F3">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注：以上每提供一项内容得</w:t>
            </w:r>
            <w:r>
              <w:rPr>
                <w:rFonts w:hint="eastAsia" w:cs="宋体"/>
                <w:b w:val="0"/>
                <w:bCs w:val="0"/>
                <w:color w:val="auto"/>
                <w:kern w:val="2"/>
                <w:sz w:val="21"/>
                <w:szCs w:val="21"/>
                <w:highlight w:val="none"/>
                <w:lang w:val="en-US" w:eastAsia="zh-CN" w:bidi="ar-SA"/>
              </w:rPr>
              <w:t>1</w:t>
            </w:r>
            <w:r>
              <w:rPr>
                <w:rFonts w:hint="eastAsia" w:ascii="宋体" w:hAnsi="宋体" w:eastAsia="宋体" w:cs="宋体"/>
                <w:b w:val="0"/>
                <w:bCs w:val="0"/>
                <w:color w:val="auto"/>
                <w:kern w:val="2"/>
                <w:sz w:val="21"/>
                <w:szCs w:val="21"/>
                <w:highlight w:val="none"/>
                <w:lang w:val="en-US" w:eastAsia="zh-CN" w:bidi="ar-SA"/>
              </w:rPr>
              <w:t>分，共</w:t>
            </w:r>
            <w:r>
              <w:rPr>
                <w:rFonts w:hint="eastAsia" w:cs="宋体"/>
                <w:b w:val="0"/>
                <w:bCs w:val="0"/>
                <w:color w:val="auto"/>
                <w:kern w:val="2"/>
                <w:sz w:val="21"/>
                <w:szCs w:val="21"/>
                <w:highlight w:val="none"/>
                <w:lang w:val="en-US" w:eastAsia="zh-CN" w:bidi="ar-SA"/>
              </w:rPr>
              <w:t>5</w:t>
            </w:r>
            <w:r>
              <w:rPr>
                <w:rFonts w:hint="eastAsia" w:ascii="宋体" w:hAnsi="宋体" w:eastAsia="宋体" w:cs="宋体"/>
                <w:b w:val="0"/>
                <w:bCs w:val="0"/>
                <w:color w:val="auto"/>
                <w:kern w:val="2"/>
                <w:sz w:val="21"/>
                <w:szCs w:val="21"/>
                <w:highlight w:val="none"/>
                <w:lang w:val="en-US" w:eastAsia="zh-CN" w:bidi="ar-SA"/>
              </w:rPr>
              <w:t>分，每缺少一项或每有一项方案内容与项目不符的扣0.5分，扣完为止。未提供者不得分。</w:t>
            </w:r>
          </w:p>
        </w:tc>
      </w:tr>
      <w:tr w14:paraId="1E31E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419" w:type="pct"/>
            <w:vMerge w:val="continue"/>
            <w:vAlign w:val="center"/>
          </w:tcPr>
          <w:p w14:paraId="12A0A0BD">
            <w:pPr>
              <w:pStyle w:val="50"/>
              <w:jc w:val="center"/>
              <w:rPr>
                <w:rFonts w:hint="eastAsia" w:ascii="宋体" w:hAnsi="宋体" w:eastAsia="宋体" w:cs="宋体"/>
                <w:color w:val="auto"/>
                <w:sz w:val="21"/>
                <w:szCs w:val="21"/>
                <w:highlight w:val="none"/>
              </w:rPr>
            </w:pPr>
          </w:p>
        </w:tc>
        <w:tc>
          <w:tcPr>
            <w:tcW w:w="834" w:type="pct"/>
            <w:tcBorders>
              <w:top w:val="single" w:color="auto" w:sz="4" w:space="0"/>
            </w:tcBorders>
            <w:vAlign w:val="center"/>
          </w:tcPr>
          <w:p w14:paraId="5417D7F6">
            <w:pPr>
              <w:pStyle w:val="65"/>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售后服务方案</w:t>
            </w:r>
          </w:p>
        </w:tc>
        <w:tc>
          <w:tcPr>
            <w:tcW w:w="532" w:type="pct"/>
            <w:vAlign w:val="center"/>
          </w:tcPr>
          <w:p w14:paraId="458346B8">
            <w:pPr>
              <w:pStyle w:val="89"/>
              <w:spacing w:before="74" w:line="282" w:lineRule="exact"/>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7分</w:t>
            </w:r>
          </w:p>
        </w:tc>
        <w:tc>
          <w:tcPr>
            <w:tcW w:w="6037" w:type="dxa"/>
            <w:vAlign w:val="center"/>
          </w:tcPr>
          <w:p w14:paraId="5BD9BDDF">
            <w:pPr>
              <w:widowControl/>
              <w:jc w:val="left"/>
              <w:rPr>
                <w:rFonts w:hint="eastAsia" w:ascii="宋体" w:hAnsi="宋体" w:eastAsia="宋体" w:cs="宋体"/>
                <w:kern w:val="0"/>
                <w:sz w:val="21"/>
                <w:szCs w:val="24"/>
                <w:highlight w:val="none"/>
                <w:lang w:val="en-US" w:eastAsia="zh-CN" w:bidi="ar-SA"/>
              </w:rPr>
            </w:pPr>
            <w:r>
              <w:rPr>
                <w:rFonts w:hint="default" w:ascii="宋体" w:hAnsi="宋体" w:eastAsia="宋体" w:cs="宋体"/>
                <w:kern w:val="0"/>
                <w:sz w:val="21"/>
                <w:szCs w:val="24"/>
                <w:highlight w:val="none"/>
                <w:lang w:val="en-US" w:eastAsia="zh-CN" w:bidi="ar-SA"/>
              </w:rPr>
              <w:t>1</w:t>
            </w:r>
            <w:r>
              <w:rPr>
                <w:rFonts w:hint="eastAsia" w:ascii="宋体" w:hAnsi="宋体" w:eastAsia="宋体" w:cs="宋体"/>
                <w:kern w:val="0"/>
                <w:sz w:val="21"/>
                <w:szCs w:val="24"/>
                <w:highlight w:val="none"/>
                <w:lang w:val="en-US" w:eastAsia="zh-CN" w:bidi="ar-SA"/>
              </w:rPr>
              <w:t>、投标人在满足招标文件要求的质保期内，对本项目实施的售后服务方案及承诺（包括响应时间和对产品使用效果、包括生产厂商的选择、制造过程、检测措施、实验过程、产品交接过程、网点分布，修复时间、设备生产厂家技术售后服务承诺、技术指导承诺、安装调试方案、售后服务措施等）进行综合评价：标准严格、承诺详尽且完善、保障措施服务方案描述完整者得</w:t>
            </w:r>
            <w:r>
              <w:rPr>
                <w:rFonts w:hint="eastAsia" w:cs="宋体"/>
                <w:kern w:val="0"/>
                <w:sz w:val="21"/>
                <w:szCs w:val="24"/>
                <w:highlight w:val="none"/>
                <w:lang w:val="en-US" w:eastAsia="zh-CN" w:bidi="ar-SA"/>
              </w:rPr>
              <w:t>4</w:t>
            </w:r>
            <w:r>
              <w:rPr>
                <w:rFonts w:hint="eastAsia" w:ascii="宋体" w:hAnsi="宋体" w:eastAsia="宋体" w:cs="宋体"/>
                <w:kern w:val="0"/>
                <w:sz w:val="21"/>
                <w:szCs w:val="24"/>
                <w:highlight w:val="none"/>
                <w:lang w:val="en-US" w:eastAsia="zh-CN" w:bidi="ar-SA"/>
              </w:rPr>
              <w:t>分。</w:t>
            </w:r>
          </w:p>
          <w:p w14:paraId="28B8C4F6">
            <w:pPr>
              <w:widowControl/>
              <w:jc w:val="left"/>
              <w:rPr>
                <w:rFonts w:hint="eastAsia" w:ascii="宋体" w:hAnsi="宋体" w:eastAsia="宋体" w:cs="宋体"/>
                <w:kern w:val="0"/>
                <w:sz w:val="21"/>
                <w:szCs w:val="24"/>
                <w:highlight w:val="none"/>
                <w:lang w:val="en-US" w:eastAsia="zh-CN" w:bidi="ar-SA"/>
              </w:rPr>
            </w:pPr>
            <w:r>
              <w:rPr>
                <w:rFonts w:hint="eastAsia" w:ascii="宋体" w:hAnsi="宋体" w:eastAsia="宋体" w:cs="宋体"/>
                <w:kern w:val="0"/>
                <w:sz w:val="21"/>
                <w:szCs w:val="24"/>
                <w:highlight w:val="none"/>
                <w:lang w:val="en-US" w:eastAsia="zh-CN" w:bidi="ar-SA"/>
              </w:rPr>
              <w:t>2、投标人质保期满后，投标人负责提供终身维修服务方案（包括响应时间、网点分布、设备收取零配件、备件费等）进行综合评价：维修服务方案描述完整者得3分。</w:t>
            </w:r>
          </w:p>
          <w:p w14:paraId="54327B34">
            <w:pPr>
              <w:spacing w:line="360" w:lineRule="auto"/>
              <w:jc w:val="left"/>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kern w:val="0"/>
                <w:sz w:val="21"/>
                <w:szCs w:val="24"/>
                <w:highlight w:val="none"/>
                <w:lang w:val="en-US" w:eastAsia="zh-CN" w:bidi="ar-SA"/>
              </w:rPr>
              <w:t>注：经专家评审所提供方案缺项漏项或不满足项目需求的扣1分，扣完为止；未提供不得分。</w:t>
            </w:r>
          </w:p>
        </w:tc>
      </w:tr>
      <w:tr w14:paraId="10782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254" w:type="pct"/>
            <w:gridSpan w:val="2"/>
            <w:vAlign w:val="center"/>
          </w:tcPr>
          <w:p w14:paraId="1F1436FF">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532" w:type="pct"/>
            <w:tcBorders>
              <w:bottom w:val="single" w:color="auto" w:sz="4" w:space="0"/>
            </w:tcBorders>
            <w:vAlign w:val="center"/>
          </w:tcPr>
          <w:p w14:paraId="2C7F1184">
            <w:pPr>
              <w:pStyle w:val="5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=SUM(ABOVE)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lang w:val="en-US" w:eastAsia="zh-CN"/>
              </w:rPr>
              <w:t>分</w:t>
            </w:r>
          </w:p>
        </w:tc>
        <w:tc>
          <w:tcPr>
            <w:tcW w:w="3213" w:type="pct"/>
            <w:tcBorders>
              <w:bottom w:val="single" w:color="auto" w:sz="4" w:space="0"/>
            </w:tcBorders>
            <w:vAlign w:val="center"/>
          </w:tcPr>
          <w:p w14:paraId="7EBD69F8">
            <w:pPr>
              <w:pStyle w:val="50"/>
              <w:rPr>
                <w:rFonts w:hint="eastAsia" w:ascii="宋体" w:hAnsi="宋体" w:eastAsia="宋体" w:cs="宋体"/>
                <w:color w:val="auto"/>
                <w:sz w:val="21"/>
                <w:szCs w:val="21"/>
                <w:highlight w:val="none"/>
              </w:rPr>
            </w:pPr>
          </w:p>
        </w:tc>
      </w:tr>
    </w:tbl>
    <w:p w14:paraId="556C1DD4">
      <w:pPr>
        <w:pStyle w:val="38"/>
        <w:rPr>
          <w:rFonts w:hint="eastAsia"/>
          <w:color w:val="auto"/>
          <w:highlight w:val="none"/>
        </w:rPr>
      </w:pPr>
    </w:p>
    <w:p w14:paraId="1F09558C">
      <w:pPr>
        <w:pStyle w:val="38"/>
        <w:rPr>
          <w:rFonts w:hint="eastAsia"/>
          <w:color w:val="auto"/>
          <w:highlight w:val="none"/>
        </w:rPr>
      </w:pPr>
    </w:p>
    <w:p w14:paraId="57C0DA27">
      <w:pPr>
        <w:pStyle w:val="38"/>
        <w:rPr>
          <w:rFonts w:hint="eastAsia"/>
          <w:color w:val="auto"/>
          <w:highlight w:val="none"/>
        </w:rPr>
      </w:pPr>
    </w:p>
    <w:p w14:paraId="7E1FEFF0">
      <w:pPr>
        <w:rPr>
          <w:color w:val="auto"/>
          <w:highlight w:val="none"/>
          <w:lang w:val="zh-CN"/>
        </w:rPr>
        <w:sectPr>
          <w:headerReference r:id="rId9" w:type="default"/>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54C87150">
      <w:pPr>
        <w:pStyle w:val="3"/>
        <w:keepNext/>
        <w:keepLines/>
        <w:pageBreakBefore w:val="0"/>
        <w:widowControl w:val="0"/>
        <w:numPr>
          <w:ilvl w:val="0"/>
          <w:numId w:val="0"/>
        </w:numPr>
        <w:kinsoku/>
        <w:wordWrap/>
        <w:overflowPunct/>
        <w:topLinePunct w:val="0"/>
        <w:autoSpaceDE/>
        <w:autoSpaceDN/>
        <w:bidi w:val="0"/>
        <w:adjustRightInd/>
        <w:snapToGrid/>
        <w:spacing w:before="220" w:after="220" w:line="480" w:lineRule="auto"/>
        <w:jc w:val="center"/>
        <w:textAlignment w:val="auto"/>
        <w:rPr>
          <w:rFonts w:hint="eastAsia" w:ascii="宋体" w:hAnsi="宋体" w:eastAsia="宋体" w:cs="宋体"/>
          <w:b/>
          <w:bCs/>
          <w:color w:val="auto"/>
          <w:kern w:val="44"/>
          <w:sz w:val="36"/>
          <w:szCs w:val="36"/>
          <w:highlight w:val="none"/>
          <w:lang w:val="zh-CN" w:eastAsia="zh-CN" w:bidi="ar-SA"/>
        </w:rPr>
      </w:pPr>
      <w:bookmarkStart w:id="671" w:name="_Toc155185918"/>
      <w:bookmarkStart w:id="672" w:name="_Toc10743"/>
      <w:r>
        <w:rPr>
          <w:rFonts w:hint="eastAsia" w:ascii="宋体" w:hAnsi="宋体" w:eastAsia="宋体" w:cs="宋体"/>
          <w:b/>
          <w:bCs/>
          <w:color w:val="auto"/>
          <w:kern w:val="44"/>
          <w:sz w:val="36"/>
          <w:szCs w:val="36"/>
          <w:highlight w:val="none"/>
          <w:lang w:val="zh-CN" w:eastAsia="zh-CN" w:bidi="ar-SA"/>
        </w:rPr>
        <w:t>第六章 合同</w:t>
      </w:r>
      <w:bookmarkEnd w:id="671"/>
      <w:r>
        <w:rPr>
          <w:rFonts w:hint="eastAsia" w:ascii="宋体" w:hAnsi="宋体" w:eastAsia="宋体" w:cs="宋体"/>
          <w:b/>
          <w:bCs/>
          <w:color w:val="auto"/>
          <w:kern w:val="44"/>
          <w:sz w:val="36"/>
          <w:szCs w:val="36"/>
          <w:highlight w:val="none"/>
          <w:lang w:val="zh-CN" w:eastAsia="zh-CN" w:bidi="ar-SA"/>
        </w:rPr>
        <w:t>草案</w:t>
      </w:r>
      <w:bookmarkEnd w:id="672"/>
    </w:p>
    <w:p w14:paraId="290EAE22">
      <w:pPr>
        <w:rPr>
          <w:color w:val="auto"/>
          <w:highlight w:val="none"/>
          <w:lang w:val="zh-CN"/>
        </w:rPr>
      </w:pPr>
    </w:p>
    <w:p w14:paraId="0F73DEB3">
      <w:pPr>
        <w:wordWrap w:val="0"/>
        <w:jc w:val="center"/>
        <w:rPr>
          <w:rFonts w:hint="eastAsia" w:eastAsia="宋体"/>
          <w:bCs/>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rPr>
        <w:t>此合同书仅作为签订正式合同时的参考，正式合同书应包括本参考格式的内容</w:t>
      </w:r>
      <w:r>
        <w:rPr>
          <w:rFonts w:hint="eastAsia"/>
          <w:color w:val="auto"/>
          <w:sz w:val="24"/>
          <w:szCs w:val="24"/>
          <w:highlight w:val="none"/>
          <w:lang w:eastAsia="zh-CN"/>
        </w:rPr>
        <w:t>】</w:t>
      </w:r>
    </w:p>
    <w:p w14:paraId="51E629DD">
      <w:pPr>
        <w:wordWrap w:val="0"/>
        <w:rPr>
          <w:bCs/>
          <w:color w:val="auto"/>
          <w:sz w:val="24"/>
          <w:szCs w:val="24"/>
          <w:highlight w:val="none"/>
        </w:rPr>
      </w:pPr>
      <w:r>
        <w:rPr>
          <w:rFonts w:hint="eastAsia" w:cs="Helvetica"/>
          <w:bCs/>
          <w:color w:val="auto"/>
          <w:sz w:val="24"/>
          <w:szCs w:val="24"/>
          <w:highlight w:val="none"/>
          <w:lang w:val="zh-CN"/>
        </w:rPr>
        <w:t>合同编号：</w:t>
      </w:r>
      <w:r>
        <w:rPr>
          <w:rFonts w:hint="eastAsia" w:cs="Helvetica"/>
          <w:bCs/>
          <w:color w:val="auto"/>
          <w:sz w:val="24"/>
          <w:szCs w:val="24"/>
          <w:highlight w:val="none"/>
          <w:u w:val="single"/>
        </w:rPr>
        <w:t xml:space="preserve">              </w:t>
      </w:r>
    </w:p>
    <w:p w14:paraId="453FD5DE">
      <w:pPr>
        <w:pStyle w:val="14"/>
        <w:spacing w:after="0"/>
        <w:jc w:val="center"/>
        <w:rPr>
          <w:rFonts w:ascii="宋体" w:hAnsi="宋体" w:cs="宋体"/>
          <w:b/>
          <w:bCs/>
          <w:color w:val="auto"/>
          <w:spacing w:val="-20"/>
          <w:kern w:val="44"/>
          <w:sz w:val="48"/>
          <w:szCs w:val="48"/>
          <w:highlight w:val="none"/>
        </w:rPr>
      </w:pPr>
      <w:bookmarkStart w:id="673" w:name="_Toc3995"/>
    </w:p>
    <w:p w14:paraId="4DD54709">
      <w:pPr>
        <w:pStyle w:val="14"/>
        <w:spacing w:after="0"/>
        <w:jc w:val="center"/>
        <w:rPr>
          <w:rFonts w:ascii="宋体" w:hAnsi="宋体" w:cs="宋体"/>
          <w:b/>
          <w:bCs/>
          <w:color w:val="auto"/>
          <w:spacing w:val="-20"/>
          <w:kern w:val="44"/>
          <w:sz w:val="48"/>
          <w:szCs w:val="48"/>
          <w:highlight w:val="none"/>
        </w:rPr>
      </w:pPr>
    </w:p>
    <w:p w14:paraId="1471AFF4">
      <w:pPr>
        <w:pStyle w:val="14"/>
        <w:spacing w:after="0"/>
        <w:jc w:val="center"/>
        <w:rPr>
          <w:rFonts w:ascii="宋体" w:hAnsi="宋体" w:cs="宋体"/>
          <w:b/>
          <w:bCs/>
          <w:color w:val="auto"/>
          <w:spacing w:val="-20"/>
          <w:kern w:val="44"/>
          <w:sz w:val="48"/>
          <w:szCs w:val="48"/>
          <w:highlight w:val="none"/>
        </w:rPr>
      </w:pPr>
    </w:p>
    <w:p w14:paraId="71BEC943">
      <w:pPr>
        <w:pStyle w:val="14"/>
        <w:spacing w:after="0"/>
        <w:jc w:val="center"/>
        <w:rPr>
          <w:rFonts w:hint="eastAsia" w:ascii="宋体" w:hAnsi="宋体" w:eastAsia="宋体" w:cs="宋体"/>
          <w:b/>
          <w:bCs/>
          <w:color w:val="auto"/>
          <w:spacing w:val="-20"/>
          <w:kern w:val="44"/>
          <w:sz w:val="44"/>
          <w:szCs w:val="44"/>
          <w:highlight w:val="none"/>
        </w:rPr>
      </w:pPr>
      <w:r>
        <w:rPr>
          <w:rFonts w:hint="eastAsia" w:ascii="宋体" w:hAnsi="宋体" w:eastAsia="宋体" w:cs="宋体"/>
          <w:b/>
          <w:bCs/>
          <w:color w:val="auto"/>
          <w:spacing w:val="-20"/>
          <w:kern w:val="44"/>
          <w:sz w:val="44"/>
          <w:szCs w:val="44"/>
          <w:highlight w:val="none"/>
        </w:rPr>
        <w:t>政府采购</w:t>
      </w:r>
      <w:r>
        <w:rPr>
          <w:rFonts w:hint="eastAsia" w:ascii="宋体" w:hAnsi="宋体" w:eastAsia="宋体" w:cs="宋体"/>
          <w:b/>
          <w:bCs/>
          <w:color w:val="auto"/>
          <w:spacing w:val="-20"/>
          <w:kern w:val="44"/>
          <w:sz w:val="44"/>
          <w:szCs w:val="44"/>
          <w:highlight w:val="none"/>
          <w:lang w:eastAsia="zh-CN"/>
        </w:rPr>
        <w:t>货物买卖</w:t>
      </w:r>
      <w:r>
        <w:rPr>
          <w:rFonts w:hint="eastAsia" w:ascii="宋体" w:hAnsi="宋体" w:eastAsia="宋体" w:cs="宋体"/>
          <w:b/>
          <w:bCs/>
          <w:color w:val="auto"/>
          <w:spacing w:val="-20"/>
          <w:kern w:val="44"/>
          <w:sz w:val="44"/>
          <w:szCs w:val="44"/>
          <w:highlight w:val="none"/>
        </w:rPr>
        <w:t>合同</w:t>
      </w:r>
    </w:p>
    <w:p w14:paraId="2D8DEEA6">
      <w:pPr>
        <w:pStyle w:val="14"/>
        <w:spacing w:after="0"/>
        <w:jc w:val="center"/>
        <w:rPr>
          <w:rFonts w:hint="eastAsia" w:ascii="宋体" w:hAnsi="宋体" w:eastAsia="宋体" w:cs="宋体"/>
          <w:b/>
          <w:bCs/>
          <w:color w:val="auto"/>
          <w:spacing w:val="-20"/>
          <w:kern w:val="44"/>
          <w:sz w:val="44"/>
          <w:szCs w:val="44"/>
          <w:highlight w:val="none"/>
          <w:lang w:eastAsia="zh-CN"/>
        </w:rPr>
      </w:pPr>
      <w:r>
        <w:rPr>
          <w:rFonts w:hint="eastAsia" w:ascii="宋体" w:hAnsi="宋体" w:eastAsia="宋体" w:cs="宋体"/>
          <w:b/>
          <w:bCs/>
          <w:color w:val="auto"/>
          <w:spacing w:val="-20"/>
          <w:kern w:val="44"/>
          <w:sz w:val="44"/>
          <w:szCs w:val="44"/>
          <w:highlight w:val="none"/>
          <w:lang w:eastAsia="zh-CN"/>
        </w:rPr>
        <w:t>（试行）</w:t>
      </w:r>
    </w:p>
    <w:p w14:paraId="6894012D">
      <w:pPr>
        <w:rPr>
          <w:rFonts w:ascii="宋体" w:hAnsi="宋体" w:cs="宋体"/>
          <w:b/>
          <w:bCs/>
          <w:color w:val="auto"/>
          <w:spacing w:val="-20"/>
          <w:kern w:val="44"/>
          <w:sz w:val="40"/>
          <w:szCs w:val="40"/>
          <w:highlight w:val="none"/>
        </w:rPr>
      </w:pPr>
    </w:p>
    <w:p w14:paraId="1F202B9E">
      <w:pPr>
        <w:rPr>
          <w:rFonts w:ascii="宋体" w:hAnsi="宋体" w:cs="宋体"/>
          <w:b/>
          <w:bCs/>
          <w:color w:val="auto"/>
          <w:spacing w:val="-20"/>
          <w:kern w:val="44"/>
          <w:sz w:val="40"/>
          <w:szCs w:val="40"/>
          <w:highlight w:val="none"/>
        </w:rPr>
      </w:pPr>
    </w:p>
    <w:p w14:paraId="081AFCCE">
      <w:pPr>
        <w:rPr>
          <w:rFonts w:ascii="宋体" w:hAnsi="宋体" w:cs="宋体"/>
          <w:b/>
          <w:bCs/>
          <w:color w:val="auto"/>
          <w:spacing w:val="-20"/>
          <w:kern w:val="44"/>
          <w:sz w:val="40"/>
          <w:szCs w:val="40"/>
          <w:highlight w:val="none"/>
        </w:rPr>
      </w:pPr>
    </w:p>
    <w:p w14:paraId="6673C93A">
      <w:pPr>
        <w:spacing w:line="360" w:lineRule="auto"/>
        <w:ind w:left="400" w:leftChars="200"/>
        <w:rPr>
          <w:color w:val="auto"/>
          <w:sz w:val="36"/>
          <w:szCs w:val="36"/>
          <w:highlight w:val="none"/>
        </w:rPr>
      </w:pPr>
      <w:r>
        <w:rPr>
          <w:rFonts w:hint="eastAsia" w:ascii="宋体" w:hAnsi="宋体" w:cs="宋体"/>
          <w:color w:val="auto"/>
          <w:kern w:val="0"/>
          <w:sz w:val="36"/>
          <w:szCs w:val="36"/>
          <w:highlight w:val="none"/>
        </w:rPr>
        <w:t>项目名称：</w:t>
      </w:r>
      <w:r>
        <w:rPr>
          <w:rFonts w:hint="eastAsia"/>
          <w:color w:val="auto"/>
          <w:sz w:val="36"/>
          <w:szCs w:val="36"/>
          <w:highlight w:val="none"/>
          <w:u w:val="single"/>
        </w:rPr>
        <w:t xml:space="preserve">                             </w:t>
      </w:r>
    </w:p>
    <w:p w14:paraId="3AA2BFC4">
      <w:pPr>
        <w:spacing w:line="360" w:lineRule="auto"/>
        <w:ind w:left="400" w:leftChars="200"/>
        <w:rPr>
          <w:color w:val="auto"/>
          <w:sz w:val="36"/>
          <w:szCs w:val="36"/>
          <w:highlight w:val="none"/>
          <w:u w:val="single"/>
        </w:rPr>
      </w:pPr>
      <w:r>
        <w:rPr>
          <w:rFonts w:hint="eastAsia"/>
          <w:color w:val="auto"/>
          <w:sz w:val="36"/>
          <w:szCs w:val="36"/>
          <w:highlight w:val="none"/>
        </w:rPr>
        <w:t>合同编号：</w:t>
      </w:r>
      <w:r>
        <w:rPr>
          <w:rFonts w:hint="eastAsia"/>
          <w:color w:val="auto"/>
          <w:sz w:val="36"/>
          <w:szCs w:val="36"/>
          <w:highlight w:val="none"/>
          <w:u w:val="single"/>
        </w:rPr>
        <w:t xml:space="preserve">                             </w:t>
      </w:r>
    </w:p>
    <w:p w14:paraId="17A8F806">
      <w:pPr>
        <w:spacing w:line="360" w:lineRule="auto"/>
        <w:ind w:left="400" w:leftChars="200"/>
        <w:rPr>
          <w:color w:val="auto"/>
          <w:sz w:val="36"/>
          <w:szCs w:val="36"/>
          <w:highlight w:val="none"/>
        </w:rPr>
      </w:pPr>
      <w:r>
        <w:rPr>
          <w:rFonts w:hint="eastAsia"/>
          <w:color w:val="auto"/>
          <w:sz w:val="36"/>
          <w:szCs w:val="36"/>
          <w:highlight w:val="none"/>
        </w:rPr>
        <w:t>甲    方：</w:t>
      </w:r>
      <w:r>
        <w:rPr>
          <w:rFonts w:hint="eastAsia"/>
          <w:color w:val="auto"/>
          <w:sz w:val="36"/>
          <w:szCs w:val="36"/>
          <w:highlight w:val="none"/>
          <w:u w:val="single"/>
        </w:rPr>
        <w:t xml:space="preserve">                             </w:t>
      </w:r>
    </w:p>
    <w:p w14:paraId="5A1FCD07">
      <w:pPr>
        <w:spacing w:line="360" w:lineRule="auto"/>
        <w:ind w:left="400" w:leftChars="200"/>
        <w:rPr>
          <w:color w:val="auto"/>
          <w:sz w:val="36"/>
          <w:szCs w:val="36"/>
          <w:highlight w:val="none"/>
          <w:u w:val="single"/>
        </w:rPr>
      </w:pPr>
      <w:r>
        <w:rPr>
          <w:rFonts w:hint="eastAsia"/>
          <w:color w:val="auto"/>
          <w:sz w:val="36"/>
          <w:szCs w:val="36"/>
          <w:highlight w:val="none"/>
        </w:rPr>
        <w:t>乙    方：</w:t>
      </w:r>
      <w:r>
        <w:rPr>
          <w:rFonts w:hint="eastAsia"/>
          <w:color w:val="auto"/>
          <w:sz w:val="36"/>
          <w:szCs w:val="36"/>
          <w:highlight w:val="none"/>
          <w:u w:val="single"/>
        </w:rPr>
        <w:t xml:space="preserve">                             </w:t>
      </w:r>
    </w:p>
    <w:p w14:paraId="772DCE52">
      <w:pPr>
        <w:spacing w:line="360" w:lineRule="auto"/>
        <w:ind w:left="400" w:leftChars="200"/>
        <w:rPr>
          <w:color w:val="auto"/>
          <w:sz w:val="36"/>
          <w:szCs w:val="36"/>
          <w:highlight w:val="none"/>
        </w:rPr>
      </w:pPr>
      <w:r>
        <w:rPr>
          <w:rFonts w:hint="eastAsia"/>
          <w:color w:val="auto"/>
          <w:sz w:val="36"/>
          <w:szCs w:val="36"/>
          <w:highlight w:val="none"/>
        </w:rPr>
        <w:t>签订时间：</w:t>
      </w:r>
      <w:r>
        <w:rPr>
          <w:rFonts w:hint="eastAsia"/>
          <w:color w:val="auto"/>
          <w:sz w:val="36"/>
          <w:szCs w:val="36"/>
          <w:highlight w:val="none"/>
          <w:u w:val="single"/>
        </w:rPr>
        <w:t xml:space="preserve">      </w:t>
      </w:r>
      <w:r>
        <w:rPr>
          <w:color w:val="auto"/>
          <w:sz w:val="36"/>
          <w:szCs w:val="36"/>
          <w:highlight w:val="none"/>
          <w:u w:val="single"/>
        </w:rPr>
        <w:t xml:space="preserve">           </w:t>
      </w:r>
      <w:r>
        <w:rPr>
          <w:rFonts w:hint="eastAsia"/>
          <w:color w:val="auto"/>
          <w:sz w:val="36"/>
          <w:szCs w:val="36"/>
          <w:highlight w:val="none"/>
          <w:u w:val="single"/>
        </w:rPr>
        <w:t xml:space="preserve">            </w:t>
      </w:r>
    </w:p>
    <w:p w14:paraId="15CE477A">
      <w:pPr>
        <w:rPr>
          <w:color w:val="auto"/>
          <w:highlight w:val="none"/>
        </w:rPr>
      </w:pPr>
    </w:p>
    <w:p w14:paraId="6DC7E545">
      <w:pPr>
        <w:rPr>
          <w:rFonts w:eastAsia="黑体"/>
          <w:color w:val="auto"/>
          <w:sz w:val="44"/>
          <w:szCs w:val="44"/>
          <w:highlight w:val="none"/>
        </w:rPr>
      </w:pPr>
      <w:r>
        <w:rPr>
          <w:rFonts w:eastAsia="黑体"/>
          <w:color w:val="auto"/>
          <w:sz w:val="44"/>
          <w:szCs w:val="44"/>
          <w:highlight w:val="none"/>
        </w:rPr>
        <w:br w:type="page"/>
      </w:r>
    </w:p>
    <w:p w14:paraId="248E6903">
      <w:pPr>
        <w:rPr>
          <w:rFonts w:eastAsia="黑体"/>
          <w:color w:val="auto"/>
          <w:sz w:val="44"/>
          <w:szCs w:val="44"/>
          <w:highlight w:val="none"/>
        </w:rPr>
      </w:pPr>
    </w:p>
    <w:p w14:paraId="4A7C638C">
      <w:pPr>
        <w:jc w:val="center"/>
        <w:rPr>
          <w:rFonts w:hint="eastAsia" w:ascii="宋体" w:hAnsi="宋体" w:eastAsia="宋体" w:cs="宋体"/>
          <w:b/>
          <w:bCs/>
          <w:color w:val="auto"/>
          <w:sz w:val="36"/>
          <w:szCs w:val="36"/>
          <w:highlight w:val="none"/>
          <w:lang w:eastAsia="zh-CN"/>
        </w:rPr>
      </w:pPr>
      <w:r>
        <w:rPr>
          <w:rFonts w:hint="eastAsia" w:ascii="宋体" w:hAnsi="宋体" w:eastAsia="宋体" w:cs="宋体"/>
          <w:b/>
          <w:bCs/>
          <w:color w:val="auto"/>
          <w:sz w:val="36"/>
          <w:szCs w:val="36"/>
          <w:highlight w:val="none"/>
          <w:lang w:eastAsia="zh-CN"/>
        </w:rPr>
        <w:t>使</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lang w:eastAsia="zh-CN"/>
        </w:rPr>
        <w:t>用</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lang w:eastAsia="zh-CN"/>
        </w:rPr>
        <w:t>说</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lang w:eastAsia="zh-CN"/>
        </w:rPr>
        <w:t>明</w:t>
      </w:r>
    </w:p>
    <w:p w14:paraId="6B592E2F">
      <w:pPr>
        <w:ind w:firstLine="640" w:firstLineChars="200"/>
        <w:rPr>
          <w:rFonts w:hint="eastAsia" w:ascii="仿宋_GB2312" w:hAnsi="仿宋_GB2312" w:eastAsia="仿宋_GB2312" w:cs="仿宋_GB2312"/>
          <w:color w:val="auto"/>
          <w:sz w:val="32"/>
          <w:szCs w:val="32"/>
          <w:highlight w:val="none"/>
          <w:lang w:val="en-US" w:eastAsia="zh-CN"/>
        </w:rPr>
      </w:pPr>
    </w:p>
    <w:p w14:paraId="3CAECAF9">
      <w:pPr>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1.本合同标准文本适用于购买现成货物的采购项目，不包括需要投标人定制开发、创新研发的货物采购项目。</w:t>
      </w:r>
    </w:p>
    <w:p w14:paraId="2627C031">
      <w:pPr>
        <w:ind w:firstLine="0" w:firstLineChars="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 xml:space="preserve">    2.本合同标准文本为政府采购货物买卖合同编制提供参考，可以结合采购项目具体情况，对文本作必要的调整修订后使用。</w:t>
      </w:r>
    </w:p>
    <w:p w14:paraId="1C280F5C">
      <w:pPr>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3.本合同标准文本各条款中，如涉及填写多家投标人、制造商，多种采购标的、分包主要内容等信息的，可根据采购项目具体情况添加信息项。</w:t>
      </w:r>
    </w:p>
    <w:p w14:paraId="794B3A8B">
      <w:pPr>
        <w:ind w:firstLine="560" w:firstLineChars="200"/>
        <w:jc w:val="both"/>
        <w:rPr>
          <w:rFonts w:hint="eastAsia" w:ascii="宋体" w:hAnsi="宋体" w:eastAsia="宋体" w:cs="宋体"/>
          <w:color w:val="auto"/>
          <w:sz w:val="28"/>
          <w:szCs w:val="28"/>
          <w:highlight w:val="none"/>
        </w:rPr>
        <w:sectPr>
          <w:headerReference r:id="rId11" w:type="default"/>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bookmarkEnd w:id="673"/>
    <w:p w14:paraId="3276BAC0">
      <w:pPr>
        <w:pStyle w:val="4"/>
        <w:adjustRightInd w:val="0"/>
        <w:snapToGrid w:val="0"/>
        <w:spacing w:beforeLines="0" w:line="400" w:lineRule="exact"/>
        <w:jc w:val="center"/>
        <w:rPr>
          <w:rFonts w:hint="eastAsia" w:ascii="宋体" w:hAnsi="宋体" w:eastAsia="宋体" w:cs="宋体"/>
          <w:b/>
          <w:bCs/>
          <w:color w:val="auto"/>
          <w:sz w:val="36"/>
          <w:szCs w:val="36"/>
          <w:highlight w:val="none"/>
        </w:rPr>
      </w:pPr>
      <w:bookmarkStart w:id="674" w:name="_Toc22209"/>
      <w:bookmarkStart w:id="675" w:name="_Toc14743"/>
      <w:r>
        <w:rPr>
          <w:rFonts w:hint="eastAsia" w:ascii="宋体" w:hAnsi="宋体" w:eastAsia="宋体" w:cs="宋体"/>
          <w:b/>
          <w:bCs/>
          <w:color w:val="auto"/>
          <w:sz w:val="36"/>
          <w:szCs w:val="36"/>
          <w:highlight w:val="none"/>
        </w:rPr>
        <w:t>第一节 政府采购合同协议书</w:t>
      </w:r>
      <w:bookmarkEnd w:id="674"/>
      <w:bookmarkEnd w:id="675"/>
    </w:p>
    <w:p w14:paraId="65911421">
      <w:pPr>
        <w:keepNext/>
        <w:keepLines/>
        <w:pageBreakBefore w:val="0"/>
        <w:widowControl w:val="0"/>
        <w:kinsoku/>
        <w:wordWrap/>
        <w:overflowPunct/>
        <w:topLinePunct w:val="0"/>
        <w:autoSpaceDE/>
        <w:autoSpaceDN/>
        <w:bidi w:val="0"/>
        <w:adjustRightInd w:val="0"/>
        <w:snapToGrid w:val="0"/>
        <w:spacing w:before="140" w:beforeLines="0" w:after="140" w:line="400" w:lineRule="exact"/>
        <w:jc w:val="center"/>
        <w:textAlignment w:val="auto"/>
        <w:outlineLvl w:val="9"/>
        <w:rPr>
          <w:rFonts w:hint="eastAsia" w:ascii="黑体" w:hAnsi="华文中宋" w:eastAsia="黑体"/>
          <w:b w:val="0"/>
          <w:bCs w:val="0"/>
          <w:color w:val="auto"/>
          <w:sz w:val="28"/>
          <w:szCs w:val="28"/>
          <w:highlight w:val="none"/>
        </w:rPr>
      </w:pPr>
    </w:p>
    <w:p w14:paraId="7749E471">
      <w:pPr>
        <w:adjustRightInd w:val="0"/>
        <w:snapToGrid w:val="0"/>
        <w:spacing w:before="0" w:beforeLines="0" w:line="400" w:lineRule="exact"/>
        <w:ind w:left="4800" w:hanging="4200" w:hangingChars="20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甲方（全称）：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（采购人</w:t>
      </w:r>
      <w:r>
        <w:rPr>
          <w:rFonts w:hint="eastAsia" w:ascii="宋体" w:hAnsi="宋体" w:eastAsia="宋体" w:cs="宋体"/>
          <w:color w:val="auto"/>
          <w:sz w:val="21"/>
          <w:szCs w:val="21"/>
          <w:highlight w:val="none"/>
          <w:lang w:eastAsia="zh-CN"/>
        </w:rPr>
        <w:t>、受采购人委托签订合同的单位</w:t>
      </w:r>
      <w:r>
        <w:rPr>
          <w:rFonts w:hint="eastAsia" w:ascii="宋体" w:hAnsi="宋体" w:eastAsia="宋体" w:cs="宋体"/>
          <w:color w:val="auto"/>
          <w:sz w:val="21"/>
          <w:szCs w:val="21"/>
          <w:highlight w:val="none"/>
        </w:rPr>
        <w:t>或采购文件约定的合同甲方）</w:t>
      </w:r>
    </w:p>
    <w:p w14:paraId="5F8C6ADE">
      <w:pPr>
        <w:adjustRightInd w:val="0"/>
        <w:snapToGrid w:val="0"/>
        <w:spacing w:before="0" w:beforeLines="0"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（全称）：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w:t>
      </w:r>
    </w:p>
    <w:p w14:paraId="294172C4">
      <w:pPr>
        <w:adjustRightInd w:val="0"/>
        <w:snapToGrid w:val="0"/>
        <w:spacing w:before="0" w:beforeLines="0" w:line="400" w:lineRule="exact"/>
        <w:ind w:left="5040" w:hanging="4410" w:hangingChars="2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乙方2（全称）：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（联合体成员</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或其他合同主体）（如有）</w:t>
      </w:r>
    </w:p>
    <w:p w14:paraId="5F8DC28B">
      <w:pPr>
        <w:adjustRightInd w:val="0"/>
        <w:snapToGrid w:val="0"/>
        <w:spacing w:before="0" w:beforeLines="0" w:line="400" w:lineRule="exact"/>
        <w:ind w:left="5040" w:hanging="4410" w:hangingChars="2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lang w:val="en-US" w:eastAsia="zh-CN"/>
        </w:rPr>
        <w:t>3（全称）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（联合体成员</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或其他合同主体）（如有）</w:t>
      </w:r>
    </w:p>
    <w:p w14:paraId="7295A8B9">
      <w:pPr>
        <w:spacing w:beforeLines="0" w:line="400" w:lineRule="exact"/>
        <w:rPr>
          <w:rFonts w:hint="eastAsia" w:ascii="宋体" w:hAnsi="宋体" w:eastAsia="宋体" w:cs="宋体"/>
          <w:color w:val="auto"/>
          <w:sz w:val="21"/>
          <w:szCs w:val="21"/>
          <w:highlight w:val="none"/>
          <w:lang w:val="en-US" w:eastAsia="zh-CN"/>
        </w:rPr>
      </w:pPr>
    </w:p>
    <w:p w14:paraId="73AFFB38">
      <w:pPr>
        <w:pStyle w:val="17"/>
        <w:adjustRightInd w:val="0"/>
        <w:snapToGrid w:val="0"/>
        <w:spacing w:before="0" w:beforeLines="0" w:after="0" w:line="40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依据《中华人民共和国民法典》</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《中华人民共和国政府采购法》等有关的法律法规，以及</w:t>
      </w:r>
      <w:r>
        <w:rPr>
          <w:rFonts w:hint="eastAsia" w:ascii="宋体" w:hAnsi="宋体" w:eastAsia="宋体" w:cs="宋体"/>
          <w:i w:val="0"/>
          <w:iCs w:val="0"/>
          <w:color w:val="auto"/>
          <w:sz w:val="21"/>
          <w:szCs w:val="21"/>
          <w:highlight w:val="none"/>
          <w:u w:val="none"/>
          <w:lang w:eastAsia="zh-CN"/>
        </w:rPr>
        <w:t>本采购项目</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CN"/>
        </w:rPr>
        <w:t>招标</w:t>
      </w:r>
      <w:r>
        <w:rPr>
          <w:rFonts w:hint="eastAsia" w:ascii="宋体" w:hAnsi="宋体" w:eastAsia="宋体" w:cs="宋体"/>
          <w:color w:val="auto"/>
          <w:sz w:val="21"/>
          <w:szCs w:val="21"/>
          <w:highlight w:val="none"/>
          <w:lang w:val="en-US" w:eastAsia="zh-CN"/>
        </w:rPr>
        <w:t>/谈判</w:t>
      </w:r>
      <w:r>
        <w:rPr>
          <w:rFonts w:hint="eastAsia" w:ascii="宋体" w:hAnsi="宋体" w:eastAsia="宋体" w:cs="宋体"/>
          <w:color w:val="auto"/>
          <w:sz w:val="21"/>
          <w:szCs w:val="21"/>
          <w:highlight w:val="none"/>
          <w:lang w:eastAsia="zh-CN"/>
        </w:rPr>
        <w:t>文件等</w:t>
      </w:r>
      <w:r>
        <w:rPr>
          <w:rFonts w:hint="eastAsia" w:ascii="宋体" w:hAnsi="宋体" w:eastAsia="宋体" w:cs="宋体"/>
          <w:color w:val="auto"/>
          <w:sz w:val="21"/>
          <w:szCs w:val="21"/>
          <w:highlight w:val="none"/>
        </w:rPr>
        <w:t>采购文件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xml:space="preserve">乙方的《投标（响应）文件》及《中标（成交）通知书》，甲乙双方同意签订本合同。具体情况及要求如下：     </w:t>
      </w:r>
    </w:p>
    <w:p w14:paraId="2B03533E">
      <w:pPr>
        <w:numPr>
          <w:ilvl w:val="0"/>
          <w:numId w:val="7"/>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项目信息</w:t>
      </w:r>
    </w:p>
    <w:p w14:paraId="60DDE6F7">
      <w:pPr>
        <w:pStyle w:val="17"/>
        <w:numPr>
          <w:ilvl w:val="0"/>
          <w:numId w:val="8"/>
        </w:numPr>
        <w:adjustRightInd w:val="0"/>
        <w:snapToGrid w:val="0"/>
        <w:spacing w:before="0" w:beforeLines="0" w:after="0" w:line="400" w:lineRule="exact"/>
        <w:ind w:left="0" w:leftChars="0"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采购项目名称：</w:t>
      </w:r>
      <w:r>
        <w:rPr>
          <w:rFonts w:hint="eastAsia" w:ascii="宋体" w:hAnsi="宋体" w:eastAsia="宋体" w:cs="宋体"/>
          <w:color w:val="auto"/>
          <w:sz w:val="21"/>
          <w:szCs w:val="21"/>
          <w:highlight w:val="none"/>
          <w:u w:val="single"/>
        </w:rPr>
        <w:t xml:space="preserve">                                          </w:t>
      </w:r>
    </w:p>
    <w:p w14:paraId="71185B53">
      <w:pPr>
        <w:pStyle w:val="17"/>
        <w:numPr>
          <w:ilvl w:val="-1"/>
          <w:numId w:val="0"/>
        </w:numPr>
        <w:tabs>
          <w:tab w:val="left" w:pos="999"/>
        </w:tabs>
        <w:adjustRightInd w:val="0"/>
        <w:snapToGrid w:val="0"/>
        <w:spacing w:before="0" w:beforeLines="0" w:after="0" w:line="400" w:lineRule="exact"/>
        <w:ind w:left="0" w:leftChars="0" w:firstLine="0" w:firstLineChars="0"/>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 xml:space="preserve">         采购项目（包）编号：</w:t>
      </w:r>
      <w:r>
        <w:rPr>
          <w:rFonts w:hint="eastAsia" w:ascii="宋体" w:hAnsi="宋体" w:eastAsia="宋体" w:cs="宋体"/>
          <w:color w:val="auto"/>
          <w:sz w:val="21"/>
          <w:szCs w:val="21"/>
          <w:highlight w:val="none"/>
          <w:u w:val="single"/>
        </w:rPr>
        <w:t xml:space="preserve">                                    </w:t>
      </w:r>
    </w:p>
    <w:p w14:paraId="29C2DF94">
      <w:pPr>
        <w:pStyle w:val="17"/>
        <w:adjustRightInd w:val="0"/>
        <w:snapToGrid w:val="0"/>
        <w:spacing w:before="0" w:beforeLines="0" w:after="0" w:line="40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（2）采购计划编号：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51F91617">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（3）项目内容：</w:t>
      </w:r>
    </w:p>
    <w:p w14:paraId="19BD6A2B">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采购标的及数量</w:t>
      </w:r>
      <w:r>
        <w:rPr>
          <w:rFonts w:hint="eastAsia" w:ascii="宋体" w:hAnsi="宋体" w:eastAsia="宋体" w:cs="宋体"/>
          <w:color w:val="auto"/>
          <w:sz w:val="21"/>
          <w:szCs w:val="21"/>
          <w:highlight w:val="none"/>
          <w:lang w:val="en-US" w:eastAsia="zh-CN"/>
        </w:rPr>
        <w:t>（台/套</w:t>
      </w:r>
      <w:r>
        <w:rPr>
          <w:rFonts w:hint="eastAsia" w:ascii="宋体" w:hAnsi="宋体" w:eastAsia="宋体" w:cs="宋体"/>
          <w:color w:val="auto"/>
          <w:sz w:val="21"/>
          <w:szCs w:val="21"/>
          <w:highlight w:val="none"/>
          <w:lang w:val="en" w:eastAsia="zh-CN"/>
        </w:rPr>
        <w:t>/个/架/组等</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2D253C95">
      <w:pPr>
        <w:numPr>
          <w:ilvl w:val="-1"/>
          <w:numId w:val="0"/>
        </w:num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val="en" w:eastAsia="zh-CN"/>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 w:eastAsia="zh-CN"/>
        </w:rPr>
        <w:t xml:space="preserve">     </w:t>
      </w:r>
      <w:r>
        <w:rPr>
          <w:rFonts w:hint="eastAsia" w:ascii="宋体" w:hAnsi="宋体" w:eastAsia="宋体" w:cs="宋体"/>
          <w:color w:val="auto"/>
          <w:sz w:val="21"/>
          <w:szCs w:val="21"/>
          <w:highlight w:val="none"/>
          <w:lang w:val="en-US" w:eastAsia="zh-CN"/>
        </w:rPr>
        <w:t>规格型号：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p>
    <w:p w14:paraId="0A19BCBE">
      <w:pPr>
        <w:adjustRightInd w:val="0"/>
        <w:snapToGrid w:val="0"/>
        <w:spacing w:before="0" w:beforeLines="0" w:line="400" w:lineRule="exact"/>
        <w:ind w:firstLine="945" w:firstLineChars="45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采购标的的技术要求、商务要求具体见附件。</w:t>
      </w:r>
    </w:p>
    <w:p w14:paraId="1EE9A6FC">
      <w:pPr>
        <w:numPr>
          <w:ilvl w:val="-1"/>
          <w:numId w:val="0"/>
        </w:numPr>
        <w:adjustRightInd w:val="0"/>
        <w:snapToGrid w:val="0"/>
        <w:spacing w:before="0" w:beforeLines="0" w:line="400" w:lineRule="exact"/>
        <w:ind w:firstLine="945" w:firstLineChars="4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①涉及信息类产品，请填写该产品关键部件的品牌、型号：</w:t>
      </w:r>
    </w:p>
    <w:p w14:paraId="105F1076">
      <w:pPr>
        <w:numPr>
          <w:ilvl w:val="-1"/>
          <w:numId w:val="0"/>
        </w:numPr>
        <w:adjustRightInd w:val="0"/>
        <w:snapToGrid w:val="0"/>
        <w:spacing w:before="0" w:beforeLines="0" w:line="400" w:lineRule="exact"/>
        <w:ind w:firstLine="420" w:firstLineChars="200"/>
        <w:rPr>
          <w:rFonts w:hint="eastAsia" w:ascii="宋体" w:hAnsi="宋体" w:eastAsia="宋体" w:cs="宋体"/>
          <w:color w:val="auto"/>
          <w:kern w:val="0"/>
          <w:sz w:val="21"/>
          <w:szCs w:val="21"/>
          <w:highlight w:val="none"/>
          <w:u w:val="single"/>
          <w:lang w:val="en-US" w:eastAsia="zh-CN"/>
        </w:rPr>
      </w:pPr>
      <w:r>
        <w:rPr>
          <w:rFonts w:hint="eastAsia" w:ascii="宋体" w:hAnsi="宋体" w:eastAsia="宋体" w:cs="宋体"/>
          <w:color w:val="auto"/>
          <w:sz w:val="21"/>
          <w:szCs w:val="21"/>
          <w:highlight w:val="none"/>
          <w:lang w:val="en-US" w:eastAsia="zh-CN"/>
        </w:rPr>
        <w:t xml:space="preserve">     标的名称：</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lang w:val="en" w:eastAsia="zh-CN"/>
        </w:rPr>
        <w:t xml:space="preserve">               </w:t>
      </w:r>
      <w:r>
        <w:rPr>
          <w:rFonts w:hint="eastAsia" w:ascii="宋体" w:hAnsi="宋体" w:eastAsia="宋体" w:cs="宋体"/>
          <w:color w:val="auto"/>
          <w:kern w:val="0"/>
          <w:sz w:val="21"/>
          <w:szCs w:val="21"/>
          <w:highlight w:val="none"/>
          <w:u w:val="single"/>
          <w:lang w:val="en-US" w:eastAsia="zh-CN"/>
        </w:rPr>
        <w:t xml:space="preserve">    </w:t>
      </w:r>
    </w:p>
    <w:p w14:paraId="36CCB7D0">
      <w:pPr>
        <w:numPr>
          <w:ilvl w:val="-1"/>
          <w:numId w:val="0"/>
        </w:num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关键部件：</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7FD83092">
      <w:pPr>
        <w:pStyle w:val="37"/>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kern w:val="2"/>
          <w:sz w:val="21"/>
          <w:szCs w:val="21"/>
          <w:highlight w:val="none"/>
          <w:lang w:val="en-US" w:eastAsia="zh-CN"/>
        </w:rPr>
        <w:t>关键部件</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0349841B">
      <w:pPr>
        <w:pStyle w:val="37"/>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关键部件：</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p>
    <w:p w14:paraId="35222B95">
      <w:pPr>
        <w:pStyle w:val="37"/>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4535AD96">
      <w:pPr>
        <w:pStyle w:val="37"/>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②涉及车辆采购，请填写是否属于新能源汽车：</w:t>
      </w:r>
    </w:p>
    <w:p w14:paraId="27BCD974">
      <w:pPr>
        <w:pStyle w:val="37"/>
        <w:numPr>
          <w:ilvl w:val="-1"/>
          <w:numId w:val="0"/>
        </w:numPr>
        <w:adjustRightInd w:val="0"/>
        <w:snapToGrid w:val="0"/>
        <w:spacing w:before="0" w:beforeLines="0" w:line="400" w:lineRule="exact"/>
        <w:ind w:firstLine="0" w:firstLineChars="0"/>
        <w:rPr>
          <w:rFonts w:hint="eastAsia" w:ascii="宋体" w:hAnsi="宋体" w:eastAsia="宋体" w:cs="宋体"/>
          <w:i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，《政府采购品目分类目录》底级品目名称</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数量：</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金额：</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val="0"/>
          <w:color w:val="auto"/>
          <w:sz w:val="21"/>
          <w:szCs w:val="21"/>
          <w:highlight w:val="none"/>
          <w:lang w:val="en-US" w:eastAsia="zh-CN"/>
        </w:rPr>
        <w:t xml:space="preserve"> </w:t>
      </w:r>
    </w:p>
    <w:p w14:paraId="58C18C71">
      <w:pPr>
        <w:pStyle w:val="37"/>
        <w:numPr>
          <w:ilvl w:val="-1"/>
          <w:numId w:val="0"/>
        </w:numPr>
        <w:adjustRightInd w:val="0"/>
        <w:snapToGrid w:val="0"/>
        <w:spacing w:before="0" w:beforeLines="0" w:line="400" w:lineRule="exact"/>
        <w:ind w:firstLine="0" w:firstLineChars="0"/>
        <w:rPr>
          <w:rFonts w:hint="eastAsia" w:ascii="宋体" w:hAnsi="宋体" w:eastAsia="宋体" w:cs="宋体"/>
          <w:iCs w:val="0"/>
          <w:color w:val="auto"/>
          <w:sz w:val="21"/>
          <w:szCs w:val="21"/>
          <w:highlight w:val="none"/>
          <w:lang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否</w:t>
      </w:r>
    </w:p>
    <w:p w14:paraId="3301B3DD">
      <w:pPr>
        <w:pStyle w:val="37"/>
        <w:numPr>
          <w:ilvl w:val="-1"/>
          <w:numId w:val="0"/>
        </w:numPr>
        <w:adjustRightInd w:val="0"/>
        <w:snapToGrid w:val="0"/>
        <w:spacing w:before="0" w:beforeLines="0" w:line="400" w:lineRule="exact"/>
        <w:ind w:left="0" w:firstLine="0" w:firstLineChars="0"/>
        <w:rPr>
          <w:rFonts w:hint="eastAsia" w:ascii="宋体" w:hAnsi="宋体" w:eastAsia="宋体" w:cs="宋体"/>
          <w:iCs w:val="0"/>
          <w:color w:val="auto"/>
          <w:sz w:val="21"/>
          <w:szCs w:val="21"/>
          <w:highlight w:val="none"/>
          <w:lang w:val="en-US"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lang w:val="en" w:eastAsia="zh-CN"/>
        </w:rPr>
        <w:t>4</w:t>
      </w:r>
      <w:r>
        <w:rPr>
          <w:rFonts w:hint="eastAsia" w:ascii="宋体" w:hAnsi="宋体" w:eastAsia="宋体" w:cs="宋体"/>
          <w:iCs w:val="0"/>
          <w:color w:val="auto"/>
          <w:sz w:val="21"/>
          <w:szCs w:val="21"/>
          <w:highlight w:val="none"/>
          <w:lang w:val="en-US" w:eastAsia="zh-CN"/>
        </w:rPr>
        <w:t>）政府采购组织形式：</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政府集中采购</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val="en-US" w:eastAsia="zh-CN"/>
        </w:rPr>
        <w:t xml:space="preserve">部门集中采购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val="en-US" w:eastAsia="zh-CN"/>
        </w:rPr>
        <w:t>分散采购</w:t>
      </w:r>
    </w:p>
    <w:p w14:paraId="51033CAD">
      <w:pPr>
        <w:pStyle w:val="37"/>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lang w:eastAsia="zh-CN"/>
        </w:rPr>
      </w:pPr>
      <w:r>
        <w:rPr>
          <w:rFonts w:hint="eastAsia" w:ascii="宋体" w:hAnsi="宋体" w:eastAsia="宋体" w:cs="宋体"/>
          <w:iCs w:val="0"/>
          <w:color w:val="auto"/>
          <w:sz w:val="21"/>
          <w:szCs w:val="21"/>
          <w:highlight w:val="none"/>
          <w:lang w:val="en-US" w:eastAsia="zh-CN"/>
        </w:rPr>
        <w:t>（</w:t>
      </w:r>
      <w:r>
        <w:rPr>
          <w:rFonts w:hint="eastAsia" w:ascii="宋体" w:hAnsi="宋体" w:eastAsia="宋体" w:cs="宋体"/>
          <w:iCs w:val="0"/>
          <w:color w:val="auto"/>
          <w:sz w:val="21"/>
          <w:szCs w:val="21"/>
          <w:highlight w:val="none"/>
          <w:lang w:val="en" w:eastAsia="zh-CN"/>
        </w:rPr>
        <w:t>5</w:t>
      </w:r>
      <w:r>
        <w:rPr>
          <w:rFonts w:hint="eastAsia" w:ascii="宋体" w:hAnsi="宋体" w:eastAsia="宋体" w:cs="宋体"/>
          <w:iCs w:val="0"/>
          <w:color w:val="auto"/>
          <w:sz w:val="21"/>
          <w:szCs w:val="21"/>
          <w:highlight w:val="none"/>
          <w:lang w:val="en-US" w:eastAsia="zh-CN"/>
        </w:rPr>
        <w:t>）政府采购方式：</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公开招标</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邀请招标</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竞争性谈判</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竞争性磋商</w:t>
      </w:r>
    </w:p>
    <w:p w14:paraId="7B1D1C5B">
      <w:pPr>
        <w:pStyle w:val="37"/>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u w:val="single"/>
          <w:lang w:val="en-US" w:eastAsia="zh-CN"/>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询价</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单一来源</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框架协议</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其他：</w:t>
      </w:r>
      <w:r>
        <w:rPr>
          <w:rFonts w:hint="eastAsia" w:ascii="宋体" w:hAnsi="宋体" w:eastAsia="宋体" w:cs="宋体"/>
          <w:iCs w:val="0"/>
          <w:color w:val="auto"/>
          <w:sz w:val="21"/>
          <w:szCs w:val="21"/>
          <w:highlight w:val="none"/>
          <w:u w:val="single"/>
          <w:lang w:val="en-US" w:eastAsia="zh-CN"/>
        </w:rPr>
        <w:t xml:space="preserve">          </w:t>
      </w:r>
    </w:p>
    <w:p w14:paraId="556B6728">
      <w:pPr>
        <w:pStyle w:val="37"/>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u w:val="none"/>
          <w:lang w:val="en-US" w:eastAsia="zh-CN"/>
        </w:rPr>
      </w:pPr>
      <w:r>
        <w:rPr>
          <w:rFonts w:hint="eastAsia" w:ascii="宋体" w:hAnsi="宋体" w:eastAsia="宋体" w:cs="宋体"/>
          <w:iCs w:val="0"/>
          <w:color w:val="auto"/>
          <w:sz w:val="21"/>
          <w:szCs w:val="21"/>
          <w:highlight w:val="none"/>
          <w:u w:val="none"/>
          <w:lang w:val="en-US" w:eastAsia="zh-CN"/>
        </w:rPr>
        <w:t>（注：在框架协议采购的第二阶段，可选择使用该合同文本）</w:t>
      </w:r>
    </w:p>
    <w:p w14:paraId="1636898B">
      <w:pPr>
        <w:pStyle w:val="37"/>
        <w:numPr>
          <w:ilvl w:val="-1"/>
          <w:numId w:val="0"/>
        </w:numPr>
        <w:adjustRightInd w:val="0"/>
        <w:snapToGrid w:val="0"/>
        <w:spacing w:before="0" w:beforeLines="0" w:line="400" w:lineRule="exact"/>
        <w:ind w:firstLine="210" w:firstLineChars="100"/>
        <w:rPr>
          <w:rFonts w:hint="eastAsia" w:ascii="宋体" w:hAnsi="宋体" w:eastAsia="宋体" w:cs="宋体"/>
          <w:color w:val="auto"/>
          <w:w w:val="100"/>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 w:eastAsia="zh-CN"/>
        </w:rPr>
        <w:t>6</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w w:val="100"/>
          <w:kern w:val="2"/>
          <w:sz w:val="21"/>
          <w:szCs w:val="21"/>
          <w:highlight w:val="none"/>
          <w:lang w:val="en-US" w:eastAsia="zh-CN" w:bidi="ar-SA"/>
        </w:rPr>
        <w:t>中标（成交）采购标的制造商是否为中小企业：</w:t>
      </w:r>
      <w:r>
        <w:rPr>
          <w:rFonts w:hint="eastAsia" w:ascii="宋体" w:hAnsi="宋体" w:eastAsia="宋体" w:cs="宋体"/>
          <w:color w:val="auto"/>
          <w:w w:val="100"/>
          <w:kern w:val="2"/>
          <w:sz w:val="21"/>
          <w:szCs w:val="21"/>
          <w:highlight w:val="none"/>
          <w:lang w:val="en-US" w:eastAsia="zh-CN" w:bidi="ar-SA"/>
        </w:rPr>
        <w:sym w:font="Wingdings" w:char="00A8"/>
      </w:r>
      <w:r>
        <w:rPr>
          <w:rFonts w:hint="eastAsia" w:ascii="宋体" w:hAnsi="宋体" w:eastAsia="宋体" w:cs="宋体"/>
          <w:color w:val="auto"/>
          <w:w w:val="100"/>
          <w:kern w:val="2"/>
          <w:sz w:val="21"/>
          <w:szCs w:val="21"/>
          <w:highlight w:val="none"/>
          <w:lang w:val="en-US" w:eastAsia="zh-CN" w:bidi="ar-SA"/>
        </w:rPr>
        <w:t xml:space="preserve">是      </w:t>
      </w:r>
      <w:r>
        <w:rPr>
          <w:rFonts w:hint="eastAsia" w:ascii="宋体" w:hAnsi="宋体" w:eastAsia="宋体" w:cs="宋体"/>
          <w:color w:val="auto"/>
          <w:w w:val="100"/>
          <w:kern w:val="2"/>
          <w:sz w:val="21"/>
          <w:szCs w:val="21"/>
          <w:highlight w:val="none"/>
          <w:lang w:val="en-US" w:eastAsia="zh-CN" w:bidi="ar-SA"/>
        </w:rPr>
        <w:sym w:font="Wingdings" w:char="00A8"/>
      </w:r>
      <w:r>
        <w:rPr>
          <w:rFonts w:hint="eastAsia" w:ascii="宋体" w:hAnsi="宋体" w:eastAsia="宋体" w:cs="宋体"/>
          <w:color w:val="auto"/>
          <w:w w:val="100"/>
          <w:kern w:val="2"/>
          <w:sz w:val="21"/>
          <w:szCs w:val="21"/>
          <w:highlight w:val="none"/>
          <w:lang w:val="en-US" w:eastAsia="zh-CN" w:bidi="ar-SA"/>
        </w:rPr>
        <w:t>否</w:t>
      </w:r>
    </w:p>
    <w:p w14:paraId="61FB4A07">
      <w:pPr>
        <w:numPr>
          <w:ilvl w:val="-1"/>
          <w:numId w:val="0"/>
        </w:numPr>
        <w:adjustRightInd w:val="0"/>
        <w:snapToGrid w:val="0"/>
        <w:spacing w:before="0" w:beforeLines="0" w:line="400" w:lineRule="exact"/>
        <w:ind w:left="0" w:leftChars="0"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w w:val="100"/>
          <w:sz w:val="21"/>
          <w:szCs w:val="21"/>
          <w:highlight w:val="none"/>
          <w:lang w:val="en-US" w:eastAsia="zh-CN"/>
        </w:rPr>
        <w:t xml:space="preserve">         本合同</w:t>
      </w:r>
      <w:r>
        <w:rPr>
          <w:rFonts w:hint="eastAsia" w:ascii="宋体" w:hAnsi="宋体" w:eastAsia="宋体" w:cs="宋体"/>
          <w:color w:val="auto"/>
          <w:w w:val="100"/>
          <w:sz w:val="21"/>
          <w:szCs w:val="21"/>
          <w:highlight w:val="none"/>
        </w:rPr>
        <w:t>是否</w:t>
      </w:r>
      <w:r>
        <w:rPr>
          <w:rFonts w:hint="eastAsia" w:ascii="宋体" w:hAnsi="宋体" w:eastAsia="宋体" w:cs="宋体"/>
          <w:color w:val="auto"/>
          <w:w w:val="100"/>
          <w:sz w:val="21"/>
          <w:szCs w:val="21"/>
          <w:highlight w:val="none"/>
          <w:lang w:eastAsia="zh-CN"/>
        </w:rPr>
        <w:t>为专门面向</w:t>
      </w:r>
      <w:r>
        <w:rPr>
          <w:rFonts w:hint="eastAsia" w:ascii="宋体" w:hAnsi="宋体" w:eastAsia="宋体" w:cs="宋体"/>
          <w:color w:val="auto"/>
          <w:w w:val="100"/>
          <w:sz w:val="21"/>
          <w:szCs w:val="21"/>
          <w:highlight w:val="none"/>
        </w:rPr>
        <w:t>中小企业</w:t>
      </w:r>
      <w:r>
        <w:rPr>
          <w:rFonts w:hint="eastAsia" w:ascii="宋体" w:hAnsi="宋体" w:eastAsia="宋体" w:cs="宋体"/>
          <w:color w:val="auto"/>
          <w:w w:val="100"/>
          <w:sz w:val="21"/>
          <w:szCs w:val="21"/>
          <w:highlight w:val="none"/>
          <w:lang w:eastAsia="zh-CN"/>
        </w:rPr>
        <w:t>的采</w:t>
      </w:r>
      <w:r>
        <w:rPr>
          <w:rFonts w:hint="eastAsia" w:ascii="宋体" w:hAnsi="宋体" w:eastAsia="宋体" w:cs="宋体"/>
          <w:color w:val="auto"/>
          <w:w w:val="100"/>
          <w:sz w:val="21"/>
          <w:szCs w:val="21"/>
          <w:highlight w:val="none"/>
          <w:shd w:val="clear"/>
          <w:lang w:eastAsia="zh-CN"/>
        </w:rPr>
        <w:t>购</w:t>
      </w:r>
      <w:r>
        <w:rPr>
          <w:rFonts w:hint="eastAsia" w:ascii="宋体" w:hAnsi="宋体" w:eastAsia="宋体" w:cs="宋体"/>
          <w:color w:val="auto"/>
          <w:w w:val="100"/>
          <w:sz w:val="21"/>
          <w:szCs w:val="21"/>
          <w:highlight w:val="none"/>
          <w:shd w:val="clear"/>
        </w:rPr>
        <w:t>合同</w:t>
      </w:r>
      <w:r>
        <w:rPr>
          <w:rFonts w:hint="eastAsia" w:ascii="宋体" w:hAnsi="宋体" w:eastAsia="宋体" w:cs="宋体"/>
          <w:color w:val="auto"/>
          <w:w w:val="100"/>
          <w:sz w:val="21"/>
          <w:szCs w:val="21"/>
          <w:highlight w:val="none"/>
          <w:shd w:val="clear"/>
          <w:lang w:eastAsia="zh-CN"/>
        </w:rPr>
        <w:t>（中小企业预留合同）</w:t>
      </w:r>
      <w:r>
        <w:rPr>
          <w:rFonts w:hint="eastAsia" w:ascii="宋体" w:hAnsi="宋体" w:eastAsia="宋体" w:cs="宋体"/>
          <w:color w:val="auto"/>
          <w:sz w:val="21"/>
          <w:szCs w:val="21"/>
          <w:highlight w:val="none"/>
          <w:shd w:val="clear"/>
        </w:rPr>
        <w:t>：</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636EFF63">
      <w:pPr>
        <w:numPr>
          <w:ilvl w:val="-1"/>
          <w:numId w:val="0"/>
        </w:numPr>
        <w:adjustRightInd w:val="0"/>
        <w:snapToGrid w:val="0"/>
        <w:spacing w:before="0" w:beforeLines="0" w:line="400" w:lineRule="exact"/>
        <w:ind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lang w:val="en-US" w:eastAsia="zh-CN"/>
        </w:rPr>
        <w:t xml:space="preserve">         若本项目不专门面向中小企业采购，是否给予小微企业评审优惠：</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29E43A75">
      <w:pPr>
        <w:numPr>
          <w:ilvl w:val="-1"/>
          <w:numId w:val="0"/>
        </w:numPr>
        <w:adjustRightInd w:val="0"/>
        <w:snapToGrid w:val="0"/>
        <w:spacing w:before="0" w:beforeLines="0" w:line="400" w:lineRule="exact"/>
        <w:ind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lang w:val="en-US" w:eastAsia="zh-CN"/>
        </w:rPr>
        <w:t xml:space="preserve">         中标（成交）采购标的制造商是否为残疾人福利性单位：</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0B497E98">
      <w:pPr>
        <w:numPr>
          <w:ilvl w:val="0"/>
          <w:numId w:val="0"/>
        </w:numPr>
        <w:snapToGrid w:val="0"/>
        <w:spacing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中标（成交）采购标的制造商是否为监狱企业：</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3BCD1D71">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 w:eastAsia="zh-CN"/>
        </w:rPr>
        <w:t>7</w:t>
      </w:r>
      <w:r>
        <w:rPr>
          <w:rFonts w:hint="eastAsia" w:ascii="宋体" w:hAnsi="宋体" w:eastAsia="宋体" w:cs="宋体"/>
          <w:color w:val="auto"/>
          <w:sz w:val="21"/>
          <w:szCs w:val="21"/>
          <w:highlight w:val="none"/>
        </w:rPr>
        <w:t>）合同是否分包：</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6C603DBA">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分包主要内容：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742AEBBC">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rPr>
        <w:t>分包</w:t>
      </w:r>
      <w:r>
        <w:rPr>
          <w:rFonts w:hint="eastAsia" w:ascii="宋体" w:hAnsi="宋体" w:eastAsia="宋体" w:cs="宋体"/>
          <w:color w:val="auto"/>
          <w:sz w:val="21"/>
          <w:szCs w:val="21"/>
          <w:highlight w:val="none"/>
          <w:lang w:eastAsia="zh-CN"/>
        </w:rPr>
        <w:t>投标人/制造商</w:t>
      </w:r>
      <w:r>
        <w:rPr>
          <w:rFonts w:hint="eastAsia" w:ascii="宋体" w:hAnsi="宋体" w:eastAsia="宋体" w:cs="宋体"/>
          <w:color w:val="auto"/>
          <w:sz w:val="21"/>
          <w:szCs w:val="21"/>
          <w:highlight w:val="none"/>
        </w:rPr>
        <w:t>名称</w:t>
      </w:r>
      <w:r>
        <w:rPr>
          <w:rFonts w:hint="eastAsia" w:ascii="宋体" w:hAnsi="宋体" w:eastAsia="宋体" w:cs="宋体"/>
          <w:color w:val="auto"/>
          <w:sz w:val="21"/>
          <w:szCs w:val="21"/>
          <w:highlight w:val="none"/>
          <w:lang w:eastAsia="zh-CN"/>
        </w:rPr>
        <w:t>（如投标人和制造商不同，请分别填写）</w:t>
      </w:r>
      <w:r>
        <w:rPr>
          <w:rFonts w:hint="eastAsia" w:ascii="宋体" w:hAnsi="宋体" w:eastAsia="宋体" w:cs="宋体"/>
          <w:color w:val="auto"/>
          <w:sz w:val="21"/>
          <w:szCs w:val="21"/>
          <w:highlight w:val="none"/>
        </w:rPr>
        <w:t>：</w:t>
      </w:r>
    </w:p>
    <w:p w14:paraId="7FA5EA47">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p>
    <w:p w14:paraId="1F1D2B04">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分包</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制造商</w:t>
      </w:r>
      <w:r>
        <w:rPr>
          <w:rFonts w:hint="eastAsia" w:ascii="宋体" w:hAnsi="宋体" w:eastAsia="宋体" w:cs="宋体"/>
          <w:color w:val="auto"/>
          <w:sz w:val="21"/>
          <w:szCs w:val="21"/>
          <w:highlight w:val="none"/>
        </w:rPr>
        <w:t>类型</w:t>
      </w:r>
      <w:r>
        <w:rPr>
          <w:rFonts w:hint="eastAsia" w:ascii="宋体" w:hAnsi="宋体" w:eastAsia="宋体" w:cs="宋体"/>
          <w:color w:val="auto"/>
          <w:sz w:val="21"/>
          <w:szCs w:val="21"/>
          <w:highlight w:val="none"/>
          <w:lang w:eastAsia="zh-CN"/>
        </w:rPr>
        <w:t>（如果投标人和制造商不同，只填写制造商类型）</w:t>
      </w:r>
      <w:r>
        <w:rPr>
          <w:rFonts w:hint="eastAsia" w:ascii="宋体" w:hAnsi="宋体" w:eastAsia="宋体" w:cs="宋体"/>
          <w:color w:val="auto"/>
          <w:sz w:val="21"/>
          <w:szCs w:val="21"/>
          <w:highlight w:val="none"/>
        </w:rPr>
        <w:t>：</w:t>
      </w:r>
    </w:p>
    <w:p w14:paraId="180ED0E3">
      <w:pPr>
        <w:adjustRightInd w:val="0"/>
        <w:snapToGrid w:val="0"/>
        <w:spacing w:beforeLines="0" w:line="400" w:lineRule="exact"/>
        <w:ind w:firstLine="840" w:firstLineChars="40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大型企业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中型企业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小微型企业</w:t>
      </w:r>
      <w:r>
        <w:rPr>
          <w:rFonts w:hint="eastAsia" w:ascii="宋体" w:hAnsi="宋体" w:eastAsia="宋体" w:cs="宋体"/>
          <w:iCs/>
          <w:color w:val="auto"/>
          <w:sz w:val="21"/>
          <w:szCs w:val="21"/>
          <w:highlight w:val="none"/>
          <w:lang w:val="en-US" w:eastAsia="zh-CN"/>
        </w:rPr>
        <w:t xml:space="preserve">  </w:t>
      </w:r>
    </w:p>
    <w:p w14:paraId="18BF3496">
      <w:pPr>
        <w:adjustRightInd w:val="0"/>
        <w:snapToGrid w:val="0"/>
        <w:spacing w:beforeLines="0" w:line="400" w:lineRule="exact"/>
        <w:ind w:firstLine="840" w:firstLineChars="400"/>
        <w:rPr>
          <w:rFonts w:hint="eastAsia" w:ascii="宋体" w:hAnsi="宋体" w:eastAsia="宋体" w:cs="宋体"/>
          <w:color w:val="auto"/>
          <w:sz w:val="21"/>
          <w:szCs w:val="21"/>
          <w:highlight w:val="none"/>
          <w:u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残疾人福利性单位</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监狱</w:t>
      </w:r>
      <w:r>
        <w:rPr>
          <w:rFonts w:hint="eastAsia" w:ascii="宋体" w:hAnsi="宋体" w:eastAsia="宋体" w:cs="宋体"/>
          <w:iCs/>
          <w:color w:val="auto"/>
          <w:sz w:val="21"/>
          <w:szCs w:val="21"/>
          <w:highlight w:val="none"/>
        </w:rPr>
        <w:t>企业</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其他</w:t>
      </w:r>
    </w:p>
    <w:p w14:paraId="7F2E0B02">
      <w:pPr>
        <w:numPr>
          <w:ilvl w:val="-1"/>
          <w:numId w:val="0"/>
        </w:numPr>
        <w:adjustRightInd w:val="0"/>
        <w:snapToGrid w:val="0"/>
        <w:spacing w:before="0" w:beforeLines="0" w:line="400" w:lineRule="exact"/>
        <w:ind w:left="0" w:leftChars="0"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u w:val="none"/>
          <w:lang w:val="en" w:eastAsia="zh-CN"/>
        </w:rPr>
        <w:t>8</w:t>
      </w:r>
      <w:r>
        <w:rPr>
          <w:rFonts w:hint="eastAsia" w:ascii="宋体" w:hAnsi="宋体" w:eastAsia="宋体" w:cs="宋体"/>
          <w:color w:val="auto"/>
          <w:sz w:val="21"/>
          <w:szCs w:val="21"/>
          <w:highlight w:val="none"/>
          <w:u w:val="none"/>
          <w:lang w:val="en-US" w:eastAsia="zh-CN"/>
        </w:rPr>
        <w:t>）中标（成交）投标人是否为外商投资企业：</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4ADA4F13">
      <w:pPr>
        <w:pStyle w:val="37"/>
        <w:tabs>
          <w:tab w:val="left" w:pos="1340"/>
        </w:tabs>
        <w:spacing w:beforeLine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 xml:space="preserve">     外商投资企业类型：</w:t>
      </w:r>
      <w:r>
        <w:rPr>
          <w:rFonts w:hint="eastAsia" w:ascii="宋体" w:hAnsi="宋体" w:eastAsia="宋体" w:cs="宋体"/>
          <w:iCs/>
          <w:color w:val="auto"/>
          <w:sz w:val="21"/>
          <w:szCs w:val="21"/>
          <w:highlight w:val="none"/>
        </w:rPr>
        <w:sym w:font="Wingdings" w:char="00A8"/>
      </w:r>
      <w:r>
        <w:rPr>
          <w:rFonts w:hint="eastAsia" w:ascii="宋体" w:hAnsi="宋体" w:eastAsia="宋体" w:cs="宋体"/>
          <w:color w:val="auto"/>
          <w:sz w:val="21"/>
          <w:szCs w:val="21"/>
          <w:highlight w:val="none"/>
          <w:u w:val="none"/>
          <w:lang w:val="en-US" w:eastAsia="zh-CN"/>
        </w:rPr>
        <w:t xml:space="preserve">全部由外国投资者投资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val="en-US" w:eastAsia="zh-CN"/>
        </w:rPr>
        <w:t>部分由外国投资者投资</w:t>
      </w:r>
    </w:p>
    <w:p w14:paraId="3678F9F3">
      <w:pPr>
        <w:numPr>
          <w:ilvl w:val="-1"/>
          <w:numId w:val="0"/>
        </w:numPr>
        <w:adjustRightInd w:val="0"/>
        <w:snapToGrid w:val="0"/>
        <w:spacing w:before="0" w:beforeLines="0" w:line="400" w:lineRule="exact"/>
        <w:ind w:firstLine="420" w:firstLineChars="20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w:t>
      </w:r>
      <w:r>
        <w:rPr>
          <w:rFonts w:hint="eastAsia" w:ascii="宋体" w:hAnsi="宋体" w:eastAsia="宋体" w:cs="宋体"/>
          <w:b w:val="0"/>
          <w:bCs w:val="0"/>
          <w:color w:val="auto"/>
          <w:sz w:val="21"/>
          <w:szCs w:val="21"/>
          <w:highlight w:val="none"/>
          <w:u w:val="none"/>
          <w:lang w:val="en" w:eastAsia="zh-CN"/>
        </w:rPr>
        <w:t>9</w:t>
      </w:r>
      <w:r>
        <w:rPr>
          <w:rFonts w:hint="eastAsia" w:ascii="宋体" w:hAnsi="宋体" w:eastAsia="宋体" w:cs="宋体"/>
          <w:b w:val="0"/>
          <w:bCs w:val="0"/>
          <w:color w:val="auto"/>
          <w:sz w:val="21"/>
          <w:szCs w:val="21"/>
          <w:highlight w:val="none"/>
          <w:u w:val="none"/>
          <w:lang w:val="en-US" w:eastAsia="zh-CN"/>
        </w:rPr>
        <w:t>）是否涉及进口产品：</w:t>
      </w:r>
    </w:p>
    <w:p w14:paraId="158ED47C">
      <w:pPr>
        <w:numPr>
          <w:ilvl w:val="-1"/>
          <w:numId w:val="0"/>
        </w:numPr>
        <w:adjustRightInd w:val="0"/>
        <w:snapToGrid w:val="0"/>
        <w:spacing w:before="0" w:beforeLines="0" w:line="400" w:lineRule="exact"/>
        <w:ind w:firstLine="840" w:firstLineChars="400"/>
        <w:rPr>
          <w:rFonts w:hint="eastAsia" w:ascii="宋体" w:hAnsi="宋体" w:eastAsia="宋体" w:cs="宋体"/>
          <w:color w:val="auto"/>
          <w:sz w:val="21"/>
          <w:szCs w:val="21"/>
          <w:highlight w:val="none"/>
          <w:u w:val="single"/>
          <w:lang w:val="en-US"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，《政府采购品目分类目录》底级品目名称</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金额：</w:t>
      </w:r>
      <w:r>
        <w:rPr>
          <w:rFonts w:hint="eastAsia" w:ascii="宋体" w:hAnsi="宋体" w:eastAsia="宋体" w:cs="宋体"/>
          <w:color w:val="auto"/>
          <w:sz w:val="21"/>
          <w:szCs w:val="21"/>
          <w:highlight w:val="none"/>
          <w:u w:val="single"/>
          <w:lang w:val="en-US" w:eastAsia="zh-CN"/>
        </w:rPr>
        <w:t xml:space="preserve">        </w:t>
      </w:r>
    </w:p>
    <w:p w14:paraId="3333668C">
      <w:pPr>
        <w:numPr>
          <w:ilvl w:val="-1"/>
          <w:numId w:val="0"/>
        </w:numPr>
        <w:adjustRightInd w:val="0"/>
        <w:snapToGrid w:val="0"/>
        <w:spacing w:before="0" w:beforeLines="0" w:line="400" w:lineRule="exact"/>
        <w:ind w:firstLine="840" w:firstLineChars="400"/>
        <w:rPr>
          <w:rFonts w:hint="eastAsia" w:ascii="宋体" w:hAnsi="宋体" w:eastAsia="宋体" w:cs="宋体"/>
          <w:iCs w:val="0"/>
          <w:color w:val="auto"/>
          <w:sz w:val="21"/>
          <w:szCs w:val="21"/>
          <w:highlight w:val="none"/>
        </w:rPr>
      </w:pPr>
      <w:r>
        <w:rPr>
          <w:rFonts w:hint="eastAsia" w:ascii="宋体" w:hAnsi="宋体" w:eastAsia="宋体" w:cs="宋体"/>
          <w:color w:val="auto"/>
          <w:sz w:val="21"/>
          <w:szCs w:val="21"/>
          <w:highlight w:val="none"/>
          <w:lang w:val="en-US" w:eastAsia="zh-CN"/>
        </w:rPr>
        <w:t xml:space="preserve">        国别：</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规格型号：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val="0"/>
          <w:color w:val="auto"/>
          <w:sz w:val="21"/>
          <w:szCs w:val="21"/>
          <w:highlight w:val="none"/>
        </w:rPr>
        <w:t xml:space="preserve">      </w:t>
      </w:r>
    </w:p>
    <w:p w14:paraId="2F868BE1">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u w:val="none"/>
          <w:lang w:val="en-US"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否</w:t>
      </w:r>
    </w:p>
    <w:p w14:paraId="29B30414">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 xml:space="preserve">    （1</w:t>
      </w:r>
      <w:r>
        <w:rPr>
          <w:rFonts w:hint="eastAsia" w:ascii="宋体" w:hAnsi="宋体" w:eastAsia="宋体" w:cs="宋体"/>
          <w:b w:val="0"/>
          <w:bCs w:val="0"/>
          <w:color w:val="auto"/>
          <w:sz w:val="21"/>
          <w:szCs w:val="21"/>
          <w:highlight w:val="none"/>
          <w:u w:val="none"/>
          <w:lang w:val="en" w:eastAsia="zh-CN"/>
        </w:rPr>
        <w:t>0</w:t>
      </w:r>
      <w:r>
        <w:rPr>
          <w:rFonts w:hint="eastAsia" w:ascii="宋体" w:hAnsi="宋体" w:eastAsia="宋体" w:cs="宋体"/>
          <w:b w:val="0"/>
          <w:bCs w:val="0"/>
          <w:color w:val="auto"/>
          <w:sz w:val="21"/>
          <w:szCs w:val="21"/>
          <w:highlight w:val="none"/>
          <w:u w:val="none"/>
          <w:lang w:val="en-US" w:eastAsia="zh-CN"/>
        </w:rPr>
        <w:t>）是否涉及节能产品：</w:t>
      </w:r>
    </w:p>
    <w:p w14:paraId="17BB281F">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，《节能产品政府采购品目清单》的底级品目名称：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color w:val="auto"/>
          <w:sz w:val="21"/>
          <w:szCs w:val="21"/>
          <w:highlight w:val="none"/>
          <w:lang w:val="en-US" w:eastAsia="zh-CN"/>
        </w:rPr>
        <w:t xml:space="preserve">     </w:t>
      </w:r>
    </w:p>
    <w:p w14:paraId="49DC4FC8">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强制采购</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优先采购</w:t>
      </w:r>
      <w:r>
        <w:rPr>
          <w:rFonts w:hint="eastAsia" w:ascii="宋体" w:hAnsi="宋体" w:eastAsia="宋体" w:cs="宋体"/>
          <w:iCs/>
          <w:color w:val="auto"/>
          <w:sz w:val="21"/>
          <w:szCs w:val="21"/>
          <w:highlight w:val="none"/>
          <w:lang w:val="en-US" w:eastAsia="zh-CN"/>
        </w:rPr>
        <w:t xml:space="preserve">    </w:t>
      </w:r>
    </w:p>
    <w:p w14:paraId="7165AD90">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val="0"/>
          <w:color w:val="auto"/>
          <w:sz w:val="21"/>
          <w:szCs w:val="21"/>
          <w:highlight w:val="none"/>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否</w:t>
      </w:r>
    </w:p>
    <w:p w14:paraId="614F1EF5">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 xml:space="preserve">          是否涉及环境标志产品：</w:t>
      </w:r>
    </w:p>
    <w:p w14:paraId="09E05CB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val="0"/>
          <w:color w:val="auto"/>
          <w:sz w:val="21"/>
          <w:szCs w:val="21"/>
          <w:highlight w:val="none"/>
          <w:lang w:eastAsia="zh-CN"/>
        </w:rPr>
      </w:pP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，《环境标志产品政府采购品目清单》的底级品目名称：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color w:val="auto"/>
          <w:sz w:val="21"/>
          <w:szCs w:val="21"/>
          <w:highlight w:val="none"/>
          <w:lang w:val="en-US" w:eastAsia="zh-CN"/>
        </w:rPr>
        <w:t xml:space="preserve"> </w:t>
      </w:r>
    </w:p>
    <w:p w14:paraId="522F082F">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强制采购</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优先采购</w:t>
      </w:r>
      <w:r>
        <w:rPr>
          <w:rFonts w:hint="eastAsia" w:ascii="宋体" w:hAnsi="宋体" w:eastAsia="宋体" w:cs="宋体"/>
          <w:iCs/>
          <w:color w:val="auto"/>
          <w:sz w:val="21"/>
          <w:szCs w:val="21"/>
          <w:highlight w:val="none"/>
          <w:lang w:val="en-US" w:eastAsia="zh-CN"/>
        </w:rPr>
        <w:t xml:space="preserve">    </w:t>
      </w:r>
    </w:p>
    <w:p w14:paraId="26D9199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否</w:t>
      </w:r>
    </w:p>
    <w:p w14:paraId="76BB6FA7">
      <w:pPr>
        <w:pStyle w:val="37"/>
        <w:numPr>
          <w:ilvl w:val="-1"/>
          <w:numId w:val="0"/>
        </w:numPr>
        <w:adjustRightInd w:val="0"/>
        <w:snapToGrid w:val="0"/>
        <w:spacing w:before="0" w:beforeLines="0" w:line="400" w:lineRule="exact"/>
        <w:ind w:firstLine="0" w:firstLineChars="0"/>
        <w:rPr>
          <w:rFonts w:hint="eastAsia" w:ascii="宋体" w:hAnsi="宋体" w:eastAsia="宋体" w:cs="宋体"/>
          <w:iCs w:val="0"/>
          <w:color w:val="auto"/>
          <w:kern w:val="2"/>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b w:val="0"/>
          <w:bCs w:val="0"/>
          <w:color w:val="auto"/>
          <w:kern w:val="2"/>
          <w:sz w:val="21"/>
          <w:szCs w:val="21"/>
          <w:highlight w:val="none"/>
          <w:u w:val="none"/>
          <w:lang w:val="en-US" w:eastAsia="zh-CN"/>
        </w:rPr>
        <w:t>是否涉及绿色产品：</w:t>
      </w:r>
      <w:r>
        <w:rPr>
          <w:rFonts w:hint="eastAsia" w:ascii="宋体" w:hAnsi="宋体" w:eastAsia="宋体" w:cs="宋体"/>
          <w:iCs w:val="0"/>
          <w:color w:val="auto"/>
          <w:kern w:val="2"/>
          <w:sz w:val="21"/>
          <w:szCs w:val="21"/>
          <w:highlight w:val="none"/>
          <w:u w:val="none"/>
          <w:lang w:val="en-US" w:eastAsia="zh-CN"/>
        </w:rPr>
        <w:t xml:space="preserve"> </w:t>
      </w:r>
    </w:p>
    <w:p w14:paraId="1965CB32">
      <w:pPr>
        <w:pStyle w:val="37"/>
        <w:spacing w:beforeLines="0"/>
        <w:ind w:firstLine="420" w:firstLineChars="0"/>
        <w:rPr>
          <w:rFonts w:hint="eastAsia" w:ascii="宋体" w:hAnsi="宋体" w:eastAsia="宋体" w:cs="宋体"/>
          <w:color w:val="auto"/>
          <w:sz w:val="21"/>
          <w:szCs w:val="21"/>
          <w:highlight w:val="none"/>
          <w:u w:val="single"/>
          <w:lang w:val="en-US" w:eastAsia="zh-CN"/>
        </w:rPr>
      </w:pPr>
      <w:r>
        <w:rPr>
          <w:rFonts w:hint="eastAsia" w:ascii="宋体" w:hAnsi="宋体" w:eastAsia="宋体" w:cs="宋体"/>
          <w:iCs w:val="0"/>
          <w:color w:val="auto"/>
          <w:kern w:val="2"/>
          <w:sz w:val="21"/>
          <w:szCs w:val="21"/>
          <w:highlight w:val="none"/>
          <w:u w:val="none"/>
          <w:lang w:val="en-US" w:eastAsia="zh-CN"/>
        </w:rPr>
        <w:t xml:space="preserve">     </w:t>
      </w:r>
      <w:r>
        <w:rPr>
          <w:rFonts w:hint="eastAsia" w:ascii="宋体" w:hAnsi="宋体" w:eastAsia="宋体" w:cs="宋体"/>
          <w:iCs w:val="0"/>
          <w:color w:val="auto"/>
          <w:kern w:val="2"/>
          <w:sz w:val="21"/>
          <w:szCs w:val="21"/>
          <w:highlight w:val="none"/>
          <w:u w:val="none"/>
        </w:rPr>
        <w:sym w:font="Wingdings" w:char="00A8"/>
      </w:r>
      <w:r>
        <w:rPr>
          <w:rFonts w:hint="eastAsia" w:ascii="宋体" w:hAnsi="宋体" w:eastAsia="宋体" w:cs="宋体"/>
          <w:iCs w:val="0"/>
          <w:color w:val="auto"/>
          <w:kern w:val="2"/>
          <w:sz w:val="21"/>
          <w:szCs w:val="21"/>
          <w:highlight w:val="none"/>
          <w:u w:val="none"/>
        </w:rPr>
        <w:t>是</w:t>
      </w:r>
      <w:r>
        <w:rPr>
          <w:rFonts w:hint="eastAsia" w:ascii="宋体" w:hAnsi="宋体" w:eastAsia="宋体" w:cs="宋体"/>
          <w:iCs w:val="0"/>
          <w:color w:val="auto"/>
          <w:kern w:val="2"/>
          <w:sz w:val="21"/>
          <w:szCs w:val="21"/>
          <w:highlight w:val="none"/>
          <w:u w:val="none"/>
          <w:lang w:eastAsia="zh-CN"/>
        </w:rPr>
        <w:t>，绿色产品政府采购相关政策确定的底级品目名称：</w:t>
      </w:r>
      <w:r>
        <w:rPr>
          <w:rFonts w:hint="eastAsia" w:ascii="宋体" w:hAnsi="宋体" w:eastAsia="宋体" w:cs="宋体"/>
          <w:color w:val="auto"/>
          <w:sz w:val="21"/>
          <w:szCs w:val="21"/>
          <w:highlight w:val="none"/>
          <w:u w:val="single"/>
          <w:lang w:val="en-US" w:eastAsia="zh-CN"/>
        </w:rPr>
        <w:t xml:space="preserve">         </w:t>
      </w:r>
    </w:p>
    <w:p w14:paraId="01D2B2B4">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强制采购</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优先采购</w:t>
      </w:r>
      <w:r>
        <w:rPr>
          <w:rFonts w:hint="eastAsia" w:ascii="宋体" w:hAnsi="宋体" w:eastAsia="宋体" w:cs="宋体"/>
          <w:iCs/>
          <w:color w:val="auto"/>
          <w:sz w:val="21"/>
          <w:szCs w:val="21"/>
          <w:highlight w:val="none"/>
          <w:lang w:val="en-US" w:eastAsia="zh-CN"/>
        </w:rPr>
        <w:t xml:space="preserve">    </w:t>
      </w:r>
    </w:p>
    <w:p w14:paraId="57F0C3BA">
      <w:pPr>
        <w:pStyle w:val="37"/>
        <w:spacing w:beforeLines="0"/>
        <w:ind w:firstLine="42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iCs w:val="0"/>
          <w:color w:val="auto"/>
          <w:kern w:val="2"/>
          <w:sz w:val="21"/>
          <w:szCs w:val="21"/>
          <w:highlight w:val="none"/>
          <w:u w:val="none"/>
          <w:lang w:val="en-US" w:eastAsia="zh-CN"/>
        </w:rPr>
        <w:t xml:space="preserve">     </w:t>
      </w:r>
      <w:r>
        <w:rPr>
          <w:rFonts w:hint="eastAsia" w:ascii="宋体" w:hAnsi="宋体" w:eastAsia="宋体" w:cs="宋体"/>
          <w:iCs w:val="0"/>
          <w:color w:val="auto"/>
          <w:kern w:val="2"/>
          <w:sz w:val="21"/>
          <w:szCs w:val="21"/>
          <w:highlight w:val="none"/>
          <w:u w:val="none"/>
        </w:rPr>
        <w:sym w:font="Wingdings" w:char="00A8"/>
      </w:r>
      <w:r>
        <w:rPr>
          <w:rFonts w:hint="eastAsia" w:ascii="宋体" w:hAnsi="宋体" w:eastAsia="宋体" w:cs="宋体"/>
          <w:iCs w:val="0"/>
          <w:color w:val="auto"/>
          <w:kern w:val="2"/>
          <w:sz w:val="21"/>
          <w:szCs w:val="21"/>
          <w:highlight w:val="none"/>
          <w:u w:val="none"/>
        </w:rPr>
        <w:t>否</w:t>
      </w:r>
    </w:p>
    <w:p w14:paraId="469A8CCD">
      <w:pPr>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（1</w:t>
      </w:r>
      <w:r>
        <w:rPr>
          <w:rFonts w:hint="eastAsia" w:ascii="宋体" w:hAnsi="宋体" w:eastAsia="宋体" w:cs="宋体"/>
          <w:color w:val="auto"/>
          <w:sz w:val="21"/>
          <w:szCs w:val="21"/>
          <w:highlight w:val="none"/>
          <w:lang w:val="en" w:eastAsia="zh-CN"/>
        </w:rPr>
        <w:t>1</w:t>
      </w:r>
      <w:r>
        <w:rPr>
          <w:rFonts w:hint="eastAsia" w:ascii="宋体" w:hAnsi="宋体" w:eastAsia="宋体" w:cs="宋体"/>
          <w:color w:val="auto"/>
          <w:sz w:val="21"/>
          <w:szCs w:val="21"/>
          <w:highlight w:val="none"/>
          <w:lang w:val="en-US" w:eastAsia="zh-CN"/>
        </w:rPr>
        <w:t>）涉及商品包装和快递包装的，是否参考</w:t>
      </w:r>
      <w:r>
        <w:rPr>
          <w:rFonts w:hint="eastAsia" w:ascii="宋体" w:hAnsi="宋体" w:eastAsia="宋体" w:cs="宋体"/>
          <w:color w:val="auto"/>
          <w:sz w:val="21"/>
          <w:szCs w:val="21"/>
          <w:highlight w:val="none"/>
        </w:rPr>
        <w:t>《商品包装政府采购需求标准（试行）》、《快递包装政府采购需求标准（试行）》</w:t>
      </w:r>
      <w:r>
        <w:rPr>
          <w:rFonts w:hint="eastAsia" w:ascii="宋体" w:hAnsi="宋体" w:eastAsia="宋体" w:cs="宋体"/>
          <w:color w:val="auto"/>
          <w:sz w:val="21"/>
          <w:szCs w:val="21"/>
          <w:highlight w:val="none"/>
          <w:lang w:eastAsia="zh-CN"/>
        </w:rPr>
        <w:t>明确产品及相关快递服务的具体包装要求：</w:t>
      </w:r>
    </w:p>
    <w:p w14:paraId="31637B1F">
      <w:pPr>
        <w:numPr>
          <w:ilvl w:val="-1"/>
          <w:numId w:val="0"/>
        </w:numPr>
        <w:adjustRightInd w:val="0"/>
        <w:snapToGrid w:val="0"/>
        <w:spacing w:before="0" w:beforeLines="0" w:line="400" w:lineRule="exact"/>
        <w:ind w:firstLine="1050" w:firstLineChars="500"/>
        <w:rPr>
          <w:rFonts w:hint="eastAsia" w:ascii="宋体" w:hAnsi="宋体" w:eastAsia="宋体" w:cs="宋体"/>
          <w:iCs w:val="0"/>
          <w:color w:val="auto"/>
          <w:sz w:val="21"/>
          <w:szCs w:val="21"/>
          <w:highlight w:val="none"/>
          <w:lang w:val="en-US" w:eastAsia="zh-CN"/>
        </w:rPr>
      </w:pP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 xml:space="preserve">是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否</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不涉及</w:t>
      </w:r>
    </w:p>
    <w:p w14:paraId="3F1BC9E3">
      <w:pPr>
        <w:numPr>
          <w:ilvl w:val="0"/>
          <w:numId w:val="7"/>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合同金额</w:t>
      </w:r>
    </w:p>
    <w:p w14:paraId="3AE20D27">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（1）合同金额小写：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7CD6FDFA">
      <w:pPr>
        <w:adjustRightInd w:val="0"/>
        <w:snapToGrid w:val="0"/>
        <w:spacing w:before="0" w:beforeLines="0" w:line="400" w:lineRule="exact"/>
        <w:ind w:left="0" w:firstLine="0" w:firstLine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7466BEAA">
      <w:pPr>
        <w:adjustRightInd w:val="0"/>
        <w:snapToGrid w:val="0"/>
        <w:spacing w:before="0" w:beforeLines="0" w:line="400" w:lineRule="exac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分包金额</w:t>
      </w:r>
      <w:r>
        <w:rPr>
          <w:rFonts w:hint="eastAsia" w:ascii="宋体" w:hAnsi="宋体" w:eastAsia="宋体" w:cs="宋体"/>
          <w:color w:val="auto"/>
          <w:sz w:val="21"/>
          <w:szCs w:val="21"/>
          <w:highlight w:val="none"/>
          <w:lang w:eastAsia="zh-CN"/>
        </w:rPr>
        <w:t>（如有）</w:t>
      </w:r>
      <w:r>
        <w:rPr>
          <w:rFonts w:hint="eastAsia" w:ascii="宋体" w:hAnsi="宋体" w:eastAsia="宋体" w:cs="宋体"/>
          <w:color w:val="auto"/>
          <w:sz w:val="21"/>
          <w:szCs w:val="21"/>
          <w:highlight w:val="none"/>
        </w:rPr>
        <w:t>小写：</w:t>
      </w:r>
      <w:r>
        <w:rPr>
          <w:rFonts w:hint="eastAsia" w:ascii="宋体" w:hAnsi="宋体" w:eastAsia="宋体" w:cs="宋体"/>
          <w:color w:val="auto"/>
          <w:sz w:val="21"/>
          <w:szCs w:val="21"/>
          <w:highlight w:val="none"/>
          <w:u w:val="single"/>
        </w:rPr>
        <w:t xml:space="preserve">                   </w:t>
      </w:r>
    </w:p>
    <w:p w14:paraId="0C7CE46D">
      <w:pPr>
        <w:adjustRightInd w:val="0"/>
        <w:snapToGrid w:val="0"/>
        <w:spacing w:before="0" w:beforeLines="0" w:line="400" w:lineRule="exact"/>
        <w:ind w:firstLine="0" w:firstLine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3F7459D6">
      <w:p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（注：固定单价合同应填写单价和最高限价）</w:t>
      </w:r>
    </w:p>
    <w:p w14:paraId="0CD632B1">
      <w:pPr>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合同定价方式</w:t>
      </w:r>
      <w:r>
        <w:rPr>
          <w:rFonts w:hint="eastAsia" w:ascii="宋体" w:hAnsi="宋体" w:eastAsia="宋体" w:cs="宋体"/>
          <w:color w:val="auto"/>
          <w:sz w:val="21"/>
          <w:szCs w:val="21"/>
          <w:highlight w:val="none"/>
          <w:lang w:eastAsia="zh-CN"/>
        </w:rPr>
        <w:t>（采用组合定价方式的，可以勾选多项）</w:t>
      </w:r>
      <w:r>
        <w:rPr>
          <w:rFonts w:hint="eastAsia" w:ascii="宋体" w:hAnsi="宋体" w:eastAsia="宋体" w:cs="宋体"/>
          <w:color w:val="auto"/>
          <w:sz w:val="21"/>
          <w:szCs w:val="21"/>
          <w:highlight w:val="none"/>
        </w:rPr>
        <w:t>：</w:t>
      </w:r>
    </w:p>
    <w:p w14:paraId="1CCE239E">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固定总价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固定单价</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固定费率</w:t>
      </w:r>
      <w:r>
        <w:rPr>
          <w:rFonts w:hint="eastAsia" w:ascii="宋体" w:hAnsi="宋体" w:eastAsia="宋体" w:cs="宋体"/>
          <w:iCs/>
          <w:color w:val="auto"/>
          <w:sz w:val="21"/>
          <w:szCs w:val="21"/>
          <w:highlight w:val="none"/>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成本补偿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绩效激励</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其他</w:t>
      </w:r>
      <w:r>
        <w:rPr>
          <w:rFonts w:hint="eastAsia" w:ascii="宋体" w:hAnsi="宋体" w:eastAsia="宋体" w:cs="宋体"/>
          <w:color w:val="auto"/>
          <w:sz w:val="21"/>
          <w:szCs w:val="21"/>
          <w:highlight w:val="none"/>
          <w:u w:val="single"/>
        </w:rPr>
        <w:t xml:space="preserve">       </w:t>
      </w:r>
    </w:p>
    <w:p w14:paraId="0F51C916">
      <w:pPr>
        <w:pStyle w:val="80"/>
        <w:spacing w:beforeLines="0"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）付款方式（按项目实际勾选填写）：</w:t>
      </w:r>
    </w:p>
    <w:p w14:paraId="684DBB0F">
      <w:pPr>
        <w:adjustRightInd w:val="0"/>
        <w:snapToGrid w:val="0"/>
        <w:spacing w:before="0" w:beforeLines="0" w:line="400" w:lineRule="exact"/>
        <w:ind w:firstLine="630" w:firstLineChars="3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全额付款：</w:t>
      </w:r>
      <w:r>
        <w:rPr>
          <w:rFonts w:hint="eastAsia" w:ascii="宋体" w:hAnsi="宋体" w:eastAsia="宋体" w:cs="宋体"/>
          <w:color w:val="auto"/>
          <w:sz w:val="21"/>
          <w:szCs w:val="21"/>
          <w:highlight w:val="none"/>
          <w:u w:val="single"/>
        </w:rPr>
        <w:t xml:space="preserve">     （应</w:t>
      </w:r>
      <w:r>
        <w:rPr>
          <w:rFonts w:hint="eastAsia" w:ascii="宋体" w:hAnsi="宋体" w:eastAsia="宋体" w:cs="宋体"/>
          <w:color w:val="auto"/>
          <w:sz w:val="21"/>
          <w:szCs w:val="21"/>
          <w:highlight w:val="none"/>
          <w:u w:val="single"/>
          <w:lang w:eastAsia="zh-CN"/>
        </w:rPr>
        <w:t>明确</w:t>
      </w:r>
      <w:r>
        <w:rPr>
          <w:rFonts w:hint="eastAsia" w:ascii="宋体" w:hAnsi="宋体" w:eastAsia="宋体" w:cs="宋体"/>
          <w:color w:val="auto"/>
          <w:sz w:val="21"/>
          <w:szCs w:val="21"/>
          <w:highlight w:val="none"/>
          <w:u w:val="single"/>
        </w:rPr>
        <w:t>一次性支付合同款项</w:t>
      </w:r>
      <w:r>
        <w:rPr>
          <w:rFonts w:hint="eastAsia" w:ascii="宋体" w:hAnsi="宋体" w:eastAsia="宋体" w:cs="宋体"/>
          <w:color w:val="auto"/>
          <w:sz w:val="21"/>
          <w:szCs w:val="21"/>
          <w:highlight w:val="none"/>
          <w:u w:val="single"/>
          <w:lang w:eastAsia="zh-CN"/>
        </w:rPr>
        <w:t>的条件</w:t>
      </w:r>
      <w:r>
        <w:rPr>
          <w:rFonts w:hint="eastAsia" w:ascii="宋体" w:hAnsi="宋体" w:eastAsia="宋体" w:cs="宋体"/>
          <w:color w:val="auto"/>
          <w:sz w:val="21"/>
          <w:szCs w:val="21"/>
          <w:highlight w:val="none"/>
          <w:u w:val="single"/>
        </w:rPr>
        <w:t xml:space="preserve">）                    </w:t>
      </w:r>
    </w:p>
    <w:p w14:paraId="07D32B87">
      <w:pPr>
        <w:snapToGrid w:val="0"/>
        <w:spacing w:beforeLines="0" w:line="400" w:lineRule="exact"/>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分期付款：</w:t>
      </w:r>
      <w:r>
        <w:rPr>
          <w:rFonts w:hint="eastAsia" w:ascii="宋体" w:hAnsi="宋体" w:eastAsia="宋体" w:cs="宋体"/>
          <w:color w:val="auto"/>
          <w:sz w:val="21"/>
          <w:szCs w:val="21"/>
          <w:highlight w:val="none"/>
          <w:u w:val="single"/>
        </w:rPr>
        <w:t xml:space="preserve">  （应明确分期支付合同款项的各期比例和支付条件</w:t>
      </w:r>
      <w:r>
        <w:rPr>
          <w:rFonts w:hint="eastAsia" w:ascii="宋体" w:hAnsi="宋体" w:eastAsia="宋体" w:cs="宋体"/>
          <w:color w:val="auto"/>
          <w:sz w:val="21"/>
          <w:szCs w:val="21"/>
          <w:highlight w:val="none"/>
          <w:u w:val="single"/>
          <w:lang w:eastAsia="zh-CN"/>
        </w:rPr>
        <w:t>，各期支付条件应与分期履约验收情况挂钩</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lang w:eastAsia="zh-CN"/>
        </w:rPr>
        <w:t>其中涉及预付款的</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（应明确预付款的支付比例和支付条件） </w:t>
      </w:r>
    </w:p>
    <w:p w14:paraId="0A1A7CCC">
      <w:pPr>
        <w:adjustRightInd w:val="0"/>
        <w:snapToGrid w:val="0"/>
        <w:spacing w:before="0" w:beforeLines="0" w:line="400" w:lineRule="exact"/>
        <w:ind w:firstLine="630" w:firstLineChars="3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成本补偿：</w:t>
      </w:r>
      <w:r>
        <w:rPr>
          <w:rFonts w:hint="eastAsia" w:ascii="宋体" w:hAnsi="宋体" w:eastAsia="宋体" w:cs="宋体"/>
          <w:color w:val="auto"/>
          <w:sz w:val="21"/>
          <w:szCs w:val="21"/>
          <w:highlight w:val="none"/>
          <w:u w:val="single"/>
        </w:rPr>
        <w:t xml:space="preserve">      （应明确按照成本补偿方式的支付方式和支付条件）   </w:t>
      </w:r>
    </w:p>
    <w:p w14:paraId="70461483">
      <w:pPr>
        <w:adjustRightInd w:val="0"/>
        <w:snapToGrid w:val="0"/>
        <w:spacing w:before="0" w:beforeLines="0" w:line="400" w:lineRule="exact"/>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绩效激励：</w:t>
      </w:r>
      <w:r>
        <w:rPr>
          <w:rFonts w:hint="eastAsia" w:ascii="宋体" w:hAnsi="宋体" w:eastAsia="宋体" w:cs="宋体"/>
          <w:color w:val="auto"/>
          <w:sz w:val="21"/>
          <w:szCs w:val="21"/>
          <w:highlight w:val="none"/>
          <w:u w:val="single"/>
        </w:rPr>
        <w:t xml:space="preserve">      （应明确按照绩效激励方式的支付方式和支付条件）   </w:t>
      </w:r>
    </w:p>
    <w:p w14:paraId="6A27CDEB">
      <w:pPr>
        <w:numPr>
          <w:ilvl w:val="0"/>
          <w:numId w:val="7"/>
        </w:numPr>
        <w:adjustRightInd w:val="0"/>
        <w:snapToGrid w:val="0"/>
        <w:spacing w:before="0" w:beforeLines="0" w:line="400" w:lineRule="exact"/>
        <w:ind w:firstLine="422" w:firstLineChars="200"/>
        <w:rPr>
          <w:rFonts w:hint="eastAsia" w:ascii="宋体" w:hAnsi="宋体" w:eastAsia="宋体" w:cs="宋体"/>
          <w:b/>
          <w:bCs w:val="0"/>
          <w:color w:val="auto"/>
          <w:sz w:val="21"/>
          <w:szCs w:val="21"/>
          <w:highlight w:val="none"/>
          <w:u w:val="single"/>
        </w:rPr>
      </w:pPr>
      <w:r>
        <w:rPr>
          <w:rFonts w:hint="eastAsia" w:ascii="宋体" w:hAnsi="宋体" w:eastAsia="宋体" w:cs="宋体"/>
          <w:b/>
          <w:bCs w:val="0"/>
          <w:color w:val="auto"/>
          <w:sz w:val="21"/>
          <w:szCs w:val="21"/>
          <w:highlight w:val="none"/>
        </w:rPr>
        <w:t>合同履行</w:t>
      </w:r>
    </w:p>
    <w:p w14:paraId="7BB86A0D">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（1）起始日期：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日，完成日期：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1E8AF94E">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履约</w:t>
      </w:r>
      <w:r>
        <w:rPr>
          <w:rFonts w:hint="eastAsia" w:ascii="宋体" w:hAnsi="宋体" w:eastAsia="宋体" w:cs="宋体"/>
          <w:color w:val="auto"/>
          <w:sz w:val="21"/>
          <w:szCs w:val="21"/>
          <w:highlight w:val="none"/>
        </w:rPr>
        <w:t>地点</w:t>
      </w:r>
      <w:r>
        <w:rPr>
          <w:rFonts w:hint="eastAsia" w:ascii="宋体" w:hAnsi="宋体" w:eastAsia="宋体" w:cs="宋体"/>
          <w:b w:val="0"/>
          <w:bCs/>
          <w:color w:val="auto"/>
          <w:sz w:val="21"/>
          <w:szCs w:val="21"/>
          <w:highlight w:val="none"/>
        </w:rPr>
        <w:t>：</w:t>
      </w:r>
      <w:r>
        <w:rPr>
          <w:rFonts w:hint="eastAsia" w:ascii="宋体" w:hAnsi="宋体" w:eastAsia="宋体" w:cs="宋体"/>
          <w:color w:val="auto"/>
          <w:sz w:val="21"/>
          <w:szCs w:val="21"/>
          <w:highlight w:val="none"/>
          <w:u w:val="single"/>
        </w:rPr>
        <w:t xml:space="preserve">                             </w:t>
      </w:r>
    </w:p>
    <w:p w14:paraId="6037687B">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rPr>
        <w:t>（3）履约担保：</w:t>
      </w:r>
      <w:r>
        <w:rPr>
          <w:rFonts w:hint="eastAsia" w:ascii="宋体" w:hAnsi="宋体" w:eastAsia="宋体" w:cs="宋体"/>
          <w:color w:val="auto"/>
          <w:sz w:val="21"/>
          <w:szCs w:val="21"/>
          <w:highlight w:val="none"/>
          <w:lang w:val="en-US" w:eastAsia="zh-CN"/>
        </w:rPr>
        <w:t>是否收取履约保证金：</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是</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否</w:t>
      </w:r>
    </w:p>
    <w:p w14:paraId="2F96A3FA">
      <w:pPr>
        <w:pStyle w:val="37"/>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 xml:space="preserve">  收取履约保证金形式：</w:t>
      </w:r>
      <w:r>
        <w:rPr>
          <w:rFonts w:hint="eastAsia" w:ascii="宋体" w:hAnsi="宋体" w:eastAsia="宋体" w:cs="宋体"/>
          <w:bCs/>
          <w:color w:val="auto"/>
          <w:sz w:val="21"/>
          <w:szCs w:val="21"/>
          <w:highlight w:val="none"/>
          <w:u w:val="single"/>
        </w:rPr>
        <w:t xml:space="preserve">                            </w:t>
      </w:r>
    </w:p>
    <w:p w14:paraId="765CCFFC">
      <w:pPr>
        <w:pStyle w:val="37"/>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收取履约保证金金额：</w:t>
      </w:r>
      <w:r>
        <w:rPr>
          <w:rFonts w:hint="eastAsia" w:ascii="宋体" w:hAnsi="宋体" w:eastAsia="宋体" w:cs="宋体"/>
          <w:bCs/>
          <w:color w:val="auto"/>
          <w:sz w:val="21"/>
          <w:szCs w:val="21"/>
          <w:highlight w:val="none"/>
          <w:u w:val="single"/>
        </w:rPr>
        <w:t xml:space="preserve">                            </w:t>
      </w:r>
    </w:p>
    <w:p w14:paraId="54E6FED6">
      <w:pPr>
        <w:snapToGrid w:val="0"/>
        <w:spacing w:beforeLines="0"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u w:val="none"/>
          <w:lang w:val="en-US" w:eastAsia="zh-CN"/>
        </w:rPr>
        <w:t xml:space="preserve">    履约担保期限</w:t>
      </w: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14:paraId="1D28DC4A">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（4）分期履行要求：</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14:paraId="67696B2E">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bCs/>
          <w:color w:val="auto"/>
          <w:sz w:val="21"/>
          <w:szCs w:val="21"/>
          <w:highlight w:val="none"/>
        </w:rPr>
        <w:t>（5）</w:t>
      </w:r>
      <w:r>
        <w:rPr>
          <w:rFonts w:hint="eastAsia" w:ascii="宋体" w:hAnsi="宋体" w:eastAsia="宋体" w:cs="宋体"/>
          <w:bCs/>
          <w:color w:val="auto"/>
          <w:sz w:val="21"/>
          <w:szCs w:val="21"/>
          <w:highlight w:val="none"/>
          <w:lang w:eastAsia="zh-CN"/>
        </w:rPr>
        <w:t>风险处置措施和替代方案</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u w:val="single"/>
        </w:rPr>
        <w:t xml:space="preserve">                                                               </w:t>
      </w:r>
    </w:p>
    <w:p w14:paraId="08A769C1">
      <w:pPr>
        <w:numPr>
          <w:ilvl w:val="0"/>
          <w:numId w:val="7"/>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合同验收</w:t>
      </w:r>
    </w:p>
    <w:p w14:paraId="06898485">
      <w:pPr>
        <w:numPr>
          <w:ilvl w:val="0"/>
          <w:numId w:val="9"/>
        </w:num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验收组织方式：</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自行组织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委托第三方组织</w:t>
      </w:r>
    </w:p>
    <w:p w14:paraId="12679905">
      <w:pPr>
        <w:numPr>
          <w:ilvl w:val="0"/>
          <w:numId w:val="0"/>
        </w:numPr>
        <w:adjustRightInd w:val="0"/>
        <w:snapToGrid w:val="0"/>
        <w:spacing w:before="0" w:beforeLines="0" w:line="4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bCs/>
          <w:color w:val="auto"/>
          <w:sz w:val="21"/>
          <w:szCs w:val="21"/>
          <w:highlight w:val="none"/>
        </w:rPr>
        <w:t>验收主体：</w:t>
      </w:r>
      <w:r>
        <w:rPr>
          <w:rFonts w:hint="eastAsia" w:ascii="宋体" w:hAnsi="宋体" w:eastAsia="宋体" w:cs="宋体"/>
          <w:bCs/>
          <w:color w:val="auto"/>
          <w:sz w:val="21"/>
          <w:szCs w:val="21"/>
          <w:highlight w:val="none"/>
          <w:u w:val="single"/>
        </w:rPr>
        <w:t xml:space="preserve">                  </w:t>
      </w:r>
    </w:p>
    <w:p w14:paraId="0E278AF1">
      <w:pPr>
        <w:adjustRightInd w:val="0"/>
        <w:snapToGrid w:val="0"/>
        <w:spacing w:before="0" w:beforeLines="0" w:line="400" w:lineRule="exact"/>
        <w:ind w:firstLine="0"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bCs/>
          <w:color w:val="auto"/>
          <w:sz w:val="21"/>
          <w:szCs w:val="21"/>
          <w:highlight w:val="none"/>
        </w:rPr>
        <w:t>是否邀请本项目的其他</w:t>
      </w:r>
      <w:r>
        <w:rPr>
          <w:rFonts w:hint="eastAsia" w:ascii="宋体" w:hAnsi="宋体" w:eastAsia="宋体" w:cs="宋体"/>
          <w:bCs/>
          <w:color w:val="auto"/>
          <w:sz w:val="21"/>
          <w:szCs w:val="21"/>
          <w:highlight w:val="none"/>
          <w:lang w:eastAsia="zh-CN"/>
        </w:rPr>
        <w:t>投标人参加验收</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3B8CF6DF">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是否邀请专家</w:t>
      </w:r>
      <w:r>
        <w:rPr>
          <w:rFonts w:hint="eastAsia" w:ascii="宋体" w:hAnsi="宋体" w:eastAsia="宋体" w:cs="宋体"/>
          <w:bCs/>
          <w:color w:val="auto"/>
          <w:sz w:val="21"/>
          <w:szCs w:val="21"/>
          <w:highlight w:val="none"/>
          <w:lang w:eastAsia="zh-CN"/>
        </w:rPr>
        <w:t>参加验收</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53FE791D">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是否邀请服务对象</w:t>
      </w:r>
      <w:r>
        <w:rPr>
          <w:rFonts w:hint="eastAsia" w:ascii="宋体" w:hAnsi="宋体" w:eastAsia="宋体" w:cs="宋体"/>
          <w:bCs/>
          <w:color w:val="auto"/>
          <w:sz w:val="21"/>
          <w:szCs w:val="21"/>
          <w:highlight w:val="none"/>
          <w:lang w:eastAsia="zh-CN"/>
        </w:rPr>
        <w:t>参加验收</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312F90D6">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是否邀请第三方检测机构</w:t>
      </w:r>
      <w:r>
        <w:rPr>
          <w:rFonts w:hint="eastAsia" w:ascii="宋体" w:hAnsi="宋体" w:eastAsia="宋体" w:cs="宋体"/>
          <w:bCs/>
          <w:color w:val="auto"/>
          <w:sz w:val="21"/>
          <w:szCs w:val="21"/>
          <w:highlight w:val="none"/>
          <w:lang w:eastAsia="zh-CN"/>
        </w:rPr>
        <w:t>参加验收</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411CB732">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是否进行抽查检测：</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是</w:t>
      </w:r>
      <w:r>
        <w:rPr>
          <w:rFonts w:hint="eastAsia" w:ascii="宋体" w:hAnsi="宋体" w:eastAsia="宋体" w:cs="宋体"/>
          <w:bCs/>
          <w:color w:val="auto"/>
          <w:sz w:val="21"/>
          <w:szCs w:val="21"/>
          <w:highlight w:val="none"/>
          <w:lang w:eastAsia="zh-CN"/>
        </w:rPr>
        <w:t>，抽查比例：</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451EC1EF">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u w:val="single"/>
          <w:lang w:eastAsia="zh-CN"/>
        </w:rPr>
      </w:pPr>
      <w:r>
        <w:rPr>
          <w:rFonts w:hint="eastAsia" w:ascii="宋体" w:hAnsi="宋体" w:eastAsia="宋体" w:cs="宋体"/>
          <w:bCs/>
          <w:color w:val="auto"/>
          <w:sz w:val="21"/>
          <w:szCs w:val="21"/>
          <w:highlight w:val="none"/>
          <w:lang w:val="en-US" w:eastAsia="zh-CN"/>
        </w:rPr>
        <w:t>是否存在破坏性检测：</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是</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u w:val="single"/>
          <w:lang w:eastAsia="zh-CN"/>
        </w:rPr>
        <w:t>（应明确对被破坏的检测产品的处理方式）</w:t>
      </w:r>
    </w:p>
    <w:p w14:paraId="6F575199">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713A6911">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验收组织的其他事项：</w:t>
      </w:r>
      <w:r>
        <w:rPr>
          <w:rFonts w:hint="eastAsia" w:ascii="宋体" w:hAnsi="宋体" w:eastAsia="宋体" w:cs="宋体"/>
          <w:bCs/>
          <w:color w:val="auto"/>
          <w:sz w:val="21"/>
          <w:szCs w:val="21"/>
          <w:highlight w:val="none"/>
          <w:u w:val="single"/>
        </w:rPr>
        <w:t xml:space="preserve">                </w:t>
      </w:r>
    </w:p>
    <w:p w14:paraId="34F035FE">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（2）履约验收时间：</w:t>
      </w:r>
      <w:r>
        <w:rPr>
          <w:rFonts w:hint="eastAsia" w:ascii="宋体" w:hAnsi="宋体" w:eastAsia="宋体" w:cs="宋体"/>
          <w:bCs/>
          <w:color w:val="auto"/>
          <w:sz w:val="21"/>
          <w:szCs w:val="21"/>
          <w:highlight w:val="none"/>
          <w:u w:val="single"/>
        </w:rPr>
        <w:t>（计划于何时验收/</w:t>
      </w:r>
      <w:r>
        <w:rPr>
          <w:rFonts w:hint="eastAsia" w:ascii="宋体" w:hAnsi="宋体" w:eastAsia="宋体" w:cs="宋体"/>
          <w:bCs/>
          <w:color w:val="auto"/>
          <w:sz w:val="21"/>
          <w:szCs w:val="21"/>
          <w:highlight w:val="none"/>
          <w:u w:val="single"/>
          <w:lang w:eastAsia="zh-CN"/>
        </w:rPr>
        <w:t>投标人</w:t>
      </w:r>
      <w:r>
        <w:rPr>
          <w:rFonts w:hint="eastAsia" w:ascii="宋体" w:hAnsi="宋体" w:eastAsia="宋体" w:cs="宋体"/>
          <w:bCs/>
          <w:color w:val="auto"/>
          <w:sz w:val="21"/>
          <w:szCs w:val="21"/>
          <w:highlight w:val="none"/>
          <w:u w:val="single"/>
        </w:rPr>
        <w:t>提出验收申请之日起   日内组织验收）</w:t>
      </w:r>
      <w:r>
        <w:rPr>
          <w:rFonts w:hint="eastAsia" w:ascii="宋体" w:hAnsi="宋体" w:eastAsia="宋体" w:cs="宋体"/>
          <w:bCs/>
          <w:color w:val="auto"/>
          <w:sz w:val="21"/>
          <w:szCs w:val="21"/>
          <w:highlight w:val="none"/>
          <w:u w:val="single"/>
          <w:lang w:val="en-US" w:eastAsia="zh-CN"/>
        </w:rPr>
        <w:t xml:space="preserve"> </w:t>
      </w:r>
    </w:p>
    <w:p w14:paraId="7AAAB0FB">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（3）履约验收方式：</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一次性验收         </w:t>
      </w:r>
    </w:p>
    <w:p w14:paraId="730E481A">
      <w:pPr>
        <w:adjustRightInd w:val="0"/>
        <w:snapToGrid w:val="0"/>
        <w:spacing w:before="0" w:beforeLines="0" w:line="400" w:lineRule="exact"/>
        <w:ind w:firstLine="0" w:firstLineChars="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分期/分项验收</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eastAsia="zh-CN"/>
        </w:rPr>
        <w:t>（应明确分期</w:t>
      </w:r>
      <w:r>
        <w:rPr>
          <w:rFonts w:hint="eastAsia" w:ascii="宋体" w:hAnsi="宋体" w:eastAsia="宋体" w:cs="宋体"/>
          <w:bCs/>
          <w:color w:val="auto"/>
          <w:sz w:val="21"/>
          <w:szCs w:val="21"/>
          <w:highlight w:val="none"/>
          <w:u w:val="single"/>
          <w:lang w:val="en" w:eastAsia="zh-CN"/>
        </w:rPr>
        <w:t>/分项验收的工作安排</w:t>
      </w:r>
      <w:r>
        <w:rPr>
          <w:rFonts w:hint="eastAsia" w:ascii="宋体" w:hAnsi="宋体" w:eastAsia="宋体" w:cs="宋体"/>
          <w:bCs/>
          <w:color w:val="auto"/>
          <w:sz w:val="21"/>
          <w:szCs w:val="21"/>
          <w:highlight w:val="none"/>
          <w:u w:val="singl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p>
    <w:p w14:paraId="5FED00E5">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（4）履约验收程序：</w:t>
      </w:r>
      <w:r>
        <w:rPr>
          <w:rFonts w:hint="eastAsia" w:ascii="宋体" w:hAnsi="宋体" w:eastAsia="宋体" w:cs="宋体"/>
          <w:bCs/>
          <w:color w:val="auto"/>
          <w:sz w:val="21"/>
          <w:szCs w:val="21"/>
          <w:highlight w:val="none"/>
          <w:u w:val="single"/>
        </w:rPr>
        <w:t xml:space="preserve">                                         </w:t>
      </w:r>
    </w:p>
    <w:p w14:paraId="1036A9B1">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（5）履约验收的内容：</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eastAsia="zh-CN"/>
        </w:rPr>
        <w:t>（应当包括每一项技术和商务要求的履约情况，特别是落实政府采购扶持中小企业，支持绿色发展和乡村振兴等政策情况）</w:t>
      </w:r>
      <w:r>
        <w:rPr>
          <w:rFonts w:hint="eastAsia" w:ascii="宋体" w:hAnsi="宋体" w:eastAsia="宋体" w:cs="宋体"/>
          <w:bCs/>
          <w:color w:val="auto"/>
          <w:sz w:val="21"/>
          <w:szCs w:val="21"/>
          <w:highlight w:val="none"/>
          <w:u w:val="single"/>
        </w:rPr>
        <w:t xml:space="preserve">                                      </w:t>
      </w:r>
    </w:p>
    <w:p w14:paraId="004A39AB">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（6）履约验收标准：</w:t>
      </w:r>
      <w:r>
        <w:rPr>
          <w:rFonts w:hint="eastAsia" w:ascii="宋体" w:hAnsi="宋体" w:eastAsia="宋体" w:cs="宋体"/>
          <w:bCs/>
          <w:color w:val="auto"/>
          <w:sz w:val="21"/>
          <w:szCs w:val="21"/>
          <w:highlight w:val="none"/>
          <w:u w:val="single"/>
        </w:rPr>
        <w:t xml:space="preserve">                                         </w:t>
      </w:r>
    </w:p>
    <w:p w14:paraId="09FF201C">
      <w:pPr>
        <w:pStyle w:val="37"/>
        <w:spacing w:beforeLines="0"/>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lang w:val="en-US" w:eastAsia="zh-CN"/>
        </w:rPr>
        <w:t>7</w:t>
      </w:r>
      <w:r>
        <w:rPr>
          <w:rFonts w:hint="eastAsia" w:ascii="宋体" w:hAnsi="宋体" w:eastAsia="宋体" w:cs="宋体"/>
          <w:bCs/>
          <w:color w:val="auto"/>
          <w:sz w:val="21"/>
          <w:szCs w:val="21"/>
          <w:highlight w:val="none"/>
          <w:u w:val="none"/>
          <w:lang w:eastAsia="zh-CN"/>
        </w:rPr>
        <w:t>）是否以采购活动中投标人提供的样品作为参考：</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6B31070E">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（8）履约验收其他事项：</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i w:val="0"/>
          <w:iCs w:val="0"/>
          <w:color w:val="auto"/>
          <w:sz w:val="21"/>
          <w:szCs w:val="21"/>
          <w:highlight w:val="none"/>
          <w:u w:val="single"/>
        </w:rPr>
        <w:t>（产权过户登记等）</w:t>
      </w:r>
      <w:r>
        <w:rPr>
          <w:rFonts w:hint="eastAsia" w:ascii="宋体" w:hAnsi="宋体" w:eastAsia="宋体" w:cs="宋体"/>
          <w:bCs/>
          <w:color w:val="auto"/>
          <w:sz w:val="21"/>
          <w:szCs w:val="21"/>
          <w:highlight w:val="none"/>
          <w:u w:val="single"/>
        </w:rPr>
        <w:t xml:space="preserve">          </w:t>
      </w:r>
    </w:p>
    <w:p w14:paraId="12D12B78">
      <w:pPr>
        <w:numPr>
          <w:ilvl w:val="0"/>
          <w:numId w:val="7"/>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组成合同的文件</w:t>
      </w:r>
    </w:p>
    <w:p w14:paraId="64351A2D">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本协议书与下列文件一起构成合同文件，如下述文件之间有任何抵触、矛盾或歧义，应按以下顺序解释：</w:t>
      </w:r>
    </w:p>
    <w:p w14:paraId="68D4877D">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政府采购</w:t>
      </w:r>
      <w:r>
        <w:rPr>
          <w:rFonts w:hint="eastAsia" w:ascii="宋体" w:hAnsi="宋体" w:eastAsia="宋体" w:cs="宋体"/>
          <w:color w:val="auto"/>
          <w:sz w:val="21"/>
          <w:szCs w:val="21"/>
          <w:highlight w:val="none"/>
        </w:rPr>
        <w:t>合同协议书及其变更、补充</w:t>
      </w:r>
      <w:r>
        <w:rPr>
          <w:rFonts w:hint="eastAsia" w:ascii="宋体" w:hAnsi="宋体" w:eastAsia="宋体" w:cs="宋体"/>
          <w:color w:val="auto"/>
          <w:sz w:val="21"/>
          <w:szCs w:val="21"/>
          <w:highlight w:val="none"/>
          <w:lang w:eastAsia="zh-CN"/>
        </w:rPr>
        <w:t>协议</w:t>
      </w:r>
    </w:p>
    <w:p w14:paraId="44E38EF1">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）政府采购合同专用条款</w:t>
      </w:r>
    </w:p>
    <w:p w14:paraId="7E1D83EA">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）政府采购合同通用条款</w:t>
      </w:r>
    </w:p>
    <w:p w14:paraId="7FF12C16">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）中标</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通知书</w:t>
      </w:r>
    </w:p>
    <w:p w14:paraId="7A560505">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）投标（响应）文件</w:t>
      </w:r>
    </w:p>
    <w:p w14:paraId="04975BDA">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（6）采购文件</w:t>
      </w:r>
    </w:p>
    <w:p w14:paraId="7372A09D">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（7）有关技术文件，图纸</w:t>
      </w:r>
    </w:p>
    <w:p w14:paraId="6712BEBD">
      <w:pPr>
        <w:pStyle w:val="37"/>
        <w:spacing w:beforeLines="0"/>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p>
    <w:p w14:paraId="26F77EB9">
      <w:pPr>
        <w:numPr>
          <w:ilvl w:val="0"/>
          <w:numId w:val="7"/>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合同生效</w:t>
      </w:r>
    </w:p>
    <w:p w14:paraId="488CA610">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本合同自</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生效。</w:t>
      </w:r>
    </w:p>
    <w:p w14:paraId="15F85FF4">
      <w:pPr>
        <w:numPr>
          <w:ilvl w:val="0"/>
          <w:numId w:val="7"/>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合同份数</w:t>
      </w:r>
    </w:p>
    <w:p w14:paraId="18997E31">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本合同一式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份，均具有同等法律效力。</w:t>
      </w:r>
    </w:p>
    <w:p w14:paraId="0629D407">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合同订立时间：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2DF0FD02">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合同订立地点：</w:t>
      </w:r>
      <w:r>
        <w:rPr>
          <w:rFonts w:hint="eastAsia" w:ascii="宋体" w:hAnsi="宋体" w:eastAsia="宋体" w:cs="宋体"/>
          <w:color w:val="auto"/>
          <w:sz w:val="21"/>
          <w:szCs w:val="21"/>
          <w:highlight w:val="none"/>
          <w:u w:val="single"/>
        </w:rPr>
        <w:t xml:space="preserve">                           </w:t>
      </w:r>
    </w:p>
    <w:p w14:paraId="7CA56739">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附件：具体标</w:t>
      </w:r>
      <w:r>
        <w:rPr>
          <w:rFonts w:hint="eastAsia" w:ascii="宋体" w:hAnsi="宋体" w:eastAsia="宋体" w:cs="宋体"/>
          <w:color w:val="auto"/>
          <w:sz w:val="21"/>
          <w:szCs w:val="21"/>
          <w:highlight w:val="none"/>
          <w:lang w:eastAsia="zh-CN"/>
        </w:rPr>
        <w:t>的及其</w:t>
      </w:r>
      <w:r>
        <w:rPr>
          <w:rFonts w:hint="eastAsia" w:ascii="宋体" w:hAnsi="宋体" w:eastAsia="宋体" w:cs="宋体"/>
          <w:color w:val="auto"/>
          <w:sz w:val="21"/>
          <w:szCs w:val="21"/>
          <w:highlight w:val="none"/>
          <w:u w:val="none"/>
          <w:lang w:val="en-US" w:eastAsia="zh-CN"/>
        </w:rPr>
        <w:t>技术要求和商务要求</w:t>
      </w:r>
      <w:r>
        <w:rPr>
          <w:rFonts w:hint="eastAsia" w:ascii="宋体" w:hAnsi="宋体" w:eastAsia="宋体" w:cs="宋体"/>
          <w:color w:val="auto"/>
          <w:sz w:val="21"/>
          <w:szCs w:val="21"/>
          <w:highlight w:val="none"/>
        </w:rPr>
        <w:t>、联合</w:t>
      </w:r>
      <w:r>
        <w:rPr>
          <w:rFonts w:hint="eastAsia" w:cs="宋体"/>
          <w:color w:val="auto"/>
          <w:sz w:val="21"/>
          <w:szCs w:val="21"/>
          <w:highlight w:val="none"/>
          <w:lang w:val="en-US" w:eastAsia="zh-CN"/>
        </w:rPr>
        <w:t>体</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、分包</w:t>
      </w:r>
      <w:r>
        <w:rPr>
          <w:rFonts w:hint="eastAsia" w:ascii="宋体" w:hAnsi="宋体" w:eastAsia="宋体" w:cs="宋体"/>
          <w:color w:val="auto"/>
          <w:sz w:val="21"/>
          <w:szCs w:val="21"/>
          <w:highlight w:val="none"/>
          <w:lang w:eastAsia="zh-CN"/>
        </w:rPr>
        <w:t>意向</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等。</w:t>
      </w:r>
    </w:p>
    <w:p w14:paraId="0D129071">
      <w:pPr>
        <w:pStyle w:val="80"/>
        <w:rPr>
          <w:rFonts w:hint="eastAsia" w:ascii="宋体" w:hAnsi="宋体" w:eastAsia="宋体" w:cs="宋体"/>
          <w:color w:val="auto"/>
          <w:sz w:val="21"/>
          <w:szCs w:val="21"/>
          <w:highlight w:val="none"/>
        </w:rPr>
      </w:pPr>
    </w:p>
    <w:p w14:paraId="5CEC79C0">
      <w:pPr>
        <w:pStyle w:val="80"/>
        <w:rPr>
          <w:rFonts w:hint="eastAsia" w:ascii="宋体" w:hAnsi="宋体" w:eastAsia="宋体" w:cs="宋体"/>
          <w:color w:val="auto"/>
          <w:sz w:val="21"/>
          <w:szCs w:val="21"/>
          <w:highlight w:val="none"/>
        </w:rPr>
      </w:pPr>
    </w:p>
    <w:p w14:paraId="4FAD25FD">
      <w:pPr>
        <w:pStyle w:val="80"/>
        <w:rPr>
          <w:rFonts w:hint="eastAsia" w:ascii="宋体" w:hAnsi="宋体" w:eastAsia="宋体" w:cs="宋体"/>
          <w:color w:val="auto"/>
          <w:sz w:val="21"/>
          <w:szCs w:val="21"/>
          <w:highlight w:val="none"/>
        </w:rPr>
      </w:pPr>
    </w:p>
    <w:p w14:paraId="10A85BCA">
      <w:pPr>
        <w:pStyle w:val="80"/>
        <w:rPr>
          <w:rFonts w:hint="eastAsia" w:ascii="宋体" w:hAnsi="宋体" w:eastAsia="宋体" w:cs="宋体"/>
          <w:color w:val="auto"/>
          <w:sz w:val="21"/>
          <w:szCs w:val="21"/>
          <w:highlight w:val="none"/>
        </w:rPr>
      </w:pPr>
    </w:p>
    <w:p w14:paraId="75233267">
      <w:pPr>
        <w:pStyle w:val="80"/>
        <w:rPr>
          <w:rFonts w:hint="eastAsia" w:ascii="宋体" w:hAnsi="宋体" w:eastAsia="宋体" w:cs="宋体"/>
          <w:color w:val="auto"/>
          <w:sz w:val="21"/>
          <w:szCs w:val="21"/>
          <w:highlight w:val="none"/>
        </w:rPr>
      </w:pPr>
    </w:p>
    <w:p w14:paraId="5409D989">
      <w:pPr>
        <w:pStyle w:val="80"/>
        <w:rPr>
          <w:rFonts w:hint="eastAsia" w:ascii="宋体" w:hAnsi="宋体" w:eastAsia="宋体" w:cs="宋体"/>
          <w:color w:val="auto"/>
          <w:sz w:val="21"/>
          <w:szCs w:val="21"/>
          <w:highlight w:val="none"/>
        </w:rPr>
      </w:pPr>
    </w:p>
    <w:p w14:paraId="15B355E6">
      <w:pPr>
        <w:pStyle w:val="80"/>
        <w:rPr>
          <w:rFonts w:hint="eastAsia" w:ascii="宋体" w:hAnsi="宋体" w:eastAsia="宋体" w:cs="宋体"/>
          <w:color w:val="auto"/>
          <w:sz w:val="21"/>
          <w:szCs w:val="21"/>
          <w:highlight w:val="none"/>
        </w:rPr>
      </w:pPr>
    </w:p>
    <w:p w14:paraId="1BDFDC59">
      <w:pPr>
        <w:pStyle w:val="80"/>
        <w:rPr>
          <w:rFonts w:hint="eastAsia" w:ascii="宋体" w:hAnsi="宋体" w:eastAsia="宋体" w:cs="宋体"/>
          <w:color w:val="auto"/>
          <w:sz w:val="21"/>
          <w:szCs w:val="21"/>
          <w:highlight w:val="none"/>
        </w:rPr>
      </w:pPr>
    </w:p>
    <w:tbl>
      <w:tblPr>
        <w:tblStyle w:val="31"/>
        <w:tblW w:w="4868" w:type="pct"/>
        <w:tblInd w:w="10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145"/>
        <w:gridCol w:w="2053"/>
        <w:gridCol w:w="1978"/>
        <w:gridCol w:w="2121"/>
      </w:tblGrid>
      <w:tr w14:paraId="30EEA23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30" w:type="pct"/>
            <w:gridSpan w:val="2"/>
            <w:tcBorders>
              <w:bottom w:val="single" w:color="auto" w:sz="2" w:space="0"/>
              <w:right w:val="single" w:color="auto" w:sz="2" w:space="0"/>
            </w:tcBorders>
            <w:vAlign w:val="center"/>
          </w:tcPr>
          <w:p w14:paraId="122EEEC5">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甲方（采购人</w:t>
            </w:r>
            <w:r>
              <w:rPr>
                <w:rFonts w:hint="eastAsia" w:ascii="宋体" w:hAnsi="宋体" w:eastAsia="宋体" w:cs="宋体"/>
                <w:color w:val="auto"/>
                <w:sz w:val="21"/>
                <w:szCs w:val="21"/>
                <w:highlight w:val="none"/>
                <w:lang w:eastAsia="zh-CN"/>
              </w:rPr>
              <w:t>、受采购人委托签订合同的单位</w:t>
            </w:r>
            <w:r>
              <w:rPr>
                <w:rFonts w:hint="eastAsia" w:ascii="宋体" w:hAnsi="宋体" w:eastAsia="宋体" w:cs="宋体"/>
                <w:color w:val="auto"/>
                <w:sz w:val="21"/>
                <w:szCs w:val="21"/>
                <w:highlight w:val="none"/>
              </w:rPr>
              <w:t>或采购文件约定的合同甲方）</w:t>
            </w:r>
          </w:p>
        </w:tc>
        <w:tc>
          <w:tcPr>
            <w:tcW w:w="2469" w:type="pct"/>
            <w:gridSpan w:val="2"/>
            <w:tcBorders>
              <w:left w:val="single" w:color="auto" w:sz="2" w:space="0"/>
              <w:bottom w:val="single" w:color="auto" w:sz="2" w:space="0"/>
            </w:tcBorders>
            <w:vAlign w:val="center"/>
          </w:tcPr>
          <w:p w14:paraId="1ADB6644">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w:t>
            </w:r>
          </w:p>
        </w:tc>
      </w:tr>
      <w:tr w14:paraId="73D34EF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293" w:type="pct"/>
            <w:tcBorders>
              <w:top w:val="single" w:color="auto" w:sz="2" w:space="0"/>
              <w:bottom w:val="single" w:color="auto" w:sz="2" w:space="0"/>
              <w:right w:val="single" w:color="auto" w:sz="2" w:space="0"/>
            </w:tcBorders>
            <w:vAlign w:val="center"/>
          </w:tcPr>
          <w:p w14:paraId="2893D5B0">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单位名称（公章</w:t>
            </w:r>
            <w:r>
              <w:rPr>
                <w:rFonts w:hint="eastAsia" w:ascii="宋体" w:hAnsi="宋体" w:eastAsia="宋体" w:cs="宋体"/>
                <w:color w:val="auto"/>
                <w:sz w:val="21"/>
                <w:szCs w:val="21"/>
                <w:highlight w:val="none"/>
                <w:lang w:eastAsia="zh-CN"/>
              </w:rPr>
              <w:t>或合同章</w:t>
            </w:r>
            <w:r>
              <w:rPr>
                <w:rFonts w:hint="eastAsia" w:ascii="宋体" w:hAnsi="宋体" w:eastAsia="宋体" w:cs="宋体"/>
                <w:color w:val="auto"/>
                <w:sz w:val="21"/>
                <w:szCs w:val="21"/>
                <w:highlight w:val="none"/>
              </w:rPr>
              <w:t>）</w:t>
            </w:r>
          </w:p>
        </w:tc>
        <w:tc>
          <w:tcPr>
            <w:tcW w:w="1236" w:type="pct"/>
            <w:tcBorders>
              <w:top w:val="single" w:color="auto" w:sz="2" w:space="0"/>
              <w:left w:val="single" w:color="auto" w:sz="2" w:space="0"/>
              <w:bottom w:val="single" w:color="auto" w:sz="2" w:space="0"/>
              <w:right w:val="single" w:color="auto" w:sz="2" w:space="0"/>
            </w:tcBorders>
            <w:vAlign w:val="center"/>
          </w:tcPr>
          <w:p w14:paraId="55E33E36">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0CD156FD">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单位名称（公章</w:t>
            </w:r>
            <w:r>
              <w:rPr>
                <w:rFonts w:hint="eastAsia" w:ascii="宋体" w:hAnsi="宋体" w:eastAsia="宋体" w:cs="宋体"/>
                <w:color w:val="auto"/>
                <w:sz w:val="21"/>
                <w:szCs w:val="21"/>
                <w:highlight w:val="none"/>
                <w:lang w:eastAsia="zh-CN"/>
              </w:rPr>
              <w:t>或合同章</w:t>
            </w:r>
            <w:r>
              <w:rPr>
                <w:rFonts w:hint="eastAsia" w:ascii="宋体" w:hAnsi="宋体" w:eastAsia="宋体" w:cs="宋体"/>
                <w:color w:val="auto"/>
                <w:sz w:val="21"/>
                <w:szCs w:val="21"/>
                <w:highlight w:val="none"/>
              </w:rPr>
              <w:t>）</w:t>
            </w:r>
          </w:p>
        </w:tc>
        <w:tc>
          <w:tcPr>
            <w:tcW w:w="1277" w:type="pct"/>
            <w:tcBorders>
              <w:top w:val="single" w:color="auto" w:sz="2" w:space="0"/>
              <w:left w:val="single" w:color="auto" w:sz="2" w:space="0"/>
              <w:bottom w:val="single" w:color="auto" w:sz="2" w:space="0"/>
            </w:tcBorders>
            <w:vAlign w:val="center"/>
          </w:tcPr>
          <w:p w14:paraId="33BA3691">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1AF345D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293" w:type="pct"/>
            <w:vMerge w:val="restart"/>
            <w:tcBorders>
              <w:top w:val="single" w:color="auto" w:sz="2" w:space="0"/>
              <w:right w:val="single" w:color="auto" w:sz="2" w:space="0"/>
            </w:tcBorders>
            <w:vAlign w:val="center"/>
          </w:tcPr>
          <w:p w14:paraId="36476D95">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p>
          <w:p w14:paraId="13B8614E">
            <w:pPr>
              <w:adjustRightInd w:val="0"/>
              <w:snapToGrid w:val="0"/>
              <w:spacing w:line="300" w:lineRule="exact"/>
              <w:ind w:firstLine="100" w:firstLineChars="4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或其委托代理人（签章）</w:t>
            </w:r>
          </w:p>
        </w:tc>
        <w:tc>
          <w:tcPr>
            <w:tcW w:w="1236" w:type="pct"/>
            <w:vMerge w:val="restart"/>
            <w:tcBorders>
              <w:top w:val="single" w:color="auto" w:sz="2" w:space="0"/>
              <w:left w:val="single" w:color="auto" w:sz="2" w:space="0"/>
              <w:right w:val="single" w:color="auto" w:sz="2" w:space="0"/>
            </w:tcBorders>
            <w:vAlign w:val="center"/>
          </w:tcPr>
          <w:p w14:paraId="1898CF89">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right w:val="single" w:color="auto" w:sz="2" w:space="0"/>
            </w:tcBorders>
            <w:vAlign w:val="center"/>
          </w:tcPr>
          <w:p w14:paraId="5838F6CE">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p>
          <w:p w14:paraId="7DCF0669">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或其委托代理人（签章）</w:t>
            </w:r>
          </w:p>
        </w:tc>
        <w:tc>
          <w:tcPr>
            <w:tcW w:w="1277" w:type="pct"/>
            <w:tcBorders>
              <w:top w:val="single" w:color="auto" w:sz="2" w:space="0"/>
              <w:left w:val="single" w:color="auto" w:sz="2" w:space="0"/>
              <w:bottom w:val="single" w:color="auto" w:sz="2" w:space="0"/>
            </w:tcBorders>
            <w:vAlign w:val="center"/>
          </w:tcPr>
          <w:p w14:paraId="28DBBD99">
            <w:pPr>
              <w:adjustRightInd w:val="0"/>
              <w:snapToGrid w:val="0"/>
              <w:spacing w:line="300" w:lineRule="exact"/>
              <w:jc w:val="center"/>
              <w:rPr>
                <w:rFonts w:hint="eastAsia" w:ascii="宋体" w:hAnsi="宋体" w:eastAsia="宋体" w:cs="宋体"/>
                <w:color w:val="auto"/>
                <w:sz w:val="21"/>
                <w:szCs w:val="21"/>
                <w:highlight w:val="none"/>
              </w:rPr>
            </w:pPr>
          </w:p>
        </w:tc>
      </w:tr>
      <w:tr w14:paraId="73DF280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vMerge w:val="continue"/>
            <w:tcBorders>
              <w:bottom w:val="single" w:color="auto" w:sz="2" w:space="0"/>
              <w:right w:val="single" w:color="auto" w:sz="2" w:space="0"/>
            </w:tcBorders>
            <w:vAlign w:val="center"/>
          </w:tcPr>
          <w:p w14:paraId="79741DED">
            <w:pPr>
              <w:adjustRightInd w:val="0"/>
              <w:snapToGrid w:val="0"/>
              <w:spacing w:line="300" w:lineRule="exact"/>
              <w:jc w:val="center"/>
              <w:rPr>
                <w:rFonts w:hint="eastAsia" w:ascii="宋体" w:hAnsi="宋体" w:eastAsia="宋体" w:cs="宋体"/>
                <w:color w:val="auto"/>
                <w:sz w:val="21"/>
                <w:szCs w:val="21"/>
                <w:highlight w:val="none"/>
              </w:rPr>
            </w:pPr>
          </w:p>
        </w:tc>
        <w:tc>
          <w:tcPr>
            <w:tcW w:w="1236" w:type="pct"/>
            <w:vMerge w:val="continue"/>
            <w:tcBorders>
              <w:left w:val="single" w:color="auto" w:sz="2" w:space="0"/>
              <w:bottom w:val="single" w:color="auto" w:sz="2" w:space="0"/>
              <w:right w:val="single" w:color="auto" w:sz="2" w:space="0"/>
            </w:tcBorders>
            <w:vAlign w:val="center"/>
          </w:tcPr>
          <w:p w14:paraId="109C2527">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5999D7D6">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拥有者性别</w:t>
            </w:r>
          </w:p>
        </w:tc>
        <w:tc>
          <w:tcPr>
            <w:tcW w:w="1277" w:type="pct"/>
            <w:tcBorders>
              <w:top w:val="single" w:color="auto" w:sz="2" w:space="0"/>
              <w:left w:val="single" w:color="auto" w:sz="2" w:space="0"/>
              <w:bottom w:val="single" w:color="auto" w:sz="2" w:space="0"/>
            </w:tcBorders>
            <w:vAlign w:val="center"/>
          </w:tcPr>
          <w:p w14:paraId="4D49D8D4">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06DB702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4C781B48">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住</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所</w:t>
            </w:r>
          </w:p>
        </w:tc>
        <w:tc>
          <w:tcPr>
            <w:tcW w:w="1236" w:type="pct"/>
            <w:tcBorders>
              <w:top w:val="single" w:color="auto" w:sz="2" w:space="0"/>
              <w:left w:val="single" w:color="auto" w:sz="2" w:space="0"/>
              <w:bottom w:val="single" w:color="auto" w:sz="2" w:space="0"/>
              <w:right w:val="single" w:color="auto" w:sz="2" w:space="0"/>
            </w:tcBorders>
            <w:vAlign w:val="center"/>
          </w:tcPr>
          <w:p w14:paraId="2944E6ED">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7286588E">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住</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所</w:t>
            </w:r>
          </w:p>
        </w:tc>
        <w:tc>
          <w:tcPr>
            <w:tcW w:w="1277" w:type="pct"/>
            <w:tcBorders>
              <w:top w:val="single" w:color="auto" w:sz="2" w:space="0"/>
              <w:left w:val="single" w:color="auto" w:sz="2" w:space="0"/>
              <w:bottom w:val="single" w:color="auto" w:sz="2" w:space="0"/>
            </w:tcBorders>
            <w:vAlign w:val="center"/>
          </w:tcPr>
          <w:p w14:paraId="099028D8">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64298F7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3BF37A91">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 系 人</w:t>
            </w:r>
          </w:p>
        </w:tc>
        <w:tc>
          <w:tcPr>
            <w:tcW w:w="1236" w:type="pct"/>
            <w:tcBorders>
              <w:top w:val="single" w:color="auto" w:sz="2" w:space="0"/>
              <w:left w:val="single" w:color="auto" w:sz="2" w:space="0"/>
              <w:bottom w:val="single" w:color="auto" w:sz="2" w:space="0"/>
              <w:right w:val="single" w:color="auto" w:sz="2" w:space="0"/>
            </w:tcBorders>
            <w:vAlign w:val="center"/>
          </w:tcPr>
          <w:p w14:paraId="21E566CF">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1D2D0DC3">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 系 人</w:t>
            </w:r>
          </w:p>
        </w:tc>
        <w:tc>
          <w:tcPr>
            <w:tcW w:w="1277" w:type="pct"/>
            <w:tcBorders>
              <w:top w:val="single" w:color="auto" w:sz="2" w:space="0"/>
              <w:left w:val="single" w:color="auto" w:sz="2" w:space="0"/>
              <w:bottom w:val="single" w:color="auto" w:sz="2" w:space="0"/>
            </w:tcBorders>
            <w:vAlign w:val="center"/>
          </w:tcPr>
          <w:p w14:paraId="1D856A85">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77E0987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024CB895">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tc>
        <w:tc>
          <w:tcPr>
            <w:tcW w:w="1236" w:type="pct"/>
            <w:tcBorders>
              <w:top w:val="single" w:color="auto" w:sz="2" w:space="0"/>
              <w:left w:val="single" w:color="auto" w:sz="2" w:space="0"/>
              <w:bottom w:val="single" w:color="auto" w:sz="2" w:space="0"/>
              <w:right w:val="single" w:color="auto" w:sz="2" w:space="0"/>
            </w:tcBorders>
            <w:vAlign w:val="center"/>
          </w:tcPr>
          <w:p w14:paraId="4C498000">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7B4134DE">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tc>
        <w:tc>
          <w:tcPr>
            <w:tcW w:w="1277" w:type="pct"/>
            <w:tcBorders>
              <w:top w:val="single" w:color="auto" w:sz="2" w:space="0"/>
              <w:left w:val="single" w:color="auto" w:sz="2" w:space="0"/>
              <w:bottom w:val="single" w:color="auto" w:sz="2" w:space="0"/>
            </w:tcBorders>
            <w:vAlign w:val="center"/>
          </w:tcPr>
          <w:p w14:paraId="701C890C">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1179D0A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6410AC1E">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通信地址</w:t>
            </w:r>
          </w:p>
        </w:tc>
        <w:tc>
          <w:tcPr>
            <w:tcW w:w="1236" w:type="pct"/>
            <w:tcBorders>
              <w:top w:val="single" w:color="auto" w:sz="2" w:space="0"/>
              <w:left w:val="single" w:color="auto" w:sz="2" w:space="0"/>
              <w:bottom w:val="single" w:color="auto" w:sz="2" w:space="0"/>
              <w:right w:val="single" w:color="auto" w:sz="2" w:space="0"/>
            </w:tcBorders>
            <w:vAlign w:val="center"/>
          </w:tcPr>
          <w:p w14:paraId="4A52DBDF">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161E99B8">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通信地址</w:t>
            </w:r>
          </w:p>
        </w:tc>
        <w:tc>
          <w:tcPr>
            <w:tcW w:w="1277" w:type="pct"/>
            <w:tcBorders>
              <w:top w:val="single" w:color="auto" w:sz="2" w:space="0"/>
              <w:left w:val="single" w:color="auto" w:sz="2" w:space="0"/>
              <w:bottom w:val="single" w:color="auto" w:sz="2" w:space="0"/>
            </w:tcBorders>
            <w:vAlign w:val="center"/>
          </w:tcPr>
          <w:p w14:paraId="7733D880">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18397F8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359FB791">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p>
        </w:tc>
        <w:tc>
          <w:tcPr>
            <w:tcW w:w="1236" w:type="pct"/>
            <w:tcBorders>
              <w:top w:val="single" w:color="auto" w:sz="2" w:space="0"/>
              <w:left w:val="single" w:color="auto" w:sz="2" w:space="0"/>
              <w:bottom w:val="single" w:color="auto" w:sz="2" w:space="0"/>
              <w:right w:val="single" w:color="auto" w:sz="2" w:space="0"/>
            </w:tcBorders>
            <w:vAlign w:val="center"/>
          </w:tcPr>
          <w:p w14:paraId="694C6AF3">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00FEBFA1">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p>
        </w:tc>
        <w:tc>
          <w:tcPr>
            <w:tcW w:w="1277" w:type="pct"/>
            <w:tcBorders>
              <w:top w:val="single" w:color="auto" w:sz="2" w:space="0"/>
              <w:left w:val="single" w:color="auto" w:sz="2" w:space="0"/>
              <w:bottom w:val="single" w:color="auto" w:sz="2" w:space="0"/>
            </w:tcBorders>
            <w:vAlign w:val="center"/>
          </w:tcPr>
          <w:p w14:paraId="70981218">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550E399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437B108A">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电子邮箱</w:t>
            </w:r>
          </w:p>
        </w:tc>
        <w:tc>
          <w:tcPr>
            <w:tcW w:w="1236" w:type="pct"/>
            <w:tcBorders>
              <w:top w:val="single" w:color="auto" w:sz="2" w:space="0"/>
              <w:left w:val="single" w:color="auto" w:sz="2" w:space="0"/>
              <w:bottom w:val="single" w:color="auto" w:sz="2" w:space="0"/>
              <w:right w:val="single" w:color="auto" w:sz="2" w:space="0"/>
            </w:tcBorders>
            <w:vAlign w:val="center"/>
          </w:tcPr>
          <w:p w14:paraId="1C96C6AF">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55B991CE">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电子邮箱</w:t>
            </w:r>
          </w:p>
        </w:tc>
        <w:tc>
          <w:tcPr>
            <w:tcW w:w="1277" w:type="pct"/>
            <w:tcBorders>
              <w:top w:val="single" w:color="auto" w:sz="2" w:space="0"/>
              <w:left w:val="single" w:color="auto" w:sz="2" w:space="0"/>
              <w:bottom w:val="single" w:color="auto" w:sz="2" w:space="0"/>
            </w:tcBorders>
            <w:vAlign w:val="center"/>
          </w:tcPr>
          <w:p w14:paraId="0DC85DC3">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0271A5A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2F3AE2AD">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统一社会信用代码</w:t>
            </w:r>
          </w:p>
        </w:tc>
        <w:tc>
          <w:tcPr>
            <w:tcW w:w="1236" w:type="pct"/>
            <w:tcBorders>
              <w:top w:val="single" w:color="auto" w:sz="2" w:space="0"/>
              <w:left w:val="single" w:color="auto" w:sz="2" w:space="0"/>
              <w:bottom w:val="single" w:color="auto" w:sz="2" w:space="0"/>
              <w:right w:val="single" w:color="auto" w:sz="2" w:space="0"/>
            </w:tcBorders>
            <w:vAlign w:val="center"/>
          </w:tcPr>
          <w:p w14:paraId="179974F2">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0EBD6FBE">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统一社会信用代码</w:t>
            </w:r>
          </w:p>
        </w:tc>
        <w:tc>
          <w:tcPr>
            <w:tcW w:w="1277" w:type="pct"/>
            <w:tcBorders>
              <w:top w:val="single" w:color="auto" w:sz="2" w:space="0"/>
              <w:left w:val="single" w:color="auto" w:sz="2" w:space="0"/>
              <w:bottom w:val="single" w:color="auto" w:sz="2" w:space="0"/>
            </w:tcBorders>
            <w:vAlign w:val="center"/>
          </w:tcPr>
          <w:p w14:paraId="3663A1A2">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61E3156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33AB1682">
            <w:pPr>
              <w:adjustRightInd w:val="0"/>
              <w:snapToGrid w:val="0"/>
              <w:spacing w:line="300" w:lineRule="exact"/>
              <w:jc w:val="center"/>
              <w:rPr>
                <w:rFonts w:hint="eastAsia" w:ascii="宋体" w:hAnsi="宋体" w:eastAsia="宋体" w:cs="宋体"/>
                <w:color w:val="auto"/>
                <w:sz w:val="21"/>
                <w:szCs w:val="21"/>
                <w:highlight w:val="none"/>
              </w:rPr>
            </w:pPr>
          </w:p>
        </w:tc>
        <w:tc>
          <w:tcPr>
            <w:tcW w:w="1236" w:type="pct"/>
            <w:tcBorders>
              <w:top w:val="single" w:color="auto" w:sz="2" w:space="0"/>
              <w:left w:val="single" w:color="auto" w:sz="2" w:space="0"/>
              <w:bottom w:val="single" w:color="auto" w:sz="2" w:space="0"/>
              <w:right w:val="single" w:color="auto" w:sz="2" w:space="0"/>
            </w:tcBorders>
            <w:vAlign w:val="center"/>
          </w:tcPr>
          <w:p w14:paraId="704563A5">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3E23BC3A">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开户名称</w:t>
            </w:r>
          </w:p>
        </w:tc>
        <w:tc>
          <w:tcPr>
            <w:tcW w:w="1277" w:type="pct"/>
            <w:tcBorders>
              <w:top w:val="single" w:color="auto" w:sz="2" w:space="0"/>
              <w:left w:val="single" w:color="auto" w:sz="2" w:space="0"/>
              <w:bottom w:val="single" w:color="auto" w:sz="2" w:space="0"/>
            </w:tcBorders>
            <w:vAlign w:val="center"/>
          </w:tcPr>
          <w:p w14:paraId="6E184549">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3F5912B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7EDA1AFE">
            <w:pPr>
              <w:adjustRightInd w:val="0"/>
              <w:snapToGrid w:val="0"/>
              <w:spacing w:line="300" w:lineRule="exact"/>
              <w:jc w:val="center"/>
              <w:rPr>
                <w:rFonts w:hint="eastAsia" w:ascii="宋体" w:hAnsi="宋体" w:eastAsia="宋体" w:cs="宋体"/>
                <w:color w:val="auto"/>
                <w:sz w:val="21"/>
                <w:szCs w:val="21"/>
                <w:highlight w:val="none"/>
              </w:rPr>
            </w:pPr>
          </w:p>
        </w:tc>
        <w:tc>
          <w:tcPr>
            <w:tcW w:w="1236" w:type="pct"/>
            <w:tcBorders>
              <w:top w:val="single" w:color="auto" w:sz="2" w:space="0"/>
              <w:left w:val="single" w:color="auto" w:sz="2" w:space="0"/>
              <w:bottom w:val="single" w:color="auto" w:sz="2" w:space="0"/>
              <w:right w:val="single" w:color="auto" w:sz="2" w:space="0"/>
            </w:tcBorders>
            <w:vAlign w:val="center"/>
          </w:tcPr>
          <w:p w14:paraId="7ABB2AC7">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35806D87">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w:t>
            </w:r>
          </w:p>
        </w:tc>
        <w:tc>
          <w:tcPr>
            <w:tcW w:w="1277" w:type="pct"/>
            <w:tcBorders>
              <w:top w:val="single" w:color="auto" w:sz="2" w:space="0"/>
              <w:left w:val="single" w:color="auto" w:sz="2" w:space="0"/>
              <w:bottom w:val="single" w:color="auto" w:sz="2" w:space="0"/>
            </w:tcBorders>
            <w:vAlign w:val="center"/>
          </w:tcPr>
          <w:p w14:paraId="740EC35E">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77429C4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68178CC3">
            <w:pPr>
              <w:adjustRightInd w:val="0"/>
              <w:snapToGrid w:val="0"/>
              <w:spacing w:line="300" w:lineRule="exact"/>
              <w:jc w:val="center"/>
              <w:rPr>
                <w:rFonts w:hint="eastAsia" w:ascii="宋体" w:hAnsi="宋体" w:eastAsia="宋体" w:cs="宋体"/>
                <w:color w:val="auto"/>
                <w:sz w:val="21"/>
                <w:szCs w:val="21"/>
                <w:highlight w:val="none"/>
              </w:rPr>
            </w:pPr>
          </w:p>
        </w:tc>
        <w:tc>
          <w:tcPr>
            <w:tcW w:w="1236" w:type="pct"/>
            <w:tcBorders>
              <w:top w:val="single" w:color="auto" w:sz="2" w:space="0"/>
              <w:left w:val="single" w:color="auto" w:sz="2" w:space="0"/>
              <w:bottom w:val="single" w:color="auto" w:sz="2" w:space="0"/>
              <w:right w:val="single" w:color="auto" w:sz="2" w:space="0"/>
            </w:tcBorders>
            <w:vAlign w:val="center"/>
          </w:tcPr>
          <w:p w14:paraId="5607259C">
            <w:pPr>
              <w:adjustRightInd w:val="0"/>
              <w:snapToGrid w:val="0"/>
              <w:spacing w:line="300" w:lineRule="exact"/>
              <w:jc w:val="center"/>
              <w:rPr>
                <w:rFonts w:hint="eastAsia" w:ascii="宋体" w:hAnsi="宋体" w:eastAsia="宋体" w:cs="宋体"/>
                <w:color w:val="auto"/>
                <w:sz w:val="21"/>
                <w:szCs w:val="21"/>
                <w:highlight w:val="none"/>
              </w:rPr>
            </w:pPr>
          </w:p>
        </w:tc>
        <w:tc>
          <w:tcPr>
            <w:tcW w:w="1192" w:type="pct"/>
            <w:tcBorders>
              <w:top w:val="single" w:color="auto" w:sz="2" w:space="0"/>
              <w:left w:val="single" w:color="auto" w:sz="2" w:space="0"/>
              <w:bottom w:val="single" w:color="auto" w:sz="2" w:space="0"/>
              <w:right w:val="single" w:color="auto" w:sz="2" w:space="0"/>
            </w:tcBorders>
            <w:vAlign w:val="center"/>
          </w:tcPr>
          <w:p w14:paraId="68B30708">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银行账号</w:t>
            </w:r>
          </w:p>
        </w:tc>
        <w:tc>
          <w:tcPr>
            <w:tcW w:w="1277" w:type="pct"/>
            <w:tcBorders>
              <w:top w:val="single" w:color="auto" w:sz="2" w:space="0"/>
              <w:left w:val="single" w:color="auto" w:sz="2" w:space="0"/>
              <w:bottom w:val="single" w:color="auto" w:sz="2" w:space="0"/>
            </w:tcBorders>
            <w:vAlign w:val="center"/>
          </w:tcPr>
          <w:p w14:paraId="48E686BC">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694FCC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63BA60FE">
            <w:pPr>
              <w:pStyle w:val="17"/>
              <w:adjustRightInd w:val="0"/>
              <w:snapToGrid w:val="0"/>
              <w:spacing w:before="156" w:beforeLines="50" w:after="0" w:line="360" w:lineRule="auto"/>
              <w:ind w:left="0" w:leftChars="0"/>
              <w:jc w:val="left"/>
              <w:rPr>
                <w:rFonts w:hint="eastAsia" w:ascii="宋体" w:hAnsi="宋体" w:eastAsia="宋体" w:cs="宋体"/>
                <w:color w:val="auto"/>
                <w:spacing w:val="20"/>
                <w:sz w:val="21"/>
                <w:szCs w:val="21"/>
                <w:highlight w:val="none"/>
              </w:rPr>
            </w:pPr>
            <w:r>
              <w:rPr>
                <w:rFonts w:hint="eastAsia" w:ascii="宋体" w:hAnsi="宋体" w:eastAsia="宋体" w:cs="宋体"/>
                <w:color w:val="auto"/>
                <w:sz w:val="21"/>
                <w:szCs w:val="21"/>
                <w:highlight w:val="none"/>
              </w:rPr>
              <w:t>注：涉及联合体或其他合同主体的信息应按上表格式加列。</w:t>
            </w:r>
          </w:p>
        </w:tc>
      </w:tr>
    </w:tbl>
    <w:p w14:paraId="4938941A">
      <w:pPr>
        <w:pStyle w:val="4"/>
        <w:keepNext/>
        <w:keepLines/>
        <w:pageBreakBefore w:val="0"/>
        <w:widowControl w:val="0"/>
        <w:kinsoku/>
        <w:wordWrap/>
        <w:overflowPunct/>
        <w:topLinePunct w:val="0"/>
        <w:autoSpaceDE/>
        <w:autoSpaceDN/>
        <w:bidi w:val="0"/>
        <w:adjustRightInd w:val="0"/>
        <w:snapToGrid w:val="0"/>
        <w:spacing w:before="156" w:beforeLines="50" w:after="157" w:afterLines="5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color w:val="auto"/>
          <w:sz w:val="21"/>
          <w:szCs w:val="21"/>
          <w:highlight w:val="none"/>
          <w:u w:val="single"/>
        </w:rPr>
        <w:br w:type="page"/>
      </w:r>
      <w:bookmarkStart w:id="676" w:name="_Toc27624"/>
      <w:bookmarkStart w:id="677" w:name="_Toc26561"/>
      <w:r>
        <w:rPr>
          <w:rFonts w:hint="eastAsia" w:ascii="宋体" w:hAnsi="宋体" w:eastAsia="宋体" w:cs="宋体"/>
          <w:b/>
          <w:bCs/>
          <w:color w:val="auto"/>
          <w:sz w:val="36"/>
          <w:szCs w:val="36"/>
          <w:highlight w:val="none"/>
        </w:rPr>
        <w:t>第二节 政府采购合同通用条款</w:t>
      </w:r>
      <w:bookmarkEnd w:id="676"/>
      <w:bookmarkEnd w:id="677"/>
    </w:p>
    <w:p w14:paraId="04059302">
      <w:pPr>
        <w:tabs>
          <w:tab w:val="left" w:pos="8820"/>
          <w:tab w:val="left" w:pos="9345"/>
          <w:tab w:val="left" w:pos="9765"/>
        </w:tabs>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bCs/>
          <w:color w:val="auto"/>
          <w:sz w:val="21"/>
          <w:szCs w:val="21"/>
          <w:highlight w:val="none"/>
        </w:rPr>
        <w:t>定义</w:t>
      </w:r>
    </w:p>
    <w:p w14:paraId="1EA126DD">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1.1合同当事人</w:t>
      </w:r>
    </w:p>
    <w:p w14:paraId="1B278EF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（1）采购人（以下称甲方）是指使用财政性资金，通过政府采购方式向</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购买货物</w:t>
      </w:r>
      <w:r>
        <w:rPr>
          <w:rFonts w:hint="eastAsia" w:ascii="宋体" w:hAnsi="宋体" w:eastAsia="宋体" w:cs="宋体"/>
          <w:color w:val="auto"/>
          <w:sz w:val="21"/>
          <w:szCs w:val="21"/>
          <w:highlight w:val="none"/>
          <w:lang w:val="en-US" w:eastAsia="zh-CN"/>
        </w:rPr>
        <w:t>及其相关服务的</w:t>
      </w:r>
      <w:r>
        <w:rPr>
          <w:rFonts w:hint="eastAsia" w:ascii="宋体" w:hAnsi="宋体" w:eastAsia="宋体" w:cs="宋体"/>
          <w:color w:val="auto"/>
          <w:sz w:val="21"/>
          <w:szCs w:val="21"/>
          <w:highlight w:val="none"/>
        </w:rPr>
        <w:t>国家机关、事业单位、团体组织。</w:t>
      </w:r>
    </w:p>
    <w:p w14:paraId="4A104EE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（以下称</w:t>
      </w:r>
      <w:r>
        <w:rPr>
          <w:rFonts w:hint="eastAsia" w:ascii="宋体" w:hAnsi="宋体" w:eastAsia="宋体" w:cs="宋体"/>
          <w:color w:val="auto"/>
          <w:sz w:val="21"/>
          <w:szCs w:val="21"/>
          <w:highlight w:val="none"/>
          <w:lang w:eastAsia="zh-CN"/>
        </w:rPr>
        <w:t>乙</w:t>
      </w:r>
      <w:r>
        <w:rPr>
          <w:rFonts w:hint="eastAsia" w:ascii="宋体" w:hAnsi="宋体" w:eastAsia="宋体" w:cs="宋体"/>
          <w:color w:val="auto"/>
          <w:sz w:val="21"/>
          <w:szCs w:val="21"/>
          <w:highlight w:val="none"/>
        </w:rPr>
        <w:t>方）是指参加政府采购活动并且中标（成交），向采购人提供</w:t>
      </w:r>
      <w:r>
        <w:rPr>
          <w:rFonts w:hint="eastAsia" w:ascii="宋体" w:hAnsi="宋体" w:eastAsia="宋体" w:cs="宋体"/>
          <w:color w:val="auto"/>
          <w:sz w:val="21"/>
          <w:szCs w:val="21"/>
          <w:highlight w:val="none"/>
          <w:lang w:val="en-US" w:eastAsia="zh-CN"/>
        </w:rPr>
        <w:t>合同约定的货物及其相关服务的法人、非法人组织或者自然人</w:t>
      </w:r>
      <w:r>
        <w:rPr>
          <w:rFonts w:hint="eastAsia" w:ascii="宋体" w:hAnsi="宋体" w:eastAsia="宋体" w:cs="宋体"/>
          <w:color w:val="auto"/>
          <w:sz w:val="21"/>
          <w:szCs w:val="21"/>
          <w:highlight w:val="none"/>
        </w:rPr>
        <w:t>。</w:t>
      </w:r>
    </w:p>
    <w:p w14:paraId="4087E705">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（3）其他合同主体是指除采购人和</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以外，</w:t>
      </w:r>
      <w:r>
        <w:rPr>
          <w:rFonts w:hint="eastAsia" w:ascii="宋体" w:hAnsi="宋体" w:eastAsia="宋体" w:cs="宋体"/>
          <w:bCs/>
          <w:color w:val="auto"/>
          <w:sz w:val="21"/>
          <w:szCs w:val="21"/>
          <w:highlight w:val="none"/>
        </w:rPr>
        <w:t>依法参与合同缔结或履行，享有权利、承担义务的合同当事人</w:t>
      </w:r>
      <w:r>
        <w:rPr>
          <w:rFonts w:hint="eastAsia" w:ascii="宋体" w:hAnsi="宋体" w:eastAsia="宋体" w:cs="宋体"/>
          <w:color w:val="auto"/>
          <w:sz w:val="21"/>
          <w:szCs w:val="21"/>
          <w:highlight w:val="none"/>
        </w:rPr>
        <w:t>。</w:t>
      </w:r>
    </w:p>
    <w:p w14:paraId="0DBF17DC">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1.2本合同下列术语应解释为：</w:t>
      </w:r>
    </w:p>
    <w:p w14:paraId="7A7C9AB5">
      <w:pPr>
        <w:adjustRightInd w:val="0"/>
        <w:snapToGrid w:val="0"/>
        <w:spacing w:before="0" w:beforeLines="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（1）“合同”系指</w:t>
      </w:r>
      <w:r>
        <w:rPr>
          <w:rFonts w:hint="eastAsia" w:ascii="宋体" w:hAnsi="宋体" w:eastAsia="宋体" w:cs="宋体"/>
          <w:bCs/>
          <w:color w:val="auto"/>
          <w:sz w:val="21"/>
          <w:szCs w:val="21"/>
          <w:highlight w:val="none"/>
        </w:rPr>
        <w:t>合同当事人意思表示达成一致的任何协议，包括签署的</w:t>
      </w:r>
      <w:r>
        <w:rPr>
          <w:rFonts w:hint="eastAsia" w:ascii="宋体" w:hAnsi="宋体" w:eastAsia="宋体" w:cs="宋体"/>
          <w:color w:val="auto"/>
          <w:sz w:val="21"/>
          <w:szCs w:val="21"/>
          <w:highlight w:val="none"/>
          <w:lang w:eastAsia="zh-CN"/>
        </w:rPr>
        <w:t>政府采购</w:t>
      </w:r>
      <w:r>
        <w:rPr>
          <w:rFonts w:hint="eastAsia" w:ascii="宋体" w:hAnsi="宋体" w:eastAsia="宋体" w:cs="宋体"/>
          <w:color w:val="auto"/>
          <w:sz w:val="21"/>
          <w:szCs w:val="21"/>
          <w:highlight w:val="none"/>
        </w:rPr>
        <w:t>合同协议书及其变更、补充</w:t>
      </w:r>
      <w:r>
        <w:rPr>
          <w:rFonts w:hint="eastAsia" w:ascii="宋体" w:hAnsi="宋体" w:eastAsia="宋体" w:cs="宋体"/>
          <w:color w:val="auto"/>
          <w:sz w:val="21"/>
          <w:szCs w:val="21"/>
          <w:highlight w:val="none"/>
          <w:lang w:eastAsia="zh-CN"/>
        </w:rPr>
        <w:t>协议，</w:t>
      </w:r>
      <w:r>
        <w:rPr>
          <w:rFonts w:hint="eastAsia" w:ascii="宋体" w:hAnsi="宋体" w:eastAsia="宋体" w:cs="宋体"/>
          <w:color w:val="auto"/>
          <w:sz w:val="21"/>
          <w:szCs w:val="21"/>
          <w:highlight w:val="none"/>
        </w:rPr>
        <w:t>政府采购合同专用条款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政府采购合同通用条款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中标</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通知书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投标（响应）文件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有关技术文件</w:t>
      </w:r>
      <w:r>
        <w:rPr>
          <w:rFonts w:hint="eastAsia" w:ascii="宋体" w:hAnsi="宋体" w:eastAsia="宋体" w:cs="宋体"/>
          <w:color w:val="auto"/>
          <w:sz w:val="21"/>
          <w:szCs w:val="21"/>
          <w:highlight w:val="none"/>
          <w:lang w:eastAsia="zh-CN"/>
        </w:rPr>
        <w:t>和</w:t>
      </w:r>
      <w:r>
        <w:rPr>
          <w:rFonts w:hint="eastAsia" w:ascii="宋体" w:hAnsi="宋体" w:eastAsia="宋体" w:cs="宋体"/>
          <w:color w:val="auto"/>
          <w:sz w:val="21"/>
          <w:szCs w:val="21"/>
          <w:highlight w:val="none"/>
        </w:rPr>
        <w:t>图纸</w:t>
      </w:r>
      <w:r>
        <w:rPr>
          <w:rFonts w:hint="eastAsia" w:ascii="宋体" w:hAnsi="宋体" w:eastAsia="宋体" w:cs="宋体"/>
          <w:color w:val="auto"/>
          <w:sz w:val="21"/>
          <w:szCs w:val="21"/>
          <w:highlight w:val="none"/>
          <w:lang w:eastAsia="zh-CN"/>
        </w:rPr>
        <w:t>，以及国家法律、行政法规和规章制度规定或合同约定的作为合同组成部分的其他文件</w:t>
      </w:r>
      <w:r>
        <w:rPr>
          <w:rFonts w:hint="eastAsia" w:ascii="宋体" w:hAnsi="宋体" w:eastAsia="宋体" w:cs="宋体"/>
          <w:color w:val="auto"/>
          <w:sz w:val="21"/>
          <w:szCs w:val="21"/>
          <w:highlight w:val="none"/>
        </w:rPr>
        <w:t>。</w:t>
      </w:r>
    </w:p>
    <w:p w14:paraId="6E703C0F">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）“合同价</w:t>
      </w:r>
      <w:r>
        <w:rPr>
          <w:rFonts w:hint="eastAsia" w:ascii="宋体" w:hAnsi="宋体" w:eastAsia="宋体" w:cs="宋体"/>
          <w:color w:val="auto"/>
          <w:sz w:val="21"/>
          <w:szCs w:val="21"/>
          <w:highlight w:val="none"/>
          <w:lang w:val="en-US" w:eastAsia="zh-CN"/>
        </w:rPr>
        <w:t>款</w:t>
      </w:r>
      <w:r>
        <w:rPr>
          <w:rFonts w:hint="eastAsia" w:ascii="宋体" w:hAnsi="宋体" w:eastAsia="宋体" w:cs="宋体"/>
          <w:color w:val="auto"/>
          <w:sz w:val="21"/>
          <w:szCs w:val="21"/>
          <w:highlight w:val="none"/>
        </w:rPr>
        <w:t>”系指根据本合同规定乙方在全面履行合同义务后甲方应支付给乙方的价款。</w:t>
      </w:r>
    </w:p>
    <w:p w14:paraId="09C60E06">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）“货物”系指乙方根据本合同规定须向甲方提供的各种形态和种类的物品，包括原材料、设备、产品（包括软件）及相关的其备品备件、工具、手册及</w:t>
      </w:r>
      <w:r>
        <w:rPr>
          <w:rFonts w:hint="eastAsia" w:ascii="宋体" w:hAnsi="宋体" w:eastAsia="宋体" w:cs="宋体"/>
          <w:color w:val="auto"/>
          <w:sz w:val="21"/>
          <w:szCs w:val="21"/>
          <w:highlight w:val="none"/>
          <w:lang w:val="en"/>
        </w:rPr>
        <w:t>其他</w:t>
      </w:r>
      <w:r>
        <w:rPr>
          <w:rFonts w:hint="eastAsia" w:ascii="宋体" w:hAnsi="宋体" w:eastAsia="宋体" w:cs="宋体"/>
          <w:color w:val="auto"/>
          <w:sz w:val="21"/>
          <w:szCs w:val="21"/>
          <w:highlight w:val="none"/>
        </w:rPr>
        <w:t>技术资料和材料</w:t>
      </w:r>
      <w:r>
        <w:rPr>
          <w:rFonts w:hint="eastAsia" w:ascii="宋体" w:hAnsi="宋体" w:eastAsia="宋体" w:cs="宋体"/>
          <w:color w:val="auto"/>
          <w:sz w:val="21"/>
          <w:szCs w:val="21"/>
          <w:highlight w:val="none"/>
          <w:lang w:eastAsia="zh-CN"/>
        </w:rPr>
        <w:t>等</w:t>
      </w:r>
      <w:r>
        <w:rPr>
          <w:rFonts w:hint="eastAsia" w:ascii="宋体" w:hAnsi="宋体" w:eastAsia="宋体" w:cs="宋体"/>
          <w:color w:val="auto"/>
          <w:sz w:val="21"/>
          <w:szCs w:val="21"/>
          <w:highlight w:val="none"/>
        </w:rPr>
        <w:t>。</w:t>
      </w:r>
    </w:p>
    <w:p w14:paraId="18749100">
      <w:pPr>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相关</w:t>
      </w:r>
      <w:r>
        <w:rPr>
          <w:rFonts w:hint="eastAsia" w:ascii="宋体" w:hAnsi="宋体" w:eastAsia="宋体" w:cs="宋体"/>
          <w:color w:val="auto"/>
          <w:sz w:val="21"/>
          <w:szCs w:val="21"/>
          <w:highlight w:val="none"/>
        </w:rPr>
        <w:t>服务”系指根据合同规定，乙方应提供的</w:t>
      </w:r>
      <w:r>
        <w:rPr>
          <w:rFonts w:hint="eastAsia" w:ascii="宋体" w:hAnsi="宋体" w:eastAsia="宋体" w:cs="宋体"/>
          <w:color w:val="auto"/>
          <w:sz w:val="21"/>
          <w:szCs w:val="21"/>
          <w:highlight w:val="none"/>
          <w:lang w:val="en-US" w:eastAsia="zh-CN"/>
        </w:rPr>
        <w:t>与货物有关的</w:t>
      </w:r>
      <w:r>
        <w:rPr>
          <w:rFonts w:hint="eastAsia" w:ascii="宋体" w:hAnsi="宋体" w:eastAsia="宋体" w:cs="宋体"/>
          <w:color w:val="auto"/>
          <w:sz w:val="21"/>
          <w:szCs w:val="21"/>
          <w:highlight w:val="none"/>
        </w:rPr>
        <w:t>技术、管理和</w:t>
      </w:r>
      <w:r>
        <w:rPr>
          <w:rFonts w:hint="eastAsia" w:ascii="宋体" w:hAnsi="宋体" w:eastAsia="宋体" w:cs="宋体"/>
          <w:color w:val="auto"/>
          <w:sz w:val="21"/>
          <w:szCs w:val="21"/>
          <w:highlight w:val="none"/>
          <w:lang w:val="en"/>
        </w:rPr>
        <w:t>其他</w:t>
      </w:r>
      <w:r>
        <w:rPr>
          <w:rFonts w:hint="eastAsia" w:ascii="宋体" w:hAnsi="宋体" w:eastAsia="宋体" w:cs="宋体"/>
          <w:color w:val="auto"/>
          <w:sz w:val="21"/>
          <w:szCs w:val="21"/>
          <w:highlight w:val="none"/>
        </w:rPr>
        <w:t>服务，包括但不限于：管理和质量保证、运输、保险、检验、现场准备、安装、集成、调试、培训、维修、</w:t>
      </w:r>
      <w:r>
        <w:rPr>
          <w:rFonts w:hint="eastAsia" w:ascii="宋体" w:hAnsi="宋体" w:eastAsia="宋体" w:cs="宋体"/>
          <w:color w:val="auto"/>
          <w:sz w:val="21"/>
          <w:szCs w:val="21"/>
          <w:highlight w:val="none"/>
          <w:lang w:eastAsia="zh-CN"/>
        </w:rPr>
        <w:t>废弃处置、</w:t>
      </w:r>
      <w:r>
        <w:rPr>
          <w:rFonts w:hint="eastAsia" w:ascii="宋体" w:hAnsi="宋体" w:eastAsia="宋体" w:cs="宋体"/>
          <w:color w:val="auto"/>
          <w:sz w:val="21"/>
          <w:szCs w:val="21"/>
          <w:highlight w:val="none"/>
        </w:rPr>
        <w:t>技术支持等以及合同中规定乙方应承担的</w:t>
      </w:r>
      <w:r>
        <w:rPr>
          <w:rFonts w:hint="eastAsia" w:ascii="宋体" w:hAnsi="宋体" w:eastAsia="宋体" w:cs="宋体"/>
          <w:color w:val="auto"/>
          <w:sz w:val="21"/>
          <w:szCs w:val="21"/>
          <w:highlight w:val="none"/>
          <w:lang w:val="en"/>
        </w:rPr>
        <w:t>其他</w:t>
      </w:r>
      <w:r>
        <w:rPr>
          <w:rFonts w:hint="eastAsia" w:ascii="宋体" w:hAnsi="宋体" w:eastAsia="宋体" w:cs="宋体"/>
          <w:color w:val="auto"/>
          <w:sz w:val="21"/>
          <w:szCs w:val="21"/>
          <w:highlight w:val="none"/>
        </w:rPr>
        <w:t>义务。</w:t>
      </w:r>
    </w:p>
    <w:p w14:paraId="60403AB0">
      <w:pPr>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）“分包”系指中标</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成交</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按采购文件、投标（响应）文件的规定，根据分包意向协议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，将中标</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成交</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项目中的部分履约内容，分给具有相应资质条件的</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履行合同的行为。</w:t>
      </w:r>
    </w:p>
    <w:p w14:paraId="4287798A">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）“联合体”系指</w:t>
      </w:r>
      <w:r>
        <w:rPr>
          <w:rFonts w:hint="eastAsia" w:ascii="宋体" w:hAnsi="宋体" w:eastAsia="宋体" w:cs="宋体"/>
          <w:color w:val="auto"/>
          <w:sz w:val="21"/>
          <w:szCs w:val="21"/>
          <w:highlight w:val="none"/>
          <w:lang w:eastAsia="zh-CN"/>
        </w:rPr>
        <w:t>由</w:t>
      </w:r>
      <w:r>
        <w:rPr>
          <w:rFonts w:hint="eastAsia" w:ascii="宋体" w:hAnsi="宋体" w:eastAsia="宋体" w:cs="宋体"/>
          <w:color w:val="auto"/>
          <w:sz w:val="21"/>
          <w:szCs w:val="21"/>
          <w:highlight w:val="none"/>
        </w:rPr>
        <w:t>两个以上的自然人、法人或者</w:t>
      </w:r>
      <w:r>
        <w:rPr>
          <w:rFonts w:hint="eastAsia" w:ascii="宋体" w:hAnsi="宋体" w:eastAsia="宋体" w:cs="宋体"/>
          <w:color w:val="auto"/>
          <w:sz w:val="21"/>
          <w:szCs w:val="21"/>
          <w:highlight w:val="none"/>
          <w:lang w:val="en-US" w:eastAsia="zh-CN"/>
        </w:rPr>
        <w:t>非法人</w:t>
      </w:r>
      <w:r>
        <w:rPr>
          <w:rFonts w:hint="eastAsia" w:ascii="宋体" w:hAnsi="宋体" w:eastAsia="宋体" w:cs="宋体"/>
          <w:color w:val="auto"/>
          <w:sz w:val="21"/>
          <w:szCs w:val="21"/>
          <w:highlight w:val="none"/>
        </w:rPr>
        <w:t>组织组成，</w:t>
      </w:r>
      <w:r>
        <w:rPr>
          <w:rFonts w:hint="eastAsia" w:ascii="宋体" w:hAnsi="宋体" w:eastAsia="宋体" w:cs="宋体"/>
          <w:color w:val="auto"/>
          <w:sz w:val="21"/>
          <w:szCs w:val="21"/>
          <w:highlight w:val="none"/>
          <w:lang w:eastAsia="zh-CN"/>
        </w:rPr>
        <w:t>以一个投标人的身份共同参加政府采购的主体。</w:t>
      </w:r>
      <w:r>
        <w:rPr>
          <w:rFonts w:hint="eastAsia" w:ascii="宋体" w:hAnsi="宋体" w:eastAsia="宋体" w:cs="宋体"/>
          <w:color w:val="auto"/>
          <w:sz w:val="21"/>
          <w:szCs w:val="21"/>
          <w:highlight w:val="none"/>
        </w:rPr>
        <w:t>联合体各方应在签订合同协议书前向甲方提交联合</w:t>
      </w:r>
      <w:r>
        <w:rPr>
          <w:rFonts w:hint="eastAsia" w:cs="宋体"/>
          <w:color w:val="auto"/>
          <w:sz w:val="21"/>
          <w:szCs w:val="21"/>
          <w:highlight w:val="none"/>
          <w:lang w:val="en-US" w:eastAsia="zh-CN"/>
        </w:rPr>
        <w:t>体</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，且明确牵头人及各成员单位的工作分工、权利、义务、责任，联合体各方应共同与甲方签订合同，就合同约定的事项对</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承担连带责任。联合体具体要求见【</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w:t>
      </w:r>
    </w:p>
    <w:p w14:paraId="100463ED">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）其他术语解释，见【</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w:t>
      </w:r>
    </w:p>
    <w:p w14:paraId="2671A925">
      <w:pPr>
        <w:numPr>
          <w:ilvl w:val="0"/>
          <w:numId w:val="10"/>
        </w:num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合同标的及金额</w:t>
      </w:r>
    </w:p>
    <w:p w14:paraId="518EE407">
      <w:pPr>
        <w:autoSpaceDE w:val="0"/>
        <w:autoSpaceDN w:val="0"/>
        <w:adjustRightInd w:val="0"/>
        <w:snapToGrid w:val="0"/>
        <w:spacing w:before="0" w:line="400" w:lineRule="exact"/>
        <w:ind w:firstLine="420" w:firstLineChars="200"/>
        <w:jc w:val="left"/>
        <w:rPr>
          <w:rFonts w:hint="eastAsia" w:ascii="宋体" w:hAnsi="宋体" w:eastAsia="宋体" w:cs="宋体"/>
          <w:b/>
          <w:bCs/>
          <w:i/>
          <w:iCs/>
          <w:color w:val="auto"/>
          <w:sz w:val="21"/>
          <w:szCs w:val="21"/>
          <w:highlight w:val="none"/>
        </w:rPr>
      </w:pP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rPr>
        <w:t>.1 合同标的及金额应与中标（成交）结果一致。乙方为履行本合同而发生的所有费用均应包含在合同</w:t>
      </w:r>
      <w:r>
        <w:rPr>
          <w:rFonts w:hint="eastAsia" w:ascii="宋体" w:hAnsi="宋体" w:eastAsia="宋体" w:cs="宋体"/>
          <w:color w:val="auto"/>
          <w:sz w:val="21"/>
          <w:szCs w:val="21"/>
          <w:highlight w:val="none"/>
          <w:lang w:eastAsia="zh-CN"/>
        </w:rPr>
        <w:t>价款</w:t>
      </w:r>
      <w:r>
        <w:rPr>
          <w:rFonts w:hint="eastAsia" w:ascii="宋体" w:hAnsi="宋体" w:eastAsia="宋体" w:cs="宋体"/>
          <w:color w:val="auto"/>
          <w:sz w:val="21"/>
          <w:szCs w:val="21"/>
          <w:highlight w:val="none"/>
        </w:rPr>
        <w:t>中，甲方不再另行支付</w:t>
      </w:r>
      <w:r>
        <w:rPr>
          <w:rFonts w:hint="eastAsia" w:ascii="宋体" w:hAnsi="宋体" w:eastAsia="宋体" w:cs="宋体"/>
          <w:color w:val="auto"/>
          <w:sz w:val="21"/>
          <w:szCs w:val="21"/>
          <w:highlight w:val="none"/>
          <w:lang w:val="en"/>
        </w:rPr>
        <w:t>其他</w:t>
      </w:r>
      <w:r>
        <w:rPr>
          <w:rFonts w:hint="eastAsia" w:ascii="宋体" w:hAnsi="宋体" w:eastAsia="宋体" w:cs="宋体"/>
          <w:color w:val="auto"/>
          <w:sz w:val="21"/>
          <w:szCs w:val="21"/>
          <w:highlight w:val="none"/>
        </w:rPr>
        <w:t>任何费用。</w:t>
      </w:r>
    </w:p>
    <w:p w14:paraId="49B81678">
      <w:pPr>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eastAsia="zh-CN"/>
        </w:rPr>
        <w:t>3</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履行合同的时间、地点和方式</w:t>
      </w:r>
    </w:p>
    <w:p w14:paraId="41F3C04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.1 乙方应当在约定的时间、地点</w:t>
      </w:r>
      <w:r>
        <w:rPr>
          <w:rFonts w:hint="eastAsia" w:ascii="宋体" w:hAnsi="宋体" w:eastAsia="宋体" w:cs="宋体"/>
          <w:color w:val="auto"/>
          <w:sz w:val="21"/>
          <w:szCs w:val="21"/>
          <w:highlight w:val="none"/>
          <w:lang w:eastAsia="zh-CN"/>
        </w:rPr>
        <w:t>，按照约定</w:t>
      </w:r>
      <w:r>
        <w:rPr>
          <w:rFonts w:hint="eastAsia" w:ascii="宋体" w:hAnsi="宋体" w:eastAsia="宋体" w:cs="宋体"/>
          <w:color w:val="auto"/>
          <w:sz w:val="21"/>
          <w:szCs w:val="21"/>
          <w:highlight w:val="none"/>
        </w:rPr>
        <w:t>方式履行合同。</w:t>
      </w:r>
    </w:p>
    <w:p w14:paraId="2BA5AAC4">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4</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甲方的权利和义务</w:t>
      </w:r>
    </w:p>
    <w:p w14:paraId="5036A58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.1 签署合同后，甲方</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确定</w:t>
      </w:r>
      <w:r>
        <w:rPr>
          <w:rFonts w:hint="eastAsia" w:ascii="宋体" w:hAnsi="宋体" w:eastAsia="宋体" w:cs="宋体"/>
          <w:color w:val="auto"/>
          <w:sz w:val="21"/>
          <w:szCs w:val="21"/>
          <w:highlight w:val="none"/>
          <w:lang w:val="en-US" w:eastAsia="zh-CN"/>
        </w:rPr>
        <w:t>项目负责人（或项目联系人）</w:t>
      </w:r>
      <w:r>
        <w:rPr>
          <w:rFonts w:hint="eastAsia" w:ascii="宋体" w:hAnsi="宋体" w:eastAsia="宋体" w:cs="宋体"/>
          <w:color w:val="auto"/>
          <w:sz w:val="21"/>
          <w:szCs w:val="21"/>
          <w:highlight w:val="none"/>
        </w:rPr>
        <w:t>，负责与本合同有关的事务。甲方有权对乙方的履约行为进行检查，并及时确认乙方提交的事项。甲方应当配合乙方完成相关项目实施工作。</w:t>
      </w:r>
    </w:p>
    <w:p w14:paraId="2725626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.2 甲方有权要求乙方按时提交各阶段有关安排计划，并有权定期核对乙方提供货物数量、规格、质量等内容。甲方有权督促乙方工作并要求乙方更换不符合要求的货物。</w:t>
      </w:r>
    </w:p>
    <w:p w14:paraId="0A7B80A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.3 甲方有权要求乙方对缺陷部分予以修复，并按合同约定享有货物保修及其他合同约定的权利。</w:t>
      </w:r>
    </w:p>
    <w:p w14:paraId="1436C60C">
      <w:pPr>
        <w:snapToGrid w:val="0"/>
        <w:spacing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4.4 甲方应当按照合同约定及时对交付的货物进行验收，</w:t>
      </w:r>
      <w:r>
        <w:rPr>
          <w:rFonts w:hint="eastAsia" w:ascii="宋体" w:hAnsi="宋体" w:eastAsia="宋体" w:cs="宋体"/>
          <w:b w:val="0"/>
          <w:bCs w:val="0"/>
          <w:color w:val="auto"/>
          <w:sz w:val="21"/>
          <w:szCs w:val="21"/>
          <w:highlight w:val="none"/>
          <w:lang w:eastAsia="zh-CN"/>
        </w:rPr>
        <w:t>未</w:t>
      </w:r>
      <w:r>
        <w:rPr>
          <w:rFonts w:hint="eastAsia" w:ascii="宋体" w:hAnsi="宋体" w:eastAsia="宋体" w:cs="宋体"/>
          <w:color w:val="auto"/>
          <w:sz w:val="21"/>
          <w:szCs w:val="21"/>
          <w:highlight w:val="none"/>
          <w:lang w:val="en-US" w:eastAsia="zh-CN"/>
        </w:rPr>
        <w:t>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b w:val="0"/>
          <w:bCs w:val="0"/>
          <w:color w:val="auto"/>
          <w:sz w:val="21"/>
          <w:szCs w:val="21"/>
          <w:highlight w:val="none"/>
          <w:lang w:eastAsia="zh-CN"/>
        </w:rPr>
        <w:t>约定的期限内对乙方履约提出任何异议或者向乙方作出任何说明的，</w:t>
      </w:r>
      <w:r>
        <w:rPr>
          <w:rFonts w:hint="eastAsia" w:ascii="宋体" w:hAnsi="宋体" w:eastAsia="宋体" w:cs="宋体"/>
          <w:color w:val="auto"/>
          <w:sz w:val="21"/>
          <w:szCs w:val="21"/>
          <w:highlight w:val="none"/>
          <w:lang w:val="en-US" w:eastAsia="zh-CN"/>
        </w:rPr>
        <w:t>视为验收通过。</w:t>
      </w:r>
    </w:p>
    <w:p w14:paraId="5BD30BF8">
      <w:pPr>
        <w:autoSpaceDE w:val="0"/>
        <w:autoSpaceDN w:val="0"/>
        <w:adjustRightInd w:val="0"/>
        <w:snapToGrid w:val="0"/>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 xml:space="preserve"> 甲方应当根据合同约定</w:t>
      </w:r>
      <w:r>
        <w:rPr>
          <w:rFonts w:hint="eastAsia" w:ascii="宋体" w:hAnsi="宋体" w:eastAsia="宋体" w:cs="宋体"/>
          <w:color w:val="auto"/>
          <w:sz w:val="21"/>
          <w:szCs w:val="21"/>
          <w:highlight w:val="none"/>
          <w:lang w:eastAsia="zh-CN"/>
        </w:rPr>
        <w:t>及</w:t>
      </w:r>
      <w:r>
        <w:rPr>
          <w:rFonts w:hint="eastAsia" w:ascii="宋体" w:hAnsi="宋体" w:eastAsia="宋体" w:cs="宋体"/>
          <w:color w:val="auto"/>
          <w:sz w:val="21"/>
          <w:szCs w:val="21"/>
          <w:highlight w:val="none"/>
        </w:rPr>
        <w:t>时向乙方支付</w:t>
      </w:r>
      <w:r>
        <w:rPr>
          <w:rFonts w:hint="eastAsia" w:ascii="宋体" w:hAnsi="宋体" w:eastAsia="宋体" w:cs="宋体"/>
          <w:color w:val="auto"/>
          <w:sz w:val="21"/>
          <w:szCs w:val="21"/>
          <w:highlight w:val="none"/>
          <w:lang w:eastAsia="zh-CN"/>
        </w:rPr>
        <w:t>合同价款，不得以内部人员变更、履行内部付款流程等为由，拒绝或迟延支付。</w:t>
      </w:r>
    </w:p>
    <w:p w14:paraId="00EFC63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 xml:space="preserve"> 国家法律法规规定</w:t>
      </w:r>
      <w:r>
        <w:rPr>
          <w:rFonts w:hint="eastAsia" w:ascii="宋体" w:hAnsi="宋体" w:eastAsia="宋体" w:cs="宋体"/>
          <w:color w:val="auto"/>
          <w:sz w:val="21"/>
          <w:szCs w:val="21"/>
          <w:highlight w:val="none"/>
          <w:lang w:eastAsia="zh-CN"/>
        </w:rPr>
        <w:t>及</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lang w:eastAsia="zh-CN"/>
        </w:rPr>
        <w:t>约定应</w:t>
      </w:r>
      <w:r>
        <w:rPr>
          <w:rFonts w:hint="eastAsia" w:ascii="宋体" w:hAnsi="宋体" w:eastAsia="宋体" w:cs="宋体"/>
          <w:color w:val="auto"/>
          <w:sz w:val="21"/>
          <w:szCs w:val="21"/>
          <w:highlight w:val="none"/>
        </w:rPr>
        <w:t>由甲方承担的其他义务和责任。</w:t>
      </w:r>
    </w:p>
    <w:p w14:paraId="5FF83E7D">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5</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乙方的权利和义务</w:t>
      </w:r>
    </w:p>
    <w:p w14:paraId="40807E9C">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.1 签署合同后，乙方</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确定</w:t>
      </w:r>
      <w:r>
        <w:rPr>
          <w:rFonts w:hint="eastAsia" w:ascii="宋体" w:hAnsi="宋体" w:eastAsia="宋体" w:cs="宋体"/>
          <w:color w:val="auto"/>
          <w:sz w:val="21"/>
          <w:szCs w:val="21"/>
          <w:highlight w:val="none"/>
          <w:lang w:val="en-US" w:eastAsia="zh-CN"/>
        </w:rPr>
        <w:t>项目负责人（或项目联系人）</w:t>
      </w:r>
      <w:r>
        <w:rPr>
          <w:rFonts w:hint="eastAsia" w:ascii="宋体" w:hAnsi="宋体" w:eastAsia="宋体" w:cs="宋体"/>
          <w:color w:val="auto"/>
          <w:sz w:val="21"/>
          <w:szCs w:val="21"/>
          <w:highlight w:val="none"/>
        </w:rPr>
        <w:t>，负责与本合同有关的事务。</w:t>
      </w:r>
    </w:p>
    <w:p w14:paraId="5994D8F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.2 乙方应按照合同要求履约，充分合理安排，确保提供的货物</w:t>
      </w:r>
      <w:r>
        <w:rPr>
          <w:rFonts w:hint="eastAsia" w:ascii="宋体" w:hAnsi="宋体" w:eastAsia="宋体" w:cs="宋体"/>
          <w:color w:val="auto"/>
          <w:sz w:val="21"/>
          <w:szCs w:val="21"/>
          <w:highlight w:val="none"/>
          <w:lang w:eastAsia="zh-CN"/>
        </w:rPr>
        <w:t>及相关</w:t>
      </w:r>
      <w:r>
        <w:rPr>
          <w:rFonts w:hint="eastAsia" w:ascii="宋体" w:hAnsi="宋体" w:eastAsia="宋体" w:cs="宋体"/>
          <w:color w:val="auto"/>
          <w:sz w:val="21"/>
          <w:szCs w:val="21"/>
          <w:highlight w:val="none"/>
        </w:rPr>
        <w:t>服务符合合同</w:t>
      </w:r>
      <w:r>
        <w:rPr>
          <w:rFonts w:hint="eastAsia" w:ascii="宋体" w:hAnsi="宋体" w:eastAsia="宋体" w:cs="宋体"/>
          <w:color w:val="auto"/>
          <w:sz w:val="21"/>
          <w:szCs w:val="21"/>
          <w:highlight w:val="none"/>
          <w:lang w:eastAsia="zh-CN"/>
        </w:rPr>
        <w:t>有关</w:t>
      </w:r>
      <w:r>
        <w:rPr>
          <w:rFonts w:hint="eastAsia" w:ascii="宋体" w:hAnsi="宋体" w:eastAsia="宋体" w:cs="宋体"/>
          <w:color w:val="auto"/>
          <w:sz w:val="21"/>
          <w:szCs w:val="21"/>
          <w:highlight w:val="none"/>
        </w:rPr>
        <w:t>要求。接受项目行业管理部门及政府有关部门的指导，配合甲方的履约检查</w:t>
      </w:r>
      <w:r>
        <w:rPr>
          <w:rFonts w:hint="eastAsia" w:ascii="宋体" w:hAnsi="宋体" w:eastAsia="宋体" w:cs="宋体"/>
          <w:color w:val="auto"/>
          <w:sz w:val="21"/>
          <w:szCs w:val="21"/>
          <w:highlight w:val="none"/>
          <w:lang w:eastAsia="zh-CN"/>
        </w:rPr>
        <w:t>及验收</w:t>
      </w:r>
      <w:r>
        <w:rPr>
          <w:rFonts w:hint="eastAsia" w:ascii="宋体" w:hAnsi="宋体" w:eastAsia="宋体" w:cs="宋体"/>
          <w:color w:val="auto"/>
          <w:sz w:val="21"/>
          <w:szCs w:val="21"/>
          <w:highlight w:val="none"/>
        </w:rPr>
        <w:t>，并负责项目实施过程中的所有协调工作。</w:t>
      </w:r>
    </w:p>
    <w:p w14:paraId="5DEB800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5.3乙方有权根据合同约定向甲方收取合同价款。</w:t>
      </w:r>
    </w:p>
    <w:p w14:paraId="508BC066">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5.4国家法律法规规定及</w:t>
      </w:r>
      <w:r>
        <w:rPr>
          <w:rFonts w:hint="eastAsia" w:ascii="宋体" w:hAnsi="宋体" w:eastAsia="宋体" w:cs="宋体"/>
          <w:b/>
          <w:bCs/>
          <w:color w:val="auto"/>
          <w:sz w:val="21"/>
          <w:szCs w:val="21"/>
          <w:highlight w:val="none"/>
          <w:lang w:eastAsia="zh-CN"/>
        </w:rPr>
        <w:t>【政府采购合同专用条款】</w:t>
      </w:r>
      <w:r>
        <w:rPr>
          <w:rFonts w:hint="eastAsia" w:ascii="宋体" w:hAnsi="宋体" w:eastAsia="宋体" w:cs="宋体"/>
          <w:color w:val="auto"/>
          <w:sz w:val="21"/>
          <w:szCs w:val="21"/>
          <w:highlight w:val="none"/>
          <w:lang w:eastAsia="zh-CN"/>
        </w:rPr>
        <w:t>约定应由乙方承担的其他义务和责任。</w:t>
      </w:r>
    </w:p>
    <w:p w14:paraId="2D4D98A1">
      <w:pPr>
        <w:numPr>
          <w:ilvl w:val="0"/>
          <w:numId w:val="11"/>
        </w:num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合同履</w:t>
      </w:r>
      <w:r>
        <w:rPr>
          <w:rFonts w:hint="eastAsia" w:ascii="宋体" w:hAnsi="宋体" w:eastAsia="宋体" w:cs="宋体"/>
          <w:b/>
          <w:bCs/>
          <w:color w:val="auto"/>
          <w:sz w:val="21"/>
          <w:szCs w:val="21"/>
          <w:highlight w:val="none"/>
          <w:lang w:val="en-US" w:eastAsia="zh-CN"/>
        </w:rPr>
        <w:t>行</w:t>
      </w:r>
    </w:p>
    <w:p w14:paraId="23888F12">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6</w:t>
      </w:r>
      <w:r>
        <w:rPr>
          <w:rFonts w:hint="eastAsia" w:ascii="宋体" w:hAnsi="宋体" w:eastAsia="宋体" w:cs="宋体"/>
          <w:color w:val="auto"/>
          <w:sz w:val="21"/>
          <w:szCs w:val="21"/>
          <w:highlight w:val="none"/>
        </w:rPr>
        <w:t>.1 甲乙双方应当按照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约定顺序履行合同义务；如果没有先后顺序的，应当同时履行。</w:t>
      </w:r>
    </w:p>
    <w:p w14:paraId="3443A7A6">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6</w:t>
      </w:r>
      <w:r>
        <w:rPr>
          <w:rFonts w:hint="eastAsia" w:ascii="宋体" w:hAnsi="宋体" w:eastAsia="宋体" w:cs="宋体"/>
          <w:color w:val="auto"/>
          <w:sz w:val="21"/>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6FDCDA6B">
      <w:p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7</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货物包装、运输</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保险</w:t>
      </w:r>
      <w:r>
        <w:rPr>
          <w:rFonts w:hint="eastAsia" w:ascii="宋体" w:hAnsi="宋体" w:eastAsia="宋体" w:cs="宋体"/>
          <w:b/>
          <w:bCs/>
          <w:color w:val="auto"/>
          <w:sz w:val="21"/>
          <w:szCs w:val="21"/>
          <w:highlight w:val="none"/>
          <w:lang w:eastAsia="zh-CN"/>
        </w:rPr>
        <w:t>和交付</w:t>
      </w:r>
      <w:r>
        <w:rPr>
          <w:rFonts w:hint="eastAsia" w:ascii="宋体" w:hAnsi="宋体" w:eastAsia="宋体" w:cs="宋体"/>
          <w:b/>
          <w:bCs/>
          <w:color w:val="auto"/>
          <w:sz w:val="21"/>
          <w:szCs w:val="21"/>
          <w:highlight w:val="none"/>
        </w:rPr>
        <w:t>要求</w:t>
      </w:r>
    </w:p>
    <w:p w14:paraId="64BDD4AC">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.1 本合同</w:t>
      </w:r>
      <w:r>
        <w:rPr>
          <w:rFonts w:hint="eastAsia" w:ascii="宋体" w:hAnsi="宋体" w:eastAsia="宋体" w:cs="宋体"/>
          <w:bCs/>
          <w:color w:val="auto"/>
          <w:sz w:val="21"/>
          <w:szCs w:val="21"/>
          <w:highlight w:val="none"/>
        </w:rPr>
        <w:t>涉及商品包装</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快递包装的，</w:t>
      </w:r>
      <w:r>
        <w:rPr>
          <w:rFonts w:hint="eastAsia" w:ascii="宋体" w:hAnsi="宋体" w:eastAsia="宋体" w:cs="宋体"/>
          <w:color w:val="auto"/>
          <w:sz w:val="21"/>
          <w:szCs w:val="21"/>
          <w:highlight w:val="none"/>
        </w:rPr>
        <w:t>除</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另有</w:t>
      </w:r>
      <w:r>
        <w:rPr>
          <w:rFonts w:hint="eastAsia" w:ascii="宋体" w:hAnsi="宋体" w:eastAsia="宋体" w:cs="宋体"/>
          <w:bCs/>
          <w:color w:val="auto"/>
          <w:sz w:val="21"/>
          <w:szCs w:val="21"/>
          <w:highlight w:val="none"/>
          <w:lang w:eastAsia="zh-CN"/>
        </w:rPr>
        <w:t>约</w:t>
      </w:r>
      <w:r>
        <w:rPr>
          <w:rFonts w:hint="eastAsia" w:ascii="宋体" w:hAnsi="宋体" w:eastAsia="宋体" w:cs="宋体"/>
          <w:bCs/>
          <w:color w:val="auto"/>
          <w:sz w:val="21"/>
          <w:szCs w:val="21"/>
          <w:highlight w:val="none"/>
        </w:rPr>
        <w:t>定</w:t>
      </w:r>
      <w:r>
        <w:rPr>
          <w:rFonts w:hint="eastAsia" w:ascii="宋体" w:hAnsi="宋体" w:eastAsia="宋体" w:cs="宋体"/>
          <w:bCs/>
          <w:color w:val="auto"/>
          <w:sz w:val="21"/>
          <w:szCs w:val="21"/>
          <w:highlight w:val="none"/>
          <w:lang w:eastAsia="zh-CN"/>
        </w:rPr>
        <w:t>外</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包装应适应远距离运输、防潮、防震、防锈和防野蛮装卸等要求，确保货物安全无损地运抵</w:t>
      </w:r>
      <w:r>
        <w:rPr>
          <w:rFonts w:hint="eastAsia" w:ascii="宋体" w:hAnsi="宋体" w:eastAsia="宋体" w:cs="宋体"/>
          <w:b/>
          <w:color w:val="auto"/>
          <w:sz w:val="21"/>
          <w:szCs w:val="21"/>
          <w:highlight w:val="none"/>
        </w:rPr>
        <w:t>【政府采购合同专用条款】</w:t>
      </w:r>
      <w:r>
        <w:rPr>
          <w:rFonts w:hint="eastAsia" w:ascii="宋体" w:hAnsi="宋体" w:eastAsia="宋体" w:cs="宋体"/>
          <w:b w:val="0"/>
          <w:bCs/>
          <w:color w:val="auto"/>
          <w:sz w:val="21"/>
          <w:szCs w:val="21"/>
          <w:highlight w:val="none"/>
          <w:lang w:eastAsia="zh-CN"/>
        </w:rPr>
        <w:t>约定的</w:t>
      </w:r>
      <w:r>
        <w:rPr>
          <w:rFonts w:hint="eastAsia" w:ascii="宋体" w:hAnsi="宋体" w:eastAsia="宋体" w:cs="宋体"/>
          <w:color w:val="auto"/>
          <w:sz w:val="21"/>
          <w:szCs w:val="21"/>
          <w:highlight w:val="none"/>
        </w:rPr>
        <w:t>指定现场。</w:t>
      </w:r>
    </w:p>
    <w:p w14:paraId="00DED015">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.2 除</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另有</w:t>
      </w:r>
      <w:r>
        <w:rPr>
          <w:rFonts w:hint="eastAsia" w:ascii="宋体" w:hAnsi="宋体" w:eastAsia="宋体" w:cs="宋体"/>
          <w:bCs/>
          <w:color w:val="auto"/>
          <w:sz w:val="21"/>
          <w:szCs w:val="21"/>
          <w:highlight w:val="none"/>
          <w:lang w:eastAsia="zh-CN"/>
        </w:rPr>
        <w:t>约</w:t>
      </w:r>
      <w:r>
        <w:rPr>
          <w:rFonts w:hint="eastAsia" w:ascii="宋体" w:hAnsi="宋体" w:eastAsia="宋体" w:cs="宋体"/>
          <w:bCs/>
          <w:color w:val="auto"/>
          <w:sz w:val="21"/>
          <w:szCs w:val="21"/>
          <w:highlight w:val="none"/>
        </w:rPr>
        <w:t>定</w:t>
      </w:r>
      <w:r>
        <w:rPr>
          <w:rFonts w:hint="eastAsia" w:ascii="宋体" w:hAnsi="宋体" w:eastAsia="宋体" w:cs="宋体"/>
          <w:bCs/>
          <w:color w:val="auto"/>
          <w:sz w:val="21"/>
          <w:szCs w:val="21"/>
          <w:highlight w:val="none"/>
          <w:lang w:eastAsia="zh-CN"/>
        </w:rPr>
        <w:t>外</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乙方负责办理将货物运抵本合同规定的交货地点</w:t>
      </w:r>
      <w:r>
        <w:rPr>
          <w:rFonts w:hint="eastAsia" w:ascii="宋体" w:hAnsi="宋体" w:eastAsia="宋体" w:cs="宋体"/>
          <w:color w:val="auto"/>
          <w:sz w:val="21"/>
          <w:szCs w:val="21"/>
          <w:highlight w:val="none"/>
          <w:lang w:eastAsia="zh-CN"/>
        </w:rPr>
        <w:t>，并装卸、交付至甲方</w:t>
      </w:r>
      <w:r>
        <w:rPr>
          <w:rFonts w:hint="eastAsia" w:ascii="宋体" w:hAnsi="宋体" w:eastAsia="宋体" w:cs="宋体"/>
          <w:color w:val="auto"/>
          <w:sz w:val="21"/>
          <w:szCs w:val="21"/>
          <w:highlight w:val="none"/>
        </w:rPr>
        <w:t>的一切运输事项，相关费用应</w:t>
      </w:r>
      <w:r>
        <w:rPr>
          <w:rFonts w:hint="eastAsia" w:ascii="宋体" w:hAnsi="宋体" w:eastAsia="宋体" w:cs="宋体"/>
          <w:color w:val="auto"/>
          <w:sz w:val="21"/>
          <w:szCs w:val="21"/>
          <w:highlight w:val="none"/>
          <w:lang w:eastAsia="zh-CN"/>
        </w:rPr>
        <w:t>包含</w:t>
      </w:r>
      <w:r>
        <w:rPr>
          <w:rFonts w:hint="eastAsia" w:ascii="宋体" w:hAnsi="宋体" w:eastAsia="宋体" w:cs="宋体"/>
          <w:color w:val="auto"/>
          <w:sz w:val="21"/>
          <w:szCs w:val="21"/>
          <w:highlight w:val="none"/>
        </w:rPr>
        <w:t>在合同</w:t>
      </w:r>
      <w:r>
        <w:rPr>
          <w:rFonts w:hint="eastAsia" w:ascii="宋体" w:hAnsi="宋体" w:eastAsia="宋体" w:cs="宋体"/>
          <w:color w:val="auto"/>
          <w:sz w:val="21"/>
          <w:szCs w:val="21"/>
          <w:highlight w:val="none"/>
          <w:lang w:eastAsia="zh-CN"/>
        </w:rPr>
        <w:t>价款</w:t>
      </w:r>
      <w:r>
        <w:rPr>
          <w:rFonts w:hint="eastAsia" w:ascii="宋体" w:hAnsi="宋体" w:eastAsia="宋体" w:cs="宋体"/>
          <w:color w:val="auto"/>
          <w:sz w:val="21"/>
          <w:szCs w:val="21"/>
          <w:highlight w:val="none"/>
        </w:rPr>
        <w:t>中。</w:t>
      </w:r>
    </w:p>
    <w:p w14:paraId="6EA7B5BC">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.3 货物保险要求按</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规定执行</w:t>
      </w:r>
      <w:r>
        <w:rPr>
          <w:rFonts w:hint="eastAsia" w:ascii="宋体" w:hAnsi="宋体" w:eastAsia="宋体" w:cs="宋体"/>
          <w:color w:val="auto"/>
          <w:sz w:val="21"/>
          <w:szCs w:val="21"/>
          <w:highlight w:val="none"/>
        </w:rPr>
        <w:t>。</w:t>
      </w:r>
    </w:p>
    <w:p w14:paraId="648BE1CE">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 xml:space="preserve">.4 </w:t>
      </w:r>
      <w:r>
        <w:rPr>
          <w:rFonts w:hint="eastAsia" w:ascii="宋体" w:hAnsi="宋体" w:eastAsia="宋体" w:cs="宋体"/>
          <w:color w:val="auto"/>
          <w:sz w:val="21"/>
          <w:szCs w:val="21"/>
          <w:highlight w:val="none"/>
          <w:lang w:val="en-US" w:eastAsia="zh-CN"/>
        </w:rPr>
        <w:t>除采购活动</w:t>
      </w:r>
      <w:r>
        <w:rPr>
          <w:rFonts w:hint="eastAsia" w:ascii="宋体" w:hAnsi="宋体" w:eastAsia="宋体" w:cs="宋体"/>
          <w:color w:val="auto"/>
          <w:sz w:val="21"/>
          <w:szCs w:val="21"/>
          <w:highlight w:val="none"/>
        </w:rPr>
        <w:t>对商品包装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快递包装</w:t>
      </w:r>
      <w:r>
        <w:rPr>
          <w:rFonts w:hint="eastAsia" w:ascii="宋体" w:hAnsi="宋体" w:eastAsia="宋体" w:cs="宋体"/>
          <w:color w:val="auto"/>
          <w:sz w:val="21"/>
          <w:szCs w:val="21"/>
          <w:highlight w:val="none"/>
          <w:lang w:val="en-US" w:eastAsia="zh-CN"/>
        </w:rPr>
        <w:t>达成具体约定外</w:t>
      </w:r>
      <w:r>
        <w:rPr>
          <w:rFonts w:hint="eastAsia" w:ascii="宋体" w:hAnsi="宋体" w:eastAsia="宋体" w:cs="宋体"/>
          <w:color w:val="auto"/>
          <w:sz w:val="21"/>
          <w:szCs w:val="21"/>
          <w:highlight w:val="none"/>
        </w:rPr>
        <w:t>，乙方提供产品及相关快递服务</w:t>
      </w:r>
      <w:r>
        <w:rPr>
          <w:rFonts w:hint="eastAsia" w:ascii="宋体" w:hAnsi="宋体" w:eastAsia="宋体" w:cs="宋体"/>
          <w:color w:val="auto"/>
          <w:sz w:val="21"/>
          <w:szCs w:val="21"/>
          <w:highlight w:val="none"/>
          <w:lang w:val="en-US" w:eastAsia="zh-CN"/>
        </w:rPr>
        <w:t>涉及到</w:t>
      </w:r>
      <w:r>
        <w:rPr>
          <w:rFonts w:hint="eastAsia" w:ascii="宋体" w:hAnsi="宋体" w:eastAsia="宋体" w:cs="宋体"/>
          <w:color w:val="auto"/>
          <w:sz w:val="21"/>
          <w:szCs w:val="21"/>
          <w:highlight w:val="none"/>
        </w:rPr>
        <w:t>具体包装要求</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应</w:t>
      </w:r>
      <w:r>
        <w:rPr>
          <w:rFonts w:hint="eastAsia" w:ascii="宋体" w:hAnsi="宋体" w:eastAsia="宋体" w:cs="宋体"/>
          <w:color w:val="auto"/>
          <w:sz w:val="21"/>
          <w:szCs w:val="21"/>
          <w:highlight w:val="none"/>
          <w:lang w:val="en-US" w:eastAsia="zh-CN"/>
        </w:rPr>
        <w:t>不低于</w:t>
      </w:r>
      <w:r>
        <w:rPr>
          <w:rFonts w:hint="eastAsia" w:ascii="宋体" w:hAnsi="宋体" w:eastAsia="宋体" w:cs="宋体"/>
          <w:color w:val="auto"/>
          <w:sz w:val="21"/>
          <w:szCs w:val="21"/>
          <w:highlight w:val="none"/>
        </w:rPr>
        <w:t>《商品包装政府采购需求标准（试行）</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快递包装政府采购需求标准（试行）》</w:t>
      </w:r>
      <w:r>
        <w:rPr>
          <w:rFonts w:hint="eastAsia" w:ascii="宋体" w:hAnsi="宋体" w:eastAsia="宋体" w:cs="宋体"/>
          <w:color w:val="auto"/>
          <w:sz w:val="21"/>
          <w:szCs w:val="21"/>
          <w:highlight w:val="none"/>
          <w:lang w:val="en-US" w:eastAsia="zh-CN"/>
        </w:rPr>
        <w:t>标准</w:t>
      </w:r>
      <w:r>
        <w:rPr>
          <w:rFonts w:hint="eastAsia" w:ascii="宋体" w:hAnsi="宋体" w:eastAsia="宋体" w:cs="宋体"/>
          <w:color w:val="auto"/>
          <w:sz w:val="21"/>
          <w:szCs w:val="21"/>
          <w:highlight w:val="none"/>
        </w:rPr>
        <w:t>，并作为履约验收的内容，必要时甲方可以要求乙方在履约验收环节出具检测报告。</w:t>
      </w:r>
    </w:p>
    <w:p w14:paraId="4515374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7.5 </w:t>
      </w:r>
      <w:r>
        <w:rPr>
          <w:rFonts w:hint="eastAsia" w:ascii="宋体" w:hAnsi="宋体" w:eastAsia="宋体" w:cs="宋体"/>
          <w:color w:val="auto"/>
          <w:sz w:val="21"/>
          <w:szCs w:val="21"/>
          <w:highlight w:val="none"/>
        </w:rPr>
        <w:t>乙方在运输到达之前</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提前通知</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，并提示货物运输装卸的注意事项</w:t>
      </w:r>
      <w:r>
        <w:rPr>
          <w:rFonts w:hint="eastAsia" w:ascii="宋体" w:hAnsi="宋体" w:eastAsia="宋体" w:cs="宋体"/>
          <w:color w:val="auto"/>
          <w:sz w:val="21"/>
          <w:szCs w:val="21"/>
          <w:highlight w:val="none"/>
          <w:lang w:eastAsia="zh-CN"/>
        </w:rPr>
        <w:t>，甲方配合乙方做好货物的接收工作。</w:t>
      </w:r>
    </w:p>
    <w:p w14:paraId="0444A18D">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7.6 如因包装、运输问题导致货物损毁、丢失或者品质下降，甲方有权要求降价、换货、拒收部分或整批货物，由此产生的费用和损失，均由乙方承担。</w:t>
      </w:r>
    </w:p>
    <w:p w14:paraId="34E309DD">
      <w:pPr>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eastAsia="zh-CN"/>
        </w:rPr>
        <w:t>8</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质量标准和保证</w:t>
      </w:r>
    </w:p>
    <w:p w14:paraId="7B1679E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8.1 质量标准</w:t>
      </w:r>
    </w:p>
    <w:p w14:paraId="6738522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（1）本合同下</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的货物应符合</w:t>
      </w:r>
      <w:r>
        <w:rPr>
          <w:rFonts w:hint="eastAsia" w:ascii="宋体" w:hAnsi="宋体" w:eastAsia="宋体" w:cs="宋体"/>
          <w:color w:val="auto"/>
          <w:sz w:val="21"/>
          <w:szCs w:val="21"/>
          <w:highlight w:val="none"/>
          <w:lang w:eastAsia="zh-CN"/>
        </w:rPr>
        <w:t>合同约</w:t>
      </w:r>
      <w:r>
        <w:rPr>
          <w:rFonts w:hint="eastAsia" w:ascii="宋体" w:hAnsi="宋体" w:eastAsia="宋体" w:cs="宋体"/>
          <w:color w:val="auto"/>
          <w:sz w:val="21"/>
          <w:szCs w:val="21"/>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s="宋体"/>
          <w:color w:val="auto"/>
          <w:sz w:val="21"/>
          <w:szCs w:val="21"/>
          <w:highlight w:val="none"/>
          <w:lang w:eastAsia="zh-CN"/>
        </w:rPr>
        <w:t>。</w:t>
      </w:r>
    </w:p>
    <w:p w14:paraId="08D66C60">
      <w:pPr>
        <w:pStyle w:val="21"/>
        <w:adjustRightInd w:val="0"/>
        <w:snapToGrid w:val="0"/>
        <w:spacing w:before="0" w:line="400" w:lineRule="exact"/>
        <w:ind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（2）采用中华人民共和国法定计量单位。</w:t>
      </w:r>
    </w:p>
    <w:p w14:paraId="2960FA6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（3）乙方所</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的货物应符合国家有关安全、环保、卫生</w:t>
      </w:r>
      <w:r>
        <w:rPr>
          <w:rFonts w:hint="eastAsia" w:ascii="宋体" w:hAnsi="宋体" w:eastAsia="宋体" w:cs="宋体"/>
          <w:color w:val="auto"/>
          <w:sz w:val="21"/>
          <w:szCs w:val="21"/>
          <w:highlight w:val="none"/>
          <w:lang w:eastAsia="zh-CN"/>
        </w:rPr>
        <w:t>的</w:t>
      </w:r>
      <w:r>
        <w:rPr>
          <w:rFonts w:hint="eastAsia" w:ascii="宋体" w:hAnsi="宋体" w:eastAsia="宋体" w:cs="宋体"/>
          <w:color w:val="auto"/>
          <w:sz w:val="21"/>
          <w:szCs w:val="21"/>
          <w:highlight w:val="none"/>
        </w:rPr>
        <w:t>规定。</w:t>
      </w:r>
    </w:p>
    <w:p w14:paraId="7D7DFC4C">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（4）乙方应向甲方提交所</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货物的技术文件，包括相应的中文技术文件，如：产品目录、图纸、操作手册、使用说明、维护手册或服务指南</w:t>
      </w:r>
      <w:r>
        <w:rPr>
          <w:rFonts w:hint="eastAsia" w:ascii="宋体" w:hAnsi="宋体" w:eastAsia="宋体" w:cs="宋体"/>
          <w:color w:val="auto"/>
          <w:sz w:val="21"/>
          <w:szCs w:val="21"/>
          <w:highlight w:val="none"/>
          <w:lang w:eastAsia="zh-CN"/>
        </w:rPr>
        <w:t>等</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上述</w:t>
      </w:r>
      <w:r>
        <w:rPr>
          <w:rFonts w:hint="eastAsia" w:ascii="宋体" w:hAnsi="宋体" w:eastAsia="宋体" w:cs="宋体"/>
          <w:color w:val="auto"/>
          <w:sz w:val="21"/>
          <w:szCs w:val="21"/>
          <w:highlight w:val="none"/>
        </w:rPr>
        <w:t>文件应包装好随货物一同发运。</w:t>
      </w:r>
    </w:p>
    <w:p w14:paraId="7CE2FA5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8</w:t>
      </w:r>
      <w:r>
        <w:rPr>
          <w:rFonts w:hint="eastAsia" w:ascii="宋体" w:hAnsi="宋体" w:eastAsia="宋体" w:cs="宋体"/>
          <w:color w:val="auto"/>
          <w:sz w:val="21"/>
          <w:szCs w:val="21"/>
          <w:highlight w:val="none"/>
        </w:rPr>
        <w:t>.2 保证</w:t>
      </w:r>
    </w:p>
    <w:p w14:paraId="38428A1F">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（1）乙方应保证</w:t>
      </w:r>
      <w:r>
        <w:rPr>
          <w:rFonts w:hint="eastAsia" w:ascii="宋体" w:hAnsi="宋体" w:eastAsia="宋体" w:cs="宋体"/>
          <w:color w:val="auto"/>
          <w:sz w:val="21"/>
          <w:szCs w:val="21"/>
          <w:highlight w:val="none"/>
          <w:lang w:eastAsia="zh-CN"/>
        </w:rPr>
        <w:t>提供的货物</w:t>
      </w:r>
      <w:r>
        <w:rPr>
          <w:rFonts w:hint="eastAsia" w:ascii="宋体" w:hAnsi="宋体" w:eastAsia="宋体" w:cs="宋体"/>
          <w:color w:val="auto"/>
          <w:sz w:val="21"/>
          <w:szCs w:val="21"/>
          <w:highlight w:val="none"/>
        </w:rPr>
        <w:t>完全符合合同规定的质量、规格和性能要求。乙方应保证货物在正确安装、正常使用和保养条件下，在其使用寿命期内具</w:t>
      </w:r>
      <w:r>
        <w:rPr>
          <w:rFonts w:hint="eastAsia" w:ascii="宋体" w:hAnsi="宋体" w:eastAsia="宋体" w:cs="宋体"/>
          <w:color w:val="auto"/>
          <w:sz w:val="21"/>
          <w:szCs w:val="21"/>
          <w:highlight w:val="none"/>
          <w:lang w:eastAsia="zh-CN"/>
        </w:rPr>
        <w:t>备合同约定</w:t>
      </w:r>
      <w:r>
        <w:rPr>
          <w:rFonts w:hint="eastAsia" w:ascii="宋体" w:hAnsi="宋体" w:eastAsia="宋体" w:cs="宋体"/>
          <w:color w:val="auto"/>
          <w:sz w:val="21"/>
          <w:szCs w:val="21"/>
          <w:highlight w:val="none"/>
        </w:rPr>
        <w:t>的性能。</w:t>
      </w:r>
      <w:r>
        <w:rPr>
          <w:rFonts w:hint="eastAsia" w:ascii="宋体" w:hAnsi="宋体" w:eastAsia="宋体" w:cs="宋体"/>
          <w:color w:val="auto"/>
          <w:sz w:val="21"/>
          <w:szCs w:val="21"/>
          <w:highlight w:val="none"/>
          <w:lang w:eastAsia="zh-CN"/>
        </w:rPr>
        <w:t>存在</w:t>
      </w:r>
      <w:r>
        <w:rPr>
          <w:rFonts w:hint="eastAsia" w:ascii="宋体" w:hAnsi="宋体" w:eastAsia="宋体" w:cs="宋体"/>
          <w:color w:val="auto"/>
          <w:sz w:val="21"/>
          <w:szCs w:val="21"/>
          <w:highlight w:val="none"/>
        </w:rPr>
        <w:t>质量保证期的，货物最终交付验收</w:t>
      </w:r>
      <w:r>
        <w:rPr>
          <w:rFonts w:hint="eastAsia" w:ascii="宋体" w:hAnsi="宋体" w:eastAsia="宋体" w:cs="宋体"/>
          <w:color w:val="auto"/>
          <w:sz w:val="21"/>
          <w:szCs w:val="21"/>
          <w:highlight w:val="none"/>
          <w:lang w:eastAsia="zh-CN"/>
        </w:rPr>
        <w:t>合格</w:t>
      </w:r>
      <w:r>
        <w:rPr>
          <w:rFonts w:hint="eastAsia" w:ascii="宋体" w:hAnsi="宋体" w:eastAsia="宋体" w:cs="宋体"/>
          <w:color w:val="auto"/>
          <w:sz w:val="21"/>
          <w:szCs w:val="21"/>
          <w:highlight w:val="none"/>
        </w:rPr>
        <w:t>后</w:t>
      </w:r>
      <w:r>
        <w:rPr>
          <w:rFonts w:hint="eastAsia" w:ascii="宋体" w:hAnsi="宋体" w:eastAsia="宋体" w:cs="宋体"/>
          <w:color w:val="auto"/>
          <w:sz w:val="21"/>
          <w:szCs w:val="21"/>
          <w:highlight w:val="none"/>
          <w:lang w:eastAsia="zh-CN"/>
        </w:rPr>
        <w:t>在</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规定或乙方</w:t>
      </w:r>
      <w:r>
        <w:rPr>
          <w:rFonts w:hint="eastAsia" w:ascii="宋体" w:hAnsi="宋体" w:eastAsia="宋体" w:cs="宋体"/>
          <w:color w:val="auto"/>
          <w:sz w:val="21"/>
          <w:szCs w:val="21"/>
          <w:highlight w:val="none"/>
          <w:lang w:eastAsia="zh-CN"/>
        </w:rPr>
        <w:t>书面</w:t>
      </w:r>
      <w:r>
        <w:rPr>
          <w:rFonts w:hint="eastAsia" w:ascii="宋体" w:hAnsi="宋体" w:eastAsia="宋体" w:cs="宋体"/>
          <w:color w:val="auto"/>
          <w:sz w:val="21"/>
          <w:szCs w:val="21"/>
          <w:highlight w:val="none"/>
        </w:rPr>
        <w:t>承诺（两者以较长的为准）的质量保证期内，本保证保持有效。</w:t>
      </w:r>
    </w:p>
    <w:p w14:paraId="1C3269A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（2）在质量保证期内所发现的缺陷，甲方应尽快以书面形式通知乙方。</w:t>
      </w:r>
    </w:p>
    <w:p w14:paraId="7003483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（3）乙方收到通知后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应在</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规定的响应时间内以合理的速度免费维修或更换有缺陷的货物或部件。</w:t>
      </w:r>
    </w:p>
    <w:p w14:paraId="7092578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.1条规定以书面形式</w:t>
      </w:r>
      <w:r>
        <w:rPr>
          <w:rFonts w:hint="eastAsia" w:ascii="宋体" w:hAnsi="宋体" w:eastAsia="宋体" w:cs="宋体"/>
          <w:color w:val="auto"/>
          <w:sz w:val="21"/>
          <w:szCs w:val="21"/>
          <w:highlight w:val="none"/>
          <w:lang w:eastAsia="zh-CN"/>
        </w:rPr>
        <w:t>追究</w:t>
      </w: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lang w:eastAsia="zh-CN"/>
        </w:rPr>
        <w:t>的违约责任</w:t>
      </w:r>
      <w:r>
        <w:rPr>
          <w:rFonts w:hint="eastAsia" w:ascii="宋体" w:hAnsi="宋体" w:eastAsia="宋体" w:cs="宋体"/>
          <w:color w:val="auto"/>
          <w:sz w:val="21"/>
          <w:szCs w:val="21"/>
          <w:highlight w:val="none"/>
        </w:rPr>
        <w:t>。</w:t>
      </w:r>
    </w:p>
    <w:p w14:paraId="47BD646C">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（5）乙方在约定的时间内未能弥补缺陷，甲方可采取必要的补救措施，但其风险和费用将由乙方承担，甲方根据合同</w:t>
      </w:r>
      <w:r>
        <w:rPr>
          <w:rFonts w:hint="eastAsia" w:ascii="宋体" w:hAnsi="宋体" w:eastAsia="宋体" w:cs="宋体"/>
          <w:color w:val="auto"/>
          <w:sz w:val="21"/>
          <w:szCs w:val="21"/>
          <w:highlight w:val="none"/>
          <w:lang w:eastAsia="zh-CN"/>
        </w:rPr>
        <w:t>约定</w:t>
      </w:r>
      <w:r>
        <w:rPr>
          <w:rFonts w:hint="eastAsia" w:ascii="宋体" w:hAnsi="宋体" w:eastAsia="宋体" w:cs="宋体"/>
          <w:color w:val="auto"/>
          <w:sz w:val="21"/>
          <w:szCs w:val="21"/>
          <w:highlight w:val="none"/>
        </w:rPr>
        <w:t>对乙方行使的其他权利不受影响。</w:t>
      </w:r>
    </w:p>
    <w:p w14:paraId="3ABE3F30">
      <w:p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9</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权利瑕疵担保</w:t>
      </w:r>
    </w:p>
    <w:p w14:paraId="3AF250E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9</w:t>
      </w:r>
      <w:r>
        <w:rPr>
          <w:rFonts w:hint="eastAsia" w:ascii="宋体" w:hAnsi="宋体" w:eastAsia="宋体" w:cs="宋体"/>
          <w:color w:val="auto"/>
          <w:sz w:val="21"/>
          <w:szCs w:val="21"/>
          <w:highlight w:val="none"/>
        </w:rPr>
        <w:t>.1 乙方保证对其出售的货物享有合法的权利。</w:t>
      </w:r>
    </w:p>
    <w:p w14:paraId="3EF7082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9</w:t>
      </w:r>
      <w:r>
        <w:rPr>
          <w:rFonts w:hint="eastAsia" w:ascii="宋体" w:hAnsi="宋体" w:eastAsia="宋体" w:cs="宋体"/>
          <w:color w:val="auto"/>
          <w:sz w:val="21"/>
          <w:szCs w:val="21"/>
          <w:highlight w:val="none"/>
        </w:rPr>
        <w:t>.2 乙方保证在交付的货物上不存在抵押权等担保物权。</w:t>
      </w:r>
    </w:p>
    <w:p w14:paraId="523ED87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9</w:t>
      </w:r>
      <w:r>
        <w:rPr>
          <w:rFonts w:hint="eastAsia" w:ascii="宋体" w:hAnsi="宋体" w:eastAsia="宋体" w:cs="宋体"/>
          <w:color w:val="auto"/>
          <w:sz w:val="21"/>
          <w:szCs w:val="21"/>
          <w:highlight w:val="none"/>
        </w:rPr>
        <w:t>.3 如甲方使用</w:t>
      </w:r>
      <w:r>
        <w:rPr>
          <w:rFonts w:hint="eastAsia" w:ascii="宋体" w:hAnsi="宋体" w:eastAsia="宋体" w:cs="宋体"/>
          <w:color w:val="auto"/>
          <w:sz w:val="21"/>
          <w:szCs w:val="21"/>
          <w:highlight w:val="none"/>
          <w:lang w:val="en-US" w:eastAsia="zh-CN"/>
        </w:rPr>
        <w:t>上述</w:t>
      </w:r>
      <w:r>
        <w:rPr>
          <w:rFonts w:hint="eastAsia" w:ascii="宋体" w:hAnsi="宋体" w:eastAsia="宋体" w:cs="宋体"/>
          <w:color w:val="auto"/>
          <w:sz w:val="21"/>
          <w:szCs w:val="21"/>
          <w:highlight w:val="none"/>
        </w:rPr>
        <w:t>货物构成</w:t>
      </w:r>
      <w:r>
        <w:rPr>
          <w:rFonts w:hint="eastAsia" w:ascii="宋体" w:hAnsi="宋体" w:eastAsia="宋体" w:cs="宋体"/>
          <w:color w:val="auto"/>
          <w:sz w:val="21"/>
          <w:szCs w:val="21"/>
          <w:highlight w:val="none"/>
          <w:lang w:val="en-US" w:eastAsia="zh-CN"/>
        </w:rPr>
        <w:t>对第三人</w:t>
      </w:r>
      <w:r>
        <w:rPr>
          <w:rFonts w:hint="eastAsia" w:ascii="宋体" w:hAnsi="宋体" w:eastAsia="宋体" w:cs="宋体"/>
          <w:color w:val="auto"/>
          <w:sz w:val="21"/>
          <w:szCs w:val="21"/>
          <w:highlight w:val="none"/>
        </w:rPr>
        <w:t>侵权的，则由乙方承担全部责任。</w:t>
      </w:r>
    </w:p>
    <w:p w14:paraId="0B2C947F">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0</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知识产权保护</w:t>
      </w:r>
    </w:p>
    <w:p w14:paraId="6BEBA90A">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0</w:t>
      </w:r>
      <w:r>
        <w:rPr>
          <w:rFonts w:hint="eastAsia" w:ascii="宋体" w:hAnsi="宋体" w:eastAsia="宋体" w:cs="宋体"/>
          <w:color w:val="auto"/>
          <w:sz w:val="21"/>
          <w:szCs w:val="21"/>
          <w:highlight w:val="none"/>
        </w:rPr>
        <w:t>.1 乙方对其所销售的货物应当享有知识产权或经权利人合法授权，保证没有侵犯任何第三人的知识产权等权利。</w:t>
      </w:r>
      <w:bookmarkStart w:id="678" w:name="_Hlk163047038"/>
      <w:r>
        <w:rPr>
          <w:rFonts w:hint="eastAsia" w:ascii="宋体" w:hAnsi="宋体" w:eastAsia="宋体" w:cs="宋体"/>
          <w:color w:val="auto"/>
          <w:sz w:val="21"/>
          <w:szCs w:val="21"/>
          <w:highlight w:val="none"/>
        </w:rPr>
        <w:t>因违反前述约定对第三人构成侵权的，应当由乙方向第三人承担法律责任；甲方依法向第三人赔偿后，有权向乙方追偿。甲方有其他损失的，乙方应当赔偿</w:t>
      </w:r>
      <w:bookmarkEnd w:id="678"/>
      <w:r>
        <w:rPr>
          <w:rFonts w:hint="eastAsia" w:ascii="宋体" w:hAnsi="宋体" w:eastAsia="宋体" w:cs="宋体"/>
          <w:color w:val="auto"/>
          <w:sz w:val="21"/>
          <w:szCs w:val="21"/>
          <w:highlight w:val="none"/>
        </w:rPr>
        <w:t>。</w:t>
      </w:r>
    </w:p>
    <w:p w14:paraId="285A4656">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1</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保密义务</w:t>
      </w:r>
    </w:p>
    <w:p w14:paraId="14983EC6">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11.1 </w:t>
      </w:r>
      <w:r>
        <w:rPr>
          <w:rFonts w:hint="eastAsia" w:ascii="宋体" w:hAnsi="宋体" w:eastAsia="宋体" w:cs="宋体"/>
          <w:color w:val="auto"/>
          <w:sz w:val="21"/>
          <w:szCs w:val="21"/>
          <w:highlight w:val="none"/>
        </w:rPr>
        <w:t>甲、乙双方</w:t>
      </w:r>
      <w:r>
        <w:rPr>
          <w:rFonts w:hint="eastAsia" w:ascii="宋体" w:hAnsi="宋体" w:eastAsia="宋体" w:cs="宋体"/>
          <w:color w:val="auto"/>
          <w:sz w:val="21"/>
          <w:szCs w:val="21"/>
          <w:highlight w:val="none"/>
          <w:lang w:eastAsia="zh-CN"/>
        </w:rPr>
        <w:t>对</w:t>
      </w:r>
      <w:r>
        <w:rPr>
          <w:rFonts w:hint="eastAsia" w:ascii="宋体" w:hAnsi="宋体" w:eastAsia="宋体" w:cs="宋体"/>
          <w:color w:val="auto"/>
          <w:sz w:val="21"/>
          <w:szCs w:val="21"/>
          <w:highlight w:val="none"/>
        </w:rPr>
        <w:t>采购和合同履行过程中所获悉的</w:t>
      </w:r>
      <w:r>
        <w:rPr>
          <w:rFonts w:hint="eastAsia" w:ascii="宋体" w:hAnsi="宋体" w:eastAsia="宋体" w:cs="宋体"/>
          <w:color w:val="auto"/>
          <w:sz w:val="21"/>
          <w:szCs w:val="21"/>
          <w:highlight w:val="none"/>
          <w:lang w:eastAsia="zh-CN"/>
        </w:rPr>
        <w:t>国家秘密、工作秘密、</w:t>
      </w:r>
      <w:r>
        <w:rPr>
          <w:rFonts w:hint="eastAsia" w:ascii="宋体" w:hAnsi="宋体" w:eastAsia="宋体" w:cs="宋体"/>
          <w:color w:val="auto"/>
          <w:sz w:val="21"/>
          <w:szCs w:val="21"/>
          <w:highlight w:val="none"/>
        </w:rPr>
        <w:t>商业秘密或者其他应当保密的信息，均有保密义务</w:t>
      </w:r>
      <w:r>
        <w:rPr>
          <w:rFonts w:hint="eastAsia" w:ascii="宋体" w:hAnsi="宋体" w:eastAsia="宋体" w:cs="宋体"/>
          <w:color w:val="auto"/>
          <w:sz w:val="21"/>
          <w:szCs w:val="21"/>
          <w:highlight w:val="none"/>
          <w:lang w:eastAsia="zh-CN"/>
        </w:rPr>
        <w:t>且不受合同有效期所限，直至该信息成为公开信息</w:t>
      </w:r>
      <w:r>
        <w:rPr>
          <w:rFonts w:hint="eastAsia" w:ascii="宋体" w:hAnsi="宋体" w:eastAsia="宋体" w:cs="宋体"/>
          <w:color w:val="auto"/>
          <w:sz w:val="21"/>
          <w:szCs w:val="21"/>
          <w:highlight w:val="none"/>
        </w:rPr>
        <w:t>。泄露、不正当地使用</w:t>
      </w:r>
      <w:r>
        <w:rPr>
          <w:rFonts w:hint="eastAsia" w:ascii="宋体" w:hAnsi="宋体" w:eastAsia="宋体" w:cs="宋体"/>
          <w:color w:val="auto"/>
          <w:sz w:val="21"/>
          <w:szCs w:val="21"/>
          <w:highlight w:val="none"/>
          <w:lang w:eastAsia="zh-CN"/>
        </w:rPr>
        <w:t>国家秘密、工作秘密、</w:t>
      </w:r>
      <w:r>
        <w:rPr>
          <w:rFonts w:hint="eastAsia" w:ascii="宋体" w:hAnsi="宋体" w:eastAsia="宋体" w:cs="宋体"/>
          <w:color w:val="auto"/>
          <w:sz w:val="21"/>
          <w:szCs w:val="21"/>
          <w:highlight w:val="none"/>
        </w:rPr>
        <w:t>商业秘密或者</w:t>
      </w:r>
      <w:r>
        <w:rPr>
          <w:rFonts w:hint="eastAsia" w:ascii="宋体" w:hAnsi="宋体" w:eastAsia="宋体" w:cs="宋体"/>
          <w:color w:val="auto"/>
          <w:sz w:val="21"/>
          <w:szCs w:val="21"/>
          <w:highlight w:val="none"/>
          <w:lang w:eastAsia="zh-CN"/>
        </w:rPr>
        <w:t>其他应当保密的</w:t>
      </w:r>
      <w:r>
        <w:rPr>
          <w:rFonts w:hint="eastAsia" w:ascii="宋体" w:hAnsi="宋体" w:eastAsia="宋体" w:cs="宋体"/>
          <w:color w:val="auto"/>
          <w:sz w:val="21"/>
          <w:szCs w:val="21"/>
          <w:highlight w:val="none"/>
        </w:rPr>
        <w:t>信息，应当承担</w:t>
      </w:r>
      <w:r>
        <w:rPr>
          <w:rFonts w:hint="eastAsia" w:ascii="宋体" w:hAnsi="宋体" w:eastAsia="宋体" w:cs="宋体"/>
          <w:color w:val="auto"/>
          <w:sz w:val="21"/>
          <w:szCs w:val="21"/>
          <w:highlight w:val="none"/>
          <w:lang w:eastAsia="zh-CN"/>
        </w:rPr>
        <w:t>相应</w:t>
      </w:r>
      <w:r>
        <w:rPr>
          <w:rFonts w:hint="eastAsia" w:ascii="宋体" w:hAnsi="宋体" w:eastAsia="宋体" w:cs="宋体"/>
          <w:color w:val="auto"/>
          <w:sz w:val="21"/>
          <w:szCs w:val="21"/>
          <w:highlight w:val="none"/>
        </w:rPr>
        <w:t>责任。其他应当保密的信息由双方在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中约定。</w:t>
      </w:r>
    </w:p>
    <w:p w14:paraId="4357F417">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合同价款支付</w:t>
      </w:r>
    </w:p>
    <w:p w14:paraId="5F0D06E6">
      <w:pPr>
        <w:autoSpaceDE/>
        <w:autoSpaceDN/>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rPr>
        <w:t xml:space="preserve">.1 </w:t>
      </w:r>
      <w:r>
        <w:rPr>
          <w:rFonts w:hint="eastAsia" w:ascii="宋体" w:hAnsi="宋体" w:eastAsia="宋体" w:cs="宋体"/>
          <w:color w:val="auto"/>
          <w:sz w:val="21"/>
          <w:szCs w:val="21"/>
          <w:highlight w:val="none"/>
          <w:lang w:eastAsia="zh-CN"/>
        </w:rPr>
        <w:t>合同价款支付</w:t>
      </w:r>
      <w:r>
        <w:rPr>
          <w:rFonts w:hint="eastAsia" w:ascii="宋体" w:hAnsi="宋体" w:eastAsia="宋体" w:cs="宋体"/>
          <w:color w:val="auto"/>
          <w:sz w:val="21"/>
          <w:szCs w:val="21"/>
          <w:highlight w:val="none"/>
        </w:rPr>
        <w:t>按照国库集中支付</w:t>
      </w:r>
      <w:r>
        <w:rPr>
          <w:rFonts w:hint="eastAsia" w:ascii="宋体" w:hAnsi="宋体" w:eastAsia="宋体" w:cs="宋体"/>
          <w:color w:val="auto"/>
          <w:sz w:val="21"/>
          <w:szCs w:val="21"/>
          <w:highlight w:val="none"/>
          <w:lang w:eastAsia="zh-CN"/>
        </w:rPr>
        <w:t>制度及财政管理相关</w:t>
      </w:r>
      <w:r>
        <w:rPr>
          <w:rFonts w:hint="eastAsia" w:ascii="宋体" w:hAnsi="宋体" w:eastAsia="宋体" w:cs="宋体"/>
          <w:color w:val="auto"/>
          <w:sz w:val="21"/>
          <w:szCs w:val="21"/>
          <w:highlight w:val="none"/>
        </w:rPr>
        <w:t>规定执行。</w:t>
      </w:r>
    </w:p>
    <w:p w14:paraId="10A930D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12.2 对于满足合同约定支付条件的，甲方原则上应当自收到发票后10个工作日内将资</w:t>
      </w:r>
      <w:r>
        <w:rPr>
          <w:rFonts w:hint="eastAsia" w:ascii="宋体" w:hAnsi="宋体" w:eastAsia="宋体" w:cs="宋体"/>
          <w:color w:val="auto"/>
          <w:sz w:val="21"/>
          <w:szCs w:val="21"/>
          <w:highlight w:val="none"/>
        </w:rPr>
        <w:t>金支付到合同约定的</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账户，不得以机构变动、人员更替、政策调整等为由迟延付款，不得将采购文件和合同中未规定的义务作为向</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付款的条件。具体合同价款支付时间在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中</w:t>
      </w:r>
      <w:r>
        <w:rPr>
          <w:rFonts w:hint="eastAsia" w:ascii="宋体" w:hAnsi="宋体" w:eastAsia="宋体" w:cs="宋体"/>
          <w:color w:val="auto"/>
          <w:sz w:val="21"/>
          <w:szCs w:val="21"/>
          <w:highlight w:val="none"/>
          <w:lang w:eastAsia="zh-CN"/>
        </w:rPr>
        <w:t>约</w:t>
      </w:r>
      <w:r>
        <w:rPr>
          <w:rFonts w:hint="eastAsia" w:ascii="宋体" w:hAnsi="宋体" w:eastAsia="宋体" w:cs="宋体"/>
          <w:color w:val="auto"/>
          <w:sz w:val="21"/>
          <w:szCs w:val="21"/>
          <w:highlight w:val="none"/>
        </w:rPr>
        <w:t>定。</w:t>
      </w:r>
    </w:p>
    <w:p w14:paraId="75F87D91">
      <w:pPr>
        <w:pStyle w:val="14"/>
        <w:spacing w:after="0" w:line="400" w:lineRule="exac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3</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履约保证金</w:t>
      </w:r>
    </w:p>
    <w:p w14:paraId="7A856DB3">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.1 乙方应当以支票、汇票、本票或者金融机构、担保机构出具的保函等非现金形式提交。</w:t>
      </w:r>
    </w:p>
    <w:p w14:paraId="0AC21C23">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.2 如果乙方</w:t>
      </w:r>
      <w:r>
        <w:rPr>
          <w:rFonts w:hint="eastAsia" w:ascii="宋体" w:hAnsi="宋体" w:eastAsia="宋体" w:cs="宋体"/>
          <w:color w:val="auto"/>
          <w:sz w:val="21"/>
          <w:szCs w:val="21"/>
          <w:highlight w:val="none"/>
          <w:lang w:eastAsia="zh-CN"/>
        </w:rPr>
        <w:t>出现</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b w:val="0"/>
          <w:bCs w:val="0"/>
          <w:color w:val="auto"/>
          <w:sz w:val="21"/>
          <w:szCs w:val="21"/>
          <w:highlight w:val="none"/>
          <w:lang w:eastAsia="zh-CN"/>
        </w:rPr>
        <w:t>约定情形的</w:t>
      </w:r>
      <w:r>
        <w:rPr>
          <w:rFonts w:hint="eastAsia" w:ascii="宋体" w:hAnsi="宋体" w:eastAsia="宋体" w:cs="宋体"/>
          <w:color w:val="auto"/>
          <w:sz w:val="21"/>
          <w:szCs w:val="21"/>
          <w:highlight w:val="none"/>
        </w:rPr>
        <w:t>，履约保证金不予退还；如果乙方未能按合同约定全面履行义务，甲方有权从履约保证金中取得补偿或赔偿，</w:t>
      </w:r>
      <w:r>
        <w:rPr>
          <w:rFonts w:hint="eastAsia" w:ascii="宋体" w:hAnsi="宋体" w:eastAsia="宋体" w:cs="宋体"/>
          <w:color w:val="auto"/>
          <w:sz w:val="21"/>
          <w:szCs w:val="21"/>
          <w:highlight w:val="none"/>
          <w:lang w:eastAsia="zh-CN"/>
        </w:rPr>
        <w:t>且</w:t>
      </w:r>
      <w:r>
        <w:rPr>
          <w:rFonts w:hint="eastAsia" w:ascii="宋体" w:hAnsi="宋体" w:eastAsia="宋体" w:cs="宋体"/>
          <w:color w:val="auto"/>
          <w:sz w:val="21"/>
          <w:szCs w:val="21"/>
          <w:highlight w:val="none"/>
        </w:rPr>
        <w:t>不影响甲方要求乙方承担合同约定的超过履约保证金的违约责任的权利。</w:t>
      </w:r>
    </w:p>
    <w:p w14:paraId="3E3A5073">
      <w:pPr>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.3 甲方在项目通过验收后按照</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规定的时间内将履约保证金退还乙方；逾期退还的，乙方可要求甲方支付违约金，违约金按照</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规定支付。</w:t>
      </w:r>
    </w:p>
    <w:p w14:paraId="5C52840D">
      <w:p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4</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color w:val="auto"/>
          <w:sz w:val="21"/>
          <w:szCs w:val="21"/>
          <w:highlight w:val="none"/>
        </w:rPr>
        <w:t>售后服务</w:t>
      </w:r>
    </w:p>
    <w:p w14:paraId="0DBFA9B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.1 除项目不涉及或采购活动中明确约定无须承担外，乙方还应提供下列服务：</w:t>
      </w:r>
    </w:p>
    <w:p w14:paraId="32A34A35">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（1）货物的现场移动、安装、调试、启动监督及技术支持；</w:t>
      </w:r>
    </w:p>
    <w:p w14:paraId="4D1AC4AE">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（2）提供货物组装和维修所需的专用工具和辅助材料；</w:t>
      </w:r>
    </w:p>
    <w:p w14:paraId="7F66AE2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lang w:eastAsia="zh-CN"/>
        </w:rPr>
        <w:t>约定</w:t>
      </w:r>
      <w:r>
        <w:rPr>
          <w:rFonts w:hint="eastAsia" w:ascii="宋体" w:hAnsi="宋体" w:eastAsia="宋体" w:cs="宋体"/>
          <w:color w:val="auto"/>
          <w:sz w:val="21"/>
          <w:szCs w:val="21"/>
          <w:highlight w:val="none"/>
        </w:rPr>
        <w:t>的期限内对所有的货物实施运行监督、维修，但前提条件是该服务并不能免除乙方在质量保证期内所承担的义务；</w:t>
      </w:r>
    </w:p>
    <w:p w14:paraId="3C583C4C">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（4）在制造商</w:t>
      </w:r>
      <w:r>
        <w:rPr>
          <w:rFonts w:hint="eastAsia" w:ascii="宋体" w:hAnsi="宋体" w:eastAsia="宋体" w:cs="宋体"/>
          <w:color w:val="auto"/>
          <w:sz w:val="21"/>
          <w:szCs w:val="21"/>
          <w:highlight w:val="none"/>
          <w:lang w:eastAsia="zh-CN"/>
        </w:rPr>
        <w:t>所在地</w:t>
      </w:r>
      <w:r>
        <w:rPr>
          <w:rFonts w:hint="eastAsia" w:ascii="宋体" w:hAnsi="宋体" w:eastAsia="宋体" w:cs="宋体"/>
          <w:color w:val="auto"/>
          <w:sz w:val="21"/>
          <w:szCs w:val="21"/>
          <w:highlight w:val="none"/>
        </w:rPr>
        <w:t>或</w:t>
      </w:r>
      <w:r>
        <w:rPr>
          <w:rFonts w:hint="eastAsia" w:ascii="宋体" w:hAnsi="宋体" w:eastAsia="宋体" w:cs="宋体"/>
          <w:color w:val="auto"/>
          <w:sz w:val="21"/>
          <w:szCs w:val="21"/>
          <w:highlight w:val="none"/>
          <w:lang w:eastAsia="zh-CN"/>
        </w:rPr>
        <w:t>指定</w:t>
      </w:r>
      <w:r>
        <w:rPr>
          <w:rFonts w:hint="eastAsia" w:ascii="宋体" w:hAnsi="宋体" w:eastAsia="宋体" w:cs="宋体"/>
          <w:color w:val="auto"/>
          <w:sz w:val="21"/>
          <w:szCs w:val="21"/>
          <w:highlight w:val="none"/>
        </w:rPr>
        <w:t>现场就货物的安装、启动、运营、维护</w:t>
      </w:r>
      <w:r>
        <w:rPr>
          <w:rFonts w:hint="eastAsia" w:ascii="宋体" w:hAnsi="宋体" w:eastAsia="宋体" w:cs="宋体"/>
          <w:color w:val="auto"/>
          <w:sz w:val="21"/>
          <w:szCs w:val="21"/>
          <w:highlight w:val="none"/>
          <w:lang w:eastAsia="zh-CN"/>
        </w:rPr>
        <w:t>、废弃处置等</w:t>
      </w:r>
      <w:r>
        <w:rPr>
          <w:rFonts w:hint="eastAsia" w:ascii="宋体" w:hAnsi="宋体" w:eastAsia="宋体" w:cs="宋体"/>
          <w:color w:val="auto"/>
          <w:sz w:val="21"/>
          <w:szCs w:val="21"/>
          <w:highlight w:val="none"/>
        </w:rPr>
        <w:t>对甲方操作人员进行培训</w:t>
      </w:r>
      <w:r>
        <w:rPr>
          <w:rFonts w:hint="eastAsia" w:ascii="宋体" w:hAnsi="宋体" w:eastAsia="宋体" w:cs="宋体"/>
          <w:color w:val="auto"/>
          <w:sz w:val="21"/>
          <w:szCs w:val="21"/>
          <w:highlight w:val="none"/>
          <w:lang w:eastAsia="zh-CN"/>
        </w:rPr>
        <w:t>；</w:t>
      </w:r>
    </w:p>
    <w:p w14:paraId="3C45C3CF">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（5）依照法律、行政法规的规定或者按照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约定，货物在有效使用年限届满后应予回收的，乙方负有自行或者委托第三人对货物予以回收的义务；</w:t>
      </w:r>
    </w:p>
    <w:p w14:paraId="2B45129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规定由乙方提供的其他服务。</w:t>
      </w:r>
    </w:p>
    <w:p w14:paraId="5E62DA26">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.2 乙方提供的</w:t>
      </w:r>
      <w:r>
        <w:rPr>
          <w:rFonts w:hint="eastAsia" w:ascii="宋体" w:hAnsi="宋体" w:eastAsia="宋体" w:cs="宋体"/>
          <w:color w:val="auto"/>
          <w:sz w:val="21"/>
          <w:szCs w:val="21"/>
          <w:highlight w:val="none"/>
          <w:lang w:eastAsia="zh-CN"/>
        </w:rPr>
        <w:t>售后</w:t>
      </w:r>
      <w:r>
        <w:rPr>
          <w:rFonts w:hint="eastAsia" w:ascii="宋体" w:hAnsi="宋体" w:eastAsia="宋体" w:cs="宋体"/>
          <w:color w:val="auto"/>
          <w:sz w:val="21"/>
          <w:szCs w:val="21"/>
          <w:highlight w:val="none"/>
        </w:rPr>
        <w:t>服务的费用</w:t>
      </w:r>
      <w:r>
        <w:rPr>
          <w:rFonts w:hint="eastAsia" w:ascii="宋体" w:hAnsi="宋体" w:eastAsia="宋体" w:cs="宋体"/>
          <w:color w:val="auto"/>
          <w:sz w:val="21"/>
          <w:szCs w:val="21"/>
          <w:highlight w:val="none"/>
          <w:lang w:val="en-US" w:eastAsia="zh-CN"/>
        </w:rPr>
        <w:t>已</w:t>
      </w:r>
      <w:r>
        <w:rPr>
          <w:rFonts w:hint="eastAsia" w:ascii="宋体" w:hAnsi="宋体" w:eastAsia="宋体" w:cs="宋体"/>
          <w:color w:val="auto"/>
          <w:sz w:val="21"/>
          <w:szCs w:val="21"/>
          <w:highlight w:val="none"/>
        </w:rPr>
        <w:t>包含在合同价款中，甲方不再另行支付。</w:t>
      </w:r>
    </w:p>
    <w:p w14:paraId="49E78840">
      <w:p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5</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违约责任</w:t>
      </w:r>
    </w:p>
    <w:p w14:paraId="1BB91689">
      <w:pPr>
        <w:adjustRightInd w:val="0"/>
        <w:snapToGrid w:val="0"/>
        <w:spacing w:before="0" w:line="4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.1质量瑕疵的</w:t>
      </w:r>
      <w:r>
        <w:rPr>
          <w:rFonts w:hint="eastAsia" w:ascii="宋体" w:hAnsi="宋体" w:eastAsia="宋体" w:cs="宋体"/>
          <w:bCs/>
          <w:color w:val="auto"/>
          <w:sz w:val="21"/>
          <w:szCs w:val="21"/>
          <w:highlight w:val="none"/>
          <w:lang w:eastAsia="zh-CN"/>
        </w:rPr>
        <w:t>违约责任</w:t>
      </w:r>
    </w:p>
    <w:p w14:paraId="45E147D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的产品不符合</w:t>
      </w:r>
      <w:r>
        <w:rPr>
          <w:rFonts w:hint="eastAsia" w:ascii="宋体" w:hAnsi="宋体" w:eastAsia="宋体" w:cs="宋体"/>
          <w:color w:val="auto"/>
          <w:sz w:val="21"/>
          <w:szCs w:val="21"/>
          <w:highlight w:val="none"/>
          <w:lang w:eastAsia="zh-CN"/>
        </w:rPr>
        <w:t>合同约定的</w:t>
      </w:r>
      <w:r>
        <w:rPr>
          <w:rFonts w:hint="eastAsia" w:ascii="宋体" w:hAnsi="宋体" w:eastAsia="宋体" w:cs="宋体"/>
          <w:color w:val="auto"/>
          <w:sz w:val="21"/>
          <w:szCs w:val="21"/>
          <w:highlight w:val="none"/>
        </w:rPr>
        <w:t>质量标准或存在产品质量缺陷，</w:t>
      </w:r>
      <w:r>
        <w:rPr>
          <w:rFonts w:hint="eastAsia" w:ascii="宋体" w:hAnsi="宋体" w:eastAsia="宋体" w:cs="宋体"/>
          <w:color w:val="auto"/>
          <w:sz w:val="21"/>
          <w:szCs w:val="21"/>
          <w:highlight w:val="none"/>
          <w:lang w:eastAsia="zh-CN"/>
        </w:rPr>
        <w:t>甲方有权要求乙方根据</w:t>
      </w:r>
      <w:r>
        <w:rPr>
          <w:rFonts w:hint="eastAsia" w:ascii="宋体" w:hAnsi="宋体" w:eastAsia="宋体" w:cs="宋体"/>
          <w:b/>
          <w:color w:val="auto"/>
          <w:sz w:val="21"/>
          <w:szCs w:val="21"/>
          <w:highlight w:val="none"/>
        </w:rPr>
        <w:t>【政府采购合同专用条款】</w:t>
      </w:r>
      <w:r>
        <w:rPr>
          <w:rFonts w:hint="eastAsia" w:ascii="宋体" w:hAnsi="宋体" w:eastAsia="宋体" w:cs="宋体"/>
          <w:b w:val="0"/>
          <w:bCs/>
          <w:color w:val="auto"/>
          <w:sz w:val="21"/>
          <w:szCs w:val="21"/>
          <w:highlight w:val="none"/>
          <w:lang w:eastAsia="zh-CN"/>
        </w:rPr>
        <w:t>要求</w:t>
      </w:r>
      <w:r>
        <w:rPr>
          <w:rFonts w:hint="eastAsia" w:ascii="宋体" w:hAnsi="宋体" w:eastAsia="宋体" w:cs="宋体"/>
          <w:color w:val="auto"/>
          <w:sz w:val="21"/>
          <w:szCs w:val="21"/>
          <w:highlight w:val="none"/>
          <w:lang w:eastAsia="zh-CN"/>
        </w:rPr>
        <w:t>及时修理、重作、更换，并承担由此给甲</w:t>
      </w:r>
      <w:r>
        <w:rPr>
          <w:rFonts w:hint="eastAsia" w:ascii="宋体" w:hAnsi="宋体" w:eastAsia="宋体" w:cs="宋体"/>
          <w:color w:val="auto"/>
          <w:sz w:val="21"/>
          <w:szCs w:val="21"/>
          <w:highlight w:val="none"/>
        </w:rPr>
        <w:t>方</w:t>
      </w:r>
      <w:r>
        <w:rPr>
          <w:rFonts w:hint="eastAsia" w:ascii="宋体" w:hAnsi="宋体" w:eastAsia="宋体" w:cs="宋体"/>
          <w:color w:val="auto"/>
          <w:sz w:val="21"/>
          <w:szCs w:val="21"/>
          <w:highlight w:val="none"/>
          <w:lang w:eastAsia="zh-CN"/>
        </w:rPr>
        <w:t>造成的损失</w:t>
      </w:r>
      <w:r>
        <w:rPr>
          <w:rFonts w:hint="eastAsia" w:ascii="宋体" w:hAnsi="宋体" w:eastAsia="宋体" w:cs="宋体"/>
          <w:color w:val="auto"/>
          <w:sz w:val="21"/>
          <w:szCs w:val="21"/>
          <w:highlight w:val="none"/>
        </w:rPr>
        <w:t>。</w:t>
      </w:r>
    </w:p>
    <w:p w14:paraId="3B3A2F81">
      <w:pPr>
        <w:autoSpaceDE w:val="0"/>
        <w:autoSpaceDN w:val="0"/>
        <w:adjustRightInd w:val="0"/>
        <w:snapToGrid w:val="0"/>
        <w:spacing w:before="0" w:line="4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.2 迟延交货的违约责任</w:t>
      </w:r>
    </w:p>
    <w:p w14:paraId="4D6C3035">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（1）乙方应按照本合同规定的时间、地点交货和提供</w:t>
      </w:r>
      <w:r>
        <w:rPr>
          <w:rFonts w:hint="eastAsia" w:ascii="宋体" w:hAnsi="宋体" w:eastAsia="宋体" w:cs="宋体"/>
          <w:color w:val="auto"/>
          <w:sz w:val="21"/>
          <w:szCs w:val="21"/>
          <w:highlight w:val="none"/>
          <w:lang w:eastAsia="zh-CN"/>
        </w:rPr>
        <w:t>相关</w:t>
      </w:r>
      <w:r>
        <w:rPr>
          <w:rFonts w:hint="eastAsia" w:ascii="宋体" w:hAnsi="宋体" w:eastAsia="宋体" w:cs="宋体"/>
          <w:color w:val="auto"/>
          <w:sz w:val="21"/>
          <w:szCs w:val="21"/>
          <w:highlight w:val="none"/>
        </w:rPr>
        <w:t>服务。在履行合同过程中，如果乙方遇到可能</w:t>
      </w:r>
      <w:r>
        <w:rPr>
          <w:rFonts w:hint="eastAsia" w:ascii="宋体" w:hAnsi="宋体" w:eastAsia="宋体" w:cs="宋体"/>
          <w:color w:val="auto"/>
          <w:sz w:val="21"/>
          <w:szCs w:val="21"/>
          <w:highlight w:val="none"/>
          <w:lang w:eastAsia="zh-CN"/>
        </w:rPr>
        <w:t>影响</w:t>
      </w:r>
      <w:r>
        <w:rPr>
          <w:rFonts w:hint="eastAsia" w:ascii="宋体" w:hAnsi="宋体" w:eastAsia="宋体" w:cs="宋体"/>
          <w:color w:val="auto"/>
          <w:sz w:val="21"/>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s="宋体"/>
          <w:color w:val="auto"/>
          <w:sz w:val="21"/>
          <w:szCs w:val="21"/>
          <w:highlight w:val="none"/>
          <w:lang w:eastAsia="zh-CN"/>
        </w:rPr>
        <w:t>长</w:t>
      </w:r>
      <w:r>
        <w:rPr>
          <w:rFonts w:hint="eastAsia" w:ascii="宋体" w:hAnsi="宋体" w:eastAsia="宋体" w:cs="宋体"/>
          <w:color w:val="auto"/>
          <w:sz w:val="21"/>
          <w:szCs w:val="21"/>
          <w:highlight w:val="none"/>
        </w:rPr>
        <w:t>交货时间或延期提供服务。</w:t>
      </w:r>
    </w:p>
    <w:p w14:paraId="590DD4EF">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（2）如果乙方没有按照合同规定的时间交货和提供</w:t>
      </w:r>
      <w:r>
        <w:rPr>
          <w:rFonts w:hint="eastAsia" w:ascii="宋体" w:hAnsi="宋体" w:eastAsia="宋体" w:cs="宋体"/>
          <w:color w:val="auto"/>
          <w:sz w:val="21"/>
          <w:szCs w:val="21"/>
          <w:highlight w:val="none"/>
          <w:lang w:eastAsia="zh-CN"/>
        </w:rPr>
        <w:t>相关</w:t>
      </w:r>
      <w:r>
        <w:rPr>
          <w:rFonts w:hint="eastAsia" w:ascii="宋体" w:hAnsi="宋体" w:eastAsia="宋体" w:cs="宋体"/>
          <w:color w:val="auto"/>
          <w:sz w:val="21"/>
          <w:szCs w:val="21"/>
          <w:highlight w:val="none"/>
        </w:rPr>
        <w:t>服务，甲方有权从货款中扣除误期赔偿费而不影响合同项下的其他补救方法，赔偿费按</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规定执行。如果涉及公共利益，且赔偿金额无法弥补公共利益损失，</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可要求继续履行或者</w:t>
      </w:r>
      <w:r>
        <w:rPr>
          <w:rFonts w:hint="eastAsia" w:ascii="宋体" w:hAnsi="宋体" w:eastAsia="宋体" w:cs="宋体"/>
          <w:color w:val="auto"/>
          <w:sz w:val="21"/>
          <w:szCs w:val="21"/>
          <w:highlight w:val="none"/>
          <w:lang w:eastAsia="zh-CN"/>
        </w:rPr>
        <w:t>采取其他补救措施</w:t>
      </w:r>
      <w:r>
        <w:rPr>
          <w:rFonts w:hint="eastAsia" w:ascii="宋体" w:hAnsi="宋体" w:eastAsia="宋体" w:cs="宋体"/>
          <w:color w:val="auto"/>
          <w:sz w:val="21"/>
          <w:szCs w:val="21"/>
          <w:highlight w:val="none"/>
        </w:rPr>
        <w:t>。</w:t>
      </w:r>
    </w:p>
    <w:p w14:paraId="3E573CC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.3 迟延支付的违约责任</w:t>
      </w:r>
    </w:p>
    <w:p w14:paraId="3ED807C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甲方存在迟延支付乙方合同款项的，应当承担</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规定的逾期付款利息。</w:t>
      </w:r>
    </w:p>
    <w:p w14:paraId="7371855D">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.4其他违约责任根据项目实际需要按</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规定执行。</w:t>
      </w:r>
    </w:p>
    <w:p w14:paraId="152936FF">
      <w:pPr>
        <w:numPr>
          <w:ilvl w:val="0"/>
          <w:numId w:val="12"/>
        </w:num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合同变更</w:t>
      </w:r>
      <w:r>
        <w:rPr>
          <w:rFonts w:hint="eastAsia" w:ascii="宋体" w:hAnsi="宋体" w:eastAsia="宋体" w:cs="宋体"/>
          <w:b/>
          <w:color w:val="auto"/>
          <w:sz w:val="21"/>
          <w:szCs w:val="21"/>
          <w:highlight w:val="none"/>
          <w:lang w:eastAsia="zh-CN"/>
        </w:rPr>
        <w:t>、中止与终止</w:t>
      </w:r>
    </w:p>
    <w:p w14:paraId="28C474DB">
      <w:pPr>
        <w:autoSpaceDE/>
        <w:autoSpaceDN/>
        <w:adjustRightInd w:val="0"/>
        <w:snapToGrid w:val="0"/>
        <w:spacing w:before="0" w:line="400" w:lineRule="exact"/>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.1合同的</w:t>
      </w:r>
      <w:r>
        <w:rPr>
          <w:rFonts w:hint="eastAsia" w:ascii="宋体" w:hAnsi="宋体" w:eastAsia="宋体" w:cs="宋体"/>
          <w:color w:val="auto"/>
          <w:sz w:val="21"/>
          <w:szCs w:val="21"/>
          <w:highlight w:val="none"/>
          <w:lang w:eastAsia="zh-CN"/>
        </w:rPr>
        <w:t>变更</w:t>
      </w:r>
    </w:p>
    <w:p w14:paraId="019E6119">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政府采购合同履行中，</w:t>
      </w:r>
      <w:r>
        <w:rPr>
          <w:rFonts w:hint="eastAsia" w:ascii="宋体" w:hAnsi="宋体" w:eastAsia="宋体" w:cs="宋体"/>
          <w:color w:val="auto"/>
          <w:sz w:val="21"/>
          <w:szCs w:val="21"/>
          <w:highlight w:val="none"/>
        </w:rPr>
        <w:t>在不改变合同其他条款的前提下，甲方可以在合同价款10%的范围内追加与合同标的相同的货物，并就此与乙方协商</w:t>
      </w:r>
      <w:r>
        <w:rPr>
          <w:rFonts w:hint="eastAsia" w:ascii="宋体" w:hAnsi="宋体" w:eastAsia="宋体" w:cs="宋体"/>
          <w:color w:val="auto"/>
          <w:sz w:val="21"/>
          <w:szCs w:val="21"/>
          <w:highlight w:val="none"/>
          <w:lang w:eastAsia="zh-CN"/>
        </w:rPr>
        <w:t>一致后</w:t>
      </w:r>
      <w:r>
        <w:rPr>
          <w:rFonts w:hint="eastAsia" w:ascii="宋体" w:hAnsi="宋体" w:eastAsia="宋体" w:cs="宋体"/>
          <w:color w:val="auto"/>
          <w:sz w:val="21"/>
          <w:szCs w:val="21"/>
          <w:highlight w:val="none"/>
        </w:rPr>
        <w:t>签订补充协议。</w:t>
      </w:r>
    </w:p>
    <w:p w14:paraId="23532E82">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合同的中止</w:t>
      </w:r>
    </w:p>
    <w:p w14:paraId="6730C3F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（1）合同履行过程中因</w:t>
      </w: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就采购文件、采购过程或结果提起投诉的，甲方认为有必要的，</w:t>
      </w:r>
      <w:r>
        <w:rPr>
          <w:rFonts w:hint="eastAsia" w:ascii="宋体" w:hAnsi="宋体" w:eastAsia="宋体" w:cs="宋体"/>
          <w:color w:val="auto"/>
          <w:sz w:val="21"/>
          <w:szCs w:val="21"/>
          <w:highlight w:val="none"/>
          <w:lang w:eastAsia="zh-CN"/>
        </w:rPr>
        <w:t>可以</w:t>
      </w:r>
      <w:r>
        <w:rPr>
          <w:rFonts w:hint="eastAsia" w:ascii="宋体" w:hAnsi="宋体" w:eastAsia="宋体" w:cs="宋体"/>
          <w:color w:val="auto"/>
          <w:sz w:val="21"/>
          <w:szCs w:val="21"/>
          <w:highlight w:val="none"/>
        </w:rPr>
        <w:t>中止合同的履行。</w:t>
      </w:r>
    </w:p>
    <w:p w14:paraId="706E465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合同履行过程中，</w:t>
      </w:r>
      <w:r>
        <w:rPr>
          <w:rFonts w:hint="eastAsia" w:ascii="宋体" w:hAnsi="宋体" w:eastAsia="宋体" w:cs="宋体"/>
          <w:color w:val="auto"/>
          <w:sz w:val="21"/>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s="宋体"/>
          <w:color w:val="auto"/>
          <w:sz w:val="21"/>
          <w:szCs w:val="21"/>
          <w:highlight w:val="none"/>
          <w:lang w:eastAsia="zh-CN"/>
        </w:rPr>
        <w:t>，乙方有义务及时告知甲方</w:t>
      </w:r>
      <w:r>
        <w:rPr>
          <w:rFonts w:hint="eastAsia" w:ascii="宋体" w:hAnsi="宋体" w:eastAsia="宋体" w:cs="宋体"/>
          <w:color w:val="auto"/>
          <w:sz w:val="21"/>
          <w:szCs w:val="21"/>
          <w:highlight w:val="none"/>
        </w:rPr>
        <w:t>。甲方</w:t>
      </w:r>
      <w:r>
        <w:rPr>
          <w:rFonts w:hint="eastAsia" w:ascii="宋体" w:hAnsi="宋体" w:eastAsia="宋体" w:cs="宋体"/>
          <w:color w:val="auto"/>
          <w:sz w:val="21"/>
          <w:szCs w:val="21"/>
          <w:highlight w:val="none"/>
          <w:lang w:eastAsia="zh-CN"/>
        </w:rPr>
        <w:t>有权</w:t>
      </w:r>
      <w:r>
        <w:rPr>
          <w:rFonts w:hint="eastAsia" w:ascii="宋体" w:hAnsi="宋体" w:eastAsia="宋体" w:cs="宋体"/>
          <w:color w:val="auto"/>
          <w:sz w:val="21"/>
          <w:szCs w:val="21"/>
          <w:highlight w:val="none"/>
        </w:rPr>
        <w:t>以书面形式通知乙方中止合同</w:t>
      </w:r>
      <w:r>
        <w:rPr>
          <w:rFonts w:hint="eastAsia" w:ascii="宋体" w:hAnsi="宋体" w:eastAsia="宋体" w:cs="宋体"/>
          <w:color w:val="auto"/>
          <w:sz w:val="21"/>
          <w:szCs w:val="21"/>
          <w:highlight w:val="none"/>
          <w:lang w:eastAsia="zh-CN"/>
        </w:rPr>
        <w:t>并要求乙方在合理期限内消除相关情形或者提供适当担保。</w:t>
      </w:r>
      <w:r>
        <w:rPr>
          <w:rFonts w:hint="eastAsia" w:ascii="宋体" w:hAnsi="宋体" w:eastAsia="宋体" w:cs="宋体"/>
          <w:color w:val="auto"/>
          <w:sz w:val="21"/>
          <w:szCs w:val="21"/>
          <w:highlight w:val="none"/>
        </w:rPr>
        <w:t>乙方提供适当担保的，</w:t>
      </w:r>
      <w:r>
        <w:rPr>
          <w:rFonts w:hint="eastAsia" w:ascii="宋体" w:hAnsi="宋体" w:eastAsia="宋体" w:cs="宋体"/>
          <w:color w:val="auto"/>
          <w:sz w:val="21"/>
          <w:szCs w:val="21"/>
          <w:highlight w:val="none"/>
          <w:lang w:eastAsia="zh-CN"/>
        </w:rPr>
        <w:t>合同继续</w:t>
      </w:r>
      <w:r>
        <w:rPr>
          <w:rFonts w:hint="eastAsia" w:ascii="宋体" w:hAnsi="宋体" w:eastAsia="宋体" w:cs="宋体"/>
          <w:color w:val="auto"/>
          <w:sz w:val="21"/>
          <w:szCs w:val="21"/>
          <w:highlight w:val="none"/>
        </w:rPr>
        <w:t>履行</w:t>
      </w:r>
      <w:r>
        <w:rPr>
          <w:rFonts w:hint="eastAsia" w:ascii="宋体" w:hAnsi="宋体" w:eastAsia="宋体" w:cs="宋体"/>
          <w:color w:val="auto"/>
          <w:sz w:val="21"/>
          <w:szCs w:val="21"/>
          <w:highlight w:val="none"/>
          <w:lang w:eastAsia="zh-CN"/>
        </w:rPr>
        <w:t>；乙</w:t>
      </w:r>
      <w:r>
        <w:rPr>
          <w:rFonts w:hint="eastAsia" w:ascii="宋体" w:hAnsi="宋体" w:eastAsia="宋体" w:cs="宋体"/>
          <w:color w:val="auto"/>
          <w:sz w:val="21"/>
          <w:szCs w:val="21"/>
          <w:highlight w:val="none"/>
        </w:rPr>
        <w:t>方在合理期限内未恢复履约能力且未提供适当担保的，视为拒绝</w:t>
      </w:r>
      <w:r>
        <w:rPr>
          <w:rFonts w:hint="eastAsia" w:ascii="宋体" w:hAnsi="宋体" w:eastAsia="宋体" w:cs="宋体"/>
          <w:color w:val="auto"/>
          <w:sz w:val="21"/>
          <w:szCs w:val="21"/>
          <w:highlight w:val="none"/>
          <w:lang w:eastAsia="zh-CN"/>
        </w:rPr>
        <w:t>继续</w:t>
      </w:r>
      <w:r>
        <w:rPr>
          <w:rFonts w:hint="eastAsia" w:ascii="宋体" w:hAnsi="宋体" w:eastAsia="宋体" w:cs="宋体"/>
          <w:color w:val="auto"/>
          <w:sz w:val="21"/>
          <w:szCs w:val="21"/>
          <w:highlight w:val="none"/>
        </w:rPr>
        <w:t>履约，甲方</w:t>
      </w:r>
      <w:r>
        <w:rPr>
          <w:rFonts w:hint="eastAsia" w:ascii="宋体" w:hAnsi="宋体" w:eastAsia="宋体" w:cs="宋体"/>
          <w:color w:val="auto"/>
          <w:sz w:val="21"/>
          <w:szCs w:val="21"/>
          <w:highlight w:val="none"/>
          <w:lang w:eastAsia="zh-CN"/>
        </w:rPr>
        <w:t>有权</w:t>
      </w:r>
      <w:r>
        <w:rPr>
          <w:rFonts w:hint="eastAsia" w:ascii="宋体" w:hAnsi="宋体" w:eastAsia="宋体" w:cs="宋体"/>
          <w:color w:val="auto"/>
          <w:sz w:val="21"/>
          <w:szCs w:val="21"/>
          <w:highlight w:val="none"/>
        </w:rPr>
        <w:t>解除合同并要求乙方承担</w:t>
      </w:r>
      <w:r>
        <w:rPr>
          <w:rFonts w:hint="eastAsia" w:ascii="宋体" w:hAnsi="宋体" w:eastAsia="宋体" w:cs="宋体"/>
          <w:color w:val="auto"/>
          <w:sz w:val="21"/>
          <w:szCs w:val="21"/>
          <w:highlight w:val="none"/>
          <w:lang w:eastAsia="zh-CN"/>
        </w:rPr>
        <w:t>由此给甲方造成的损失</w:t>
      </w:r>
      <w:r>
        <w:rPr>
          <w:rFonts w:hint="eastAsia" w:ascii="宋体" w:hAnsi="宋体" w:eastAsia="宋体" w:cs="宋体"/>
          <w:color w:val="auto"/>
          <w:sz w:val="21"/>
          <w:szCs w:val="21"/>
          <w:highlight w:val="none"/>
        </w:rPr>
        <w:t>。</w:t>
      </w:r>
    </w:p>
    <w:p w14:paraId="5CD80FD9">
      <w:pPr>
        <w:pStyle w:val="37"/>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3BCAED40">
      <w:pPr>
        <w:snapToGrid w:val="0"/>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）甲方不得以行政区划调整、政府换届、机构或者职能调整以及相关责任人更替为由中止合同。</w:t>
      </w:r>
    </w:p>
    <w:p w14:paraId="56F1AC42">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合同的终止</w:t>
      </w:r>
    </w:p>
    <w:p w14:paraId="3848BAD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（1）合同因有效期限届满而终止；</w:t>
      </w:r>
    </w:p>
    <w:p w14:paraId="2AF06312">
      <w:pPr>
        <w:snapToGrid w:val="0"/>
        <w:spacing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（2）乙方未</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合同约定履行，构成根本性违约的，甲方有权终止合同</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并追究乙方的违约责</w:t>
      </w:r>
      <w:r>
        <w:rPr>
          <w:rFonts w:hint="eastAsia" w:ascii="宋体" w:hAnsi="宋体" w:eastAsia="宋体" w:cs="宋体"/>
          <w:color w:val="auto"/>
          <w:sz w:val="21"/>
          <w:szCs w:val="21"/>
          <w:highlight w:val="none"/>
          <w:lang w:val="en-US" w:eastAsia="zh-CN"/>
        </w:rPr>
        <w:t>任</w:t>
      </w:r>
      <w:r>
        <w:rPr>
          <w:rFonts w:hint="eastAsia" w:ascii="宋体" w:hAnsi="宋体" w:eastAsia="宋体" w:cs="宋体"/>
          <w:color w:val="auto"/>
          <w:sz w:val="21"/>
          <w:szCs w:val="21"/>
          <w:highlight w:val="none"/>
        </w:rPr>
        <w:t>。</w:t>
      </w:r>
    </w:p>
    <w:p w14:paraId="3F0ADFC8">
      <w:pPr>
        <w:pStyle w:val="37"/>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16.4 涉及国家利益、社会公共利益的情形</w:t>
      </w:r>
    </w:p>
    <w:p w14:paraId="15580053">
      <w:pPr>
        <w:pStyle w:val="37"/>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政府采购合同继续履行将损害国家利益和社会公共利益的，双方当事人应当变更、中止或者终止合同。有过错的一方应当承担赔偿责任，双方都有过错的，各自承担相应的责任。</w:t>
      </w:r>
    </w:p>
    <w:p w14:paraId="5C2AA675">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合同分包</w:t>
      </w:r>
    </w:p>
    <w:p w14:paraId="4EF8423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.1 乙方不得</w:t>
      </w:r>
      <w:r>
        <w:rPr>
          <w:rFonts w:hint="eastAsia" w:ascii="宋体" w:hAnsi="宋体" w:eastAsia="宋体" w:cs="宋体"/>
          <w:color w:val="auto"/>
          <w:sz w:val="21"/>
          <w:szCs w:val="21"/>
          <w:highlight w:val="none"/>
          <w:lang w:eastAsia="zh-CN"/>
        </w:rPr>
        <w:t>将合同转包给其他投标人。涉及合同分包的，乙方</w:t>
      </w:r>
      <w:r>
        <w:rPr>
          <w:rFonts w:hint="eastAsia" w:ascii="宋体" w:hAnsi="宋体" w:eastAsia="宋体" w:cs="宋体"/>
          <w:color w:val="auto"/>
          <w:sz w:val="21"/>
          <w:szCs w:val="21"/>
          <w:highlight w:val="none"/>
          <w:lang w:val="en-US" w:eastAsia="zh-CN"/>
        </w:rPr>
        <w:t>应</w:t>
      </w:r>
      <w:r>
        <w:rPr>
          <w:rFonts w:hint="eastAsia" w:ascii="宋体" w:hAnsi="宋体" w:eastAsia="宋体" w:cs="宋体"/>
          <w:color w:val="auto"/>
          <w:sz w:val="21"/>
          <w:szCs w:val="21"/>
          <w:highlight w:val="none"/>
          <w:lang w:eastAsia="zh-CN"/>
        </w:rPr>
        <w:t>根据采购文件和投标（响应）文件规定进行</w:t>
      </w:r>
      <w:r>
        <w:rPr>
          <w:rFonts w:hint="eastAsia" w:ascii="宋体" w:hAnsi="宋体" w:eastAsia="宋体" w:cs="宋体"/>
          <w:color w:val="auto"/>
          <w:sz w:val="21"/>
          <w:szCs w:val="21"/>
          <w:highlight w:val="none"/>
        </w:rPr>
        <w:t>合同分包。</w:t>
      </w:r>
    </w:p>
    <w:p w14:paraId="19F9856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.2 乙方执行政府采购政策向中小企业依法分包的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乙方应当按采购文件</w:t>
      </w:r>
      <w:r>
        <w:rPr>
          <w:rFonts w:hint="eastAsia" w:ascii="宋体" w:hAnsi="宋体" w:eastAsia="宋体" w:cs="宋体"/>
          <w:color w:val="auto"/>
          <w:sz w:val="21"/>
          <w:szCs w:val="21"/>
          <w:highlight w:val="none"/>
          <w:lang w:eastAsia="zh-CN"/>
        </w:rPr>
        <w:t>和</w:t>
      </w:r>
      <w:r>
        <w:rPr>
          <w:rFonts w:hint="eastAsia" w:ascii="宋体" w:hAnsi="宋体" w:eastAsia="宋体" w:cs="宋体"/>
          <w:color w:val="auto"/>
          <w:sz w:val="21"/>
          <w:szCs w:val="21"/>
          <w:highlight w:val="none"/>
        </w:rPr>
        <w:t>投标（响应）文件签订分包</w:t>
      </w:r>
      <w:r>
        <w:rPr>
          <w:rFonts w:hint="eastAsia" w:ascii="宋体" w:hAnsi="宋体" w:eastAsia="宋体" w:cs="宋体"/>
          <w:color w:val="auto"/>
          <w:sz w:val="21"/>
          <w:szCs w:val="21"/>
          <w:highlight w:val="none"/>
          <w:lang w:eastAsia="zh-CN"/>
        </w:rPr>
        <w:t>意向</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，分包</w:t>
      </w:r>
      <w:r>
        <w:rPr>
          <w:rFonts w:hint="eastAsia" w:ascii="宋体" w:hAnsi="宋体" w:eastAsia="宋体" w:cs="宋体"/>
          <w:color w:val="auto"/>
          <w:sz w:val="21"/>
          <w:szCs w:val="21"/>
          <w:highlight w:val="none"/>
          <w:lang w:eastAsia="zh-CN"/>
        </w:rPr>
        <w:t>意向</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属于本合同组成部分。</w:t>
      </w:r>
    </w:p>
    <w:p w14:paraId="6E9E40FB">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1</w:t>
      </w:r>
      <w:r>
        <w:rPr>
          <w:rFonts w:hint="eastAsia" w:ascii="宋体" w:hAnsi="宋体" w:eastAsia="宋体" w:cs="宋体"/>
          <w:b/>
          <w:bCs/>
          <w:color w:val="auto"/>
          <w:sz w:val="21"/>
          <w:szCs w:val="21"/>
          <w:highlight w:val="none"/>
          <w:lang w:val="en-US" w:eastAsia="zh-CN"/>
        </w:rPr>
        <w:t>8</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不可抗力</w:t>
      </w:r>
    </w:p>
    <w:p w14:paraId="3A0D10E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.1 不可抗力是指合同双方不能预见、不能避免且不能克服的客观情况。</w:t>
      </w:r>
    </w:p>
    <w:p w14:paraId="7334AEE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.2 任何一方对由于不可抗力造成的部分或全部不能履行合同不承担违约责任。但迟延履行后发生不可抗力的，不能免除责任。</w:t>
      </w:r>
    </w:p>
    <w:p w14:paraId="5B43D4C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.3 遇有不可抗力的一方，应及时将事件情况以书面形式</w:t>
      </w:r>
      <w:r>
        <w:rPr>
          <w:rFonts w:hint="eastAsia" w:ascii="宋体" w:hAnsi="宋体" w:eastAsia="宋体" w:cs="宋体"/>
          <w:color w:val="auto"/>
          <w:sz w:val="21"/>
          <w:szCs w:val="21"/>
          <w:highlight w:val="none"/>
          <w:lang w:eastAsia="zh-CN"/>
        </w:rPr>
        <w:t>告</w:t>
      </w:r>
      <w:r>
        <w:rPr>
          <w:rFonts w:hint="eastAsia" w:ascii="宋体" w:hAnsi="宋体" w:eastAsia="宋体" w:cs="宋体"/>
          <w:color w:val="auto"/>
          <w:sz w:val="21"/>
          <w:szCs w:val="21"/>
          <w:highlight w:val="none"/>
        </w:rPr>
        <w:t>知另一方，并在事件发生后及时向另一方提交合同不能履行或部分不能履行或需要延期履行</w:t>
      </w:r>
      <w:r>
        <w:rPr>
          <w:rFonts w:hint="eastAsia" w:ascii="宋体" w:hAnsi="宋体" w:eastAsia="宋体" w:cs="宋体"/>
          <w:color w:val="auto"/>
          <w:sz w:val="21"/>
          <w:szCs w:val="21"/>
          <w:highlight w:val="none"/>
          <w:lang w:eastAsia="zh-CN"/>
        </w:rPr>
        <w:t>的详细</w:t>
      </w:r>
      <w:r>
        <w:rPr>
          <w:rFonts w:hint="eastAsia" w:ascii="宋体" w:hAnsi="宋体" w:eastAsia="宋体" w:cs="宋体"/>
          <w:color w:val="auto"/>
          <w:sz w:val="21"/>
          <w:szCs w:val="21"/>
          <w:highlight w:val="none"/>
        </w:rPr>
        <w:t>报告</w:t>
      </w:r>
      <w:r>
        <w:rPr>
          <w:rFonts w:hint="eastAsia" w:ascii="宋体" w:hAnsi="宋体" w:eastAsia="宋体" w:cs="宋体"/>
          <w:color w:val="auto"/>
          <w:sz w:val="21"/>
          <w:szCs w:val="21"/>
          <w:highlight w:val="none"/>
          <w:lang w:eastAsia="zh-CN"/>
        </w:rPr>
        <w:t>，以</w:t>
      </w:r>
      <w:r>
        <w:rPr>
          <w:rFonts w:hint="eastAsia" w:ascii="宋体" w:hAnsi="宋体" w:eastAsia="宋体" w:cs="宋体"/>
          <w:color w:val="auto"/>
          <w:sz w:val="21"/>
          <w:szCs w:val="21"/>
          <w:highlight w:val="none"/>
          <w:lang w:val="en-US" w:eastAsia="zh-CN"/>
        </w:rPr>
        <w:t>及证明不可抗力发生及其持续时间的证据</w:t>
      </w:r>
      <w:r>
        <w:rPr>
          <w:rFonts w:hint="eastAsia" w:ascii="宋体" w:hAnsi="宋体" w:eastAsia="宋体" w:cs="宋体"/>
          <w:color w:val="auto"/>
          <w:sz w:val="21"/>
          <w:szCs w:val="21"/>
          <w:highlight w:val="none"/>
        </w:rPr>
        <w:t>。</w:t>
      </w:r>
    </w:p>
    <w:p w14:paraId="1ACB0169">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19</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解决争议的方法</w:t>
      </w:r>
    </w:p>
    <w:p w14:paraId="4268DE9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19</w:t>
      </w:r>
      <w:r>
        <w:rPr>
          <w:rFonts w:hint="eastAsia" w:ascii="宋体" w:hAnsi="宋体" w:eastAsia="宋体" w:cs="宋体"/>
          <w:color w:val="auto"/>
          <w:sz w:val="21"/>
          <w:szCs w:val="21"/>
          <w:highlight w:val="none"/>
          <w:lang w:eastAsia="zh-CN"/>
        </w:rPr>
        <w:t>.1 因本合同及合同有关事项发生的争议，由甲乙双方友好协商解决。协商不成时，可以向有关组织申请调解。合同一方或双方不愿调解或调解不成的，可以通过仲裁或诉讼的方式解决争议。</w:t>
      </w:r>
    </w:p>
    <w:p w14:paraId="414115B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19.2 选择仲裁的，应在</w:t>
      </w:r>
      <w:r>
        <w:rPr>
          <w:rFonts w:hint="eastAsia" w:ascii="宋体" w:hAnsi="宋体" w:eastAsia="宋体" w:cs="宋体"/>
          <w:b/>
          <w:bCs/>
          <w:color w:val="auto"/>
          <w:sz w:val="21"/>
          <w:szCs w:val="21"/>
          <w:highlight w:val="none"/>
          <w:lang w:val="en-US" w:eastAsia="zh-CN"/>
        </w:rPr>
        <w:t>【政府采购合同专用条款】</w:t>
      </w:r>
      <w:r>
        <w:rPr>
          <w:rFonts w:hint="eastAsia" w:ascii="宋体" w:hAnsi="宋体" w:eastAsia="宋体" w:cs="宋体"/>
          <w:color w:val="auto"/>
          <w:sz w:val="21"/>
          <w:szCs w:val="21"/>
          <w:highlight w:val="none"/>
          <w:lang w:val="en-US" w:eastAsia="zh-CN"/>
        </w:rPr>
        <w:t>中明确仲裁机构及仲裁地；通过诉讼方式解决的，可以在</w:t>
      </w:r>
      <w:r>
        <w:rPr>
          <w:rFonts w:hint="eastAsia" w:ascii="宋体" w:hAnsi="宋体" w:eastAsia="宋体" w:cs="宋体"/>
          <w:b/>
          <w:bCs/>
          <w:color w:val="auto"/>
          <w:sz w:val="21"/>
          <w:szCs w:val="21"/>
          <w:highlight w:val="none"/>
          <w:lang w:val="en-US" w:eastAsia="zh-CN"/>
        </w:rPr>
        <w:t>【政府采购合同专用条款】</w:t>
      </w:r>
      <w:r>
        <w:rPr>
          <w:rFonts w:hint="eastAsia" w:ascii="宋体" w:hAnsi="宋体" w:eastAsia="宋体" w:cs="宋体"/>
          <w:color w:val="auto"/>
          <w:sz w:val="21"/>
          <w:szCs w:val="21"/>
          <w:highlight w:val="none"/>
          <w:lang w:val="en-US" w:eastAsia="zh-CN"/>
        </w:rPr>
        <w:t>中进一步约定选择与争议有实际联系的地点的人民法院管辖，但管辖法院的约定不得违反级别管辖和专属管辖的规定。</w:t>
      </w:r>
    </w:p>
    <w:p w14:paraId="404A2EBD">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19.3 如甲乙双方有争议的事项不影响合同其他部分的履行，在争议解决期间，合同其他部分应当继续履行。</w:t>
      </w:r>
    </w:p>
    <w:p w14:paraId="1EE4C3A5">
      <w:pPr>
        <w:autoSpaceDE w:val="0"/>
        <w:autoSpaceDN w:val="0"/>
        <w:adjustRightInd w:val="0"/>
        <w:snapToGrid w:val="0"/>
        <w:spacing w:before="0" w:line="400" w:lineRule="exact"/>
        <w:jc w:val="left"/>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val="en-US" w:eastAsia="zh-CN"/>
        </w:rPr>
        <w:t>20</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政府采购政策</w:t>
      </w:r>
    </w:p>
    <w:p w14:paraId="5E7E62BF">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20.1 </w:t>
      </w:r>
      <w:r>
        <w:rPr>
          <w:rFonts w:hint="eastAsia" w:ascii="宋体" w:hAnsi="宋体" w:eastAsia="宋体" w:cs="宋体"/>
          <w:color w:val="auto"/>
          <w:sz w:val="21"/>
          <w:szCs w:val="21"/>
          <w:highlight w:val="none"/>
          <w:lang w:val="en-GB"/>
        </w:rPr>
        <w:t>本合同应当按照规定执行政府采购政策。</w:t>
      </w:r>
    </w:p>
    <w:p w14:paraId="078691A2">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 xml:space="preserve"> 本合同依法执行政府采购政策的方式和内容，属于合同履约验收的范围。</w:t>
      </w:r>
      <w:r>
        <w:rPr>
          <w:rFonts w:hint="eastAsia" w:ascii="宋体" w:hAnsi="宋体" w:eastAsia="宋体" w:cs="宋体"/>
          <w:color w:val="auto"/>
          <w:sz w:val="21"/>
          <w:szCs w:val="21"/>
          <w:highlight w:val="none"/>
          <w:lang w:eastAsia="zh-CN"/>
        </w:rPr>
        <w:t>甲乙双方</w:t>
      </w:r>
      <w:r>
        <w:rPr>
          <w:rFonts w:hint="eastAsia" w:ascii="宋体" w:hAnsi="宋体" w:eastAsia="宋体" w:cs="宋体"/>
          <w:color w:val="auto"/>
          <w:sz w:val="21"/>
          <w:szCs w:val="21"/>
          <w:highlight w:val="none"/>
          <w:lang w:val="en-GB"/>
        </w:rPr>
        <w:t>未按规定要求执行政府采购政策造成损失的</w:t>
      </w:r>
      <w:r>
        <w:rPr>
          <w:rFonts w:hint="eastAsia" w:ascii="宋体" w:hAnsi="宋体" w:eastAsia="宋体" w:cs="宋体"/>
          <w:color w:val="auto"/>
          <w:sz w:val="21"/>
          <w:szCs w:val="21"/>
          <w:highlight w:val="none"/>
        </w:rPr>
        <w:t>，有过错的一方应当承</w:t>
      </w:r>
      <w:r>
        <w:rPr>
          <w:rFonts w:hint="eastAsia" w:ascii="宋体" w:hAnsi="宋体" w:eastAsia="宋体" w:cs="宋体"/>
          <w:color w:val="auto"/>
          <w:sz w:val="21"/>
          <w:szCs w:val="21"/>
          <w:highlight w:val="none"/>
          <w:lang w:val="en-US" w:eastAsia="zh-CN"/>
        </w:rPr>
        <w:t>担赔偿责任，双方都有过错的，各自承担相应的责任。</w:t>
      </w:r>
    </w:p>
    <w:p w14:paraId="15F6DED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w:t>
      </w:r>
      <w:r>
        <w:rPr>
          <w:rFonts w:hint="eastAsia" w:cs="宋体"/>
          <w:color w:val="auto"/>
          <w:sz w:val="21"/>
          <w:szCs w:val="21"/>
          <w:highlight w:val="none"/>
          <w:lang w:val="en-US" w:eastAsia="zh-CN"/>
        </w:rPr>
        <w:t>体</w:t>
      </w:r>
      <w:r>
        <w:rPr>
          <w:rFonts w:hint="eastAsia" w:ascii="宋体" w:hAnsi="宋体" w:eastAsia="宋体" w:cs="宋体"/>
          <w:color w:val="auto"/>
          <w:sz w:val="21"/>
          <w:szCs w:val="21"/>
          <w:highlight w:val="none"/>
          <w:lang w:val="en-US" w:eastAsia="zh-CN"/>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lang w:val="en-US" w:eastAsia="zh-CN"/>
        </w:rPr>
        <w:t>或者分包意向协议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lang w:val="en-US" w:eastAsia="zh-CN"/>
        </w:rPr>
        <w:t>作为采购合同的组成部分。</w:t>
      </w:r>
    </w:p>
    <w:p w14:paraId="4DDDC0EC">
      <w:p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val="en-US" w:eastAsia="zh-CN"/>
        </w:rPr>
        <w:t>1</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法律适用</w:t>
      </w:r>
    </w:p>
    <w:p w14:paraId="77D8A65D">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21.1 本合同的订立、生效、解释、履行及与本合同有关的争议解决，均适用法律、行政法规。</w:t>
      </w:r>
    </w:p>
    <w:p w14:paraId="0781C6D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21.2 本合同条款与法律、行政法规的强制性规定不一致的，双方当事人应按照法律、行政法规的强制性规定修改本合同的相关条款。</w:t>
      </w:r>
    </w:p>
    <w:p w14:paraId="4D96B473">
      <w:pPr>
        <w:numPr>
          <w:ilvl w:val="-1"/>
          <w:numId w:val="0"/>
        </w:num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 xml:space="preserve">22. </w:t>
      </w:r>
      <w:r>
        <w:rPr>
          <w:rFonts w:hint="eastAsia" w:ascii="宋体" w:hAnsi="宋体" w:eastAsia="宋体" w:cs="宋体"/>
          <w:b/>
          <w:color w:val="auto"/>
          <w:sz w:val="21"/>
          <w:szCs w:val="21"/>
          <w:highlight w:val="none"/>
        </w:rPr>
        <w:t>通知</w:t>
      </w:r>
    </w:p>
    <w:p w14:paraId="02B583B6">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22.1 本合同任何一方向对方发出的通知、信件、数据电文等，应当发送至本合同第一部分《政府采购合同协议书》所约定的通讯地址、联系人、联系电话或电子邮箱。</w:t>
      </w:r>
    </w:p>
    <w:p w14:paraId="6221716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22.2 一方当事人变更名称、住所、联系人、联系电话或电子邮箱等信息的，应当在变更后3日内及时书面通知对方，对方实际收到变更通知前的送达仍为有效送达。</w:t>
      </w:r>
    </w:p>
    <w:p w14:paraId="6F20297A">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22.3本合同一方给另一方的通知均应采用书面形式，传真或快递送到本合</w:t>
      </w:r>
      <w:r>
        <w:rPr>
          <w:rFonts w:hint="eastAsia" w:ascii="宋体" w:hAnsi="宋体" w:eastAsia="宋体" w:cs="宋体"/>
          <w:color w:val="auto"/>
          <w:sz w:val="21"/>
          <w:szCs w:val="21"/>
          <w:highlight w:val="none"/>
        </w:rPr>
        <w:t>同中规定的对方的地址和办理签收手续。</w:t>
      </w:r>
    </w:p>
    <w:p w14:paraId="4579FC6E">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通知以送达之日或通知书中规定的生效之日起生效，两者中以较迟之日为准。</w:t>
      </w:r>
    </w:p>
    <w:p w14:paraId="4A5EC7F9">
      <w:pPr>
        <w:numPr>
          <w:ilvl w:val="0"/>
          <w:numId w:val="13"/>
        </w:num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合同未尽事项</w:t>
      </w:r>
    </w:p>
    <w:p w14:paraId="1776E49F">
      <w:pPr>
        <w:adjustRightInd w:val="0"/>
        <w:snapToGrid w:val="0"/>
        <w:spacing w:before="0" w:line="4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.1合同未尽事项见</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w:t>
      </w:r>
    </w:p>
    <w:p w14:paraId="332543E9">
      <w:pPr>
        <w:adjustRightInd w:val="0"/>
        <w:snapToGrid w:val="0"/>
        <w:spacing w:line="400" w:lineRule="exact"/>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 xml:space="preserve">    23.2 合同附件与合同正文具有同等的法律效力。</w:t>
      </w:r>
      <w:bookmarkStart w:id="679" w:name="_Toc20313"/>
    </w:p>
    <w:p w14:paraId="7C5346BC">
      <w:pPr>
        <w:adjustRightInd w:val="0"/>
        <w:snapToGrid w:val="0"/>
        <w:jc w:val="center"/>
        <w:rPr>
          <w:rFonts w:hint="eastAsia"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br w:type="page"/>
      </w:r>
    </w:p>
    <w:p w14:paraId="3F5074B6">
      <w:pPr>
        <w:pStyle w:val="4"/>
        <w:keepNext/>
        <w:keepLines/>
        <w:pageBreakBefore w:val="0"/>
        <w:widowControl w:val="0"/>
        <w:kinsoku/>
        <w:wordWrap/>
        <w:overflowPunct/>
        <w:topLinePunct w:val="0"/>
        <w:autoSpaceDE/>
        <w:autoSpaceDN/>
        <w:bidi w:val="0"/>
        <w:adjustRightInd w:val="0"/>
        <w:snapToGrid w:val="0"/>
        <w:spacing w:before="156" w:beforeLines="50" w:after="157" w:afterLines="50" w:line="240" w:lineRule="auto"/>
        <w:jc w:val="center"/>
        <w:textAlignment w:val="auto"/>
        <w:rPr>
          <w:rFonts w:hint="eastAsia" w:ascii="宋体" w:hAnsi="宋体" w:eastAsia="宋体" w:cs="宋体"/>
          <w:b/>
          <w:bCs/>
          <w:color w:val="auto"/>
          <w:sz w:val="36"/>
          <w:szCs w:val="36"/>
          <w:highlight w:val="none"/>
        </w:rPr>
      </w:pPr>
      <w:bookmarkStart w:id="680" w:name="_Toc144"/>
      <w:r>
        <w:rPr>
          <w:rFonts w:hint="eastAsia" w:ascii="宋体" w:hAnsi="宋体" w:eastAsia="宋体" w:cs="宋体"/>
          <w:b/>
          <w:bCs/>
          <w:color w:val="auto"/>
          <w:sz w:val="36"/>
          <w:szCs w:val="36"/>
          <w:highlight w:val="none"/>
        </w:rPr>
        <w:t>第三节 政府采购合同专用条款</w:t>
      </w:r>
      <w:bookmarkEnd w:id="679"/>
      <w:bookmarkEnd w:id="680"/>
    </w:p>
    <w:tbl>
      <w:tblPr>
        <w:tblStyle w:val="31"/>
        <w:tblW w:w="8256" w:type="dxa"/>
        <w:tblInd w:w="272"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07"/>
        <w:gridCol w:w="2233"/>
        <w:gridCol w:w="4316"/>
      </w:tblGrid>
      <w:tr w14:paraId="267507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2DB7081F">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0EADDA0F">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第1.2（</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2233" w:type="dxa"/>
            <w:vAlign w:val="center"/>
          </w:tcPr>
          <w:p w14:paraId="5FE396F1">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lang w:eastAsia="zh-CN"/>
              </w:rPr>
              <w:t>联合体具体要求</w:t>
            </w:r>
          </w:p>
        </w:tc>
        <w:tc>
          <w:tcPr>
            <w:tcW w:w="4316" w:type="dxa"/>
            <w:vAlign w:val="center"/>
          </w:tcPr>
          <w:p w14:paraId="0CAEE7E4">
            <w:pPr>
              <w:adjustRightInd w:val="0"/>
              <w:snapToGrid w:val="0"/>
              <w:jc w:val="left"/>
              <w:rPr>
                <w:rFonts w:ascii="宋体" w:hAnsi="宋体"/>
                <w:color w:val="auto"/>
                <w:szCs w:val="21"/>
                <w:highlight w:val="none"/>
              </w:rPr>
            </w:pPr>
          </w:p>
        </w:tc>
      </w:tr>
      <w:tr w14:paraId="02A6B47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07" w:type="dxa"/>
            <w:vAlign w:val="center"/>
          </w:tcPr>
          <w:p w14:paraId="173F44F4">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4098608A">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第1.2（</w:t>
            </w:r>
            <w:r>
              <w:rPr>
                <w:rFonts w:hint="eastAsia" w:ascii="宋体" w:hAnsi="宋体"/>
                <w:color w:val="auto"/>
                <w:szCs w:val="21"/>
                <w:highlight w:val="none"/>
                <w:lang w:val="en-US" w:eastAsia="zh-CN"/>
              </w:rPr>
              <w:t>7</w:t>
            </w:r>
            <w:r>
              <w:rPr>
                <w:rFonts w:hint="eastAsia" w:ascii="宋体" w:hAnsi="宋体"/>
                <w:color w:val="auto"/>
                <w:szCs w:val="21"/>
                <w:highlight w:val="none"/>
              </w:rPr>
              <w:t>）项</w:t>
            </w:r>
          </w:p>
        </w:tc>
        <w:tc>
          <w:tcPr>
            <w:tcW w:w="2233" w:type="dxa"/>
            <w:vAlign w:val="center"/>
          </w:tcPr>
          <w:p w14:paraId="2ECD481F">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其他术语解释</w:t>
            </w:r>
          </w:p>
        </w:tc>
        <w:tc>
          <w:tcPr>
            <w:tcW w:w="4316" w:type="dxa"/>
            <w:vAlign w:val="center"/>
          </w:tcPr>
          <w:p w14:paraId="0BD8D8FD">
            <w:pPr>
              <w:adjustRightInd w:val="0"/>
              <w:snapToGrid w:val="0"/>
              <w:jc w:val="left"/>
              <w:rPr>
                <w:rFonts w:ascii="宋体" w:hAnsi="宋体" w:eastAsia="宋体" w:cs="Times New Roman"/>
                <w:color w:val="auto"/>
                <w:kern w:val="2"/>
                <w:sz w:val="21"/>
                <w:szCs w:val="21"/>
                <w:highlight w:val="none"/>
                <w:lang w:val="en-US" w:eastAsia="zh-CN" w:bidi="ar-SA"/>
              </w:rPr>
            </w:pPr>
          </w:p>
        </w:tc>
      </w:tr>
      <w:tr w14:paraId="2FFA10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53AB415E">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1E31FC3E">
            <w:pPr>
              <w:keepNext w:val="0"/>
              <w:keepLines w:val="0"/>
              <w:pageBreakBefore w:val="0"/>
              <w:kinsoku/>
              <w:wordWrap/>
              <w:overflowPunct/>
              <w:topLinePunct w:val="0"/>
              <w:bidi w:val="0"/>
              <w:adjustRightInd w:val="0"/>
              <w:snapToGrid w:val="0"/>
              <w:spacing w:line="240" w:lineRule="auto"/>
              <w:jc w:val="center"/>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4.4款</w:t>
            </w:r>
          </w:p>
        </w:tc>
        <w:tc>
          <w:tcPr>
            <w:tcW w:w="2233" w:type="dxa"/>
            <w:vAlign w:val="center"/>
          </w:tcPr>
          <w:p w14:paraId="4F86094C">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履约验收中甲方提出异议或作出说明的期限</w:t>
            </w:r>
          </w:p>
        </w:tc>
        <w:tc>
          <w:tcPr>
            <w:tcW w:w="4316" w:type="dxa"/>
            <w:vAlign w:val="center"/>
          </w:tcPr>
          <w:p w14:paraId="237B690C">
            <w:pPr>
              <w:adjustRightInd w:val="0"/>
              <w:snapToGrid w:val="0"/>
              <w:jc w:val="left"/>
              <w:rPr>
                <w:rFonts w:ascii="宋体" w:hAnsi="宋体" w:eastAsia="宋体" w:cs="Times New Roman"/>
                <w:color w:val="auto"/>
                <w:kern w:val="2"/>
                <w:sz w:val="21"/>
                <w:szCs w:val="21"/>
                <w:highlight w:val="none"/>
                <w:lang w:val="en-US" w:eastAsia="zh-CN" w:bidi="ar-SA"/>
              </w:rPr>
            </w:pPr>
          </w:p>
        </w:tc>
      </w:tr>
      <w:tr w14:paraId="632152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7A9DB471">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675BCC22">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4.6款</w:t>
            </w:r>
          </w:p>
        </w:tc>
        <w:tc>
          <w:tcPr>
            <w:tcW w:w="2233" w:type="dxa"/>
            <w:vAlign w:val="center"/>
          </w:tcPr>
          <w:p w14:paraId="5DF6184D">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约定甲方承担的其他义务和责任</w:t>
            </w:r>
          </w:p>
        </w:tc>
        <w:tc>
          <w:tcPr>
            <w:tcW w:w="4316" w:type="dxa"/>
            <w:vAlign w:val="center"/>
          </w:tcPr>
          <w:p w14:paraId="5B558C36">
            <w:pPr>
              <w:adjustRightInd w:val="0"/>
              <w:snapToGrid w:val="0"/>
              <w:jc w:val="left"/>
              <w:rPr>
                <w:rFonts w:ascii="宋体" w:hAnsi="宋体" w:eastAsia="宋体" w:cs="Times New Roman"/>
                <w:color w:val="auto"/>
                <w:kern w:val="2"/>
                <w:sz w:val="21"/>
                <w:szCs w:val="21"/>
                <w:highlight w:val="none"/>
                <w:lang w:val="en-US" w:eastAsia="zh-CN" w:bidi="ar-SA"/>
              </w:rPr>
            </w:pPr>
          </w:p>
        </w:tc>
      </w:tr>
      <w:tr w14:paraId="58E922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1FC7872C">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0599EE97">
            <w:pPr>
              <w:keepNext w:val="0"/>
              <w:keepLines w:val="0"/>
              <w:pageBreakBefore w:val="0"/>
              <w:kinsoku/>
              <w:wordWrap/>
              <w:overflowPunct/>
              <w:topLinePunct w:val="0"/>
              <w:bidi w:val="0"/>
              <w:snapToGrid w:val="0"/>
              <w:spacing w:line="240" w:lineRule="auto"/>
              <w:jc w:val="center"/>
              <w:textAlignment w:val="auto"/>
              <w:rPr>
                <w:rFonts w:hint="default"/>
                <w:color w:val="auto"/>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5.4款</w:t>
            </w:r>
          </w:p>
        </w:tc>
        <w:tc>
          <w:tcPr>
            <w:tcW w:w="2233" w:type="dxa"/>
            <w:vAlign w:val="center"/>
          </w:tcPr>
          <w:p w14:paraId="4D94B515">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约定乙方承担的其他义务和责任</w:t>
            </w:r>
          </w:p>
        </w:tc>
        <w:tc>
          <w:tcPr>
            <w:tcW w:w="4316" w:type="dxa"/>
            <w:vAlign w:val="center"/>
          </w:tcPr>
          <w:p w14:paraId="1EEA1A78">
            <w:pPr>
              <w:adjustRightInd w:val="0"/>
              <w:snapToGrid w:val="0"/>
              <w:jc w:val="left"/>
              <w:rPr>
                <w:rFonts w:ascii="宋体" w:hAnsi="宋体" w:eastAsia="宋体" w:cs="Times New Roman"/>
                <w:color w:val="auto"/>
                <w:kern w:val="2"/>
                <w:sz w:val="21"/>
                <w:szCs w:val="21"/>
                <w:highlight w:val="none"/>
                <w:lang w:val="en-US" w:eastAsia="zh-CN" w:bidi="ar-SA"/>
              </w:rPr>
            </w:pPr>
          </w:p>
        </w:tc>
      </w:tr>
      <w:tr w14:paraId="2B538E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532FAE66">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17183B86">
            <w:pPr>
              <w:keepNext w:val="0"/>
              <w:keepLines w:val="0"/>
              <w:pageBreakBefore w:val="0"/>
              <w:kinsoku/>
              <w:wordWrap/>
              <w:overflowPunct/>
              <w:topLinePunct w:val="0"/>
              <w:bidi w:val="0"/>
              <w:snapToGrid w:val="0"/>
              <w:spacing w:line="240" w:lineRule="auto"/>
              <w:jc w:val="center"/>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6.1款</w:t>
            </w:r>
          </w:p>
        </w:tc>
        <w:tc>
          <w:tcPr>
            <w:tcW w:w="2233" w:type="dxa"/>
            <w:vAlign w:val="center"/>
          </w:tcPr>
          <w:p w14:paraId="62601F39">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履行合同义务的顺序</w:t>
            </w:r>
          </w:p>
        </w:tc>
        <w:tc>
          <w:tcPr>
            <w:tcW w:w="4316" w:type="dxa"/>
            <w:vAlign w:val="center"/>
          </w:tcPr>
          <w:p w14:paraId="7410CCA4">
            <w:pPr>
              <w:adjustRightInd w:val="0"/>
              <w:snapToGrid w:val="0"/>
              <w:jc w:val="left"/>
              <w:rPr>
                <w:rFonts w:ascii="宋体" w:hAnsi="宋体" w:eastAsia="宋体" w:cs="Times New Roman"/>
                <w:color w:val="auto"/>
                <w:kern w:val="2"/>
                <w:sz w:val="21"/>
                <w:szCs w:val="21"/>
                <w:highlight w:val="none"/>
                <w:lang w:val="en-US" w:eastAsia="zh-CN" w:bidi="ar-SA"/>
              </w:rPr>
            </w:pPr>
          </w:p>
        </w:tc>
      </w:tr>
      <w:tr w14:paraId="32A444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07" w:type="dxa"/>
            <w:vMerge w:val="restart"/>
            <w:vAlign w:val="center"/>
          </w:tcPr>
          <w:p w14:paraId="15DF615B">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6881C524">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.1</w:t>
            </w:r>
            <w:r>
              <w:rPr>
                <w:rFonts w:hint="eastAsia" w:ascii="宋体" w:hAnsi="宋体"/>
                <w:color w:val="auto"/>
                <w:szCs w:val="21"/>
                <w:highlight w:val="none"/>
                <w:lang w:val="en-US" w:eastAsia="zh-CN"/>
              </w:rPr>
              <w:t>款</w:t>
            </w:r>
          </w:p>
        </w:tc>
        <w:tc>
          <w:tcPr>
            <w:tcW w:w="2233" w:type="dxa"/>
            <w:vAlign w:val="center"/>
          </w:tcPr>
          <w:p w14:paraId="00425EE9">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包装</w:t>
            </w:r>
            <w:r>
              <w:rPr>
                <w:rFonts w:hint="eastAsia" w:ascii="宋体" w:hAnsi="宋体"/>
                <w:color w:val="auto"/>
                <w:szCs w:val="21"/>
                <w:highlight w:val="none"/>
                <w:lang w:eastAsia="zh-CN"/>
              </w:rPr>
              <w:t>特殊要求</w:t>
            </w:r>
          </w:p>
        </w:tc>
        <w:tc>
          <w:tcPr>
            <w:tcW w:w="4316" w:type="dxa"/>
            <w:vAlign w:val="center"/>
          </w:tcPr>
          <w:p w14:paraId="3694B338">
            <w:pPr>
              <w:rPr>
                <w:color w:val="auto"/>
                <w:highlight w:val="none"/>
              </w:rPr>
            </w:pPr>
          </w:p>
        </w:tc>
      </w:tr>
      <w:tr w14:paraId="6A47A3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07" w:type="dxa"/>
            <w:vMerge w:val="continue"/>
            <w:vAlign w:val="center"/>
          </w:tcPr>
          <w:p w14:paraId="7896138A">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p>
        </w:tc>
        <w:tc>
          <w:tcPr>
            <w:tcW w:w="2233" w:type="dxa"/>
            <w:vAlign w:val="center"/>
          </w:tcPr>
          <w:p w14:paraId="20626CAF">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指定现场</w:t>
            </w:r>
          </w:p>
        </w:tc>
        <w:tc>
          <w:tcPr>
            <w:tcW w:w="4316" w:type="dxa"/>
            <w:vAlign w:val="center"/>
          </w:tcPr>
          <w:p w14:paraId="19BEE7A3">
            <w:pPr>
              <w:rPr>
                <w:rFonts w:hint="eastAsia"/>
                <w:color w:val="auto"/>
                <w:highlight w:val="none"/>
              </w:rPr>
            </w:pPr>
          </w:p>
        </w:tc>
      </w:tr>
      <w:tr w14:paraId="5A3F96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07" w:type="dxa"/>
            <w:vAlign w:val="center"/>
          </w:tcPr>
          <w:p w14:paraId="065C74FA">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5690E34D">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2233" w:type="dxa"/>
            <w:vAlign w:val="center"/>
          </w:tcPr>
          <w:p w14:paraId="04141831">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运输特殊要求</w:t>
            </w:r>
          </w:p>
        </w:tc>
        <w:tc>
          <w:tcPr>
            <w:tcW w:w="4316" w:type="dxa"/>
            <w:vAlign w:val="center"/>
          </w:tcPr>
          <w:p w14:paraId="353A3E17">
            <w:pPr>
              <w:rPr>
                <w:rFonts w:hint="eastAsia"/>
                <w:color w:val="auto"/>
                <w:highlight w:val="none"/>
              </w:rPr>
            </w:pPr>
          </w:p>
        </w:tc>
      </w:tr>
      <w:tr w14:paraId="2CF651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07" w:type="dxa"/>
            <w:vAlign w:val="center"/>
          </w:tcPr>
          <w:p w14:paraId="42E89B4D">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2D65CF60">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.3</w:t>
            </w:r>
            <w:r>
              <w:rPr>
                <w:rFonts w:hint="eastAsia" w:ascii="宋体" w:hAnsi="宋体"/>
                <w:color w:val="auto"/>
                <w:szCs w:val="21"/>
                <w:highlight w:val="none"/>
                <w:lang w:val="en-US" w:eastAsia="zh-CN"/>
              </w:rPr>
              <w:t>款</w:t>
            </w:r>
          </w:p>
        </w:tc>
        <w:tc>
          <w:tcPr>
            <w:tcW w:w="2233" w:type="dxa"/>
            <w:vAlign w:val="center"/>
          </w:tcPr>
          <w:p w14:paraId="75CDC4EC">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保险要求</w:t>
            </w:r>
          </w:p>
        </w:tc>
        <w:tc>
          <w:tcPr>
            <w:tcW w:w="4316" w:type="dxa"/>
            <w:vAlign w:val="center"/>
          </w:tcPr>
          <w:p w14:paraId="0E9BEF29">
            <w:pPr>
              <w:rPr>
                <w:rFonts w:hint="eastAsia"/>
                <w:color w:val="auto"/>
                <w:highlight w:val="none"/>
              </w:rPr>
            </w:pPr>
          </w:p>
        </w:tc>
      </w:tr>
      <w:tr w14:paraId="1FBE24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0764B232">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4A611543">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.2（1）项</w:t>
            </w:r>
          </w:p>
        </w:tc>
        <w:tc>
          <w:tcPr>
            <w:tcW w:w="2233" w:type="dxa"/>
            <w:vAlign w:val="center"/>
          </w:tcPr>
          <w:p w14:paraId="3392AF86">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质量保证期</w:t>
            </w:r>
          </w:p>
        </w:tc>
        <w:tc>
          <w:tcPr>
            <w:tcW w:w="4316" w:type="dxa"/>
            <w:vAlign w:val="center"/>
          </w:tcPr>
          <w:p w14:paraId="74113B72">
            <w:pPr>
              <w:autoSpaceDE w:val="0"/>
              <w:autoSpaceDN w:val="0"/>
              <w:adjustRightInd w:val="0"/>
              <w:snapToGrid w:val="0"/>
              <w:ind w:firstLine="400" w:firstLineChars="200"/>
              <w:jc w:val="left"/>
              <w:rPr>
                <w:rFonts w:ascii="宋体" w:hAnsi="宋体"/>
                <w:color w:val="auto"/>
                <w:szCs w:val="21"/>
                <w:highlight w:val="none"/>
              </w:rPr>
            </w:pPr>
          </w:p>
        </w:tc>
      </w:tr>
      <w:tr w14:paraId="4A7F95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4CD74A73">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41064226">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.2（3）项</w:t>
            </w:r>
          </w:p>
        </w:tc>
        <w:tc>
          <w:tcPr>
            <w:tcW w:w="2233" w:type="dxa"/>
            <w:vAlign w:val="center"/>
          </w:tcPr>
          <w:p w14:paraId="7A62DE3A">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货物质量缺陷</w:t>
            </w:r>
          </w:p>
          <w:p w14:paraId="1EC14C95">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响应时间</w:t>
            </w:r>
          </w:p>
        </w:tc>
        <w:tc>
          <w:tcPr>
            <w:tcW w:w="4316" w:type="dxa"/>
            <w:vAlign w:val="center"/>
          </w:tcPr>
          <w:p w14:paraId="2A52495B">
            <w:pPr>
              <w:adjustRightInd w:val="0"/>
              <w:snapToGrid w:val="0"/>
              <w:jc w:val="left"/>
              <w:rPr>
                <w:rFonts w:ascii="宋体" w:hAnsi="宋体"/>
                <w:color w:val="auto"/>
                <w:szCs w:val="21"/>
                <w:highlight w:val="none"/>
              </w:rPr>
            </w:pPr>
          </w:p>
        </w:tc>
      </w:tr>
      <w:tr w14:paraId="59FF9C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35EA8AE2">
            <w:pPr>
              <w:keepNext w:val="0"/>
              <w:keepLines w:val="0"/>
              <w:pageBreakBefore w:val="0"/>
              <w:kinsoku/>
              <w:wordWrap/>
              <w:overflowPunct/>
              <w:topLinePunct w:val="0"/>
              <w:bidi w:val="0"/>
              <w:snapToGrid w:val="0"/>
              <w:spacing w:line="240" w:lineRule="auto"/>
              <w:jc w:val="center"/>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第二节</w:t>
            </w:r>
          </w:p>
          <w:p w14:paraId="668B64F8">
            <w:pPr>
              <w:pStyle w:val="37"/>
              <w:keepNext w:val="0"/>
              <w:keepLines w:val="0"/>
              <w:pageBreakBefore w:val="0"/>
              <w:kinsoku/>
              <w:wordWrap/>
              <w:overflowPunct/>
              <w:topLinePunct w:val="0"/>
              <w:bidi w:val="0"/>
              <w:spacing w:line="240" w:lineRule="auto"/>
              <w:ind w:firstLine="0" w:firstLineChars="0"/>
              <w:jc w:val="center"/>
              <w:textAlignment w:val="auto"/>
              <w:rPr>
                <w:rFonts w:hint="default"/>
                <w:color w:val="auto"/>
                <w:highlight w:val="none"/>
                <w:lang w:val="en-US" w:eastAsia="zh-CN"/>
              </w:rPr>
            </w:pPr>
            <w:r>
              <w:rPr>
                <w:rFonts w:hint="eastAsia" w:ascii="宋体" w:hAnsi="宋体" w:eastAsia="宋体" w:cs="宋体"/>
                <w:color w:val="auto"/>
                <w:szCs w:val="21"/>
                <w:highlight w:val="none"/>
                <w:lang w:val="en-US" w:eastAsia="zh-CN"/>
              </w:rPr>
              <w:t>第11.1款</w:t>
            </w:r>
          </w:p>
        </w:tc>
        <w:tc>
          <w:tcPr>
            <w:tcW w:w="2233" w:type="dxa"/>
            <w:vAlign w:val="center"/>
          </w:tcPr>
          <w:p w14:paraId="21EDE87D">
            <w:pPr>
              <w:keepNext w:val="0"/>
              <w:keepLines w:val="0"/>
              <w:pageBreakBefore w:val="0"/>
              <w:kinsoku/>
              <w:wordWrap/>
              <w:overflowPunct/>
              <w:topLinePunct w:val="0"/>
              <w:bidi w:val="0"/>
              <w:adjustRightInd w:val="0"/>
              <w:snapToGrid w:val="0"/>
              <w:spacing w:line="240" w:lineRule="auto"/>
              <w:jc w:val="both"/>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其他应当保密的信息</w:t>
            </w:r>
          </w:p>
        </w:tc>
        <w:tc>
          <w:tcPr>
            <w:tcW w:w="4316" w:type="dxa"/>
            <w:vAlign w:val="center"/>
          </w:tcPr>
          <w:p w14:paraId="78E7A6D8">
            <w:pPr>
              <w:adjustRightInd w:val="0"/>
              <w:snapToGrid w:val="0"/>
              <w:jc w:val="left"/>
              <w:rPr>
                <w:rFonts w:ascii="宋体" w:hAnsi="宋体"/>
                <w:color w:val="auto"/>
                <w:szCs w:val="21"/>
                <w:highlight w:val="none"/>
              </w:rPr>
            </w:pPr>
          </w:p>
        </w:tc>
      </w:tr>
      <w:tr w14:paraId="3C1B3F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07" w:type="dxa"/>
            <w:vAlign w:val="center"/>
          </w:tcPr>
          <w:p w14:paraId="45EAA1D8">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3ED786D1">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2</w:t>
            </w:r>
            <w:r>
              <w:rPr>
                <w:rFonts w:hint="eastAsia" w:ascii="宋体" w:hAnsi="宋体"/>
                <w:color w:val="auto"/>
                <w:szCs w:val="21"/>
                <w:highlight w:val="none"/>
              </w:rPr>
              <w:t>.2款</w:t>
            </w:r>
          </w:p>
        </w:tc>
        <w:tc>
          <w:tcPr>
            <w:tcW w:w="2233" w:type="dxa"/>
            <w:vAlign w:val="center"/>
          </w:tcPr>
          <w:p w14:paraId="64A177C1">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合同价款支付</w:t>
            </w:r>
            <w:r>
              <w:rPr>
                <w:rFonts w:hint="eastAsia" w:ascii="宋体" w:hAnsi="宋体"/>
                <w:color w:val="auto"/>
                <w:szCs w:val="21"/>
                <w:highlight w:val="none"/>
                <w:lang w:eastAsia="zh-CN"/>
              </w:rPr>
              <w:t>时间</w:t>
            </w:r>
          </w:p>
        </w:tc>
        <w:tc>
          <w:tcPr>
            <w:tcW w:w="4316" w:type="dxa"/>
            <w:vAlign w:val="center"/>
          </w:tcPr>
          <w:p w14:paraId="19ACE1AC">
            <w:pPr>
              <w:adjustRightInd w:val="0"/>
              <w:snapToGrid w:val="0"/>
              <w:jc w:val="left"/>
              <w:rPr>
                <w:rFonts w:ascii="宋体" w:hAnsi="宋体"/>
                <w:color w:val="auto"/>
                <w:szCs w:val="21"/>
                <w:highlight w:val="none"/>
              </w:rPr>
            </w:pPr>
          </w:p>
        </w:tc>
      </w:tr>
      <w:tr w14:paraId="7F0855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07" w:type="dxa"/>
            <w:vAlign w:val="center"/>
          </w:tcPr>
          <w:p w14:paraId="7E532211">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第二节</w:t>
            </w:r>
          </w:p>
          <w:p w14:paraId="57A60EC6">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13.2</w:t>
            </w:r>
            <w:r>
              <w:rPr>
                <w:rFonts w:hint="eastAsia" w:ascii="宋体" w:hAnsi="宋体"/>
                <w:color w:val="auto"/>
                <w:szCs w:val="21"/>
                <w:highlight w:val="none"/>
              </w:rPr>
              <w:t>款</w:t>
            </w:r>
          </w:p>
        </w:tc>
        <w:tc>
          <w:tcPr>
            <w:tcW w:w="2233" w:type="dxa"/>
            <w:vAlign w:val="center"/>
          </w:tcPr>
          <w:p w14:paraId="55BFCEBB">
            <w:pPr>
              <w:keepNext w:val="0"/>
              <w:keepLines w:val="0"/>
              <w:pageBreakBefore w:val="0"/>
              <w:kinsoku/>
              <w:wordWrap/>
              <w:overflowPunct/>
              <w:topLinePunct w:val="0"/>
              <w:bidi w:val="0"/>
              <w:adjustRightInd w:val="0"/>
              <w:snapToGrid w:val="0"/>
              <w:spacing w:line="240" w:lineRule="auto"/>
              <w:jc w:val="left"/>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履约保证金不予退还的情形</w:t>
            </w:r>
          </w:p>
        </w:tc>
        <w:tc>
          <w:tcPr>
            <w:tcW w:w="4316" w:type="dxa"/>
            <w:vAlign w:val="center"/>
          </w:tcPr>
          <w:p w14:paraId="3B059075">
            <w:pPr>
              <w:adjustRightInd w:val="0"/>
              <w:snapToGrid w:val="0"/>
              <w:jc w:val="left"/>
              <w:rPr>
                <w:rFonts w:ascii="宋体" w:hAnsi="宋体"/>
                <w:color w:val="auto"/>
                <w:szCs w:val="21"/>
                <w:highlight w:val="none"/>
              </w:rPr>
            </w:pPr>
          </w:p>
        </w:tc>
      </w:tr>
      <w:tr w14:paraId="2B3DCD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387699EE">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第二节</w:t>
            </w:r>
          </w:p>
          <w:p w14:paraId="4B032476">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13.3</w:t>
            </w:r>
            <w:r>
              <w:rPr>
                <w:rFonts w:hint="eastAsia" w:ascii="宋体" w:hAnsi="宋体"/>
                <w:color w:val="auto"/>
                <w:szCs w:val="21"/>
                <w:highlight w:val="none"/>
              </w:rPr>
              <w:t>款</w:t>
            </w:r>
          </w:p>
        </w:tc>
        <w:tc>
          <w:tcPr>
            <w:tcW w:w="2233" w:type="dxa"/>
            <w:vAlign w:val="center"/>
          </w:tcPr>
          <w:p w14:paraId="54040FA1">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履约保证金退还时间及</w:t>
            </w:r>
            <w:r>
              <w:rPr>
                <w:rFonts w:hint="eastAsia" w:ascii="宋体" w:hAnsi="宋体"/>
                <w:color w:val="auto"/>
                <w:szCs w:val="21"/>
                <w:highlight w:val="none"/>
                <w:lang w:eastAsia="zh-CN"/>
              </w:rPr>
              <w:t>逾期退还的</w:t>
            </w:r>
            <w:r>
              <w:rPr>
                <w:rFonts w:hint="eastAsia" w:ascii="宋体" w:hAnsi="宋体"/>
                <w:color w:val="auto"/>
                <w:szCs w:val="21"/>
                <w:highlight w:val="none"/>
              </w:rPr>
              <w:t>违约金</w:t>
            </w:r>
          </w:p>
        </w:tc>
        <w:tc>
          <w:tcPr>
            <w:tcW w:w="4316" w:type="dxa"/>
            <w:vAlign w:val="center"/>
          </w:tcPr>
          <w:p w14:paraId="347592D5">
            <w:pPr>
              <w:adjustRightInd w:val="0"/>
              <w:snapToGrid w:val="0"/>
              <w:jc w:val="left"/>
              <w:rPr>
                <w:rFonts w:ascii="宋体" w:hAnsi="宋体"/>
                <w:color w:val="auto"/>
                <w:szCs w:val="21"/>
                <w:highlight w:val="none"/>
              </w:rPr>
            </w:pPr>
          </w:p>
        </w:tc>
      </w:tr>
      <w:tr w14:paraId="5AAB91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07" w:type="dxa"/>
            <w:vAlign w:val="center"/>
          </w:tcPr>
          <w:p w14:paraId="72BEAD95">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71C710BD">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3</w:t>
            </w:r>
            <w:r>
              <w:rPr>
                <w:rFonts w:hint="eastAsia" w:ascii="宋体" w:hAnsi="宋体"/>
                <w:color w:val="auto"/>
                <w:szCs w:val="21"/>
                <w:highlight w:val="none"/>
              </w:rPr>
              <w:t>）项</w:t>
            </w:r>
          </w:p>
        </w:tc>
        <w:tc>
          <w:tcPr>
            <w:tcW w:w="2233" w:type="dxa"/>
            <w:vAlign w:val="center"/>
          </w:tcPr>
          <w:p w14:paraId="6DA2DA84">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运行监督、维修期限</w:t>
            </w:r>
          </w:p>
        </w:tc>
        <w:tc>
          <w:tcPr>
            <w:tcW w:w="4316" w:type="dxa"/>
            <w:vAlign w:val="center"/>
          </w:tcPr>
          <w:p w14:paraId="50D906D6">
            <w:pPr>
              <w:adjustRightInd w:val="0"/>
              <w:snapToGrid w:val="0"/>
              <w:jc w:val="left"/>
              <w:rPr>
                <w:rFonts w:ascii="宋体" w:hAnsi="宋体"/>
                <w:color w:val="auto"/>
                <w:szCs w:val="21"/>
                <w:highlight w:val="none"/>
              </w:rPr>
            </w:pPr>
          </w:p>
        </w:tc>
      </w:tr>
      <w:tr w14:paraId="552EA0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07" w:type="dxa"/>
            <w:vAlign w:val="center"/>
          </w:tcPr>
          <w:p w14:paraId="3E35BD08">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1F30CB9D">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5</w:t>
            </w:r>
            <w:r>
              <w:rPr>
                <w:rFonts w:hint="eastAsia" w:ascii="宋体" w:hAnsi="宋体"/>
                <w:color w:val="auto"/>
                <w:szCs w:val="21"/>
                <w:highlight w:val="none"/>
              </w:rPr>
              <w:t>）项</w:t>
            </w:r>
          </w:p>
        </w:tc>
        <w:tc>
          <w:tcPr>
            <w:tcW w:w="2233" w:type="dxa"/>
            <w:vAlign w:val="center"/>
          </w:tcPr>
          <w:p w14:paraId="3B13D05A">
            <w:pPr>
              <w:keepNext w:val="0"/>
              <w:keepLines w:val="0"/>
              <w:pageBreakBefore w:val="0"/>
              <w:kinsoku/>
              <w:wordWrap/>
              <w:overflowPunct/>
              <w:topLinePunct w:val="0"/>
              <w:bidi w:val="0"/>
              <w:adjustRightInd w:val="0"/>
              <w:snapToGrid w:val="0"/>
              <w:spacing w:line="240" w:lineRule="auto"/>
              <w:jc w:val="left"/>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货物回收的约定</w:t>
            </w:r>
          </w:p>
        </w:tc>
        <w:tc>
          <w:tcPr>
            <w:tcW w:w="4316" w:type="dxa"/>
            <w:vAlign w:val="center"/>
          </w:tcPr>
          <w:p w14:paraId="3F6BFC2D">
            <w:pPr>
              <w:adjustRightInd w:val="0"/>
              <w:snapToGrid w:val="0"/>
              <w:jc w:val="left"/>
              <w:rPr>
                <w:rFonts w:ascii="宋体" w:hAnsi="宋体"/>
                <w:color w:val="auto"/>
                <w:szCs w:val="21"/>
                <w:highlight w:val="none"/>
              </w:rPr>
            </w:pPr>
          </w:p>
        </w:tc>
      </w:tr>
      <w:tr w14:paraId="7599E6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41B304A7">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50C862B0">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2233" w:type="dxa"/>
            <w:vAlign w:val="center"/>
          </w:tcPr>
          <w:p w14:paraId="408D4E8A">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乙方提供的其他服务</w:t>
            </w:r>
          </w:p>
        </w:tc>
        <w:tc>
          <w:tcPr>
            <w:tcW w:w="4316" w:type="dxa"/>
            <w:vAlign w:val="center"/>
          </w:tcPr>
          <w:p w14:paraId="2C32E2AE">
            <w:pPr>
              <w:adjustRightInd w:val="0"/>
              <w:snapToGrid w:val="0"/>
              <w:jc w:val="left"/>
              <w:rPr>
                <w:rFonts w:ascii="宋体" w:hAnsi="宋体"/>
                <w:color w:val="auto"/>
                <w:szCs w:val="21"/>
                <w:highlight w:val="none"/>
              </w:rPr>
            </w:pPr>
          </w:p>
        </w:tc>
      </w:tr>
      <w:tr w14:paraId="690BEE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399DC64E">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6B2E6050">
            <w:pPr>
              <w:keepNext w:val="0"/>
              <w:keepLines w:val="0"/>
              <w:pageBreakBefore w:val="0"/>
              <w:kinsoku/>
              <w:wordWrap/>
              <w:overflowPunct/>
              <w:topLinePunct w:val="0"/>
              <w:bidi w:val="0"/>
              <w:adjustRightInd w:val="0"/>
              <w:snapToGrid w:val="0"/>
              <w:spacing w:line="240" w:lineRule="auto"/>
              <w:jc w:val="center"/>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1款</w:t>
            </w:r>
          </w:p>
        </w:tc>
        <w:tc>
          <w:tcPr>
            <w:tcW w:w="2233" w:type="dxa"/>
            <w:vAlign w:val="center"/>
          </w:tcPr>
          <w:p w14:paraId="1C5461E0">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rPr>
            </w:pPr>
            <w:r>
              <w:rPr>
                <w:rFonts w:hint="eastAsia" w:ascii="宋体" w:hAnsi="宋体"/>
                <w:color w:val="auto"/>
                <w:szCs w:val="21"/>
                <w:highlight w:val="none"/>
                <w:lang w:eastAsia="zh-CN"/>
              </w:rPr>
              <w:t>修理、重作、更换相关具体规定</w:t>
            </w:r>
          </w:p>
        </w:tc>
        <w:tc>
          <w:tcPr>
            <w:tcW w:w="4316" w:type="dxa"/>
            <w:vAlign w:val="center"/>
          </w:tcPr>
          <w:p w14:paraId="27D2F587">
            <w:pPr>
              <w:adjustRightInd w:val="0"/>
              <w:snapToGrid w:val="0"/>
              <w:jc w:val="left"/>
              <w:rPr>
                <w:rFonts w:ascii="宋体" w:hAnsi="宋体"/>
                <w:color w:val="auto"/>
                <w:szCs w:val="21"/>
                <w:highlight w:val="none"/>
              </w:rPr>
            </w:pPr>
          </w:p>
        </w:tc>
      </w:tr>
      <w:tr w14:paraId="5A7799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67EA198D">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2FAA4F03">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.2（2）项</w:t>
            </w:r>
          </w:p>
        </w:tc>
        <w:tc>
          <w:tcPr>
            <w:tcW w:w="2233" w:type="dxa"/>
            <w:vAlign w:val="center"/>
          </w:tcPr>
          <w:p w14:paraId="6CCB9C34">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迟延交货赔偿费</w:t>
            </w:r>
          </w:p>
        </w:tc>
        <w:tc>
          <w:tcPr>
            <w:tcW w:w="4316" w:type="dxa"/>
            <w:vAlign w:val="center"/>
          </w:tcPr>
          <w:p w14:paraId="70280E71">
            <w:pPr>
              <w:adjustRightInd w:val="0"/>
              <w:snapToGrid w:val="0"/>
              <w:jc w:val="left"/>
              <w:rPr>
                <w:rFonts w:ascii="宋体" w:hAnsi="宋体"/>
                <w:color w:val="auto"/>
                <w:szCs w:val="21"/>
                <w:highlight w:val="none"/>
                <w:u w:val="single"/>
              </w:rPr>
            </w:pPr>
          </w:p>
        </w:tc>
      </w:tr>
      <w:tr w14:paraId="4A6404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724A673C">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0534525C">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3款</w:t>
            </w:r>
          </w:p>
        </w:tc>
        <w:tc>
          <w:tcPr>
            <w:tcW w:w="2233" w:type="dxa"/>
            <w:vAlign w:val="center"/>
          </w:tcPr>
          <w:p w14:paraId="2C233818">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rPr>
            </w:pPr>
            <w:r>
              <w:rPr>
                <w:rFonts w:hint="eastAsia" w:ascii="宋体" w:hAnsi="宋体"/>
                <w:color w:val="auto"/>
                <w:szCs w:val="21"/>
                <w:highlight w:val="none"/>
              </w:rPr>
              <w:t>逾期付款利息</w:t>
            </w:r>
          </w:p>
        </w:tc>
        <w:tc>
          <w:tcPr>
            <w:tcW w:w="4316" w:type="dxa"/>
            <w:vAlign w:val="center"/>
          </w:tcPr>
          <w:p w14:paraId="3A0C3F19">
            <w:pPr>
              <w:adjustRightInd w:val="0"/>
              <w:snapToGrid w:val="0"/>
              <w:jc w:val="left"/>
              <w:rPr>
                <w:rFonts w:ascii="宋体" w:hAnsi="宋体"/>
                <w:color w:val="auto"/>
                <w:szCs w:val="21"/>
                <w:highlight w:val="none"/>
                <w:u w:val="single"/>
              </w:rPr>
            </w:pPr>
          </w:p>
        </w:tc>
      </w:tr>
      <w:tr w14:paraId="348216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07" w:type="dxa"/>
            <w:tcBorders>
              <w:bottom w:val="single" w:color="auto" w:sz="2" w:space="0"/>
              <w:right w:val="single" w:color="auto" w:sz="2" w:space="0"/>
            </w:tcBorders>
            <w:vAlign w:val="center"/>
          </w:tcPr>
          <w:p w14:paraId="45AA05DB">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5D78F5E5">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.4</w:t>
            </w:r>
            <w:r>
              <w:rPr>
                <w:rFonts w:hint="eastAsia" w:ascii="宋体" w:hAnsi="宋体"/>
                <w:color w:val="auto"/>
                <w:szCs w:val="21"/>
                <w:highlight w:val="none"/>
                <w:lang w:val="en-US" w:eastAsia="zh-CN"/>
              </w:rPr>
              <w:t>款</w:t>
            </w:r>
          </w:p>
        </w:tc>
        <w:tc>
          <w:tcPr>
            <w:tcW w:w="2233" w:type="dxa"/>
            <w:tcBorders>
              <w:left w:val="single" w:color="auto" w:sz="2" w:space="0"/>
              <w:bottom w:val="single" w:color="auto" w:sz="2" w:space="0"/>
              <w:right w:val="single" w:color="auto" w:sz="2" w:space="0"/>
            </w:tcBorders>
            <w:vAlign w:val="center"/>
          </w:tcPr>
          <w:p w14:paraId="1138734C">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其他违约责任</w:t>
            </w:r>
          </w:p>
        </w:tc>
        <w:tc>
          <w:tcPr>
            <w:tcW w:w="4316" w:type="dxa"/>
            <w:tcBorders>
              <w:left w:val="single" w:color="auto" w:sz="2" w:space="0"/>
              <w:bottom w:val="single" w:color="auto" w:sz="2" w:space="0"/>
            </w:tcBorders>
            <w:vAlign w:val="center"/>
          </w:tcPr>
          <w:p w14:paraId="219760E1">
            <w:pPr>
              <w:adjustRightInd w:val="0"/>
              <w:snapToGrid w:val="0"/>
              <w:jc w:val="left"/>
              <w:rPr>
                <w:rFonts w:ascii="宋体" w:hAnsi="宋体"/>
                <w:color w:val="auto"/>
                <w:szCs w:val="21"/>
                <w:highlight w:val="none"/>
                <w:u w:val="single"/>
              </w:rPr>
            </w:pPr>
          </w:p>
        </w:tc>
      </w:tr>
      <w:tr w14:paraId="0A2090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07" w:type="dxa"/>
            <w:tcBorders>
              <w:top w:val="single" w:color="auto" w:sz="2" w:space="0"/>
              <w:right w:val="single" w:color="auto" w:sz="2" w:space="0"/>
            </w:tcBorders>
            <w:vAlign w:val="center"/>
          </w:tcPr>
          <w:p w14:paraId="177F4FBF">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5CFE048F">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19</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2233" w:type="dxa"/>
            <w:tcBorders>
              <w:top w:val="single" w:color="auto" w:sz="2" w:space="0"/>
              <w:left w:val="single" w:color="auto" w:sz="2" w:space="0"/>
              <w:right w:val="single" w:color="auto" w:sz="2" w:space="0"/>
            </w:tcBorders>
            <w:vAlign w:val="center"/>
          </w:tcPr>
          <w:p w14:paraId="5351737D">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lang w:val="en-US" w:eastAsia="zh-CN"/>
              </w:rPr>
              <w:t>解决争议的方法</w:t>
            </w:r>
          </w:p>
        </w:tc>
        <w:tc>
          <w:tcPr>
            <w:tcW w:w="4316" w:type="dxa"/>
            <w:tcBorders>
              <w:top w:val="single" w:color="auto" w:sz="2" w:space="0"/>
              <w:left w:val="single" w:color="auto" w:sz="2" w:space="0"/>
            </w:tcBorders>
            <w:vAlign w:val="center"/>
          </w:tcPr>
          <w:p w14:paraId="0812CAF3">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因本合同及合同有关事项发生的争议，按下列第</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种方式解决：</w:t>
            </w:r>
          </w:p>
          <w:p w14:paraId="66960E2A">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（1）向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仲裁委员会申请仲裁，仲裁地点为</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w:t>
            </w:r>
          </w:p>
          <w:p w14:paraId="2A1D3AA7">
            <w:pPr>
              <w:adjustRightInd w:val="0"/>
              <w:snapToGrid w:val="0"/>
              <w:ind w:firstLine="0" w:firstLineChars="0"/>
              <w:jc w:val="left"/>
              <w:rPr>
                <w:rFonts w:ascii="宋体" w:hAnsi="宋体"/>
                <w:color w:val="auto"/>
                <w:szCs w:val="21"/>
                <w:highlight w:val="none"/>
                <w:u w:val="single"/>
              </w:rPr>
            </w:pPr>
            <w:r>
              <w:rPr>
                <w:rFonts w:hint="eastAsia" w:ascii="宋体" w:hAnsi="宋体" w:eastAsia="宋体" w:cs="宋体"/>
                <w:b w:val="0"/>
                <w:bCs w:val="0"/>
                <w:iCs/>
                <w:color w:val="auto"/>
                <w:szCs w:val="21"/>
                <w:highlight w:val="none"/>
              </w:rPr>
              <w:t>（2）向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人民法院起诉。</w:t>
            </w:r>
          </w:p>
        </w:tc>
      </w:tr>
      <w:tr w14:paraId="05C29C2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07" w:type="dxa"/>
            <w:vAlign w:val="center"/>
          </w:tcPr>
          <w:p w14:paraId="464253B9">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6F24106A">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第2</w:t>
            </w:r>
            <w:r>
              <w:rPr>
                <w:rFonts w:hint="eastAsia" w:ascii="宋体" w:hAnsi="宋体"/>
                <w:color w:val="auto"/>
                <w:szCs w:val="21"/>
                <w:highlight w:val="none"/>
                <w:lang w:val="en-US" w:eastAsia="zh-CN"/>
              </w:rPr>
              <w:t>3.1</w:t>
            </w:r>
            <w:r>
              <w:rPr>
                <w:rFonts w:hint="eastAsia" w:ascii="宋体" w:hAnsi="宋体"/>
                <w:color w:val="auto"/>
                <w:szCs w:val="21"/>
                <w:highlight w:val="none"/>
                <w:lang w:eastAsia="zh-CN"/>
              </w:rPr>
              <w:t>款</w:t>
            </w:r>
          </w:p>
        </w:tc>
        <w:tc>
          <w:tcPr>
            <w:tcW w:w="2233" w:type="dxa"/>
            <w:vAlign w:val="center"/>
          </w:tcPr>
          <w:p w14:paraId="6180F86D">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bCs/>
                <w:color w:val="auto"/>
                <w:szCs w:val="21"/>
                <w:highlight w:val="none"/>
                <w:lang w:eastAsia="zh-CN"/>
              </w:rPr>
              <w:t>其他专用条款</w:t>
            </w:r>
          </w:p>
        </w:tc>
        <w:tc>
          <w:tcPr>
            <w:tcW w:w="4316" w:type="dxa"/>
            <w:vAlign w:val="center"/>
          </w:tcPr>
          <w:p w14:paraId="08227F34">
            <w:pPr>
              <w:adjustRightInd w:val="0"/>
              <w:snapToGrid w:val="0"/>
              <w:jc w:val="left"/>
              <w:rPr>
                <w:rFonts w:hint="default" w:ascii="宋体" w:hAnsi="宋体" w:eastAsia="宋体"/>
                <w:color w:val="auto"/>
                <w:szCs w:val="21"/>
                <w:highlight w:val="none"/>
                <w:lang w:val="en-US" w:eastAsia="zh-CN"/>
              </w:rPr>
            </w:pPr>
          </w:p>
        </w:tc>
      </w:tr>
    </w:tbl>
    <w:p w14:paraId="273AC562">
      <w:pPr>
        <w:rPr>
          <w:color w:val="auto"/>
          <w:highlight w:val="none"/>
        </w:rPr>
      </w:pPr>
    </w:p>
    <w:p w14:paraId="7360A251">
      <w:pPr>
        <w:rPr>
          <w:color w:val="auto"/>
          <w:highlight w:val="none"/>
        </w:rPr>
      </w:pPr>
    </w:p>
    <w:p w14:paraId="59C8CB5D">
      <w:pPr>
        <w:rPr>
          <w:color w:val="auto"/>
          <w:highlight w:val="none"/>
          <w:lang w:val="zh-CN"/>
        </w:rPr>
      </w:pPr>
    </w:p>
    <w:p w14:paraId="19932A4E">
      <w:pPr>
        <w:rPr>
          <w:color w:val="auto"/>
          <w:highlight w:val="none"/>
          <w:lang w:val="zh-CN"/>
        </w:rPr>
      </w:pPr>
    </w:p>
    <w:p w14:paraId="427F84D2">
      <w:pPr>
        <w:outlineLvl w:val="9"/>
        <w:rPr>
          <w:color w:val="auto"/>
          <w:highlight w:val="none"/>
          <w:lang w:val="zh-CN"/>
        </w:rPr>
      </w:pPr>
    </w:p>
    <w:p w14:paraId="41F9F397">
      <w:pPr>
        <w:outlineLvl w:val="9"/>
        <w:rPr>
          <w:color w:val="auto"/>
          <w:highlight w:val="none"/>
          <w:lang w:val="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557A8F2F">
      <w:pPr>
        <w:keepNext/>
        <w:keepLines/>
        <w:pageBreakBefore w:val="0"/>
        <w:widowControl w:val="0"/>
        <w:numPr>
          <w:ilvl w:val="0"/>
          <w:numId w:val="0"/>
        </w:numPr>
        <w:kinsoku/>
        <w:wordWrap/>
        <w:overflowPunct/>
        <w:topLinePunct w:val="0"/>
        <w:autoSpaceDE/>
        <w:autoSpaceDN/>
        <w:bidi w:val="0"/>
        <w:adjustRightInd/>
        <w:snapToGrid/>
        <w:spacing w:before="100" w:after="90" w:line="360" w:lineRule="auto"/>
        <w:ind w:left="420" w:leftChars="0" w:hanging="420" w:firstLineChars="0"/>
        <w:textAlignment w:val="auto"/>
        <w:outlineLvl w:val="9"/>
        <w:rPr>
          <w:rFonts w:hint="eastAsia" w:ascii="宋体" w:hAnsi="宋体" w:eastAsia="黑体" w:cstheme="minorBidi"/>
          <w:b/>
          <w:bCs/>
          <w:color w:val="auto"/>
          <w:kern w:val="44"/>
          <w:sz w:val="44"/>
          <w:szCs w:val="44"/>
          <w:highlight w:val="none"/>
          <w:lang w:val="en-US" w:eastAsia="zh-CN" w:bidi="ar-SA"/>
        </w:rPr>
      </w:pPr>
      <w:bookmarkStart w:id="681" w:name="_Toc155185919"/>
    </w:p>
    <w:p w14:paraId="72D513E7">
      <w:pPr>
        <w:keepNext/>
        <w:keepLines/>
        <w:pageBreakBefore w:val="0"/>
        <w:widowControl w:val="0"/>
        <w:numPr>
          <w:ilvl w:val="0"/>
          <w:numId w:val="0"/>
        </w:numPr>
        <w:kinsoku/>
        <w:wordWrap/>
        <w:overflowPunct/>
        <w:topLinePunct w:val="0"/>
        <w:autoSpaceDE/>
        <w:autoSpaceDN/>
        <w:bidi w:val="0"/>
        <w:adjustRightInd/>
        <w:snapToGrid/>
        <w:spacing w:before="100" w:after="90" w:line="360" w:lineRule="auto"/>
        <w:ind w:left="420" w:leftChars="0" w:hanging="420" w:firstLineChars="0"/>
        <w:textAlignment w:val="auto"/>
        <w:outlineLvl w:val="9"/>
        <w:rPr>
          <w:rFonts w:hint="eastAsia" w:ascii="宋体" w:hAnsi="宋体" w:eastAsia="黑体" w:cstheme="minorBidi"/>
          <w:b/>
          <w:bCs/>
          <w:color w:val="auto"/>
          <w:kern w:val="44"/>
          <w:sz w:val="44"/>
          <w:szCs w:val="44"/>
          <w:highlight w:val="none"/>
          <w:lang w:val="en-US" w:eastAsia="zh-CN" w:bidi="ar-SA"/>
        </w:rPr>
      </w:pPr>
    </w:p>
    <w:p w14:paraId="5CAF3138">
      <w:pPr>
        <w:pStyle w:val="3"/>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682" w:name="_Toc23789"/>
      <w:r>
        <w:rPr>
          <w:rFonts w:hint="eastAsia" w:ascii="宋体" w:hAnsi="宋体" w:eastAsia="宋体" w:cs="宋体"/>
          <w:b/>
          <w:bCs/>
          <w:color w:val="auto"/>
          <w:kern w:val="44"/>
          <w:sz w:val="36"/>
          <w:szCs w:val="36"/>
          <w:highlight w:val="none"/>
          <w:lang w:val="en-US" w:eastAsia="zh-CN" w:bidi="ar-SA"/>
        </w:rPr>
        <w:t>第七章 投标文件格式</w:t>
      </w:r>
      <w:bookmarkEnd w:id="681"/>
      <w:bookmarkEnd w:id="682"/>
    </w:p>
    <w:p w14:paraId="20B1063D">
      <w:pPr>
        <w:ind w:left="200" w:leftChars="100" w:firstLine="400" w:firstLineChars="200"/>
        <w:rPr>
          <w:rFonts w:cs="仿宋_GB2312"/>
          <w:color w:val="auto"/>
          <w:szCs w:val="24"/>
          <w:highlight w:val="none"/>
        </w:rPr>
      </w:pPr>
    </w:p>
    <w:p w14:paraId="29D44C55">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244DD0F1">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09EDECB5">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75F9B001">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12E1D158">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E6822E5">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62CA045B">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3893E9FD">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95452EF">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0AA66CC1">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369FA17D">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572E3CAE">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5565C3EB">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07DA079A">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6E15166A">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63A9983C">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748F8DEC">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6F52A8AF">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2FC05CF">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761F2B5A">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599474F0">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5390F1A2">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A93A46C">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3C290983">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155D68F1">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1025489F">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308F138C">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2CDCE37B">
      <w:pPr>
        <w:ind w:firstLine="400" w:firstLineChars="200"/>
        <w:rPr>
          <w:rFonts w:hint="eastAsia" w:cs="仿宋_GB2312"/>
          <w:color w:val="auto"/>
          <w:szCs w:val="24"/>
          <w:highlight w:val="none"/>
          <w:lang w:val="zh-CN"/>
        </w:rPr>
      </w:pPr>
    </w:p>
    <w:p w14:paraId="2D9E98AD">
      <w:pPr>
        <w:ind w:firstLine="400" w:firstLineChars="200"/>
        <w:rPr>
          <w:rFonts w:hint="eastAsia" w:cs="仿宋_GB2312"/>
          <w:color w:val="auto"/>
          <w:szCs w:val="24"/>
          <w:highlight w:val="none"/>
          <w:lang w:val="zh-CN"/>
        </w:rPr>
      </w:pPr>
    </w:p>
    <w:p w14:paraId="3D40132F">
      <w:pPr>
        <w:ind w:firstLine="400" w:firstLineChars="200"/>
        <w:rPr>
          <w:rFonts w:hint="eastAsia" w:cs="仿宋_GB2312"/>
          <w:color w:val="auto"/>
          <w:szCs w:val="24"/>
          <w:highlight w:val="none"/>
          <w:lang w:val="zh-CN"/>
        </w:rPr>
      </w:pPr>
    </w:p>
    <w:p w14:paraId="6DC90E3C">
      <w:pPr>
        <w:ind w:firstLine="400" w:firstLineChars="200"/>
        <w:rPr>
          <w:rFonts w:cs="仿宋_GB2312"/>
          <w:color w:val="auto"/>
          <w:szCs w:val="24"/>
          <w:highlight w:val="none"/>
          <w:lang w:val="zh-CN"/>
        </w:rPr>
      </w:pPr>
      <w:r>
        <w:rPr>
          <w:rFonts w:hint="eastAsia" w:cs="仿宋_GB2312"/>
          <w:color w:val="auto"/>
          <w:szCs w:val="24"/>
          <w:highlight w:val="none"/>
          <w:lang w:val="zh-CN"/>
        </w:rPr>
        <w:t>封面：</w:t>
      </w:r>
    </w:p>
    <w:p w14:paraId="202803F7">
      <w:pPr>
        <w:autoSpaceDE w:val="0"/>
        <w:autoSpaceDN w:val="0"/>
        <w:adjustRightInd w:val="0"/>
        <w:rPr>
          <w:color w:val="auto"/>
          <w:sz w:val="21"/>
          <w:szCs w:val="24"/>
          <w:highlight w:val="none"/>
        </w:rPr>
      </w:pPr>
    </w:p>
    <w:p w14:paraId="73B11C8A">
      <w:pPr>
        <w:autoSpaceDE w:val="0"/>
        <w:autoSpaceDN w:val="0"/>
        <w:adjustRightInd w:val="0"/>
        <w:rPr>
          <w:color w:val="auto"/>
          <w:sz w:val="21"/>
          <w:szCs w:val="24"/>
          <w:highlight w:val="none"/>
        </w:rPr>
      </w:pPr>
    </w:p>
    <w:p w14:paraId="36DF3F4E">
      <w:pPr>
        <w:autoSpaceDE w:val="0"/>
        <w:autoSpaceDN w:val="0"/>
        <w:adjustRightInd w:val="0"/>
        <w:jc w:val="center"/>
        <w:rPr>
          <w:color w:val="auto"/>
          <w:sz w:val="21"/>
          <w:szCs w:val="24"/>
          <w:highlight w:val="none"/>
        </w:rPr>
      </w:pPr>
    </w:p>
    <w:p w14:paraId="336E03FA">
      <w:pPr>
        <w:pStyle w:val="4"/>
        <w:bidi w:val="0"/>
        <w:jc w:val="center"/>
        <w:rPr>
          <w:sz w:val="84"/>
          <w:szCs w:val="84"/>
          <w:highlight w:val="none"/>
        </w:rPr>
      </w:pPr>
      <w:bookmarkStart w:id="683" w:name="_Toc24935"/>
      <w:r>
        <w:rPr>
          <w:rFonts w:hint="eastAsia"/>
          <w:sz w:val="84"/>
          <w:szCs w:val="84"/>
          <w:highlight w:val="none"/>
        </w:rPr>
        <w:t>投 标 文 件</w:t>
      </w:r>
      <w:bookmarkEnd w:id="683"/>
    </w:p>
    <w:p w14:paraId="0D217A8D">
      <w:pPr>
        <w:pStyle w:val="4"/>
        <w:bidi w:val="0"/>
        <w:jc w:val="center"/>
        <w:rPr>
          <w:sz w:val="52"/>
          <w:szCs w:val="52"/>
          <w:highlight w:val="none"/>
        </w:rPr>
      </w:pPr>
      <w:bookmarkStart w:id="684" w:name="_Toc7546"/>
      <w:r>
        <w:rPr>
          <w:rFonts w:hint="eastAsia"/>
          <w:sz w:val="52"/>
          <w:szCs w:val="52"/>
          <w:highlight w:val="none"/>
        </w:rPr>
        <w:t>资格证明文件</w:t>
      </w:r>
      <w:bookmarkEnd w:id="684"/>
    </w:p>
    <w:p w14:paraId="3713B9EF">
      <w:pPr>
        <w:autoSpaceDE w:val="0"/>
        <w:autoSpaceDN w:val="0"/>
        <w:adjustRightInd w:val="0"/>
        <w:rPr>
          <w:b/>
          <w:bCs/>
          <w:color w:val="auto"/>
          <w:sz w:val="22"/>
          <w:highlight w:val="none"/>
        </w:rPr>
      </w:pPr>
    </w:p>
    <w:p w14:paraId="3861A6F5">
      <w:pPr>
        <w:autoSpaceDE w:val="0"/>
        <w:autoSpaceDN w:val="0"/>
        <w:adjustRightInd w:val="0"/>
        <w:jc w:val="center"/>
        <w:rPr>
          <w:rFonts w:hint="eastAsia" w:eastAsia="宋体"/>
          <w:color w:val="auto"/>
          <w:sz w:val="36"/>
          <w:szCs w:val="36"/>
          <w:highlight w:val="none"/>
          <w:lang w:eastAsia="zh-CN"/>
        </w:rPr>
      </w:pPr>
      <w:r>
        <w:rPr>
          <w:rFonts w:hint="eastAsia"/>
          <w:color w:val="auto"/>
          <w:sz w:val="36"/>
          <w:szCs w:val="36"/>
          <w:highlight w:val="none"/>
          <w:lang w:val="en-US" w:eastAsia="zh-CN"/>
        </w:rPr>
        <w:t>（第XX包</w:t>
      </w:r>
      <w:r>
        <w:rPr>
          <w:rFonts w:hint="eastAsia"/>
          <w:color w:val="auto"/>
          <w:sz w:val="36"/>
          <w:szCs w:val="36"/>
          <w:highlight w:val="none"/>
          <w:lang w:eastAsia="zh-CN"/>
        </w:rPr>
        <w:t>）【</w:t>
      </w:r>
      <w:r>
        <w:rPr>
          <w:rFonts w:hint="eastAsia"/>
          <w:color w:val="auto"/>
          <w:sz w:val="36"/>
          <w:szCs w:val="36"/>
          <w:highlight w:val="none"/>
          <w:lang w:val="en-US" w:eastAsia="zh-CN"/>
        </w:rPr>
        <w:t>如不分包，请删去本行</w:t>
      </w:r>
      <w:r>
        <w:rPr>
          <w:rFonts w:hint="eastAsia"/>
          <w:color w:val="auto"/>
          <w:sz w:val="36"/>
          <w:szCs w:val="36"/>
          <w:highlight w:val="none"/>
          <w:lang w:eastAsia="zh-CN"/>
        </w:rPr>
        <w:t>】</w:t>
      </w:r>
    </w:p>
    <w:p w14:paraId="4C95B1E8">
      <w:pPr>
        <w:autoSpaceDE w:val="0"/>
        <w:autoSpaceDN w:val="0"/>
        <w:adjustRightInd w:val="0"/>
        <w:rPr>
          <w:color w:val="auto"/>
          <w:sz w:val="21"/>
          <w:szCs w:val="21"/>
          <w:highlight w:val="none"/>
        </w:rPr>
      </w:pPr>
    </w:p>
    <w:p w14:paraId="4A15B7B6">
      <w:pPr>
        <w:outlineLvl w:val="9"/>
        <w:rPr>
          <w:color w:val="auto"/>
          <w:highlight w:val="none"/>
        </w:rPr>
      </w:pPr>
    </w:p>
    <w:p w14:paraId="6D2F1984">
      <w:pPr>
        <w:autoSpaceDE w:val="0"/>
        <w:autoSpaceDN w:val="0"/>
        <w:adjustRightInd w:val="0"/>
        <w:rPr>
          <w:color w:val="auto"/>
          <w:sz w:val="21"/>
          <w:szCs w:val="21"/>
          <w:highlight w:val="none"/>
        </w:rPr>
      </w:pPr>
    </w:p>
    <w:p w14:paraId="13936900">
      <w:pPr>
        <w:autoSpaceDE w:val="0"/>
        <w:autoSpaceDN w:val="0"/>
        <w:adjustRightInd w:val="0"/>
        <w:rPr>
          <w:color w:val="auto"/>
          <w:sz w:val="21"/>
          <w:szCs w:val="21"/>
          <w:highlight w:val="none"/>
        </w:rPr>
      </w:pPr>
    </w:p>
    <w:p w14:paraId="7F8AB2C1">
      <w:pPr>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24FB0392">
      <w:pPr>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6B06112D">
      <w:pPr>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4720DE04">
      <w:pPr>
        <w:ind w:left="840" w:firstLine="420"/>
        <w:rPr>
          <w:b/>
          <w:bCs/>
          <w:color w:val="auto"/>
          <w:sz w:val="28"/>
          <w:szCs w:val="28"/>
          <w:highlight w:val="none"/>
        </w:rPr>
      </w:pPr>
    </w:p>
    <w:p w14:paraId="5D0DC607">
      <w:pPr>
        <w:ind w:left="840" w:firstLine="420"/>
        <w:rPr>
          <w:b/>
          <w:bCs/>
          <w:color w:val="auto"/>
          <w:sz w:val="28"/>
          <w:szCs w:val="28"/>
          <w:highlight w:val="none"/>
        </w:rPr>
      </w:pPr>
    </w:p>
    <w:p w14:paraId="306FCCBF">
      <w:pPr>
        <w:ind w:left="840" w:firstLine="420"/>
        <w:rPr>
          <w:b/>
          <w:bCs/>
          <w:color w:val="auto"/>
          <w:sz w:val="28"/>
          <w:szCs w:val="28"/>
          <w:highlight w:val="none"/>
        </w:rPr>
      </w:pPr>
    </w:p>
    <w:p w14:paraId="22CE1A9B">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6447D651">
      <w:pPr>
        <w:rPr>
          <w:color w:val="auto"/>
          <w:highlight w:val="none"/>
          <w:lang w:val="zh-CN"/>
        </w:rPr>
      </w:pPr>
      <w:r>
        <w:rPr>
          <w:color w:val="auto"/>
          <w:highlight w:val="none"/>
          <w:lang w:val="zh-CN"/>
        </w:rPr>
        <w:br w:type="page"/>
      </w:r>
    </w:p>
    <w:p w14:paraId="6DBE2CDA">
      <w:pPr>
        <w:rPr>
          <w:color w:val="auto"/>
          <w:highlight w:val="none"/>
          <w:lang w:val="zh-CN"/>
        </w:rPr>
      </w:pPr>
    </w:p>
    <w:p w14:paraId="215FC2E3">
      <w:pPr>
        <w:pStyle w:val="4"/>
        <w:bidi w:val="0"/>
        <w:rPr>
          <w:rFonts w:hint="eastAsia"/>
          <w:highlight w:val="none"/>
          <w:lang w:val="en-US" w:eastAsia="zh-CN"/>
        </w:rPr>
      </w:pPr>
      <w:bookmarkStart w:id="685" w:name="_Toc3692"/>
      <w:bookmarkStart w:id="686" w:name="_Toc2607"/>
      <w:bookmarkStart w:id="687" w:name="_Toc155185927"/>
      <w:r>
        <w:rPr>
          <w:rFonts w:hint="eastAsia"/>
          <w:highlight w:val="none"/>
          <w:lang w:val="en-US" w:eastAsia="zh-CN"/>
        </w:rPr>
        <w:t>一、满足《中华人民共和国政府采购法》第二十二条规定</w:t>
      </w:r>
      <w:bookmarkEnd w:id="685"/>
      <w:bookmarkEnd w:id="686"/>
    </w:p>
    <w:bookmarkEnd w:id="687"/>
    <w:p w14:paraId="61960CA7">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color w:val="auto"/>
          <w:kern w:val="2"/>
          <w:sz w:val="24"/>
          <w:szCs w:val="24"/>
          <w:highlight w:val="none"/>
          <w:lang w:val="en-US" w:eastAsia="zh-CN" w:bidi="ar-SA"/>
        </w:rPr>
      </w:pPr>
      <w:bookmarkStart w:id="688" w:name="_Toc163492922"/>
      <w:bookmarkStart w:id="689" w:name="_Toc155185928"/>
      <w:r>
        <w:rPr>
          <w:rFonts w:hint="eastAsia" w:ascii="宋体" w:hAnsi="宋体" w:eastAsia="宋体" w:cs="宋体"/>
          <w:b/>
          <w:bCs/>
          <w:color w:val="auto"/>
          <w:kern w:val="2"/>
          <w:sz w:val="24"/>
          <w:szCs w:val="24"/>
          <w:highlight w:val="none"/>
          <w:lang w:val="en-US" w:eastAsia="zh-CN" w:bidi="ar-SA"/>
        </w:rPr>
        <w:t>（一）法人、其他组织或者自然人的证明文件</w:t>
      </w:r>
    </w:p>
    <w:p w14:paraId="6E9D207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1、投标人</w:t>
      </w:r>
      <w:r>
        <w:rPr>
          <w:rFonts w:hint="eastAsia" w:ascii="宋体" w:hAnsi="宋体" w:eastAsia="宋体" w:cs="宋体"/>
          <w:b w:val="0"/>
          <w:bCs w:val="0"/>
          <w:color w:val="auto"/>
          <w:kern w:val="0"/>
          <w:sz w:val="24"/>
          <w:szCs w:val="24"/>
          <w:highlight w:val="none"/>
          <w:lang w:val="en-US" w:eastAsia="zh-CN"/>
        </w:rPr>
        <w:t>为企业（包括合伙企业）的，应提供有效的“营业执照”；</w:t>
      </w:r>
    </w:p>
    <w:p w14:paraId="420A9C0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2、投标人</w:t>
      </w:r>
      <w:r>
        <w:rPr>
          <w:rFonts w:hint="eastAsia" w:ascii="宋体" w:hAnsi="宋体" w:eastAsia="宋体" w:cs="宋体"/>
          <w:b w:val="0"/>
          <w:bCs w:val="0"/>
          <w:color w:val="auto"/>
          <w:kern w:val="0"/>
          <w:sz w:val="24"/>
          <w:szCs w:val="24"/>
          <w:highlight w:val="none"/>
          <w:lang w:val="en-US" w:eastAsia="zh-CN"/>
        </w:rPr>
        <w:t>为事业单位的，应提供有效的“事业单位法人证书”；</w:t>
      </w:r>
    </w:p>
    <w:p w14:paraId="30B2651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3、投标人</w:t>
      </w:r>
      <w:r>
        <w:rPr>
          <w:rFonts w:hint="eastAsia" w:ascii="宋体" w:hAnsi="宋体" w:eastAsia="宋体" w:cs="宋体"/>
          <w:b w:val="0"/>
          <w:bCs w:val="0"/>
          <w:color w:val="auto"/>
          <w:kern w:val="0"/>
          <w:sz w:val="24"/>
          <w:szCs w:val="24"/>
          <w:highlight w:val="none"/>
          <w:lang w:val="en-US" w:eastAsia="zh-CN"/>
        </w:rPr>
        <w:t>为非企业机构的，应提供有效的“执业许可证”、“登记证书”等证明文件；</w:t>
      </w:r>
    </w:p>
    <w:p w14:paraId="4FDE643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4、投标人</w:t>
      </w:r>
      <w:r>
        <w:rPr>
          <w:rFonts w:hint="eastAsia" w:ascii="宋体" w:hAnsi="宋体" w:eastAsia="宋体" w:cs="宋体"/>
          <w:b w:val="0"/>
          <w:bCs w:val="0"/>
          <w:color w:val="auto"/>
          <w:kern w:val="0"/>
          <w:sz w:val="24"/>
          <w:szCs w:val="24"/>
          <w:highlight w:val="none"/>
          <w:lang w:val="en-US" w:eastAsia="zh-CN"/>
        </w:rPr>
        <w:t>是个体工商户的，应提供有效的“个体工商户营业执照”；</w:t>
      </w:r>
    </w:p>
    <w:p w14:paraId="1DE16BB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5、投标人</w:t>
      </w:r>
      <w:r>
        <w:rPr>
          <w:rFonts w:hint="eastAsia" w:ascii="宋体" w:hAnsi="宋体" w:eastAsia="宋体" w:cs="宋体"/>
          <w:b w:val="0"/>
          <w:bCs w:val="0"/>
          <w:color w:val="auto"/>
          <w:kern w:val="0"/>
          <w:sz w:val="24"/>
          <w:szCs w:val="24"/>
          <w:highlight w:val="none"/>
          <w:lang w:val="en-US" w:eastAsia="zh-CN"/>
        </w:rPr>
        <w:t>是自然人的，应提供有效的自然人身份证明。</w:t>
      </w:r>
    </w:p>
    <w:p w14:paraId="77687BE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p>
    <w:p w14:paraId="128F3677">
      <w:pP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br w:type="page"/>
      </w:r>
    </w:p>
    <w:bookmarkEnd w:id="688"/>
    <w:bookmarkEnd w:id="689"/>
    <w:p w14:paraId="69A95AD2">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0" w:leftChars="0" w:firstLine="0" w:firstLineChars="0"/>
        <w:textAlignment w:val="auto"/>
        <w:rPr>
          <w:rFonts w:hint="eastAsia" w:eastAsia="宋体" w:cstheme="majorBidi"/>
          <w:b/>
          <w:bCs/>
          <w:color w:val="auto"/>
          <w:kern w:val="2"/>
          <w:sz w:val="24"/>
          <w:szCs w:val="24"/>
          <w:highlight w:val="none"/>
          <w:lang w:val="en-US" w:eastAsia="zh-CN" w:bidi="ar-SA"/>
        </w:rPr>
      </w:pPr>
      <w:bookmarkStart w:id="690" w:name="_Toc10486"/>
      <w:bookmarkStart w:id="691" w:name="_Toc143"/>
      <w:bookmarkStart w:id="692" w:name="_Toc21161"/>
      <w:r>
        <w:rPr>
          <w:rFonts w:hint="eastAsia" w:eastAsia="宋体" w:cstheme="majorBidi"/>
          <w:b/>
          <w:bCs/>
          <w:color w:val="auto"/>
          <w:kern w:val="2"/>
          <w:sz w:val="24"/>
          <w:szCs w:val="24"/>
          <w:highlight w:val="none"/>
          <w:lang w:val="en-US" w:eastAsia="zh-CN" w:bidi="ar-SA"/>
        </w:rPr>
        <w:t>（二）兵团政府采购投标人信用承诺函</w:t>
      </w:r>
      <w:bookmarkEnd w:id="690"/>
      <w:bookmarkEnd w:id="691"/>
      <w:bookmarkEnd w:id="692"/>
    </w:p>
    <w:p w14:paraId="149786FB">
      <w:pPr>
        <w:spacing w:line="560" w:lineRule="exac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单位名称</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自然人姓名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48FFA3C0">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统一社会信用代码</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身份证号码</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7DA4A26F">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负责人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2565F5FE">
      <w:pPr>
        <w:spacing w:line="560" w:lineRule="exact"/>
        <w:ind w:firstLine="480" w:firstLineChars="200"/>
        <w:rPr>
          <w:rFonts w:hint="eastAsia" w:ascii="宋体" w:hAnsi="宋体" w:eastAsia="宋体" w:cs="宋体"/>
          <w:color w:val="auto"/>
          <w:kern w:val="0"/>
          <w:sz w:val="24"/>
          <w:szCs w:val="24"/>
          <w:highlight w:val="none"/>
        </w:rPr>
      </w:pPr>
    </w:p>
    <w:p w14:paraId="39CDD6B5">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 xml:space="preserve">自愿参加本次政府采购活动，严格遵守《中华人民共和国政府采购法》及相关法律法规，坚守公开、公平、公正和诚实信用等原则，依法诚信经营，并郑重承诺：    </w:t>
      </w:r>
    </w:p>
    <w:p w14:paraId="15BD2674">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符合《中华人民共和国政府采购法》第二十二条规定：</w:t>
      </w:r>
    </w:p>
    <w:p w14:paraId="3218A359">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一</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具有独立承担民事责任的能力;</w:t>
      </w:r>
    </w:p>
    <w:p w14:paraId="036C60EA">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（二）</w:t>
      </w:r>
      <w:r>
        <w:rPr>
          <w:rFonts w:hint="eastAsia" w:ascii="宋体" w:hAnsi="宋体" w:eastAsia="宋体" w:cs="宋体"/>
          <w:color w:val="auto"/>
          <w:kern w:val="0"/>
          <w:sz w:val="24"/>
          <w:szCs w:val="24"/>
          <w:highlight w:val="none"/>
        </w:rPr>
        <w:t>具有良好的商业信誉和健全的财务会计制度;</w:t>
      </w:r>
    </w:p>
    <w:p w14:paraId="32BE9145">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（三）</w:t>
      </w:r>
      <w:r>
        <w:rPr>
          <w:rFonts w:hint="eastAsia" w:ascii="宋体" w:hAnsi="宋体" w:eastAsia="宋体" w:cs="宋体"/>
          <w:color w:val="auto"/>
          <w:kern w:val="0"/>
          <w:sz w:val="24"/>
          <w:szCs w:val="24"/>
          <w:highlight w:val="none"/>
        </w:rPr>
        <w:t>具有履行合同所必需的设备和专业技术能力;</w:t>
      </w:r>
    </w:p>
    <w:p w14:paraId="5C988BD2">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（四）</w:t>
      </w:r>
      <w:r>
        <w:rPr>
          <w:rFonts w:hint="eastAsia" w:ascii="宋体" w:hAnsi="宋体" w:eastAsia="宋体" w:cs="宋体"/>
          <w:color w:val="auto"/>
          <w:kern w:val="0"/>
          <w:sz w:val="24"/>
          <w:szCs w:val="24"/>
          <w:highlight w:val="none"/>
        </w:rPr>
        <w:t>有依法缴纳税收和社会保障资金的良好记录;</w:t>
      </w:r>
    </w:p>
    <w:p w14:paraId="64311F89">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（五）</w:t>
      </w:r>
      <w:r>
        <w:rPr>
          <w:rFonts w:hint="eastAsia" w:ascii="宋体" w:hAnsi="宋体" w:eastAsia="宋体" w:cs="宋体"/>
          <w:color w:val="auto"/>
          <w:kern w:val="0"/>
          <w:sz w:val="24"/>
          <w:szCs w:val="24"/>
          <w:highlight w:val="none"/>
        </w:rPr>
        <w:t>参加政府采购活动前三年内，在经营活动中没有重大违法记录;</w:t>
      </w:r>
    </w:p>
    <w:p w14:paraId="09591AFC">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（六）</w:t>
      </w:r>
      <w:r>
        <w:rPr>
          <w:rFonts w:hint="eastAsia" w:ascii="宋体" w:hAnsi="宋体" w:eastAsia="宋体" w:cs="宋体"/>
          <w:color w:val="auto"/>
          <w:kern w:val="0"/>
          <w:sz w:val="24"/>
          <w:szCs w:val="24"/>
          <w:highlight w:val="none"/>
        </w:rPr>
        <w:t>符合法律、行政法规规定的其他条件。</w:t>
      </w:r>
    </w:p>
    <w:p w14:paraId="1BA808C2">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未被列入严重违法失信名单、失信被执行人</w:t>
      </w:r>
      <w:r>
        <w:rPr>
          <w:rFonts w:hint="eastAsia" w:ascii="宋体" w:hAnsi="宋体" w:eastAsia="宋体" w:cs="宋体"/>
          <w:color w:val="auto"/>
          <w:kern w:val="0"/>
          <w:sz w:val="24"/>
          <w:szCs w:val="24"/>
          <w:highlight w:val="none"/>
          <w:lang w:eastAsia="zh-CN"/>
        </w:rPr>
        <w:t>名单</w:t>
      </w:r>
      <w:r>
        <w:rPr>
          <w:rFonts w:hint="eastAsia" w:ascii="宋体" w:hAnsi="宋体" w:eastAsia="宋体" w:cs="宋体"/>
          <w:color w:val="auto"/>
          <w:kern w:val="0"/>
          <w:sz w:val="24"/>
          <w:szCs w:val="24"/>
          <w:highlight w:val="none"/>
        </w:rPr>
        <w:t>、重大税收违法失信主体、政府采购严重违法失信行为记录名</w:t>
      </w:r>
      <w:r>
        <w:rPr>
          <w:rFonts w:hint="eastAsia" w:ascii="宋体" w:hAnsi="宋体" w:eastAsia="宋体" w:cs="宋体"/>
          <w:color w:val="auto"/>
          <w:kern w:val="0"/>
          <w:sz w:val="24"/>
          <w:szCs w:val="24"/>
          <w:highlight w:val="none"/>
          <w:lang w:eastAsia="zh-CN"/>
        </w:rPr>
        <w:t>单</w:t>
      </w:r>
      <w:r>
        <w:rPr>
          <w:rFonts w:hint="eastAsia" w:ascii="宋体" w:hAnsi="宋体" w:eastAsia="宋体" w:cs="宋体"/>
          <w:color w:val="auto"/>
          <w:kern w:val="0"/>
          <w:sz w:val="24"/>
          <w:szCs w:val="24"/>
          <w:highlight w:val="none"/>
        </w:rPr>
        <w:t>。</w:t>
      </w:r>
    </w:p>
    <w:p w14:paraId="70127B20">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三、如果本公司（本人）有幸中标（成交），在合同签订之前，采购单位有权要求本公司（本人）提供资格证明材料原件进行核验。</w:t>
      </w:r>
    </w:p>
    <w:p w14:paraId="32445A77">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四、我单位</w:t>
      </w:r>
      <w:r>
        <w:rPr>
          <w:rFonts w:hint="eastAsia" w:ascii="宋体" w:hAnsi="宋体" w:eastAsia="宋体" w:cs="宋体"/>
          <w:color w:val="auto"/>
          <w:kern w:val="0"/>
          <w:sz w:val="24"/>
          <w:szCs w:val="24"/>
          <w:highlight w:val="none"/>
          <w:lang w:eastAsia="zh-CN"/>
        </w:rPr>
        <w:t>（本人）</w:t>
      </w:r>
      <w:r>
        <w:rPr>
          <w:rFonts w:hint="eastAsia" w:ascii="宋体" w:hAnsi="宋体" w:eastAsia="宋体" w:cs="宋体"/>
          <w:color w:val="auto"/>
          <w:kern w:val="0"/>
          <w:sz w:val="24"/>
          <w:szCs w:val="24"/>
          <w:highlight w:val="none"/>
        </w:rPr>
        <w:t>保证上述承诺事项的真实性。如有弄虚作假或其他违法违规行为，自愿按照规定将违背承诺行为作为失信行为记录到社会信用信息平台，并视同为“提供虚假材料谋取中标、成交”按照《</w:t>
      </w:r>
      <w:r>
        <w:rPr>
          <w:rFonts w:hint="eastAsia"/>
          <w:color w:val="auto"/>
          <w:highlight w:val="none"/>
        </w:rPr>
        <w:t>中华人民共和国政府采购法</w:t>
      </w:r>
      <w:r>
        <w:rPr>
          <w:rFonts w:hint="eastAsia" w:ascii="宋体" w:hAnsi="宋体" w:eastAsia="宋体" w:cs="宋体"/>
          <w:color w:val="auto"/>
          <w:kern w:val="0"/>
          <w:sz w:val="24"/>
          <w:szCs w:val="24"/>
          <w:highlight w:val="none"/>
        </w:rPr>
        <w:t>》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57CE52DB">
      <w:pPr>
        <w:spacing w:line="560" w:lineRule="exact"/>
        <w:rPr>
          <w:rFonts w:hint="eastAsia" w:ascii="宋体" w:hAnsi="宋体" w:eastAsia="宋体" w:cs="宋体"/>
          <w:color w:val="auto"/>
          <w:kern w:val="0"/>
          <w:sz w:val="24"/>
          <w:szCs w:val="24"/>
          <w:highlight w:val="none"/>
        </w:rPr>
      </w:pPr>
    </w:p>
    <w:p w14:paraId="5883D10C">
      <w:pPr>
        <w:spacing w:line="560" w:lineRule="exact"/>
        <w:rPr>
          <w:rFonts w:hint="eastAsia" w:ascii="宋体" w:hAnsi="宋体" w:eastAsia="宋体" w:cs="宋体"/>
          <w:color w:val="auto"/>
          <w:kern w:val="0"/>
          <w:sz w:val="24"/>
          <w:szCs w:val="24"/>
          <w:highlight w:val="none"/>
        </w:rPr>
      </w:pPr>
    </w:p>
    <w:p w14:paraId="02066849">
      <w:pPr>
        <w:spacing w:line="560" w:lineRule="exact"/>
        <w:rPr>
          <w:rFonts w:hint="eastAsia" w:ascii="宋体" w:hAnsi="宋体" w:eastAsia="宋体" w:cs="宋体"/>
          <w:color w:val="auto"/>
          <w:kern w:val="0"/>
          <w:sz w:val="24"/>
          <w:szCs w:val="24"/>
          <w:highlight w:val="none"/>
        </w:rPr>
      </w:pPr>
      <w:r>
        <w:rPr>
          <w:rFonts w:hint="eastAsia" w:cs="宋体"/>
          <w:color w:val="auto"/>
          <w:kern w:val="0"/>
          <w:sz w:val="24"/>
          <w:szCs w:val="24"/>
          <w:highlight w:val="none"/>
          <w:lang w:val="en-US" w:eastAsia="zh-CN"/>
        </w:rPr>
        <w:t>投标人名称</w:t>
      </w:r>
      <w:r>
        <w:rPr>
          <w:rFonts w:hint="eastAsia" w:ascii="宋体" w:hAnsi="宋体" w:eastAsia="宋体" w:cs="宋体"/>
          <w:color w:val="auto"/>
          <w:kern w:val="0"/>
          <w:sz w:val="24"/>
          <w:szCs w:val="24"/>
          <w:highlight w:val="none"/>
          <w:lang w:eastAsia="zh-CN"/>
        </w:rPr>
        <w:t>（</w:t>
      </w:r>
      <w:r>
        <w:rPr>
          <w:rFonts w:hint="eastAsia" w:cs="宋体"/>
          <w:color w:val="auto"/>
          <w:kern w:val="0"/>
          <w:sz w:val="24"/>
          <w:szCs w:val="24"/>
          <w:highlight w:val="none"/>
          <w:lang w:eastAsia="zh-CN"/>
        </w:rPr>
        <w:t>公章</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3FCFFDCC">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法定代表人、负责人、本人、或授权代表</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rPr>
        <w:t>：</w:t>
      </w:r>
    </w:p>
    <w:p w14:paraId="510A1256">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14:paraId="1F4E790D">
      <w:pPr>
        <w:widowControl/>
        <w:spacing w:line="560" w:lineRule="exact"/>
        <w:ind w:firstLine="630"/>
        <w:jc w:val="left"/>
        <w:rPr>
          <w:rFonts w:hint="eastAsia" w:ascii="宋体" w:hAnsi="宋体" w:eastAsia="宋体" w:cs="宋体"/>
          <w:color w:val="auto"/>
          <w:kern w:val="0"/>
          <w:sz w:val="24"/>
          <w:szCs w:val="24"/>
          <w:highlight w:val="none"/>
        </w:rPr>
      </w:pPr>
    </w:p>
    <w:p w14:paraId="282D3BE6">
      <w:pPr>
        <w:rPr>
          <w:rFonts w:ascii="Arial" w:hAnsi="Arial" w:cs="Arial"/>
          <w:color w:val="auto"/>
          <w:szCs w:val="21"/>
          <w:highlight w:val="none"/>
        </w:rPr>
      </w:pPr>
      <w:r>
        <w:rPr>
          <w:rFonts w:ascii="Arial" w:hAnsi="Arial" w:cs="Arial"/>
          <w:color w:val="auto"/>
          <w:szCs w:val="21"/>
          <w:highlight w:val="none"/>
        </w:rPr>
        <w:br w:type="page"/>
      </w:r>
    </w:p>
    <w:p w14:paraId="7478D641">
      <w:pPr>
        <w:pStyle w:val="4"/>
        <w:bidi w:val="0"/>
        <w:rPr>
          <w:rFonts w:hint="eastAsia"/>
          <w:highlight w:val="none"/>
          <w:lang w:val="zh-CN" w:eastAsia="zh-CN"/>
        </w:rPr>
      </w:pPr>
      <w:bookmarkStart w:id="693" w:name="_Toc155185930"/>
      <w:bookmarkStart w:id="694" w:name="_Toc140132840"/>
      <w:bookmarkStart w:id="695" w:name="_Toc109899917"/>
      <w:bookmarkStart w:id="696" w:name="_Toc109899498"/>
      <w:bookmarkStart w:id="697" w:name="_Toc109900336"/>
      <w:bookmarkStart w:id="698" w:name="_Toc163492923"/>
      <w:bookmarkStart w:id="699" w:name="_Toc1571"/>
      <w:bookmarkStart w:id="700" w:name="_Toc1759"/>
      <w:r>
        <w:rPr>
          <w:rFonts w:hint="eastAsia"/>
          <w:highlight w:val="none"/>
          <w:lang w:val="en-US" w:eastAsia="zh-CN"/>
        </w:rPr>
        <w:t>二、</w:t>
      </w:r>
      <w:bookmarkEnd w:id="693"/>
      <w:bookmarkEnd w:id="694"/>
      <w:bookmarkEnd w:id="695"/>
      <w:bookmarkEnd w:id="696"/>
      <w:bookmarkEnd w:id="697"/>
      <w:bookmarkEnd w:id="698"/>
      <w:bookmarkStart w:id="701" w:name="_Toc155185931"/>
      <w:r>
        <w:rPr>
          <w:rFonts w:hint="eastAsia"/>
          <w:highlight w:val="none"/>
          <w:lang w:val="zh-CN" w:eastAsia="zh-CN"/>
        </w:rPr>
        <w:t>联合体协议书</w:t>
      </w:r>
      <w:bookmarkEnd w:id="701"/>
      <w:r>
        <w:rPr>
          <w:rFonts w:hint="eastAsia"/>
          <w:highlight w:val="none"/>
          <w:lang w:val="zh-CN" w:eastAsia="zh-CN"/>
        </w:rPr>
        <w:t>【如适用】</w:t>
      </w:r>
      <w:bookmarkEnd w:id="699"/>
      <w:bookmarkEnd w:id="700"/>
    </w:p>
    <w:p w14:paraId="39563C7F">
      <w:pPr>
        <w:snapToGrid w:val="0"/>
        <w:spacing w:line="360" w:lineRule="auto"/>
        <w:jc w:val="center"/>
        <w:outlineLvl w:val="9"/>
        <w:rPr>
          <w:rFonts w:hint="eastAsia" w:ascii="宋体" w:hAnsi="宋体" w:cs="宋体"/>
          <w:b/>
          <w:color w:val="auto"/>
          <w:kern w:val="0"/>
          <w:sz w:val="32"/>
          <w:szCs w:val="32"/>
          <w:highlight w:val="none"/>
        </w:rPr>
      </w:pPr>
    </w:p>
    <w:p w14:paraId="7BBF9D1F">
      <w:pPr>
        <w:snapToGrid w:val="0"/>
        <w:spacing w:line="360" w:lineRule="auto"/>
        <w:jc w:val="center"/>
        <w:outlineLvl w:val="9"/>
        <w:rPr>
          <w:rFonts w:hint="eastAsia" w:ascii="宋体" w:hAnsi="宋体" w:cs="宋体"/>
          <w:b/>
          <w:color w:val="auto"/>
          <w:kern w:val="0"/>
          <w:sz w:val="32"/>
          <w:szCs w:val="32"/>
          <w:highlight w:val="none"/>
        </w:rPr>
      </w:pPr>
      <w:bookmarkStart w:id="702" w:name="_Toc27802"/>
      <w:r>
        <w:rPr>
          <w:rFonts w:hint="eastAsia" w:ascii="宋体" w:hAnsi="宋体" w:cs="宋体"/>
          <w:b/>
          <w:color w:val="auto"/>
          <w:kern w:val="0"/>
          <w:sz w:val="32"/>
          <w:szCs w:val="32"/>
          <w:highlight w:val="none"/>
        </w:rPr>
        <w:t>联合体协议书</w:t>
      </w:r>
      <w:bookmarkEnd w:id="702"/>
    </w:p>
    <w:p w14:paraId="67954623">
      <w:pPr>
        <w:widowControl/>
        <w:spacing w:line="360" w:lineRule="auto"/>
        <w:ind w:firstLine="480"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w:t>
      </w:r>
      <w:r>
        <w:rPr>
          <w:rFonts w:hint="eastAsia" w:cs="宋体"/>
          <w:b/>
          <w:color w:val="auto"/>
          <w:sz w:val="24"/>
          <w:highlight w:val="none"/>
          <w:lang w:val="en-US" w:eastAsia="zh-CN"/>
        </w:rPr>
        <w:t>体</w:t>
      </w:r>
      <w:r>
        <w:rPr>
          <w:rFonts w:hint="eastAsia" w:ascii="宋体" w:hAnsi="宋体" w:cs="宋体"/>
          <w:b/>
          <w:color w:val="auto"/>
          <w:sz w:val="24"/>
          <w:highlight w:val="none"/>
        </w:rPr>
        <w:t>协议</w:t>
      </w:r>
      <w:r>
        <w:rPr>
          <w:rFonts w:hint="eastAsia" w:cs="宋体"/>
          <w:b/>
          <w:color w:val="auto"/>
          <w:sz w:val="24"/>
          <w:highlight w:val="none"/>
          <w:lang w:val="en-US" w:eastAsia="zh-CN"/>
        </w:rPr>
        <w:t>书</w:t>
      </w:r>
      <w:r>
        <w:rPr>
          <w:rFonts w:hint="eastAsia" w:ascii="宋体" w:hAnsi="宋体" w:cs="宋体"/>
          <w:b/>
          <w:color w:val="auto"/>
          <w:sz w:val="24"/>
          <w:highlight w:val="none"/>
        </w:rPr>
        <w:t>；本项目不接受联合体投标或者投标人不以联合体形式投标的，则不需要提供）</w:t>
      </w:r>
    </w:p>
    <w:p w14:paraId="14187E6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（项目名称）【</w:t>
      </w:r>
      <w:r>
        <w:rPr>
          <w:rFonts w:hint="eastAsia" w:cs="宋体"/>
          <w:color w:val="auto"/>
          <w:sz w:val="24"/>
          <w:highlight w:val="none"/>
          <w:lang w:val="en-US" w:eastAsia="zh-CN"/>
        </w:rPr>
        <w:t>项目</w:t>
      </w:r>
      <w:r>
        <w:rPr>
          <w:rFonts w:hint="eastAsia" w:ascii="宋体" w:hAnsi="宋体" w:cs="宋体"/>
          <w:color w:val="auto"/>
          <w:sz w:val="24"/>
          <w:highlight w:val="none"/>
        </w:rPr>
        <w:t>编号</w:t>
      </w:r>
      <w:r>
        <w:rPr>
          <w:rFonts w:hint="eastAsia" w:cs="宋体"/>
          <w:color w:val="auto"/>
          <w:sz w:val="24"/>
          <w:highlight w:val="none"/>
          <w:lang w:val="en-US" w:eastAsia="zh-CN"/>
        </w:rPr>
        <w:t>/包号</w:t>
      </w:r>
      <w:r>
        <w:rPr>
          <w:rFonts w:hint="eastAsia" w:ascii="宋体" w:hAnsi="宋体" w:cs="宋体"/>
          <w:color w:val="auto"/>
          <w:sz w:val="24"/>
          <w:highlight w:val="none"/>
        </w:rPr>
        <w:t>：</w:t>
      </w:r>
      <w:r>
        <w:rPr>
          <w:rFonts w:hint="eastAsia" w:cs="宋体"/>
          <w:color w:val="auto"/>
          <w:sz w:val="24"/>
          <w:highlight w:val="non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投标。 </w:t>
      </w:r>
    </w:p>
    <w:p w14:paraId="682E874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2FA3C75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94C756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5742291A">
      <w:pPr>
        <w:snapToGrid w:val="0"/>
        <w:spacing w:line="360" w:lineRule="auto"/>
        <w:ind w:firstLine="576"/>
        <w:rPr>
          <w:rFonts w:ascii="宋体" w:hAnsi="宋体" w:cs="宋体"/>
          <w:color w:val="auto"/>
          <w:kern w:val="0"/>
          <w:sz w:val="24"/>
          <w:highlight w:val="none"/>
          <w:lang w:val="zh-CN"/>
        </w:rPr>
      </w:pPr>
      <w:bookmarkStart w:id="703"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承担</w:t>
      </w:r>
      <w:r>
        <w:rPr>
          <w:rFonts w:hint="eastAsia" w:ascii="宋体" w:hAnsi="宋体" w:cs="宋体"/>
          <w:color w:val="auto"/>
          <w:kern w:val="0"/>
          <w:sz w:val="24"/>
          <w:highlight w:val="none"/>
          <w:lang w:val="en-US" w:eastAsia="zh-CN"/>
        </w:rPr>
        <w:t>项目采购合同金额的</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，负责</w:t>
      </w:r>
      <w:r>
        <w:rPr>
          <w:rFonts w:hint="eastAsia" w:ascii="宋体" w:hAnsi="宋体" w:cs="宋体"/>
          <w:color w:val="auto"/>
          <w:kern w:val="0"/>
          <w:sz w:val="24"/>
          <w:highlight w:val="none"/>
          <w:lang w:val="zh-CN"/>
        </w:rPr>
        <w:t>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51F758B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承担</w:t>
      </w:r>
      <w:r>
        <w:rPr>
          <w:rFonts w:hint="eastAsia" w:ascii="宋体" w:hAnsi="宋体" w:cs="宋体"/>
          <w:color w:val="auto"/>
          <w:kern w:val="0"/>
          <w:sz w:val="24"/>
          <w:highlight w:val="none"/>
          <w:lang w:val="en-US" w:eastAsia="zh-CN"/>
        </w:rPr>
        <w:t>项目采购合同金额的</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，负责</w:t>
      </w:r>
      <w:r>
        <w:rPr>
          <w:rFonts w:hint="eastAsia" w:ascii="宋体" w:hAnsi="宋体" w:cs="宋体"/>
          <w:color w:val="auto"/>
          <w:kern w:val="0"/>
          <w:sz w:val="24"/>
          <w:highlight w:val="none"/>
          <w:lang w:val="zh-CN"/>
        </w:rPr>
        <w:t>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6E4350A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703"/>
    <w:p w14:paraId="417425E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40493970">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w:t>
      </w:r>
      <w:r>
        <w:rPr>
          <w:rFonts w:hint="eastAsia" w:cs="宋体"/>
          <w:b/>
          <w:color w:val="auto"/>
          <w:kern w:val="0"/>
          <w:sz w:val="24"/>
          <w:highlight w:val="none"/>
          <w:lang w:val="en-US" w:eastAsia="zh-CN"/>
        </w:rPr>
        <w:t>体</w:t>
      </w:r>
      <w:r>
        <w:rPr>
          <w:rFonts w:hint="eastAsia" w:ascii="宋体" w:hAnsi="宋体" w:cs="宋体"/>
          <w:b/>
          <w:color w:val="auto"/>
          <w:kern w:val="0"/>
          <w:sz w:val="24"/>
          <w:highlight w:val="none"/>
          <w:lang w:val="zh-CN"/>
        </w:rPr>
        <w:t>协议</w:t>
      </w:r>
      <w:r>
        <w:rPr>
          <w:rFonts w:hint="eastAsia" w:cs="宋体"/>
          <w:b/>
          <w:color w:val="auto"/>
          <w:kern w:val="0"/>
          <w:sz w:val="24"/>
          <w:highlight w:val="none"/>
          <w:lang w:val="en-US" w:eastAsia="zh-CN"/>
        </w:rPr>
        <w:t>书</w:t>
      </w:r>
      <w:r>
        <w:rPr>
          <w:rFonts w:hint="eastAsia" w:ascii="宋体" w:hAnsi="宋体" w:cs="宋体"/>
          <w:b/>
          <w:color w:val="auto"/>
          <w:kern w:val="0"/>
          <w:sz w:val="24"/>
          <w:highlight w:val="none"/>
          <w:lang w:val="zh-CN"/>
        </w:rPr>
        <w:t>约定小微企业的合同份额占到合同总金额30%以上的，对联合体报价按评标标准确定的比例给予扣除。投标人</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1C0B640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w:t>
      </w:r>
      <w:r>
        <w:rPr>
          <w:rFonts w:hint="eastAsia" w:ascii="宋体" w:hAnsi="宋体" w:eastAsia="宋体" w:cs="宋体"/>
          <w:b/>
          <w:bCs/>
          <w:color w:val="auto"/>
          <w:sz w:val="24"/>
          <w:highlight w:val="none"/>
          <w:lang w:eastAsia="zh-CN"/>
        </w:rPr>
        <w:t>投标人</w:t>
      </w:r>
      <w:r>
        <w:rPr>
          <w:rFonts w:hint="eastAsia" w:ascii="宋体" w:hAnsi="宋体" w:cs="宋体"/>
          <w:b/>
          <w:bCs/>
          <w:color w:val="auto"/>
          <w:sz w:val="24"/>
          <w:highlight w:val="none"/>
        </w:rPr>
        <w:t>按招标文件第一部分招标公告申请人的资格要求中规定的联合</w:t>
      </w:r>
      <w:r>
        <w:rPr>
          <w:rFonts w:hint="eastAsia" w:cs="宋体"/>
          <w:b/>
          <w:bCs/>
          <w:color w:val="auto"/>
          <w:sz w:val="24"/>
          <w:highlight w:val="none"/>
          <w:lang w:val="en-US" w:eastAsia="zh-CN"/>
        </w:rPr>
        <w:t>体</w:t>
      </w:r>
      <w:r>
        <w:rPr>
          <w:rFonts w:hint="eastAsia" w:ascii="宋体" w:hAnsi="宋体" w:cs="宋体"/>
          <w:b/>
          <w:bCs/>
          <w:color w:val="auto"/>
          <w:sz w:val="24"/>
          <w:highlight w:val="none"/>
        </w:rPr>
        <w:t>协议</w:t>
      </w:r>
      <w:r>
        <w:rPr>
          <w:rFonts w:hint="eastAsia" w:cs="宋体"/>
          <w:b/>
          <w:bCs/>
          <w:color w:val="auto"/>
          <w:sz w:val="24"/>
          <w:highlight w:val="none"/>
          <w:lang w:val="en-US" w:eastAsia="zh-CN"/>
        </w:rPr>
        <w:t>书</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p>
    <w:p w14:paraId="1EC462A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合同，并就采购合同约定的事项对采购人承担连带责任。</w:t>
      </w:r>
    </w:p>
    <w:p w14:paraId="0B6A82F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518CE91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1、联合体各方不再单独参加或者与其他投标人另外组成联合体参加同一合同项下的政府采购活动。</w:t>
      </w:r>
    </w:p>
    <w:p w14:paraId="23C062C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2、联合体中有同类资质的各方按照联合体分工承担相同工作的，按照资质等级较低的投标人确定资质等级。</w:t>
      </w:r>
    </w:p>
    <w:p w14:paraId="0DAC4003">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5B293209">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4、</w:t>
      </w:r>
      <w:r>
        <w:rPr>
          <w:rFonts w:hint="eastAsia" w:ascii="宋体" w:hAnsi="宋体" w:cs="宋体"/>
          <w:color w:val="auto"/>
          <w:kern w:val="0"/>
          <w:sz w:val="24"/>
          <w:highlight w:val="none"/>
          <w:lang w:val="zh-CN"/>
        </w:rPr>
        <w:t>其他：……</w:t>
      </w:r>
    </w:p>
    <w:p w14:paraId="43009373">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5、</w:t>
      </w:r>
      <w:r>
        <w:rPr>
          <w:rFonts w:hint="eastAsia" w:ascii="宋体" w:hAnsi="宋体" w:cs="宋体"/>
          <w:color w:val="auto"/>
          <w:kern w:val="0"/>
          <w:sz w:val="24"/>
          <w:highlight w:val="none"/>
          <w:lang w:val="zh-CN"/>
        </w:rPr>
        <w:t>本协议书自签署之日起生效，若未中标，自本次投标有效期结束后自行失效；若中标，自合同书规定的期限之后自行失效。</w:t>
      </w:r>
    </w:p>
    <w:p w14:paraId="580F475F">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6、</w:t>
      </w:r>
      <w:r>
        <w:rPr>
          <w:rFonts w:hint="eastAsia" w:ascii="宋体" w:hAnsi="宋体" w:cs="宋体"/>
          <w:color w:val="auto"/>
          <w:kern w:val="0"/>
          <w:sz w:val="24"/>
          <w:highlight w:val="none"/>
          <w:lang w:val="zh-CN"/>
        </w:rPr>
        <w:t>本协议书正本一式</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份，联合体成员各执</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份；副本一式</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份，联合体成员各执</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w:t>
      </w:r>
    </w:p>
    <w:p w14:paraId="1797DC92">
      <w:pPr>
        <w:outlineLvl w:val="9"/>
        <w:rPr>
          <w:color w:val="auto"/>
          <w:highlight w:val="none"/>
          <w:lang w:val="zh-CN"/>
        </w:rPr>
      </w:pPr>
    </w:p>
    <w:p w14:paraId="6A1B5B57">
      <w:pPr>
        <w:snapToGrid w:val="0"/>
        <w:spacing w:line="360" w:lineRule="auto"/>
        <w:ind w:firstLine="3840" w:firstLineChars="16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w:t>
      </w: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lang w:val="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21DBA726">
      <w:pPr>
        <w:snapToGrid w:val="0"/>
        <w:spacing w:line="360" w:lineRule="auto"/>
        <w:ind w:firstLine="3840" w:firstLineChars="16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lang w:val="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2C01AA77">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64D03F6B">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69BB115A">
      <w:pPr>
        <w:spacing w:line="360" w:lineRule="auto"/>
        <w:ind w:right="420"/>
        <w:rPr>
          <w:rFonts w:ascii="宋体" w:hAnsi="宋体" w:cs="宋体"/>
          <w:color w:val="auto"/>
          <w:sz w:val="21"/>
          <w:szCs w:val="21"/>
          <w:highlight w:val="none"/>
        </w:rPr>
      </w:pPr>
      <w:r>
        <w:rPr>
          <w:rFonts w:hint="eastAsia" w:ascii="宋体" w:hAnsi="宋体" w:cs="宋体"/>
          <w:color w:val="auto"/>
          <w:sz w:val="21"/>
          <w:szCs w:val="21"/>
          <w:highlight w:val="none"/>
        </w:rPr>
        <w:t>注：按本格式和要求提供。</w:t>
      </w:r>
    </w:p>
    <w:p w14:paraId="68A2ACB2">
      <w:pPr>
        <w:keepNext w:val="0"/>
        <w:keepLines w:val="0"/>
        <w:pageBreakBefore w:val="0"/>
        <w:kinsoku/>
        <w:overflowPunct/>
        <w:topLinePunct w:val="0"/>
        <w:autoSpaceDE/>
        <w:autoSpaceDN/>
        <w:bidi w:val="0"/>
        <w:spacing w:before="157" w:beforeLines="50" w:after="157" w:afterLines="50"/>
        <w:ind w:left="2100" w:leftChars="1050"/>
        <w:textAlignment w:val="auto"/>
        <w:rPr>
          <w:rFonts w:cs="Tahoma"/>
          <w:color w:val="auto"/>
          <w:highlight w:val="none"/>
          <w:u w:val="single"/>
        </w:rPr>
      </w:pPr>
      <w:r>
        <w:rPr>
          <w:rFonts w:cs="Tahoma"/>
          <w:color w:val="auto"/>
          <w:highlight w:val="none"/>
          <w:u w:val="single"/>
        </w:rPr>
        <w:br w:type="page"/>
      </w:r>
    </w:p>
    <w:p w14:paraId="01005797">
      <w:pPr>
        <w:pStyle w:val="4"/>
        <w:bidi w:val="0"/>
        <w:rPr>
          <w:rFonts w:hint="eastAsia"/>
          <w:highlight w:val="none"/>
          <w:lang w:val="zh-CN" w:eastAsia="zh-CN"/>
        </w:rPr>
      </w:pPr>
      <w:bookmarkStart w:id="704" w:name="_Toc156490356"/>
      <w:bookmarkStart w:id="705" w:name="_Toc162299566"/>
      <w:bookmarkStart w:id="706" w:name="_Toc17302"/>
      <w:r>
        <w:rPr>
          <w:rFonts w:hint="eastAsia"/>
          <w:highlight w:val="none"/>
          <w:lang w:val="en-US" w:eastAsia="zh-CN"/>
        </w:rPr>
        <w:t>三、</w:t>
      </w:r>
      <w:r>
        <w:rPr>
          <w:rFonts w:hint="eastAsia"/>
          <w:highlight w:val="none"/>
          <w:lang w:val="zh-CN" w:eastAsia="zh-CN"/>
        </w:rPr>
        <w:t>分包意向协议书【如适用】</w:t>
      </w:r>
      <w:bookmarkEnd w:id="704"/>
      <w:bookmarkEnd w:id="705"/>
      <w:bookmarkEnd w:id="706"/>
    </w:p>
    <w:p w14:paraId="72EF9FB2">
      <w:pPr>
        <w:snapToGrid w:val="0"/>
        <w:spacing w:line="360" w:lineRule="auto"/>
        <w:jc w:val="center"/>
        <w:outlineLvl w:val="9"/>
        <w:rPr>
          <w:rFonts w:hint="eastAsia" w:ascii="宋体" w:hAnsi="宋体" w:cs="宋体"/>
          <w:b/>
          <w:color w:val="auto"/>
          <w:kern w:val="0"/>
          <w:sz w:val="32"/>
          <w:szCs w:val="32"/>
          <w:highlight w:val="none"/>
        </w:rPr>
      </w:pPr>
      <w:bookmarkStart w:id="707" w:name="_Hlk101169080"/>
    </w:p>
    <w:p w14:paraId="3FDEAFA2">
      <w:pPr>
        <w:snapToGrid w:val="0"/>
        <w:spacing w:line="360" w:lineRule="auto"/>
        <w:jc w:val="center"/>
        <w:outlineLvl w:val="9"/>
        <w:rPr>
          <w:rFonts w:hint="eastAsia" w:ascii="宋体" w:hAnsi="宋体" w:eastAsia="宋体" w:cs="宋体"/>
          <w:b/>
          <w:color w:val="auto"/>
          <w:kern w:val="0"/>
          <w:sz w:val="32"/>
          <w:szCs w:val="32"/>
          <w:highlight w:val="none"/>
          <w:lang w:val="en-US" w:eastAsia="zh-CN"/>
        </w:rPr>
      </w:pPr>
      <w:bookmarkStart w:id="708" w:name="_Toc5286"/>
      <w:r>
        <w:rPr>
          <w:rFonts w:hint="eastAsia" w:ascii="宋体" w:hAnsi="宋体" w:cs="宋体"/>
          <w:b/>
          <w:color w:val="auto"/>
          <w:kern w:val="0"/>
          <w:sz w:val="32"/>
          <w:szCs w:val="32"/>
          <w:highlight w:val="none"/>
        </w:rPr>
        <w:t>分包意向协议</w:t>
      </w:r>
      <w:r>
        <w:rPr>
          <w:rFonts w:hint="eastAsia" w:ascii="宋体" w:hAnsi="宋体" w:cs="宋体"/>
          <w:b/>
          <w:color w:val="auto"/>
          <w:kern w:val="0"/>
          <w:sz w:val="32"/>
          <w:szCs w:val="32"/>
          <w:highlight w:val="none"/>
          <w:lang w:val="en-US" w:eastAsia="zh-CN"/>
        </w:rPr>
        <w:t>书</w:t>
      </w:r>
      <w:bookmarkEnd w:id="708"/>
    </w:p>
    <w:p w14:paraId="4E9F0BF4">
      <w:pPr>
        <w:widowControl/>
        <w:spacing w:line="360" w:lineRule="auto"/>
        <w:ind w:firstLine="120" w:firstLineChars="50"/>
        <w:jc w:val="left"/>
        <w:rPr>
          <w:rFonts w:hint="eastAsia" w:ascii="宋体" w:hAnsi="宋体" w:eastAsia="宋体" w:cs="宋体"/>
          <w:color w:val="auto"/>
          <w:sz w:val="24"/>
          <w:highlight w:val="none"/>
          <w:lang w:eastAsia="zh-CN"/>
        </w:rPr>
      </w:pPr>
      <w:r>
        <w:rPr>
          <w:rFonts w:hint="eastAsia" w:cs="宋体"/>
          <w:color w:val="auto"/>
          <w:sz w:val="24"/>
          <w:highlight w:val="none"/>
          <w:lang w:eastAsia="zh-CN"/>
        </w:rPr>
        <w:t>【</w:t>
      </w:r>
      <w:r>
        <w:rPr>
          <w:rFonts w:hint="eastAsia" w:ascii="宋体" w:hAnsi="宋体" w:cs="宋体"/>
          <w:b/>
          <w:color w:val="auto"/>
          <w:sz w:val="24"/>
          <w:highlight w:val="none"/>
        </w:rPr>
        <w:t>中标后以分包方式履行合同的，提供分包意向协议</w:t>
      </w:r>
      <w:r>
        <w:rPr>
          <w:rFonts w:hint="eastAsia" w:cs="宋体"/>
          <w:b/>
          <w:color w:val="auto"/>
          <w:sz w:val="24"/>
          <w:highlight w:val="none"/>
          <w:lang w:val="en-US" w:eastAsia="zh-CN"/>
        </w:rPr>
        <w:t>书</w:t>
      </w:r>
      <w:r>
        <w:rPr>
          <w:rFonts w:hint="eastAsia" w:ascii="宋体" w:hAnsi="宋体" w:cs="宋体"/>
          <w:b/>
          <w:color w:val="auto"/>
          <w:sz w:val="24"/>
          <w:highlight w:val="none"/>
        </w:rPr>
        <w:t>；采购人不同意分包或者投标人中标后不以分包方式履行合同的，则不需要提供。</w:t>
      </w:r>
      <w:r>
        <w:rPr>
          <w:rFonts w:hint="eastAsia" w:cs="宋体"/>
          <w:color w:val="auto"/>
          <w:sz w:val="24"/>
          <w:highlight w:val="none"/>
          <w:lang w:eastAsia="zh-CN"/>
        </w:rPr>
        <w:t>】</w:t>
      </w:r>
    </w:p>
    <w:p w14:paraId="5791A45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w:t>
      </w:r>
      <w:r>
        <w:rPr>
          <w:rFonts w:hint="eastAsia" w:cs="宋体"/>
          <w:color w:val="auto"/>
          <w:sz w:val="24"/>
          <w:highlight w:val="none"/>
          <w:lang w:val="en-US" w:eastAsia="zh-CN"/>
        </w:rPr>
        <w:t>项目</w:t>
      </w:r>
      <w:r>
        <w:rPr>
          <w:rFonts w:hint="eastAsia" w:ascii="宋体" w:hAnsi="宋体" w:cs="宋体"/>
          <w:color w:val="auto"/>
          <w:sz w:val="24"/>
          <w:highlight w:val="none"/>
        </w:rPr>
        <w:t>编号</w:t>
      </w:r>
      <w:r>
        <w:rPr>
          <w:rFonts w:hint="eastAsia" w:cs="宋体"/>
          <w:color w:val="auto"/>
          <w:sz w:val="24"/>
          <w:highlight w:val="none"/>
          <w:lang w:val="en-US" w:eastAsia="zh-CN"/>
        </w:rPr>
        <w:t>/包号</w:t>
      </w:r>
      <w:r>
        <w:rPr>
          <w:rFonts w:hint="eastAsia" w:ascii="宋体" w:hAnsi="宋体" w:cs="宋体"/>
          <w:color w:val="auto"/>
          <w:sz w:val="24"/>
          <w:highlight w:val="none"/>
        </w:rPr>
        <w:t>：</w:t>
      </w:r>
      <w:r>
        <w:rPr>
          <w:rFonts w:hint="eastAsia" w:cs="宋体"/>
          <w:color w:val="auto"/>
          <w:sz w:val="24"/>
          <w:highlight w:val="non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的中标投标人，将依法采取分包方式履行合同。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w:t>
      </w:r>
      <w:r>
        <w:rPr>
          <w:rFonts w:hint="eastAsia" w:ascii="宋体" w:hAnsi="宋体" w:eastAsia="宋体" w:cs="宋体"/>
          <w:color w:val="auto"/>
          <w:kern w:val="0"/>
          <w:sz w:val="24"/>
          <w:highlight w:val="none"/>
          <w:u w:val="single"/>
          <w:lang w:eastAsia="zh-CN"/>
        </w:rPr>
        <w:t>投标人</w:t>
      </w:r>
      <w:r>
        <w:rPr>
          <w:rFonts w:hint="eastAsia" w:ascii="宋体" w:hAnsi="宋体" w:cs="宋体"/>
          <w:color w:val="auto"/>
          <w:kern w:val="0"/>
          <w:sz w:val="24"/>
          <w:highlight w:val="none"/>
          <w:u w:val="single"/>
        </w:rPr>
        <w:t>名称）</w:t>
      </w:r>
      <w:r>
        <w:rPr>
          <w:rFonts w:hint="eastAsia" w:ascii="宋体" w:hAnsi="宋体" w:cs="宋体"/>
          <w:color w:val="auto"/>
          <w:kern w:val="0"/>
          <w:sz w:val="24"/>
          <w:highlight w:val="none"/>
        </w:rPr>
        <w:t>达成分包意向协议</w:t>
      </w:r>
      <w:r>
        <w:rPr>
          <w:rFonts w:hint="eastAsia" w:cs="宋体"/>
          <w:color w:val="auto"/>
          <w:kern w:val="0"/>
          <w:sz w:val="24"/>
          <w:highlight w:val="none"/>
          <w:lang w:val="en-US" w:eastAsia="zh-CN"/>
        </w:rPr>
        <w:t>书</w:t>
      </w:r>
      <w:r>
        <w:rPr>
          <w:rFonts w:hint="eastAsia" w:ascii="宋体" w:hAnsi="宋体" w:cs="宋体"/>
          <w:color w:val="auto"/>
          <w:kern w:val="0"/>
          <w:sz w:val="24"/>
          <w:highlight w:val="none"/>
          <w:lang w:val="zh-CN"/>
        </w:rPr>
        <w:t xml:space="preserve">。 </w:t>
      </w:r>
    </w:p>
    <w:p w14:paraId="545E907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5E08737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w:t>
      </w:r>
      <w:r>
        <w:rPr>
          <w:rFonts w:hint="eastAsia" w:ascii="宋体" w:hAnsi="宋体" w:eastAsia="宋体" w:cs="宋体"/>
          <w:color w:val="auto"/>
          <w:kern w:val="0"/>
          <w:sz w:val="24"/>
          <w:highlight w:val="none"/>
          <w:u w:val="single"/>
          <w:lang w:eastAsia="zh-CN"/>
        </w:rPr>
        <w:t>投标人</w:t>
      </w:r>
      <w:r>
        <w:rPr>
          <w:rFonts w:hint="eastAsia" w:ascii="宋体" w:hAnsi="宋体" w:cs="宋体"/>
          <w:color w:val="auto"/>
          <w:kern w:val="0"/>
          <w:sz w:val="24"/>
          <w:highlight w:val="none"/>
          <w:u w:val="single"/>
        </w:rPr>
        <w:t>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w:t>
      </w:r>
      <w:r>
        <w:rPr>
          <w:rFonts w:hint="eastAsia" w:ascii="宋体" w:hAnsi="宋体" w:eastAsia="宋体" w:cs="宋体"/>
          <w:color w:val="auto"/>
          <w:kern w:val="0"/>
          <w:sz w:val="24"/>
          <w:highlight w:val="none"/>
          <w:u w:val="single"/>
          <w:lang w:eastAsia="zh-CN"/>
        </w:rPr>
        <w:t>投标人</w:t>
      </w:r>
      <w:r>
        <w:rPr>
          <w:rFonts w:hint="eastAsia" w:ascii="宋体" w:hAnsi="宋体" w:cs="宋体"/>
          <w:color w:val="auto"/>
          <w:kern w:val="0"/>
          <w:sz w:val="24"/>
          <w:highlight w:val="none"/>
          <w:u w:val="single"/>
        </w:rPr>
        <w:t>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37B916C5">
      <w:pPr>
        <w:pStyle w:val="4"/>
        <w:tabs>
          <w:tab w:val="left" w:pos="432"/>
        </w:tabs>
        <w:ind w:left="632" w:leftChars="316" w:firstLine="229" w:firstLineChars="95"/>
        <w:rPr>
          <w:rFonts w:ascii="宋体" w:hAnsi="宋体" w:eastAsia="宋体" w:cs="宋体"/>
          <w:color w:val="auto"/>
          <w:kern w:val="0"/>
          <w:sz w:val="24"/>
          <w:szCs w:val="24"/>
          <w:highlight w:val="none"/>
        </w:rPr>
      </w:pPr>
      <w:bookmarkStart w:id="709" w:name="_Toc14989"/>
      <w:bookmarkStart w:id="710" w:name="_Toc24317"/>
      <w:r>
        <w:rPr>
          <w:rFonts w:hint="eastAsia" w:ascii="宋体" w:hAnsi="宋体" w:eastAsia="宋体" w:cs="宋体"/>
          <w:color w:val="auto"/>
          <w:kern w:val="0"/>
          <w:sz w:val="24"/>
          <w:szCs w:val="24"/>
          <w:highlight w:val="none"/>
        </w:rPr>
        <w:t>……</w:t>
      </w:r>
      <w:bookmarkEnd w:id="709"/>
      <w:bookmarkEnd w:id="710"/>
    </w:p>
    <w:p w14:paraId="0426889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二、分包投标人中小企业合同份额</w:t>
      </w:r>
    </w:p>
    <w:p w14:paraId="188898B5">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w:t>
      </w:r>
      <w:r>
        <w:rPr>
          <w:rFonts w:hint="eastAsia" w:ascii="宋体" w:hAnsi="宋体" w:eastAsia="宋体" w:cs="宋体"/>
          <w:color w:val="auto"/>
          <w:kern w:val="0"/>
          <w:sz w:val="24"/>
          <w:highlight w:val="none"/>
          <w:u w:val="single"/>
          <w:lang w:eastAsia="zh-CN"/>
        </w:rPr>
        <w:t>投标人</w:t>
      </w:r>
      <w:r>
        <w:rPr>
          <w:rFonts w:hint="eastAsia" w:ascii="宋体" w:hAnsi="宋体" w:cs="宋体"/>
          <w:color w:val="auto"/>
          <w:kern w:val="0"/>
          <w:sz w:val="24"/>
          <w:highlight w:val="none"/>
          <w:u w:val="single"/>
        </w:rPr>
        <w:t>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w:t>
      </w:r>
      <w:r>
        <w:rPr>
          <w:rFonts w:hint="eastAsia" w:cs="宋体"/>
          <w:b/>
          <w:color w:val="auto"/>
          <w:kern w:val="0"/>
          <w:sz w:val="24"/>
          <w:highlight w:val="none"/>
          <w:lang w:val="en-US" w:eastAsia="zh-CN"/>
        </w:rPr>
        <w:t>书</w:t>
      </w:r>
      <w:r>
        <w:rPr>
          <w:rFonts w:hint="eastAsia" w:ascii="宋体" w:hAnsi="宋体" w:cs="宋体"/>
          <w:b/>
          <w:color w:val="auto"/>
          <w:kern w:val="0"/>
          <w:sz w:val="24"/>
          <w:highlight w:val="none"/>
          <w:lang w:val="zh-CN"/>
        </w:rPr>
        <w:t>约定小微企业的合同份额占到合同总金额30%以上的，对大中型企业的报价按评标标准确定的比例给予扣除。投标人</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145FF207">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711"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w:t>
      </w:r>
      <w:r>
        <w:rPr>
          <w:rFonts w:hint="eastAsia" w:ascii="宋体" w:hAnsi="宋体" w:eastAsia="宋体" w:cs="宋体"/>
          <w:b/>
          <w:bCs/>
          <w:color w:val="auto"/>
          <w:sz w:val="24"/>
          <w:highlight w:val="none"/>
          <w:lang w:eastAsia="zh-CN"/>
        </w:rPr>
        <w:t>投标人</w:t>
      </w:r>
      <w:r>
        <w:rPr>
          <w:rFonts w:hint="eastAsia" w:ascii="宋体" w:hAnsi="宋体" w:cs="宋体"/>
          <w:b/>
          <w:bCs/>
          <w:color w:val="auto"/>
          <w:sz w:val="24"/>
          <w:highlight w:val="none"/>
        </w:rPr>
        <w:t>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cs="宋体"/>
          <w:b/>
          <w:color w:val="auto"/>
          <w:kern w:val="0"/>
          <w:sz w:val="24"/>
          <w:highlight w:val="none"/>
          <w:lang w:val="en-US" w:eastAsia="zh-CN"/>
        </w:rPr>
        <w:t>书</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711"/>
    </w:p>
    <w:p w14:paraId="51C56E7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7F26E4A3">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7925029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7369B1B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E7AB09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632B92C8">
      <w:pPr>
        <w:snapToGrid w:val="0"/>
        <w:spacing w:line="360" w:lineRule="auto"/>
        <w:ind w:left="546"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C79FAF7">
      <w:pPr>
        <w:snapToGrid w:val="0"/>
        <w:spacing w:line="360" w:lineRule="auto"/>
        <w:ind w:left="546"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17F77B9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22CBB9B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5D83C45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2A9066DF">
      <w:pPr>
        <w:snapToGrid w:val="0"/>
        <w:spacing w:line="360" w:lineRule="auto"/>
        <w:ind w:left="5724"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665C464B">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102F6BD9">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22C38D7A">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49A2F910">
      <w:pPr>
        <w:spacing w:line="360" w:lineRule="auto"/>
        <w:ind w:right="420"/>
        <w:rPr>
          <w:rFonts w:ascii="宋体" w:hAnsi="宋体" w:cs="宋体"/>
          <w:color w:val="auto"/>
          <w:sz w:val="21"/>
          <w:szCs w:val="21"/>
          <w:highlight w:val="none"/>
        </w:rPr>
      </w:pPr>
      <w:r>
        <w:rPr>
          <w:rFonts w:hint="eastAsia" w:ascii="宋体" w:hAnsi="宋体" w:cs="宋体"/>
          <w:color w:val="auto"/>
          <w:sz w:val="21"/>
          <w:szCs w:val="21"/>
          <w:highlight w:val="none"/>
        </w:rPr>
        <w:t>注：按本格式和要求提供。</w:t>
      </w:r>
    </w:p>
    <w:p w14:paraId="7F0D76CC">
      <w:pPr>
        <w:topLinePunct/>
        <w:ind w:firstLine="400" w:firstLineChars="200"/>
        <w:rPr>
          <w:rFonts w:hint="eastAsia"/>
          <w:color w:val="auto"/>
          <w:szCs w:val="32"/>
          <w:highlight w:val="none"/>
        </w:rPr>
      </w:pPr>
    </w:p>
    <w:p w14:paraId="5F400CB9">
      <w:pPr>
        <w:topLinePunct/>
        <w:ind w:firstLine="400" w:firstLineChars="200"/>
        <w:rPr>
          <w:rFonts w:hint="eastAsia"/>
          <w:color w:val="auto"/>
          <w:szCs w:val="32"/>
          <w:highlight w:val="none"/>
        </w:rPr>
      </w:pPr>
    </w:p>
    <w:p w14:paraId="11CAF290">
      <w:pPr>
        <w:topLinePunct/>
        <w:ind w:firstLine="400" w:firstLineChars="200"/>
        <w:rPr>
          <w:rFonts w:hint="eastAsia"/>
          <w:color w:val="auto"/>
          <w:szCs w:val="32"/>
          <w:highlight w:val="none"/>
        </w:rPr>
      </w:pPr>
    </w:p>
    <w:p w14:paraId="35CFE103">
      <w:pPr>
        <w:topLinePunct/>
        <w:ind w:firstLine="400" w:firstLineChars="200"/>
        <w:rPr>
          <w:rFonts w:hint="eastAsia"/>
          <w:color w:val="auto"/>
          <w:szCs w:val="32"/>
          <w:highlight w:val="none"/>
        </w:rPr>
      </w:pPr>
    </w:p>
    <w:bookmarkEnd w:id="707"/>
    <w:p w14:paraId="5775F461">
      <w:pPr>
        <w:ind w:left="2100" w:leftChars="1050"/>
        <w:rPr>
          <w:color w:val="auto"/>
          <w:highlight w:val="none"/>
        </w:rPr>
      </w:pPr>
      <w:r>
        <w:rPr>
          <w:rFonts w:cs="Courier New"/>
          <w:color w:val="auto"/>
          <w:szCs w:val="24"/>
          <w:highlight w:val="none"/>
        </w:rPr>
        <w:br w:type="page"/>
      </w:r>
    </w:p>
    <w:p w14:paraId="4B9EE2D8">
      <w:pPr>
        <w:rPr>
          <w:rFonts w:hint="eastAsia" w:eastAsia="Times New Roman" w:asciiTheme="majorHAnsi" w:hAnsiTheme="majorHAnsi" w:cstheme="majorBidi"/>
          <w:b/>
          <w:bCs/>
          <w:sz w:val="32"/>
          <w:szCs w:val="32"/>
          <w:highlight w:val="none"/>
          <w:lang w:val="en-US" w:eastAsia="zh-CN" w:bidi="ar-SA"/>
        </w:rPr>
      </w:pPr>
      <w:r>
        <w:rPr>
          <w:rFonts w:hint="eastAsia" w:asciiTheme="majorHAnsi" w:hAnsiTheme="majorHAnsi" w:cstheme="majorBidi"/>
          <w:b/>
          <w:bCs/>
          <w:sz w:val="32"/>
          <w:szCs w:val="32"/>
          <w:highlight w:val="none"/>
          <w:lang w:val="en-US" w:eastAsia="zh-CN" w:bidi="ar-SA"/>
        </w:rPr>
        <w:t>四</w:t>
      </w:r>
      <w:r>
        <w:rPr>
          <w:rFonts w:hint="eastAsia" w:eastAsia="Times New Roman" w:asciiTheme="majorHAnsi" w:hAnsiTheme="majorHAnsi" w:cstheme="majorBidi"/>
          <w:b/>
          <w:bCs/>
          <w:sz w:val="32"/>
          <w:szCs w:val="32"/>
          <w:highlight w:val="none"/>
          <w:lang w:val="en-US" w:eastAsia="zh-CN" w:bidi="ar-SA"/>
        </w:rPr>
        <w:t>、不参与围标串标承诺书</w:t>
      </w:r>
    </w:p>
    <w:p w14:paraId="70D7F20B">
      <w:pPr>
        <w:pStyle w:val="4"/>
        <w:keepNext/>
        <w:keepLines/>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eastAsia="宋体" w:asciiTheme="majorHAnsi" w:hAnsiTheme="majorHAnsi" w:cstheme="majorBidi"/>
          <w:b/>
          <w:bCs/>
          <w:color w:val="auto"/>
          <w:kern w:val="2"/>
          <w:sz w:val="32"/>
          <w:szCs w:val="32"/>
          <w:highlight w:val="none"/>
          <w:lang w:val="en-US" w:eastAsia="zh-CN" w:bidi="ar-SA"/>
        </w:rPr>
      </w:pPr>
    </w:p>
    <w:p w14:paraId="75FF23AC">
      <w:pPr>
        <w:jc w:val="center"/>
        <w:rPr>
          <w:rFonts w:hint="eastAsia"/>
          <w:color w:val="auto"/>
          <w:highlight w:val="none"/>
          <w:lang w:val="en-US" w:eastAsia="zh-CN"/>
        </w:rPr>
      </w:pPr>
      <w:r>
        <w:rPr>
          <w:rFonts w:hint="eastAsia" w:cstheme="majorBidi"/>
          <w:b/>
          <w:bCs/>
          <w:color w:val="auto"/>
          <w:kern w:val="2"/>
          <w:sz w:val="32"/>
          <w:szCs w:val="32"/>
          <w:highlight w:val="none"/>
          <w:lang w:val="en-US" w:eastAsia="zh-CN" w:bidi="ar-SA"/>
        </w:rPr>
        <w:t>不参与围标串标承诺书</w:t>
      </w:r>
    </w:p>
    <w:p w14:paraId="6B233C07">
      <w:pPr>
        <w:rPr>
          <w:rFonts w:hint="eastAsia"/>
          <w:color w:val="auto"/>
          <w:highlight w:val="none"/>
          <w:lang w:val="en-US" w:eastAsia="zh-CN"/>
        </w:rPr>
      </w:pPr>
      <w:r>
        <w:rPr>
          <w:rFonts w:hint="eastAsia"/>
          <w:color w:val="auto"/>
          <w:highlight w:val="none"/>
          <w:lang w:val="en-US" w:eastAsia="zh-CN"/>
        </w:rPr>
        <w:t>  </w:t>
      </w:r>
    </w:p>
    <w:p w14:paraId="1ACC5C30">
      <w:pPr>
        <w:keepNext w:val="0"/>
        <w:keepLines w:val="0"/>
        <w:pageBreakBefore w:val="0"/>
        <w:widowControl w:val="0"/>
        <w:kinsoku/>
        <w:wordWrap/>
        <w:overflowPunct/>
        <w:topLinePunct w:val="0"/>
        <w:autoSpaceDE/>
        <w:autoSpaceDN/>
        <w:bidi w:val="0"/>
        <w:adjustRightInd/>
        <w:snapToGrid/>
        <w:ind w:firstLine="400" w:firstLineChars="200"/>
        <w:textAlignment w:val="auto"/>
        <w:rPr>
          <w:rFonts w:hint="eastAsia"/>
          <w:color w:val="auto"/>
          <w:highlight w:val="none"/>
          <w:lang w:val="en-US" w:eastAsia="zh-CN"/>
        </w:rPr>
      </w:pPr>
      <w:r>
        <w:rPr>
          <w:rFonts w:hint="eastAsia"/>
          <w:color w:val="auto"/>
          <w:highlight w:val="none"/>
          <w:lang w:val="en-US" w:eastAsia="zh-CN"/>
        </w:rPr>
        <w:t>本人作为经授权的投标人代表,清楚知晓我单位本项目投标活动,对以下事项作出承诺：</w:t>
      </w:r>
    </w:p>
    <w:p w14:paraId="398E6081">
      <w:pPr>
        <w:keepNext w:val="0"/>
        <w:keepLines w:val="0"/>
        <w:pageBreakBefore w:val="0"/>
        <w:widowControl w:val="0"/>
        <w:kinsoku/>
        <w:wordWrap/>
        <w:overflowPunct/>
        <w:topLinePunct w:val="0"/>
        <w:autoSpaceDE/>
        <w:autoSpaceDN/>
        <w:bidi w:val="0"/>
        <w:adjustRightInd/>
        <w:snapToGrid/>
        <w:ind w:firstLine="400" w:firstLineChars="200"/>
        <w:textAlignment w:val="auto"/>
        <w:rPr>
          <w:rFonts w:hint="eastAsia"/>
          <w:color w:val="auto"/>
          <w:highlight w:val="none"/>
          <w:lang w:val="en-US" w:eastAsia="zh-CN"/>
        </w:rPr>
      </w:pPr>
    </w:p>
    <w:p w14:paraId="26BB11E4">
      <w:pPr>
        <w:keepNext w:val="0"/>
        <w:keepLines w:val="0"/>
        <w:pageBreakBefore w:val="0"/>
        <w:widowControl w:val="0"/>
        <w:kinsoku/>
        <w:wordWrap/>
        <w:overflowPunct/>
        <w:topLinePunct w:val="0"/>
        <w:autoSpaceDE/>
        <w:autoSpaceDN/>
        <w:bidi w:val="0"/>
        <w:adjustRightInd/>
        <w:snapToGrid/>
        <w:ind w:firstLine="400" w:firstLineChars="200"/>
        <w:textAlignment w:val="auto"/>
        <w:rPr>
          <w:rFonts w:hint="eastAsia"/>
          <w:color w:val="auto"/>
          <w:highlight w:val="none"/>
          <w:lang w:val="en-US" w:eastAsia="zh-CN"/>
        </w:rPr>
      </w:pPr>
      <w:r>
        <w:rPr>
          <w:rFonts w:hint="eastAsia"/>
          <w:color w:val="auto"/>
          <w:highlight w:val="none"/>
          <w:lang w:val="en-US" w:eastAsia="zh-CN"/>
        </w:rPr>
        <w:t>一、我单位和我本人遵循公开透明、公平竞争、公正和诚实信用的原则,依法依规参与本项目竞标。</w:t>
      </w:r>
    </w:p>
    <w:p w14:paraId="10BBFC53">
      <w:pPr>
        <w:keepNext w:val="0"/>
        <w:keepLines w:val="0"/>
        <w:pageBreakBefore w:val="0"/>
        <w:widowControl w:val="0"/>
        <w:kinsoku/>
        <w:wordWrap/>
        <w:overflowPunct/>
        <w:topLinePunct w:val="0"/>
        <w:autoSpaceDE/>
        <w:autoSpaceDN/>
        <w:bidi w:val="0"/>
        <w:adjustRightInd/>
        <w:snapToGrid/>
        <w:ind w:firstLine="400" w:firstLineChars="200"/>
        <w:textAlignment w:val="auto"/>
        <w:rPr>
          <w:rFonts w:hint="eastAsia"/>
          <w:color w:val="auto"/>
          <w:highlight w:val="none"/>
          <w:lang w:val="en-US" w:eastAsia="zh-CN"/>
        </w:rPr>
      </w:pPr>
      <w:r>
        <w:rPr>
          <w:rFonts w:hint="eastAsia"/>
          <w:color w:val="auto"/>
          <w:highlight w:val="none"/>
          <w:lang w:val="en-US" w:eastAsia="zh-CN"/>
        </w:rPr>
        <w:t>二、我单位和我本人在本项目政府采购投标活动中,未参与围标串标。</w:t>
      </w:r>
    </w:p>
    <w:p w14:paraId="1A7E3475">
      <w:pPr>
        <w:keepNext w:val="0"/>
        <w:keepLines w:val="0"/>
        <w:pageBreakBefore w:val="0"/>
        <w:widowControl w:val="0"/>
        <w:kinsoku/>
        <w:wordWrap/>
        <w:overflowPunct/>
        <w:topLinePunct w:val="0"/>
        <w:autoSpaceDE/>
        <w:autoSpaceDN/>
        <w:bidi w:val="0"/>
        <w:adjustRightInd/>
        <w:snapToGrid/>
        <w:ind w:firstLine="400" w:firstLineChars="200"/>
        <w:textAlignment w:val="auto"/>
        <w:rPr>
          <w:rFonts w:hint="eastAsia"/>
          <w:color w:val="auto"/>
          <w:highlight w:val="none"/>
          <w:lang w:val="en-US" w:eastAsia="zh-CN"/>
        </w:rPr>
      </w:pPr>
      <w:r>
        <w:rPr>
          <w:rFonts w:hint="eastAsia"/>
          <w:color w:val="auto"/>
          <w:highlight w:val="none"/>
          <w:lang w:val="en-US" w:eastAsia="zh-CN"/>
        </w:rPr>
        <w:t>三、我单位如被查实在本项目政府采购投标活动中存在围标串标的，递交投标文件行为作为实施串通投标违法行为的关键环节,由我单位及法定代表人承担相应的法律责任，接受相应行政处罚和失信惩戒。</w:t>
      </w:r>
    </w:p>
    <w:p w14:paraId="29E3C848">
      <w:pPr>
        <w:pStyle w:val="14"/>
        <w:rPr>
          <w:rFonts w:hint="eastAsia"/>
          <w:color w:val="auto"/>
          <w:highlight w:val="none"/>
          <w:lang w:val="en-US" w:eastAsia="zh-CN"/>
        </w:rPr>
      </w:pPr>
    </w:p>
    <w:p w14:paraId="39CB3E48">
      <w:pPr>
        <w:spacing w:line="560" w:lineRule="exact"/>
        <w:rPr>
          <w:rFonts w:hint="eastAsia" w:ascii="宋体" w:hAnsi="宋体" w:eastAsia="宋体" w:cs="宋体"/>
          <w:color w:val="auto"/>
          <w:kern w:val="0"/>
          <w:sz w:val="24"/>
          <w:szCs w:val="24"/>
          <w:highlight w:val="none"/>
        </w:rPr>
      </w:pPr>
    </w:p>
    <w:p w14:paraId="19648C53">
      <w:pPr>
        <w:spacing w:line="560" w:lineRule="exact"/>
        <w:rPr>
          <w:rFonts w:hint="eastAsia" w:ascii="宋体" w:hAnsi="宋体" w:eastAsia="宋体" w:cs="宋体"/>
          <w:color w:val="auto"/>
          <w:kern w:val="0"/>
          <w:sz w:val="24"/>
          <w:szCs w:val="24"/>
          <w:highlight w:val="none"/>
        </w:rPr>
      </w:pPr>
      <w:r>
        <w:rPr>
          <w:rFonts w:hint="eastAsia" w:cs="宋体"/>
          <w:color w:val="auto"/>
          <w:kern w:val="0"/>
          <w:sz w:val="24"/>
          <w:szCs w:val="24"/>
          <w:highlight w:val="none"/>
          <w:lang w:val="en-US" w:eastAsia="zh-CN"/>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rPr>
        <w:t>：</w:t>
      </w:r>
    </w:p>
    <w:p w14:paraId="2CCE383A">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法定代表人、负责人、本人、或授权代表</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rPr>
        <w:t>：</w:t>
      </w:r>
    </w:p>
    <w:p w14:paraId="692B3277">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14:paraId="13DA43E0">
      <w:pPr>
        <w:widowControl/>
        <w:spacing w:line="560" w:lineRule="exact"/>
        <w:ind w:firstLine="630"/>
        <w:jc w:val="left"/>
        <w:rPr>
          <w:rFonts w:hint="eastAsia" w:ascii="宋体" w:hAnsi="宋体" w:eastAsia="宋体" w:cs="宋体"/>
          <w:color w:val="auto"/>
          <w:kern w:val="0"/>
          <w:sz w:val="24"/>
          <w:szCs w:val="24"/>
          <w:highlight w:val="none"/>
        </w:rPr>
      </w:pPr>
    </w:p>
    <w:p w14:paraId="7CD72A88">
      <w:pPr>
        <w:pStyle w:val="14"/>
        <w:rPr>
          <w:rFonts w:hint="eastAsia"/>
          <w:color w:val="auto"/>
          <w:highlight w:val="none"/>
          <w:lang w:val="en-US" w:eastAsia="zh-CN"/>
        </w:rPr>
      </w:pPr>
    </w:p>
    <w:p w14:paraId="6FC519D1">
      <w:pPr>
        <w:pStyle w:val="14"/>
        <w:rPr>
          <w:rFonts w:hint="eastAsia"/>
          <w:color w:val="auto"/>
          <w:highlight w:val="none"/>
          <w:lang w:val="en-US" w:eastAsia="zh-CN"/>
        </w:rPr>
      </w:pPr>
    </w:p>
    <w:p w14:paraId="7500053D">
      <w:pPr>
        <w:pStyle w:val="14"/>
        <w:rPr>
          <w:rFonts w:hint="eastAsia"/>
          <w:color w:val="auto"/>
          <w:highlight w:val="none"/>
          <w:lang w:val="en-US" w:eastAsia="zh-CN"/>
        </w:rPr>
      </w:pPr>
    </w:p>
    <w:p w14:paraId="5BF64493">
      <w:pPr>
        <w:pStyle w:val="14"/>
        <w:rPr>
          <w:rFonts w:hint="eastAsia"/>
          <w:color w:val="auto"/>
          <w:highlight w:val="none"/>
          <w:lang w:val="en-US" w:eastAsia="zh-CN"/>
        </w:rPr>
      </w:pPr>
    </w:p>
    <w:p w14:paraId="5CA01A8B">
      <w:pPr>
        <w:pStyle w:val="14"/>
        <w:rPr>
          <w:rFonts w:hint="eastAsia"/>
          <w:color w:val="auto"/>
          <w:highlight w:val="none"/>
          <w:lang w:val="en-US" w:eastAsia="zh-CN"/>
        </w:rPr>
      </w:pPr>
    </w:p>
    <w:p w14:paraId="029F743D">
      <w:pPr>
        <w:pStyle w:val="14"/>
        <w:rPr>
          <w:rFonts w:hint="eastAsia"/>
          <w:color w:val="auto"/>
          <w:highlight w:val="none"/>
          <w:lang w:val="en-US" w:eastAsia="zh-CN"/>
        </w:rPr>
      </w:pPr>
    </w:p>
    <w:p w14:paraId="41587146">
      <w:pPr>
        <w:pStyle w:val="14"/>
        <w:rPr>
          <w:rFonts w:hint="eastAsia"/>
          <w:color w:val="auto"/>
          <w:highlight w:val="none"/>
          <w:lang w:val="en-US" w:eastAsia="zh-CN"/>
        </w:rPr>
      </w:pPr>
    </w:p>
    <w:p w14:paraId="34406338">
      <w:pPr>
        <w:pStyle w:val="14"/>
        <w:rPr>
          <w:rFonts w:hint="eastAsia"/>
          <w:color w:val="auto"/>
          <w:highlight w:val="none"/>
          <w:lang w:val="en-US" w:eastAsia="zh-CN"/>
        </w:rPr>
      </w:pPr>
    </w:p>
    <w:p w14:paraId="13DEAFB3">
      <w:pPr>
        <w:pStyle w:val="5"/>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p>
    <w:p w14:paraId="30C8D33E">
      <w:pPr>
        <w:pStyle w:val="4"/>
        <w:bidi w:val="0"/>
        <w:rPr>
          <w:rFonts w:hint="eastAsia"/>
          <w:highlight w:val="none"/>
          <w:lang w:val="zh-CN" w:eastAsia="zh-CN"/>
        </w:rPr>
      </w:pPr>
      <w:bookmarkStart w:id="712" w:name="_Toc32003"/>
      <w:r>
        <w:rPr>
          <w:rFonts w:hint="eastAsia"/>
          <w:highlight w:val="none"/>
          <w:lang w:val="en-US" w:eastAsia="zh-CN"/>
        </w:rPr>
        <w:t>五、</w:t>
      </w:r>
      <w:r>
        <w:rPr>
          <w:rFonts w:hint="eastAsia"/>
          <w:highlight w:val="none"/>
          <w:lang w:val="zh-CN" w:eastAsia="zh-CN"/>
        </w:rPr>
        <w:t>其他资格证明文件</w:t>
      </w:r>
      <w:bookmarkEnd w:id="712"/>
    </w:p>
    <w:p w14:paraId="0C24F0AE">
      <w:pPr>
        <w:pStyle w:val="38"/>
        <w:rPr>
          <w:rFonts w:hint="eastAsia"/>
          <w:color w:val="auto"/>
          <w:highlight w:val="none"/>
        </w:rPr>
      </w:pPr>
      <w:r>
        <w:rPr>
          <w:rFonts w:hint="eastAsia" w:cs="Courier New"/>
          <w:color w:val="auto"/>
          <w:szCs w:val="24"/>
          <w:highlight w:val="none"/>
        </w:rPr>
        <w:t>投标人认为需提供的其它相关资格证明材料</w:t>
      </w:r>
    </w:p>
    <w:p w14:paraId="7C2C3E83">
      <w:pPr>
        <w:pStyle w:val="38"/>
        <w:rPr>
          <w:rFonts w:hint="eastAsia"/>
          <w:color w:val="auto"/>
          <w:highlight w:val="none"/>
        </w:rPr>
      </w:pPr>
    </w:p>
    <w:p w14:paraId="58A36194">
      <w:pPr>
        <w:pStyle w:val="38"/>
        <w:rPr>
          <w:rFonts w:hint="eastAsia"/>
          <w:color w:val="auto"/>
          <w:highlight w:val="none"/>
        </w:rPr>
      </w:pPr>
    </w:p>
    <w:p w14:paraId="3553B395">
      <w:pPr>
        <w:pStyle w:val="38"/>
        <w:rPr>
          <w:rFonts w:hint="eastAsia"/>
          <w:color w:val="auto"/>
          <w:highlight w:val="none"/>
        </w:rPr>
      </w:pPr>
    </w:p>
    <w:p w14:paraId="49D404FC">
      <w:pPr>
        <w:pStyle w:val="38"/>
        <w:rPr>
          <w:rFonts w:hint="eastAsia"/>
          <w:color w:val="auto"/>
          <w:highlight w:val="none"/>
        </w:rPr>
      </w:pPr>
    </w:p>
    <w:p w14:paraId="4B98E4B6">
      <w:pPr>
        <w:pStyle w:val="38"/>
        <w:rPr>
          <w:rFonts w:hint="eastAsia"/>
          <w:color w:val="auto"/>
          <w:highlight w:val="none"/>
        </w:rPr>
      </w:pPr>
    </w:p>
    <w:p w14:paraId="737FEDD3">
      <w:pPr>
        <w:pStyle w:val="38"/>
        <w:rPr>
          <w:rFonts w:hint="eastAsia"/>
          <w:color w:val="auto"/>
          <w:highlight w:val="none"/>
        </w:rPr>
      </w:pPr>
    </w:p>
    <w:p w14:paraId="1C876135">
      <w:pPr>
        <w:pStyle w:val="38"/>
        <w:rPr>
          <w:rFonts w:hint="eastAsia"/>
          <w:color w:val="auto"/>
          <w:highlight w:val="none"/>
        </w:rPr>
      </w:pPr>
    </w:p>
    <w:p w14:paraId="7E85C842">
      <w:pPr>
        <w:pStyle w:val="38"/>
        <w:rPr>
          <w:rFonts w:hint="eastAsia"/>
          <w:color w:val="auto"/>
          <w:highlight w:val="none"/>
        </w:rPr>
      </w:pPr>
    </w:p>
    <w:p w14:paraId="4CBE3B0D">
      <w:pPr>
        <w:pStyle w:val="38"/>
        <w:rPr>
          <w:rFonts w:hint="eastAsia"/>
          <w:color w:val="auto"/>
          <w:highlight w:val="none"/>
        </w:rPr>
      </w:pPr>
    </w:p>
    <w:p w14:paraId="2E6E451F">
      <w:pPr>
        <w:pStyle w:val="38"/>
        <w:rPr>
          <w:rFonts w:hint="eastAsia"/>
          <w:color w:val="auto"/>
          <w:highlight w:val="none"/>
        </w:rPr>
      </w:pPr>
    </w:p>
    <w:p w14:paraId="38DC2C55">
      <w:pPr>
        <w:pStyle w:val="38"/>
        <w:rPr>
          <w:rFonts w:hint="eastAsia"/>
          <w:color w:val="auto"/>
          <w:highlight w:val="none"/>
        </w:rPr>
      </w:pPr>
    </w:p>
    <w:p w14:paraId="04DAFD3C">
      <w:pPr>
        <w:pStyle w:val="38"/>
        <w:rPr>
          <w:rFonts w:hint="eastAsia"/>
          <w:color w:val="auto"/>
          <w:highlight w:val="none"/>
        </w:rPr>
      </w:pPr>
    </w:p>
    <w:p w14:paraId="51E24CDC">
      <w:pPr>
        <w:pStyle w:val="38"/>
        <w:rPr>
          <w:rFonts w:hint="eastAsia"/>
          <w:color w:val="auto"/>
          <w:highlight w:val="none"/>
        </w:rPr>
      </w:pPr>
    </w:p>
    <w:p w14:paraId="1AC1942E">
      <w:pPr>
        <w:pStyle w:val="38"/>
        <w:rPr>
          <w:rFonts w:hint="eastAsia"/>
          <w:color w:val="auto"/>
          <w:highlight w:val="none"/>
        </w:rPr>
      </w:pPr>
    </w:p>
    <w:p w14:paraId="4722E259">
      <w:pPr>
        <w:pStyle w:val="38"/>
        <w:rPr>
          <w:rFonts w:hint="eastAsia"/>
          <w:color w:val="auto"/>
          <w:highlight w:val="none"/>
        </w:rPr>
      </w:pPr>
    </w:p>
    <w:p w14:paraId="07033BD3">
      <w:pPr>
        <w:pStyle w:val="38"/>
        <w:rPr>
          <w:rFonts w:hint="eastAsia"/>
          <w:color w:val="auto"/>
          <w:highlight w:val="none"/>
        </w:rPr>
      </w:pPr>
    </w:p>
    <w:p w14:paraId="6E1D094D">
      <w:pPr>
        <w:pStyle w:val="38"/>
        <w:rPr>
          <w:rFonts w:hint="eastAsia"/>
          <w:color w:val="auto"/>
          <w:highlight w:val="none"/>
        </w:rPr>
      </w:pPr>
    </w:p>
    <w:p w14:paraId="23B0DB54">
      <w:pPr>
        <w:pStyle w:val="38"/>
        <w:rPr>
          <w:rFonts w:hint="eastAsia"/>
          <w:color w:val="auto"/>
          <w:highlight w:val="none"/>
        </w:rPr>
      </w:pPr>
    </w:p>
    <w:p w14:paraId="07159DF6">
      <w:pPr>
        <w:pStyle w:val="38"/>
        <w:rPr>
          <w:rFonts w:hint="eastAsia"/>
          <w:color w:val="auto"/>
          <w:highlight w:val="none"/>
        </w:rPr>
      </w:pPr>
    </w:p>
    <w:p w14:paraId="44B3A5AA">
      <w:pPr>
        <w:pStyle w:val="38"/>
        <w:rPr>
          <w:rFonts w:hint="eastAsia"/>
          <w:color w:val="auto"/>
          <w:highlight w:val="none"/>
        </w:rPr>
      </w:pPr>
    </w:p>
    <w:p w14:paraId="05BB178A">
      <w:pPr>
        <w:pStyle w:val="38"/>
        <w:rPr>
          <w:rFonts w:hint="eastAsia"/>
          <w:color w:val="auto"/>
          <w:highlight w:val="none"/>
        </w:rPr>
      </w:pPr>
    </w:p>
    <w:p w14:paraId="0E7980AB">
      <w:pPr>
        <w:pStyle w:val="38"/>
        <w:rPr>
          <w:rFonts w:hint="eastAsia"/>
          <w:color w:val="auto"/>
          <w:highlight w:val="none"/>
        </w:rPr>
      </w:pPr>
    </w:p>
    <w:p w14:paraId="5A09B930">
      <w:pPr>
        <w:pStyle w:val="38"/>
        <w:rPr>
          <w:rFonts w:hint="eastAsia"/>
          <w:color w:val="auto"/>
          <w:highlight w:val="none"/>
        </w:rPr>
      </w:pPr>
    </w:p>
    <w:p w14:paraId="3FB1F62E">
      <w:pPr>
        <w:pStyle w:val="38"/>
        <w:rPr>
          <w:rFonts w:hint="eastAsia"/>
          <w:color w:val="auto"/>
          <w:highlight w:val="none"/>
        </w:rPr>
      </w:pPr>
    </w:p>
    <w:p w14:paraId="3E9AC4C9">
      <w:pPr>
        <w:pStyle w:val="38"/>
        <w:rPr>
          <w:rFonts w:hint="eastAsia"/>
          <w:color w:val="auto"/>
          <w:highlight w:val="none"/>
        </w:rPr>
      </w:pPr>
    </w:p>
    <w:p w14:paraId="04384634">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0582944">
      <w:pPr>
        <w:ind w:firstLine="400" w:firstLineChars="200"/>
        <w:rPr>
          <w:rFonts w:cs="仿宋_GB2312"/>
          <w:color w:val="auto"/>
          <w:szCs w:val="24"/>
          <w:highlight w:val="none"/>
          <w:lang w:val="zh-CN"/>
        </w:rPr>
      </w:pPr>
      <w:r>
        <w:rPr>
          <w:rFonts w:hint="eastAsia" w:cs="仿宋_GB2312"/>
          <w:color w:val="auto"/>
          <w:szCs w:val="24"/>
          <w:highlight w:val="none"/>
          <w:lang w:val="zh-CN"/>
        </w:rPr>
        <w:t>封面：</w:t>
      </w:r>
    </w:p>
    <w:p w14:paraId="4D1553A3">
      <w:pPr>
        <w:autoSpaceDE w:val="0"/>
        <w:autoSpaceDN w:val="0"/>
        <w:adjustRightInd w:val="0"/>
        <w:rPr>
          <w:color w:val="auto"/>
          <w:sz w:val="21"/>
          <w:szCs w:val="24"/>
          <w:highlight w:val="none"/>
        </w:rPr>
      </w:pPr>
    </w:p>
    <w:p w14:paraId="4625D57D">
      <w:pPr>
        <w:autoSpaceDE w:val="0"/>
        <w:autoSpaceDN w:val="0"/>
        <w:adjustRightInd w:val="0"/>
        <w:rPr>
          <w:color w:val="auto"/>
          <w:sz w:val="21"/>
          <w:szCs w:val="24"/>
          <w:highlight w:val="none"/>
        </w:rPr>
      </w:pPr>
    </w:p>
    <w:p w14:paraId="426BCEA1">
      <w:pPr>
        <w:autoSpaceDE w:val="0"/>
        <w:autoSpaceDN w:val="0"/>
        <w:adjustRightInd w:val="0"/>
        <w:jc w:val="center"/>
        <w:rPr>
          <w:color w:val="auto"/>
          <w:sz w:val="21"/>
          <w:szCs w:val="24"/>
          <w:highlight w:val="none"/>
        </w:rPr>
      </w:pPr>
    </w:p>
    <w:p w14:paraId="3902644C">
      <w:pPr>
        <w:pStyle w:val="4"/>
        <w:bidi w:val="0"/>
        <w:jc w:val="center"/>
        <w:rPr>
          <w:sz w:val="84"/>
          <w:szCs w:val="84"/>
          <w:highlight w:val="none"/>
        </w:rPr>
      </w:pPr>
      <w:bookmarkStart w:id="713" w:name="_Toc29564"/>
      <w:r>
        <w:rPr>
          <w:rFonts w:hint="eastAsia"/>
          <w:sz w:val="84"/>
          <w:szCs w:val="84"/>
          <w:highlight w:val="none"/>
        </w:rPr>
        <w:t>投 标 文 件</w:t>
      </w:r>
      <w:bookmarkEnd w:id="713"/>
    </w:p>
    <w:p w14:paraId="5B89FC04">
      <w:pPr>
        <w:pStyle w:val="4"/>
        <w:bidi w:val="0"/>
        <w:jc w:val="center"/>
        <w:rPr>
          <w:rFonts w:hint="eastAsia"/>
          <w:sz w:val="56"/>
          <w:szCs w:val="56"/>
          <w:highlight w:val="none"/>
          <w:lang w:val="en-US" w:eastAsia="zh-CN"/>
        </w:rPr>
      </w:pPr>
      <w:bookmarkStart w:id="714" w:name="_Toc31409"/>
      <w:r>
        <w:rPr>
          <w:rFonts w:hint="eastAsia"/>
          <w:sz w:val="56"/>
          <w:szCs w:val="56"/>
          <w:highlight w:val="none"/>
          <w:lang w:val="en-US" w:eastAsia="zh-CN"/>
        </w:rPr>
        <w:t>报价文件</w:t>
      </w:r>
      <w:bookmarkEnd w:id="714"/>
    </w:p>
    <w:p w14:paraId="5531C7E5">
      <w:pPr>
        <w:autoSpaceDE w:val="0"/>
        <w:autoSpaceDN w:val="0"/>
        <w:adjustRightInd w:val="0"/>
        <w:jc w:val="center"/>
        <w:rPr>
          <w:rFonts w:hint="eastAsia" w:eastAsia="宋体"/>
          <w:color w:val="auto"/>
          <w:sz w:val="36"/>
          <w:szCs w:val="36"/>
          <w:highlight w:val="none"/>
          <w:lang w:eastAsia="zh-CN"/>
        </w:rPr>
      </w:pPr>
      <w:r>
        <w:rPr>
          <w:rFonts w:hint="eastAsia"/>
          <w:color w:val="auto"/>
          <w:sz w:val="36"/>
          <w:szCs w:val="36"/>
          <w:highlight w:val="none"/>
          <w:lang w:val="en-US" w:eastAsia="zh-CN"/>
        </w:rPr>
        <w:t>（第XX包</w:t>
      </w:r>
      <w:r>
        <w:rPr>
          <w:rFonts w:hint="eastAsia"/>
          <w:color w:val="auto"/>
          <w:sz w:val="36"/>
          <w:szCs w:val="36"/>
          <w:highlight w:val="none"/>
          <w:lang w:eastAsia="zh-CN"/>
        </w:rPr>
        <w:t>）【</w:t>
      </w:r>
      <w:r>
        <w:rPr>
          <w:rFonts w:hint="eastAsia"/>
          <w:color w:val="auto"/>
          <w:sz w:val="36"/>
          <w:szCs w:val="36"/>
          <w:highlight w:val="none"/>
          <w:lang w:val="en-US" w:eastAsia="zh-CN"/>
        </w:rPr>
        <w:t>如不分包，请删去本行</w:t>
      </w:r>
      <w:r>
        <w:rPr>
          <w:rFonts w:hint="eastAsia"/>
          <w:color w:val="auto"/>
          <w:sz w:val="36"/>
          <w:szCs w:val="36"/>
          <w:highlight w:val="none"/>
          <w:lang w:eastAsia="zh-CN"/>
        </w:rPr>
        <w:t>】</w:t>
      </w:r>
    </w:p>
    <w:p w14:paraId="054E0C81">
      <w:pPr>
        <w:outlineLvl w:val="9"/>
        <w:rPr>
          <w:color w:val="auto"/>
          <w:sz w:val="21"/>
          <w:szCs w:val="21"/>
          <w:highlight w:val="none"/>
        </w:rPr>
      </w:pPr>
    </w:p>
    <w:p w14:paraId="425E1EDC">
      <w:pPr>
        <w:rPr>
          <w:color w:val="auto"/>
          <w:sz w:val="21"/>
          <w:szCs w:val="21"/>
          <w:highlight w:val="none"/>
        </w:rPr>
      </w:pPr>
    </w:p>
    <w:p w14:paraId="5FFD5616">
      <w:pPr>
        <w:rPr>
          <w:color w:val="auto"/>
          <w:highlight w:val="none"/>
        </w:rPr>
      </w:pPr>
    </w:p>
    <w:p w14:paraId="0338FA55">
      <w:pPr>
        <w:autoSpaceDE w:val="0"/>
        <w:autoSpaceDN w:val="0"/>
        <w:adjustRightInd w:val="0"/>
        <w:rPr>
          <w:color w:val="auto"/>
          <w:sz w:val="21"/>
          <w:szCs w:val="21"/>
          <w:highlight w:val="none"/>
        </w:rPr>
      </w:pPr>
    </w:p>
    <w:p w14:paraId="336C0AE3">
      <w:pPr>
        <w:autoSpaceDE w:val="0"/>
        <w:autoSpaceDN w:val="0"/>
        <w:adjustRightInd w:val="0"/>
        <w:rPr>
          <w:color w:val="auto"/>
          <w:sz w:val="21"/>
          <w:szCs w:val="21"/>
          <w:highlight w:val="none"/>
        </w:rPr>
      </w:pPr>
    </w:p>
    <w:p w14:paraId="6F475132">
      <w:pPr>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0173F70E">
      <w:pPr>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101680F9">
      <w:pPr>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13B6644C">
      <w:pPr>
        <w:ind w:left="840" w:firstLine="420"/>
        <w:rPr>
          <w:b/>
          <w:bCs/>
          <w:color w:val="auto"/>
          <w:sz w:val="28"/>
          <w:szCs w:val="28"/>
          <w:highlight w:val="none"/>
        </w:rPr>
      </w:pPr>
    </w:p>
    <w:p w14:paraId="5776D25B">
      <w:pPr>
        <w:ind w:left="840" w:firstLine="420"/>
        <w:rPr>
          <w:b/>
          <w:bCs/>
          <w:color w:val="auto"/>
          <w:sz w:val="28"/>
          <w:szCs w:val="28"/>
          <w:highlight w:val="none"/>
        </w:rPr>
      </w:pPr>
    </w:p>
    <w:p w14:paraId="153E0B10">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2B025C97">
      <w:pPr>
        <w:rPr>
          <w:color w:val="auto"/>
          <w:highlight w:val="none"/>
          <w:lang w:val="zh-CN"/>
        </w:rPr>
      </w:pPr>
      <w:r>
        <w:rPr>
          <w:color w:val="auto"/>
          <w:highlight w:val="none"/>
          <w:lang w:val="zh-CN"/>
        </w:rPr>
        <w:br w:type="page"/>
      </w:r>
    </w:p>
    <w:p w14:paraId="5A6B7717">
      <w:pPr>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outlineLvl w:val="9"/>
        <w:rPr>
          <w:rFonts w:hint="eastAsia" w:cstheme="majorBidi"/>
          <w:b/>
          <w:bCs/>
          <w:color w:val="auto"/>
          <w:kern w:val="2"/>
          <w:sz w:val="32"/>
          <w:szCs w:val="32"/>
          <w:highlight w:val="none"/>
          <w:lang w:val="en-US" w:eastAsia="zh-CN" w:bidi="ar-SA"/>
        </w:rPr>
      </w:pPr>
    </w:p>
    <w:p w14:paraId="730DA0BC">
      <w:pPr>
        <w:pStyle w:val="4"/>
        <w:bidi w:val="0"/>
        <w:jc w:val="center"/>
        <w:rPr>
          <w:rFonts w:hint="eastAsia"/>
          <w:highlight w:val="none"/>
          <w:lang w:val="en-US" w:eastAsia="zh-CN"/>
        </w:rPr>
      </w:pPr>
      <w:bookmarkStart w:id="715" w:name="_Toc30888"/>
      <w:r>
        <w:rPr>
          <w:rFonts w:hint="eastAsia"/>
          <w:highlight w:val="none"/>
          <w:lang w:val="en-US" w:eastAsia="zh-CN"/>
        </w:rPr>
        <w:t>一、开标一览表</w:t>
      </w:r>
      <w:bookmarkEnd w:id="715"/>
    </w:p>
    <w:p w14:paraId="2AB3D72A">
      <w:pPr>
        <w:spacing w:line="300" w:lineRule="auto"/>
        <w:rPr>
          <w:rFonts w:cs="仿宋_GB2312"/>
          <w:color w:val="auto"/>
          <w:szCs w:val="24"/>
          <w:highlight w:val="none"/>
        </w:rPr>
      </w:pPr>
    </w:p>
    <w:p w14:paraId="599D3A7B">
      <w:pPr>
        <w:rPr>
          <w:b w:val="0"/>
          <w:bCs/>
          <w:color w:val="auto"/>
          <w:szCs w:val="21"/>
          <w:highlight w:val="none"/>
          <w:lang w:val="zh-CN"/>
        </w:rPr>
      </w:pPr>
      <w:r>
        <w:rPr>
          <w:rFonts w:hint="eastAsia"/>
          <w:b w:val="0"/>
          <w:bCs/>
          <w:color w:val="auto"/>
          <w:szCs w:val="21"/>
          <w:highlight w:val="none"/>
          <w:lang w:val="zh-CN"/>
        </w:rPr>
        <w:t>项目名称：</w:t>
      </w:r>
      <w:r>
        <w:rPr>
          <w:rFonts w:hint="eastAsia"/>
          <w:b w:val="0"/>
          <w:bCs/>
          <w:color w:val="auto"/>
          <w:szCs w:val="21"/>
          <w:highlight w:val="none"/>
          <w:u w:val="single"/>
          <w:lang w:val="zh-CN"/>
        </w:rPr>
        <w:t xml:space="preserve">                     </w:t>
      </w:r>
    </w:p>
    <w:p w14:paraId="0CABFDF4">
      <w:pPr>
        <w:rPr>
          <w:b w:val="0"/>
          <w:bCs/>
          <w:color w:val="auto"/>
          <w:szCs w:val="21"/>
          <w:highlight w:val="none"/>
          <w:u w:val="single"/>
          <w:lang w:val="zh-CN"/>
        </w:rPr>
      </w:pPr>
      <w:r>
        <w:rPr>
          <w:rFonts w:hint="eastAsia"/>
          <w:b w:val="0"/>
          <w:bCs/>
          <w:color w:val="auto"/>
          <w:szCs w:val="21"/>
          <w:highlight w:val="none"/>
          <w:lang w:val="zh-CN"/>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b w:val="0"/>
          <w:bCs/>
          <w:color w:val="auto"/>
          <w:szCs w:val="21"/>
          <w:highlight w:val="none"/>
          <w:u w:val="single"/>
          <w:lang w:val="zh-CN"/>
        </w:rPr>
        <w:t xml:space="preserve">                </w:t>
      </w:r>
    </w:p>
    <w:tbl>
      <w:tblPr>
        <w:tblStyle w:val="31"/>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352"/>
        <w:gridCol w:w="2161"/>
        <w:gridCol w:w="2611"/>
      </w:tblGrid>
      <w:tr w14:paraId="5F27D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403" w:type="dxa"/>
            <w:vAlign w:val="center"/>
          </w:tcPr>
          <w:p w14:paraId="68B46E6E">
            <w:pPr>
              <w:widowControl/>
              <w:autoSpaceDE w:val="0"/>
              <w:autoSpaceDN w:val="0"/>
              <w:spacing w:line="240" w:lineRule="auto"/>
              <w:jc w:val="center"/>
              <w:textAlignment w:val="bottom"/>
              <w:rPr>
                <w:color w:val="auto"/>
                <w:sz w:val="24"/>
                <w:szCs w:val="24"/>
                <w:highlight w:val="none"/>
              </w:rPr>
            </w:pPr>
            <w:r>
              <w:rPr>
                <w:rFonts w:hint="eastAsia"/>
                <w:color w:val="auto"/>
                <w:sz w:val="24"/>
                <w:szCs w:val="24"/>
                <w:highlight w:val="none"/>
              </w:rPr>
              <w:t>序号</w:t>
            </w:r>
          </w:p>
        </w:tc>
        <w:tc>
          <w:tcPr>
            <w:tcW w:w="2352" w:type="dxa"/>
            <w:vAlign w:val="center"/>
          </w:tcPr>
          <w:p w14:paraId="5D10FF2E">
            <w:pPr>
              <w:widowControl/>
              <w:autoSpaceDE w:val="0"/>
              <w:autoSpaceDN w:val="0"/>
              <w:spacing w:line="240" w:lineRule="auto"/>
              <w:ind w:left="851" w:hanging="851"/>
              <w:jc w:val="center"/>
              <w:textAlignment w:val="bottom"/>
              <w:rPr>
                <w:color w:val="auto"/>
                <w:sz w:val="24"/>
                <w:szCs w:val="24"/>
                <w:highlight w:val="none"/>
              </w:rPr>
            </w:pPr>
            <w:r>
              <w:rPr>
                <w:rFonts w:hint="eastAsia"/>
                <w:color w:val="auto"/>
                <w:sz w:val="24"/>
                <w:szCs w:val="24"/>
                <w:highlight w:val="none"/>
              </w:rPr>
              <w:t>投标报价</w:t>
            </w:r>
          </w:p>
        </w:tc>
        <w:tc>
          <w:tcPr>
            <w:tcW w:w="2161" w:type="dxa"/>
            <w:vAlign w:val="center"/>
          </w:tcPr>
          <w:p w14:paraId="48CC1886">
            <w:pPr>
              <w:widowControl/>
              <w:autoSpaceDE w:val="0"/>
              <w:autoSpaceDN w:val="0"/>
              <w:spacing w:line="240" w:lineRule="auto"/>
              <w:ind w:left="851" w:hanging="851"/>
              <w:jc w:val="center"/>
              <w:textAlignment w:val="bottom"/>
              <w:rPr>
                <w:color w:val="auto"/>
                <w:sz w:val="24"/>
                <w:szCs w:val="24"/>
                <w:highlight w:val="none"/>
              </w:rPr>
            </w:pPr>
            <w:r>
              <w:rPr>
                <w:rFonts w:hint="eastAsia"/>
                <w:color w:val="auto"/>
                <w:sz w:val="24"/>
                <w:szCs w:val="24"/>
                <w:highlight w:val="none"/>
              </w:rPr>
              <w:t>交货期限</w:t>
            </w:r>
          </w:p>
        </w:tc>
        <w:tc>
          <w:tcPr>
            <w:tcW w:w="2611" w:type="dxa"/>
            <w:vAlign w:val="center"/>
          </w:tcPr>
          <w:p w14:paraId="620875ED">
            <w:pPr>
              <w:widowControl/>
              <w:autoSpaceDE w:val="0"/>
              <w:autoSpaceDN w:val="0"/>
              <w:spacing w:line="240" w:lineRule="auto"/>
              <w:jc w:val="center"/>
              <w:textAlignment w:val="bottom"/>
              <w:rPr>
                <w:color w:val="auto"/>
                <w:sz w:val="24"/>
                <w:szCs w:val="24"/>
                <w:highlight w:val="none"/>
              </w:rPr>
            </w:pPr>
            <w:r>
              <w:rPr>
                <w:rFonts w:hint="eastAsia"/>
                <w:color w:val="auto"/>
                <w:sz w:val="24"/>
                <w:szCs w:val="24"/>
                <w:highlight w:val="none"/>
              </w:rPr>
              <w:t>备注（如有）</w:t>
            </w:r>
          </w:p>
        </w:tc>
      </w:tr>
      <w:tr w14:paraId="1B090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403" w:type="dxa"/>
            <w:vAlign w:val="center"/>
          </w:tcPr>
          <w:p w14:paraId="73431128">
            <w:pPr>
              <w:widowControl/>
              <w:autoSpaceDE w:val="0"/>
              <w:autoSpaceDN w:val="0"/>
              <w:spacing w:line="240" w:lineRule="auto"/>
              <w:ind w:left="851" w:hanging="851"/>
              <w:jc w:val="center"/>
              <w:textAlignment w:val="bottom"/>
              <w:rPr>
                <w:rFonts w:hint="eastAsia"/>
                <w:color w:val="auto"/>
                <w:sz w:val="24"/>
                <w:szCs w:val="24"/>
                <w:highlight w:val="none"/>
              </w:rPr>
            </w:pPr>
          </w:p>
        </w:tc>
        <w:tc>
          <w:tcPr>
            <w:tcW w:w="2352" w:type="dxa"/>
            <w:vAlign w:val="center"/>
          </w:tcPr>
          <w:p w14:paraId="45A40F19">
            <w:pPr>
              <w:widowControl/>
              <w:shd w:val="clear"/>
              <w:autoSpaceDE w:val="0"/>
              <w:autoSpaceDN w:val="0"/>
              <w:spacing w:line="240" w:lineRule="auto"/>
              <w:ind w:left="851" w:hanging="851"/>
              <w:jc w:val="both"/>
              <w:textAlignment w:val="bottom"/>
              <w:rPr>
                <w:rFonts w:hint="eastAsia"/>
                <w:color w:val="auto"/>
                <w:sz w:val="24"/>
                <w:szCs w:val="24"/>
                <w:highlight w:val="none"/>
                <w:lang w:val="en-US" w:eastAsia="zh-CN"/>
              </w:rPr>
            </w:pPr>
            <w:r>
              <w:rPr>
                <w:rFonts w:hint="eastAsia"/>
                <w:color w:val="auto"/>
                <w:sz w:val="24"/>
                <w:szCs w:val="24"/>
                <w:highlight w:val="none"/>
                <w:lang w:val="en-US" w:eastAsia="zh-CN"/>
              </w:rPr>
              <w:t>小写：</w:t>
            </w:r>
          </w:p>
          <w:p w14:paraId="11F7915D">
            <w:pPr>
              <w:widowControl/>
              <w:shd w:val="clear"/>
              <w:autoSpaceDE w:val="0"/>
              <w:autoSpaceDN w:val="0"/>
              <w:spacing w:line="240" w:lineRule="auto"/>
              <w:ind w:left="851" w:hanging="851"/>
              <w:jc w:val="both"/>
              <w:textAlignment w:val="bottom"/>
              <w:rPr>
                <w:rFonts w:hint="default"/>
                <w:color w:val="auto"/>
                <w:sz w:val="24"/>
                <w:szCs w:val="24"/>
                <w:highlight w:val="none"/>
                <w:lang w:val="en-US" w:eastAsia="zh-CN"/>
              </w:rPr>
            </w:pPr>
            <w:r>
              <w:rPr>
                <w:rFonts w:hint="eastAsia"/>
                <w:color w:val="auto"/>
                <w:sz w:val="24"/>
                <w:szCs w:val="24"/>
                <w:highlight w:val="none"/>
                <w:lang w:val="en-US" w:eastAsia="zh-CN"/>
              </w:rPr>
              <w:t>大写：</w:t>
            </w:r>
          </w:p>
        </w:tc>
        <w:tc>
          <w:tcPr>
            <w:tcW w:w="2161" w:type="dxa"/>
            <w:vAlign w:val="center"/>
          </w:tcPr>
          <w:p w14:paraId="3409D243">
            <w:pPr>
              <w:widowControl/>
              <w:autoSpaceDE w:val="0"/>
              <w:autoSpaceDN w:val="0"/>
              <w:spacing w:line="240" w:lineRule="auto"/>
              <w:ind w:left="851" w:hanging="851"/>
              <w:jc w:val="center"/>
              <w:textAlignment w:val="bottom"/>
              <w:rPr>
                <w:rFonts w:hint="eastAsia"/>
                <w:color w:val="auto"/>
                <w:sz w:val="24"/>
                <w:szCs w:val="24"/>
                <w:highlight w:val="none"/>
              </w:rPr>
            </w:pPr>
          </w:p>
        </w:tc>
        <w:tc>
          <w:tcPr>
            <w:tcW w:w="2611" w:type="dxa"/>
            <w:vAlign w:val="center"/>
          </w:tcPr>
          <w:p w14:paraId="35602B49">
            <w:pPr>
              <w:widowControl/>
              <w:autoSpaceDE w:val="0"/>
              <w:autoSpaceDN w:val="0"/>
              <w:spacing w:line="240" w:lineRule="auto"/>
              <w:ind w:left="851" w:hanging="851"/>
              <w:jc w:val="center"/>
              <w:textAlignment w:val="bottom"/>
              <w:rPr>
                <w:rFonts w:hint="eastAsia"/>
                <w:color w:val="auto"/>
                <w:sz w:val="24"/>
                <w:szCs w:val="24"/>
                <w:highlight w:val="none"/>
              </w:rPr>
            </w:pPr>
          </w:p>
        </w:tc>
      </w:tr>
    </w:tbl>
    <w:p w14:paraId="486E37D7">
      <w:pPr>
        <w:spacing w:line="300" w:lineRule="auto"/>
        <w:rPr>
          <w:rFonts w:ascii="Arial" w:hAnsi="Arial" w:cs="Arial"/>
          <w:color w:val="auto"/>
          <w:szCs w:val="21"/>
          <w:highlight w:val="none"/>
          <w:u w:val="single"/>
        </w:rPr>
      </w:pPr>
    </w:p>
    <w:p w14:paraId="0270EFB4">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Arial" w:hAnsi="Arial" w:cs="Arial"/>
          <w:color w:val="auto"/>
          <w:szCs w:val="21"/>
          <w:highlight w:val="none"/>
        </w:rPr>
        <w:t>：</w:t>
      </w:r>
    </w:p>
    <w:p w14:paraId="6302F8A6">
      <w:pPr>
        <w:spacing w:line="300" w:lineRule="auto"/>
        <w:rPr>
          <w:rFonts w:ascii="Arial" w:hAnsi="Arial" w:cs="Arial"/>
          <w:color w:val="auto"/>
          <w:szCs w:val="21"/>
          <w:highlight w:val="none"/>
          <w:u w:val="single"/>
        </w:rPr>
      </w:pPr>
      <w:r>
        <w:rPr>
          <w:rFonts w:ascii="Arial" w:hAnsi="Arial" w:cs="Arial"/>
          <w:color w:val="auto"/>
          <w:szCs w:val="21"/>
          <w:highlight w:val="none"/>
        </w:rPr>
        <w:t>日期：</w:t>
      </w:r>
    </w:p>
    <w:p w14:paraId="722CC087">
      <w:pPr>
        <w:rPr>
          <w:rFonts w:cs="Arial"/>
          <w:color w:val="auto"/>
          <w:szCs w:val="24"/>
          <w:highlight w:val="none"/>
        </w:rPr>
      </w:pPr>
    </w:p>
    <w:p w14:paraId="21BB3A26">
      <w:pPr>
        <w:pStyle w:val="14"/>
        <w:rPr>
          <w:rFonts w:cs="Arial"/>
          <w:color w:val="auto"/>
          <w:szCs w:val="24"/>
          <w:highlight w:val="none"/>
        </w:rPr>
      </w:pPr>
    </w:p>
    <w:p w14:paraId="4C551945">
      <w:pPr>
        <w:pStyle w:val="14"/>
        <w:rPr>
          <w:rFonts w:cs="Arial"/>
          <w:color w:val="auto"/>
          <w:szCs w:val="24"/>
          <w:highlight w:val="none"/>
        </w:rPr>
      </w:pPr>
    </w:p>
    <w:p w14:paraId="09ACCEBB">
      <w:pPr>
        <w:pStyle w:val="14"/>
        <w:rPr>
          <w:rFonts w:cs="Arial"/>
          <w:color w:val="auto"/>
          <w:szCs w:val="24"/>
          <w:highlight w:val="none"/>
        </w:rPr>
      </w:pPr>
    </w:p>
    <w:p w14:paraId="54CAC625">
      <w:pPr>
        <w:pStyle w:val="14"/>
        <w:rPr>
          <w:rFonts w:cs="Arial"/>
          <w:color w:val="auto"/>
          <w:szCs w:val="24"/>
          <w:highlight w:val="none"/>
        </w:rPr>
      </w:pPr>
    </w:p>
    <w:p w14:paraId="5D119674">
      <w:pPr>
        <w:spacing w:line="360" w:lineRule="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注：</w:t>
      </w:r>
    </w:p>
    <w:p w14:paraId="7BF32ACE">
      <w:pPr>
        <w:spacing w:line="360" w:lineRule="auto"/>
        <w:ind w:firstLine="43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1.此表用于开标唱标之用。</w:t>
      </w:r>
    </w:p>
    <w:p w14:paraId="7C885789">
      <w:pPr>
        <w:spacing w:line="360" w:lineRule="auto"/>
        <w:ind w:firstLine="43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2.表中投标报价即为优惠后报价，并作为评审及定标依据。任何有选择或有条件的投标报价，或者表中某一包填写多个报价，均为无效报价。</w:t>
      </w:r>
    </w:p>
    <w:p w14:paraId="68588FF0">
      <w:pPr>
        <w:pStyle w:val="14"/>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.表中大写与小写不一致的，以大写为准。</w:t>
      </w:r>
    </w:p>
    <w:p w14:paraId="4D6E4C40">
      <w:pPr>
        <w:pStyle w:val="14"/>
        <w:ind w:firstLine="480" w:firstLineChars="200"/>
        <w:rPr>
          <w:rFonts w:hint="eastAsia" w:ascii="宋体" w:hAnsi="宋体" w:eastAsia="宋体" w:cs="宋体"/>
          <w:color w:val="auto"/>
          <w:sz w:val="24"/>
          <w:szCs w:val="24"/>
          <w:highlight w:val="none"/>
        </w:rPr>
      </w:pPr>
    </w:p>
    <w:p w14:paraId="5E0B168A">
      <w:pPr>
        <w:pStyle w:val="14"/>
        <w:ind w:firstLine="480" w:firstLineChars="200"/>
        <w:rPr>
          <w:rFonts w:hint="eastAsia" w:ascii="宋体" w:hAnsi="宋体" w:eastAsia="宋体" w:cs="宋体"/>
          <w:color w:val="auto"/>
          <w:sz w:val="24"/>
          <w:szCs w:val="24"/>
          <w:highlight w:val="none"/>
        </w:rPr>
      </w:pPr>
    </w:p>
    <w:p w14:paraId="050DEE08">
      <w:pPr>
        <w:pStyle w:val="14"/>
        <w:ind w:firstLine="480" w:firstLineChars="200"/>
        <w:rPr>
          <w:rFonts w:hint="eastAsia" w:ascii="宋体" w:hAnsi="宋体" w:eastAsia="宋体" w:cs="宋体"/>
          <w:color w:val="auto"/>
          <w:sz w:val="24"/>
          <w:szCs w:val="24"/>
          <w:highlight w:val="none"/>
        </w:rPr>
      </w:pPr>
    </w:p>
    <w:p w14:paraId="6229B505">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sectPr>
          <w:footerReference r:id="rId13"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14:paraId="7B2B178E">
      <w:pPr>
        <w:pStyle w:val="4"/>
        <w:bidi w:val="0"/>
        <w:jc w:val="center"/>
        <w:rPr>
          <w:rFonts w:hint="eastAsia"/>
          <w:highlight w:val="none"/>
          <w:lang w:val="en-US" w:eastAsia="zh-CN"/>
        </w:rPr>
      </w:pPr>
      <w:bookmarkStart w:id="716" w:name="_Toc2480"/>
      <w:r>
        <w:rPr>
          <w:rFonts w:hint="eastAsia"/>
          <w:highlight w:val="none"/>
          <w:lang w:val="en-US" w:eastAsia="zh-CN"/>
        </w:rPr>
        <w:t>二、分项报价表</w:t>
      </w:r>
      <w:bookmarkEnd w:id="716"/>
    </w:p>
    <w:p w14:paraId="3C0402CB">
      <w:pPr>
        <w:spacing w:line="240" w:lineRule="auto"/>
        <w:rPr>
          <w:b w:val="0"/>
          <w:bCs/>
          <w:color w:val="auto"/>
          <w:szCs w:val="21"/>
          <w:highlight w:val="none"/>
          <w:lang w:val="zh-CN"/>
        </w:rPr>
      </w:pPr>
      <w:r>
        <w:rPr>
          <w:rFonts w:hint="eastAsia"/>
          <w:b w:val="0"/>
          <w:bCs/>
          <w:color w:val="auto"/>
          <w:szCs w:val="21"/>
          <w:highlight w:val="none"/>
          <w:lang w:val="zh-CN"/>
        </w:rPr>
        <w:t>项目名称：</w:t>
      </w:r>
      <w:r>
        <w:rPr>
          <w:rFonts w:hint="eastAsia"/>
          <w:b w:val="0"/>
          <w:bCs/>
          <w:color w:val="auto"/>
          <w:szCs w:val="21"/>
          <w:highlight w:val="none"/>
          <w:u w:val="single"/>
          <w:lang w:val="zh-CN"/>
        </w:rPr>
        <w:t xml:space="preserve">                  </w:t>
      </w:r>
      <w:r>
        <w:rPr>
          <w:rFonts w:hint="eastAsia"/>
          <w:b w:val="0"/>
          <w:bCs/>
          <w:color w:val="auto"/>
          <w:szCs w:val="21"/>
          <w:highlight w:val="none"/>
          <w:u w:val="single"/>
          <w:lang w:val="en-US" w:eastAsia="zh-CN"/>
        </w:rPr>
        <w:t xml:space="preserve">     </w:t>
      </w:r>
      <w:r>
        <w:rPr>
          <w:rFonts w:hint="eastAsia"/>
          <w:b w:val="0"/>
          <w:bCs/>
          <w:color w:val="auto"/>
          <w:szCs w:val="21"/>
          <w:highlight w:val="none"/>
          <w:u w:val="single"/>
          <w:lang w:val="zh-CN"/>
        </w:rPr>
        <w:t xml:space="preserve">   </w:t>
      </w:r>
    </w:p>
    <w:p w14:paraId="5456D210">
      <w:pPr>
        <w:spacing w:line="240" w:lineRule="auto"/>
        <w:rPr>
          <w:rFonts w:hint="eastAsia"/>
          <w:b w:val="0"/>
          <w:bCs/>
          <w:color w:val="auto"/>
          <w:szCs w:val="21"/>
          <w:highlight w:val="none"/>
          <w:u w:val="single"/>
          <w:lang w:val="zh-CN"/>
        </w:rPr>
      </w:pPr>
      <w:r>
        <w:rPr>
          <w:rFonts w:hint="eastAsia"/>
          <w:b w:val="0"/>
          <w:bCs/>
          <w:color w:val="auto"/>
          <w:szCs w:val="21"/>
          <w:highlight w:val="none"/>
          <w:lang w:val="zh-CN"/>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b w:val="0"/>
          <w:bCs/>
          <w:color w:val="auto"/>
          <w:szCs w:val="21"/>
          <w:highlight w:val="none"/>
          <w:u w:val="single"/>
          <w:lang w:val="zh-CN"/>
        </w:rPr>
        <w:t xml:space="preserve">                     </w:t>
      </w:r>
      <w:r>
        <w:rPr>
          <w:rFonts w:hint="eastAsia"/>
          <w:b w:val="0"/>
          <w:bCs/>
          <w:color w:val="auto"/>
          <w:szCs w:val="21"/>
          <w:highlight w:val="none"/>
          <w:lang w:val="zh-CN"/>
        </w:rPr>
        <w:t xml:space="preserve">      </w:t>
      </w:r>
    </w:p>
    <w:tbl>
      <w:tblPr>
        <w:tblStyle w:val="32"/>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1066"/>
        <w:gridCol w:w="1067"/>
        <w:gridCol w:w="1040"/>
        <w:gridCol w:w="1384"/>
        <w:gridCol w:w="1008"/>
        <w:gridCol w:w="1464"/>
        <w:gridCol w:w="1025"/>
        <w:gridCol w:w="863"/>
        <w:gridCol w:w="1324"/>
        <w:gridCol w:w="1026"/>
        <w:gridCol w:w="923"/>
        <w:gridCol w:w="1091"/>
      </w:tblGrid>
      <w:tr w14:paraId="3310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894" w:type="dxa"/>
            <w:vAlign w:val="center"/>
          </w:tcPr>
          <w:p w14:paraId="2D51E3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kern w:val="2"/>
                <w:sz w:val="21"/>
                <w:szCs w:val="21"/>
                <w:highlight w:val="none"/>
              </w:rPr>
              <w:t>序号</w:t>
            </w:r>
          </w:p>
        </w:tc>
        <w:tc>
          <w:tcPr>
            <w:tcW w:w="1066" w:type="dxa"/>
            <w:vAlign w:val="center"/>
          </w:tcPr>
          <w:p w14:paraId="31DAB9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分项</w:t>
            </w:r>
            <w:r>
              <w:rPr>
                <w:rFonts w:hint="eastAsia" w:ascii="宋体" w:hAnsi="宋体" w:eastAsia="宋体" w:cs="宋体"/>
                <w:b w:val="0"/>
                <w:bCs/>
                <w:color w:val="auto"/>
                <w:sz w:val="21"/>
                <w:szCs w:val="21"/>
                <w:highlight w:val="none"/>
              </w:rPr>
              <w:t>名称</w:t>
            </w:r>
          </w:p>
        </w:tc>
        <w:tc>
          <w:tcPr>
            <w:tcW w:w="1067" w:type="dxa"/>
            <w:vAlign w:val="center"/>
          </w:tcPr>
          <w:p w14:paraId="1FEEAE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制造商</w:t>
            </w:r>
          </w:p>
        </w:tc>
        <w:tc>
          <w:tcPr>
            <w:tcW w:w="1040" w:type="dxa"/>
            <w:vAlign w:val="center"/>
          </w:tcPr>
          <w:p w14:paraId="264DED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产地/国别</w:t>
            </w:r>
          </w:p>
        </w:tc>
        <w:tc>
          <w:tcPr>
            <w:tcW w:w="1384" w:type="dxa"/>
            <w:vAlign w:val="center"/>
          </w:tcPr>
          <w:p w14:paraId="64AC8B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制造商</w:t>
            </w:r>
          </w:p>
          <w:p w14:paraId="09B31A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统一社会信用代码</w:t>
            </w:r>
          </w:p>
        </w:tc>
        <w:tc>
          <w:tcPr>
            <w:tcW w:w="1008" w:type="dxa"/>
            <w:vAlign w:val="center"/>
          </w:tcPr>
          <w:p w14:paraId="7A390D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制造商规模</w:t>
            </w:r>
          </w:p>
        </w:tc>
        <w:tc>
          <w:tcPr>
            <w:tcW w:w="1464" w:type="dxa"/>
            <w:vAlign w:val="center"/>
          </w:tcPr>
          <w:p w14:paraId="3A9B2D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en-US"/>
              </w:rPr>
            </w:pPr>
            <w:r>
              <w:rPr>
                <w:rFonts w:hint="eastAsia" w:ascii="宋体" w:hAnsi="宋体" w:eastAsia="宋体" w:cs="宋体"/>
                <w:b w:val="0"/>
                <w:bCs/>
                <w:color w:val="auto"/>
                <w:sz w:val="21"/>
                <w:szCs w:val="21"/>
                <w:highlight w:val="none"/>
                <w:lang w:val="en-US" w:eastAsia="zh-CN"/>
              </w:rPr>
              <w:t>制造商实际控制人性别</w:t>
            </w:r>
          </w:p>
        </w:tc>
        <w:tc>
          <w:tcPr>
            <w:tcW w:w="1025" w:type="dxa"/>
            <w:vAlign w:val="center"/>
          </w:tcPr>
          <w:p w14:paraId="37BD30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外商投资类型</w:t>
            </w:r>
          </w:p>
        </w:tc>
        <w:tc>
          <w:tcPr>
            <w:tcW w:w="863" w:type="dxa"/>
            <w:vAlign w:val="center"/>
          </w:tcPr>
          <w:p w14:paraId="60D081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品牌</w:t>
            </w:r>
          </w:p>
        </w:tc>
        <w:tc>
          <w:tcPr>
            <w:tcW w:w="1324" w:type="dxa"/>
            <w:vAlign w:val="center"/>
          </w:tcPr>
          <w:p w14:paraId="6B3AFB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规格、</w:t>
            </w:r>
            <w:r>
              <w:rPr>
                <w:rFonts w:hint="eastAsia" w:ascii="宋体" w:hAnsi="宋体" w:eastAsia="宋体" w:cs="宋体"/>
                <w:b w:val="0"/>
                <w:bCs/>
                <w:color w:val="auto"/>
                <w:sz w:val="21"/>
                <w:szCs w:val="21"/>
                <w:highlight w:val="none"/>
              </w:rPr>
              <w:t>型号</w:t>
            </w:r>
          </w:p>
        </w:tc>
        <w:tc>
          <w:tcPr>
            <w:tcW w:w="1026" w:type="dxa"/>
            <w:vAlign w:val="center"/>
          </w:tcPr>
          <w:p w14:paraId="45014B84">
            <w:pPr>
              <w:spacing w:line="24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单价</w:t>
            </w:r>
          </w:p>
          <w:p w14:paraId="145DF2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（元）</w:t>
            </w:r>
          </w:p>
        </w:tc>
        <w:tc>
          <w:tcPr>
            <w:tcW w:w="923" w:type="dxa"/>
            <w:vAlign w:val="center"/>
          </w:tcPr>
          <w:p w14:paraId="3BCEDF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数量</w:t>
            </w:r>
          </w:p>
        </w:tc>
        <w:tc>
          <w:tcPr>
            <w:tcW w:w="1091" w:type="dxa"/>
            <w:vAlign w:val="center"/>
          </w:tcPr>
          <w:p w14:paraId="577D0E39">
            <w:pPr>
              <w:spacing w:line="240" w:lineRule="auto"/>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合价</w:t>
            </w:r>
          </w:p>
          <w:p w14:paraId="2EC37A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（元）</w:t>
            </w:r>
          </w:p>
        </w:tc>
      </w:tr>
      <w:tr w14:paraId="3DDD7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94" w:type="dxa"/>
            <w:vAlign w:val="center"/>
          </w:tcPr>
          <w:p w14:paraId="76007496">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1</w:t>
            </w:r>
          </w:p>
        </w:tc>
        <w:tc>
          <w:tcPr>
            <w:tcW w:w="1066" w:type="dxa"/>
            <w:vAlign w:val="center"/>
          </w:tcPr>
          <w:p w14:paraId="5185A0F8">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440761B0">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2042EBA7">
            <w:pPr>
              <w:jc w:val="center"/>
              <w:rPr>
                <w:rFonts w:hint="eastAsia" w:ascii="宋体" w:hAnsi="宋体" w:eastAsia="宋体" w:cs="宋体"/>
                <w:b w:val="0"/>
                <w:bCs/>
                <w:color w:val="auto"/>
                <w:sz w:val="21"/>
                <w:szCs w:val="21"/>
                <w:highlight w:val="none"/>
                <w:u w:val="none"/>
                <w:vertAlign w:val="baseline"/>
                <w:lang w:val="zh-CN"/>
              </w:rPr>
            </w:pPr>
          </w:p>
        </w:tc>
        <w:tc>
          <w:tcPr>
            <w:tcW w:w="1384" w:type="dxa"/>
            <w:vAlign w:val="center"/>
          </w:tcPr>
          <w:p w14:paraId="74B97F46">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339AD079">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0CB6EDE3">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2B5545C8">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58D4443B">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38890D30">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50753003">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722E72FF">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1F020DC5">
            <w:pPr>
              <w:jc w:val="center"/>
              <w:rPr>
                <w:rFonts w:hint="eastAsia" w:ascii="宋体" w:hAnsi="宋体" w:eastAsia="宋体" w:cs="宋体"/>
                <w:b w:val="0"/>
                <w:bCs/>
                <w:color w:val="auto"/>
                <w:sz w:val="21"/>
                <w:szCs w:val="21"/>
                <w:highlight w:val="none"/>
                <w:u w:val="none"/>
                <w:vertAlign w:val="baseline"/>
                <w:lang w:val="zh-CN"/>
              </w:rPr>
            </w:pPr>
          </w:p>
        </w:tc>
      </w:tr>
      <w:tr w14:paraId="327B8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94" w:type="dxa"/>
            <w:vAlign w:val="center"/>
          </w:tcPr>
          <w:p w14:paraId="2DA2FC9F">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2</w:t>
            </w:r>
          </w:p>
        </w:tc>
        <w:tc>
          <w:tcPr>
            <w:tcW w:w="1066" w:type="dxa"/>
            <w:vAlign w:val="center"/>
          </w:tcPr>
          <w:p w14:paraId="022E3F12">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3FFF5518">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0C93B94B">
            <w:pPr>
              <w:jc w:val="center"/>
              <w:rPr>
                <w:rFonts w:hint="eastAsia" w:ascii="宋体" w:hAnsi="宋体" w:eastAsia="宋体" w:cs="宋体"/>
                <w:b w:val="0"/>
                <w:bCs/>
                <w:color w:val="auto"/>
                <w:sz w:val="21"/>
                <w:szCs w:val="21"/>
                <w:highlight w:val="none"/>
                <w:u w:val="none"/>
                <w:vertAlign w:val="baseline"/>
                <w:lang w:val="zh-CN"/>
              </w:rPr>
            </w:pPr>
          </w:p>
        </w:tc>
        <w:tc>
          <w:tcPr>
            <w:tcW w:w="1384" w:type="dxa"/>
            <w:vAlign w:val="center"/>
          </w:tcPr>
          <w:p w14:paraId="43F08D28">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4F7A043B">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2BA9D216">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0E652E37">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22025CB6">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62DDA3C2">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703F39B0">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454AC89A">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3DE3EDC9">
            <w:pPr>
              <w:jc w:val="center"/>
              <w:rPr>
                <w:rFonts w:hint="eastAsia" w:ascii="宋体" w:hAnsi="宋体" w:eastAsia="宋体" w:cs="宋体"/>
                <w:b w:val="0"/>
                <w:bCs/>
                <w:color w:val="auto"/>
                <w:sz w:val="21"/>
                <w:szCs w:val="21"/>
                <w:highlight w:val="none"/>
                <w:u w:val="none"/>
                <w:vertAlign w:val="baseline"/>
                <w:lang w:val="zh-CN"/>
              </w:rPr>
            </w:pPr>
          </w:p>
        </w:tc>
      </w:tr>
      <w:tr w14:paraId="338F2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94" w:type="dxa"/>
            <w:vAlign w:val="center"/>
          </w:tcPr>
          <w:p w14:paraId="288DC270">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3</w:t>
            </w:r>
          </w:p>
        </w:tc>
        <w:tc>
          <w:tcPr>
            <w:tcW w:w="1066" w:type="dxa"/>
            <w:vAlign w:val="center"/>
          </w:tcPr>
          <w:p w14:paraId="296B3553">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11A9BFBA">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6D34AAEE">
            <w:pPr>
              <w:jc w:val="center"/>
              <w:rPr>
                <w:rFonts w:hint="eastAsia" w:ascii="宋体" w:hAnsi="宋体" w:eastAsia="宋体" w:cs="宋体"/>
                <w:b w:val="0"/>
                <w:bCs/>
                <w:color w:val="auto"/>
                <w:sz w:val="21"/>
                <w:szCs w:val="21"/>
                <w:highlight w:val="none"/>
                <w:u w:val="none"/>
                <w:vertAlign w:val="baseline"/>
                <w:lang w:val="zh-CN"/>
              </w:rPr>
            </w:pPr>
          </w:p>
        </w:tc>
        <w:tc>
          <w:tcPr>
            <w:tcW w:w="1384" w:type="dxa"/>
            <w:vAlign w:val="center"/>
          </w:tcPr>
          <w:p w14:paraId="1895811B">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5C049FB4">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1EEF0947">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7778CA91">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4765FF03">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1030805C">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03FD13FA">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16B2BB13">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568E139E">
            <w:pPr>
              <w:jc w:val="center"/>
              <w:rPr>
                <w:rFonts w:hint="eastAsia" w:ascii="宋体" w:hAnsi="宋体" w:eastAsia="宋体" w:cs="宋体"/>
                <w:b w:val="0"/>
                <w:bCs/>
                <w:color w:val="auto"/>
                <w:sz w:val="21"/>
                <w:szCs w:val="21"/>
                <w:highlight w:val="none"/>
                <w:u w:val="none"/>
                <w:vertAlign w:val="baseline"/>
                <w:lang w:val="zh-CN"/>
              </w:rPr>
            </w:pPr>
          </w:p>
        </w:tc>
      </w:tr>
      <w:tr w14:paraId="1A2C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94" w:type="dxa"/>
            <w:vAlign w:val="center"/>
          </w:tcPr>
          <w:p w14:paraId="4B0C62D3">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4</w:t>
            </w:r>
          </w:p>
        </w:tc>
        <w:tc>
          <w:tcPr>
            <w:tcW w:w="1066" w:type="dxa"/>
            <w:vAlign w:val="center"/>
          </w:tcPr>
          <w:p w14:paraId="78D63140">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36FCE407">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7B685A3F">
            <w:pPr>
              <w:jc w:val="center"/>
              <w:rPr>
                <w:rFonts w:hint="eastAsia" w:ascii="宋体" w:hAnsi="宋体" w:eastAsia="宋体" w:cs="宋体"/>
                <w:b w:val="0"/>
                <w:bCs/>
                <w:color w:val="auto"/>
                <w:sz w:val="21"/>
                <w:szCs w:val="21"/>
                <w:highlight w:val="none"/>
                <w:u w:val="none"/>
                <w:vertAlign w:val="baseline"/>
                <w:lang w:val="zh-CN"/>
              </w:rPr>
            </w:pPr>
          </w:p>
        </w:tc>
        <w:tc>
          <w:tcPr>
            <w:tcW w:w="1384" w:type="dxa"/>
            <w:vAlign w:val="center"/>
          </w:tcPr>
          <w:p w14:paraId="737DC40C">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6DC3F2EB">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04B80A38">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7E28DCD6">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4E72731F">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781A2EB9">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427EE9F9">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12B42903">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69FF26F0">
            <w:pPr>
              <w:jc w:val="center"/>
              <w:rPr>
                <w:rFonts w:hint="eastAsia" w:ascii="宋体" w:hAnsi="宋体" w:eastAsia="宋体" w:cs="宋体"/>
                <w:b w:val="0"/>
                <w:bCs/>
                <w:color w:val="auto"/>
                <w:sz w:val="21"/>
                <w:szCs w:val="21"/>
                <w:highlight w:val="none"/>
                <w:u w:val="none"/>
                <w:vertAlign w:val="baseline"/>
                <w:lang w:val="zh-CN"/>
              </w:rPr>
            </w:pPr>
          </w:p>
        </w:tc>
      </w:tr>
      <w:tr w14:paraId="49E74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94" w:type="dxa"/>
            <w:vAlign w:val="center"/>
          </w:tcPr>
          <w:p w14:paraId="4442CB85">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5</w:t>
            </w:r>
          </w:p>
        </w:tc>
        <w:tc>
          <w:tcPr>
            <w:tcW w:w="1066" w:type="dxa"/>
            <w:vAlign w:val="center"/>
          </w:tcPr>
          <w:p w14:paraId="679234AE">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1677FA79">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73FE1D76">
            <w:pPr>
              <w:jc w:val="center"/>
              <w:rPr>
                <w:rFonts w:hint="eastAsia" w:ascii="宋体" w:hAnsi="宋体" w:eastAsia="宋体" w:cs="宋体"/>
                <w:b w:val="0"/>
                <w:bCs/>
                <w:color w:val="auto"/>
                <w:sz w:val="21"/>
                <w:szCs w:val="21"/>
                <w:highlight w:val="none"/>
                <w:u w:val="none"/>
                <w:vertAlign w:val="baseline"/>
                <w:lang w:val="zh-CN"/>
              </w:rPr>
            </w:pPr>
          </w:p>
        </w:tc>
        <w:tc>
          <w:tcPr>
            <w:tcW w:w="1384" w:type="dxa"/>
            <w:vAlign w:val="center"/>
          </w:tcPr>
          <w:p w14:paraId="61CBC7D1">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6A301C20">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04151E12">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4252EDFA">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0C1A4B6F">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42FC6DBD">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2F3F1C2B">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7843F507">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5011D80F">
            <w:pPr>
              <w:jc w:val="center"/>
              <w:rPr>
                <w:rFonts w:hint="eastAsia" w:ascii="宋体" w:hAnsi="宋体" w:eastAsia="宋体" w:cs="宋体"/>
                <w:b w:val="0"/>
                <w:bCs/>
                <w:color w:val="auto"/>
                <w:sz w:val="21"/>
                <w:szCs w:val="21"/>
                <w:highlight w:val="none"/>
                <w:u w:val="none"/>
                <w:vertAlign w:val="baseline"/>
                <w:lang w:val="zh-CN"/>
              </w:rPr>
            </w:pPr>
          </w:p>
        </w:tc>
      </w:tr>
      <w:tr w14:paraId="0995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94" w:type="dxa"/>
            <w:vAlign w:val="center"/>
          </w:tcPr>
          <w:p w14:paraId="60BE0365">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6</w:t>
            </w:r>
          </w:p>
        </w:tc>
        <w:tc>
          <w:tcPr>
            <w:tcW w:w="1066" w:type="dxa"/>
            <w:vAlign w:val="center"/>
          </w:tcPr>
          <w:p w14:paraId="6D8BCB32">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517AD61C">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000621DE">
            <w:pPr>
              <w:jc w:val="center"/>
              <w:rPr>
                <w:rFonts w:hint="eastAsia" w:ascii="宋体" w:hAnsi="宋体" w:eastAsia="宋体" w:cs="宋体"/>
                <w:b w:val="0"/>
                <w:bCs/>
                <w:color w:val="auto"/>
                <w:sz w:val="21"/>
                <w:szCs w:val="21"/>
                <w:highlight w:val="none"/>
                <w:u w:val="none"/>
                <w:vertAlign w:val="baseline"/>
                <w:lang w:val="zh-CN"/>
              </w:rPr>
            </w:pPr>
          </w:p>
        </w:tc>
        <w:tc>
          <w:tcPr>
            <w:tcW w:w="1384" w:type="dxa"/>
            <w:vAlign w:val="center"/>
          </w:tcPr>
          <w:p w14:paraId="62068598">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7CAA6800">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45ABB011">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30B8B0A5">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4202EE98">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7256613A">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5EF22610">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60FE5997">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11199F0C">
            <w:pPr>
              <w:jc w:val="center"/>
              <w:rPr>
                <w:rFonts w:hint="eastAsia" w:ascii="宋体" w:hAnsi="宋体" w:eastAsia="宋体" w:cs="宋体"/>
                <w:b w:val="0"/>
                <w:bCs/>
                <w:color w:val="auto"/>
                <w:sz w:val="21"/>
                <w:szCs w:val="21"/>
                <w:highlight w:val="none"/>
                <w:u w:val="none"/>
                <w:vertAlign w:val="baseline"/>
                <w:lang w:val="zh-CN"/>
              </w:rPr>
            </w:pPr>
          </w:p>
        </w:tc>
      </w:tr>
      <w:tr w14:paraId="24D4E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94" w:type="dxa"/>
            <w:vAlign w:val="center"/>
          </w:tcPr>
          <w:p w14:paraId="0CA1058F">
            <w:pPr>
              <w:jc w:val="center"/>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u w:val="none"/>
                <w:vertAlign w:val="baseline"/>
                <w:lang w:val="zh-CN"/>
              </w:rPr>
              <w:t>…</w:t>
            </w:r>
          </w:p>
        </w:tc>
        <w:tc>
          <w:tcPr>
            <w:tcW w:w="1066" w:type="dxa"/>
            <w:vAlign w:val="center"/>
          </w:tcPr>
          <w:p w14:paraId="07D6C3C7">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54762713">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6008D212">
            <w:pPr>
              <w:jc w:val="center"/>
              <w:rPr>
                <w:rFonts w:hint="eastAsia" w:ascii="宋体" w:hAnsi="宋体" w:eastAsia="宋体" w:cs="宋体"/>
                <w:b w:val="0"/>
                <w:bCs/>
                <w:color w:val="auto"/>
                <w:sz w:val="21"/>
                <w:szCs w:val="21"/>
                <w:highlight w:val="none"/>
                <w:u w:val="none"/>
                <w:vertAlign w:val="baseline"/>
                <w:lang w:val="zh-CN"/>
              </w:rPr>
            </w:pPr>
          </w:p>
        </w:tc>
        <w:tc>
          <w:tcPr>
            <w:tcW w:w="1384" w:type="dxa"/>
            <w:vAlign w:val="center"/>
          </w:tcPr>
          <w:p w14:paraId="7BB3E714">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4B0014E9">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53F16430">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2BF5155B">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30E0F0AA">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77514C69">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3C51E7DE">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1C3D14DE">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7C3AA4BD">
            <w:pPr>
              <w:jc w:val="center"/>
              <w:rPr>
                <w:rFonts w:hint="eastAsia" w:ascii="宋体" w:hAnsi="宋体" w:eastAsia="宋体" w:cs="宋体"/>
                <w:b w:val="0"/>
                <w:bCs/>
                <w:color w:val="auto"/>
                <w:sz w:val="21"/>
                <w:szCs w:val="21"/>
                <w:highlight w:val="none"/>
                <w:u w:val="none"/>
                <w:vertAlign w:val="baseline"/>
                <w:lang w:val="zh-CN"/>
              </w:rPr>
            </w:pPr>
          </w:p>
        </w:tc>
      </w:tr>
      <w:tr w14:paraId="0C8AC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3084" w:type="dxa"/>
            <w:gridSpan w:val="12"/>
            <w:vAlign w:val="center"/>
          </w:tcPr>
          <w:p w14:paraId="66A2BE18">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总价</w:t>
            </w:r>
            <w:r>
              <w:rPr>
                <w:rFonts w:hint="eastAsia" w:ascii="宋体" w:hAnsi="宋体" w:eastAsia="宋体" w:cs="宋体"/>
                <w:b w:val="0"/>
                <w:bCs/>
                <w:color w:val="auto"/>
                <w:sz w:val="21"/>
                <w:szCs w:val="21"/>
                <w:highlight w:val="none"/>
              </w:rPr>
              <w:t>（元）</w:t>
            </w:r>
          </w:p>
        </w:tc>
        <w:tc>
          <w:tcPr>
            <w:tcW w:w="1091" w:type="dxa"/>
            <w:vAlign w:val="center"/>
          </w:tcPr>
          <w:p w14:paraId="6386598F">
            <w:pPr>
              <w:jc w:val="center"/>
              <w:rPr>
                <w:rFonts w:hint="eastAsia" w:ascii="宋体" w:hAnsi="宋体" w:eastAsia="宋体" w:cs="宋体"/>
                <w:b w:val="0"/>
                <w:bCs/>
                <w:color w:val="auto"/>
                <w:sz w:val="21"/>
                <w:szCs w:val="21"/>
                <w:highlight w:val="none"/>
                <w:u w:val="none"/>
                <w:vertAlign w:val="baseline"/>
                <w:lang w:val="zh-CN"/>
              </w:rPr>
            </w:pPr>
          </w:p>
        </w:tc>
      </w:tr>
    </w:tbl>
    <w:p w14:paraId="3B42EAA5">
      <w:pPr>
        <w:spacing w:line="300" w:lineRule="auto"/>
        <w:rPr>
          <w:rFonts w:ascii="Arial" w:hAnsi="Arial" w:cs="Arial"/>
          <w:color w:val="auto"/>
          <w:szCs w:val="21"/>
          <w:highlight w:val="none"/>
        </w:rPr>
      </w:pPr>
    </w:p>
    <w:p w14:paraId="51101AF7">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Arial" w:hAnsi="Arial" w:cs="Arial"/>
          <w:color w:val="auto"/>
          <w:szCs w:val="21"/>
          <w:highlight w:val="none"/>
        </w:rPr>
        <w:t>：</w:t>
      </w:r>
    </w:p>
    <w:p w14:paraId="2F327AC4">
      <w:pPr>
        <w:spacing w:line="300" w:lineRule="auto"/>
        <w:rPr>
          <w:rFonts w:ascii="Arial" w:hAnsi="Arial" w:cs="Arial"/>
          <w:color w:val="auto"/>
          <w:szCs w:val="21"/>
          <w:highlight w:val="none"/>
        </w:rPr>
      </w:pPr>
      <w:r>
        <w:rPr>
          <w:rFonts w:ascii="Arial" w:hAnsi="Arial" w:cs="Arial"/>
          <w:color w:val="auto"/>
          <w:szCs w:val="21"/>
          <w:highlight w:val="none"/>
        </w:rPr>
        <w:t>日期：</w:t>
      </w:r>
    </w:p>
    <w:p w14:paraId="2BD20AC0">
      <w:pPr>
        <w:spacing w:line="360" w:lineRule="auto"/>
        <w:rPr>
          <w:rFonts w:hint="default" w:ascii="宋体" w:hAnsi="宋体" w:eastAsia="宋体" w:cs="宋体"/>
          <w:color w:val="auto"/>
          <w:sz w:val="21"/>
          <w:szCs w:val="21"/>
          <w:highlight w:val="none"/>
          <w:lang w:val="en-US" w:eastAsia="zh-CN"/>
        </w:rPr>
      </w:pPr>
      <w:r>
        <w:rPr>
          <w:rFonts w:hint="eastAsia" w:ascii="宋体" w:hAnsi="宋体" w:eastAsia="宋体" w:cs="宋体"/>
          <w:b/>
          <w:color w:val="auto"/>
          <w:sz w:val="21"/>
          <w:szCs w:val="21"/>
          <w:highlight w:val="none"/>
          <w:lang w:eastAsia="zh-CN"/>
        </w:rPr>
        <w:t>注：</w:t>
      </w:r>
      <w:r>
        <w:rPr>
          <w:rFonts w:hint="eastAsia" w:ascii="宋体" w:hAnsi="宋体" w:eastAsia="宋体" w:cs="宋体"/>
          <w:color w:val="auto"/>
          <w:sz w:val="21"/>
          <w:szCs w:val="21"/>
          <w:highlight w:val="none"/>
          <w:lang w:val="en-US" w:eastAsia="zh-CN"/>
        </w:rPr>
        <w:t>1.</w:t>
      </w:r>
      <w:r>
        <w:rPr>
          <w:rFonts w:hint="default" w:ascii="宋体" w:hAnsi="宋体" w:eastAsia="宋体" w:cs="宋体"/>
          <w:color w:val="auto"/>
          <w:sz w:val="21"/>
          <w:szCs w:val="21"/>
          <w:highlight w:val="none"/>
          <w:lang w:val="en-US" w:eastAsia="zh-CN"/>
        </w:rPr>
        <w:t>按照本表填写的</w:t>
      </w:r>
      <w:r>
        <w:rPr>
          <w:rFonts w:hint="eastAsia" w:cs="宋体"/>
          <w:color w:val="auto"/>
          <w:sz w:val="21"/>
          <w:szCs w:val="21"/>
          <w:highlight w:val="none"/>
          <w:lang w:val="en-US" w:eastAsia="zh-CN"/>
        </w:rPr>
        <w:t>总</w:t>
      </w:r>
      <w:r>
        <w:rPr>
          <w:rFonts w:hint="default" w:ascii="宋体" w:hAnsi="宋体" w:eastAsia="宋体" w:cs="宋体"/>
          <w:color w:val="auto"/>
          <w:sz w:val="21"/>
          <w:szCs w:val="21"/>
          <w:highlight w:val="none"/>
          <w:lang w:val="en-US" w:eastAsia="zh-CN"/>
        </w:rPr>
        <w:t>价填写到</w:t>
      </w:r>
      <w:r>
        <w:rPr>
          <w:rFonts w:hint="eastAsia" w:ascii="宋体" w:hAnsi="宋体" w:eastAsia="宋体" w:cs="宋体"/>
          <w:color w:val="auto"/>
          <w:sz w:val="21"/>
          <w:szCs w:val="21"/>
          <w:highlight w:val="none"/>
          <w:lang w:val="en-US" w:eastAsia="zh-CN"/>
        </w:rPr>
        <w:t>“</w:t>
      </w:r>
      <w:r>
        <w:rPr>
          <w:rFonts w:hint="eastAsia" w:cs="宋体"/>
          <w:color w:val="auto"/>
          <w:sz w:val="21"/>
          <w:szCs w:val="21"/>
          <w:highlight w:val="none"/>
          <w:lang w:val="en-US" w:eastAsia="zh-CN"/>
        </w:rPr>
        <w:t>开标</w:t>
      </w:r>
      <w:r>
        <w:rPr>
          <w:rFonts w:hint="eastAsia" w:ascii="宋体" w:hAnsi="宋体" w:eastAsia="宋体" w:cs="宋体"/>
          <w:color w:val="auto"/>
          <w:sz w:val="21"/>
          <w:szCs w:val="21"/>
          <w:highlight w:val="none"/>
          <w:lang w:val="en-US" w:eastAsia="zh-CN"/>
        </w:rPr>
        <w:t>一览表”</w:t>
      </w:r>
      <w:r>
        <w:rPr>
          <w:rFonts w:hint="default" w:ascii="宋体" w:hAnsi="宋体" w:eastAsia="宋体" w:cs="宋体"/>
          <w:color w:val="auto"/>
          <w:sz w:val="21"/>
          <w:szCs w:val="21"/>
          <w:highlight w:val="none"/>
          <w:lang w:val="en-US" w:eastAsia="zh-CN"/>
        </w:rPr>
        <w:t>中对应的</w:t>
      </w:r>
      <w:r>
        <w:rPr>
          <w:rFonts w:hint="eastAsia" w:cs="宋体"/>
          <w:color w:val="auto"/>
          <w:sz w:val="21"/>
          <w:szCs w:val="21"/>
          <w:highlight w:val="none"/>
          <w:lang w:val="en-US" w:eastAsia="zh-CN"/>
        </w:rPr>
        <w:t>“投标报价”</w:t>
      </w:r>
      <w:r>
        <w:rPr>
          <w:rFonts w:hint="default" w:ascii="宋体" w:hAnsi="宋体" w:eastAsia="宋体" w:cs="宋体"/>
          <w:color w:val="auto"/>
          <w:sz w:val="21"/>
          <w:szCs w:val="21"/>
          <w:highlight w:val="none"/>
          <w:lang w:val="en-US" w:eastAsia="zh-CN"/>
        </w:rPr>
        <w:t>栏中。</w:t>
      </w:r>
    </w:p>
    <w:p w14:paraId="6B43AF2E">
      <w:pPr>
        <w:spacing w:line="360" w:lineRule="auto"/>
        <w:ind w:firstLine="420" w:firstLineChars="200"/>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rPr>
        <w:t>.表中所列货物为对应本项目需求的全部货物及所需附件购置费、包装费、运输费、人工费、保险费、安装调试费、各种税费、资料费、售后服务费及完成项目应有的全部费用。如有漏项或缺项，</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rPr>
        <w:t>承担全部责任。</w:t>
      </w:r>
    </w:p>
    <w:p w14:paraId="06F958A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3</w:t>
      </w:r>
      <w:r>
        <w:rPr>
          <w:rFonts w:hint="eastAsia" w:ascii="宋体" w:hAnsi="宋体" w:eastAsia="宋体" w:cs="宋体"/>
          <w:color w:val="auto"/>
          <w:sz w:val="21"/>
          <w:szCs w:val="21"/>
          <w:highlight w:val="none"/>
        </w:rPr>
        <w:t>.表中须明确列出所投产品的</w:t>
      </w:r>
      <w:r>
        <w:rPr>
          <w:rFonts w:hint="eastAsia" w:cs="宋体"/>
          <w:color w:val="auto"/>
          <w:sz w:val="21"/>
          <w:szCs w:val="21"/>
          <w:highlight w:val="none"/>
          <w:lang w:val="en-US" w:eastAsia="zh-CN"/>
        </w:rPr>
        <w:t>分项</w:t>
      </w:r>
      <w:r>
        <w:rPr>
          <w:rFonts w:hint="eastAsia" w:ascii="宋体" w:hAnsi="宋体" w:eastAsia="宋体" w:cs="宋体"/>
          <w:color w:val="auto"/>
          <w:sz w:val="21"/>
          <w:szCs w:val="21"/>
          <w:highlight w:val="none"/>
        </w:rPr>
        <w:t>名称、</w:t>
      </w:r>
      <w:r>
        <w:rPr>
          <w:rFonts w:hint="eastAsia" w:cs="宋体"/>
          <w:color w:val="auto"/>
          <w:sz w:val="21"/>
          <w:szCs w:val="21"/>
          <w:highlight w:val="none"/>
          <w:lang w:val="en-US" w:eastAsia="zh-CN"/>
        </w:rPr>
        <w:t>制造商、</w:t>
      </w:r>
      <w:r>
        <w:rPr>
          <w:rFonts w:hint="eastAsia" w:cs="宋体"/>
          <w:b w:val="0"/>
          <w:bCs/>
          <w:color w:val="auto"/>
          <w:sz w:val="21"/>
          <w:szCs w:val="21"/>
          <w:highlight w:val="none"/>
          <w:lang w:val="en-US" w:eastAsia="zh-CN"/>
        </w:rPr>
        <w:t>产地/国别、</w:t>
      </w:r>
      <w:r>
        <w:rPr>
          <w:rFonts w:hint="eastAsia" w:ascii="宋体" w:hAnsi="宋体" w:eastAsia="宋体" w:cs="宋体"/>
          <w:b w:val="0"/>
          <w:bCs/>
          <w:color w:val="auto"/>
          <w:sz w:val="21"/>
          <w:szCs w:val="21"/>
          <w:highlight w:val="none"/>
          <w:lang w:val="en-US" w:eastAsia="zh-CN"/>
        </w:rPr>
        <w:t>制造商统一社会信用代码</w:t>
      </w:r>
      <w:r>
        <w:rPr>
          <w:rFonts w:hint="eastAsia"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制造商规模</w:t>
      </w:r>
      <w:r>
        <w:rPr>
          <w:rFonts w:hint="eastAsia" w:cs="宋体"/>
          <w:b w:val="0"/>
          <w:bCs/>
          <w:color w:val="auto"/>
          <w:sz w:val="21"/>
          <w:szCs w:val="21"/>
          <w:highlight w:val="none"/>
          <w:lang w:val="en-US" w:eastAsia="zh-CN"/>
        </w:rPr>
        <w:t>、制造商所属性别、外商投资类型、</w:t>
      </w:r>
      <w:r>
        <w:rPr>
          <w:rFonts w:hint="eastAsia" w:ascii="宋体" w:hAnsi="宋体" w:eastAsia="宋体" w:cs="宋体"/>
          <w:color w:val="auto"/>
          <w:sz w:val="21"/>
          <w:szCs w:val="21"/>
          <w:highlight w:val="none"/>
        </w:rPr>
        <w:t>品牌、</w:t>
      </w:r>
      <w:r>
        <w:rPr>
          <w:rFonts w:hint="eastAsia" w:cs="宋体"/>
          <w:color w:val="auto"/>
          <w:sz w:val="21"/>
          <w:szCs w:val="21"/>
          <w:highlight w:val="none"/>
          <w:lang w:eastAsia="zh-CN"/>
        </w:rPr>
        <w:t>规格、</w:t>
      </w:r>
      <w:r>
        <w:rPr>
          <w:rFonts w:hint="eastAsia" w:ascii="宋体" w:hAnsi="宋体" w:eastAsia="宋体" w:cs="宋体"/>
          <w:color w:val="auto"/>
          <w:sz w:val="21"/>
          <w:szCs w:val="21"/>
          <w:highlight w:val="none"/>
        </w:rPr>
        <w:t>型号、</w:t>
      </w:r>
      <w:r>
        <w:rPr>
          <w:rFonts w:hint="eastAsia" w:cs="宋体"/>
          <w:color w:val="auto"/>
          <w:sz w:val="21"/>
          <w:szCs w:val="21"/>
          <w:highlight w:val="none"/>
          <w:lang w:eastAsia="zh-CN"/>
        </w:rPr>
        <w:t>单价、数量、</w:t>
      </w:r>
      <w:r>
        <w:rPr>
          <w:rFonts w:hint="eastAsia" w:cs="宋体"/>
          <w:color w:val="auto"/>
          <w:sz w:val="21"/>
          <w:szCs w:val="21"/>
          <w:highlight w:val="none"/>
          <w:lang w:val="en-US" w:eastAsia="zh-CN"/>
        </w:rPr>
        <w:t>合价等</w:t>
      </w:r>
      <w:r>
        <w:rPr>
          <w:rFonts w:hint="eastAsia" w:ascii="宋体" w:hAnsi="宋体" w:eastAsia="宋体" w:cs="宋体"/>
          <w:color w:val="auto"/>
          <w:sz w:val="21"/>
          <w:szCs w:val="21"/>
          <w:highlight w:val="none"/>
        </w:rPr>
        <w:t>，否则可能导致</w:t>
      </w:r>
      <w:r>
        <w:rPr>
          <w:rFonts w:hint="eastAsia" w:ascii="宋体" w:hAnsi="宋体" w:eastAsia="宋体" w:cs="宋体"/>
          <w:b/>
          <w:bCs/>
          <w:color w:val="auto"/>
          <w:sz w:val="21"/>
          <w:szCs w:val="21"/>
          <w:highlight w:val="none"/>
        </w:rPr>
        <w:t>响应无效</w:t>
      </w:r>
      <w:r>
        <w:rPr>
          <w:rFonts w:hint="eastAsia" w:ascii="宋体" w:hAnsi="宋体" w:eastAsia="宋体" w:cs="宋体"/>
          <w:color w:val="auto"/>
          <w:sz w:val="21"/>
          <w:szCs w:val="21"/>
          <w:highlight w:val="none"/>
        </w:rPr>
        <w:t>。</w:t>
      </w:r>
    </w:p>
    <w:p w14:paraId="66C30DF1">
      <w:pPr>
        <w:keepNext w:val="0"/>
        <w:keepLines w:val="0"/>
        <w:widowControl/>
        <w:suppressLineNumbers w:val="0"/>
        <w:jc w:val="left"/>
        <w:rPr>
          <w:rFonts w:hint="eastAsia" w:ascii="宋体" w:hAnsi="宋体" w:eastAsia="宋体" w:cs="宋体"/>
          <w:b/>
          <w:bCs/>
          <w:i w:val="0"/>
          <w:iCs w:val="0"/>
          <w:color w:val="auto"/>
          <w:kern w:val="0"/>
          <w:sz w:val="21"/>
          <w:szCs w:val="21"/>
          <w:highlight w:val="none"/>
          <w:lang w:val="en-US" w:eastAsia="zh-CN" w:bidi="ar"/>
        </w:rPr>
      </w:pPr>
    </w:p>
    <w:p w14:paraId="561842FA">
      <w:pPr>
        <w:keepNext w:val="0"/>
        <w:keepLines w:val="0"/>
        <w:widowControl/>
        <w:suppressLineNumbers w:val="0"/>
        <w:jc w:val="left"/>
        <w:rPr>
          <w:rFonts w:hint="eastAsia" w:ascii="宋体" w:hAnsi="宋体" w:eastAsia="宋体" w:cs="宋体"/>
          <w:b w:val="0"/>
          <w:bCs w:val="0"/>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填写说明：</w:t>
      </w:r>
      <w:r>
        <w:rPr>
          <w:rFonts w:hint="eastAsia" w:ascii="宋体" w:hAnsi="宋体" w:eastAsia="宋体" w:cs="宋体"/>
          <w:b w:val="0"/>
          <w:bCs w:val="0"/>
          <w:i w:val="0"/>
          <w:iCs w:val="0"/>
          <w:color w:val="auto"/>
          <w:kern w:val="0"/>
          <w:sz w:val="21"/>
          <w:szCs w:val="21"/>
          <w:highlight w:val="none"/>
          <w:lang w:val="en-US" w:eastAsia="zh-CN" w:bidi="ar"/>
        </w:rPr>
        <w:t>1、</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制造商规模</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请填写“大型”、“中型”、“小型”、“微型”或“其他”，且不应与《中小企业声明函》或《拟分包情况说明》中内容矛盾。</w:t>
      </w:r>
    </w:p>
    <w:p w14:paraId="6D411982">
      <w:pPr>
        <w:keepNext w:val="0"/>
        <w:keepLines w:val="0"/>
        <w:widowControl/>
        <w:suppressLineNumbers w:val="0"/>
        <w:ind w:firstLine="1050" w:firstLineChars="500"/>
        <w:jc w:val="left"/>
        <w:rPr>
          <w:rFonts w:hint="eastAsia" w:ascii="宋体" w:hAnsi="宋体" w:eastAsia="宋体" w:cs="宋体"/>
          <w:b w:val="0"/>
          <w:bCs w:val="0"/>
          <w:i w:val="0"/>
          <w:iCs w:val="0"/>
          <w:color w:val="auto"/>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w:t>
      </w:r>
      <w:r>
        <w:rPr>
          <w:rFonts w:hint="eastAsia" w:cs="宋体"/>
          <w:b w:val="0"/>
          <w:bCs w:val="0"/>
          <w:i w:val="0"/>
          <w:iCs w:val="0"/>
          <w:color w:val="auto"/>
          <w:kern w:val="0"/>
          <w:sz w:val="21"/>
          <w:szCs w:val="21"/>
          <w:highlight w:val="none"/>
          <w:lang w:val="en-US" w:eastAsia="zh-CN" w:bidi="ar"/>
        </w:rPr>
        <w:t>“制造</w:t>
      </w:r>
      <w:r>
        <w:rPr>
          <w:rFonts w:hint="eastAsia" w:ascii="宋体" w:hAnsi="宋体" w:eastAsia="宋体" w:cs="宋体"/>
          <w:b w:val="0"/>
          <w:bCs w:val="0"/>
          <w:i w:val="0"/>
          <w:iCs w:val="0"/>
          <w:color w:val="auto"/>
          <w:kern w:val="0"/>
          <w:sz w:val="21"/>
          <w:szCs w:val="21"/>
          <w:highlight w:val="none"/>
          <w:lang w:val="en-US" w:eastAsia="zh-CN" w:bidi="ar"/>
        </w:rPr>
        <w:t>商实际控制人性别</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按</w:t>
      </w:r>
      <w:r>
        <w:rPr>
          <w:rFonts w:hint="eastAsia" w:cs="宋体"/>
          <w:b w:val="0"/>
          <w:bCs w:val="0"/>
          <w:i w:val="0"/>
          <w:iCs w:val="0"/>
          <w:color w:val="auto"/>
          <w:kern w:val="0"/>
          <w:sz w:val="21"/>
          <w:szCs w:val="21"/>
          <w:highlight w:val="none"/>
          <w:lang w:val="en-US" w:eastAsia="zh-CN" w:bidi="ar"/>
        </w:rPr>
        <w:t>制造</w:t>
      </w:r>
      <w:r>
        <w:rPr>
          <w:rFonts w:hint="eastAsia" w:ascii="宋体" w:hAnsi="宋体" w:eastAsia="宋体" w:cs="宋体"/>
          <w:b w:val="0"/>
          <w:bCs w:val="0"/>
          <w:i w:val="0"/>
          <w:iCs w:val="0"/>
          <w:color w:val="auto"/>
          <w:kern w:val="0"/>
          <w:sz w:val="21"/>
          <w:szCs w:val="21"/>
          <w:highlight w:val="none"/>
          <w:lang w:val="en-US" w:eastAsia="zh-CN" w:bidi="ar"/>
        </w:rPr>
        <w:t>商实际控制人性别划分请填写“男”或“女”，指拥有</w:t>
      </w:r>
      <w:r>
        <w:rPr>
          <w:rFonts w:hint="eastAsia" w:cs="宋体"/>
          <w:b w:val="0"/>
          <w:bCs w:val="0"/>
          <w:i w:val="0"/>
          <w:iCs w:val="0"/>
          <w:color w:val="auto"/>
          <w:kern w:val="0"/>
          <w:sz w:val="21"/>
          <w:szCs w:val="21"/>
          <w:highlight w:val="none"/>
          <w:lang w:val="en-US" w:eastAsia="zh-CN" w:bidi="ar"/>
        </w:rPr>
        <w:t>制造商</w:t>
      </w:r>
      <w:r>
        <w:rPr>
          <w:rFonts w:hint="eastAsia" w:ascii="宋体" w:hAnsi="宋体" w:eastAsia="宋体" w:cs="宋体"/>
          <w:b w:val="0"/>
          <w:bCs w:val="0"/>
          <w:i w:val="0"/>
          <w:iCs w:val="0"/>
          <w:color w:val="auto"/>
          <w:kern w:val="0"/>
          <w:sz w:val="21"/>
          <w:szCs w:val="21"/>
          <w:highlight w:val="none"/>
          <w:lang w:val="en-US" w:eastAsia="zh-CN" w:bidi="ar"/>
        </w:rPr>
        <w:t xml:space="preserve"> 51%以上绝对所有权的性别；绝对所有权拥有者可以是一个人，也可以是多人合计计算。 </w:t>
      </w:r>
    </w:p>
    <w:p w14:paraId="5296BF0A">
      <w:pPr>
        <w:spacing w:line="300" w:lineRule="auto"/>
        <w:ind w:firstLine="1050" w:firstLineChars="500"/>
        <w:rPr>
          <w:rFonts w:hint="eastAsia" w:ascii="宋体" w:hAnsi="宋体" w:eastAsia="宋体" w:cs="宋体"/>
          <w:color w:val="auto"/>
          <w:sz w:val="21"/>
          <w:szCs w:val="21"/>
          <w:highlight w:val="none"/>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外商投资类型</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请填写“外商单独投资”、“外商部分投资”或“内资”。</w:t>
      </w:r>
    </w:p>
    <w:p w14:paraId="4A59D451">
      <w:pPr>
        <w:pStyle w:val="71"/>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61810CE8">
      <w:pPr>
        <w:ind w:firstLine="400" w:firstLineChars="200"/>
        <w:rPr>
          <w:rFonts w:cs="仿宋_GB2312"/>
          <w:color w:val="auto"/>
          <w:szCs w:val="24"/>
          <w:highlight w:val="none"/>
          <w:lang w:val="zh-CN"/>
        </w:rPr>
      </w:pPr>
      <w:r>
        <w:rPr>
          <w:rFonts w:hint="eastAsia" w:cs="仿宋_GB2312"/>
          <w:color w:val="auto"/>
          <w:szCs w:val="24"/>
          <w:highlight w:val="none"/>
          <w:lang w:val="zh-CN"/>
        </w:rPr>
        <w:t>封面：</w:t>
      </w:r>
    </w:p>
    <w:p w14:paraId="62869EA6">
      <w:pPr>
        <w:autoSpaceDE w:val="0"/>
        <w:autoSpaceDN w:val="0"/>
        <w:adjustRightInd w:val="0"/>
        <w:rPr>
          <w:color w:val="auto"/>
          <w:sz w:val="21"/>
          <w:szCs w:val="24"/>
          <w:highlight w:val="none"/>
        </w:rPr>
      </w:pPr>
    </w:p>
    <w:p w14:paraId="5B0902B7">
      <w:pPr>
        <w:autoSpaceDE w:val="0"/>
        <w:autoSpaceDN w:val="0"/>
        <w:adjustRightInd w:val="0"/>
        <w:rPr>
          <w:color w:val="auto"/>
          <w:sz w:val="21"/>
          <w:szCs w:val="24"/>
          <w:highlight w:val="none"/>
        </w:rPr>
      </w:pPr>
    </w:p>
    <w:p w14:paraId="5A04F91B">
      <w:pPr>
        <w:autoSpaceDE w:val="0"/>
        <w:autoSpaceDN w:val="0"/>
        <w:adjustRightInd w:val="0"/>
        <w:jc w:val="center"/>
        <w:rPr>
          <w:color w:val="auto"/>
          <w:sz w:val="21"/>
          <w:szCs w:val="24"/>
          <w:highlight w:val="none"/>
        </w:rPr>
      </w:pPr>
    </w:p>
    <w:p w14:paraId="47D22CDA">
      <w:pPr>
        <w:pStyle w:val="4"/>
        <w:bidi w:val="0"/>
        <w:jc w:val="center"/>
        <w:rPr>
          <w:sz w:val="84"/>
          <w:szCs w:val="84"/>
          <w:highlight w:val="none"/>
        </w:rPr>
      </w:pPr>
      <w:bookmarkStart w:id="717" w:name="_Toc9403"/>
      <w:r>
        <w:rPr>
          <w:rFonts w:hint="eastAsia"/>
          <w:sz w:val="84"/>
          <w:szCs w:val="84"/>
          <w:highlight w:val="none"/>
        </w:rPr>
        <w:t>投 标 文 件</w:t>
      </w:r>
      <w:bookmarkEnd w:id="717"/>
    </w:p>
    <w:p w14:paraId="2059EAAA">
      <w:pPr>
        <w:pStyle w:val="4"/>
        <w:bidi w:val="0"/>
        <w:jc w:val="center"/>
        <w:rPr>
          <w:rFonts w:hint="eastAsia"/>
          <w:sz w:val="56"/>
          <w:szCs w:val="56"/>
          <w:highlight w:val="none"/>
          <w:lang w:val="en-US" w:eastAsia="zh-CN"/>
        </w:rPr>
      </w:pPr>
      <w:bookmarkStart w:id="718" w:name="_Toc23650"/>
      <w:r>
        <w:rPr>
          <w:rFonts w:hint="eastAsia"/>
          <w:sz w:val="56"/>
          <w:szCs w:val="56"/>
          <w:highlight w:val="none"/>
          <w:lang w:val="en-US" w:eastAsia="zh-CN"/>
        </w:rPr>
        <w:t>商务技术文件</w:t>
      </w:r>
      <w:bookmarkEnd w:id="718"/>
    </w:p>
    <w:p w14:paraId="691967E0">
      <w:pPr>
        <w:autoSpaceDE w:val="0"/>
        <w:autoSpaceDN w:val="0"/>
        <w:adjustRightInd w:val="0"/>
        <w:jc w:val="center"/>
        <w:rPr>
          <w:rFonts w:hint="eastAsia" w:eastAsia="宋体"/>
          <w:color w:val="auto"/>
          <w:sz w:val="36"/>
          <w:szCs w:val="36"/>
          <w:highlight w:val="none"/>
          <w:lang w:eastAsia="zh-CN"/>
        </w:rPr>
      </w:pPr>
      <w:r>
        <w:rPr>
          <w:rFonts w:hint="eastAsia"/>
          <w:color w:val="auto"/>
          <w:sz w:val="36"/>
          <w:szCs w:val="36"/>
          <w:highlight w:val="none"/>
          <w:lang w:val="en-US" w:eastAsia="zh-CN"/>
        </w:rPr>
        <w:t>（第XX包</w:t>
      </w:r>
      <w:r>
        <w:rPr>
          <w:rFonts w:hint="eastAsia"/>
          <w:color w:val="auto"/>
          <w:sz w:val="36"/>
          <w:szCs w:val="36"/>
          <w:highlight w:val="none"/>
          <w:lang w:eastAsia="zh-CN"/>
        </w:rPr>
        <w:t>）【</w:t>
      </w:r>
      <w:r>
        <w:rPr>
          <w:rFonts w:hint="eastAsia"/>
          <w:color w:val="auto"/>
          <w:sz w:val="36"/>
          <w:szCs w:val="36"/>
          <w:highlight w:val="none"/>
          <w:lang w:val="en-US" w:eastAsia="zh-CN"/>
        </w:rPr>
        <w:t>如不分包，请删去本行</w:t>
      </w:r>
      <w:r>
        <w:rPr>
          <w:rFonts w:hint="eastAsia"/>
          <w:color w:val="auto"/>
          <w:sz w:val="36"/>
          <w:szCs w:val="36"/>
          <w:highlight w:val="none"/>
          <w:lang w:eastAsia="zh-CN"/>
        </w:rPr>
        <w:t>】</w:t>
      </w:r>
    </w:p>
    <w:p w14:paraId="039027FC">
      <w:pPr>
        <w:outlineLvl w:val="9"/>
        <w:rPr>
          <w:color w:val="auto"/>
          <w:sz w:val="21"/>
          <w:szCs w:val="21"/>
          <w:highlight w:val="none"/>
        </w:rPr>
      </w:pPr>
    </w:p>
    <w:p w14:paraId="1B35F1EE">
      <w:pPr>
        <w:rPr>
          <w:color w:val="auto"/>
          <w:sz w:val="21"/>
          <w:szCs w:val="21"/>
          <w:highlight w:val="none"/>
        </w:rPr>
      </w:pPr>
    </w:p>
    <w:p w14:paraId="54B78BF7">
      <w:pPr>
        <w:rPr>
          <w:color w:val="auto"/>
          <w:highlight w:val="none"/>
        </w:rPr>
      </w:pPr>
    </w:p>
    <w:p w14:paraId="44CE1222">
      <w:pPr>
        <w:autoSpaceDE w:val="0"/>
        <w:autoSpaceDN w:val="0"/>
        <w:adjustRightInd w:val="0"/>
        <w:rPr>
          <w:color w:val="auto"/>
          <w:sz w:val="21"/>
          <w:szCs w:val="21"/>
          <w:highlight w:val="none"/>
        </w:rPr>
      </w:pPr>
    </w:p>
    <w:p w14:paraId="7AA0A974">
      <w:pPr>
        <w:autoSpaceDE w:val="0"/>
        <w:autoSpaceDN w:val="0"/>
        <w:adjustRightInd w:val="0"/>
        <w:rPr>
          <w:color w:val="auto"/>
          <w:sz w:val="21"/>
          <w:szCs w:val="21"/>
          <w:highlight w:val="none"/>
        </w:rPr>
      </w:pPr>
    </w:p>
    <w:p w14:paraId="037029E5">
      <w:pPr>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0538909E">
      <w:pPr>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6D86FB53">
      <w:pPr>
        <w:ind w:left="35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02BCF110">
      <w:pPr>
        <w:ind w:left="350" w:leftChars="175"/>
        <w:rPr>
          <w:rFonts w:ascii="黑体" w:hAnsi="黑体" w:eastAsia="黑体"/>
          <w:color w:val="auto"/>
          <w:sz w:val="32"/>
          <w:szCs w:val="32"/>
          <w:highlight w:val="none"/>
        </w:rPr>
      </w:pPr>
    </w:p>
    <w:p w14:paraId="2EF2CC50">
      <w:pPr>
        <w:ind w:left="840" w:firstLine="420"/>
        <w:rPr>
          <w:b/>
          <w:bCs/>
          <w:color w:val="auto"/>
          <w:sz w:val="28"/>
          <w:szCs w:val="28"/>
          <w:highlight w:val="none"/>
        </w:rPr>
      </w:pPr>
    </w:p>
    <w:p w14:paraId="2451F1DE">
      <w:pPr>
        <w:ind w:left="840" w:firstLine="420"/>
        <w:rPr>
          <w:b/>
          <w:bCs/>
          <w:color w:val="auto"/>
          <w:sz w:val="28"/>
          <w:szCs w:val="28"/>
          <w:highlight w:val="none"/>
        </w:rPr>
      </w:pPr>
    </w:p>
    <w:p w14:paraId="5B12266F">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5C2AEB63">
      <w:pPr>
        <w:rPr>
          <w:color w:val="auto"/>
          <w:highlight w:val="none"/>
          <w:lang w:val="zh-CN"/>
        </w:rPr>
      </w:pPr>
      <w:r>
        <w:rPr>
          <w:color w:val="auto"/>
          <w:highlight w:val="none"/>
          <w:lang w:val="zh-CN"/>
        </w:rPr>
        <w:br w:type="page"/>
      </w:r>
    </w:p>
    <w:p w14:paraId="374BEE88">
      <w:pPr>
        <w:pStyle w:val="4"/>
        <w:bidi w:val="0"/>
        <w:jc w:val="center"/>
        <w:rPr>
          <w:rFonts w:hint="eastAsia"/>
          <w:highlight w:val="none"/>
          <w:lang w:val="en-US" w:eastAsia="zh-CN"/>
        </w:rPr>
      </w:pPr>
      <w:bookmarkStart w:id="719" w:name="_Toc109900327"/>
      <w:bookmarkStart w:id="720" w:name="_Toc109899489"/>
      <w:bookmarkStart w:id="721" w:name="_Toc25402"/>
      <w:bookmarkStart w:id="722" w:name="_Toc155185921"/>
      <w:bookmarkStart w:id="723" w:name="_Toc391"/>
      <w:bookmarkStart w:id="724" w:name="_Toc109899908"/>
      <w:bookmarkStart w:id="725" w:name="_Toc3577"/>
      <w:bookmarkStart w:id="726" w:name="_Toc140132831"/>
      <w:r>
        <w:rPr>
          <w:rFonts w:hint="eastAsia"/>
          <w:highlight w:val="none"/>
          <w:lang w:val="en-US" w:eastAsia="zh-CN"/>
        </w:rPr>
        <w:t>一、投标函</w:t>
      </w:r>
      <w:bookmarkEnd w:id="719"/>
      <w:bookmarkEnd w:id="720"/>
      <w:bookmarkEnd w:id="721"/>
      <w:bookmarkEnd w:id="722"/>
      <w:bookmarkEnd w:id="723"/>
      <w:bookmarkEnd w:id="724"/>
      <w:bookmarkEnd w:id="725"/>
      <w:bookmarkEnd w:id="726"/>
    </w:p>
    <w:p w14:paraId="0ABD9EA3">
      <w:pPr>
        <w:rPr>
          <w:color w:val="auto"/>
          <w:highlight w:val="none"/>
        </w:rPr>
      </w:pPr>
      <w:r>
        <w:rPr>
          <w:rFonts w:hint="eastAsia"/>
          <w:color w:val="auto"/>
          <w:highlight w:val="none"/>
        </w:rPr>
        <w:t>致：（采购人）</w:t>
      </w:r>
    </w:p>
    <w:p w14:paraId="35C4266A">
      <w:pPr>
        <w:ind w:firstLine="400" w:firstLineChars="200"/>
        <w:rPr>
          <w:rFonts w:cs="仿宋_GB2312"/>
          <w:b/>
          <w:bCs/>
          <w:color w:val="auto"/>
          <w:szCs w:val="24"/>
          <w:highlight w:val="none"/>
        </w:rPr>
      </w:pPr>
      <w:r>
        <w:rPr>
          <w:rFonts w:hint="eastAsia" w:cs="仿宋_GB2312"/>
          <w:color w:val="auto"/>
          <w:szCs w:val="24"/>
          <w:highlight w:val="none"/>
        </w:rPr>
        <w:t>根据贵方</w:t>
      </w:r>
      <w:r>
        <w:rPr>
          <w:rFonts w:hint="eastAsia" w:cs="仿宋_GB2312"/>
          <w:color w:val="auto"/>
          <w:szCs w:val="24"/>
          <w:highlight w:val="none"/>
          <w:u w:val="single"/>
        </w:rPr>
        <w:t>（项目名称）（项目编号</w:t>
      </w:r>
      <w:r>
        <w:rPr>
          <w:rFonts w:hint="eastAsia" w:cs="仿宋_GB2312"/>
          <w:color w:val="auto"/>
          <w:szCs w:val="24"/>
          <w:highlight w:val="none"/>
          <w:u w:val="single"/>
          <w:lang w:val="en-US" w:eastAsia="zh-CN"/>
        </w:rPr>
        <w:t>/包号</w:t>
      </w:r>
      <w:r>
        <w:rPr>
          <w:rFonts w:hint="eastAsia" w:cs="仿宋_GB2312"/>
          <w:color w:val="auto"/>
          <w:szCs w:val="24"/>
          <w:highlight w:val="none"/>
          <w:u w:val="single"/>
        </w:rPr>
        <w:t>）</w:t>
      </w:r>
      <w:r>
        <w:rPr>
          <w:rFonts w:hint="eastAsia" w:cs="仿宋_GB2312"/>
          <w:color w:val="auto"/>
          <w:szCs w:val="24"/>
          <w:highlight w:val="none"/>
          <w:lang w:val="en-US" w:eastAsia="zh-CN"/>
        </w:rPr>
        <w:t>项目</w:t>
      </w:r>
      <w:r>
        <w:rPr>
          <w:rFonts w:hint="eastAsia" w:cs="仿宋_GB2312"/>
          <w:color w:val="auto"/>
          <w:szCs w:val="24"/>
          <w:highlight w:val="none"/>
        </w:rPr>
        <w:t>的</w:t>
      </w:r>
      <w:r>
        <w:rPr>
          <w:rFonts w:hint="eastAsia" w:cs="仿宋_GB2312"/>
          <w:color w:val="auto"/>
          <w:szCs w:val="24"/>
          <w:highlight w:val="none"/>
          <w:lang w:val="en-US" w:eastAsia="zh-CN"/>
        </w:rPr>
        <w:t>招标公告</w:t>
      </w:r>
      <w:r>
        <w:rPr>
          <w:rFonts w:hint="eastAsia" w:cs="仿宋_GB2312"/>
          <w:color w:val="auto"/>
          <w:szCs w:val="24"/>
          <w:highlight w:val="none"/>
        </w:rPr>
        <w:t>，签字代表</w:t>
      </w:r>
      <w:r>
        <w:rPr>
          <w:rFonts w:hint="eastAsia" w:cs="仿宋_GB2312"/>
          <w:color w:val="auto"/>
          <w:szCs w:val="24"/>
          <w:highlight w:val="none"/>
          <w:u w:val="single"/>
        </w:rPr>
        <w:t>（姓名、职务）</w:t>
      </w:r>
      <w:r>
        <w:rPr>
          <w:rFonts w:hint="eastAsia" w:cs="仿宋_GB2312"/>
          <w:color w:val="auto"/>
          <w:szCs w:val="24"/>
          <w:highlight w:val="none"/>
        </w:rPr>
        <w:t>经正式授权并代表投标人</w:t>
      </w:r>
      <w:r>
        <w:rPr>
          <w:rFonts w:hint="eastAsia" w:cs="仿宋_GB2312"/>
          <w:color w:val="auto"/>
          <w:szCs w:val="24"/>
          <w:highlight w:val="none"/>
          <w:u w:val="single"/>
        </w:rPr>
        <w:t>（投标人名称、地址）</w:t>
      </w:r>
      <w:r>
        <w:rPr>
          <w:rFonts w:hint="eastAsia" w:cs="仿宋_GB2312"/>
          <w:color w:val="auto"/>
          <w:szCs w:val="24"/>
          <w:highlight w:val="none"/>
        </w:rPr>
        <w:t>提交下述文件</w:t>
      </w:r>
      <w:r>
        <w:rPr>
          <w:rFonts w:hint="eastAsia" w:cs="仿宋_GB2312"/>
          <w:b/>
          <w:bCs/>
          <w:color w:val="auto"/>
          <w:szCs w:val="24"/>
          <w:highlight w:val="none"/>
        </w:rPr>
        <w:t>：</w:t>
      </w:r>
    </w:p>
    <w:p w14:paraId="21BBF032">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1.</w:t>
      </w:r>
      <w:r>
        <w:rPr>
          <w:rFonts w:hint="eastAsia" w:cs="Arial"/>
          <w:color w:val="auto"/>
          <w:szCs w:val="24"/>
          <w:highlight w:val="none"/>
        </w:rPr>
        <w:t>资格</w:t>
      </w:r>
      <w:r>
        <w:rPr>
          <w:rFonts w:hint="eastAsia" w:cs="Arial"/>
          <w:color w:val="auto"/>
          <w:szCs w:val="24"/>
          <w:highlight w:val="none"/>
          <w:lang w:val="en-US" w:eastAsia="zh-CN"/>
        </w:rPr>
        <w:t>证明</w:t>
      </w:r>
      <w:r>
        <w:rPr>
          <w:rFonts w:hint="eastAsia" w:cs="Arial"/>
          <w:color w:val="auto"/>
          <w:szCs w:val="24"/>
          <w:highlight w:val="none"/>
        </w:rPr>
        <w:t>文件</w:t>
      </w:r>
      <w:r>
        <w:rPr>
          <w:rFonts w:cs="Arial"/>
          <w:color w:val="auto"/>
          <w:szCs w:val="24"/>
          <w:highlight w:val="none"/>
        </w:rPr>
        <w:t>；</w:t>
      </w:r>
    </w:p>
    <w:p w14:paraId="0A0EA079">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2.</w:t>
      </w:r>
      <w:r>
        <w:rPr>
          <w:rFonts w:hint="eastAsia" w:cs="Arial"/>
          <w:color w:val="auto"/>
          <w:szCs w:val="24"/>
          <w:highlight w:val="none"/>
        </w:rPr>
        <w:t>投标报价</w:t>
      </w:r>
      <w:r>
        <w:rPr>
          <w:rFonts w:cs="Arial"/>
          <w:color w:val="auto"/>
          <w:szCs w:val="24"/>
          <w:highlight w:val="none"/>
        </w:rPr>
        <w:t>文件</w:t>
      </w:r>
      <w:r>
        <w:rPr>
          <w:rFonts w:hint="eastAsia" w:cs="Arial"/>
          <w:color w:val="auto"/>
          <w:szCs w:val="24"/>
          <w:highlight w:val="none"/>
        </w:rPr>
        <w:t>；</w:t>
      </w:r>
    </w:p>
    <w:p w14:paraId="7C008F28">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3.</w:t>
      </w:r>
      <w:r>
        <w:rPr>
          <w:rFonts w:hint="eastAsia" w:cs="Arial"/>
          <w:color w:val="auto"/>
          <w:szCs w:val="24"/>
          <w:highlight w:val="none"/>
          <w:lang w:val="en-US" w:eastAsia="zh-CN"/>
        </w:rPr>
        <w:t>商务技术</w:t>
      </w:r>
      <w:r>
        <w:rPr>
          <w:rFonts w:hint="eastAsia" w:cs="Arial"/>
          <w:color w:val="auto"/>
          <w:szCs w:val="24"/>
          <w:highlight w:val="none"/>
        </w:rPr>
        <w:t>文件</w:t>
      </w:r>
      <w:r>
        <w:rPr>
          <w:rFonts w:cs="Arial"/>
          <w:color w:val="auto"/>
          <w:szCs w:val="24"/>
          <w:highlight w:val="none"/>
        </w:rPr>
        <w:t>。</w:t>
      </w:r>
    </w:p>
    <w:p w14:paraId="2038C573">
      <w:pPr>
        <w:spacing w:line="324" w:lineRule="auto"/>
        <w:ind w:firstLine="400" w:firstLineChars="200"/>
        <w:rPr>
          <w:rFonts w:cs="Arial"/>
          <w:color w:val="auto"/>
          <w:szCs w:val="24"/>
          <w:highlight w:val="none"/>
        </w:rPr>
      </w:pPr>
      <w:r>
        <w:rPr>
          <w:rFonts w:cs="Arial"/>
          <w:color w:val="auto"/>
          <w:szCs w:val="24"/>
          <w:highlight w:val="none"/>
        </w:rPr>
        <w:t>根据此函，签字代表宣布同意如下：</w:t>
      </w:r>
    </w:p>
    <w:p w14:paraId="7021F257">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1.</w:t>
      </w:r>
      <w:r>
        <w:rPr>
          <w:rFonts w:cs="Arial"/>
          <w:color w:val="auto"/>
          <w:szCs w:val="24"/>
          <w:highlight w:val="none"/>
        </w:rPr>
        <w:t>所附投标价格表中规定的应提交和交付的</w:t>
      </w:r>
      <w:r>
        <w:rPr>
          <w:rFonts w:hint="eastAsia" w:cs="Arial"/>
          <w:color w:val="auto"/>
          <w:szCs w:val="24"/>
          <w:highlight w:val="none"/>
        </w:rPr>
        <w:t>货物</w:t>
      </w:r>
      <w:r>
        <w:rPr>
          <w:rFonts w:cs="Arial"/>
          <w:color w:val="auto"/>
          <w:szCs w:val="24"/>
          <w:highlight w:val="none"/>
        </w:rPr>
        <w:t>和</w:t>
      </w:r>
      <w:r>
        <w:rPr>
          <w:rFonts w:hint="eastAsia" w:cs="Arial"/>
          <w:color w:val="auto"/>
          <w:szCs w:val="24"/>
          <w:highlight w:val="none"/>
          <w:lang w:val="en-US" w:eastAsia="zh-CN"/>
        </w:rPr>
        <w:t>相关</w:t>
      </w:r>
      <w:r>
        <w:rPr>
          <w:rFonts w:cs="Arial"/>
          <w:color w:val="auto"/>
          <w:szCs w:val="24"/>
          <w:highlight w:val="none"/>
        </w:rPr>
        <w:t>服务</w:t>
      </w:r>
      <w:r>
        <w:rPr>
          <w:rFonts w:hint="eastAsia" w:cs="Arial"/>
          <w:color w:val="auto"/>
          <w:szCs w:val="24"/>
          <w:highlight w:val="none"/>
        </w:rPr>
        <w:t>（如有）</w:t>
      </w:r>
      <w:r>
        <w:rPr>
          <w:rFonts w:cs="Arial"/>
          <w:color w:val="auto"/>
          <w:szCs w:val="24"/>
          <w:highlight w:val="none"/>
        </w:rPr>
        <w:t>的</w:t>
      </w:r>
      <w:r>
        <w:rPr>
          <w:rFonts w:hint="eastAsia" w:cs="Arial"/>
          <w:color w:val="auto"/>
          <w:szCs w:val="24"/>
          <w:highlight w:val="none"/>
        </w:rPr>
        <w:t>投标报价</w:t>
      </w:r>
      <w:r>
        <w:rPr>
          <w:rFonts w:cs="Arial"/>
          <w:color w:val="auto"/>
          <w:szCs w:val="24"/>
          <w:highlight w:val="none"/>
        </w:rPr>
        <w:t>为</w:t>
      </w:r>
      <w:r>
        <w:rPr>
          <w:rFonts w:hint="eastAsia" w:cs="Arial"/>
          <w:color w:val="auto"/>
          <w:szCs w:val="24"/>
          <w:highlight w:val="none"/>
        </w:rPr>
        <w:t xml:space="preserve"> </w:t>
      </w:r>
      <w:r>
        <w:rPr>
          <w:rFonts w:hint="eastAsia" w:cs="Arial"/>
          <w:color w:val="auto"/>
          <w:szCs w:val="24"/>
          <w:highlight w:val="none"/>
          <w:u w:val="single"/>
        </w:rPr>
        <w:t xml:space="preserve">                  </w:t>
      </w:r>
      <w:r>
        <w:rPr>
          <w:rFonts w:cs="Arial"/>
          <w:color w:val="auto"/>
          <w:szCs w:val="24"/>
          <w:highlight w:val="none"/>
        </w:rPr>
        <w:t>。</w:t>
      </w:r>
    </w:p>
    <w:p w14:paraId="3FF1B405">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2.</w:t>
      </w:r>
      <w:r>
        <w:rPr>
          <w:rFonts w:hint="eastAsia" w:cs="Arial"/>
          <w:color w:val="auto"/>
          <w:szCs w:val="24"/>
          <w:highlight w:val="none"/>
        </w:rPr>
        <w:t>我方</w:t>
      </w:r>
      <w:r>
        <w:rPr>
          <w:rFonts w:cs="Arial"/>
          <w:color w:val="auto"/>
          <w:szCs w:val="24"/>
          <w:highlight w:val="none"/>
        </w:rPr>
        <w:t>将按招标文件的规定履行合同责任和义务。</w:t>
      </w:r>
    </w:p>
    <w:p w14:paraId="464D767C">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3.</w:t>
      </w:r>
      <w:r>
        <w:rPr>
          <w:rFonts w:hint="eastAsia" w:cs="Arial"/>
          <w:color w:val="auto"/>
          <w:szCs w:val="24"/>
          <w:highlight w:val="none"/>
        </w:rPr>
        <w:t>我方</w:t>
      </w:r>
      <w:r>
        <w:rPr>
          <w:rFonts w:cs="Arial"/>
          <w:color w:val="auto"/>
          <w:szCs w:val="24"/>
          <w:highlight w:val="none"/>
        </w:rPr>
        <w:t>已详细审查全部招标文件，包括第</w:t>
      </w:r>
      <w:r>
        <w:rPr>
          <w:rFonts w:cs="Arial"/>
          <w:i w:val="0"/>
          <w:iCs/>
          <w:color w:val="auto"/>
          <w:szCs w:val="24"/>
          <w:highlight w:val="none"/>
          <w:u w:val="single"/>
        </w:rPr>
        <w:t>（编号、补遗书）（如果有的话）</w:t>
      </w:r>
      <w:r>
        <w:rPr>
          <w:rFonts w:cs="Arial"/>
          <w:color w:val="auto"/>
          <w:szCs w:val="24"/>
          <w:highlight w:val="none"/>
        </w:rPr>
        <w:t>。我</w:t>
      </w:r>
      <w:r>
        <w:rPr>
          <w:rFonts w:hint="eastAsia" w:cs="Arial"/>
          <w:color w:val="auto"/>
          <w:szCs w:val="24"/>
          <w:highlight w:val="none"/>
        </w:rPr>
        <w:t>方</w:t>
      </w:r>
      <w:r>
        <w:rPr>
          <w:rFonts w:cs="Arial"/>
          <w:color w:val="auto"/>
          <w:szCs w:val="24"/>
          <w:highlight w:val="none"/>
        </w:rPr>
        <w:t>完全理解并同意放弃对这方面有不明及误解的权力。</w:t>
      </w:r>
    </w:p>
    <w:p w14:paraId="70CAE828">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4.</w:t>
      </w:r>
      <w:r>
        <w:rPr>
          <w:rFonts w:hint="eastAsia" w:cs="Arial"/>
          <w:color w:val="auto"/>
          <w:szCs w:val="24"/>
          <w:highlight w:val="none"/>
        </w:rPr>
        <w:t>投标有效期为自提交投标文件的截止之日起</w:t>
      </w:r>
      <w:r>
        <w:rPr>
          <w:rFonts w:hint="eastAsia" w:cs="Arial"/>
          <w:i/>
          <w:color w:val="auto"/>
          <w:szCs w:val="24"/>
          <w:highlight w:val="none"/>
          <w:u w:val="single"/>
        </w:rPr>
        <w:t xml:space="preserve"> </w:t>
      </w:r>
      <w:r>
        <w:rPr>
          <w:rFonts w:hint="eastAsia" w:cs="Arial"/>
          <w:i w:val="0"/>
          <w:iCs/>
          <w:color w:val="auto"/>
          <w:szCs w:val="24"/>
          <w:highlight w:val="none"/>
          <w:u w:val="single"/>
        </w:rPr>
        <w:t>（由投标人填写）</w:t>
      </w:r>
      <w:r>
        <w:rPr>
          <w:rFonts w:cs="Arial"/>
          <w:color w:val="auto"/>
          <w:szCs w:val="24"/>
          <w:highlight w:val="none"/>
        </w:rPr>
        <w:t>个日历天。</w:t>
      </w:r>
    </w:p>
    <w:p w14:paraId="52EDF2A7">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5.</w:t>
      </w:r>
      <w:r>
        <w:rPr>
          <w:rFonts w:hint="eastAsia" w:cs="Arial"/>
          <w:color w:val="auto"/>
          <w:szCs w:val="24"/>
          <w:highlight w:val="none"/>
        </w:rPr>
        <w:t>我方</w:t>
      </w:r>
      <w:r>
        <w:rPr>
          <w:rFonts w:cs="Arial"/>
          <w:color w:val="auto"/>
          <w:szCs w:val="24"/>
          <w:highlight w:val="none"/>
        </w:rPr>
        <w:t>同意提供按照贵方</w:t>
      </w:r>
      <w:r>
        <w:rPr>
          <w:rFonts w:hint="eastAsia" w:cs="Arial"/>
          <w:color w:val="auto"/>
          <w:szCs w:val="24"/>
          <w:highlight w:val="none"/>
          <w:lang w:val="en-US" w:eastAsia="zh-CN"/>
        </w:rPr>
        <w:t>招标</w:t>
      </w:r>
      <w:r>
        <w:rPr>
          <w:rFonts w:hint="eastAsia" w:cs="Arial"/>
          <w:color w:val="auto"/>
          <w:szCs w:val="24"/>
          <w:highlight w:val="none"/>
        </w:rPr>
        <w:t>文件</w:t>
      </w:r>
      <w:r>
        <w:rPr>
          <w:rFonts w:cs="Arial"/>
          <w:color w:val="auto"/>
          <w:szCs w:val="24"/>
          <w:highlight w:val="none"/>
        </w:rPr>
        <w:t>要求的与投标有关的一切数据或资料，</w:t>
      </w:r>
      <w:r>
        <w:rPr>
          <w:rFonts w:hint="eastAsia" w:cs="Arial"/>
          <w:color w:val="auto"/>
          <w:szCs w:val="24"/>
          <w:highlight w:val="none"/>
        </w:rPr>
        <w:t>采用综合评分法时，我方</w:t>
      </w:r>
      <w:r>
        <w:rPr>
          <w:rFonts w:cs="Arial"/>
          <w:color w:val="auto"/>
          <w:szCs w:val="24"/>
          <w:highlight w:val="none"/>
        </w:rPr>
        <w:t>完全理解贵方不一定接受最低价的投标。</w:t>
      </w:r>
    </w:p>
    <w:p w14:paraId="3CF5A666">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6.</w:t>
      </w:r>
      <w:r>
        <w:rPr>
          <w:rFonts w:hint="eastAsia" w:cs="Arial"/>
          <w:color w:val="auto"/>
          <w:szCs w:val="24"/>
          <w:highlight w:val="none"/>
        </w:rPr>
        <w:t>本项目如由中标人支付采购代理服务费，我方同意按投标人须知前附表中规定向采购代理机构支付采购代理服务费。</w:t>
      </w:r>
    </w:p>
    <w:p w14:paraId="6A150207">
      <w:pPr>
        <w:numPr>
          <w:ilvl w:val="0"/>
          <w:numId w:val="0"/>
        </w:numPr>
        <w:snapToGrid w:val="0"/>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7.</w:t>
      </w:r>
      <w:r>
        <w:rPr>
          <w:rFonts w:hint="eastAsia" w:cs="Arial"/>
          <w:color w:val="auto"/>
          <w:szCs w:val="24"/>
          <w:highlight w:val="none"/>
        </w:rPr>
        <w:t>重要声明：</w:t>
      </w:r>
    </w:p>
    <w:p w14:paraId="40AFB77A">
      <w:pPr>
        <w:snapToGrid w:val="0"/>
        <w:spacing w:line="324" w:lineRule="auto"/>
        <w:ind w:firstLine="400" w:firstLineChars="200"/>
        <w:rPr>
          <w:color w:val="auto"/>
          <w:szCs w:val="24"/>
          <w:highlight w:val="none"/>
        </w:rPr>
      </w:pPr>
      <w:r>
        <w:rPr>
          <w:rFonts w:hint="eastAsia"/>
          <w:color w:val="auto"/>
          <w:szCs w:val="24"/>
          <w:highlight w:val="none"/>
        </w:rPr>
        <w:t>1）与我方单位负责人为同一人的其他单位名称：</w:t>
      </w:r>
    </w:p>
    <w:p w14:paraId="409D2F71">
      <w:pPr>
        <w:snapToGrid w:val="0"/>
        <w:spacing w:line="324" w:lineRule="auto"/>
        <w:ind w:left="380" w:leftChars="190" w:firstLine="296" w:firstLineChars="148"/>
        <w:rPr>
          <w:i w:val="0"/>
          <w:iCs/>
          <w:color w:val="auto"/>
          <w:szCs w:val="24"/>
          <w:highlight w:val="none"/>
        </w:rPr>
      </w:pPr>
      <w:r>
        <w:rPr>
          <w:rFonts w:hint="eastAsia"/>
          <w:color w:val="auto"/>
          <w:szCs w:val="24"/>
          <w:highlight w:val="none"/>
          <w:lang w:eastAsia="zh-CN"/>
        </w:rPr>
        <w:t>□</w:t>
      </w:r>
      <w:r>
        <w:rPr>
          <w:rFonts w:hint="eastAsia"/>
          <w:color w:val="auto"/>
          <w:szCs w:val="24"/>
          <w:highlight w:val="none"/>
        </w:rPr>
        <w:t>无；</w:t>
      </w:r>
      <w:r>
        <w:rPr>
          <w:rFonts w:hint="eastAsia"/>
          <w:color w:val="auto"/>
          <w:szCs w:val="24"/>
          <w:highlight w:val="none"/>
          <w:lang w:eastAsia="zh-CN"/>
        </w:rPr>
        <w:t>□</w:t>
      </w:r>
      <w:r>
        <w:rPr>
          <w:rFonts w:hint="eastAsia"/>
          <w:color w:val="auto"/>
          <w:szCs w:val="24"/>
          <w:highlight w:val="none"/>
        </w:rPr>
        <w:t>有，具体单位名称为：</w:t>
      </w:r>
      <w:r>
        <w:rPr>
          <w:rFonts w:hint="eastAsia" w:cs="Arial"/>
          <w:i w:val="0"/>
          <w:iCs/>
          <w:color w:val="auto"/>
          <w:szCs w:val="24"/>
          <w:highlight w:val="none"/>
          <w:u w:val="single"/>
        </w:rPr>
        <w:t>（由投标人如实填写）</w:t>
      </w:r>
      <w:r>
        <w:rPr>
          <w:rFonts w:hint="eastAsia"/>
          <w:i w:val="0"/>
          <w:iCs/>
          <w:color w:val="auto"/>
          <w:szCs w:val="24"/>
          <w:highlight w:val="none"/>
        </w:rPr>
        <w:t>。</w:t>
      </w:r>
    </w:p>
    <w:p w14:paraId="0B2F52C6">
      <w:pPr>
        <w:snapToGrid w:val="0"/>
        <w:spacing w:line="324" w:lineRule="auto"/>
        <w:ind w:firstLine="400" w:firstLineChars="200"/>
        <w:rPr>
          <w:i w:val="0"/>
          <w:iCs/>
          <w:color w:val="auto"/>
          <w:szCs w:val="24"/>
          <w:highlight w:val="none"/>
        </w:rPr>
      </w:pPr>
      <w:r>
        <w:rPr>
          <w:rFonts w:hint="eastAsia"/>
          <w:i w:val="0"/>
          <w:iCs/>
          <w:color w:val="auto"/>
          <w:szCs w:val="24"/>
          <w:highlight w:val="none"/>
        </w:rPr>
        <w:t>2）与我方存在控股、管理关系的其他单位的名称：</w:t>
      </w:r>
    </w:p>
    <w:p w14:paraId="3BE8BBB8">
      <w:pPr>
        <w:snapToGrid w:val="0"/>
        <w:spacing w:line="324" w:lineRule="auto"/>
        <w:ind w:left="380" w:leftChars="190" w:firstLine="296" w:firstLineChars="148"/>
        <w:rPr>
          <w:color w:val="auto"/>
          <w:szCs w:val="24"/>
          <w:highlight w:val="none"/>
        </w:rPr>
      </w:pPr>
      <w:r>
        <w:rPr>
          <w:rFonts w:hint="eastAsia"/>
          <w:i w:val="0"/>
          <w:iCs/>
          <w:color w:val="auto"/>
          <w:szCs w:val="24"/>
          <w:highlight w:val="none"/>
          <w:lang w:eastAsia="zh-CN"/>
        </w:rPr>
        <w:t>□</w:t>
      </w:r>
      <w:r>
        <w:rPr>
          <w:rFonts w:hint="eastAsia"/>
          <w:i w:val="0"/>
          <w:iCs/>
          <w:color w:val="auto"/>
          <w:szCs w:val="24"/>
          <w:highlight w:val="none"/>
        </w:rPr>
        <w:t xml:space="preserve">无；□有，具体单位名称为： </w:t>
      </w:r>
      <w:r>
        <w:rPr>
          <w:rFonts w:hint="eastAsia" w:cs="Arial"/>
          <w:i w:val="0"/>
          <w:iCs/>
          <w:color w:val="auto"/>
          <w:szCs w:val="24"/>
          <w:highlight w:val="none"/>
          <w:u w:val="single"/>
        </w:rPr>
        <w:t>（由投标人如实填写）</w:t>
      </w:r>
      <w:r>
        <w:rPr>
          <w:rFonts w:hint="eastAsia"/>
          <w:color w:val="auto"/>
          <w:szCs w:val="24"/>
          <w:highlight w:val="none"/>
        </w:rPr>
        <w:t>。</w:t>
      </w:r>
    </w:p>
    <w:p w14:paraId="1103F8A2">
      <w:pPr>
        <w:snapToGrid w:val="0"/>
        <w:spacing w:line="324" w:lineRule="auto"/>
        <w:ind w:firstLine="400" w:firstLineChars="200"/>
        <w:rPr>
          <w:color w:val="auto"/>
          <w:szCs w:val="24"/>
          <w:highlight w:val="none"/>
        </w:rPr>
      </w:pPr>
      <w:r>
        <w:rPr>
          <w:rFonts w:hint="eastAsia"/>
          <w:color w:val="auto"/>
          <w:szCs w:val="24"/>
          <w:highlight w:val="none"/>
        </w:rPr>
        <w:t>3）参与本项目采购活动前，是否为本项目前期准备提供过整体设计、规范编制或者项目管理、监理、检测等服务：</w:t>
      </w:r>
    </w:p>
    <w:p w14:paraId="73BE978C">
      <w:pPr>
        <w:snapToGrid w:val="0"/>
        <w:spacing w:line="324" w:lineRule="auto"/>
        <w:ind w:left="380" w:leftChars="190" w:firstLine="296" w:firstLineChars="148"/>
        <w:rPr>
          <w:color w:val="auto"/>
          <w:szCs w:val="24"/>
          <w:highlight w:val="none"/>
        </w:rPr>
      </w:pPr>
      <w:r>
        <w:rPr>
          <w:rFonts w:hint="eastAsia"/>
          <w:color w:val="auto"/>
          <w:szCs w:val="24"/>
          <w:highlight w:val="none"/>
          <w:lang w:eastAsia="zh-CN"/>
        </w:rPr>
        <w:t>□</w:t>
      </w:r>
      <w:r>
        <w:rPr>
          <w:rFonts w:hint="eastAsia"/>
          <w:color w:val="auto"/>
          <w:szCs w:val="24"/>
          <w:highlight w:val="none"/>
        </w:rPr>
        <w:t>无；□有，已提供的具体服务内容为：</w:t>
      </w:r>
      <w:r>
        <w:rPr>
          <w:rFonts w:hint="eastAsia"/>
          <w:i w:val="0"/>
          <w:iCs w:val="0"/>
          <w:color w:val="auto"/>
          <w:szCs w:val="24"/>
          <w:highlight w:val="none"/>
        </w:rPr>
        <w:t xml:space="preserve"> </w:t>
      </w:r>
      <w:r>
        <w:rPr>
          <w:rFonts w:hint="eastAsia" w:cs="Arial"/>
          <w:i w:val="0"/>
          <w:iCs w:val="0"/>
          <w:color w:val="auto"/>
          <w:szCs w:val="24"/>
          <w:highlight w:val="none"/>
          <w:u w:val="single"/>
        </w:rPr>
        <w:t>（由投标人如实填写）</w:t>
      </w:r>
      <w:r>
        <w:rPr>
          <w:rFonts w:hint="eastAsia"/>
          <w:color w:val="auto"/>
          <w:szCs w:val="24"/>
          <w:highlight w:val="none"/>
        </w:rPr>
        <w:t>。</w:t>
      </w:r>
    </w:p>
    <w:p w14:paraId="4FC84088">
      <w:pPr>
        <w:spacing w:line="324" w:lineRule="auto"/>
        <w:ind w:firstLine="400" w:firstLineChars="200"/>
        <w:rPr>
          <w:color w:val="auto"/>
          <w:szCs w:val="24"/>
          <w:highlight w:val="none"/>
        </w:rPr>
      </w:pPr>
      <w:r>
        <w:rPr>
          <w:rFonts w:hint="eastAsia"/>
          <w:color w:val="auto"/>
          <w:szCs w:val="24"/>
          <w:highlight w:val="none"/>
        </w:rPr>
        <w:t>（备注：以上</w:t>
      </w:r>
      <w:r>
        <w:rPr>
          <w:color w:val="auto"/>
          <w:szCs w:val="24"/>
          <w:highlight w:val="none"/>
        </w:rPr>
        <w:t>3</w:t>
      </w:r>
      <w:r>
        <w:rPr>
          <w:rFonts w:hint="eastAsia"/>
          <w:color w:val="auto"/>
          <w:szCs w:val="24"/>
          <w:highlight w:val="none"/>
        </w:rPr>
        <w:t>项声明，必须如实选择，选中项用</w:t>
      </w:r>
      <w:r>
        <w:rPr>
          <w:rFonts w:hint="eastAsia"/>
          <w:color w:val="auto"/>
          <w:szCs w:val="24"/>
          <w:highlight w:val="none"/>
          <w:lang w:eastAsia="zh-CN"/>
        </w:rPr>
        <w:t>☑</w:t>
      </w:r>
      <w:r>
        <w:rPr>
          <w:rFonts w:hint="eastAsia"/>
          <w:color w:val="auto"/>
          <w:szCs w:val="24"/>
          <w:highlight w:val="none"/>
        </w:rPr>
        <w:t>表示，未选中项用□表示。①“单位负责人”是指单位法定代表人或者法律、行政法规规定代表单位行使职权的主要负责人。②本条所规定的控股、管理关系仅限于直接控股、直接管理关系，不包括间接的控股或管理关系。③</w:t>
      </w:r>
      <w:r>
        <w:rPr>
          <w:rFonts w:hint="eastAsia" w:eastAsia="宋体"/>
          <w:color w:val="auto"/>
          <w:szCs w:val="24"/>
          <w:highlight w:val="none"/>
          <w:lang w:eastAsia="zh-CN"/>
        </w:rPr>
        <w:t>投标人</w:t>
      </w:r>
      <w:r>
        <w:rPr>
          <w:rFonts w:hint="eastAsia"/>
          <w:color w:val="auto"/>
          <w:szCs w:val="24"/>
          <w:highlight w:val="none"/>
        </w:rPr>
        <w:t>如未如实填报，视为提供虚假材料谋取中标，应承担相应法律责任。）</w:t>
      </w:r>
    </w:p>
    <w:p w14:paraId="19A44DC4">
      <w:pPr>
        <w:snapToGrid w:val="0"/>
        <w:spacing w:line="324" w:lineRule="auto"/>
        <w:ind w:firstLine="400" w:firstLineChars="200"/>
        <w:rPr>
          <w:color w:val="auto"/>
          <w:szCs w:val="24"/>
          <w:highlight w:val="none"/>
        </w:rPr>
      </w:pPr>
      <w:r>
        <w:rPr>
          <w:rFonts w:hint="eastAsia"/>
          <w:color w:val="auto"/>
          <w:szCs w:val="24"/>
          <w:highlight w:val="none"/>
        </w:rPr>
        <w:t>4）我方在本投标文件中所提供的全部资料均真实有效，我方承诺对其真实性负责并承担相应后果。</w:t>
      </w:r>
    </w:p>
    <w:p w14:paraId="5FB2607B">
      <w:pPr>
        <w:snapToGrid w:val="0"/>
        <w:spacing w:line="324" w:lineRule="auto"/>
        <w:ind w:firstLine="400" w:firstLineChars="200"/>
        <w:rPr>
          <w:color w:val="auto"/>
          <w:szCs w:val="24"/>
          <w:highlight w:val="none"/>
        </w:rPr>
      </w:pPr>
      <w:r>
        <w:rPr>
          <w:rFonts w:hint="eastAsia"/>
          <w:color w:val="auto"/>
          <w:szCs w:val="24"/>
          <w:highlight w:val="none"/>
        </w:rPr>
        <w:t>5）</w:t>
      </w:r>
      <w:bookmarkStart w:id="727" w:name="_Hlk161604053"/>
      <w:r>
        <w:rPr>
          <w:rFonts w:hint="eastAsia"/>
          <w:color w:val="auto"/>
          <w:szCs w:val="24"/>
          <w:highlight w:val="none"/>
        </w:rPr>
        <w:t>我方承诺本《投标函》的签章对本投标文件全部内容具有约束力并承担法律责任。</w:t>
      </w:r>
      <w:bookmarkEnd w:id="727"/>
    </w:p>
    <w:p w14:paraId="2A195747">
      <w:pPr>
        <w:spacing w:line="300" w:lineRule="auto"/>
        <w:rPr>
          <w:rFonts w:cs="Arial"/>
          <w:color w:val="auto"/>
          <w:szCs w:val="24"/>
          <w:highlight w:val="none"/>
        </w:rPr>
      </w:pPr>
    </w:p>
    <w:p w14:paraId="3F664789">
      <w:pPr>
        <w:spacing w:line="300" w:lineRule="auto"/>
        <w:rPr>
          <w:rFonts w:cs="Arial"/>
          <w:color w:val="auto"/>
          <w:szCs w:val="24"/>
          <w:highlight w:val="none"/>
        </w:rPr>
      </w:pPr>
    </w:p>
    <w:p w14:paraId="6C365FF0">
      <w:pPr>
        <w:spacing w:line="300" w:lineRule="auto"/>
        <w:rPr>
          <w:rFonts w:cs="Arial"/>
          <w:color w:val="auto"/>
          <w:szCs w:val="24"/>
          <w:highlight w:val="none"/>
        </w:rPr>
      </w:pPr>
    </w:p>
    <w:p w14:paraId="448666AB">
      <w:pPr>
        <w:autoSpaceDE w:val="0"/>
        <w:autoSpaceDN w:val="0"/>
        <w:adjustRightInd w:val="0"/>
        <w:snapToGrid w:val="0"/>
        <w:ind w:firstLine="480" w:firstLineChars="200"/>
        <w:rPr>
          <w:rFonts w:hint="eastAsia" w:ascii="宋体" w:hAnsi="宋体" w:cs="宋体"/>
          <w:color w:val="auto"/>
          <w:kern w:val="0"/>
          <w:sz w:val="24"/>
          <w:highlight w:val="none"/>
          <w:lang w:val="zh-CN"/>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4CCC9D16">
      <w:pPr>
        <w:autoSpaceDE w:val="0"/>
        <w:autoSpaceDN w:val="0"/>
        <w:adjustRightInd w:val="0"/>
        <w:snapToGrid w:val="0"/>
        <w:ind w:firstLine="400" w:firstLineChars="200"/>
        <w:rPr>
          <w:rFonts w:cs="宋体"/>
          <w:color w:val="auto"/>
          <w:highlight w:val="none"/>
        </w:rPr>
      </w:pPr>
      <w:r>
        <w:rPr>
          <w:rFonts w:hint="eastAsia" w:cs="宋体"/>
          <w:color w:val="auto"/>
          <w:highlight w:val="none"/>
        </w:rPr>
        <w:t>通  讯  地  址：</w:t>
      </w:r>
    </w:p>
    <w:p w14:paraId="268281DA">
      <w:pPr>
        <w:autoSpaceDE w:val="0"/>
        <w:autoSpaceDN w:val="0"/>
        <w:adjustRightInd w:val="0"/>
        <w:snapToGrid w:val="0"/>
        <w:ind w:firstLine="400" w:firstLineChars="200"/>
        <w:rPr>
          <w:rFonts w:cs="宋体"/>
          <w:color w:val="auto"/>
          <w:highlight w:val="none"/>
        </w:rPr>
      </w:pPr>
      <w:r>
        <w:rPr>
          <w:rFonts w:hint="eastAsia" w:cs="宋体"/>
          <w:color w:val="auto"/>
          <w:highlight w:val="none"/>
        </w:rPr>
        <w:t xml:space="preserve">传       </w:t>
      </w:r>
      <w:r>
        <w:rPr>
          <w:rFonts w:cs="宋体"/>
          <w:color w:val="auto"/>
          <w:highlight w:val="none"/>
        </w:rPr>
        <w:t xml:space="preserve">   </w:t>
      </w:r>
      <w:r>
        <w:rPr>
          <w:rFonts w:hint="eastAsia" w:cs="宋体"/>
          <w:color w:val="auto"/>
          <w:highlight w:val="none"/>
        </w:rPr>
        <w:t>真：</w:t>
      </w:r>
    </w:p>
    <w:p w14:paraId="0A396883">
      <w:pPr>
        <w:autoSpaceDE w:val="0"/>
        <w:autoSpaceDN w:val="0"/>
        <w:adjustRightInd w:val="0"/>
        <w:snapToGrid w:val="0"/>
        <w:ind w:firstLine="400" w:firstLineChars="200"/>
        <w:rPr>
          <w:rFonts w:cs="宋体"/>
          <w:color w:val="auto"/>
          <w:highlight w:val="none"/>
        </w:rPr>
      </w:pPr>
      <w:r>
        <w:rPr>
          <w:rFonts w:hint="eastAsia" w:cs="宋体"/>
          <w:color w:val="auto"/>
          <w:highlight w:val="none"/>
        </w:rPr>
        <w:t>电          话：</w:t>
      </w:r>
    </w:p>
    <w:p w14:paraId="21203E4D">
      <w:pPr>
        <w:autoSpaceDE w:val="0"/>
        <w:autoSpaceDN w:val="0"/>
        <w:adjustRightInd w:val="0"/>
        <w:snapToGrid w:val="0"/>
        <w:ind w:firstLine="400" w:firstLineChars="200"/>
        <w:rPr>
          <w:rFonts w:cs="宋体"/>
          <w:color w:val="auto"/>
          <w:highlight w:val="none"/>
        </w:rPr>
      </w:pPr>
      <w:r>
        <w:rPr>
          <w:rFonts w:hint="eastAsia" w:cs="宋体"/>
          <w:color w:val="auto"/>
          <w:highlight w:val="none"/>
        </w:rPr>
        <w:t xml:space="preserve">授 </w:t>
      </w:r>
      <w:r>
        <w:rPr>
          <w:rFonts w:cs="宋体"/>
          <w:color w:val="auto"/>
          <w:highlight w:val="none"/>
        </w:rPr>
        <w:t xml:space="preserve"> </w:t>
      </w:r>
      <w:r>
        <w:rPr>
          <w:rFonts w:hint="eastAsia" w:cs="宋体"/>
          <w:color w:val="auto"/>
          <w:highlight w:val="none"/>
        </w:rPr>
        <w:t xml:space="preserve">权 </w:t>
      </w:r>
      <w:r>
        <w:rPr>
          <w:rFonts w:cs="宋体"/>
          <w:color w:val="auto"/>
          <w:highlight w:val="none"/>
        </w:rPr>
        <w:t xml:space="preserve"> </w:t>
      </w:r>
      <w:r>
        <w:rPr>
          <w:rFonts w:hint="eastAsia" w:cs="宋体"/>
          <w:color w:val="auto"/>
          <w:highlight w:val="none"/>
        </w:rPr>
        <w:t xml:space="preserve">代 </w:t>
      </w:r>
      <w:r>
        <w:rPr>
          <w:rFonts w:cs="宋体"/>
          <w:color w:val="auto"/>
          <w:highlight w:val="none"/>
        </w:rPr>
        <w:t xml:space="preserve"> </w:t>
      </w:r>
      <w:r>
        <w:rPr>
          <w:rFonts w:hint="eastAsia" w:cs="宋体"/>
          <w:color w:val="auto"/>
          <w:highlight w:val="none"/>
        </w:rPr>
        <w:t>表：</w:t>
      </w:r>
    </w:p>
    <w:p w14:paraId="63C92097">
      <w:pPr>
        <w:ind w:firstLine="400" w:firstLineChars="200"/>
        <w:rPr>
          <w:rFonts w:cs="Arial"/>
          <w:color w:val="auto"/>
          <w:szCs w:val="24"/>
          <w:highlight w:val="none"/>
        </w:rPr>
      </w:pPr>
      <w:r>
        <w:rPr>
          <w:rFonts w:hint="eastAsia" w:cs="宋体"/>
          <w:color w:val="auto"/>
          <w:highlight w:val="none"/>
        </w:rPr>
        <w:t xml:space="preserve">日     </w:t>
      </w:r>
      <w:r>
        <w:rPr>
          <w:rFonts w:cs="宋体"/>
          <w:color w:val="auto"/>
          <w:highlight w:val="none"/>
        </w:rPr>
        <w:t xml:space="preserve">  </w:t>
      </w:r>
      <w:r>
        <w:rPr>
          <w:rFonts w:hint="eastAsia" w:cs="宋体"/>
          <w:color w:val="auto"/>
          <w:highlight w:val="none"/>
        </w:rPr>
        <w:t xml:space="preserve">    期：</w:t>
      </w:r>
    </w:p>
    <w:p w14:paraId="6674502E">
      <w:pPr>
        <w:rPr>
          <w:rFonts w:cs="Arial"/>
          <w:color w:val="auto"/>
          <w:szCs w:val="24"/>
          <w:highlight w:val="none"/>
          <w:u w:val="single"/>
        </w:rPr>
      </w:pPr>
    </w:p>
    <w:p w14:paraId="478BFBB8">
      <w:pPr>
        <w:rPr>
          <w:rFonts w:cs="Arial"/>
          <w:color w:val="auto"/>
          <w:szCs w:val="24"/>
          <w:highlight w:val="none"/>
          <w:u w:val="single"/>
        </w:rPr>
      </w:pPr>
      <w:r>
        <w:rPr>
          <w:rFonts w:cs="Arial"/>
          <w:color w:val="auto"/>
          <w:szCs w:val="24"/>
          <w:highlight w:val="none"/>
          <w:u w:val="single"/>
        </w:rPr>
        <w:br w:type="page"/>
      </w:r>
    </w:p>
    <w:p w14:paraId="24B4BD65">
      <w:pPr>
        <w:pStyle w:val="4"/>
        <w:bidi w:val="0"/>
        <w:jc w:val="center"/>
        <w:rPr>
          <w:rFonts w:hint="eastAsia"/>
          <w:highlight w:val="none"/>
          <w:lang w:val="en-US" w:eastAsia="zh-CN"/>
        </w:rPr>
      </w:pPr>
      <w:bookmarkStart w:id="728" w:name="_Toc155185924"/>
      <w:bookmarkStart w:id="729" w:name="_Toc12414"/>
      <w:r>
        <w:rPr>
          <w:rFonts w:hint="eastAsia"/>
          <w:highlight w:val="none"/>
          <w:lang w:val="en-US" w:eastAsia="zh-CN"/>
        </w:rPr>
        <w:t>二、法定代表人（单位负责人）身份证明</w:t>
      </w:r>
      <w:bookmarkEnd w:id="728"/>
      <w:bookmarkEnd w:id="729"/>
    </w:p>
    <w:p w14:paraId="46CF1AA3">
      <w:pPr>
        <w:spacing w:line="480" w:lineRule="auto"/>
        <w:ind w:firstLine="400" w:firstLineChars="200"/>
        <w:rPr>
          <w:rFonts w:hint="eastAsia" w:cs="仿宋_GB2312"/>
          <w:color w:val="auto"/>
          <w:szCs w:val="24"/>
          <w:highlight w:val="none"/>
        </w:rPr>
      </w:pPr>
      <w:r>
        <w:rPr>
          <w:rFonts w:hint="eastAsia" w:cs="仿宋_GB2312"/>
          <w:color w:val="auto"/>
          <w:szCs w:val="24"/>
          <w:highlight w:val="none"/>
          <w:lang w:val="en-US" w:eastAsia="zh-CN"/>
        </w:rPr>
        <w:t xml:space="preserve">致：（采购人或采购代理机构） </w:t>
      </w:r>
    </w:p>
    <w:p w14:paraId="3DE52D6F">
      <w:pPr>
        <w:spacing w:line="480" w:lineRule="auto"/>
        <w:ind w:firstLine="800" w:firstLineChars="400"/>
        <w:rPr>
          <w:rFonts w:hint="eastAsia" w:cs="仿宋_GB2312"/>
          <w:color w:val="auto"/>
          <w:szCs w:val="24"/>
          <w:highlight w:val="none"/>
        </w:rPr>
      </w:pPr>
      <w:r>
        <w:rPr>
          <w:rFonts w:hint="eastAsia" w:cs="仿宋_GB2312"/>
          <w:color w:val="auto"/>
          <w:szCs w:val="24"/>
          <w:highlight w:val="none"/>
          <w:lang w:val="en-US" w:eastAsia="zh-CN"/>
        </w:rPr>
        <w:t xml:space="preserve">兹证明， </w:t>
      </w:r>
    </w:p>
    <w:p w14:paraId="1D36B9E0">
      <w:pPr>
        <w:spacing w:line="480" w:lineRule="auto"/>
        <w:ind w:firstLine="400" w:firstLineChars="200"/>
        <w:rPr>
          <w:rFonts w:hint="eastAsia" w:cs="仿宋_GB2312"/>
          <w:color w:val="auto"/>
          <w:szCs w:val="24"/>
          <w:highlight w:val="none"/>
        </w:rPr>
      </w:pPr>
      <w:r>
        <w:rPr>
          <w:rFonts w:hint="eastAsia" w:cs="仿宋_GB2312"/>
          <w:color w:val="auto"/>
          <w:szCs w:val="24"/>
          <w:highlight w:val="none"/>
          <w:lang w:val="en-US" w:eastAsia="zh-CN"/>
        </w:rPr>
        <w:t xml:space="preserve">姓名：____性别：____年龄：____职务：____ </w:t>
      </w:r>
    </w:p>
    <w:p w14:paraId="38746EB6">
      <w:pPr>
        <w:spacing w:line="480" w:lineRule="auto"/>
        <w:ind w:firstLine="400" w:firstLineChars="200"/>
        <w:rPr>
          <w:rFonts w:hint="eastAsia" w:cs="仿宋_GB2312"/>
          <w:color w:val="auto"/>
          <w:szCs w:val="24"/>
          <w:highlight w:val="none"/>
        </w:rPr>
      </w:pPr>
      <w:r>
        <w:rPr>
          <w:rFonts w:hint="eastAsia" w:cs="仿宋_GB2312"/>
          <w:color w:val="auto"/>
          <w:szCs w:val="24"/>
          <w:highlight w:val="none"/>
          <w:lang w:val="en-US" w:eastAsia="zh-CN"/>
        </w:rPr>
        <w:t xml:space="preserve">系 </w:t>
      </w:r>
      <w:r>
        <w:rPr>
          <w:rFonts w:hint="eastAsia" w:cs="仿宋_GB2312"/>
          <w:color w:val="auto"/>
          <w:szCs w:val="24"/>
          <w:highlight w:val="none"/>
          <w:u w:val="single"/>
          <w:lang w:val="en-US" w:eastAsia="zh-CN"/>
        </w:rPr>
        <w:t xml:space="preserve">            </w:t>
      </w:r>
      <w:r>
        <w:rPr>
          <w:rFonts w:hint="eastAsia" w:cs="仿宋_GB2312"/>
          <w:color w:val="auto"/>
          <w:szCs w:val="24"/>
          <w:highlight w:val="none"/>
          <w:lang w:val="en-US" w:eastAsia="zh-CN"/>
        </w:rPr>
        <w:t xml:space="preserve">（投标人名称）的法定代表人（单位负责人）。 </w:t>
      </w:r>
    </w:p>
    <w:p w14:paraId="3B002BC6">
      <w:pPr>
        <w:spacing w:line="480" w:lineRule="auto"/>
        <w:ind w:firstLine="400" w:firstLineChars="200"/>
        <w:rPr>
          <w:rFonts w:hint="eastAsia" w:cs="仿宋_GB2312"/>
          <w:color w:val="auto"/>
          <w:szCs w:val="24"/>
          <w:highlight w:val="none"/>
        </w:rPr>
      </w:pPr>
      <w:r>
        <w:rPr>
          <w:rFonts w:hint="eastAsia" w:cs="仿宋_GB2312"/>
          <w:color w:val="auto"/>
          <w:szCs w:val="24"/>
          <w:highlight w:val="none"/>
          <w:lang w:val="en-US" w:eastAsia="zh-CN"/>
        </w:rPr>
        <w:t xml:space="preserve">附：法定代表人（单位负责人）身份证、护照等身份证明文件电子件： </w:t>
      </w:r>
    </w:p>
    <w:p w14:paraId="60A8C36F">
      <w:pPr>
        <w:spacing w:line="480" w:lineRule="auto"/>
        <w:ind w:firstLine="400" w:firstLineChars="200"/>
        <w:rPr>
          <w:rFonts w:cs="仿宋_GB2312"/>
          <w:color w:val="auto"/>
          <w:szCs w:val="24"/>
          <w:highlight w:val="none"/>
        </w:rPr>
      </w:pPr>
    </w:p>
    <w:p w14:paraId="473563CD">
      <w:pPr>
        <w:rPr>
          <w:rFonts w:cs="Arial"/>
          <w:color w:val="auto"/>
          <w:sz w:val="21"/>
          <w:szCs w:val="21"/>
          <w:highlight w:val="none"/>
        </w:rPr>
      </w:pPr>
    </w:p>
    <w:tbl>
      <w:tblPr>
        <w:tblStyle w:val="31"/>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2D4F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tcPr>
          <w:p w14:paraId="4B7B7E19">
            <w:pPr>
              <w:rPr>
                <w:rFonts w:cs="Arial"/>
                <w:color w:val="auto"/>
                <w:highlight w:val="none"/>
              </w:rPr>
            </w:pPr>
          </w:p>
        </w:tc>
      </w:tr>
    </w:tbl>
    <w:p w14:paraId="76B5C725">
      <w:pPr>
        <w:ind w:firstLine="700" w:firstLineChars="350"/>
        <w:jc w:val="center"/>
        <w:rPr>
          <w:rFonts w:cs="Arial"/>
          <w:color w:val="auto"/>
          <w:highlight w:val="none"/>
        </w:rPr>
      </w:pPr>
    </w:p>
    <w:p w14:paraId="4AD74708">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ascii="DejaVuSans" w:hAnsi="DejaVuSans" w:eastAsia="DejaVuSans" w:cs="DejaVuSans"/>
          <w:color w:val="auto"/>
          <w:kern w:val="0"/>
          <w:sz w:val="24"/>
          <w:szCs w:val="24"/>
          <w:highlight w:val="none"/>
          <w:lang w:val="en-US" w:eastAsia="zh-CN" w:bidi="ar"/>
        </w:rPr>
        <w:t xml:space="preserve">________________ </w:t>
      </w:r>
    </w:p>
    <w:p w14:paraId="364A1245">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法定代表人（单位负责人）（签字或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 </w:t>
      </w:r>
    </w:p>
    <w:p w14:paraId="10B3C29F">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p>
    <w:p w14:paraId="7239FE13">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日期：</w:t>
      </w:r>
      <w:r>
        <w:rPr>
          <w:rFonts w:hint="default" w:ascii="DejaVuSans" w:hAnsi="DejaVuSans" w:eastAsia="DejaVuSans" w:cs="DejaVuSans"/>
          <w:color w:val="auto"/>
          <w:kern w:val="0"/>
          <w:sz w:val="24"/>
          <w:szCs w:val="24"/>
          <w:highlight w:val="none"/>
          <w:lang w:val="en-US" w:eastAsia="zh-CN" w:bidi="ar"/>
        </w:rPr>
        <w:t>_____</w:t>
      </w:r>
      <w:r>
        <w:rPr>
          <w:rFonts w:hint="eastAsia" w:ascii="宋体" w:hAnsi="宋体" w:eastAsia="宋体" w:cs="宋体"/>
          <w:color w:val="auto"/>
          <w:kern w:val="0"/>
          <w:sz w:val="24"/>
          <w:szCs w:val="24"/>
          <w:highlight w:val="none"/>
          <w:lang w:val="en-US" w:eastAsia="zh-CN" w:bidi="ar"/>
        </w:rPr>
        <w:t>年</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月</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日</w:t>
      </w:r>
    </w:p>
    <w:p w14:paraId="6948CD78">
      <w:pPr>
        <w:rPr>
          <w:b/>
          <w:color w:val="auto"/>
          <w:sz w:val="28"/>
          <w:szCs w:val="28"/>
          <w:highlight w:val="none"/>
        </w:rPr>
      </w:pPr>
    </w:p>
    <w:p w14:paraId="04FDD702">
      <w:pPr>
        <w:rPr>
          <w:b/>
          <w:color w:val="auto"/>
          <w:sz w:val="28"/>
          <w:szCs w:val="28"/>
          <w:highlight w:val="none"/>
        </w:rPr>
      </w:pPr>
      <w:r>
        <w:rPr>
          <w:b/>
          <w:color w:val="auto"/>
          <w:sz w:val="28"/>
          <w:szCs w:val="28"/>
          <w:highlight w:val="none"/>
        </w:rPr>
        <w:br w:type="page"/>
      </w:r>
    </w:p>
    <w:p w14:paraId="0EEE8A23">
      <w:pPr>
        <w:pStyle w:val="4"/>
        <w:bidi w:val="0"/>
        <w:jc w:val="center"/>
        <w:rPr>
          <w:rFonts w:hint="eastAsia"/>
          <w:highlight w:val="none"/>
          <w:lang w:val="en-US" w:eastAsia="zh-CN"/>
        </w:rPr>
      </w:pPr>
      <w:bookmarkStart w:id="730" w:name="_Toc155185925"/>
      <w:bookmarkStart w:id="731" w:name="_Toc24084"/>
      <w:r>
        <w:rPr>
          <w:rFonts w:hint="eastAsia"/>
          <w:highlight w:val="none"/>
          <w:lang w:val="en-US" w:eastAsia="zh-CN"/>
        </w:rPr>
        <w:t>三、授权委托书</w:t>
      </w:r>
      <w:bookmarkEnd w:id="730"/>
      <w:bookmarkEnd w:id="731"/>
    </w:p>
    <w:p w14:paraId="593F068D">
      <w:pPr>
        <w:ind w:firstLine="400" w:firstLineChars="200"/>
        <w:rPr>
          <w:rFonts w:cs="仿宋_GB2312"/>
          <w:color w:val="auto"/>
          <w:szCs w:val="24"/>
          <w:highlight w:val="none"/>
        </w:rPr>
      </w:pPr>
      <w:r>
        <w:rPr>
          <w:rFonts w:hint="eastAsia" w:cs="仿宋_GB2312"/>
          <w:color w:val="auto"/>
          <w:szCs w:val="24"/>
          <w:highlight w:val="none"/>
        </w:rPr>
        <w:t>本人</w:t>
      </w:r>
      <w:r>
        <w:rPr>
          <w:rFonts w:cs="仿宋_GB2312"/>
          <w:color w:val="auto"/>
          <w:szCs w:val="24"/>
          <w:highlight w:val="none"/>
          <w:u w:val="single"/>
        </w:rPr>
        <w:t xml:space="preserve">     </w:t>
      </w:r>
      <w:r>
        <w:rPr>
          <w:rFonts w:hint="eastAsia" w:cs="仿宋_GB2312"/>
          <w:color w:val="auto"/>
          <w:szCs w:val="24"/>
          <w:highlight w:val="none"/>
          <w:u w:val="none"/>
        </w:rPr>
        <w:t>（姓名）</w:t>
      </w:r>
      <w:r>
        <w:rPr>
          <w:rFonts w:hint="eastAsia" w:cs="仿宋_GB2312"/>
          <w:color w:val="auto"/>
          <w:szCs w:val="24"/>
          <w:highlight w:val="none"/>
        </w:rPr>
        <w:t>系</w:t>
      </w:r>
      <w:r>
        <w:rPr>
          <w:rFonts w:hint="eastAsia" w:cs="仿宋_GB2312"/>
          <w:color w:val="auto"/>
          <w:szCs w:val="24"/>
          <w:highlight w:val="none"/>
          <w:u w:val="single"/>
        </w:rPr>
        <w:t xml:space="preserve">   </w:t>
      </w:r>
      <w:r>
        <w:rPr>
          <w:rFonts w:hint="eastAsia" w:cs="仿宋_GB2312"/>
          <w:color w:val="auto"/>
          <w:szCs w:val="24"/>
          <w:highlight w:val="none"/>
          <w:u w:val="single"/>
          <w:lang w:val="en-US" w:eastAsia="zh-CN"/>
        </w:rPr>
        <w:t xml:space="preserve">     </w:t>
      </w:r>
      <w:r>
        <w:rPr>
          <w:rFonts w:hint="eastAsia" w:cs="仿宋_GB2312"/>
          <w:color w:val="auto"/>
          <w:szCs w:val="24"/>
          <w:highlight w:val="none"/>
          <w:u w:val="single"/>
        </w:rPr>
        <w:t xml:space="preserve">  </w:t>
      </w:r>
      <w:r>
        <w:rPr>
          <w:rFonts w:hint="eastAsia" w:cs="仿宋_GB2312"/>
          <w:color w:val="auto"/>
          <w:szCs w:val="24"/>
          <w:highlight w:val="none"/>
          <w:u w:val="none"/>
        </w:rPr>
        <w:t>（投标人名称）</w:t>
      </w:r>
      <w:r>
        <w:rPr>
          <w:rFonts w:hint="eastAsia" w:cs="仿宋_GB2312"/>
          <w:color w:val="auto"/>
          <w:szCs w:val="24"/>
          <w:highlight w:val="none"/>
        </w:rPr>
        <w:t>的法定代表人</w:t>
      </w:r>
      <w:r>
        <w:rPr>
          <w:rFonts w:hint="eastAsia"/>
          <w:color w:val="auto"/>
          <w:highlight w:val="none"/>
        </w:rPr>
        <w:t>（</w:t>
      </w:r>
      <w:r>
        <w:rPr>
          <w:rFonts w:hint="eastAsia"/>
          <w:color w:val="auto"/>
          <w:highlight w:val="none"/>
          <w:lang w:val="en-US" w:eastAsia="zh-CN"/>
        </w:rPr>
        <w:t>单位</w:t>
      </w:r>
      <w:r>
        <w:rPr>
          <w:rFonts w:hint="eastAsia"/>
          <w:color w:val="auto"/>
          <w:highlight w:val="none"/>
        </w:rPr>
        <w:t>负责人）</w:t>
      </w:r>
      <w:r>
        <w:rPr>
          <w:rFonts w:hint="eastAsia" w:cs="仿宋_GB2312"/>
          <w:color w:val="auto"/>
          <w:szCs w:val="24"/>
          <w:highlight w:val="none"/>
        </w:rPr>
        <w:t>，现委托</w:t>
      </w:r>
      <w:r>
        <w:rPr>
          <w:rFonts w:hint="eastAsia" w:cs="仿宋_GB2312"/>
          <w:color w:val="auto"/>
          <w:szCs w:val="24"/>
          <w:highlight w:val="none"/>
          <w:u w:val="single"/>
        </w:rPr>
        <w:t xml:space="preserve">     </w:t>
      </w:r>
      <w:r>
        <w:rPr>
          <w:rFonts w:hint="eastAsia" w:cs="仿宋_GB2312"/>
          <w:color w:val="auto"/>
          <w:szCs w:val="24"/>
          <w:highlight w:val="none"/>
        </w:rPr>
        <w:t>（姓名）为我方代理人。代理人根据授权，以我方名义签署、澄清</w:t>
      </w:r>
      <w:r>
        <w:rPr>
          <w:rFonts w:hint="eastAsia" w:cs="仿宋_GB2312"/>
          <w:color w:val="auto"/>
          <w:szCs w:val="24"/>
          <w:highlight w:val="none"/>
          <w:lang w:val="en-US" w:eastAsia="zh-CN"/>
        </w:rPr>
        <w:t>确认</w:t>
      </w:r>
      <w:r>
        <w:rPr>
          <w:rFonts w:hint="eastAsia" w:cs="仿宋_GB2312"/>
          <w:color w:val="auto"/>
          <w:szCs w:val="24"/>
          <w:highlight w:val="none"/>
        </w:rPr>
        <w:t>、说明、补正、递交、撤回、修改</w:t>
      </w:r>
      <w:r>
        <w:rPr>
          <w:rFonts w:hint="eastAsia" w:cs="仿宋_GB2312"/>
          <w:color w:val="auto"/>
          <w:szCs w:val="24"/>
          <w:highlight w:val="none"/>
          <w:u w:val="single"/>
        </w:rPr>
        <w:t xml:space="preserve">   </w:t>
      </w:r>
      <w:r>
        <w:rPr>
          <w:rFonts w:hint="eastAsia" w:cs="仿宋_GB2312"/>
          <w:color w:val="auto"/>
          <w:szCs w:val="24"/>
          <w:highlight w:val="none"/>
          <w:u w:val="single"/>
          <w:lang w:val="en-US" w:eastAsia="zh-CN"/>
        </w:rPr>
        <w:t xml:space="preserve">      </w:t>
      </w:r>
      <w:r>
        <w:rPr>
          <w:rFonts w:hint="eastAsia" w:cs="仿宋_GB2312"/>
          <w:color w:val="auto"/>
          <w:szCs w:val="24"/>
          <w:highlight w:val="none"/>
          <w:u w:val="single"/>
        </w:rPr>
        <w:t xml:space="preserve">  </w:t>
      </w:r>
      <w:r>
        <w:rPr>
          <w:rFonts w:hint="eastAsia" w:cs="仿宋_GB2312"/>
          <w:color w:val="auto"/>
          <w:szCs w:val="24"/>
          <w:highlight w:val="none"/>
        </w:rPr>
        <w:t>（项目名称）投标文件、签订合同和处理有关事宜，其法律后果由我方承担。</w:t>
      </w:r>
    </w:p>
    <w:p w14:paraId="56B80D1C">
      <w:pPr>
        <w:ind w:firstLine="400" w:firstLineChars="200"/>
        <w:rPr>
          <w:rFonts w:hint="eastAsia" w:cs="仿宋_GB2312"/>
          <w:color w:val="auto"/>
          <w:szCs w:val="24"/>
          <w:highlight w:val="none"/>
        </w:rPr>
      </w:pPr>
      <w:r>
        <w:rPr>
          <w:rFonts w:hint="eastAsia" w:cs="仿宋_GB2312"/>
          <w:color w:val="auto"/>
          <w:szCs w:val="24"/>
          <w:highlight w:val="none"/>
        </w:rPr>
        <w:t>委托期限：</w:t>
      </w:r>
      <w:r>
        <w:rPr>
          <w:rFonts w:hint="eastAsia" w:cs="仿宋_GB2312"/>
          <w:color w:val="auto"/>
          <w:szCs w:val="24"/>
          <w:highlight w:val="none"/>
          <w:lang w:val="en-US" w:eastAsia="zh-CN"/>
        </w:rPr>
        <w:t>自本授权委托书签署之日起至投标有效期届满之日止。</w:t>
      </w:r>
    </w:p>
    <w:p w14:paraId="0A605ABE">
      <w:pPr>
        <w:ind w:firstLine="400" w:firstLineChars="200"/>
        <w:rPr>
          <w:rFonts w:cs="仿宋_GB2312"/>
          <w:color w:val="auto"/>
          <w:szCs w:val="24"/>
          <w:highlight w:val="none"/>
        </w:rPr>
      </w:pPr>
      <w:r>
        <w:rPr>
          <w:rFonts w:hint="eastAsia" w:cs="仿宋_GB2312"/>
          <w:color w:val="auto"/>
          <w:szCs w:val="24"/>
          <w:highlight w:val="none"/>
        </w:rPr>
        <w:t>代理人无转委托权。</w:t>
      </w:r>
    </w:p>
    <w:p w14:paraId="03C5EAD4">
      <w:pPr>
        <w:keepNext w:val="0"/>
        <w:keepLines w:val="0"/>
        <w:pageBreakBefore w:val="0"/>
        <w:widowControl w:val="0"/>
        <w:kinsoku/>
        <w:wordWrap/>
        <w:overflowPunct/>
        <w:topLinePunct w:val="0"/>
        <w:autoSpaceDE/>
        <w:autoSpaceDN/>
        <w:bidi w:val="0"/>
        <w:adjustRightInd/>
        <w:snapToGrid/>
        <w:spacing w:line="240" w:lineRule="exact"/>
        <w:ind w:firstLine="400" w:firstLineChars="200"/>
        <w:textAlignment w:val="auto"/>
        <w:rPr>
          <w:rFonts w:hint="eastAsia" w:cs="仿宋_GB2312"/>
          <w:color w:val="auto"/>
          <w:szCs w:val="24"/>
          <w:highlight w:val="none"/>
        </w:rPr>
      </w:pPr>
    </w:p>
    <w:p w14:paraId="27333291">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ascii="DejaVuSans" w:hAnsi="DejaVuSans" w:eastAsia="DejaVuSans" w:cs="DejaVuSans"/>
          <w:color w:val="auto"/>
          <w:kern w:val="0"/>
          <w:sz w:val="24"/>
          <w:szCs w:val="24"/>
          <w:highlight w:val="none"/>
          <w:lang w:val="en-US" w:eastAsia="zh-CN" w:bidi="ar"/>
        </w:rPr>
        <w:t xml:space="preserve">________________ </w:t>
      </w:r>
    </w:p>
    <w:p w14:paraId="4CD5B2EF">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法定代表人（单位负责人）（签字或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________________ </w:t>
      </w:r>
    </w:p>
    <w:p w14:paraId="77AA3C36">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color w:val="auto"/>
          <w:highlight w:val="none"/>
          <w:lang w:val="en-US"/>
        </w:rPr>
      </w:pPr>
      <w:r>
        <w:rPr>
          <w:rFonts w:hint="eastAsia" w:ascii="宋体" w:hAnsi="宋体" w:eastAsia="宋体" w:cs="宋体"/>
          <w:color w:val="auto"/>
          <w:kern w:val="0"/>
          <w:sz w:val="24"/>
          <w:szCs w:val="24"/>
          <w:highlight w:val="none"/>
          <w:lang w:val="en-US" w:eastAsia="zh-CN" w:bidi="ar"/>
        </w:rPr>
        <w:t>委托代理人（签字或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________________ </w:t>
      </w:r>
      <w:r>
        <w:rPr>
          <w:rFonts w:hint="eastAsia" w:ascii="DejaVuSans" w:hAnsi="DejaVuSans" w:eastAsia="DejaVuSans" w:cs="DejaVuSans"/>
          <w:color w:val="auto"/>
          <w:kern w:val="0"/>
          <w:sz w:val="24"/>
          <w:szCs w:val="24"/>
          <w:highlight w:val="none"/>
          <w:lang w:val="en-US" w:eastAsia="zh-CN" w:bidi="ar"/>
        </w:rPr>
        <w:t xml:space="preserve">   联系电话：</w:t>
      </w:r>
      <w:r>
        <w:rPr>
          <w:rFonts w:hint="default" w:ascii="DejaVuSans" w:hAnsi="DejaVuSans" w:eastAsia="DejaVuSans" w:cs="DejaVuSans"/>
          <w:color w:val="auto"/>
          <w:kern w:val="0"/>
          <w:sz w:val="24"/>
          <w:szCs w:val="24"/>
          <w:highlight w:val="none"/>
          <w:lang w:val="en-US" w:eastAsia="zh-CN" w:bidi="ar"/>
        </w:rPr>
        <w:t>________</w:t>
      </w:r>
    </w:p>
    <w:p w14:paraId="4FD66B47">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日期：</w:t>
      </w:r>
      <w:r>
        <w:rPr>
          <w:rFonts w:hint="default" w:ascii="DejaVuSans" w:hAnsi="DejaVuSans" w:eastAsia="DejaVuSans" w:cs="DejaVuSans"/>
          <w:color w:val="auto"/>
          <w:kern w:val="0"/>
          <w:sz w:val="24"/>
          <w:szCs w:val="24"/>
          <w:highlight w:val="none"/>
          <w:lang w:val="en-US" w:eastAsia="zh-CN" w:bidi="ar"/>
        </w:rPr>
        <w:t>_____</w:t>
      </w:r>
      <w:r>
        <w:rPr>
          <w:rFonts w:hint="eastAsia" w:ascii="宋体" w:hAnsi="宋体" w:eastAsia="宋体" w:cs="宋体"/>
          <w:color w:val="auto"/>
          <w:kern w:val="0"/>
          <w:sz w:val="24"/>
          <w:szCs w:val="24"/>
          <w:highlight w:val="none"/>
          <w:lang w:val="en-US" w:eastAsia="zh-CN" w:bidi="ar"/>
        </w:rPr>
        <w:t>年</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月</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 xml:space="preserve">日 </w:t>
      </w:r>
    </w:p>
    <w:p w14:paraId="0D7E210D">
      <w:pPr>
        <w:keepNext w:val="0"/>
        <w:keepLines w:val="0"/>
        <w:pageBreakBefore w:val="0"/>
        <w:widowControl w:val="0"/>
        <w:kinsoku/>
        <w:wordWrap/>
        <w:overflowPunct/>
        <w:topLinePunct w:val="0"/>
        <w:autoSpaceDE/>
        <w:autoSpaceDN/>
        <w:bidi w:val="0"/>
        <w:adjustRightInd/>
        <w:snapToGrid/>
        <w:spacing w:line="240" w:lineRule="exact"/>
        <w:ind w:firstLine="400" w:firstLineChars="200"/>
        <w:textAlignment w:val="auto"/>
        <w:rPr>
          <w:rFonts w:hint="eastAsia" w:cs="仿宋_GB2312"/>
          <w:color w:val="auto"/>
          <w:szCs w:val="24"/>
          <w:highlight w:val="none"/>
          <w:lang w:val="en-US" w:eastAsia="zh-CN"/>
        </w:rPr>
      </w:pPr>
    </w:p>
    <w:p w14:paraId="7CE346A7">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 xml:space="preserve">附：法定代表人及委托代理人身份证明文件电子件： </w:t>
      </w:r>
    </w:p>
    <w:tbl>
      <w:tblPr>
        <w:tblStyle w:val="31"/>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6A57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8527" w:type="dxa"/>
          </w:tcPr>
          <w:p w14:paraId="66EBC6FA">
            <w:pPr>
              <w:rPr>
                <w:rFonts w:cs="Arial"/>
                <w:color w:val="auto"/>
                <w:highlight w:val="none"/>
              </w:rPr>
            </w:pPr>
          </w:p>
        </w:tc>
      </w:tr>
    </w:tbl>
    <w:p w14:paraId="003FC2D7">
      <w:pPr>
        <w:ind w:firstLine="400" w:firstLineChars="200"/>
        <w:rPr>
          <w:rFonts w:hint="eastAsia" w:cs="仿宋_GB2312"/>
          <w:color w:val="auto"/>
          <w:szCs w:val="24"/>
          <w:highlight w:val="none"/>
        </w:rPr>
      </w:pPr>
      <w:r>
        <w:rPr>
          <w:rFonts w:hint="eastAsia" w:cs="仿宋_GB2312"/>
          <w:color w:val="auto"/>
          <w:szCs w:val="24"/>
          <w:highlight w:val="none"/>
          <w:lang w:val="en-US" w:eastAsia="zh-CN"/>
        </w:rPr>
        <w:t xml:space="preserve">说明： </w:t>
      </w:r>
    </w:p>
    <w:p w14:paraId="6A6FAC65">
      <w:pPr>
        <w:ind w:firstLine="400" w:firstLineChars="200"/>
        <w:rPr>
          <w:rFonts w:hint="eastAsia" w:cs="仿宋_GB2312"/>
          <w:color w:val="auto"/>
          <w:szCs w:val="24"/>
          <w:highlight w:val="none"/>
        </w:rPr>
      </w:pPr>
      <w:r>
        <w:rPr>
          <w:rFonts w:hint="eastAsia" w:cs="仿宋_GB2312"/>
          <w:color w:val="auto"/>
          <w:szCs w:val="24"/>
          <w:highlight w:val="none"/>
          <w:lang w:val="en-US" w:eastAsia="zh-CN"/>
        </w:rPr>
        <w:t xml:space="preserve">1.若投标人为事业单位或其他组织或分支机构，则法定代表人（单位负责人）处的签署人可为单位负责人。 </w:t>
      </w:r>
    </w:p>
    <w:p w14:paraId="7579C425">
      <w:pPr>
        <w:ind w:firstLine="400" w:firstLineChars="200"/>
        <w:rPr>
          <w:rFonts w:hint="eastAsia" w:cs="仿宋_GB2312"/>
          <w:color w:val="auto"/>
          <w:szCs w:val="24"/>
          <w:highlight w:val="none"/>
        </w:rPr>
      </w:pPr>
      <w:r>
        <w:rPr>
          <w:rFonts w:hint="default" w:cs="仿宋_GB2312"/>
          <w:color w:val="auto"/>
          <w:szCs w:val="24"/>
          <w:highlight w:val="none"/>
          <w:lang w:val="en-US" w:eastAsia="zh-CN"/>
        </w:rPr>
        <w:t>2.</w:t>
      </w:r>
      <w:r>
        <w:rPr>
          <w:rFonts w:hint="eastAsia" w:cs="仿宋_GB2312"/>
          <w:color w:val="auto"/>
          <w:szCs w:val="24"/>
          <w:highlight w:val="none"/>
          <w:lang w:val="en-US" w:eastAsia="zh-CN"/>
        </w:rPr>
        <w:t xml:space="preserve">若投标文件中签字之处均为法定代表人（单位负责人）本人签署，则可不提供本《授权委托书》，但须提供《法定代表人（单位负责人）身份证明》。 </w:t>
      </w:r>
    </w:p>
    <w:p w14:paraId="7D81952A">
      <w:pPr>
        <w:ind w:firstLine="400" w:firstLineChars="200"/>
        <w:rPr>
          <w:rFonts w:hint="eastAsia" w:cs="仿宋_GB2312"/>
          <w:color w:val="auto"/>
          <w:szCs w:val="24"/>
          <w:highlight w:val="none"/>
        </w:rPr>
      </w:pPr>
      <w:r>
        <w:rPr>
          <w:rFonts w:hint="default" w:cs="仿宋_GB2312"/>
          <w:color w:val="auto"/>
          <w:szCs w:val="24"/>
          <w:highlight w:val="none"/>
          <w:lang w:val="en-US" w:eastAsia="zh-CN"/>
        </w:rPr>
        <w:t>3.</w:t>
      </w:r>
      <w:r>
        <w:rPr>
          <w:rFonts w:hint="eastAsia" w:cs="仿宋_GB2312"/>
          <w:color w:val="auto"/>
          <w:szCs w:val="24"/>
          <w:highlight w:val="none"/>
          <w:lang w:val="en-US" w:eastAsia="zh-CN"/>
        </w:rPr>
        <w:t xml:space="preserve">投标人为自然人的情形，可不提供本《授权委托书》。 </w:t>
      </w:r>
    </w:p>
    <w:p w14:paraId="16E91B57">
      <w:pPr>
        <w:ind w:firstLine="400" w:firstLineChars="200"/>
        <w:rPr>
          <w:rFonts w:hint="eastAsia" w:cs="仿宋_GB2312"/>
          <w:color w:val="auto"/>
          <w:szCs w:val="24"/>
          <w:highlight w:val="none"/>
        </w:rPr>
      </w:pPr>
      <w:r>
        <w:rPr>
          <w:rFonts w:hint="default" w:cs="仿宋_GB2312"/>
          <w:color w:val="auto"/>
          <w:szCs w:val="24"/>
          <w:highlight w:val="none"/>
          <w:lang w:val="en-US" w:eastAsia="zh-CN"/>
        </w:rPr>
        <w:t>4.</w:t>
      </w:r>
      <w:r>
        <w:rPr>
          <w:rFonts w:hint="eastAsia" w:cs="仿宋_GB2312"/>
          <w:color w:val="auto"/>
          <w:szCs w:val="24"/>
          <w:highlight w:val="none"/>
          <w:lang w:val="en-US" w:eastAsia="zh-CN"/>
        </w:rPr>
        <w:t>投标人应随本《授权委托书》同时提供法定代表人（单位负责人）及委托代理人的有效的身份证、护照等身份证明文件电子件。提供身份证的，应同时提供身份证</w:t>
      </w:r>
      <w:r>
        <w:rPr>
          <w:rFonts w:hint="eastAsia" w:cs="仿宋_GB2312"/>
          <w:b/>
          <w:bCs/>
          <w:color w:val="auto"/>
          <w:szCs w:val="24"/>
          <w:highlight w:val="none"/>
          <w:lang w:val="en-US" w:eastAsia="zh-CN"/>
        </w:rPr>
        <w:t>双面</w:t>
      </w:r>
      <w:r>
        <w:rPr>
          <w:rFonts w:hint="eastAsia" w:cs="仿宋_GB2312"/>
          <w:color w:val="auto"/>
          <w:szCs w:val="24"/>
          <w:highlight w:val="none"/>
          <w:lang w:val="en-US" w:eastAsia="zh-CN"/>
        </w:rPr>
        <w:t>电子件。</w:t>
      </w:r>
    </w:p>
    <w:p w14:paraId="0B2EBA16">
      <w:pPr>
        <w:rPr>
          <w:color w:val="auto"/>
          <w:highlight w:val="none"/>
        </w:rPr>
      </w:pPr>
      <w:r>
        <w:rPr>
          <w:color w:val="auto"/>
          <w:highlight w:val="none"/>
        </w:rPr>
        <w:br w:type="page"/>
      </w:r>
    </w:p>
    <w:p w14:paraId="117D25C9">
      <w:pPr>
        <w:pStyle w:val="4"/>
        <w:bidi w:val="0"/>
        <w:jc w:val="center"/>
        <w:rPr>
          <w:rFonts w:hint="eastAsia"/>
          <w:highlight w:val="none"/>
          <w:lang w:val="en-US" w:eastAsia="zh-CN"/>
        </w:rPr>
      </w:pPr>
      <w:bookmarkStart w:id="732" w:name="_Toc155185934"/>
      <w:bookmarkStart w:id="733" w:name="_Toc163492928"/>
      <w:bookmarkStart w:id="734" w:name="_Toc4032"/>
      <w:r>
        <w:rPr>
          <w:rFonts w:hint="eastAsia"/>
          <w:highlight w:val="none"/>
          <w:lang w:val="en-US" w:eastAsia="zh-CN"/>
        </w:rPr>
        <w:t>四、</w:t>
      </w:r>
      <w:bookmarkEnd w:id="732"/>
      <w:bookmarkEnd w:id="733"/>
      <w:r>
        <w:rPr>
          <w:rFonts w:hint="eastAsia"/>
          <w:highlight w:val="none"/>
          <w:lang w:val="zh-CN" w:eastAsia="zh-CN"/>
        </w:rPr>
        <w:t>政府采购</w:t>
      </w:r>
      <w:r>
        <w:rPr>
          <w:rFonts w:hint="eastAsia"/>
          <w:highlight w:val="none"/>
          <w:lang w:val="en-US" w:eastAsia="zh-CN"/>
        </w:rPr>
        <w:t>投标人</w:t>
      </w:r>
      <w:r>
        <w:rPr>
          <w:rFonts w:hint="eastAsia"/>
          <w:highlight w:val="none"/>
          <w:lang w:val="zh-CN" w:eastAsia="zh-CN"/>
        </w:rPr>
        <w:t>廉洁自律承诺书</w:t>
      </w:r>
      <w:bookmarkEnd w:id="734"/>
    </w:p>
    <w:p w14:paraId="2AB445CF">
      <w:pPr>
        <w:pStyle w:val="14"/>
        <w:rPr>
          <w:color w:val="auto"/>
          <w:highlight w:val="none"/>
        </w:rPr>
      </w:pPr>
    </w:p>
    <w:p w14:paraId="2CE177B4">
      <w:pPr>
        <w:snapToGrid w:val="0"/>
        <w:spacing w:line="360" w:lineRule="auto"/>
        <w:rPr>
          <w:rFonts w:ascii="宋体" w:hAnsi="宋体" w:cs="宋体"/>
          <w:color w:val="auto"/>
          <w:kern w:val="0"/>
          <w:sz w:val="24"/>
          <w:szCs w:val="24"/>
          <w:highlight w:val="none"/>
        </w:rPr>
      </w:pPr>
      <w:r>
        <w:rPr>
          <w:rFonts w:hint="eastAsia" w:ascii="宋体" w:hAnsi="宋体" w:cs="宋体"/>
          <w:color w:val="auto"/>
          <w:sz w:val="24"/>
          <w:szCs w:val="24"/>
          <w:highlight w:val="none"/>
        </w:rPr>
        <w:t>（采购人）、（采购代理机构）</w:t>
      </w:r>
      <w:r>
        <w:rPr>
          <w:rFonts w:hint="eastAsia" w:ascii="宋体" w:hAnsi="宋体" w:cs="宋体"/>
          <w:color w:val="auto"/>
          <w:kern w:val="0"/>
          <w:sz w:val="24"/>
          <w:szCs w:val="24"/>
          <w:highlight w:val="none"/>
          <w:lang w:val="zh-CN"/>
        </w:rPr>
        <w:t>：</w:t>
      </w:r>
    </w:p>
    <w:p w14:paraId="2139BFB4">
      <w:pPr>
        <w:autoSpaceDE w:val="0"/>
        <w:autoSpaceDN w:val="0"/>
        <w:spacing w:line="360" w:lineRule="auto"/>
        <w:ind w:left="2" w:leftChars="1" w:firstLine="480" w:firstLineChars="200"/>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我单位响应你</w:t>
      </w:r>
      <w:r>
        <w:rPr>
          <w:rFonts w:hint="eastAsia" w:ascii="宋体" w:hAnsi="宋体" w:cs="宋体"/>
          <w:color w:val="auto"/>
          <w:sz w:val="24"/>
          <w:szCs w:val="24"/>
          <w:highlight w:val="none"/>
        </w:rPr>
        <w:t>单位</w:t>
      </w:r>
      <w:r>
        <w:rPr>
          <w:rFonts w:hint="eastAsia" w:ascii="宋体" w:hAnsi="宋体" w:cs="宋体"/>
          <w:color w:val="auto"/>
          <w:kern w:val="0"/>
          <w:sz w:val="24"/>
          <w:szCs w:val="24"/>
          <w:highlight w:val="none"/>
          <w:lang w:val="zh-CN"/>
        </w:rPr>
        <w:t>项目招标要求参加投标。在这次投标过程中和中标后，我们将严格遵守国家法律法规要求，并郑重承诺：</w:t>
      </w:r>
    </w:p>
    <w:p w14:paraId="2B87D13C">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 xml:space="preserve">一、不向项目有关人员及部门赠送礼金礼物、有价证券、回扣以及中介费、介绍费、咨询费等好处费； </w:t>
      </w:r>
    </w:p>
    <w:p w14:paraId="063D62B4">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 xml:space="preserve">二、不为项目有关人员及部门报销应由你方单位或个人支付的费用； </w:t>
      </w:r>
    </w:p>
    <w:p w14:paraId="5ADDE615">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三、不向项目有关人员及部门提供有可能影响公正的宴请和健身娱乐等活动；</w:t>
      </w:r>
    </w:p>
    <w:p w14:paraId="6B70337F">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四、不为项目有关人员及部门出国（境）、旅游等提供方便；</w:t>
      </w:r>
    </w:p>
    <w:p w14:paraId="6421E616">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五、不为项目有关人员个人装修住房、婚丧嫁娶、配偶子女工作安排等提供好处；</w:t>
      </w:r>
    </w:p>
    <w:p w14:paraId="663761CE">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六、严格遵守《中华人民共和国政府采购法》《中华人民共和国政府采购法</w:t>
      </w:r>
      <w:r>
        <w:rPr>
          <w:rFonts w:hint="eastAsia" w:cs="宋体"/>
          <w:color w:val="auto"/>
          <w:kern w:val="0"/>
          <w:sz w:val="24"/>
          <w:szCs w:val="24"/>
          <w:highlight w:val="none"/>
          <w:lang w:val="en-US" w:eastAsia="zh-CN"/>
        </w:rPr>
        <w:t>实施条例</w:t>
      </w:r>
      <w:r>
        <w:rPr>
          <w:rFonts w:hint="eastAsia" w:ascii="宋体" w:hAnsi="宋体" w:cs="宋体"/>
          <w:color w:val="auto"/>
          <w:kern w:val="0"/>
          <w:sz w:val="24"/>
          <w:szCs w:val="24"/>
          <w:highlight w:val="none"/>
          <w:lang w:val="zh-CN"/>
        </w:rPr>
        <w:t xml:space="preserve">》《中华人民共和国民法典》等法律法规，诚实守信，合法经营，坚决抵制各种违法违纪行为。 </w:t>
      </w:r>
    </w:p>
    <w:p w14:paraId="5C8FD2B8">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如违反上述承诺，你单位有权立即取消我单位投标、中标或在建项目的建设资格，有权拒绝我单位在一定时期内进入你单位进行项目建设或其他经营活动，并通报</w:t>
      </w:r>
      <w:r>
        <w:rPr>
          <w:rFonts w:hint="eastAsia" w:cs="宋体"/>
          <w:color w:val="auto"/>
          <w:kern w:val="0"/>
          <w:sz w:val="24"/>
          <w:szCs w:val="24"/>
          <w:highlight w:val="none"/>
          <w:lang w:val="en-US" w:eastAsia="zh-CN"/>
        </w:rPr>
        <w:t>兵团</w:t>
      </w:r>
      <w:r>
        <w:rPr>
          <w:rFonts w:hint="eastAsia" w:ascii="宋体" w:hAnsi="宋体" w:cs="宋体"/>
          <w:color w:val="auto"/>
          <w:kern w:val="0"/>
          <w:sz w:val="24"/>
          <w:szCs w:val="24"/>
          <w:highlight w:val="none"/>
          <w:lang w:val="zh-CN"/>
        </w:rPr>
        <w:t>财政局。由此引起的相应损失均由我单位承担。</w:t>
      </w:r>
    </w:p>
    <w:p w14:paraId="5E22ECB4">
      <w:pPr>
        <w:autoSpaceDE w:val="0"/>
        <w:autoSpaceDN w:val="0"/>
        <w:spacing w:line="360" w:lineRule="auto"/>
        <w:ind w:left="2"/>
        <w:jc w:val="left"/>
        <w:rPr>
          <w:rFonts w:ascii="宋体" w:hAnsi="宋体" w:cs="宋体"/>
          <w:color w:val="auto"/>
          <w:kern w:val="0"/>
          <w:sz w:val="24"/>
          <w:szCs w:val="24"/>
          <w:highlight w:val="none"/>
          <w:lang w:val="zh-CN"/>
        </w:rPr>
      </w:pPr>
    </w:p>
    <w:p w14:paraId="0914ACDE">
      <w:pPr>
        <w:autoSpaceDE w:val="0"/>
        <w:autoSpaceDN w:val="0"/>
        <w:spacing w:line="360" w:lineRule="auto"/>
        <w:ind w:left="2"/>
        <w:jc w:val="left"/>
        <w:rPr>
          <w:rFonts w:ascii="宋体" w:hAnsi="宋体" w:cs="宋体"/>
          <w:color w:val="auto"/>
          <w:kern w:val="0"/>
          <w:sz w:val="24"/>
          <w:szCs w:val="24"/>
          <w:highlight w:val="none"/>
          <w:lang w:val="zh-CN"/>
        </w:rPr>
      </w:pPr>
    </w:p>
    <w:p w14:paraId="02E01AF0">
      <w:pPr>
        <w:autoSpaceDE w:val="0"/>
        <w:autoSpaceDN w:val="0"/>
        <w:spacing w:line="360" w:lineRule="auto"/>
        <w:ind w:left="2"/>
        <w:jc w:val="left"/>
        <w:rPr>
          <w:rFonts w:ascii="宋体" w:hAnsi="宋体" w:cs="宋体"/>
          <w:color w:val="auto"/>
          <w:kern w:val="0"/>
          <w:sz w:val="24"/>
          <w:szCs w:val="24"/>
          <w:highlight w:val="none"/>
          <w:lang w:val="zh-CN"/>
        </w:rPr>
      </w:pPr>
    </w:p>
    <w:p w14:paraId="3EA46769">
      <w:pPr>
        <w:autoSpaceDE w:val="0"/>
        <w:autoSpaceDN w:val="0"/>
        <w:spacing w:line="360" w:lineRule="auto"/>
        <w:ind w:left="2" w:leftChars="1" w:right="1120" w:firstLine="4560" w:firstLineChars="1900"/>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cs="宋体"/>
          <w:color w:val="auto"/>
          <w:kern w:val="0"/>
          <w:sz w:val="24"/>
          <w:szCs w:val="24"/>
          <w:highlight w:val="none"/>
          <w:lang w:val="zh-CN"/>
        </w:rPr>
        <w:t xml:space="preserve">：                                                                                                                                                                                                               </w:t>
      </w:r>
    </w:p>
    <w:p w14:paraId="0FD8A2DC">
      <w:pPr>
        <w:ind w:firstLine="4560" w:firstLineChars="1900"/>
        <w:rPr>
          <w:rFonts w:hint="eastAsia" w:eastAsia="宋体" w:asciiTheme="majorHAnsi" w:hAnsiTheme="majorHAnsi" w:cstheme="majorBidi"/>
          <w:b/>
          <w:bCs/>
          <w:color w:val="auto"/>
          <w:kern w:val="2"/>
          <w:sz w:val="24"/>
          <w:szCs w:val="24"/>
          <w:highlight w:val="none"/>
          <w:lang w:val="en-US" w:eastAsia="zh-CN" w:bidi="ar-SA"/>
        </w:rPr>
      </w:pPr>
      <w:r>
        <w:rPr>
          <w:rFonts w:hint="eastAsia" w:ascii="宋体" w:hAnsi="宋体" w:cs="宋体"/>
          <w:color w:val="auto"/>
          <w:kern w:val="0"/>
          <w:sz w:val="24"/>
          <w:szCs w:val="24"/>
          <w:highlight w:val="none"/>
          <w:lang w:val="zh-CN"/>
        </w:rPr>
        <w:t>日期</w:t>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zh-CN"/>
        </w:rPr>
        <w:t xml:space="preserve">   年   月   日</w:t>
      </w:r>
    </w:p>
    <w:p w14:paraId="5AA40BF9">
      <w:pPr>
        <w:rPr>
          <w:rFonts w:hint="eastAsia" w:eastAsia="宋体" w:asciiTheme="majorHAnsi" w:hAnsiTheme="majorHAnsi" w:cstheme="majorBidi"/>
          <w:b/>
          <w:bCs/>
          <w:color w:val="auto"/>
          <w:kern w:val="2"/>
          <w:sz w:val="24"/>
          <w:szCs w:val="24"/>
          <w:highlight w:val="none"/>
          <w:lang w:val="en-US" w:eastAsia="zh-CN" w:bidi="ar-SA"/>
        </w:rPr>
      </w:pPr>
    </w:p>
    <w:p w14:paraId="2917743B">
      <w:pPr>
        <w:pStyle w:val="14"/>
        <w:rPr>
          <w:rFonts w:hint="eastAsia" w:eastAsia="宋体" w:asciiTheme="majorHAnsi" w:hAnsiTheme="majorHAnsi" w:cstheme="majorBidi"/>
          <w:b/>
          <w:bCs/>
          <w:color w:val="auto"/>
          <w:kern w:val="2"/>
          <w:sz w:val="24"/>
          <w:szCs w:val="24"/>
          <w:highlight w:val="none"/>
          <w:lang w:val="en-US" w:eastAsia="zh-CN" w:bidi="ar-SA"/>
        </w:rPr>
      </w:pPr>
    </w:p>
    <w:p w14:paraId="2CC927CA">
      <w:pPr>
        <w:pStyle w:val="14"/>
        <w:rPr>
          <w:rFonts w:hint="eastAsia" w:eastAsia="宋体" w:asciiTheme="majorHAnsi" w:hAnsiTheme="majorHAnsi" w:cstheme="majorBidi"/>
          <w:b/>
          <w:bCs/>
          <w:color w:val="auto"/>
          <w:kern w:val="2"/>
          <w:sz w:val="24"/>
          <w:szCs w:val="24"/>
          <w:highlight w:val="none"/>
          <w:lang w:val="en-US" w:eastAsia="zh-CN" w:bidi="ar-SA"/>
        </w:rPr>
      </w:pPr>
    </w:p>
    <w:p w14:paraId="18FDCDE0">
      <w:pPr>
        <w:pStyle w:val="14"/>
        <w:rPr>
          <w:rFonts w:hint="eastAsia" w:eastAsia="宋体" w:asciiTheme="majorHAnsi" w:hAnsiTheme="majorHAnsi" w:cstheme="majorBidi"/>
          <w:b/>
          <w:bCs/>
          <w:color w:val="auto"/>
          <w:kern w:val="2"/>
          <w:sz w:val="24"/>
          <w:szCs w:val="24"/>
          <w:highlight w:val="none"/>
          <w:lang w:val="en-US" w:eastAsia="zh-CN" w:bidi="ar-SA"/>
        </w:rPr>
      </w:pPr>
    </w:p>
    <w:p w14:paraId="74E8B7C7">
      <w:pPr>
        <w:pStyle w:val="4"/>
        <w:bidi w:val="0"/>
        <w:jc w:val="center"/>
        <w:rPr>
          <w:rFonts w:hint="default"/>
          <w:highlight w:val="none"/>
          <w:lang w:val="en-US" w:eastAsia="zh-CN"/>
        </w:rPr>
      </w:pPr>
      <w:bookmarkStart w:id="735" w:name="_Toc20259"/>
      <w:r>
        <w:rPr>
          <w:rFonts w:hint="eastAsia"/>
          <w:highlight w:val="none"/>
          <w:lang w:val="en-US" w:eastAsia="zh-CN"/>
        </w:rPr>
        <w:t>五、</w:t>
      </w:r>
      <w:r>
        <w:rPr>
          <w:rFonts w:hint="eastAsia"/>
          <w:highlight w:val="none"/>
          <w:lang w:val="zh-CN" w:eastAsia="zh-CN"/>
        </w:rPr>
        <w:t>实质性响应一览表【</w:t>
      </w:r>
      <w:r>
        <w:rPr>
          <w:rFonts w:hint="eastAsia"/>
          <w:highlight w:val="none"/>
          <w:lang w:val="en-US" w:eastAsia="zh-CN"/>
        </w:rPr>
        <w:t>本表须与第五章的一致】</w:t>
      </w:r>
      <w:bookmarkEnd w:id="735"/>
    </w:p>
    <w:p w14:paraId="3FC7E450">
      <w:pPr>
        <w:shd w:val="clear" w:color="auto" w:fill="FFFFFF"/>
        <w:tabs>
          <w:tab w:val="left" w:pos="3045"/>
        </w:tabs>
        <w:autoSpaceDE w:val="0"/>
        <w:autoSpaceDN w:val="0"/>
        <w:adjustRightInd w:val="0"/>
        <w:snapToGrid w:val="0"/>
        <w:spacing w:line="360" w:lineRule="exact"/>
        <w:jc w:val="center"/>
        <w:rPr>
          <w:rFonts w:hint="eastAsia" w:ascii="宋体" w:hAnsi="宋体" w:cs="宋体"/>
          <w:b w:val="0"/>
          <w:bCs/>
          <w:color w:val="auto"/>
          <w:sz w:val="24"/>
          <w:highlight w:val="none"/>
        </w:rPr>
      </w:pPr>
      <w:r>
        <w:rPr>
          <w:rFonts w:hint="eastAsia" w:ascii="宋体" w:hAnsi="宋体" w:cs="宋体"/>
          <w:b w:val="0"/>
          <w:bCs/>
          <w:color w:val="auto"/>
          <w:sz w:val="24"/>
          <w:highlight w:val="none"/>
        </w:rPr>
        <w:t>（</w:t>
      </w:r>
      <w:r>
        <w:rPr>
          <w:rFonts w:hint="eastAsia" w:cs="宋体"/>
          <w:b w:val="0"/>
          <w:bCs/>
          <w:color w:val="auto"/>
          <w:sz w:val="24"/>
          <w:highlight w:val="none"/>
          <w:lang w:val="en-US" w:eastAsia="zh-CN"/>
        </w:rPr>
        <w:t>投标人</w:t>
      </w:r>
      <w:r>
        <w:rPr>
          <w:rFonts w:hint="eastAsia" w:ascii="宋体" w:hAnsi="宋体" w:cs="宋体"/>
          <w:b w:val="0"/>
          <w:bCs/>
          <w:color w:val="auto"/>
          <w:sz w:val="24"/>
          <w:highlight w:val="none"/>
        </w:rPr>
        <w:t>须对本附表所有内容逐条响应且无负偏离，否则</w:t>
      </w:r>
      <w:r>
        <w:rPr>
          <w:rFonts w:hint="eastAsia" w:cs="宋体"/>
          <w:b w:val="0"/>
          <w:bCs/>
          <w:color w:val="auto"/>
          <w:sz w:val="24"/>
          <w:highlight w:val="none"/>
          <w:lang w:val="en-US" w:eastAsia="zh-CN"/>
        </w:rPr>
        <w:t>其</w:t>
      </w:r>
      <w:r>
        <w:rPr>
          <w:rFonts w:hint="eastAsia" w:ascii="宋体" w:hAnsi="宋体" w:cs="宋体"/>
          <w:b/>
          <w:bCs w:val="0"/>
          <w:color w:val="auto"/>
          <w:sz w:val="24"/>
          <w:highlight w:val="none"/>
        </w:rPr>
        <w:t>投标无效</w:t>
      </w:r>
      <w:r>
        <w:rPr>
          <w:rFonts w:hint="eastAsia" w:ascii="宋体" w:hAnsi="宋体" w:cs="宋体"/>
          <w:b w:val="0"/>
          <w:bCs/>
          <w:color w:val="auto"/>
          <w:sz w:val="24"/>
          <w:highlight w:val="none"/>
        </w:rPr>
        <w:t>）</w:t>
      </w:r>
    </w:p>
    <w:p w14:paraId="3B3C031E">
      <w:pPr>
        <w:pStyle w:val="26"/>
        <w:rPr>
          <w:rFonts w:hint="eastAsia" w:ascii="宋体" w:hAnsi="宋体" w:cs="宋体"/>
          <w:color w:val="auto"/>
          <w:highlight w:val="none"/>
        </w:rPr>
      </w:pPr>
    </w:p>
    <w:tbl>
      <w:tblPr>
        <w:tblStyle w:val="31"/>
        <w:tblW w:w="5294"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1992"/>
        <w:gridCol w:w="3744"/>
        <w:gridCol w:w="1956"/>
        <w:gridCol w:w="924"/>
      </w:tblGrid>
      <w:tr w14:paraId="2EF50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26" w:type="pct"/>
            <w:vMerge w:val="restart"/>
            <w:noWrap w:val="0"/>
            <w:vAlign w:val="center"/>
          </w:tcPr>
          <w:p w14:paraId="101C805A">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178" w:type="pct"/>
            <w:gridSpan w:val="2"/>
            <w:noWrap w:val="0"/>
            <w:vAlign w:val="center"/>
          </w:tcPr>
          <w:p w14:paraId="02D6053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文件要求的实质性响应内容</w:t>
            </w:r>
          </w:p>
        </w:tc>
        <w:tc>
          <w:tcPr>
            <w:tcW w:w="1083" w:type="pct"/>
            <w:vMerge w:val="restart"/>
            <w:noWrap w:val="0"/>
            <w:vAlign w:val="center"/>
          </w:tcPr>
          <w:p w14:paraId="56144F2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投标文件响应</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具体内容</w:t>
            </w:r>
          </w:p>
        </w:tc>
        <w:tc>
          <w:tcPr>
            <w:tcW w:w="511" w:type="pct"/>
            <w:vMerge w:val="restart"/>
            <w:noWrap w:val="0"/>
            <w:vAlign w:val="center"/>
          </w:tcPr>
          <w:p w14:paraId="3D4BAC2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48FB1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226" w:type="pct"/>
            <w:vMerge w:val="continue"/>
            <w:noWrap w:val="0"/>
            <w:vAlign w:val="center"/>
          </w:tcPr>
          <w:p w14:paraId="61353542">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p>
        </w:tc>
        <w:tc>
          <w:tcPr>
            <w:tcW w:w="1103" w:type="pct"/>
            <w:noWrap w:val="0"/>
            <w:vAlign w:val="center"/>
          </w:tcPr>
          <w:p w14:paraId="6B0E164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实质性要求</w:t>
            </w:r>
          </w:p>
        </w:tc>
        <w:tc>
          <w:tcPr>
            <w:tcW w:w="2074" w:type="pct"/>
            <w:noWrap w:val="0"/>
            <w:vAlign w:val="center"/>
          </w:tcPr>
          <w:p w14:paraId="3466A6AA">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招标文件中的规定</w:t>
            </w:r>
          </w:p>
        </w:tc>
        <w:tc>
          <w:tcPr>
            <w:tcW w:w="1083" w:type="pct"/>
            <w:vMerge w:val="continue"/>
            <w:noWrap w:val="0"/>
            <w:vAlign w:val="center"/>
          </w:tcPr>
          <w:p w14:paraId="230A57B0">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p>
        </w:tc>
        <w:tc>
          <w:tcPr>
            <w:tcW w:w="511" w:type="pct"/>
            <w:vMerge w:val="continue"/>
            <w:noWrap w:val="0"/>
            <w:vAlign w:val="center"/>
          </w:tcPr>
          <w:p w14:paraId="1401563E">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p>
        </w:tc>
      </w:tr>
      <w:tr w14:paraId="0FCF1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noWrap w:val="0"/>
            <w:vAlign w:val="center"/>
          </w:tcPr>
          <w:p w14:paraId="5D4136A9">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103" w:type="pct"/>
            <w:shd w:val="clear" w:color="auto" w:fill="auto"/>
            <w:noWrap w:val="0"/>
            <w:vAlign w:val="center"/>
          </w:tcPr>
          <w:p w14:paraId="11E3D909">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2074" w:type="pct"/>
            <w:shd w:val="clear" w:color="auto" w:fill="auto"/>
            <w:noWrap w:val="0"/>
            <w:vAlign w:val="center"/>
          </w:tcPr>
          <w:p w14:paraId="2D62742B">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1083" w:type="pct"/>
            <w:noWrap w:val="0"/>
            <w:vAlign w:val="center"/>
          </w:tcPr>
          <w:p w14:paraId="1E4B729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2ED2EBD7">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29B1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noWrap w:val="0"/>
            <w:vAlign w:val="center"/>
          </w:tcPr>
          <w:p w14:paraId="708A3B90">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103" w:type="pct"/>
            <w:shd w:val="clear" w:color="auto" w:fill="auto"/>
            <w:noWrap w:val="0"/>
            <w:vAlign w:val="center"/>
          </w:tcPr>
          <w:p w14:paraId="7DC773B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2074" w:type="pct"/>
            <w:shd w:val="clear" w:color="auto" w:fill="auto"/>
            <w:noWrap w:val="0"/>
            <w:vAlign w:val="center"/>
          </w:tcPr>
          <w:p w14:paraId="011D967C">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1083" w:type="pct"/>
            <w:noWrap w:val="0"/>
            <w:vAlign w:val="center"/>
          </w:tcPr>
          <w:p w14:paraId="58F62CE4">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194CC2D3">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547BF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noWrap w:val="0"/>
            <w:vAlign w:val="center"/>
          </w:tcPr>
          <w:p w14:paraId="6A2DB15C">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w:t>
            </w:r>
          </w:p>
        </w:tc>
        <w:tc>
          <w:tcPr>
            <w:tcW w:w="1103" w:type="pct"/>
            <w:shd w:val="clear" w:color="auto" w:fill="auto"/>
            <w:noWrap w:val="0"/>
            <w:vAlign w:val="center"/>
          </w:tcPr>
          <w:p w14:paraId="46BFE239">
            <w:pPr>
              <w:pStyle w:val="50"/>
              <w:rPr>
                <w:rFonts w:hint="eastAsia" w:ascii="宋体" w:hAnsi="宋体" w:eastAsia="宋体" w:cs="宋体"/>
                <w:color w:val="auto"/>
                <w:kern w:val="2"/>
                <w:sz w:val="24"/>
                <w:szCs w:val="24"/>
                <w:highlight w:val="none"/>
                <w:lang w:val="en-US" w:eastAsia="zh-CN" w:bidi="ar-SA"/>
              </w:rPr>
            </w:pPr>
          </w:p>
        </w:tc>
        <w:tc>
          <w:tcPr>
            <w:tcW w:w="2074" w:type="pct"/>
            <w:shd w:val="clear" w:color="auto" w:fill="auto"/>
            <w:noWrap w:val="0"/>
            <w:vAlign w:val="center"/>
          </w:tcPr>
          <w:p w14:paraId="486ABA85">
            <w:pPr>
              <w:pStyle w:val="50"/>
              <w:rPr>
                <w:rFonts w:hint="eastAsia" w:ascii="宋体" w:hAnsi="宋体" w:eastAsia="宋体" w:cs="宋体"/>
                <w:color w:val="auto"/>
                <w:kern w:val="2"/>
                <w:sz w:val="24"/>
                <w:szCs w:val="24"/>
                <w:highlight w:val="none"/>
                <w:lang w:val="en-US" w:eastAsia="zh-CN" w:bidi="ar-SA"/>
              </w:rPr>
            </w:pPr>
          </w:p>
        </w:tc>
        <w:tc>
          <w:tcPr>
            <w:tcW w:w="1083" w:type="pct"/>
            <w:noWrap w:val="0"/>
            <w:vAlign w:val="center"/>
          </w:tcPr>
          <w:p w14:paraId="59491DC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1511A2D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5B874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noWrap w:val="0"/>
            <w:vAlign w:val="center"/>
          </w:tcPr>
          <w:p w14:paraId="12289F6C">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w:t>
            </w:r>
          </w:p>
        </w:tc>
        <w:tc>
          <w:tcPr>
            <w:tcW w:w="1103" w:type="pct"/>
            <w:shd w:val="clear" w:color="auto" w:fill="auto"/>
            <w:noWrap w:val="0"/>
            <w:vAlign w:val="center"/>
          </w:tcPr>
          <w:p w14:paraId="1D3E0310">
            <w:pPr>
              <w:pStyle w:val="50"/>
              <w:rPr>
                <w:rFonts w:hint="eastAsia" w:ascii="宋体" w:hAnsi="宋体" w:eastAsia="宋体" w:cs="宋体"/>
                <w:color w:val="auto"/>
                <w:kern w:val="2"/>
                <w:sz w:val="24"/>
                <w:szCs w:val="24"/>
                <w:highlight w:val="none"/>
                <w:lang w:val="en-US" w:eastAsia="zh-CN" w:bidi="ar-SA"/>
              </w:rPr>
            </w:pPr>
          </w:p>
        </w:tc>
        <w:tc>
          <w:tcPr>
            <w:tcW w:w="2074" w:type="pct"/>
            <w:shd w:val="clear" w:color="auto" w:fill="auto"/>
            <w:noWrap w:val="0"/>
            <w:vAlign w:val="center"/>
          </w:tcPr>
          <w:p w14:paraId="281089E1">
            <w:pPr>
              <w:pStyle w:val="50"/>
              <w:rPr>
                <w:rFonts w:hint="eastAsia" w:ascii="宋体" w:hAnsi="宋体" w:eastAsia="宋体" w:cs="宋体"/>
                <w:color w:val="auto"/>
                <w:kern w:val="2"/>
                <w:sz w:val="24"/>
                <w:szCs w:val="24"/>
                <w:highlight w:val="none"/>
                <w:lang w:val="en-US" w:eastAsia="zh-CN" w:bidi="ar-SA"/>
              </w:rPr>
            </w:pPr>
          </w:p>
        </w:tc>
        <w:tc>
          <w:tcPr>
            <w:tcW w:w="1083" w:type="pct"/>
            <w:noWrap w:val="0"/>
            <w:vAlign w:val="center"/>
          </w:tcPr>
          <w:p w14:paraId="6CCA3E7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0A8FC1EC">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70A7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noWrap w:val="0"/>
            <w:vAlign w:val="center"/>
          </w:tcPr>
          <w:p w14:paraId="36B59CD3">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5</w:t>
            </w:r>
          </w:p>
        </w:tc>
        <w:tc>
          <w:tcPr>
            <w:tcW w:w="1103" w:type="pct"/>
            <w:noWrap w:val="0"/>
            <w:vAlign w:val="center"/>
          </w:tcPr>
          <w:p w14:paraId="43A0BEF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w:t>
            </w:r>
          </w:p>
        </w:tc>
        <w:tc>
          <w:tcPr>
            <w:tcW w:w="2074" w:type="pct"/>
            <w:noWrap w:val="0"/>
            <w:vAlign w:val="center"/>
          </w:tcPr>
          <w:p w14:paraId="310F1D1A">
            <w:pPr>
              <w:pStyle w:val="84"/>
              <w:keepNext w:val="0"/>
              <w:keepLines w:val="0"/>
              <w:pageBreakBefore w:val="0"/>
              <w:widowControl w:val="0"/>
              <w:shd w:val="clear" w:color="auto" w:fill="FFFFFF"/>
              <w:kinsoku/>
              <w:wordWrap/>
              <w:overflowPunct/>
              <w:topLinePunct w:val="0"/>
              <w:bidi w:val="0"/>
              <w:adjustRightInd/>
              <w:snapToGrid/>
              <w:spacing w:line="360" w:lineRule="exact"/>
              <w:ind w:firstLine="0" w:firstLineChars="0"/>
              <w:textAlignment w:val="auto"/>
              <w:rPr>
                <w:rFonts w:hint="eastAsia" w:ascii="宋体" w:hAnsi="宋体" w:eastAsia="宋体" w:cs="宋体"/>
                <w:color w:val="auto"/>
                <w:kern w:val="0"/>
                <w:sz w:val="24"/>
                <w:szCs w:val="24"/>
                <w:highlight w:val="none"/>
                <w:lang w:val="en-US" w:eastAsia="zh-CN" w:bidi="ar-SA"/>
              </w:rPr>
            </w:pPr>
          </w:p>
        </w:tc>
        <w:tc>
          <w:tcPr>
            <w:tcW w:w="1083" w:type="pct"/>
            <w:noWrap w:val="0"/>
            <w:vAlign w:val="center"/>
          </w:tcPr>
          <w:p w14:paraId="492A3FE6">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7AFD0B5E">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366B3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noWrap w:val="0"/>
            <w:vAlign w:val="center"/>
          </w:tcPr>
          <w:p w14:paraId="0C145DE9">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1103" w:type="pct"/>
            <w:noWrap w:val="0"/>
            <w:vAlign w:val="center"/>
          </w:tcPr>
          <w:p w14:paraId="24DF7F3A">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w:t>
            </w:r>
          </w:p>
        </w:tc>
        <w:tc>
          <w:tcPr>
            <w:tcW w:w="2074" w:type="pct"/>
            <w:noWrap w:val="0"/>
            <w:vAlign w:val="center"/>
          </w:tcPr>
          <w:p w14:paraId="5482D5FB">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1083" w:type="pct"/>
            <w:noWrap w:val="0"/>
            <w:vAlign w:val="center"/>
          </w:tcPr>
          <w:p w14:paraId="24D82CE2">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190A3A2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2E09A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noWrap w:val="0"/>
            <w:vAlign w:val="center"/>
          </w:tcPr>
          <w:p w14:paraId="2F26FC6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1103" w:type="pct"/>
            <w:noWrap w:val="0"/>
            <w:vAlign w:val="center"/>
          </w:tcPr>
          <w:p w14:paraId="7BD1DFF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w:t>
            </w:r>
          </w:p>
        </w:tc>
        <w:tc>
          <w:tcPr>
            <w:tcW w:w="2074" w:type="pct"/>
            <w:noWrap w:val="0"/>
            <w:vAlign w:val="center"/>
          </w:tcPr>
          <w:p w14:paraId="0998D7BE">
            <w:pPr>
              <w:keepNext w:val="0"/>
              <w:keepLines w:val="0"/>
              <w:pageBreakBefore w:val="0"/>
              <w:widowControl w:val="0"/>
              <w:shd w:val="clear" w:color="auto" w:fill="FFFFFF"/>
              <w:kinsoku/>
              <w:wordWrap/>
              <w:overflowPunct/>
              <w:topLinePunct w:val="0"/>
              <w:autoSpaceDE/>
              <w:autoSpaceDN/>
              <w:bidi w:val="0"/>
              <w:adjustRightInd/>
              <w:snapToGrid/>
              <w:spacing w:line="400" w:lineRule="atLeast"/>
              <w:textAlignment w:val="auto"/>
              <w:rPr>
                <w:rFonts w:hint="eastAsia" w:ascii="宋体" w:hAnsi="宋体" w:eastAsia="宋体" w:cs="宋体"/>
                <w:color w:val="auto"/>
                <w:sz w:val="24"/>
                <w:szCs w:val="24"/>
                <w:highlight w:val="none"/>
                <w:lang w:val="en-US" w:eastAsia="zh-CN"/>
              </w:rPr>
            </w:pPr>
          </w:p>
        </w:tc>
        <w:tc>
          <w:tcPr>
            <w:tcW w:w="1083" w:type="pct"/>
            <w:noWrap w:val="0"/>
            <w:vAlign w:val="center"/>
          </w:tcPr>
          <w:p w14:paraId="4CB9861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015D30C8">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5EA1B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noWrap w:val="0"/>
            <w:vAlign w:val="center"/>
          </w:tcPr>
          <w:p w14:paraId="4ED2BCC7">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lang w:val="en-US" w:eastAsia="zh-CN"/>
              </w:rPr>
            </w:pPr>
          </w:p>
        </w:tc>
        <w:tc>
          <w:tcPr>
            <w:tcW w:w="1103" w:type="pct"/>
            <w:shd w:val="clear" w:color="auto" w:fill="auto"/>
            <w:noWrap w:val="0"/>
            <w:vAlign w:val="center"/>
          </w:tcPr>
          <w:p w14:paraId="28BAA9A6">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rPr>
              <w:t>……</w:t>
            </w:r>
          </w:p>
        </w:tc>
        <w:tc>
          <w:tcPr>
            <w:tcW w:w="2074" w:type="pct"/>
            <w:noWrap w:val="0"/>
            <w:vAlign w:val="center"/>
          </w:tcPr>
          <w:p w14:paraId="6246E55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lang w:eastAsia="zh-CN"/>
              </w:rPr>
            </w:pPr>
          </w:p>
        </w:tc>
        <w:tc>
          <w:tcPr>
            <w:tcW w:w="1083" w:type="pct"/>
            <w:noWrap w:val="0"/>
            <w:vAlign w:val="center"/>
          </w:tcPr>
          <w:p w14:paraId="1853010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511" w:type="pct"/>
            <w:noWrap w:val="0"/>
            <w:vAlign w:val="center"/>
          </w:tcPr>
          <w:p w14:paraId="796ECCFA">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bl>
    <w:p w14:paraId="1BAA11F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eastAsia="宋体" w:asciiTheme="majorHAnsi" w:hAnsiTheme="majorHAnsi" w:cstheme="majorBidi"/>
          <w:b/>
          <w:bCs/>
          <w:color w:val="auto"/>
          <w:kern w:val="2"/>
          <w:sz w:val="28"/>
          <w:szCs w:val="28"/>
          <w:highlight w:val="none"/>
          <w:lang w:val="en-US" w:eastAsia="zh-CN" w:bidi="ar-SA"/>
        </w:rPr>
      </w:pPr>
    </w:p>
    <w:p w14:paraId="61F3D6B1">
      <w:pPr>
        <w:keepNext w:val="0"/>
        <w:keepLines w:val="0"/>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outlineLvl w:val="9"/>
        <w:rPr>
          <w:rFonts w:hint="eastAsia" w:cstheme="majorBidi"/>
          <w:b/>
          <w:bCs/>
          <w:color w:val="auto"/>
          <w:kern w:val="2"/>
          <w:sz w:val="32"/>
          <w:szCs w:val="32"/>
          <w:highlight w:val="none"/>
          <w:lang w:val="en-US" w:eastAsia="zh-CN" w:bidi="ar-SA"/>
        </w:rPr>
      </w:pPr>
    </w:p>
    <w:p w14:paraId="01639337">
      <w:pPr>
        <w:keepNext w:val="0"/>
        <w:keepLines w:val="0"/>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outlineLvl w:val="9"/>
        <w:rPr>
          <w:rFonts w:hint="eastAsia" w:cstheme="majorBidi"/>
          <w:b/>
          <w:bCs/>
          <w:color w:val="auto"/>
          <w:kern w:val="2"/>
          <w:sz w:val="32"/>
          <w:szCs w:val="32"/>
          <w:highlight w:val="none"/>
          <w:lang w:val="en-US" w:eastAsia="zh-CN" w:bidi="ar-SA"/>
        </w:rPr>
      </w:pPr>
    </w:p>
    <w:p w14:paraId="626EF50E">
      <w:pPr>
        <w:pStyle w:val="4"/>
        <w:bidi w:val="0"/>
        <w:jc w:val="center"/>
        <w:rPr>
          <w:rFonts w:hint="eastAsia"/>
          <w:highlight w:val="none"/>
          <w:lang w:val="en-US" w:eastAsia="zh-CN"/>
        </w:rPr>
      </w:pPr>
      <w:bookmarkStart w:id="736" w:name="_Toc18610"/>
      <w:r>
        <w:rPr>
          <w:rFonts w:hint="eastAsia"/>
          <w:highlight w:val="none"/>
          <w:lang w:val="en-US" w:eastAsia="zh-CN"/>
        </w:rPr>
        <w:t>六、商务响应偏离表</w:t>
      </w:r>
      <w:bookmarkEnd w:id="736"/>
    </w:p>
    <w:p w14:paraId="21AF32D6">
      <w:pPr>
        <w:rPr>
          <w:rFonts w:cs="仿宋_GB2312"/>
          <w:color w:val="auto"/>
          <w:szCs w:val="24"/>
          <w:highlight w:val="none"/>
        </w:rPr>
      </w:pPr>
      <w:r>
        <w:rPr>
          <w:rFonts w:hint="eastAsia" w:cs="仿宋_GB2312"/>
          <w:color w:val="auto"/>
          <w:szCs w:val="24"/>
          <w:highlight w:val="none"/>
        </w:rPr>
        <w:t xml:space="preserve">项目名称：                                         </w:t>
      </w:r>
    </w:p>
    <w:p w14:paraId="0424C095">
      <w:pPr>
        <w:rPr>
          <w:rFonts w:cs="仿宋_GB2312"/>
          <w:color w:val="auto"/>
          <w:szCs w:val="24"/>
          <w:highlight w:val="none"/>
        </w:rPr>
      </w:pPr>
      <w:r>
        <w:rPr>
          <w:rFonts w:hint="eastAsia" w:cs="仿宋_GB2312"/>
          <w:color w:val="auto"/>
          <w:szCs w:val="24"/>
          <w:highlight w:val="none"/>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cs="仿宋_GB2312"/>
          <w:color w:val="auto"/>
          <w:szCs w:val="24"/>
          <w:highlight w:val="none"/>
        </w:rPr>
        <w:t xml:space="preserve">：        </w:t>
      </w:r>
    </w:p>
    <w:tbl>
      <w:tblPr>
        <w:tblStyle w:val="31"/>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394"/>
        <w:gridCol w:w="1720"/>
        <w:gridCol w:w="1871"/>
        <w:gridCol w:w="1871"/>
      </w:tblGrid>
      <w:tr w14:paraId="16BE7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420" w:type="pct"/>
            <w:vAlign w:val="center"/>
          </w:tcPr>
          <w:p w14:paraId="1A4BE3A9">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95" w:type="pct"/>
            <w:vAlign w:val="center"/>
          </w:tcPr>
          <w:p w14:paraId="7CB83CD6">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招标文件的商务条款</w:t>
            </w:r>
          </w:p>
        </w:tc>
        <w:tc>
          <w:tcPr>
            <w:tcW w:w="1002" w:type="pct"/>
            <w:vAlign w:val="center"/>
          </w:tcPr>
          <w:p w14:paraId="55A47B57">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投标文件的响应内容</w:t>
            </w:r>
          </w:p>
        </w:tc>
        <w:tc>
          <w:tcPr>
            <w:tcW w:w="1090" w:type="pct"/>
            <w:vAlign w:val="center"/>
          </w:tcPr>
          <w:p w14:paraId="2572E859">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响应情况</w:t>
            </w:r>
          </w:p>
        </w:tc>
        <w:tc>
          <w:tcPr>
            <w:tcW w:w="1090" w:type="pct"/>
            <w:vAlign w:val="center"/>
          </w:tcPr>
          <w:p w14:paraId="7884F206">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说明及索引</w:t>
            </w:r>
          </w:p>
        </w:tc>
      </w:tr>
      <w:tr w14:paraId="0728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156411A">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395" w:type="pct"/>
            <w:vAlign w:val="center"/>
          </w:tcPr>
          <w:p w14:paraId="34566CA0">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vAlign w:val="center"/>
          </w:tcPr>
          <w:p w14:paraId="1C6482B4">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1BBD0417">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响应/偏离</w:t>
            </w:r>
          </w:p>
        </w:tc>
        <w:tc>
          <w:tcPr>
            <w:tcW w:w="1090" w:type="pct"/>
            <w:vAlign w:val="center"/>
          </w:tcPr>
          <w:p w14:paraId="1A90E39C">
            <w:pPr>
              <w:pStyle w:val="50"/>
              <w:jc w:val="center"/>
              <w:rPr>
                <w:rFonts w:hint="eastAsia" w:ascii="宋体" w:hAnsi="宋体" w:eastAsia="宋体" w:cs="宋体"/>
                <w:color w:val="auto"/>
                <w:sz w:val="21"/>
                <w:szCs w:val="21"/>
                <w:highlight w:val="none"/>
              </w:rPr>
            </w:pPr>
          </w:p>
        </w:tc>
      </w:tr>
      <w:tr w14:paraId="7C83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5821036">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395" w:type="pct"/>
            <w:vAlign w:val="center"/>
          </w:tcPr>
          <w:p w14:paraId="2A717A55">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vAlign w:val="center"/>
          </w:tcPr>
          <w:p w14:paraId="20EC7575">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5923E58D">
            <w:pPr>
              <w:pStyle w:val="50"/>
              <w:jc w:val="center"/>
              <w:rPr>
                <w:rFonts w:hint="eastAsia" w:ascii="宋体" w:hAnsi="宋体" w:eastAsia="宋体" w:cs="宋体"/>
                <w:color w:val="auto"/>
                <w:sz w:val="21"/>
                <w:szCs w:val="21"/>
                <w:highlight w:val="none"/>
              </w:rPr>
            </w:pPr>
          </w:p>
        </w:tc>
        <w:tc>
          <w:tcPr>
            <w:tcW w:w="1090" w:type="pct"/>
            <w:vAlign w:val="center"/>
          </w:tcPr>
          <w:p w14:paraId="59C2C317">
            <w:pPr>
              <w:pStyle w:val="50"/>
              <w:jc w:val="center"/>
              <w:rPr>
                <w:rFonts w:hint="eastAsia" w:ascii="宋体" w:hAnsi="宋体" w:eastAsia="宋体" w:cs="宋体"/>
                <w:color w:val="auto"/>
                <w:sz w:val="21"/>
                <w:szCs w:val="21"/>
                <w:highlight w:val="none"/>
              </w:rPr>
            </w:pPr>
          </w:p>
        </w:tc>
      </w:tr>
      <w:tr w14:paraId="6435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D563CA4">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395" w:type="pct"/>
            <w:vAlign w:val="center"/>
          </w:tcPr>
          <w:p w14:paraId="595245DB">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vAlign w:val="center"/>
          </w:tcPr>
          <w:p w14:paraId="0A16B4B6">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58535F72">
            <w:pPr>
              <w:pStyle w:val="50"/>
              <w:jc w:val="center"/>
              <w:rPr>
                <w:rFonts w:hint="eastAsia" w:ascii="宋体" w:hAnsi="宋体" w:eastAsia="宋体" w:cs="宋体"/>
                <w:color w:val="auto"/>
                <w:sz w:val="21"/>
                <w:szCs w:val="21"/>
                <w:highlight w:val="none"/>
              </w:rPr>
            </w:pPr>
          </w:p>
        </w:tc>
        <w:tc>
          <w:tcPr>
            <w:tcW w:w="1090" w:type="pct"/>
            <w:vAlign w:val="center"/>
          </w:tcPr>
          <w:p w14:paraId="50AB520B">
            <w:pPr>
              <w:pStyle w:val="50"/>
              <w:jc w:val="center"/>
              <w:rPr>
                <w:rFonts w:hint="eastAsia" w:ascii="宋体" w:hAnsi="宋体" w:eastAsia="宋体" w:cs="宋体"/>
                <w:color w:val="auto"/>
                <w:sz w:val="21"/>
                <w:szCs w:val="21"/>
                <w:highlight w:val="none"/>
              </w:rPr>
            </w:pPr>
          </w:p>
        </w:tc>
      </w:tr>
      <w:tr w14:paraId="669EA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74127D5E">
            <w:pPr>
              <w:pStyle w:val="50"/>
              <w:jc w:val="center"/>
              <w:rPr>
                <w:rFonts w:hint="eastAsia" w:ascii="宋体" w:hAnsi="宋体" w:eastAsia="宋体" w:cs="宋体"/>
                <w:color w:val="auto"/>
                <w:sz w:val="21"/>
                <w:szCs w:val="21"/>
                <w:highlight w:val="none"/>
              </w:rPr>
            </w:pPr>
          </w:p>
        </w:tc>
        <w:tc>
          <w:tcPr>
            <w:tcW w:w="1395" w:type="pct"/>
            <w:vAlign w:val="center"/>
          </w:tcPr>
          <w:p w14:paraId="14968038">
            <w:pPr>
              <w:pStyle w:val="50"/>
              <w:jc w:val="center"/>
              <w:rPr>
                <w:rFonts w:hint="eastAsia" w:ascii="宋体" w:hAnsi="宋体" w:eastAsia="宋体" w:cs="宋体"/>
                <w:color w:val="auto"/>
                <w:sz w:val="21"/>
                <w:szCs w:val="21"/>
                <w:highlight w:val="none"/>
              </w:rPr>
            </w:pPr>
          </w:p>
        </w:tc>
        <w:tc>
          <w:tcPr>
            <w:tcW w:w="1002" w:type="pct"/>
            <w:vAlign w:val="center"/>
          </w:tcPr>
          <w:p w14:paraId="10A6B59E">
            <w:pPr>
              <w:pStyle w:val="50"/>
              <w:jc w:val="center"/>
              <w:rPr>
                <w:rFonts w:hint="eastAsia" w:ascii="宋体" w:hAnsi="宋体" w:eastAsia="宋体" w:cs="宋体"/>
                <w:color w:val="auto"/>
                <w:sz w:val="21"/>
                <w:szCs w:val="21"/>
                <w:highlight w:val="none"/>
              </w:rPr>
            </w:pPr>
          </w:p>
        </w:tc>
        <w:tc>
          <w:tcPr>
            <w:tcW w:w="1090" w:type="pct"/>
            <w:vAlign w:val="center"/>
          </w:tcPr>
          <w:p w14:paraId="61702DF6">
            <w:pPr>
              <w:pStyle w:val="50"/>
              <w:jc w:val="center"/>
              <w:rPr>
                <w:rFonts w:hint="eastAsia" w:ascii="宋体" w:hAnsi="宋体" w:eastAsia="宋体" w:cs="宋体"/>
                <w:color w:val="auto"/>
                <w:sz w:val="21"/>
                <w:szCs w:val="21"/>
                <w:highlight w:val="none"/>
              </w:rPr>
            </w:pPr>
          </w:p>
        </w:tc>
        <w:tc>
          <w:tcPr>
            <w:tcW w:w="1090" w:type="pct"/>
            <w:vAlign w:val="center"/>
          </w:tcPr>
          <w:p w14:paraId="0CC18FC2">
            <w:pPr>
              <w:pStyle w:val="50"/>
              <w:jc w:val="center"/>
              <w:rPr>
                <w:rFonts w:hint="eastAsia" w:ascii="宋体" w:hAnsi="宋体" w:eastAsia="宋体" w:cs="宋体"/>
                <w:color w:val="auto"/>
                <w:sz w:val="21"/>
                <w:szCs w:val="21"/>
                <w:highlight w:val="none"/>
              </w:rPr>
            </w:pPr>
          </w:p>
        </w:tc>
      </w:tr>
      <w:tr w14:paraId="57F3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4561F269">
            <w:pPr>
              <w:pStyle w:val="50"/>
              <w:jc w:val="center"/>
              <w:rPr>
                <w:rFonts w:hint="eastAsia" w:ascii="宋体" w:hAnsi="宋体" w:eastAsia="宋体" w:cs="宋体"/>
                <w:color w:val="auto"/>
                <w:sz w:val="21"/>
                <w:szCs w:val="21"/>
                <w:highlight w:val="none"/>
              </w:rPr>
            </w:pPr>
          </w:p>
        </w:tc>
        <w:tc>
          <w:tcPr>
            <w:tcW w:w="1395" w:type="pct"/>
            <w:vAlign w:val="center"/>
          </w:tcPr>
          <w:p w14:paraId="5DDD9937">
            <w:pPr>
              <w:pStyle w:val="50"/>
              <w:jc w:val="center"/>
              <w:rPr>
                <w:rFonts w:hint="eastAsia" w:ascii="宋体" w:hAnsi="宋体" w:eastAsia="宋体" w:cs="宋体"/>
                <w:color w:val="auto"/>
                <w:sz w:val="21"/>
                <w:szCs w:val="21"/>
                <w:highlight w:val="none"/>
              </w:rPr>
            </w:pPr>
          </w:p>
        </w:tc>
        <w:tc>
          <w:tcPr>
            <w:tcW w:w="1002" w:type="pct"/>
            <w:vAlign w:val="center"/>
          </w:tcPr>
          <w:p w14:paraId="0B29A018">
            <w:pPr>
              <w:pStyle w:val="50"/>
              <w:jc w:val="center"/>
              <w:rPr>
                <w:rFonts w:hint="eastAsia" w:ascii="宋体" w:hAnsi="宋体" w:eastAsia="宋体" w:cs="宋体"/>
                <w:color w:val="auto"/>
                <w:sz w:val="21"/>
                <w:szCs w:val="21"/>
                <w:highlight w:val="none"/>
              </w:rPr>
            </w:pPr>
          </w:p>
        </w:tc>
        <w:tc>
          <w:tcPr>
            <w:tcW w:w="1090" w:type="pct"/>
            <w:vAlign w:val="center"/>
          </w:tcPr>
          <w:p w14:paraId="1FA693DE">
            <w:pPr>
              <w:pStyle w:val="50"/>
              <w:jc w:val="center"/>
              <w:rPr>
                <w:rFonts w:hint="eastAsia" w:ascii="宋体" w:hAnsi="宋体" w:eastAsia="宋体" w:cs="宋体"/>
                <w:color w:val="auto"/>
                <w:sz w:val="21"/>
                <w:szCs w:val="21"/>
                <w:highlight w:val="none"/>
              </w:rPr>
            </w:pPr>
          </w:p>
        </w:tc>
        <w:tc>
          <w:tcPr>
            <w:tcW w:w="1090" w:type="pct"/>
            <w:vAlign w:val="center"/>
          </w:tcPr>
          <w:p w14:paraId="3D633AB6">
            <w:pPr>
              <w:pStyle w:val="50"/>
              <w:jc w:val="center"/>
              <w:rPr>
                <w:rFonts w:hint="eastAsia" w:ascii="宋体" w:hAnsi="宋体" w:eastAsia="宋体" w:cs="宋体"/>
                <w:color w:val="auto"/>
                <w:sz w:val="21"/>
                <w:szCs w:val="21"/>
                <w:highlight w:val="none"/>
              </w:rPr>
            </w:pPr>
          </w:p>
        </w:tc>
      </w:tr>
      <w:tr w14:paraId="12449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59A5171A">
            <w:pPr>
              <w:pStyle w:val="50"/>
              <w:jc w:val="center"/>
              <w:rPr>
                <w:rFonts w:hint="eastAsia" w:ascii="宋体" w:hAnsi="宋体" w:eastAsia="宋体" w:cs="宋体"/>
                <w:color w:val="auto"/>
                <w:sz w:val="21"/>
                <w:szCs w:val="21"/>
                <w:highlight w:val="none"/>
              </w:rPr>
            </w:pPr>
          </w:p>
        </w:tc>
        <w:tc>
          <w:tcPr>
            <w:tcW w:w="1395" w:type="pct"/>
            <w:vAlign w:val="center"/>
          </w:tcPr>
          <w:p w14:paraId="014A297F">
            <w:pPr>
              <w:pStyle w:val="50"/>
              <w:jc w:val="center"/>
              <w:rPr>
                <w:rFonts w:hint="eastAsia" w:ascii="宋体" w:hAnsi="宋体" w:eastAsia="宋体" w:cs="宋体"/>
                <w:color w:val="auto"/>
                <w:sz w:val="21"/>
                <w:szCs w:val="21"/>
                <w:highlight w:val="none"/>
              </w:rPr>
            </w:pPr>
          </w:p>
        </w:tc>
        <w:tc>
          <w:tcPr>
            <w:tcW w:w="1002" w:type="pct"/>
            <w:vAlign w:val="center"/>
          </w:tcPr>
          <w:p w14:paraId="51467013">
            <w:pPr>
              <w:pStyle w:val="50"/>
              <w:jc w:val="center"/>
              <w:rPr>
                <w:rFonts w:hint="eastAsia" w:ascii="宋体" w:hAnsi="宋体" w:eastAsia="宋体" w:cs="宋体"/>
                <w:color w:val="auto"/>
                <w:sz w:val="21"/>
                <w:szCs w:val="21"/>
                <w:highlight w:val="none"/>
              </w:rPr>
            </w:pPr>
          </w:p>
        </w:tc>
        <w:tc>
          <w:tcPr>
            <w:tcW w:w="1090" w:type="pct"/>
            <w:vAlign w:val="center"/>
          </w:tcPr>
          <w:p w14:paraId="011E40CA">
            <w:pPr>
              <w:pStyle w:val="50"/>
              <w:jc w:val="center"/>
              <w:rPr>
                <w:rFonts w:hint="eastAsia" w:ascii="宋体" w:hAnsi="宋体" w:eastAsia="宋体" w:cs="宋体"/>
                <w:color w:val="auto"/>
                <w:sz w:val="21"/>
                <w:szCs w:val="21"/>
                <w:highlight w:val="none"/>
              </w:rPr>
            </w:pPr>
          </w:p>
        </w:tc>
        <w:tc>
          <w:tcPr>
            <w:tcW w:w="1090" w:type="pct"/>
            <w:vAlign w:val="center"/>
          </w:tcPr>
          <w:p w14:paraId="7062C313">
            <w:pPr>
              <w:pStyle w:val="50"/>
              <w:jc w:val="center"/>
              <w:rPr>
                <w:rFonts w:hint="eastAsia" w:ascii="宋体" w:hAnsi="宋体" w:eastAsia="宋体" w:cs="宋体"/>
                <w:color w:val="auto"/>
                <w:sz w:val="21"/>
                <w:szCs w:val="21"/>
                <w:highlight w:val="none"/>
              </w:rPr>
            </w:pPr>
          </w:p>
        </w:tc>
      </w:tr>
      <w:tr w14:paraId="7994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0B6F410">
            <w:pPr>
              <w:pStyle w:val="50"/>
              <w:jc w:val="center"/>
              <w:rPr>
                <w:rFonts w:hint="eastAsia" w:ascii="宋体" w:hAnsi="宋体" w:eastAsia="宋体" w:cs="宋体"/>
                <w:color w:val="auto"/>
                <w:sz w:val="21"/>
                <w:szCs w:val="21"/>
                <w:highlight w:val="none"/>
              </w:rPr>
            </w:pPr>
          </w:p>
        </w:tc>
        <w:tc>
          <w:tcPr>
            <w:tcW w:w="1395" w:type="pct"/>
            <w:vAlign w:val="center"/>
          </w:tcPr>
          <w:p w14:paraId="010A1BB0">
            <w:pPr>
              <w:pStyle w:val="50"/>
              <w:jc w:val="center"/>
              <w:rPr>
                <w:rFonts w:hint="eastAsia" w:ascii="宋体" w:hAnsi="宋体" w:eastAsia="宋体" w:cs="宋体"/>
                <w:color w:val="auto"/>
                <w:sz w:val="21"/>
                <w:szCs w:val="21"/>
                <w:highlight w:val="none"/>
              </w:rPr>
            </w:pPr>
          </w:p>
        </w:tc>
        <w:tc>
          <w:tcPr>
            <w:tcW w:w="1002" w:type="pct"/>
            <w:vAlign w:val="center"/>
          </w:tcPr>
          <w:p w14:paraId="1EE22C75">
            <w:pPr>
              <w:pStyle w:val="50"/>
              <w:jc w:val="center"/>
              <w:rPr>
                <w:rFonts w:hint="eastAsia" w:ascii="宋体" w:hAnsi="宋体" w:eastAsia="宋体" w:cs="宋体"/>
                <w:color w:val="auto"/>
                <w:sz w:val="21"/>
                <w:szCs w:val="21"/>
                <w:highlight w:val="none"/>
              </w:rPr>
            </w:pPr>
          </w:p>
        </w:tc>
        <w:tc>
          <w:tcPr>
            <w:tcW w:w="1090" w:type="pct"/>
            <w:vAlign w:val="center"/>
          </w:tcPr>
          <w:p w14:paraId="3C86F2CC">
            <w:pPr>
              <w:pStyle w:val="50"/>
              <w:jc w:val="center"/>
              <w:rPr>
                <w:rFonts w:hint="eastAsia" w:ascii="宋体" w:hAnsi="宋体" w:eastAsia="宋体" w:cs="宋体"/>
                <w:color w:val="auto"/>
                <w:sz w:val="21"/>
                <w:szCs w:val="21"/>
                <w:highlight w:val="none"/>
              </w:rPr>
            </w:pPr>
          </w:p>
        </w:tc>
        <w:tc>
          <w:tcPr>
            <w:tcW w:w="1090" w:type="pct"/>
            <w:vAlign w:val="center"/>
          </w:tcPr>
          <w:p w14:paraId="515EA04E">
            <w:pPr>
              <w:pStyle w:val="50"/>
              <w:jc w:val="center"/>
              <w:rPr>
                <w:rFonts w:hint="eastAsia" w:ascii="宋体" w:hAnsi="宋体" w:eastAsia="宋体" w:cs="宋体"/>
                <w:color w:val="auto"/>
                <w:sz w:val="21"/>
                <w:szCs w:val="21"/>
                <w:highlight w:val="none"/>
              </w:rPr>
            </w:pPr>
          </w:p>
        </w:tc>
      </w:tr>
      <w:tr w14:paraId="2D75C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7EFA1E0">
            <w:pPr>
              <w:pStyle w:val="50"/>
              <w:jc w:val="center"/>
              <w:rPr>
                <w:rFonts w:hint="eastAsia" w:ascii="宋体" w:hAnsi="宋体" w:eastAsia="宋体" w:cs="宋体"/>
                <w:color w:val="auto"/>
                <w:sz w:val="21"/>
                <w:szCs w:val="21"/>
                <w:highlight w:val="none"/>
              </w:rPr>
            </w:pPr>
          </w:p>
        </w:tc>
        <w:tc>
          <w:tcPr>
            <w:tcW w:w="1395" w:type="pct"/>
            <w:vAlign w:val="center"/>
          </w:tcPr>
          <w:p w14:paraId="1C7A6406">
            <w:pPr>
              <w:pStyle w:val="50"/>
              <w:jc w:val="center"/>
              <w:rPr>
                <w:rFonts w:hint="eastAsia" w:ascii="宋体" w:hAnsi="宋体" w:eastAsia="宋体" w:cs="宋体"/>
                <w:color w:val="auto"/>
                <w:sz w:val="21"/>
                <w:szCs w:val="21"/>
                <w:highlight w:val="none"/>
              </w:rPr>
            </w:pPr>
          </w:p>
        </w:tc>
        <w:tc>
          <w:tcPr>
            <w:tcW w:w="1002" w:type="pct"/>
            <w:vAlign w:val="center"/>
          </w:tcPr>
          <w:p w14:paraId="7F774DAF">
            <w:pPr>
              <w:pStyle w:val="50"/>
              <w:jc w:val="center"/>
              <w:rPr>
                <w:rFonts w:hint="eastAsia" w:ascii="宋体" w:hAnsi="宋体" w:eastAsia="宋体" w:cs="宋体"/>
                <w:color w:val="auto"/>
                <w:sz w:val="21"/>
                <w:szCs w:val="21"/>
                <w:highlight w:val="none"/>
              </w:rPr>
            </w:pPr>
          </w:p>
        </w:tc>
        <w:tc>
          <w:tcPr>
            <w:tcW w:w="1090" w:type="pct"/>
            <w:vAlign w:val="center"/>
          </w:tcPr>
          <w:p w14:paraId="66A55C54">
            <w:pPr>
              <w:pStyle w:val="50"/>
              <w:jc w:val="center"/>
              <w:rPr>
                <w:rFonts w:hint="eastAsia" w:ascii="宋体" w:hAnsi="宋体" w:eastAsia="宋体" w:cs="宋体"/>
                <w:color w:val="auto"/>
                <w:sz w:val="21"/>
                <w:szCs w:val="21"/>
                <w:highlight w:val="none"/>
              </w:rPr>
            </w:pPr>
          </w:p>
        </w:tc>
        <w:tc>
          <w:tcPr>
            <w:tcW w:w="1090" w:type="pct"/>
            <w:vAlign w:val="center"/>
          </w:tcPr>
          <w:p w14:paraId="6FC3A7DB">
            <w:pPr>
              <w:pStyle w:val="50"/>
              <w:jc w:val="center"/>
              <w:rPr>
                <w:rFonts w:hint="eastAsia" w:ascii="宋体" w:hAnsi="宋体" w:eastAsia="宋体" w:cs="宋体"/>
                <w:color w:val="auto"/>
                <w:sz w:val="21"/>
                <w:szCs w:val="21"/>
                <w:highlight w:val="none"/>
              </w:rPr>
            </w:pPr>
          </w:p>
        </w:tc>
      </w:tr>
      <w:tr w14:paraId="2B937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D84A230">
            <w:pPr>
              <w:pStyle w:val="50"/>
              <w:jc w:val="center"/>
              <w:rPr>
                <w:rFonts w:hint="eastAsia" w:ascii="宋体" w:hAnsi="宋体" w:eastAsia="宋体" w:cs="宋体"/>
                <w:color w:val="auto"/>
                <w:sz w:val="21"/>
                <w:szCs w:val="21"/>
                <w:highlight w:val="none"/>
              </w:rPr>
            </w:pPr>
          </w:p>
        </w:tc>
        <w:tc>
          <w:tcPr>
            <w:tcW w:w="1395" w:type="pct"/>
            <w:vAlign w:val="center"/>
          </w:tcPr>
          <w:p w14:paraId="5A1690B5">
            <w:pPr>
              <w:pStyle w:val="50"/>
              <w:jc w:val="center"/>
              <w:rPr>
                <w:rFonts w:hint="eastAsia" w:ascii="宋体" w:hAnsi="宋体" w:eastAsia="宋体" w:cs="宋体"/>
                <w:color w:val="auto"/>
                <w:sz w:val="21"/>
                <w:szCs w:val="21"/>
                <w:highlight w:val="none"/>
              </w:rPr>
            </w:pPr>
          </w:p>
        </w:tc>
        <w:tc>
          <w:tcPr>
            <w:tcW w:w="1002" w:type="pct"/>
            <w:vAlign w:val="center"/>
          </w:tcPr>
          <w:p w14:paraId="735418C2">
            <w:pPr>
              <w:pStyle w:val="50"/>
              <w:jc w:val="center"/>
              <w:rPr>
                <w:rFonts w:hint="eastAsia" w:ascii="宋体" w:hAnsi="宋体" w:eastAsia="宋体" w:cs="宋体"/>
                <w:color w:val="auto"/>
                <w:sz w:val="21"/>
                <w:szCs w:val="21"/>
                <w:highlight w:val="none"/>
              </w:rPr>
            </w:pPr>
          </w:p>
        </w:tc>
        <w:tc>
          <w:tcPr>
            <w:tcW w:w="1090" w:type="pct"/>
            <w:vAlign w:val="center"/>
          </w:tcPr>
          <w:p w14:paraId="13F6671D">
            <w:pPr>
              <w:pStyle w:val="50"/>
              <w:jc w:val="center"/>
              <w:rPr>
                <w:rFonts w:hint="eastAsia" w:ascii="宋体" w:hAnsi="宋体" w:eastAsia="宋体" w:cs="宋体"/>
                <w:color w:val="auto"/>
                <w:sz w:val="21"/>
                <w:szCs w:val="21"/>
                <w:highlight w:val="none"/>
              </w:rPr>
            </w:pPr>
          </w:p>
        </w:tc>
        <w:tc>
          <w:tcPr>
            <w:tcW w:w="1090" w:type="pct"/>
            <w:vAlign w:val="center"/>
          </w:tcPr>
          <w:p w14:paraId="3DC0B3BB">
            <w:pPr>
              <w:pStyle w:val="50"/>
              <w:jc w:val="center"/>
              <w:rPr>
                <w:rFonts w:hint="eastAsia" w:ascii="宋体" w:hAnsi="宋体" w:eastAsia="宋体" w:cs="宋体"/>
                <w:color w:val="auto"/>
                <w:sz w:val="21"/>
                <w:szCs w:val="21"/>
                <w:highlight w:val="none"/>
              </w:rPr>
            </w:pPr>
          </w:p>
        </w:tc>
      </w:tr>
      <w:tr w14:paraId="23E04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1109CF1">
            <w:pPr>
              <w:pStyle w:val="50"/>
              <w:jc w:val="center"/>
              <w:rPr>
                <w:rFonts w:hint="eastAsia" w:ascii="宋体" w:hAnsi="宋体" w:eastAsia="宋体" w:cs="宋体"/>
                <w:color w:val="auto"/>
                <w:sz w:val="21"/>
                <w:szCs w:val="21"/>
                <w:highlight w:val="none"/>
              </w:rPr>
            </w:pPr>
          </w:p>
        </w:tc>
        <w:tc>
          <w:tcPr>
            <w:tcW w:w="1395" w:type="pct"/>
            <w:vAlign w:val="center"/>
          </w:tcPr>
          <w:p w14:paraId="4E1F25E0">
            <w:pPr>
              <w:pStyle w:val="50"/>
              <w:jc w:val="center"/>
              <w:rPr>
                <w:rFonts w:hint="eastAsia" w:ascii="宋体" w:hAnsi="宋体" w:eastAsia="宋体" w:cs="宋体"/>
                <w:color w:val="auto"/>
                <w:sz w:val="21"/>
                <w:szCs w:val="21"/>
                <w:highlight w:val="none"/>
              </w:rPr>
            </w:pPr>
          </w:p>
        </w:tc>
        <w:tc>
          <w:tcPr>
            <w:tcW w:w="1002" w:type="pct"/>
            <w:vAlign w:val="center"/>
          </w:tcPr>
          <w:p w14:paraId="4F1707F4">
            <w:pPr>
              <w:pStyle w:val="50"/>
              <w:jc w:val="center"/>
              <w:rPr>
                <w:rFonts w:hint="eastAsia" w:ascii="宋体" w:hAnsi="宋体" w:eastAsia="宋体" w:cs="宋体"/>
                <w:color w:val="auto"/>
                <w:sz w:val="21"/>
                <w:szCs w:val="21"/>
                <w:highlight w:val="none"/>
              </w:rPr>
            </w:pPr>
          </w:p>
        </w:tc>
        <w:tc>
          <w:tcPr>
            <w:tcW w:w="1090" w:type="pct"/>
            <w:vAlign w:val="center"/>
          </w:tcPr>
          <w:p w14:paraId="59E61A3B">
            <w:pPr>
              <w:pStyle w:val="50"/>
              <w:jc w:val="center"/>
              <w:rPr>
                <w:rFonts w:hint="eastAsia" w:ascii="宋体" w:hAnsi="宋体" w:eastAsia="宋体" w:cs="宋体"/>
                <w:color w:val="auto"/>
                <w:sz w:val="21"/>
                <w:szCs w:val="21"/>
                <w:highlight w:val="none"/>
              </w:rPr>
            </w:pPr>
          </w:p>
        </w:tc>
        <w:tc>
          <w:tcPr>
            <w:tcW w:w="1090" w:type="pct"/>
            <w:vAlign w:val="center"/>
          </w:tcPr>
          <w:p w14:paraId="33E07ECA">
            <w:pPr>
              <w:pStyle w:val="50"/>
              <w:jc w:val="center"/>
              <w:rPr>
                <w:rFonts w:hint="eastAsia" w:ascii="宋体" w:hAnsi="宋体" w:eastAsia="宋体" w:cs="宋体"/>
                <w:color w:val="auto"/>
                <w:sz w:val="21"/>
                <w:szCs w:val="21"/>
                <w:highlight w:val="none"/>
              </w:rPr>
            </w:pPr>
          </w:p>
        </w:tc>
      </w:tr>
      <w:tr w14:paraId="6B929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trPr>
        <w:tc>
          <w:tcPr>
            <w:tcW w:w="420" w:type="pct"/>
            <w:vAlign w:val="center"/>
          </w:tcPr>
          <w:p w14:paraId="71CB3DA8">
            <w:pPr>
              <w:pStyle w:val="50"/>
              <w:jc w:val="center"/>
              <w:rPr>
                <w:rFonts w:hint="eastAsia" w:ascii="宋体" w:hAnsi="宋体" w:eastAsia="宋体" w:cs="宋体"/>
                <w:color w:val="auto"/>
                <w:sz w:val="21"/>
                <w:szCs w:val="21"/>
                <w:highlight w:val="none"/>
              </w:rPr>
            </w:pPr>
          </w:p>
        </w:tc>
        <w:tc>
          <w:tcPr>
            <w:tcW w:w="1395" w:type="pct"/>
            <w:vAlign w:val="center"/>
          </w:tcPr>
          <w:p w14:paraId="494F1780">
            <w:pPr>
              <w:pStyle w:val="50"/>
              <w:jc w:val="center"/>
              <w:rPr>
                <w:rFonts w:hint="eastAsia" w:ascii="宋体" w:hAnsi="宋体" w:eastAsia="宋体" w:cs="宋体"/>
                <w:color w:val="auto"/>
                <w:sz w:val="21"/>
                <w:szCs w:val="21"/>
                <w:highlight w:val="none"/>
              </w:rPr>
            </w:pPr>
          </w:p>
        </w:tc>
        <w:tc>
          <w:tcPr>
            <w:tcW w:w="1002" w:type="pct"/>
            <w:vAlign w:val="center"/>
          </w:tcPr>
          <w:p w14:paraId="02E24AFD">
            <w:pPr>
              <w:pStyle w:val="50"/>
              <w:jc w:val="center"/>
              <w:rPr>
                <w:rFonts w:hint="eastAsia" w:ascii="宋体" w:hAnsi="宋体" w:eastAsia="宋体" w:cs="宋体"/>
                <w:color w:val="auto"/>
                <w:sz w:val="21"/>
                <w:szCs w:val="21"/>
                <w:highlight w:val="none"/>
              </w:rPr>
            </w:pPr>
          </w:p>
        </w:tc>
        <w:tc>
          <w:tcPr>
            <w:tcW w:w="1090" w:type="pct"/>
            <w:vAlign w:val="center"/>
          </w:tcPr>
          <w:p w14:paraId="15C952B3">
            <w:pPr>
              <w:pStyle w:val="50"/>
              <w:jc w:val="center"/>
              <w:rPr>
                <w:rFonts w:hint="eastAsia" w:ascii="宋体" w:hAnsi="宋体" w:eastAsia="宋体" w:cs="宋体"/>
                <w:color w:val="auto"/>
                <w:sz w:val="21"/>
                <w:szCs w:val="21"/>
                <w:highlight w:val="none"/>
              </w:rPr>
            </w:pPr>
          </w:p>
        </w:tc>
        <w:tc>
          <w:tcPr>
            <w:tcW w:w="1090" w:type="pct"/>
            <w:vAlign w:val="center"/>
          </w:tcPr>
          <w:p w14:paraId="042480C5">
            <w:pPr>
              <w:pStyle w:val="50"/>
              <w:jc w:val="center"/>
              <w:rPr>
                <w:rFonts w:hint="eastAsia" w:ascii="宋体" w:hAnsi="宋体" w:eastAsia="宋体" w:cs="宋体"/>
                <w:color w:val="auto"/>
                <w:sz w:val="21"/>
                <w:szCs w:val="21"/>
                <w:highlight w:val="none"/>
              </w:rPr>
            </w:pPr>
          </w:p>
        </w:tc>
      </w:tr>
      <w:tr w14:paraId="13BE0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D3D8B34">
            <w:pPr>
              <w:pStyle w:val="50"/>
              <w:jc w:val="center"/>
              <w:rPr>
                <w:rFonts w:hint="eastAsia" w:ascii="宋体" w:hAnsi="宋体" w:eastAsia="宋体" w:cs="宋体"/>
                <w:color w:val="auto"/>
                <w:sz w:val="21"/>
                <w:szCs w:val="21"/>
                <w:highlight w:val="none"/>
              </w:rPr>
            </w:pPr>
          </w:p>
        </w:tc>
        <w:tc>
          <w:tcPr>
            <w:tcW w:w="1395" w:type="pct"/>
            <w:vAlign w:val="center"/>
          </w:tcPr>
          <w:p w14:paraId="3FA50495">
            <w:pPr>
              <w:pStyle w:val="50"/>
              <w:jc w:val="center"/>
              <w:rPr>
                <w:rFonts w:hint="eastAsia" w:ascii="宋体" w:hAnsi="宋体" w:eastAsia="宋体" w:cs="宋体"/>
                <w:color w:val="auto"/>
                <w:sz w:val="21"/>
                <w:szCs w:val="21"/>
                <w:highlight w:val="none"/>
              </w:rPr>
            </w:pPr>
          </w:p>
        </w:tc>
        <w:tc>
          <w:tcPr>
            <w:tcW w:w="1002" w:type="pct"/>
            <w:vAlign w:val="center"/>
          </w:tcPr>
          <w:p w14:paraId="65521973">
            <w:pPr>
              <w:pStyle w:val="50"/>
              <w:jc w:val="center"/>
              <w:rPr>
                <w:rFonts w:hint="eastAsia" w:ascii="宋体" w:hAnsi="宋体" w:eastAsia="宋体" w:cs="宋体"/>
                <w:color w:val="auto"/>
                <w:sz w:val="21"/>
                <w:szCs w:val="21"/>
                <w:highlight w:val="none"/>
              </w:rPr>
            </w:pPr>
          </w:p>
        </w:tc>
        <w:tc>
          <w:tcPr>
            <w:tcW w:w="1090" w:type="pct"/>
            <w:vAlign w:val="center"/>
          </w:tcPr>
          <w:p w14:paraId="505486BC">
            <w:pPr>
              <w:pStyle w:val="50"/>
              <w:jc w:val="center"/>
              <w:rPr>
                <w:rFonts w:hint="eastAsia" w:ascii="宋体" w:hAnsi="宋体" w:eastAsia="宋体" w:cs="宋体"/>
                <w:color w:val="auto"/>
                <w:sz w:val="21"/>
                <w:szCs w:val="21"/>
                <w:highlight w:val="none"/>
              </w:rPr>
            </w:pPr>
          </w:p>
        </w:tc>
        <w:tc>
          <w:tcPr>
            <w:tcW w:w="1090" w:type="pct"/>
            <w:vAlign w:val="center"/>
          </w:tcPr>
          <w:p w14:paraId="40E41834">
            <w:pPr>
              <w:pStyle w:val="50"/>
              <w:jc w:val="center"/>
              <w:rPr>
                <w:rFonts w:hint="eastAsia" w:ascii="宋体" w:hAnsi="宋体" w:eastAsia="宋体" w:cs="宋体"/>
                <w:color w:val="auto"/>
                <w:sz w:val="21"/>
                <w:szCs w:val="21"/>
                <w:highlight w:val="none"/>
              </w:rPr>
            </w:pPr>
          </w:p>
        </w:tc>
      </w:tr>
      <w:tr w14:paraId="322EB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E27F183">
            <w:pPr>
              <w:pStyle w:val="50"/>
              <w:jc w:val="center"/>
              <w:rPr>
                <w:rFonts w:hint="eastAsia" w:ascii="宋体" w:hAnsi="宋体" w:eastAsia="宋体" w:cs="宋体"/>
                <w:color w:val="auto"/>
                <w:sz w:val="21"/>
                <w:szCs w:val="21"/>
                <w:highlight w:val="none"/>
              </w:rPr>
            </w:pPr>
          </w:p>
        </w:tc>
        <w:tc>
          <w:tcPr>
            <w:tcW w:w="1395" w:type="pct"/>
            <w:vAlign w:val="center"/>
          </w:tcPr>
          <w:p w14:paraId="199507E1">
            <w:pPr>
              <w:pStyle w:val="50"/>
              <w:jc w:val="center"/>
              <w:rPr>
                <w:rFonts w:hint="eastAsia" w:ascii="宋体" w:hAnsi="宋体" w:eastAsia="宋体" w:cs="宋体"/>
                <w:color w:val="auto"/>
                <w:sz w:val="21"/>
                <w:szCs w:val="21"/>
                <w:highlight w:val="none"/>
              </w:rPr>
            </w:pPr>
          </w:p>
        </w:tc>
        <w:tc>
          <w:tcPr>
            <w:tcW w:w="1002" w:type="pct"/>
            <w:vAlign w:val="center"/>
          </w:tcPr>
          <w:p w14:paraId="6691FD82">
            <w:pPr>
              <w:pStyle w:val="50"/>
              <w:jc w:val="center"/>
              <w:rPr>
                <w:rFonts w:hint="eastAsia" w:ascii="宋体" w:hAnsi="宋体" w:eastAsia="宋体" w:cs="宋体"/>
                <w:color w:val="auto"/>
                <w:sz w:val="21"/>
                <w:szCs w:val="21"/>
                <w:highlight w:val="none"/>
              </w:rPr>
            </w:pPr>
          </w:p>
        </w:tc>
        <w:tc>
          <w:tcPr>
            <w:tcW w:w="1090" w:type="pct"/>
            <w:vAlign w:val="center"/>
          </w:tcPr>
          <w:p w14:paraId="6E35002B">
            <w:pPr>
              <w:pStyle w:val="50"/>
              <w:jc w:val="center"/>
              <w:rPr>
                <w:rFonts w:hint="eastAsia" w:ascii="宋体" w:hAnsi="宋体" w:eastAsia="宋体" w:cs="宋体"/>
                <w:color w:val="auto"/>
                <w:sz w:val="21"/>
                <w:szCs w:val="21"/>
                <w:highlight w:val="none"/>
              </w:rPr>
            </w:pPr>
          </w:p>
        </w:tc>
        <w:tc>
          <w:tcPr>
            <w:tcW w:w="1090" w:type="pct"/>
            <w:vAlign w:val="center"/>
          </w:tcPr>
          <w:p w14:paraId="69818ED1">
            <w:pPr>
              <w:pStyle w:val="50"/>
              <w:jc w:val="center"/>
              <w:rPr>
                <w:rFonts w:hint="eastAsia" w:ascii="宋体" w:hAnsi="宋体" w:eastAsia="宋体" w:cs="宋体"/>
                <w:color w:val="auto"/>
                <w:sz w:val="21"/>
                <w:szCs w:val="21"/>
                <w:highlight w:val="none"/>
              </w:rPr>
            </w:pPr>
          </w:p>
        </w:tc>
      </w:tr>
      <w:tr w14:paraId="79F3B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0" w:type="pct"/>
            <w:vAlign w:val="center"/>
          </w:tcPr>
          <w:p w14:paraId="71E185D4">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395" w:type="pct"/>
            <w:vAlign w:val="center"/>
          </w:tcPr>
          <w:p w14:paraId="6324A49D">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vAlign w:val="center"/>
          </w:tcPr>
          <w:p w14:paraId="0EE83785">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7A24BB2D">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7CC08218">
            <w:pPr>
              <w:pStyle w:val="50"/>
              <w:jc w:val="center"/>
              <w:rPr>
                <w:rFonts w:hint="eastAsia" w:ascii="宋体" w:hAnsi="宋体" w:eastAsia="宋体" w:cs="宋体"/>
                <w:color w:val="auto"/>
                <w:sz w:val="21"/>
                <w:szCs w:val="21"/>
                <w:highlight w:val="none"/>
              </w:rPr>
            </w:pPr>
          </w:p>
        </w:tc>
      </w:tr>
    </w:tbl>
    <w:p w14:paraId="5516D2ED">
      <w:pPr>
        <w:ind w:firstLine="420" w:firstLineChars="200"/>
        <w:rPr>
          <w:rFonts w:hint="eastAsia" w:cs="仿宋_GB2312"/>
          <w:color w:val="auto"/>
          <w:sz w:val="21"/>
          <w:szCs w:val="21"/>
          <w:highlight w:val="none"/>
        </w:rPr>
      </w:pPr>
    </w:p>
    <w:p w14:paraId="79243E57">
      <w:pPr>
        <w:ind w:firstLine="420" w:firstLineChars="200"/>
        <w:rPr>
          <w:rFonts w:cs="仿宋_GB2312"/>
          <w:color w:val="auto"/>
          <w:szCs w:val="24"/>
          <w:highlight w:val="none"/>
        </w:rPr>
      </w:pPr>
      <w:r>
        <w:rPr>
          <w:rFonts w:hint="eastAsia" w:cs="仿宋_GB2312"/>
          <w:color w:val="auto"/>
          <w:sz w:val="21"/>
          <w:szCs w:val="21"/>
          <w:highlight w:val="none"/>
        </w:rPr>
        <w:t>注：投标人应按照招标文件“第三章 采购需求”</w:t>
      </w:r>
      <w:r>
        <w:rPr>
          <w:rFonts w:hint="eastAsia" w:cs="仿宋_GB2312"/>
          <w:color w:val="auto"/>
          <w:sz w:val="21"/>
          <w:szCs w:val="21"/>
          <w:highlight w:val="none"/>
          <w:lang w:val="en-US" w:eastAsia="zh-CN"/>
        </w:rPr>
        <w:t>中的商务要求</w:t>
      </w:r>
      <w:r>
        <w:rPr>
          <w:rFonts w:hint="eastAsia" w:cs="仿宋_GB2312"/>
          <w:color w:val="auto"/>
          <w:sz w:val="21"/>
          <w:szCs w:val="21"/>
          <w:highlight w:val="none"/>
        </w:rPr>
        <w:t>填写</w:t>
      </w:r>
      <w:r>
        <w:rPr>
          <w:rFonts w:hint="eastAsia" w:cs="仿宋_GB2312"/>
          <w:color w:val="auto"/>
          <w:sz w:val="21"/>
          <w:szCs w:val="21"/>
          <w:highlight w:val="none"/>
          <w:lang w:eastAsia="zh-CN"/>
        </w:rPr>
        <w:t>，</w:t>
      </w:r>
      <w:r>
        <w:rPr>
          <w:rFonts w:hint="eastAsia" w:cs="仿宋_GB2312"/>
          <w:color w:val="auto"/>
          <w:sz w:val="21"/>
          <w:szCs w:val="21"/>
          <w:highlight w:val="none"/>
          <w:lang w:val="en-US" w:eastAsia="zh-CN"/>
        </w:rPr>
        <w:t>“响应/偏离”应据实填写“响应”、“正偏离”或“负偏离”</w:t>
      </w:r>
      <w:r>
        <w:rPr>
          <w:rFonts w:hint="eastAsia" w:cs="仿宋_GB2312"/>
          <w:color w:val="auto"/>
          <w:sz w:val="21"/>
          <w:szCs w:val="21"/>
          <w:highlight w:val="none"/>
        </w:rPr>
        <w:t>。</w:t>
      </w:r>
    </w:p>
    <w:p w14:paraId="1A3EAC71">
      <w:pPr>
        <w:rPr>
          <w:rFonts w:cs="仿宋_GB2312"/>
          <w:color w:val="auto"/>
          <w:szCs w:val="24"/>
          <w:highlight w:val="none"/>
        </w:rPr>
      </w:pPr>
    </w:p>
    <w:p w14:paraId="5CB06622">
      <w:pPr>
        <w:ind w:firstLine="400" w:firstLineChars="200"/>
        <w:rPr>
          <w:rFonts w:cs="仿宋_GB2312"/>
          <w:color w:val="auto"/>
          <w:szCs w:val="24"/>
          <w:highlight w:val="none"/>
        </w:rPr>
      </w:pPr>
    </w:p>
    <w:p w14:paraId="2E8083B6">
      <w:pPr>
        <w:ind w:firstLine="40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r>
        <w:rPr>
          <w:rFonts w:cs="仿宋_GB2312"/>
          <w:color w:val="auto"/>
          <w:szCs w:val="24"/>
          <w:highlight w:val="none"/>
        </w:rPr>
        <w:t xml:space="preserve"> </w:t>
      </w:r>
    </w:p>
    <w:p w14:paraId="77655944">
      <w:pPr>
        <w:ind w:firstLine="420"/>
        <w:rPr>
          <w:rFonts w:cs="仿宋_GB2312"/>
          <w:color w:val="auto"/>
          <w:szCs w:val="24"/>
          <w:highlight w:val="none"/>
        </w:rPr>
      </w:pPr>
      <w:r>
        <w:rPr>
          <w:rFonts w:hint="eastAsia" w:cs="仿宋_GB2312"/>
          <w:color w:val="auto"/>
          <w:szCs w:val="24"/>
          <w:highlight w:val="none"/>
        </w:rPr>
        <w:t>日      期：</w:t>
      </w:r>
    </w:p>
    <w:p w14:paraId="598C43A6">
      <w:pPr>
        <w:ind w:firstLine="420"/>
        <w:rPr>
          <w:rFonts w:cs="仿宋_GB2312"/>
          <w:color w:val="auto"/>
          <w:szCs w:val="24"/>
          <w:highlight w:val="none"/>
        </w:rPr>
      </w:pPr>
      <w:r>
        <w:rPr>
          <w:rFonts w:cs="仿宋_GB2312"/>
          <w:color w:val="auto"/>
          <w:szCs w:val="24"/>
          <w:highlight w:val="none"/>
        </w:rPr>
        <w:br w:type="page"/>
      </w:r>
    </w:p>
    <w:p w14:paraId="3BEF2EC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eastAsia="宋体" w:asciiTheme="majorHAnsi" w:hAnsiTheme="majorHAnsi" w:cstheme="majorBidi"/>
          <w:b/>
          <w:bCs/>
          <w:color w:val="auto"/>
          <w:kern w:val="2"/>
          <w:sz w:val="28"/>
          <w:szCs w:val="28"/>
          <w:highlight w:val="none"/>
          <w:lang w:val="en-US" w:eastAsia="zh-CN" w:bidi="ar-SA"/>
        </w:rPr>
      </w:pPr>
    </w:p>
    <w:p w14:paraId="287724FC">
      <w:pPr>
        <w:pStyle w:val="4"/>
        <w:bidi w:val="0"/>
        <w:jc w:val="center"/>
        <w:rPr>
          <w:rFonts w:hint="eastAsia"/>
          <w:highlight w:val="none"/>
          <w:lang w:val="en-US" w:eastAsia="zh-CN"/>
        </w:rPr>
      </w:pPr>
      <w:bookmarkStart w:id="737" w:name="_Toc22033"/>
      <w:r>
        <w:rPr>
          <w:rFonts w:hint="eastAsia"/>
          <w:highlight w:val="none"/>
          <w:lang w:val="en-US" w:eastAsia="zh-CN"/>
        </w:rPr>
        <w:t>七、业绩证明文件</w:t>
      </w:r>
      <w:bookmarkEnd w:id="737"/>
    </w:p>
    <w:p w14:paraId="4541380C">
      <w:pPr>
        <w:rPr>
          <w:rFonts w:cs="仿宋_GB2312"/>
          <w:color w:val="auto"/>
          <w:szCs w:val="24"/>
          <w:highlight w:val="none"/>
        </w:rPr>
      </w:pPr>
      <w:r>
        <w:rPr>
          <w:rFonts w:cs="Arial"/>
          <w:bCs/>
          <w:color w:val="auto"/>
          <w:szCs w:val="21"/>
          <w:highlight w:val="none"/>
        </w:rPr>
        <w:fldChar w:fldCharType="begin"/>
      </w:r>
      <w:r>
        <w:rPr>
          <w:rFonts w:cs="Arial"/>
          <w:bCs/>
          <w:color w:val="auto"/>
          <w:szCs w:val="21"/>
          <w:highlight w:val="none"/>
        </w:rPr>
        <w:instrText xml:space="preserve"> LINK Word.Document.8 "D:\\音乐厅\\4通用设备\\招标文件\\音乐厅空调设备招标文件v1.0.doc" "OLE_LINK8" \r  \* MERGEFORMAT </w:instrText>
      </w:r>
      <w:r>
        <w:rPr>
          <w:rFonts w:cs="Arial"/>
          <w:bCs/>
          <w:color w:val="auto"/>
          <w:szCs w:val="21"/>
          <w:highlight w:val="none"/>
        </w:rPr>
        <w:fldChar w:fldCharType="separate"/>
      </w:r>
      <w:r>
        <w:rPr>
          <w:rFonts w:hint="eastAsia" w:cs="仿宋_GB2312"/>
          <w:color w:val="auto"/>
          <w:szCs w:val="24"/>
          <w:highlight w:val="none"/>
        </w:rPr>
        <w:t xml:space="preserve">项目名称：                                         </w:t>
      </w:r>
    </w:p>
    <w:p w14:paraId="159B24BA">
      <w:pPr>
        <w:rPr>
          <w:rFonts w:cs="Arial"/>
          <w:bCs/>
          <w:color w:val="auto"/>
          <w:szCs w:val="21"/>
          <w:highlight w:val="none"/>
        </w:rPr>
      </w:pPr>
      <w:r>
        <w:rPr>
          <w:rFonts w:hint="eastAsia" w:cs="仿宋_GB2312"/>
          <w:color w:val="auto"/>
          <w:szCs w:val="24"/>
          <w:highlight w:val="none"/>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cs="仿宋_GB2312"/>
          <w:color w:val="auto"/>
          <w:szCs w:val="24"/>
          <w:highlight w:val="none"/>
        </w:rPr>
        <w:t xml:space="preserve">：      </w:t>
      </w:r>
      <w:r>
        <w:rPr>
          <w:rFonts w:cs="Arial"/>
          <w:bCs/>
          <w:color w:val="auto"/>
          <w:szCs w:val="21"/>
          <w:highlight w:val="none"/>
        </w:rPr>
        <w:fldChar w:fldCharType="end"/>
      </w:r>
    </w:p>
    <w:tbl>
      <w:tblPr>
        <w:tblStyle w:val="31"/>
        <w:tblW w:w="8988"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080"/>
        <w:gridCol w:w="1248"/>
        <w:gridCol w:w="1129"/>
        <w:gridCol w:w="1283"/>
        <w:gridCol w:w="1368"/>
        <w:gridCol w:w="960"/>
        <w:gridCol w:w="1176"/>
      </w:tblGrid>
      <w:tr w14:paraId="387D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E9572F9">
            <w:pPr>
              <w:jc w:val="center"/>
              <w:rPr>
                <w:rFonts w:hint="eastAsia" w:ascii="宋体" w:hAnsi="宋体" w:eastAsia="宋体" w:cs="宋体"/>
                <w:color w:val="auto"/>
                <w:sz w:val="21"/>
                <w:szCs w:val="21"/>
                <w:highlight w:val="none"/>
              </w:rPr>
            </w:pPr>
            <w:bookmarkStart w:id="738" w:name="_Hlk46779239"/>
            <w:r>
              <w:rPr>
                <w:rFonts w:hint="eastAsia" w:ascii="宋体" w:hAnsi="宋体" w:eastAsia="宋体" w:cs="宋体"/>
                <w:color w:val="auto"/>
                <w:sz w:val="21"/>
                <w:szCs w:val="21"/>
                <w:highlight w:val="none"/>
              </w:rPr>
              <w:t>序号</w:t>
            </w:r>
          </w:p>
        </w:tc>
        <w:tc>
          <w:tcPr>
            <w:tcW w:w="1080" w:type="dxa"/>
            <w:vAlign w:val="center"/>
          </w:tcPr>
          <w:p w14:paraId="51F55A40">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完成时间</w:t>
            </w:r>
          </w:p>
        </w:tc>
        <w:tc>
          <w:tcPr>
            <w:tcW w:w="1248" w:type="dxa"/>
            <w:vAlign w:val="center"/>
          </w:tcPr>
          <w:p w14:paraId="4D5C38D5">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1129" w:type="dxa"/>
            <w:vAlign w:val="center"/>
          </w:tcPr>
          <w:p w14:paraId="69717F2A">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标的</w:t>
            </w:r>
            <w:r>
              <w:rPr>
                <w:rFonts w:hint="eastAsia" w:ascii="宋体" w:hAnsi="宋体" w:eastAsia="宋体" w:cs="宋体"/>
                <w:color w:val="auto"/>
                <w:sz w:val="21"/>
                <w:szCs w:val="21"/>
                <w:highlight w:val="none"/>
              </w:rPr>
              <w:t>内容</w:t>
            </w:r>
          </w:p>
        </w:tc>
        <w:tc>
          <w:tcPr>
            <w:tcW w:w="1283" w:type="dxa"/>
            <w:vAlign w:val="center"/>
          </w:tcPr>
          <w:p w14:paraId="57C35070">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名称</w:t>
            </w:r>
          </w:p>
        </w:tc>
        <w:tc>
          <w:tcPr>
            <w:tcW w:w="1368" w:type="dxa"/>
            <w:vAlign w:val="center"/>
          </w:tcPr>
          <w:p w14:paraId="55D436A5">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中标（成交）金额</w:t>
            </w:r>
          </w:p>
        </w:tc>
        <w:tc>
          <w:tcPr>
            <w:tcW w:w="960" w:type="dxa"/>
            <w:vAlign w:val="center"/>
          </w:tcPr>
          <w:p w14:paraId="01352CB9">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p>
        </w:tc>
        <w:tc>
          <w:tcPr>
            <w:tcW w:w="1176" w:type="dxa"/>
            <w:vAlign w:val="center"/>
          </w:tcPr>
          <w:p w14:paraId="2DA424B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tc>
      </w:tr>
      <w:tr w14:paraId="2595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27508E81">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080" w:type="dxa"/>
            <w:vAlign w:val="center"/>
          </w:tcPr>
          <w:p w14:paraId="27562AF7">
            <w:pPr>
              <w:rPr>
                <w:rFonts w:hint="eastAsia" w:ascii="宋体" w:hAnsi="宋体" w:eastAsia="宋体" w:cs="宋体"/>
                <w:color w:val="auto"/>
                <w:sz w:val="21"/>
                <w:szCs w:val="21"/>
                <w:highlight w:val="none"/>
              </w:rPr>
            </w:pPr>
          </w:p>
        </w:tc>
        <w:tc>
          <w:tcPr>
            <w:tcW w:w="1248" w:type="dxa"/>
            <w:vAlign w:val="center"/>
          </w:tcPr>
          <w:p w14:paraId="02799269">
            <w:pPr>
              <w:rPr>
                <w:rFonts w:hint="eastAsia" w:ascii="宋体" w:hAnsi="宋体" w:eastAsia="宋体" w:cs="宋体"/>
                <w:color w:val="auto"/>
                <w:sz w:val="21"/>
                <w:szCs w:val="21"/>
                <w:highlight w:val="none"/>
              </w:rPr>
            </w:pPr>
          </w:p>
        </w:tc>
        <w:tc>
          <w:tcPr>
            <w:tcW w:w="1129" w:type="dxa"/>
            <w:vAlign w:val="center"/>
          </w:tcPr>
          <w:p w14:paraId="6449ADDF">
            <w:pPr>
              <w:rPr>
                <w:rFonts w:hint="eastAsia" w:ascii="宋体" w:hAnsi="宋体" w:eastAsia="宋体" w:cs="宋体"/>
                <w:color w:val="auto"/>
                <w:sz w:val="21"/>
                <w:szCs w:val="21"/>
                <w:highlight w:val="none"/>
              </w:rPr>
            </w:pPr>
          </w:p>
        </w:tc>
        <w:tc>
          <w:tcPr>
            <w:tcW w:w="1283" w:type="dxa"/>
            <w:vAlign w:val="center"/>
          </w:tcPr>
          <w:p w14:paraId="183C0714">
            <w:pPr>
              <w:rPr>
                <w:rFonts w:hint="eastAsia" w:ascii="宋体" w:hAnsi="宋体" w:eastAsia="宋体" w:cs="宋体"/>
                <w:color w:val="auto"/>
                <w:sz w:val="21"/>
                <w:szCs w:val="21"/>
                <w:highlight w:val="none"/>
              </w:rPr>
            </w:pPr>
          </w:p>
        </w:tc>
        <w:tc>
          <w:tcPr>
            <w:tcW w:w="1368" w:type="dxa"/>
            <w:vAlign w:val="center"/>
          </w:tcPr>
          <w:p w14:paraId="4F169081">
            <w:pPr>
              <w:rPr>
                <w:rFonts w:hint="eastAsia" w:ascii="宋体" w:hAnsi="宋体" w:eastAsia="宋体" w:cs="宋体"/>
                <w:color w:val="auto"/>
                <w:sz w:val="21"/>
                <w:szCs w:val="21"/>
                <w:highlight w:val="none"/>
              </w:rPr>
            </w:pPr>
          </w:p>
        </w:tc>
        <w:tc>
          <w:tcPr>
            <w:tcW w:w="960" w:type="dxa"/>
            <w:vAlign w:val="center"/>
          </w:tcPr>
          <w:p w14:paraId="4A8D26BB">
            <w:pPr>
              <w:rPr>
                <w:rFonts w:hint="eastAsia" w:ascii="宋体" w:hAnsi="宋体" w:eastAsia="宋体" w:cs="宋体"/>
                <w:color w:val="auto"/>
                <w:sz w:val="21"/>
                <w:szCs w:val="21"/>
                <w:highlight w:val="none"/>
              </w:rPr>
            </w:pPr>
          </w:p>
        </w:tc>
        <w:tc>
          <w:tcPr>
            <w:tcW w:w="1176" w:type="dxa"/>
            <w:vAlign w:val="center"/>
          </w:tcPr>
          <w:p w14:paraId="09D0936A">
            <w:pPr>
              <w:rPr>
                <w:rFonts w:hint="eastAsia" w:ascii="宋体" w:hAnsi="宋体" w:eastAsia="宋体" w:cs="宋体"/>
                <w:color w:val="auto"/>
                <w:sz w:val="21"/>
                <w:szCs w:val="21"/>
                <w:highlight w:val="none"/>
              </w:rPr>
            </w:pPr>
          </w:p>
        </w:tc>
      </w:tr>
      <w:tr w14:paraId="79366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A21BB39">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080" w:type="dxa"/>
            <w:vAlign w:val="center"/>
          </w:tcPr>
          <w:p w14:paraId="7CA4B3F3">
            <w:pPr>
              <w:rPr>
                <w:rFonts w:hint="eastAsia" w:ascii="宋体" w:hAnsi="宋体" w:eastAsia="宋体" w:cs="宋体"/>
                <w:color w:val="auto"/>
                <w:sz w:val="21"/>
                <w:szCs w:val="21"/>
                <w:highlight w:val="none"/>
              </w:rPr>
            </w:pPr>
          </w:p>
        </w:tc>
        <w:tc>
          <w:tcPr>
            <w:tcW w:w="1248" w:type="dxa"/>
            <w:vAlign w:val="center"/>
          </w:tcPr>
          <w:p w14:paraId="59CCECB1">
            <w:pPr>
              <w:rPr>
                <w:rFonts w:hint="eastAsia" w:ascii="宋体" w:hAnsi="宋体" w:eastAsia="宋体" w:cs="宋体"/>
                <w:color w:val="auto"/>
                <w:sz w:val="21"/>
                <w:szCs w:val="21"/>
                <w:highlight w:val="none"/>
              </w:rPr>
            </w:pPr>
          </w:p>
        </w:tc>
        <w:tc>
          <w:tcPr>
            <w:tcW w:w="1129" w:type="dxa"/>
            <w:vAlign w:val="center"/>
          </w:tcPr>
          <w:p w14:paraId="4E8043C4">
            <w:pPr>
              <w:rPr>
                <w:rFonts w:hint="eastAsia" w:ascii="宋体" w:hAnsi="宋体" w:eastAsia="宋体" w:cs="宋体"/>
                <w:color w:val="auto"/>
                <w:sz w:val="21"/>
                <w:szCs w:val="21"/>
                <w:highlight w:val="none"/>
              </w:rPr>
            </w:pPr>
          </w:p>
        </w:tc>
        <w:tc>
          <w:tcPr>
            <w:tcW w:w="1283" w:type="dxa"/>
            <w:vAlign w:val="center"/>
          </w:tcPr>
          <w:p w14:paraId="2E195778">
            <w:pPr>
              <w:rPr>
                <w:rFonts w:hint="eastAsia" w:ascii="宋体" w:hAnsi="宋体" w:eastAsia="宋体" w:cs="宋体"/>
                <w:color w:val="auto"/>
                <w:sz w:val="21"/>
                <w:szCs w:val="21"/>
                <w:highlight w:val="none"/>
              </w:rPr>
            </w:pPr>
          </w:p>
        </w:tc>
        <w:tc>
          <w:tcPr>
            <w:tcW w:w="1368" w:type="dxa"/>
            <w:vAlign w:val="center"/>
          </w:tcPr>
          <w:p w14:paraId="49A8CC13">
            <w:pPr>
              <w:rPr>
                <w:rFonts w:hint="eastAsia" w:ascii="宋体" w:hAnsi="宋体" w:eastAsia="宋体" w:cs="宋体"/>
                <w:color w:val="auto"/>
                <w:sz w:val="21"/>
                <w:szCs w:val="21"/>
                <w:highlight w:val="none"/>
              </w:rPr>
            </w:pPr>
          </w:p>
        </w:tc>
        <w:tc>
          <w:tcPr>
            <w:tcW w:w="960" w:type="dxa"/>
            <w:vAlign w:val="center"/>
          </w:tcPr>
          <w:p w14:paraId="3DDF15B1">
            <w:pPr>
              <w:rPr>
                <w:rFonts w:hint="eastAsia" w:ascii="宋体" w:hAnsi="宋体" w:eastAsia="宋体" w:cs="宋体"/>
                <w:color w:val="auto"/>
                <w:sz w:val="21"/>
                <w:szCs w:val="21"/>
                <w:highlight w:val="none"/>
              </w:rPr>
            </w:pPr>
          </w:p>
        </w:tc>
        <w:tc>
          <w:tcPr>
            <w:tcW w:w="1176" w:type="dxa"/>
            <w:vAlign w:val="center"/>
          </w:tcPr>
          <w:p w14:paraId="185645D3">
            <w:pPr>
              <w:rPr>
                <w:rFonts w:hint="eastAsia" w:ascii="宋体" w:hAnsi="宋体" w:eastAsia="宋体" w:cs="宋体"/>
                <w:color w:val="auto"/>
                <w:sz w:val="21"/>
                <w:szCs w:val="21"/>
                <w:highlight w:val="none"/>
              </w:rPr>
            </w:pPr>
          </w:p>
        </w:tc>
      </w:tr>
      <w:tr w14:paraId="624A4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428D324">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080" w:type="dxa"/>
            <w:vAlign w:val="center"/>
          </w:tcPr>
          <w:p w14:paraId="46AEF6AC">
            <w:pPr>
              <w:rPr>
                <w:rFonts w:hint="eastAsia" w:ascii="宋体" w:hAnsi="宋体" w:eastAsia="宋体" w:cs="宋体"/>
                <w:color w:val="auto"/>
                <w:sz w:val="21"/>
                <w:szCs w:val="21"/>
                <w:highlight w:val="none"/>
              </w:rPr>
            </w:pPr>
          </w:p>
        </w:tc>
        <w:tc>
          <w:tcPr>
            <w:tcW w:w="1248" w:type="dxa"/>
            <w:vAlign w:val="center"/>
          </w:tcPr>
          <w:p w14:paraId="601B0208">
            <w:pPr>
              <w:rPr>
                <w:rFonts w:hint="eastAsia" w:ascii="宋体" w:hAnsi="宋体" w:eastAsia="宋体" w:cs="宋体"/>
                <w:color w:val="auto"/>
                <w:sz w:val="21"/>
                <w:szCs w:val="21"/>
                <w:highlight w:val="none"/>
              </w:rPr>
            </w:pPr>
          </w:p>
        </w:tc>
        <w:tc>
          <w:tcPr>
            <w:tcW w:w="1129" w:type="dxa"/>
            <w:vAlign w:val="center"/>
          </w:tcPr>
          <w:p w14:paraId="56885EE6">
            <w:pPr>
              <w:rPr>
                <w:rFonts w:hint="eastAsia" w:ascii="宋体" w:hAnsi="宋体" w:eastAsia="宋体" w:cs="宋体"/>
                <w:color w:val="auto"/>
                <w:sz w:val="21"/>
                <w:szCs w:val="21"/>
                <w:highlight w:val="none"/>
              </w:rPr>
            </w:pPr>
          </w:p>
        </w:tc>
        <w:tc>
          <w:tcPr>
            <w:tcW w:w="1283" w:type="dxa"/>
            <w:vAlign w:val="center"/>
          </w:tcPr>
          <w:p w14:paraId="00552B19">
            <w:pPr>
              <w:rPr>
                <w:rFonts w:hint="eastAsia" w:ascii="宋体" w:hAnsi="宋体" w:eastAsia="宋体" w:cs="宋体"/>
                <w:color w:val="auto"/>
                <w:sz w:val="21"/>
                <w:szCs w:val="21"/>
                <w:highlight w:val="none"/>
              </w:rPr>
            </w:pPr>
          </w:p>
        </w:tc>
        <w:tc>
          <w:tcPr>
            <w:tcW w:w="1368" w:type="dxa"/>
            <w:vAlign w:val="center"/>
          </w:tcPr>
          <w:p w14:paraId="77BC6128">
            <w:pPr>
              <w:rPr>
                <w:rFonts w:hint="eastAsia" w:ascii="宋体" w:hAnsi="宋体" w:eastAsia="宋体" w:cs="宋体"/>
                <w:color w:val="auto"/>
                <w:sz w:val="21"/>
                <w:szCs w:val="21"/>
                <w:highlight w:val="none"/>
              </w:rPr>
            </w:pPr>
          </w:p>
        </w:tc>
        <w:tc>
          <w:tcPr>
            <w:tcW w:w="960" w:type="dxa"/>
            <w:vAlign w:val="center"/>
          </w:tcPr>
          <w:p w14:paraId="38FE3D5D">
            <w:pPr>
              <w:rPr>
                <w:rFonts w:hint="eastAsia" w:ascii="宋体" w:hAnsi="宋体" w:eastAsia="宋体" w:cs="宋体"/>
                <w:color w:val="auto"/>
                <w:sz w:val="21"/>
                <w:szCs w:val="21"/>
                <w:highlight w:val="none"/>
              </w:rPr>
            </w:pPr>
          </w:p>
        </w:tc>
        <w:tc>
          <w:tcPr>
            <w:tcW w:w="1176" w:type="dxa"/>
            <w:vAlign w:val="center"/>
          </w:tcPr>
          <w:p w14:paraId="20173386">
            <w:pPr>
              <w:rPr>
                <w:rFonts w:hint="eastAsia" w:ascii="宋体" w:hAnsi="宋体" w:eastAsia="宋体" w:cs="宋体"/>
                <w:color w:val="auto"/>
                <w:sz w:val="21"/>
                <w:szCs w:val="21"/>
                <w:highlight w:val="none"/>
              </w:rPr>
            </w:pPr>
          </w:p>
        </w:tc>
      </w:tr>
      <w:tr w14:paraId="45C01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7D259137">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080" w:type="dxa"/>
            <w:vAlign w:val="center"/>
          </w:tcPr>
          <w:p w14:paraId="12629B54">
            <w:pPr>
              <w:rPr>
                <w:rFonts w:hint="eastAsia" w:ascii="宋体" w:hAnsi="宋体" w:eastAsia="宋体" w:cs="宋体"/>
                <w:color w:val="auto"/>
                <w:sz w:val="21"/>
                <w:szCs w:val="21"/>
                <w:highlight w:val="none"/>
              </w:rPr>
            </w:pPr>
          </w:p>
        </w:tc>
        <w:tc>
          <w:tcPr>
            <w:tcW w:w="1248" w:type="dxa"/>
            <w:vAlign w:val="center"/>
          </w:tcPr>
          <w:p w14:paraId="278EE304">
            <w:pPr>
              <w:rPr>
                <w:rFonts w:hint="eastAsia" w:ascii="宋体" w:hAnsi="宋体" w:eastAsia="宋体" w:cs="宋体"/>
                <w:color w:val="auto"/>
                <w:sz w:val="21"/>
                <w:szCs w:val="21"/>
                <w:highlight w:val="none"/>
              </w:rPr>
            </w:pPr>
          </w:p>
        </w:tc>
        <w:tc>
          <w:tcPr>
            <w:tcW w:w="1129" w:type="dxa"/>
            <w:vAlign w:val="center"/>
          </w:tcPr>
          <w:p w14:paraId="502FE2B6">
            <w:pPr>
              <w:rPr>
                <w:rFonts w:hint="eastAsia" w:ascii="宋体" w:hAnsi="宋体" w:eastAsia="宋体" w:cs="宋体"/>
                <w:color w:val="auto"/>
                <w:sz w:val="21"/>
                <w:szCs w:val="21"/>
                <w:highlight w:val="none"/>
              </w:rPr>
            </w:pPr>
          </w:p>
        </w:tc>
        <w:tc>
          <w:tcPr>
            <w:tcW w:w="1283" w:type="dxa"/>
            <w:vAlign w:val="center"/>
          </w:tcPr>
          <w:p w14:paraId="44F7BE63">
            <w:pPr>
              <w:rPr>
                <w:rFonts w:hint="eastAsia" w:ascii="宋体" w:hAnsi="宋体" w:eastAsia="宋体" w:cs="宋体"/>
                <w:color w:val="auto"/>
                <w:sz w:val="21"/>
                <w:szCs w:val="21"/>
                <w:highlight w:val="none"/>
              </w:rPr>
            </w:pPr>
          </w:p>
        </w:tc>
        <w:tc>
          <w:tcPr>
            <w:tcW w:w="1368" w:type="dxa"/>
            <w:vAlign w:val="center"/>
          </w:tcPr>
          <w:p w14:paraId="463BDC1B">
            <w:pPr>
              <w:rPr>
                <w:rFonts w:hint="eastAsia" w:ascii="宋体" w:hAnsi="宋体" w:eastAsia="宋体" w:cs="宋体"/>
                <w:color w:val="auto"/>
                <w:sz w:val="21"/>
                <w:szCs w:val="21"/>
                <w:highlight w:val="none"/>
              </w:rPr>
            </w:pPr>
          </w:p>
        </w:tc>
        <w:tc>
          <w:tcPr>
            <w:tcW w:w="960" w:type="dxa"/>
            <w:vAlign w:val="center"/>
          </w:tcPr>
          <w:p w14:paraId="5208210B">
            <w:pPr>
              <w:rPr>
                <w:rFonts w:hint="eastAsia" w:ascii="宋体" w:hAnsi="宋体" w:eastAsia="宋体" w:cs="宋体"/>
                <w:color w:val="auto"/>
                <w:sz w:val="21"/>
                <w:szCs w:val="21"/>
                <w:highlight w:val="none"/>
              </w:rPr>
            </w:pPr>
          </w:p>
        </w:tc>
        <w:tc>
          <w:tcPr>
            <w:tcW w:w="1176" w:type="dxa"/>
            <w:vAlign w:val="center"/>
          </w:tcPr>
          <w:p w14:paraId="7EC41624">
            <w:pPr>
              <w:rPr>
                <w:rFonts w:hint="eastAsia" w:ascii="宋体" w:hAnsi="宋体" w:eastAsia="宋体" w:cs="宋体"/>
                <w:color w:val="auto"/>
                <w:sz w:val="21"/>
                <w:szCs w:val="21"/>
                <w:highlight w:val="none"/>
              </w:rPr>
            </w:pPr>
          </w:p>
        </w:tc>
      </w:tr>
      <w:tr w14:paraId="6F11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1FCCAE38">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080" w:type="dxa"/>
            <w:vAlign w:val="center"/>
          </w:tcPr>
          <w:p w14:paraId="1728B663">
            <w:pPr>
              <w:rPr>
                <w:rFonts w:hint="eastAsia" w:ascii="宋体" w:hAnsi="宋体" w:eastAsia="宋体" w:cs="宋体"/>
                <w:color w:val="auto"/>
                <w:sz w:val="21"/>
                <w:szCs w:val="21"/>
                <w:highlight w:val="none"/>
              </w:rPr>
            </w:pPr>
          </w:p>
        </w:tc>
        <w:tc>
          <w:tcPr>
            <w:tcW w:w="1248" w:type="dxa"/>
            <w:vAlign w:val="center"/>
          </w:tcPr>
          <w:p w14:paraId="5B701B38">
            <w:pPr>
              <w:rPr>
                <w:rFonts w:hint="eastAsia" w:ascii="宋体" w:hAnsi="宋体" w:eastAsia="宋体" w:cs="宋体"/>
                <w:color w:val="auto"/>
                <w:sz w:val="21"/>
                <w:szCs w:val="21"/>
                <w:highlight w:val="none"/>
              </w:rPr>
            </w:pPr>
          </w:p>
        </w:tc>
        <w:tc>
          <w:tcPr>
            <w:tcW w:w="1129" w:type="dxa"/>
            <w:vAlign w:val="center"/>
          </w:tcPr>
          <w:p w14:paraId="0BFD5658">
            <w:pPr>
              <w:rPr>
                <w:rFonts w:hint="eastAsia" w:ascii="宋体" w:hAnsi="宋体" w:eastAsia="宋体" w:cs="宋体"/>
                <w:color w:val="auto"/>
                <w:sz w:val="21"/>
                <w:szCs w:val="21"/>
                <w:highlight w:val="none"/>
              </w:rPr>
            </w:pPr>
          </w:p>
        </w:tc>
        <w:tc>
          <w:tcPr>
            <w:tcW w:w="1283" w:type="dxa"/>
            <w:vAlign w:val="center"/>
          </w:tcPr>
          <w:p w14:paraId="56955758">
            <w:pPr>
              <w:rPr>
                <w:rFonts w:hint="eastAsia" w:ascii="宋体" w:hAnsi="宋体" w:eastAsia="宋体" w:cs="宋体"/>
                <w:color w:val="auto"/>
                <w:sz w:val="21"/>
                <w:szCs w:val="21"/>
                <w:highlight w:val="none"/>
              </w:rPr>
            </w:pPr>
          </w:p>
        </w:tc>
        <w:tc>
          <w:tcPr>
            <w:tcW w:w="1368" w:type="dxa"/>
            <w:vAlign w:val="center"/>
          </w:tcPr>
          <w:p w14:paraId="6AF4F252">
            <w:pPr>
              <w:rPr>
                <w:rFonts w:hint="eastAsia" w:ascii="宋体" w:hAnsi="宋体" w:eastAsia="宋体" w:cs="宋体"/>
                <w:color w:val="auto"/>
                <w:sz w:val="21"/>
                <w:szCs w:val="21"/>
                <w:highlight w:val="none"/>
              </w:rPr>
            </w:pPr>
          </w:p>
        </w:tc>
        <w:tc>
          <w:tcPr>
            <w:tcW w:w="960" w:type="dxa"/>
            <w:vAlign w:val="center"/>
          </w:tcPr>
          <w:p w14:paraId="0E461DD3">
            <w:pPr>
              <w:rPr>
                <w:rFonts w:hint="eastAsia" w:ascii="宋体" w:hAnsi="宋体" w:eastAsia="宋体" w:cs="宋体"/>
                <w:color w:val="auto"/>
                <w:sz w:val="21"/>
                <w:szCs w:val="21"/>
                <w:highlight w:val="none"/>
              </w:rPr>
            </w:pPr>
          </w:p>
        </w:tc>
        <w:tc>
          <w:tcPr>
            <w:tcW w:w="1176" w:type="dxa"/>
            <w:vAlign w:val="center"/>
          </w:tcPr>
          <w:p w14:paraId="5804A0BF">
            <w:pPr>
              <w:rPr>
                <w:rFonts w:hint="eastAsia" w:ascii="宋体" w:hAnsi="宋体" w:eastAsia="宋体" w:cs="宋体"/>
                <w:color w:val="auto"/>
                <w:sz w:val="21"/>
                <w:szCs w:val="21"/>
                <w:highlight w:val="none"/>
              </w:rPr>
            </w:pPr>
          </w:p>
        </w:tc>
      </w:tr>
      <w:tr w14:paraId="3BC2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44" w:type="dxa"/>
            <w:vAlign w:val="center"/>
          </w:tcPr>
          <w:p w14:paraId="433A34E7">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0" w:type="dxa"/>
            <w:vAlign w:val="center"/>
          </w:tcPr>
          <w:p w14:paraId="5D94CAA1">
            <w:pPr>
              <w:rPr>
                <w:rFonts w:hint="eastAsia" w:ascii="宋体" w:hAnsi="宋体" w:eastAsia="宋体" w:cs="宋体"/>
                <w:color w:val="auto"/>
                <w:sz w:val="21"/>
                <w:szCs w:val="21"/>
                <w:highlight w:val="none"/>
              </w:rPr>
            </w:pPr>
          </w:p>
        </w:tc>
        <w:tc>
          <w:tcPr>
            <w:tcW w:w="1248" w:type="dxa"/>
            <w:vAlign w:val="center"/>
          </w:tcPr>
          <w:p w14:paraId="48AC7386">
            <w:pPr>
              <w:rPr>
                <w:rFonts w:hint="eastAsia" w:ascii="宋体" w:hAnsi="宋体" w:eastAsia="宋体" w:cs="宋体"/>
                <w:color w:val="auto"/>
                <w:sz w:val="21"/>
                <w:szCs w:val="21"/>
                <w:highlight w:val="none"/>
              </w:rPr>
            </w:pPr>
          </w:p>
        </w:tc>
        <w:tc>
          <w:tcPr>
            <w:tcW w:w="1129" w:type="dxa"/>
            <w:vAlign w:val="center"/>
          </w:tcPr>
          <w:p w14:paraId="20172F35">
            <w:pPr>
              <w:rPr>
                <w:rFonts w:hint="eastAsia" w:ascii="宋体" w:hAnsi="宋体" w:eastAsia="宋体" w:cs="宋体"/>
                <w:color w:val="auto"/>
                <w:sz w:val="21"/>
                <w:szCs w:val="21"/>
                <w:highlight w:val="none"/>
              </w:rPr>
            </w:pPr>
          </w:p>
        </w:tc>
        <w:tc>
          <w:tcPr>
            <w:tcW w:w="1283" w:type="dxa"/>
            <w:vAlign w:val="center"/>
          </w:tcPr>
          <w:p w14:paraId="75CF74D1">
            <w:pPr>
              <w:rPr>
                <w:rFonts w:hint="eastAsia" w:ascii="宋体" w:hAnsi="宋体" w:eastAsia="宋体" w:cs="宋体"/>
                <w:color w:val="auto"/>
                <w:sz w:val="21"/>
                <w:szCs w:val="21"/>
                <w:highlight w:val="none"/>
              </w:rPr>
            </w:pPr>
          </w:p>
        </w:tc>
        <w:tc>
          <w:tcPr>
            <w:tcW w:w="1368" w:type="dxa"/>
            <w:vAlign w:val="center"/>
          </w:tcPr>
          <w:p w14:paraId="52CF4BF0">
            <w:pPr>
              <w:rPr>
                <w:rFonts w:hint="eastAsia" w:ascii="宋体" w:hAnsi="宋体" w:eastAsia="宋体" w:cs="宋体"/>
                <w:color w:val="auto"/>
                <w:sz w:val="21"/>
                <w:szCs w:val="21"/>
                <w:highlight w:val="none"/>
              </w:rPr>
            </w:pPr>
          </w:p>
        </w:tc>
        <w:tc>
          <w:tcPr>
            <w:tcW w:w="960" w:type="dxa"/>
            <w:vAlign w:val="center"/>
          </w:tcPr>
          <w:p w14:paraId="4A3F6BEC">
            <w:pPr>
              <w:rPr>
                <w:rFonts w:hint="eastAsia" w:ascii="宋体" w:hAnsi="宋体" w:eastAsia="宋体" w:cs="宋体"/>
                <w:color w:val="auto"/>
                <w:sz w:val="21"/>
                <w:szCs w:val="21"/>
                <w:highlight w:val="none"/>
              </w:rPr>
            </w:pPr>
          </w:p>
        </w:tc>
        <w:tc>
          <w:tcPr>
            <w:tcW w:w="1176" w:type="dxa"/>
            <w:vAlign w:val="center"/>
          </w:tcPr>
          <w:p w14:paraId="52BCFD5F">
            <w:pPr>
              <w:rPr>
                <w:rFonts w:hint="eastAsia" w:ascii="宋体" w:hAnsi="宋体" w:eastAsia="宋体" w:cs="宋体"/>
                <w:color w:val="auto"/>
                <w:sz w:val="21"/>
                <w:szCs w:val="21"/>
                <w:highlight w:val="none"/>
              </w:rPr>
            </w:pPr>
          </w:p>
        </w:tc>
      </w:tr>
      <w:bookmarkEnd w:id="738"/>
    </w:tbl>
    <w:p w14:paraId="0D2F5038">
      <w:pPr>
        <w:rPr>
          <w:rFonts w:hint="eastAsia" w:cs="仿宋_GB2312"/>
          <w:color w:val="auto"/>
          <w:szCs w:val="24"/>
          <w:highlight w:val="none"/>
        </w:rPr>
      </w:pPr>
    </w:p>
    <w:p w14:paraId="58FF379C">
      <w:pPr>
        <w:rPr>
          <w:rFonts w:cs="仿宋_GB2312"/>
          <w:color w:val="auto"/>
          <w:sz w:val="21"/>
          <w:szCs w:val="21"/>
          <w:highlight w:val="none"/>
        </w:rPr>
      </w:pPr>
      <w:r>
        <w:rPr>
          <w:rFonts w:hint="eastAsia" w:cs="仿宋_GB2312"/>
          <w:color w:val="auto"/>
          <w:sz w:val="21"/>
          <w:szCs w:val="21"/>
          <w:highlight w:val="none"/>
        </w:rPr>
        <w:t>注：投标人须按</w:t>
      </w:r>
      <w:r>
        <w:rPr>
          <w:rFonts w:hint="eastAsia" w:cs="仿宋_GB2312"/>
          <w:color w:val="auto"/>
          <w:sz w:val="21"/>
          <w:szCs w:val="21"/>
          <w:highlight w:val="none"/>
          <w:lang w:val="en-US" w:eastAsia="zh-CN"/>
        </w:rPr>
        <w:t>相关要求</w:t>
      </w:r>
      <w:r>
        <w:rPr>
          <w:rFonts w:hint="eastAsia" w:cs="仿宋_GB2312"/>
          <w:color w:val="auto"/>
          <w:sz w:val="21"/>
          <w:szCs w:val="21"/>
          <w:highlight w:val="none"/>
        </w:rPr>
        <w:t>提供相应的</w:t>
      </w:r>
      <w:r>
        <w:rPr>
          <w:rFonts w:hint="eastAsia" w:cs="仿宋_GB2312"/>
          <w:color w:val="auto"/>
          <w:sz w:val="21"/>
          <w:szCs w:val="21"/>
          <w:highlight w:val="none"/>
          <w:lang w:val="en-US" w:eastAsia="zh-CN"/>
        </w:rPr>
        <w:t>中标（成交）通知书、采购合同等</w:t>
      </w:r>
      <w:r>
        <w:rPr>
          <w:rFonts w:hint="eastAsia" w:cs="仿宋_GB2312"/>
          <w:color w:val="auto"/>
          <w:sz w:val="21"/>
          <w:szCs w:val="21"/>
          <w:highlight w:val="none"/>
        </w:rPr>
        <w:t>业绩证明资料。</w:t>
      </w:r>
    </w:p>
    <w:p w14:paraId="5DB99613">
      <w:pPr>
        <w:widowControl/>
        <w:spacing w:before="100" w:beforeAutospacing="1" w:after="100" w:afterAutospacing="1"/>
        <w:rPr>
          <w:rFonts w:cs="Arial"/>
          <w:color w:val="auto"/>
          <w:szCs w:val="21"/>
          <w:highlight w:val="none"/>
        </w:rPr>
      </w:pPr>
    </w:p>
    <w:p w14:paraId="68FCBA1E">
      <w:pPr>
        <w:ind w:firstLine="40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r>
        <w:rPr>
          <w:rFonts w:cs="仿宋_GB2312"/>
          <w:color w:val="auto"/>
          <w:szCs w:val="24"/>
          <w:highlight w:val="none"/>
        </w:rPr>
        <w:t xml:space="preserve"> </w:t>
      </w:r>
    </w:p>
    <w:p w14:paraId="360811C8">
      <w:pPr>
        <w:ind w:firstLine="420"/>
        <w:rPr>
          <w:rFonts w:cs="仿宋_GB2312"/>
          <w:color w:val="auto"/>
          <w:szCs w:val="24"/>
          <w:highlight w:val="none"/>
        </w:rPr>
      </w:pPr>
      <w:r>
        <w:rPr>
          <w:rFonts w:hint="eastAsia" w:cs="仿宋_GB2312"/>
          <w:color w:val="auto"/>
          <w:szCs w:val="24"/>
          <w:highlight w:val="none"/>
        </w:rPr>
        <w:t>日      期：</w:t>
      </w:r>
    </w:p>
    <w:p w14:paraId="095105C8">
      <w:pPr>
        <w:ind w:firstLine="420"/>
        <w:rPr>
          <w:rFonts w:cs="仿宋_GB2312"/>
          <w:color w:val="auto"/>
          <w:szCs w:val="24"/>
          <w:highlight w:val="none"/>
        </w:rPr>
      </w:pPr>
      <w:r>
        <w:rPr>
          <w:rFonts w:cs="仿宋_GB2312"/>
          <w:color w:val="auto"/>
          <w:szCs w:val="24"/>
          <w:highlight w:val="none"/>
        </w:rPr>
        <w:br w:type="page"/>
      </w:r>
    </w:p>
    <w:p w14:paraId="4E924C81">
      <w:pPr>
        <w:pStyle w:val="4"/>
        <w:bidi w:val="0"/>
        <w:jc w:val="center"/>
        <w:rPr>
          <w:rFonts w:hint="eastAsia"/>
          <w:highlight w:val="none"/>
          <w:lang w:val="en-US" w:eastAsia="zh-CN"/>
        </w:rPr>
      </w:pPr>
      <w:bookmarkStart w:id="739" w:name="_Toc7230"/>
      <w:r>
        <w:rPr>
          <w:rFonts w:hint="eastAsia"/>
          <w:highlight w:val="none"/>
          <w:lang w:val="en-US" w:eastAsia="zh-CN"/>
        </w:rPr>
        <w:t>八、拟派项目团队</w:t>
      </w:r>
      <w:bookmarkEnd w:id="739"/>
    </w:p>
    <w:tbl>
      <w:tblPr>
        <w:tblStyle w:val="31"/>
        <w:tblW w:w="9252" w:type="dxa"/>
        <w:tblInd w:w="-4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3"/>
        <w:gridCol w:w="1267"/>
        <w:gridCol w:w="1296"/>
        <w:gridCol w:w="1080"/>
        <w:gridCol w:w="804"/>
        <w:gridCol w:w="1860"/>
        <w:gridCol w:w="1356"/>
        <w:gridCol w:w="816"/>
      </w:tblGrid>
      <w:tr w14:paraId="377CE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4" w:hRule="atLeast"/>
        </w:trPr>
        <w:tc>
          <w:tcPr>
            <w:tcW w:w="773" w:type="dxa"/>
            <w:vAlign w:val="center"/>
          </w:tcPr>
          <w:p w14:paraId="6B0F7825">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67" w:type="dxa"/>
            <w:vAlign w:val="center"/>
          </w:tcPr>
          <w:p w14:paraId="1096055A">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团队成员</w:t>
            </w:r>
          </w:p>
          <w:p w14:paraId="09FA2F86">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1296" w:type="dxa"/>
            <w:tcBorders>
              <w:right w:val="single" w:color="auto" w:sz="4" w:space="0"/>
            </w:tcBorders>
            <w:vAlign w:val="center"/>
          </w:tcPr>
          <w:p w14:paraId="4D802FFD">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工作单位</w:t>
            </w:r>
          </w:p>
        </w:tc>
        <w:tc>
          <w:tcPr>
            <w:tcW w:w="1080" w:type="dxa"/>
            <w:tcBorders>
              <w:left w:val="single" w:color="auto" w:sz="4" w:space="0"/>
            </w:tcBorders>
            <w:vAlign w:val="center"/>
          </w:tcPr>
          <w:p w14:paraId="3116E3D2">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身份证号</w:t>
            </w:r>
          </w:p>
        </w:tc>
        <w:tc>
          <w:tcPr>
            <w:tcW w:w="804" w:type="dxa"/>
            <w:tcBorders>
              <w:left w:val="single" w:color="auto" w:sz="4" w:space="0"/>
            </w:tcBorders>
            <w:vAlign w:val="center"/>
          </w:tcPr>
          <w:p w14:paraId="1115941F">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职称</w:t>
            </w:r>
          </w:p>
        </w:tc>
        <w:tc>
          <w:tcPr>
            <w:tcW w:w="1860" w:type="dxa"/>
            <w:vAlign w:val="center"/>
          </w:tcPr>
          <w:p w14:paraId="57503923">
            <w:pPr>
              <w:pStyle w:val="5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注册证书（岗位证书）名称及编号</w:t>
            </w:r>
          </w:p>
        </w:tc>
        <w:tc>
          <w:tcPr>
            <w:tcW w:w="1356" w:type="dxa"/>
            <w:vAlign w:val="center"/>
          </w:tcPr>
          <w:p w14:paraId="422D7D9F">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在团队中职务（岗位）</w:t>
            </w:r>
          </w:p>
        </w:tc>
        <w:tc>
          <w:tcPr>
            <w:tcW w:w="816" w:type="dxa"/>
            <w:vAlign w:val="center"/>
          </w:tcPr>
          <w:p w14:paraId="79229F16">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自有/外聘</w:t>
            </w:r>
          </w:p>
        </w:tc>
      </w:tr>
      <w:tr w14:paraId="34A62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239BDB40">
            <w:pPr>
              <w:pStyle w:val="50"/>
              <w:jc w:val="center"/>
              <w:rPr>
                <w:rFonts w:hint="eastAsia" w:ascii="宋体" w:hAnsi="宋体" w:eastAsia="宋体" w:cs="宋体"/>
                <w:color w:val="auto"/>
                <w:sz w:val="21"/>
                <w:szCs w:val="21"/>
                <w:highlight w:val="none"/>
              </w:rPr>
            </w:pPr>
            <w:bookmarkStart w:id="740" w:name="_Toc99533292"/>
            <w:bookmarkStart w:id="741" w:name="_Toc100090784"/>
            <w:r>
              <w:rPr>
                <w:rFonts w:hint="eastAsia" w:ascii="宋体" w:hAnsi="宋体" w:eastAsia="宋体" w:cs="宋体"/>
                <w:color w:val="auto"/>
                <w:sz w:val="21"/>
                <w:szCs w:val="21"/>
                <w:highlight w:val="none"/>
              </w:rPr>
              <w:t>1</w:t>
            </w:r>
            <w:bookmarkEnd w:id="740"/>
            <w:bookmarkEnd w:id="741"/>
          </w:p>
        </w:tc>
        <w:tc>
          <w:tcPr>
            <w:tcW w:w="1267" w:type="dxa"/>
            <w:vAlign w:val="center"/>
          </w:tcPr>
          <w:p w14:paraId="04D72608">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7C735158">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0EF6F977">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3483447B">
            <w:pPr>
              <w:pStyle w:val="50"/>
              <w:jc w:val="center"/>
              <w:rPr>
                <w:rFonts w:hint="eastAsia" w:ascii="宋体" w:hAnsi="宋体" w:eastAsia="宋体" w:cs="宋体"/>
                <w:color w:val="auto"/>
                <w:sz w:val="21"/>
                <w:szCs w:val="21"/>
                <w:highlight w:val="none"/>
              </w:rPr>
            </w:pPr>
          </w:p>
        </w:tc>
        <w:tc>
          <w:tcPr>
            <w:tcW w:w="1860" w:type="dxa"/>
            <w:vAlign w:val="center"/>
          </w:tcPr>
          <w:p w14:paraId="7F355EC3">
            <w:pPr>
              <w:pStyle w:val="50"/>
              <w:jc w:val="center"/>
              <w:rPr>
                <w:rFonts w:hint="eastAsia" w:ascii="宋体" w:hAnsi="宋体" w:eastAsia="宋体" w:cs="宋体"/>
                <w:color w:val="auto"/>
                <w:sz w:val="21"/>
                <w:szCs w:val="21"/>
                <w:highlight w:val="none"/>
              </w:rPr>
            </w:pPr>
          </w:p>
        </w:tc>
        <w:tc>
          <w:tcPr>
            <w:tcW w:w="1356" w:type="dxa"/>
            <w:vAlign w:val="center"/>
          </w:tcPr>
          <w:p w14:paraId="2148FD62">
            <w:pPr>
              <w:pStyle w:val="50"/>
              <w:jc w:val="center"/>
              <w:rPr>
                <w:rFonts w:hint="eastAsia" w:ascii="宋体" w:hAnsi="宋体" w:eastAsia="宋体" w:cs="宋体"/>
                <w:color w:val="auto"/>
                <w:sz w:val="21"/>
                <w:szCs w:val="21"/>
                <w:highlight w:val="none"/>
              </w:rPr>
            </w:pPr>
          </w:p>
        </w:tc>
        <w:tc>
          <w:tcPr>
            <w:tcW w:w="816" w:type="dxa"/>
            <w:vAlign w:val="center"/>
          </w:tcPr>
          <w:p w14:paraId="30F5864D">
            <w:pPr>
              <w:pStyle w:val="50"/>
              <w:jc w:val="center"/>
              <w:rPr>
                <w:rFonts w:hint="eastAsia" w:ascii="宋体" w:hAnsi="宋体" w:eastAsia="宋体" w:cs="宋体"/>
                <w:color w:val="auto"/>
                <w:sz w:val="21"/>
                <w:szCs w:val="21"/>
                <w:highlight w:val="none"/>
              </w:rPr>
            </w:pPr>
          </w:p>
        </w:tc>
      </w:tr>
      <w:tr w14:paraId="19E49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7F12C5C">
            <w:pPr>
              <w:pStyle w:val="50"/>
              <w:jc w:val="center"/>
              <w:rPr>
                <w:rFonts w:hint="eastAsia" w:ascii="宋体" w:hAnsi="宋体" w:eastAsia="宋体" w:cs="宋体"/>
                <w:color w:val="auto"/>
                <w:sz w:val="21"/>
                <w:szCs w:val="21"/>
                <w:highlight w:val="none"/>
              </w:rPr>
            </w:pPr>
            <w:bookmarkStart w:id="742" w:name="_Toc99533293"/>
            <w:bookmarkStart w:id="743" w:name="_Toc100090785"/>
            <w:r>
              <w:rPr>
                <w:rFonts w:hint="eastAsia" w:ascii="宋体" w:hAnsi="宋体" w:eastAsia="宋体" w:cs="宋体"/>
                <w:color w:val="auto"/>
                <w:sz w:val="21"/>
                <w:szCs w:val="21"/>
                <w:highlight w:val="none"/>
              </w:rPr>
              <w:t>2</w:t>
            </w:r>
            <w:bookmarkEnd w:id="742"/>
            <w:bookmarkEnd w:id="743"/>
          </w:p>
        </w:tc>
        <w:tc>
          <w:tcPr>
            <w:tcW w:w="1267" w:type="dxa"/>
            <w:vAlign w:val="center"/>
          </w:tcPr>
          <w:p w14:paraId="3AE14FF6">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06FFE829">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1A33E450">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476ECD82">
            <w:pPr>
              <w:pStyle w:val="50"/>
              <w:jc w:val="center"/>
              <w:rPr>
                <w:rFonts w:hint="eastAsia" w:ascii="宋体" w:hAnsi="宋体" w:eastAsia="宋体" w:cs="宋体"/>
                <w:color w:val="auto"/>
                <w:sz w:val="21"/>
                <w:szCs w:val="21"/>
                <w:highlight w:val="none"/>
              </w:rPr>
            </w:pPr>
          </w:p>
        </w:tc>
        <w:tc>
          <w:tcPr>
            <w:tcW w:w="1860" w:type="dxa"/>
            <w:vAlign w:val="center"/>
          </w:tcPr>
          <w:p w14:paraId="390E678F">
            <w:pPr>
              <w:pStyle w:val="50"/>
              <w:jc w:val="center"/>
              <w:rPr>
                <w:rFonts w:hint="eastAsia" w:ascii="宋体" w:hAnsi="宋体" w:eastAsia="宋体" w:cs="宋体"/>
                <w:color w:val="auto"/>
                <w:sz w:val="21"/>
                <w:szCs w:val="21"/>
                <w:highlight w:val="none"/>
              </w:rPr>
            </w:pPr>
          </w:p>
        </w:tc>
        <w:tc>
          <w:tcPr>
            <w:tcW w:w="1356" w:type="dxa"/>
            <w:vAlign w:val="center"/>
          </w:tcPr>
          <w:p w14:paraId="77E48E09">
            <w:pPr>
              <w:pStyle w:val="50"/>
              <w:jc w:val="center"/>
              <w:rPr>
                <w:rFonts w:hint="eastAsia" w:ascii="宋体" w:hAnsi="宋体" w:eastAsia="宋体" w:cs="宋体"/>
                <w:color w:val="auto"/>
                <w:sz w:val="21"/>
                <w:szCs w:val="21"/>
                <w:highlight w:val="none"/>
              </w:rPr>
            </w:pPr>
          </w:p>
        </w:tc>
        <w:tc>
          <w:tcPr>
            <w:tcW w:w="816" w:type="dxa"/>
            <w:vAlign w:val="center"/>
          </w:tcPr>
          <w:p w14:paraId="3D8C0BFB">
            <w:pPr>
              <w:pStyle w:val="50"/>
              <w:jc w:val="center"/>
              <w:rPr>
                <w:rFonts w:hint="eastAsia" w:ascii="宋体" w:hAnsi="宋体" w:eastAsia="宋体" w:cs="宋体"/>
                <w:color w:val="auto"/>
                <w:sz w:val="21"/>
                <w:szCs w:val="21"/>
                <w:highlight w:val="none"/>
              </w:rPr>
            </w:pPr>
          </w:p>
        </w:tc>
      </w:tr>
      <w:tr w14:paraId="5F5E2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0824241E">
            <w:pPr>
              <w:pStyle w:val="50"/>
              <w:jc w:val="center"/>
              <w:rPr>
                <w:rFonts w:hint="eastAsia" w:ascii="宋体" w:hAnsi="宋体" w:eastAsia="宋体" w:cs="宋体"/>
                <w:color w:val="auto"/>
                <w:sz w:val="21"/>
                <w:szCs w:val="21"/>
                <w:highlight w:val="none"/>
              </w:rPr>
            </w:pPr>
            <w:bookmarkStart w:id="744" w:name="_Toc99533294"/>
            <w:bookmarkStart w:id="745" w:name="_Toc100090786"/>
            <w:r>
              <w:rPr>
                <w:rFonts w:hint="eastAsia" w:ascii="宋体" w:hAnsi="宋体" w:eastAsia="宋体" w:cs="宋体"/>
                <w:color w:val="auto"/>
                <w:sz w:val="21"/>
                <w:szCs w:val="21"/>
                <w:highlight w:val="none"/>
              </w:rPr>
              <w:t>3</w:t>
            </w:r>
            <w:bookmarkEnd w:id="744"/>
            <w:bookmarkEnd w:id="745"/>
          </w:p>
        </w:tc>
        <w:tc>
          <w:tcPr>
            <w:tcW w:w="1267" w:type="dxa"/>
            <w:vAlign w:val="center"/>
          </w:tcPr>
          <w:p w14:paraId="19C12411">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1E33B914">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70C10384">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657B47D5">
            <w:pPr>
              <w:pStyle w:val="50"/>
              <w:jc w:val="center"/>
              <w:rPr>
                <w:rFonts w:hint="eastAsia" w:ascii="宋体" w:hAnsi="宋体" w:eastAsia="宋体" w:cs="宋体"/>
                <w:color w:val="auto"/>
                <w:sz w:val="21"/>
                <w:szCs w:val="21"/>
                <w:highlight w:val="none"/>
              </w:rPr>
            </w:pPr>
          </w:p>
        </w:tc>
        <w:tc>
          <w:tcPr>
            <w:tcW w:w="1860" w:type="dxa"/>
            <w:vAlign w:val="center"/>
          </w:tcPr>
          <w:p w14:paraId="3F31D2CD">
            <w:pPr>
              <w:pStyle w:val="50"/>
              <w:jc w:val="center"/>
              <w:rPr>
                <w:rFonts w:hint="eastAsia" w:ascii="宋体" w:hAnsi="宋体" w:eastAsia="宋体" w:cs="宋体"/>
                <w:color w:val="auto"/>
                <w:sz w:val="21"/>
                <w:szCs w:val="21"/>
                <w:highlight w:val="none"/>
              </w:rPr>
            </w:pPr>
          </w:p>
        </w:tc>
        <w:tc>
          <w:tcPr>
            <w:tcW w:w="1356" w:type="dxa"/>
            <w:vAlign w:val="center"/>
          </w:tcPr>
          <w:p w14:paraId="107FDE9E">
            <w:pPr>
              <w:pStyle w:val="50"/>
              <w:jc w:val="center"/>
              <w:rPr>
                <w:rFonts w:hint="eastAsia" w:ascii="宋体" w:hAnsi="宋体" w:eastAsia="宋体" w:cs="宋体"/>
                <w:color w:val="auto"/>
                <w:sz w:val="21"/>
                <w:szCs w:val="21"/>
                <w:highlight w:val="none"/>
              </w:rPr>
            </w:pPr>
          </w:p>
        </w:tc>
        <w:tc>
          <w:tcPr>
            <w:tcW w:w="816" w:type="dxa"/>
            <w:vAlign w:val="center"/>
          </w:tcPr>
          <w:p w14:paraId="0ED9D4FB">
            <w:pPr>
              <w:pStyle w:val="50"/>
              <w:jc w:val="center"/>
              <w:rPr>
                <w:rFonts w:hint="eastAsia" w:ascii="宋体" w:hAnsi="宋体" w:eastAsia="宋体" w:cs="宋体"/>
                <w:color w:val="auto"/>
                <w:sz w:val="21"/>
                <w:szCs w:val="21"/>
                <w:highlight w:val="none"/>
              </w:rPr>
            </w:pPr>
          </w:p>
        </w:tc>
      </w:tr>
      <w:tr w14:paraId="72391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329A399B">
            <w:pPr>
              <w:pStyle w:val="50"/>
              <w:jc w:val="center"/>
              <w:rPr>
                <w:rFonts w:hint="eastAsia" w:ascii="宋体" w:hAnsi="宋体" w:eastAsia="宋体" w:cs="宋体"/>
                <w:color w:val="auto"/>
                <w:sz w:val="21"/>
                <w:szCs w:val="21"/>
                <w:highlight w:val="none"/>
              </w:rPr>
            </w:pPr>
            <w:bookmarkStart w:id="746" w:name="_Toc99533295"/>
            <w:bookmarkStart w:id="747" w:name="_Toc100090787"/>
            <w:r>
              <w:rPr>
                <w:rFonts w:hint="eastAsia" w:ascii="宋体" w:hAnsi="宋体" w:eastAsia="宋体" w:cs="宋体"/>
                <w:color w:val="auto"/>
                <w:sz w:val="21"/>
                <w:szCs w:val="21"/>
                <w:highlight w:val="none"/>
              </w:rPr>
              <w:t>4</w:t>
            </w:r>
            <w:bookmarkEnd w:id="746"/>
            <w:bookmarkEnd w:id="747"/>
          </w:p>
        </w:tc>
        <w:tc>
          <w:tcPr>
            <w:tcW w:w="1267" w:type="dxa"/>
            <w:vAlign w:val="center"/>
          </w:tcPr>
          <w:p w14:paraId="42DE0F63">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3CA0809C">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6D63F4E6">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496384D0">
            <w:pPr>
              <w:pStyle w:val="50"/>
              <w:jc w:val="center"/>
              <w:rPr>
                <w:rFonts w:hint="eastAsia" w:ascii="宋体" w:hAnsi="宋体" w:eastAsia="宋体" w:cs="宋体"/>
                <w:color w:val="auto"/>
                <w:sz w:val="21"/>
                <w:szCs w:val="21"/>
                <w:highlight w:val="none"/>
              </w:rPr>
            </w:pPr>
          </w:p>
        </w:tc>
        <w:tc>
          <w:tcPr>
            <w:tcW w:w="1860" w:type="dxa"/>
            <w:vAlign w:val="center"/>
          </w:tcPr>
          <w:p w14:paraId="068007BF">
            <w:pPr>
              <w:pStyle w:val="50"/>
              <w:jc w:val="center"/>
              <w:rPr>
                <w:rFonts w:hint="eastAsia" w:ascii="宋体" w:hAnsi="宋体" w:eastAsia="宋体" w:cs="宋体"/>
                <w:color w:val="auto"/>
                <w:sz w:val="21"/>
                <w:szCs w:val="21"/>
                <w:highlight w:val="none"/>
              </w:rPr>
            </w:pPr>
          </w:p>
        </w:tc>
        <w:tc>
          <w:tcPr>
            <w:tcW w:w="1356" w:type="dxa"/>
            <w:vAlign w:val="center"/>
          </w:tcPr>
          <w:p w14:paraId="7A6D63FA">
            <w:pPr>
              <w:pStyle w:val="50"/>
              <w:jc w:val="center"/>
              <w:rPr>
                <w:rFonts w:hint="eastAsia" w:ascii="宋体" w:hAnsi="宋体" w:eastAsia="宋体" w:cs="宋体"/>
                <w:color w:val="auto"/>
                <w:sz w:val="21"/>
                <w:szCs w:val="21"/>
                <w:highlight w:val="none"/>
              </w:rPr>
            </w:pPr>
          </w:p>
        </w:tc>
        <w:tc>
          <w:tcPr>
            <w:tcW w:w="816" w:type="dxa"/>
            <w:vAlign w:val="center"/>
          </w:tcPr>
          <w:p w14:paraId="01F1E6DB">
            <w:pPr>
              <w:pStyle w:val="50"/>
              <w:jc w:val="center"/>
              <w:rPr>
                <w:rFonts w:hint="eastAsia" w:ascii="宋体" w:hAnsi="宋体" w:eastAsia="宋体" w:cs="宋体"/>
                <w:color w:val="auto"/>
                <w:sz w:val="21"/>
                <w:szCs w:val="21"/>
                <w:highlight w:val="none"/>
              </w:rPr>
            </w:pPr>
          </w:p>
        </w:tc>
      </w:tr>
      <w:tr w14:paraId="67CF6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1FE3797">
            <w:pPr>
              <w:pStyle w:val="50"/>
              <w:jc w:val="center"/>
              <w:rPr>
                <w:rFonts w:hint="eastAsia" w:ascii="宋体" w:hAnsi="宋体" w:eastAsia="宋体" w:cs="宋体"/>
                <w:color w:val="auto"/>
                <w:sz w:val="21"/>
                <w:szCs w:val="21"/>
                <w:highlight w:val="none"/>
              </w:rPr>
            </w:pPr>
            <w:bookmarkStart w:id="748" w:name="_Toc99533296"/>
            <w:bookmarkStart w:id="749" w:name="_Toc100090788"/>
            <w:r>
              <w:rPr>
                <w:rFonts w:hint="eastAsia" w:ascii="宋体" w:hAnsi="宋体" w:eastAsia="宋体" w:cs="宋体"/>
                <w:color w:val="auto"/>
                <w:sz w:val="21"/>
                <w:szCs w:val="21"/>
                <w:highlight w:val="none"/>
              </w:rPr>
              <w:t>5</w:t>
            </w:r>
            <w:bookmarkEnd w:id="748"/>
            <w:bookmarkEnd w:id="749"/>
          </w:p>
        </w:tc>
        <w:tc>
          <w:tcPr>
            <w:tcW w:w="1267" w:type="dxa"/>
            <w:vAlign w:val="center"/>
          </w:tcPr>
          <w:p w14:paraId="3241008C">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3999E45B">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64009478">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75153765">
            <w:pPr>
              <w:pStyle w:val="50"/>
              <w:jc w:val="center"/>
              <w:rPr>
                <w:rFonts w:hint="eastAsia" w:ascii="宋体" w:hAnsi="宋体" w:eastAsia="宋体" w:cs="宋体"/>
                <w:color w:val="auto"/>
                <w:sz w:val="21"/>
                <w:szCs w:val="21"/>
                <w:highlight w:val="none"/>
              </w:rPr>
            </w:pPr>
          </w:p>
        </w:tc>
        <w:tc>
          <w:tcPr>
            <w:tcW w:w="1860" w:type="dxa"/>
            <w:vAlign w:val="center"/>
          </w:tcPr>
          <w:p w14:paraId="12AB49C0">
            <w:pPr>
              <w:pStyle w:val="50"/>
              <w:jc w:val="center"/>
              <w:rPr>
                <w:rFonts w:hint="eastAsia" w:ascii="宋体" w:hAnsi="宋体" w:eastAsia="宋体" w:cs="宋体"/>
                <w:color w:val="auto"/>
                <w:sz w:val="21"/>
                <w:szCs w:val="21"/>
                <w:highlight w:val="none"/>
              </w:rPr>
            </w:pPr>
          </w:p>
        </w:tc>
        <w:tc>
          <w:tcPr>
            <w:tcW w:w="1356" w:type="dxa"/>
            <w:vAlign w:val="center"/>
          </w:tcPr>
          <w:p w14:paraId="3943C72A">
            <w:pPr>
              <w:pStyle w:val="50"/>
              <w:jc w:val="center"/>
              <w:rPr>
                <w:rFonts w:hint="eastAsia" w:ascii="宋体" w:hAnsi="宋体" w:eastAsia="宋体" w:cs="宋体"/>
                <w:color w:val="auto"/>
                <w:sz w:val="21"/>
                <w:szCs w:val="21"/>
                <w:highlight w:val="none"/>
              </w:rPr>
            </w:pPr>
          </w:p>
        </w:tc>
        <w:tc>
          <w:tcPr>
            <w:tcW w:w="816" w:type="dxa"/>
            <w:vAlign w:val="center"/>
          </w:tcPr>
          <w:p w14:paraId="5FBE7410">
            <w:pPr>
              <w:pStyle w:val="50"/>
              <w:jc w:val="center"/>
              <w:rPr>
                <w:rFonts w:hint="eastAsia" w:ascii="宋体" w:hAnsi="宋体" w:eastAsia="宋体" w:cs="宋体"/>
                <w:color w:val="auto"/>
                <w:sz w:val="21"/>
                <w:szCs w:val="21"/>
                <w:highlight w:val="none"/>
              </w:rPr>
            </w:pPr>
          </w:p>
        </w:tc>
      </w:tr>
      <w:tr w14:paraId="053F8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07DED61F">
            <w:pPr>
              <w:pStyle w:val="50"/>
              <w:jc w:val="center"/>
              <w:rPr>
                <w:rFonts w:hint="eastAsia" w:ascii="宋体" w:hAnsi="宋体" w:eastAsia="宋体" w:cs="宋体"/>
                <w:color w:val="auto"/>
                <w:sz w:val="21"/>
                <w:szCs w:val="21"/>
                <w:highlight w:val="none"/>
              </w:rPr>
            </w:pPr>
            <w:bookmarkStart w:id="750" w:name="_Toc100090789"/>
            <w:bookmarkStart w:id="751" w:name="_Toc99533297"/>
            <w:r>
              <w:rPr>
                <w:rFonts w:hint="eastAsia" w:ascii="宋体" w:hAnsi="宋体" w:eastAsia="宋体" w:cs="宋体"/>
                <w:color w:val="auto"/>
                <w:sz w:val="21"/>
                <w:szCs w:val="21"/>
                <w:highlight w:val="none"/>
              </w:rPr>
              <w:t>6</w:t>
            </w:r>
            <w:bookmarkEnd w:id="750"/>
            <w:bookmarkEnd w:id="751"/>
          </w:p>
        </w:tc>
        <w:tc>
          <w:tcPr>
            <w:tcW w:w="1267" w:type="dxa"/>
            <w:vAlign w:val="center"/>
          </w:tcPr>
          <w:p w14:paraId="40527E11">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16947C68">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1666B8AD">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45256EB9">
            <w:pPr>
              <w:pStyle w:val="50"/>
              <w:jc w:val="center"/>
              <w:rPr>
                <w:rFonts w:hint="eastAsia" w:ascii="宋体" w:hAnsi="宋体" w:eastAsia="宋体" w:cs="宋体"/>
                <w:color w:val="auto"/>
                <w:sz w:val="21"/>
                <w:szCs w:val="21"/>
                <w:highlight w:val="none"/>
              </w:rPr>
            </w:pPr>
          </w:p>
        </w:tc>
        <w:tc>
          <w:tcPr>
            <w:tcW w:w="1860" w:type="dxa"/>
            <w:vAlign w:val="center"/>
          </w:tcPr>
          <w:p w14:paraId="51ADEB68">
            <w:pPr>
              <w:pStyle w:val="50"/>
              <w:jc w:val="center"/>
              <w:rPr>
                <w:rFonts w:hint="eastAsia" w:ascii="宋体" w:hAnsi="宋体" w:eastAsia="宋体" w:cs="宋体"/>
                <w:color w:val="auto"/>
                <w:sz w:val="21"/>
                <w:szCs w:val="21"/>
                <w:highlight w:val="none"/>
              </w:rPr>
            </w:pPr>
          </w:p>
        </w:tc>
        <w:tc>
          <w:tcPr>
            <w:tcW w:w="1356" w:type="dxa"/>
            <w:vAlign w:val="center"/>
          </w:tcPr>
          <w:p w14:paraId="6FF03D95">
            <w:pPr>
              <w:pStyle w:val="50"/>
              <w:jc w:val="center"/>
              <w:rPr>
                <w:rFonts w:hint="eastAsia" w:ascii="宋体" w:hAnsi="宋体" w:eastAsia="宋体" w:cs="宋体"/>
                <w:color w:val="auto"/>
                <w:sz w:val="21"/>
                <w:szCs w:val="21"/>
                <w:highlight w:val="none"/>
              </w:rPr>
            </w:pPr>
          </w:p>
        </w:tc>
        <w:tc>
          <w:tcPr>
            <w:tcW w:w="816" w:type="dxa"/>
            <w:vAlign w:val="center"/>
          </w:tcPr>
          <w:p w14:paraId="4EF8AB8A">
            <w:pPr>
              <w:pStyle w:val="50"/>
              <w:jc w:val="center"/>
              <w:rPr>
                <w:rFonts w:hint="eastAsia" w:ascii="宋体" w:hAnsi="宋体" w:eastAsia="宋体" w:cs="宋体"/>
                <w:color w:val="auto"/>
                <w:sz w:val="21"/>
                <w:szCs w:val="21"/>
                <w:highlight w:val="none"/>
              </w:rPr>
            </w:pPr>
          </w:p>
        </w:tc>
      </w:tr>
      <w:tr w14:paraId="661CA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AA4734C">
            <w:pPr>
              <w:pStyle w:val="50"/>
              <w:jc w:val="center"/>
              <w:rPr>
                <w:rFonts w:hint="eastAsia" w:ascii="宋体" w:hAnsi="宋体" w:eastAsia="宋体" w:cs="宋体"/>
                <w:color w:val="auto"/>
                <w:sz w:val="21"/>
                <w:szCs w:val="21"/>
                <w:highlight w:val="none"/>
              </w:rPr>
            </w:pPr>
            <w:bookmarkStart w:id="752" w:name="_Toc100090790"/>
            <w:bookmarkStart w:id="753" w:name="_Toc99533298"/>
            <w:r>
              <w:rPr>
                <w:rFonts w:hint="eastAsia" w:ascii="宋体" w:hAnsi="宋体" w:eastAsia="宋体" w:cs="宋体"/>
                <w:color w:val="auto"/>
                <w:sz w:val="21"/>
                <w:szCs w:val="21"/>
                <w:highlight w:val="none"/>
              </w:rPr>
              <w:t>7</w:t>
            </w:r>
            <w:bookmarkEnd w:id="752"/>
            <w:bookmarkEnd w:id="753"/>
          </w:p>
        </w:tc>
        <w:tc>
          <w:tcPr>
            <w:tcW w:w="1267" w:type="dxa"/>
            <w:vAlign w:val="center"/>
          </w:tcPr>
          <w:p w14:paraId="3F3B684D">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78032A99">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601AE572">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01172C19">
            <w:pPr>
              <w:pStyle w:val="50"/>
              <w:jc w:val="center"/>
              <w:rPr>
                <w:rFonts w:hint="eastAsia" w:ascii="宋体" w:hAnsi="宋体" w:eastAsia="宋体" w:cs="宋体"/>
                <w:color w:val="auto"/>
                <w:sz w:val="21"/>
                <w:szCs w:val="21"/>
                <w:highlight w:val="none"/>
              </w:rPr>
            </w:pPr>
          </w:p>
        </w:tc>
        <w:tc>
          <w:tcPr>
            <w:tcW w:w="1860" w:type="dxa"/>
            <w:vAlign w:val="center"/>
          </w:tcPr>
          <w:p w14:paraId="7E9B2A2D">
            <w:pPr>
              <w:pStyle w:val="50"/>
              <w:jc w:val="center"/>
              <w:rPr>
                <w:rFonts w:hint="eastAsia" w:ascii="宋体" w:hAnsi="宋体" w:eastAsia="宋体" w:cs="宋体"/>
                <w:color w:val="auto"/>
                <w:sz w:val="21"/>
                <w:szCs w:val="21"/>
                <w:highlight w:val="none"/>
              </w:rPr>
            </w:pPr>
          </w:p>
        </w:tc>
        <w:tc>
          <w:tcPr>
            <w:tcW w:w="1356" w:type="dxa"/>
            <w:vAlign w:val="center"/>
          </w:tcPr>
          <w:p w14:paraId="5FBF328E">
            <w:pPr>
              <w:pStyle w:val="50"/>
              <w:jc w:val="center"/>
              <w:rPr>
                <w:rFonts w:hint="eastAsia" w:ascii="宋体" w:hAnsi="宋体" w:eastAsia="宋体" w:cs="宋体"/>
                <w:color w:val="auto"/>
                <w:sz w:val="21"/>
                <w:szCs w:val="21"/>
                <w:highlight w:val="none"/>
              </w:rPr>
            </w:pPr>
          </w:p>
        </w:tc>
        <w:tc>
          <w:tcPr>
            <w:tcW w:w="816" w:type="dxa"/>
            <w:vAlign w:val="center"/>
          </w:tcPr>
          <w:p w14:paraId="718DD530">
            <w:pPr>
              <w:pStyle w:val="50"/>
              <w:jc w:val="center"/>
              <w:rPr>
                <w:rFonts w:hint="eastAsia" w:ascii="宋体" w:hAnsi="宋体" w:eastAsia="宋体" w:cs="宋体"/>
                <w:color w:val="auto"/>
                <w:sz w:val="21"/>
                <w:szCs w:val="21"/>
                <w:highlight w:val="none"/>
              </w:rPr>
            </w:pPr>
          </w:p>
        </w:tc>
      </w:tr>
      <w:tr w14:paraId="5E0A6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03F7F8C">
            <w:pPr>
              <w:pStyle w:val="50"/>
              <w:jc w:val="center"/>
              <w:rPr>
                <w:rFonts w:hint="eastAsia" w:ascii="宋体" w:hAnsi="宋体" w:eastAsia="宋体" w:cs="宋体"/>
                <w:color w:val="auto"/>
                <w:sz w:val="21"/>
                <w:szCs w:val="21"/>
                <w:highlight w:val="none"/>
              </w:rPr>
            </w:pPr>
            <w:bookmarkStart w:id="754" w:name="_Toc100090791"/>
            <w:bookmarkStart w:id="755" w:name="_Toc99533299"/>
            <w:r>
              <w:rPr>
                <w:rFonts w:hint="eastAsia" w:ascii="宋体" w:hAnsi="宋体" w:eastAsia="宋体" w:cs="宋体"/>
                <w:color w:val="auto"/>
                <w:sz w:val="21"/>
                <w:szCs w:val="21"/>
                <w:highlight w:val="none"/>
              </w:rPr>
              <w:t>8</w:t>
            </w:r>
            <w:bookmarkEnd w:id="754"/>
            <w:bookmarkEnd w:id="755"/>
          </w:p>
        </w:tc>
        <w:tc>
          <w:tcPr>
            <w:tcW w:w="1267" w:type="dxa"/>
            <w:vAlign w:val="center"/>
          </w:tcPr>
          <w:p w14:paraId="20BD29D0">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7C9D455C">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3548599B">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2842C962">
            <w:pPr>
              <w:pStyle w:val="50"/>
              <w:jc w:val="center"/>
              <w:rPr>
                <w:rFonts w:hint="eastAsia" w:ascii="宋体" w:hAnsi="宋体" w:eastAsia="宋体" w:cs="宋体"/>
                <w:color w:val="auto"/>
                <w:sz w:val="21"/>
                <w:szCs w:val="21"/>
                <w:highlight w:val="none"/>
              </w:rPr>
            </w:pPr>
          </w:p>
        </w:tc>
        <w:tc>
          <w:tcPr>
            <w:tcW w:w="1860" w:type="dxa"/>
            <w:vAlign w:val="center"/>
          </w:tcPr>
          <w:p w14:paraId="292DF220">
            <w:pPr>
              <w:pStyle w:val="50"/>
              <w:jc w:val="center"/>
              <w:rPr>
                <w:rFonts w:hint="eastAsia" w:ascii="宋体" w:hAnsi="宋体" w:eastAsia="宋体" w:cs="宋体"/>
                <w:color w:val="auto"/>
                <w:sz w:val="21"/>
                <w:szCs w:val="21"/>
                <w:highlight w:val="none"/>
              </w:rPr>
            </w:pPr>
          </w:p>
        </w:tc>
        <w:tc>
          <w:tcPr>
            <w:tcW w:w="1356" w:type="dxa"/>
            <w:vAlign w:val="center"/>
          </w:tcPr>
          <w:p w14:paraId="7107F6B0">
            <w:pPr>
              <w:pStyle w:val="50"/>
              <w:jc w:val="center"/>
              <w:rPr>
                <w:rFonts w:hint="eastAsia" w:ascii="宋体" w:hAnsi="宋体" w:eastAsia="宋体" w:cs="宋体"/>
                <w:color w:val="auto"/>
                <w:sz w:val="21"/>
                <w:szCs w:val="21"/>
                <w:highlight w:val="none"/>
              </w:rPr>
            </w:pPr>
          </w:p>
        </w:tc>
        <w:tc>
          <w:tcPr>
            <w:tcW w:w="816" w:type="dxa"/>
            <w:vAlign w:val="center"/>
          </w:tcPr>
          <w:p w14:paraId="247AF589">
            <w:pPr>
              <w:pStyle w:val="50"/>
              <w:jc w:val="center"/>
              <w:rPr>
                <w:rFonts w:hint="eastAsia" w:ascii="宋体" w:hAnsi="宋体" w:eastAsia="宋体" w:cs="宋体"/>
                <w:color w:val="auto"/>
                <w:sz w:val="21"/>
                <w:szCs w:val="21"/>
                <w:highlight w:val="none"/>
              </w:rPr>
            </w:pPr>
          </w:p>
        </w:tc>
      </w:tr>
      <w:tr w14:paraId="17D5B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F7A90D9">
            <w:pPr>
              <w:pStyle w:val="50"/>
              <w:jc w:val="center"/>
              <w:rPr>
                <w:rFonts w:hint="eastAsia" w:ascii="宋体" w:hAnsi="宋体" w:eastAsia="宋体" w:cs="宋体"/>
                <w:color w:val="auto"/>
                <w:sz w:val="21"/>
                <w:szCs w:val="21"/>
                <w:highlight w:val="none"/>
              </w:rPr>
            </w:pPr>
            <w:bookmarkStart w:id="756" w:name="_Toc100090792"/>
            <w:bookmarkStart w:id="757" w:name="_Toc99533300"/>
            <w:r>
              <w:rPr>
                <w:rFonts w:hint="eastAsia" w:ascii="宋体" w:hAnsi="宋体" w:eastAsia="宋体" w:cs="宋体"/>
                <w:color w:val="auto"/>
                <w:sz w:val="21"/>
                <w:szCs w:val="21"/>
                <w:highlight w:val="none"/>
              </w:rPr>
              <w:t>9</w:t>
            </w:r>
            <w:bookmarkEnd w:id="756"/>
            <w:bookmarkEnd w:id="757"/>
          </w:p>
        </w:tc>
        <w:tc>
          <w:tcPr>
            <w:tcW w:w="1267" w:type="dxa"/>
            <w:vAlign w:val="center"/>
          </w:tcPr>
          <w:p w14:paraId="6C5090EC">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32CD2ADB">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0DD9EDDC">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05650614">
            <w:pPr>
              <w:pStyle w:val="50"/>
              <w:jc w:val="center"/>
              <w:rPr>
                <w:rFonts w:hint="eastAsia" w:ascii="宋体" w:hAnsi="宋体" w:eastAsia="宋体" w:cs="宋体"/>
                <w:color w:val="auto"/>
                <w:sz w:val="21"/>
                <w:szCs w:val="21"/>
                <w:highlight w:val="none"/>
              </w:rPr>
            </w:pPr>
          </w:p>
        </w:tc>
        <w:tc>
          <w:tcPr>
            <w:tcW w:w="1860" w:type="dxa"/>
            <w:vAlign w:val="center"/>
          </w:tcPr>
          <w:p w14:paraId="337B4053">
            <w:pPr>
              <w:pStyle w:val="50"/>
              <w:jc w:val="center"/>
              <w:rPr>
                <w:rFonts w:hint="eastAsia" w:ascii="宋体" w:hAnsi="宋体" w:eastAsia="宋体" w:cs="宋体"/>
                <w:color w:val="auto"/>
                <w:sz w:val="21"/>
                <w:szCs w:val="21"/>
                <w:highlight w:val="none"/>
              </w:rPr>
            </w:pPr>
          </w:p>
        </w:tc>
        <w:tc>
          <w:tcPr>
            <w:tcW w:w="1356" w:type="dxa"/>
            <w:vAlign w:val="center"/>
          </w:tcPr>
          <w:p w14:paraId="6968EA5F">
            <w:pPr>
              <w:pStyle w:val="50"/>
              <w:jc w:val="center"/>
              <w:rPr>
                <w:rFonts w:hint="eastAsia" w:ascii="宋体" w:hAnsi="宋体" w:eastAsia="宋体" w:cs="宋体"/>
                <w:color w:val="auto"/>
                <w:sz w:val="21"/>
                <w:szCs w:val="21"/>
                <w:highlight w:val="none"/>
              </w:rPr>
            </w:pPr>
          </w:p>
        </w:tc>
        <w:tc>
          <w:tcPr>
            <w:tcW w:w="816" w:type="dxa"/>
            <w:vAlign w:val="center"/>
          </w:tcPr>
          <w:p w14:paraId="45D99552">
            <w:pPr>
              <w:pStyle w:val="50"/>
              <w:jc w:val="center"/>
              <w:rPr>
                <w:rFonts w:hint="eastAsia" w:ascii="宋体" w:hAnsi="宋体" w:eastAsia="宋体" w:cs="宋体"/>
                <w:color w:val="auto"/>
                <w:sz w:val="21"/>
                <w:szCs w:val="21"/>
                <w:highlight w:val="none"/>
              </w:rPr>
            </w:pPr>
          </w:p>
        </w:tc>
      </w:tr>
      <w:tr w14:paraId="5F497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773" w:type="dxa"/>
            <w:vAlign w:val="center"/>
          </w:tcPr>
          <w:p w14:paraId="406250BE">
            <w:pPr>
              <w:pStyle w:val="50"/>
              <w:jc w:val="center"/>
              <w:rPr>
                <w:rFonts w:hint="eastAsia" w:ascii="宋体" w:hAnsi="宋体" w:eastAsia="宋体" w:cs="宋体"/>
                <w:color w:val="auto"/>
                <w:sz w:val="21"/>
                <w:szCs w:val="21"/>
                <w:highlight w:val="none"/>
              </w:rPr>
            </w:pPr>
            <w:bookmarkStart w:id="758" w:name="_Toc100090793"/>
            <w:bookmarkStart w:id="759" w:name="_Toc99533301"/>
            <w:r>
              <w:rPr>
                <w:rFonts w:hint="eastAsia" w:ascii="宋体" w:hAnsi="宋体" w:eastAsia="宋体" w:cs="宋体"/>
                <w:color w:val="auto"/>
                <w:sz w:val="21"/>
                <w:szCs w:val="21"/>
                <w:highlight w:val="none"/>
              </w:rPr>
              <w:t>10</w:t>
            </w:r>
            <w:bookmarkEnd w:id="758"/>
            <w:bookmarkEnd w:id="759"/>
          </w:p>
        </w:tc>
        <w:tc>
          <w:tcPr>
            <w:tcW w:w="1267" w:type="dxa"/>
            <w:vAlign w:val="center"/>
          </w:tcPr>
          <w:p w14:paraId="0D84E205">
            <w:pPr>
              <w:pStyle w:val="50"/>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79F36313">
            <w:pPr>
              <w:pStyle w:val="50"/>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193C6909">
            <w:pPr>
              <w:pStyle w:val="50"/>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6C34049E">
            <w:pPr>
              <w:pStyle w:val="50"/>
              <w:jc w:val="center"/>
              <w:rPr>
                <w:rFonts w:hint="eastAsia" w:ascii="宋体" w:hAnsi="宋体" w:eastAsia="宋体" w:cs="宋体"/>
                <w:color w:val="auto"/>
                <w:sz w:val="21"/>
                <w:szCs w:val="21"/>
                <w:highlight w:val="none"/>
              </w:rPr>
            </w:pPr>
          </w:p>
        </w:tc>
        <w:tc>
          <w:tcPr>
            <w:tcW w:w="1860" w:type="dxa"/>
            <w:vAlign w:val="center"/>
          </w:tcPr>
          <w:p w14:paraId="7790D037">
            <w:pPr>
              <w:pStyle w:val="50"/>
              <w:jc w:val="center"/>
              <w:rPr>
                <w:rFonts w:hint="eastAsia" w:ascii="宋体" w:hAnsi="宋体" w:eastAsia="宋体" w:cs="宋体"/>
                <w:color w:val="auto"/>
                <w:sz w:val="21"/>
                <w:szCs w:val="21"/>
                <w:highlight w:val="none"/>
              </w:rPr>
            </w:pPr>
          </w:p>
        </w:tc>
        <w:tc>
          <w:tcPr>
            <w:tcW w:w="1356" w:type="dxa"/>
            <w:vAlign w:val="center"/>
          </w:tcPr>
          <w:p w14:paraId="292E64B7">
            <w:pPr>
              <w:pStyle w:val="50"/>
              <w:jc w:val="center"/>
              <w:rPr>
                <w:rFonts w:hint="eastAsia" w:ascii="宋体" w:hAnsi="宋体" w:eastAsia="宋体" w:cs="宋体"/>
                <w:color w:val="auto"/>
                <w:sz w:val="21"/>
                <w:szCs w:val="21"/>
                <w:highlight w:val="none"/>
              </w:rPr>
            </w:pPr>
          </w:p>
        </w:tc>
        <w:tc>
          <w:tcPr>
            <w:tcW w:w="816" w:type="dxa"/>
            <w:vAlign w:val="center"/>
          </w:tcPr>
          <w:p w14:paraId="77E1C162">
            <w:pPr>
              <w:pStyle w:val="50"/>
              <w:jc w:val="center"/>
              <w:rPr>
                <w:rFonts w:hint="eastAsia" w:ascii="宋体" w:hAnsi="宋体" w:eastAsia="宋体" w:cs="宋体"/>
                <w:color w:val="auto"/>
                <w:sz w:val="21"/>
                <w:szCs w:val="21"/>
                <w:highlight w:val="none"/>
              </w:rPr>
            </w:pPr>
          </w:p>
        </w:tc>
      </w:tr>
    </w:tbl>
    <w:p w14:paraId="51ED7B0D">
      <w:pPr>
        <w:rPr>
          <w:color w:val="auto"/>
          <w:highlight w:val="none"/>
        </w:rPr>
      </w:pPr>
      <w:r>
        <w:rPr>
          <w:color w:val="auto"/>
          <w:highlight w:val="none"/>
        </w:rPr>
        <w:br w:type="page"/>
      </w:r>
    </w:p>
    <w:p w14:paraId="1358285E">
      <w:pPr>
        <w:pStyle w:val="4"/>
        <w:bidi w:val="0"/>
        <w:jc w:val="center"/>
        <w:rPr>
          <w:rFonts w:hint="eastAsia"/>
          <w:highlight w:val="none"/>
          <w:lang w:val="en-US" w:eastAsia="zh-CN"/>
        </w:rPr>
      </w:pPr>
      <w:bookmarkStart w:id="760" w:name="_Toc10631"/>
      <w:r>
        <w:rPr>
          <w:rFonts w:hint="eastAsia"/>
          <w:highlight w:val="none"/>
          <w:lang w:val="en-US" w:eastAsia="zh-CN"/>
        </w:rPr>
        <w:t>九、技术响应偏离表</w:t>
      </w:r>
      <w:bookmarkEnd w:id="760"/>
    </w:p>
    <w:p w14:paraId="7EE50E6A">
      <w:pPr>
        <w:rPr>
          <w:rFonts w:cs="仿宋_GB2312"/>
          <w:color w:val="auto"/>
          <w:szCs w:val="24"/>
          <w:highlight w:val="none"/>
        </w:rPr>
      </w:pPr>
      <w:r>
        <w:rPr>
          <w:rFonts w:hint="eastAsia" w:cs="仿宋_GB2312"/>
          <w:color w:val="auto"/>
          <w:szCs w:val="24"/>
          <w:highlight w:val="none"/>
        </w:rPr>
        <w:t xml:space="preserve">项目名称：                                         </w:t>
      </w:r>
    </w:p>
    <w:p w14:paraId="10CF1BE4">
      <w:pPr>
        <w:rPr>
          <w:rFonts w:cs="仿宋_GB2312"/>
          <w:color w:val="auto"/>
          <w:szCs w:val="24"/>
          <w:highlight w:val="none"/>
        </w:rPr>
      </w:pPr>
      <w:r>
        <w:rPr>
          <w:rFonts w:hint="eastAsia" w:cs="仿宋_GB2312"/>
          <w:color w:val="auto"/>
          <w:szCs w:val="24"/>
          <w:highlight w:val="none"/>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cs="仿宋_GB2312"/>
          <w:color w:val="auto"/>
          <w:szCs w:val="24"/>
          <w:highlight w:val="none"/>
        </w:rPr>
        <w:t xml:space="preserve">：         </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976"/>
        <w:gridCol w:w="1758"/>
        <w:gridCol w:w="2157"/>
        <w:gridCol w:w="1935"/>
      </w:tblGrid>
      <w:tr w14:paraId="23CC5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7" w:type="pct"/>
            <w:vAlign w:val="center"/>
          </w:tcPr>
          <w:p w14:paraId="5F892E53">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159" w:type="pct"/>
            <w:vAlign w:val="center"/>
          </w:tcPr>
          <w:p w14:paraId="48E48677">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招标文件技术</w:t>
            </w:r>
          </w:p>
          <w:p w14:paraId="0C5608DB">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要求条款</w:t>
            </w:r>
          </w:p>
        </w:tc>
        <w:tc>
          <w:tcPr>
            <w:tcW w:w="1031" w:type="pct"/>
            <w:vAlign w:val="center"/>
          </w:tcPr>
          <w:p w14:paraId="0B845CF1">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投标文件内容</w:t>
            </w:r>
          </w:p>
          <w:p w14:paraId="4F79E073">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对应简述</w:t>
            </w:r>
          </w:p>
        </w:tc>
        <w:tc>
          <w:tcPr>
            <w:tcW w:w="1265" w:type="pct"/>
            <w:vAlign w:val="center"/>
          </w:tcPr>
          <w:p w14:paraId="4AB4E9C3">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响应情况</w:t>
            </w:r>
          </w:p>
        </w:tc>
        <w:tc>
          <w:tcPr>
            <w:tcW w:w="1135" w:type="pct"/>
            <w:vAlign w:val="center"/>
          </w:tcPr>
          <w:p w14:paraId="09D725B9">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证明资料</w:t>
            </w:r>
            <w:r>
              <w:rPr>
                <w:rFonts w:hint="eastAsia" w:ascii="宋体" w:hAnsi="宋体" w:eastAsia="宋体" w:cs="宋体"/>
                <w:color w:val="auto"/>
                <w:sz w:val="21"/>
                <w:szCs w:val="21"/>
                <w:highlight w:val="none"/>
              </w:rPr>
              <w:t>及索引</w:t>
            </w:r>
          </w:p>
        </w:tc>
      </w:tr>
      <w:tr w14:paraId="39EC0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7" w:type="pct"/>
            <w:vAlign w:val="center"/>
          </w:tcPr>
          <w:p w14:paraId="29950C57">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159" w:type="pct"/>
            <w:vAlign w:val="center"/>
          </w:tcPr>
          <w:p w14:paraId="69B288A0">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31" w:type="pct"/>
            <w:vAlign w:val="center"/>
          </w:tcPr>
          <w:p w14:paraId="0E04AD72">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265" w:type="pct"/>
            <w:vAlign w:val="center"/>
          </w:tcPr>
          <w:p w14:paraId="585AEA1C">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响应/正偏离/负偏离</w:t>
            </w:r>
          </w:p>
        </w:tc>
        <w:tc>
          <w:tcPr>
            <w:tcW w:w="1135" w:type="pct"/>
            <w:vAlign w:val="center"/>
          </w:tcPr>
          <w:p w14:paraId="02D97874">
            <w:pPr>
              <w:pStyle w:val="50"/>
              <w:jc w:val="center"/>
              <w:rPr>
                <w:rFonts w:hint="eastAsia" w:ascii="宋体" w:hAnsi="宋体" w:eastAsia="宋体" w:cs="宋体"/>
                <w:color w:val="auto"/>
                <w:sz w:val="21"/>
                <w:szCs w:val="21"/>
                <w:highlight w:val="none"/>
              </w:rPr>
            </w:pPr>
          </w:p>
        </w:tc>
      </w:tr>
      <w:tr w14:paraId="4EC68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7" w:type="pct"/>
            <w:vAlign w:val="center"/>
          </w:tcPr>
          <w:p w14:paraId="195B6778">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159" w:type="pct"/>
            <w:vAlign w:val="center"/>
          </w:tcPr>
          <w:p w14:paraId="30E52A7F">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31" w:type="pct"/>
            <w:vAlign w:val="center"/>
          </w:tcPr>
          <w:p w14:paraId="29A6C1E1">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265" w:type="pct"/>
            <w:vAlign w:val="center"/>
          </w:tcPr>
          <w:p w14:paraId="5D92E460">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响应/正偏离/负偏离</w:t>
            </w:r>
          </w:p>
        </w:tc>
        <w:tc>
          <w:tcPr>
            <w:tcW w:w="1135" w:type="pct"/>
            <w:vAlign w:val="center"/>
          </w:tcPr>
          <w:p w14:paraId="63E16449">
            <w:pPr>
              <w:pStyle w:val="50"/>
              <w:jc w:val="center"/>
              <w:rPr>
                <w:rFonts w:hint="eastAsia" w:ascii="宋体" w:hAnsi="宋体" w:eastAsia="宋体" w:cs="宋体"/>
                <w:color w:val="auto"/>
                <w:sz w:val="21"/>
                <w:szCs w:val="21"/>
                <w:highlight w:val="none"/>
              </w:rPr>
            </w:pPr>
          </w:p>
        </w:tc>
      </w:tr>
      <w:tr w14:paraId="0C00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4C45FE18">
            <w:pPr>
              <w:pStyle w:val="50"/>
              <w:jc w:val="center"/>
              <w:rPr>
                <w:rFonts w:hint="eastAsia" w:ascii="宋体" w:hAnsi="宋体" w:eastAsia="宋体" w:cs="宋体"/>
                <w:color w:val="auto"/>
                <w:sz w:val="21"/>
                <w:szCs w:val="21"/>
                <w:highlight w:val="none"/>
              </w:rPr>
            </w:pPr>
          </w:p>
        </w:tc>
        <w:tc>
          <w:tcPr>
            <w:tcW w:w="1159" w:type="pct"/>
            <w:vAlign w:val="center"/>
          </w:tcPr>
          <w:p w14:paraId="6D1DD644">
            <w:pPr>
              <w:pStyle w:val="50"/>
              <w:jc w:val="center"/>
              <w:rPr>
                <w:rFonts w:hint="eastAsia" w:ascii="宋体" w:hAnsi="宋体" w:eastAsia="宋体" w:cs="宋体"/>
                <w:color w:val="auto"/>
                <w:sz w:val="21"/>
                <w:szCs w:val="21"/>
                <w:highlight w:val="none"/>
              </w:rPr>
            </w:pPr>
          </w:p>
        </w:tc>
        <w:tc>
          <w:tcPr>
            <w:tcW w:w="1031" w:type="pct"/>
            <w:vAlign w:val="center"/>
          </w:tcPr>
          <w:p w14:paraId="2982168B">
            <w:pPr>
              <w:pStyle w:val="50"/>
              <w:jc w:val="center"/>
              <w:rPr>
                <w:rFonts w:hint="eastAsia" w:ascii="宋体" w:hAnsi="宋体" w:eastAsia="宋体" w:cs="宋体"/>
                <w:color w:val="auto"/>
                <w:sz w:val="21"/>
                <w:szCs w:val="21"/>
                <w:highlight w:val="none"/>
              </w:rPr>
            </w:pPr>
          </w:p>
        </w:tc>
        <w:tc>
          <w:tcPr>
            <w:tcW w:w="1265" w:type="pct"/>
            <w:vAlign w:val="center"/>
          </w:tcPr>
          <w:p w14:paraId="78EC7D09">
            <w:pPr>
              <w:pStyle w:val="50"/>
              <w:jc w:val="center"/>
              <w:rPr>
                <w:rFonts w:hint="eastAsia" w:ascii="宋体" w:hAnsi="宋体" w:eastAsia="宋体" w:cs="宋体"/>
                <w:color w:val="auto"/>
                <w:sz w:val="21"/>
                <w:szCs w:val="21"/>
                <w:highlight w:val="none"/>
              </w:rPr>
            </w:pPr>
          </w:p>
        </w:tc>
        <w:tc>
          <w:tcPr>
            <w:tcW w:w="1135" w:type="pct"/>
            <w:vAlign w:val="center"/>
          </w:tcPr>
          <w:p w14:paraId="46369488">
            <w:pPr>
              <w:pStyle w:val="50"/>
              <w:jc w:val="center"/>
              <w:rPr>
                <w:rFonts w:hint="eastAsia" w:ascii="宋体" w:hAnsi="宋体" w:eastAsia="宋体" w:cs="宋体"/>
                <w:color w:val="auto"/>
                <w:sz w:val="21"/>
                <w:szCs w:val="21"/>
                <w:highlight w:val="none"/>
              </w:rPr>
            </w:pPr>
          </w:p>
        </w:tc>
      </w:tr>
      <w:tr w14:paraId="28C8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43874C19">
            <w:pPr>
              <w:pStyle w:val="50"/>
              <w:jc w:val="center"/>
              <w:rPr>
                <w:rFonts w:hint="eastAsia" w:ascii="宋体" w:hAnsi="宋体" w:eastAsia="宋体" w:cs="宋体"/>
                <w:color w:val="auto"/>
                <w:sz w:val="21"/>
                <w:szCs w:val="21"/>
                <w:highlight w:val="none"/>
              </w:rPr>
            </w:pPr>
          </w:p>
        </w:tc>
        <w:tc>
          <w:tcPr>
            <w:tcW w:w="1159" w:type="pct"/>
            <w:vAlign w:val="center"/>
          </w:tcPr>
          <w:p w14:paraId="529041E2">
            <w:pPr>
              <w:pStyle w:val="50"/>
              <w:jc w:val="center"/>
              <w:rPr>
                <w:rFonts w:hint="eastAsia" w:ascii="宋体" w:hAnsi="宋体" w:eastAsia="宋体" w:cs="宋体"/>
                <w:color w:val="auto"/>
                <w:sz w:val="21"/>
                <w:szCs w:val="21"/>
                <w:highlight w:val="none"/>
              </w:rPr>
            </w:pPr>
          </w:p>
        </w:tc>
        <w:tc>
          <w:tcPr>
            <w:tcW w:w="1031" w:type="pct"/>
            <w:vAlign w:val="center"/>
          </w:tcPr>
          <w:p w14:paraId="301E476D">
            <w:pPr>
              <w:pStyle w:val="50"/>
              <w:jc w:val="center"/>
              <w:rPr>
                <w:rFonts w:hint="eastAsia" w:ascii="宋体" w:hAnsi="宋体" w:eastAsia="宋体" w:cs="宋体"/>
                <w:color w:val="auto"/>
                <w:sz w:val="21"/>
                <w:szCs w:val="21"/>
                <w:highlight w:val="none"/>
              </w:rPr>
            </w:pPr>
          </w:p>
        </w:tc>
        <w:tc>
          <w:tcPr>
            <w:tcW w:w="1265" w:type="pct"/>
            <w:vAlign w:val="center"/>
          </w:tcPr>
          <w:p w14:paraId="06F8AED7">
            <w:pPr>
              <w:pStyle w:val="50"/>
              <w:jc w:val="center"/>
              <w:rPr>
                <w:rFonts w:hint="eastAsia" w:ascii="宋体" w:hAnsi="宋体" w:eastAsia="宋体" w:cs="宋体"/>
                <w:color w:val="auto"/>
                <w:sz w:val="21"/>
                <w:szCs w:val="21"/>
                <w:highlight w:val="none"/>
              </w:rPr>
            </w:pPr>
          </w:p>
        </w:tc>
        <w:tc>
          <w:tcPr>
            <w:tcW w:w="1135" w:type="pct"/>
            <w:vAlign w:val="center"/>
          </w:tcPr>
          <w:p w14:paraId="0CE9DF45">
            <w:pPr>
              <w:pStyle w:val="50"/>
              <w:jc w:val="center"/>
              <w:rPr>
                <w:rFonts w:hint="eastAsia" w:ascii="宋体" w:hAnsi="宋体" w:eastAsia="宋体" w:cs="宋体"/>
                <w:color w:val="auto"/>
                <w:sz w:val="21"/>
                <w:szCs w:val="21"/>
                <w:highlight w:val="none"/>
              </w:rPr>
            </w:pPr>
          </w:p>
        </w:tc>
      </w:tr>
      <w:tr w14:paraId="72916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41433E5C">
            <w:pPr>
              <w:pStyle w:val="50"/>
              <w:jc w:val="center"/>
              <w:rPr>
                <w:rFonts w:hint="eastAsia" w:ascii="宋体" w:hAnsi="宋体" w:eastAsia="宋体" w:cs="宋体"/>
                <w:color w:val="auto"/>
                <w:sz w:val="21"/>
                <w:szCs w:val="21"/>
                <w:highlight w:val="none"/>
              </w:rPr>
            </w:pPr>
          </w:p>
        </w:tc>
        <w:tc>
          <w:tcPr>
            <w:tcW w:w="1159" w:type="pct"/>
            <w:vAlign w:val="center"/>
          </w:tcPr>
          <w:p w14:paraId="77107295">
            <w:pPr>
              <w:pStyle w:val="50"/>
              <w:jc w:val="center"/>
              <w:rPr>
                <w:rFonts w:hint="eastAsia" w:ascii="宋体" w:hAnsi="宋体" w:eastAsia="宋体" w:cs="宋体"/>
                <w:color w:val="auto"/>
                <w:sz w:val="21"/>
                <w:szCs w:val="21"/>
                <w:highlight w:val="none"/>
              </w:rPr>
            </w:pPr>
          </w:p>
        </w:tc>
        <w:tc>
          <w:tcPr>
            <w:tcW w:w="1031" w:type="pct"/>
            <w:vAlign w:val="center"/>
          </w:tcPr>
          <w:p w14:paraId="4D01D78E">
            <w:pPr>
              <w:pStyle w:val="50"/>
              <w:jc w:val="center"/>
              <w:rPr>
                <w:rFonts w:hint="eastAsia" w:ascii="宋体" w:hAnsi="宋体" w:eastAsia="宋体" w:cs="宋体"/>
                <w:color w:val="auto"/>
                <w:sz w:val="21"/>
                <w:szCs w:val="21"/>
                <w:highlight w:val="none"/>
              </w:rPr>
            </w:pPr>
          </w:p>
        </w:tc>
        <w:tc>
          <w:tcPr>
            <w:tcW w:w="1265" w:type="pct"/>
            <w:vAlign w:val="center"/>
          </w:tcPr>
          <w:p w14:paraId="6D546857">
            <w:pPr>
              <w:pStyle w:val="50"/>
              <w:jc w:val="center"/>
              <w:rPr>
                <w:rFonts w:hint="eastAsia" w:ascii="宋体" w:hAnsi="宋体" w:eastAsia="宋体" w:cs="宋体"/>
                <w:color w:val="auto"/>
                <w:sz w:val="21"/>
                <w:szCs w:val="21"/>
                <w:highlight w:val="none"/>
              </w:rPr>
            </w:pPr>
          </w:p>
        </w:tc>
        <w:tc>
          <w:tcPr>
            <w:tcW w:w="1135" w:type="pct"/>
            <w:vAlign w:val="center"/>
          </w:tcPr>
          <w:p w14:paraId="2E1B7D0B">
            <w:pPr>
              <w:pStyle w:val="50"/>
              <w:jc w:val="center"/>
              <w:rPr>
                <w:rFonts w:hint="eastAsia" w:ascii="宋体" w:hAnsi="宋体" w:eastAsia="宋体" w:cs="宋体"/>
                <w:color w:val="auto"/>
                <w:sz w:val="21"/>
                <w:szCs w:val="21"/>
                <w:highlight w:val="none"/>
              </w:rPr>
            </w:pPr>
          </w:p>
        </w:tc>
      </w:tr>
      <w:tr w14:paraId="39F80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6AF16AFE">
            <w:pPr>
              <w:pStyle w:val="50"/>
              <w:jc w:val="center"/>
              <w:rPr>
                <w:rFonts w:hint="eastAsia" w:ascii="宋体" w:hAnsi="宋体" w:eastAsia="宋体" w:cs="宋体"/>
                <w:color w:val="auto"/>
                <w:sz w:val="21"/>
                <w:szCs w:val="21"/>
                <w:highlight w:val="none"/>
              </w:rPr>
            </w:pPr>
          </w:p>
        </w:tc>
        <w:tc>
          <w:tcPr>
            <w:tcW w:w="1159" w:type="pct"/>
            <w:vAlign w:val="center"/>
          </w:tcPr>
          <w:p w14:paraId="5C7E043B">
            <w:pPr>
              <w:pStyle w:val="50"/>
              <w:jc w:val="center"/>
              <w:rPr>
                <w:rFonts w:hint="eastAsia" w:ascii="宋体" w:hAnsi="宋体" w:eastAsia="宋体" w:cs="宋体"/>
                <w:color w:val="auto"/>
                <w:sz w:val="21"/>
                <w:szCs w:val="21"/>
                <w:highlight w:val="none"/>
              </w:rPr>
            </w:pPr>
          </w:p>
        </w:tc>
        <w:tc>
          <w:tcPr>
            <w:tcW w:w="1031" w:type="pct"/>
            <w:vAlign w:val="center"/>
          </w:tcPr>
          <w:p w14:paraId="64166C7A">
            <w:pPr>
              <w:pStyle w:val="50"/>
              <w:jc w:val="center"/>
              <w:rPr>
                <w:rFonts w:hint="eastAsia" w:ascii="宋体" w:hAnsi="宋体" w:eastAsia="宋体" w:cs="宋体"/>
                <w:color w:val="auto"/>
                <w:sz w:val="21"/>
                <w:szCs w:val="21"/>
                <w:highlight w:val="none"/>
              </w:rPr>
            </w:pPr>
          </w:p>
        </w:tc>
        <w:tc>
          <w:tcPr>
            <w:tcW w:w="1265" w:type="pct"/>
            <w:vAlign w:val="center"/>
          </w:tcPr>
          <w:p w14:paraId="2817CCE5">
            <w:pPr>
              <w:pStyle w:val="50"/>
              <w:jc w:val="center"/>
              <w:rPr>
                <w:rFonts w:hint="eastAsia" w:ascii="宋体" w:hAnsi="宋体" w:eastAsia="宋体" w:cs="宋体"/>
                <w:color w:val="auto"/>
                <w:sz w:val="21"/>
                <w:szCs w:val="21"/>
                <w:highlight w:val="none"/>
              </w:rPr>
            </w:pPr>
          </w:p>
        </w:tc>
        <w:tc>
          <w:tcPr>
            <w:tcW w:w="1135" w:type="pct"/>
            <w:vAlign w:val="center"/>
          </w:tcPr>
          <w:p w14:paraId="184E3F96">
            <w:pPr>
              <w:pStyle w:val="50"/>
              <w:jc w:val="center"/>
              <w:rPr>
                <w:rFonts w:hint="eastAsia" w:ascii="宋体" w:hAnsi="宋体" w:eastAsia="宋体" w:cs="宋体"/>
                <w:color w:val="auto"/>
                <w:sz w:val="21"/>
                <w:szCs w:val="21"/>
                <w:highlight w:val="none"/>
              </w:rPr>
            </w:pPr>
          </w:p>
        </w:tc>
      </w:tr>
      <w:tr w14:paraId="60C95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5F23FFC2">
            <w:pPr>
              <w:pStyle w:val="50"/>
              <w:jc w:val="center"/>
              <w:rPr>
                <w:rFonts w:hint="eastAsia" w:ascii="宋体" w:hAnsi="宋体" w:eastAsia="宋体" w:cs="宋体"/>
                <w:color w:val="auto"/>
                <w:sz w:val="21"/>
                <w:szCs w:val="21"/>
                <w:highlight w:val="none"/>
              </w:rPr>
            </w:pPr>
          </w:p>
        </w:tc>
        <w:tc>
          <w:tcPr>
            <w:tcW w:w="1159" w:type="pct"/>
            <w:vAlign w:val="center"/>
          </w:tcPr>
          <w:p w14:paraId="565EC642">
            <w:pPr>
              <w:pStyle w:val="50"/>
              <w:jc w:val="center"/>
              <w:rPr>
                <w:rFonts w:hint="eastAsia" w:ascii="宋体" w:hAnsi="宋体" w:eastAsia="宋体" w:cs="宋体"/>
                <w:color w:val="auto"/>
                <w:sz w:val="21"/>
                <w:szCs w:val="21"/>
                <w:highlight w:val="none"/>
              </w:rPr>
            </w:pPr>
          </w:p>
        </w:tc>
        <w:tc>
          <w:tcPr>
            <w:tcW w:w="1031" w:type="pct"/>
            <w:vAlign w:val="center"/>
          </w:tcPr>
          <w:p w14:paraId="4813DEC4">
            <w:pPr>
              <w:pStyle w:val="50"/>
              <w:jc w:val="center"/>
              <w:rPr>
                <w:rFonts w:hint="eastAsia" w:ascii="宋体" w:hAnsi="宋体" w:eastAsia="宋体" w:cs="宋体"/>
                <w:color w:val="auto"/>
                <w:sz w:val="21"/>
                <w:szCs w:val="21"/>
                <w:highlight w:val="none"/>
              </w:rPr>
            </w:pPr>
          </w:p>
        </w:tc>
        <w:tc>
          <w:tcPr>
            <w:tcW w:w="1265" w:type="pct"/>
            <w:vAlign w:val="center"/>
          </w:tcPr>
          <w:p w14:paraId="6FC99520">
            <w:pPr>
              <w:pStyle w:val="50"/>
              <w:jc w:val="center"/>
              <w:rPr>
                <w:rFonts w:hint="eastAsia" w:ascii="宋体" w:hAnsi="宋体" w:eastAsia="宋体" w:cs="宋体"/>
                <w:color w:val="auto"/>
                <w:sz w:val="21"/>
                <w:szCs w:val="21"/>
                <w:highlight w:val="none"/>
              </w:rPr>
            </w:pPr>
          </w:p>
        </w:tc>
        <w:tc>
          <w:tcPr>
            <w:tcW w:w="1135" w:type="pct"/>
            <w:vAlign w:val="center"/>
          </w:tcPr>
          <w:p w14:paraId="6C388A43">
            <w:pPr>
              <w:pStyle w:val="50"/>
              <w:jc w:val="center"/>
              <w:rPr>
                <w:rFonts w:hint="eastAsia" w:ascii="宋体" w:hAnsi="宋体" w:eastAsia="宋体" w:cs="宋体"/>
                <w:color w:val="auto"/>
                <w:sz w:val="21"/>
                <w:szCs w:val="21"/>
                <w:highlight w:val="none"/>
              </w:rPr>
            </w:pPr>
          </w:p>
        </w:tc>
      </w:tr>
      <w:tr w14:paraId="668F3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0AF398B2">
            <w:pPr>
              <w:pStyle w:val="50"/>
              <w:jc w:val="center"/>
              <w:rPr>
                <w:rFonts w:hint="eastAsia" w:ascii="宋体" w:hAnsi="宋体" w:eastAsia="宋体" w:cs="宋体"/>
                <w:color w:val="auto"/>
                <w:sz w:val="21"/>
                <w:szCs w:val="21"/>
                <w:highlight w:val="none"/>
              </w:rPr>
            </w:pPr>
          </w:p>
        </w:tc>
        <w:tc>
          <w:tcPr>
            <w:tcW w:w="1159" w:type="pct"/>
            <w:vAlign w:val="center"/>
          </w:tcPr>
          <w:p w14:paraId="7E5C6D21">
            <w:pPr>
              <w:pStyle w:val="50"/>
              <w:jc w:val="center"/>
              <w:rPr>
                <w:rFonts w:hint="eastAsia" w:ascii="宋体" w:hAnsi="宋体" w:eastAsia="宋体" w:cs="宋体"/>
                <w:color w:val="auto"/>
                <w:sz w:val="21"/>
                <w:szCs w:val="21"/>
                <w:highlight w:val="none"/>
              </w:rPr>
            </w:pPr>
          </w:p>
        </w:tc>
        <w:tc>
          <w:tcPr>
            <w:tcW w:w="1031" w:type="pct"/>
            <w:vAlign w:val="center"/>
          </w:tcPr>
          <w:p w14:paraId="449C5534">
            <w:pPr>
              <w:pStyle w:val="50"/>
              <w:jc w:val="center"/>
              <w:rPr>
                <w:rFonts w:hint="eastAsia" w:ascii="宋体" w:hAnsi="宋体" w:eastAsia="宋体" w:cs="宋体"/>
                <w:color w:val="auto"/>
                <w:sz w:val="21"/>
                <w:szCs w:val="21"/>
                <w:highlight w:val="none"/>
              </w:rPr>
            </w:pPr>
          </w:p>
        </w:tc>
        <w:tc>
          <w:tcPr>
            <w:tcW w:w="1265" w:type="pct"/>
            <w:vAlign w:val="center"/>
          </w:tcPr>
          <w:p w14:paraId="43936EF1">
            <w:pPr>
              <w:pStyle w:val="50"/>
              <w:jc w:val="center"/>
              <w:rPr>
                <w:rFonts w:hint="eastAsia" w:ascii="宋体" w:hAnsi="宋体" w:eastAsia="宋体" w:cs="宋体"/>
                <w:color w:val="auto"/>
                <w:sz w:val="21"/>
                <w:szCs w:val="21"/>
                <w:highlight w:val="none"/>
              </w:rPr>
            </w:pPr>
          </w:p>
        </w:tc>
        <w:tc>
          <w:tcPr>
            <w:tcW w:w="1135" w:type="pct"/>
            <w:vAlign w:val="center"/>
          </w:tcPr>
          <w:p w14:paraId="015081ED">
            <w:pPr>
              <w:pStyle w:val="50"/>
              <w:jc w:val="center"/>
              <w:rPr>
                <w:rFonts w:hint="eastAsia" w:ascii="宋体" w:hAnsi="宋体" w:eastAsia="宋体" w:cs="宋体"/>
                <w:color w:val="auto"/>
                <w:sz w:val="21"/>
                <w:szCs w:val="21"/>
                <w:highlight w:val="none"/>
              </w:rPr>
            </w:pPr>
          </w:p>
        </w:tc>
      </w:tr>
      <w:tr w14:paraId="576C8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3BE7E344">
            <w:pPr>
              <w:pStyle w:val="50"/>
              <w:jc w:val="center"/>
              <w:rPr>
                <w:rFonts w:hint="eastAsia" w:ascii="宋体" w:hAnsi="宋体" w:eastAsia="宋体" w:cs="宋体"/>
                <w:color w:val="auto"/>
                <w:sz w:val="21"/>
                <w:szCs w:val="21"/>
                <w:highlight w:val="none"/>
              </w:rPr>
            </w:pPr>
          </w:p>
        </w:tc>
        <w:tc>
          <w:tcPr>
            <w:tcW w:w="1159" w:type="pct"/>
            <w:vAlign w:val="center"/>
          </w:tcPr>
          <w:p w14:paraId="4E7FED0B">
            <w:pPr>
              <w:pStyle w:val="50"/>
              <w:jc w:val="center"/>
              <w:rPr>
                <w:rFonts w:hint="eastAsia" w:ascii="宋体" w:hAnsi="宋体" w:eastAsia="宋体" w:cs="宋体"/>
                <w:color w:val="auto"/>
                <w:sz w:val="21"/>
                <w:szCs w:val="21"/>
                <w:highlight w:val="none"/>
              </w:rPr>
            </w:pPr>
          </w:p>
        </w:tc>
        <w:tc>
          <w:tcPr>
            <w:tcW w:w="1031" w:type="pct"/>
            <w:vAlign w:val="center"/>
          </w:tcPr>
          <w:p w14:paraId="07398BD3">
            <w:pPr>
              <w:pStyle w:val="50"/>
              <w:jc w:val="center"/>
              <w:rPr>
                <w:rFonts w:hint="eastAsia" w:ascii="宋体" w:hAnsi="宋体" w:eastAsia="宋体" w:cs="宋体"/>
                <w:color w:val="auto"/>
                <w:sz w:val="21"/>
                <w:szCs w:val="21"/>
                <w:highlight w:val="none"/>
              </w:rPr>
            </w:pPr>
          </w:p>
        </w:tc>
        <w:tc>
          <w:tcPr>
            <w:tcW w:w="1265" w:type="pct"/>
            <w:vAlign w:val="center"/>
          </w:tcPr>
          <w:p w14:paraId="085E5102">
            <w:pPr>
              <w:pStyle w:val="50"/>
              <w:jc w:val="center"/>
              <w:rPr>
                <w:rFonts w:hint="eastAsia" w:ascii="宋体" w:hAnsi="宋体" w:eastAsia="宋体" w:cs="宋体"/>
                <w:color w:val="auto"/>
                <w:sz w:val="21"/>
                <w:szCs w:val="21"/>
                <w:highlight w:val="none"/>
              </w:rPr>
            </w:pPr>
          </w:p>
        </w:tc>
        <w:tc>
          <w:tcPr>
            <w:tcW w:w="1135" w:type="pct"/>
            <w:vAlign w:val="center"/>
          </w:tcPr>
          <w:p w14:paraId="74B87043">
            <w:pPr>
              <w:pStyle w:val="50"/>
              <w:jc w:val="center"/>
              <w:rPr>
                <w:rFonts w:hint="eastAsia" w:ascii="宋体" w:hAnsi="宋体" w:eastAsia="宋体" w:cs="宋体"/>
                <w:color w:val="auto"/>
                <w:sz w:val="21"/>
                <w:szCs w:val="21"/>
                <w:highlight w:val="none"/>
              </w:rPr>
            </w:pPr>
          </w:p>
        </w:tc>
      </w:tr>
      <w:tr w14:paraId="4BD96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5DBDBE11">
            <w:pPr>
              <w:pStyle w:val="50"/>
              <w:jc w:val="center"/>
              <w:rPr>
                <w:rFonts w:hint="eastAsia" w:ascii="宋体" w:hAnsi="宋体" w:eastAsia="宋体" w:cs="宋体"/>
                <w:color w:val="auto"/>
                <w:sz w:val="21"/>
                <w:szCs w:val="21"/>
                <w:highlight w:val="none"/>
              </w:rPr>
            </w:pPr>
          </w:p>
        </w:tc>
        <w:tc>
          <w:tcPr>
            <w:tcW w:w="1159" w:type="pct"/>
            <w:vAlign w:val="center"/>
          </w:tcPr>
          <w:p w14:paraId="1F11A7BE">
            <w:pPr>
              <w:pStyle w:val="50"/>
              <w:jc w:val="center"/>
              <w:rPr>
                <w:rFonts w:hint="eastAsia" w:ascii="宋体" w:hAnsi="宋体" w:eastAsia="宋体" w:cs="宋体"/>
                <w:color w:val="auto"/>
                <w:sz w:val="21"/>
                <w:szCs w:val="21"/>
                <w:highlight w:val="none"/>
              </w:rPr>
            </w:pPr>
          </w:p>
        </w:tc>
        <w:tc>
          <w:tcPr>
            <w:tcW w:w="1031" w:type="pct"/>
            <w:vAlign w:val="center"/>
          </w:tcPr>
          <w:p w14:paraId="09342B6E">
            <w:pPr>
              <w:pStyle w:val="50"/>
              <w:jc w:val="center"/>
              <w:rPr>
                <w:rFonts w:hint="eastAsia" w:ascii="宋体" w:hAnsi="宋体" w:eastAsia="宋体" w:cs="宋体"/>
                <w:color w:val="auto"/>
                <w:sz w:val="21"/>
                <w:szCs w:val="21"/>
                <w:highlight w:val="none"/>
              </w:rPr>
            </w:pPr>
          </w:p>
        </w:tc>
        <w:tc>
          <w:tcPr>
            <w:tcW w:w="1265" w:type="pct"/>
            <w:vAlign w:val="center"/>
          </w:tcPr>
          <w:p w14:paraId="6742B646">
            <w:pPr>
              <w:pStyle w:val="50"/>
              <w:jc w:val="center"/>
              <w:rPr>
                <w:rFonts w:hint="eastAsia" w:ascii="宋体" w:hAnsi="宋体" w:eastAsia="宋体" w:cs="宋体"/>
                <w:color w:val="auto"/>
                <w:sz w:val="21"/>
                <w:szCs w:val="21"/>
                <w:highlight w:val="none"/>
              </w:rPr>
            </w:pPr>
          </w:p>
        </w:tc>
        <w:tc>
          <w:tcPr>
            <w:tcW w:w="1135" w:type="pct"/>
            <w:vAlign w:val="center"/>
          </w:tcPr>
          <w:p w14:paraId="4C72FCC2">
            <w:pPr>
              <w:pStyle w:val="50"/>
              <w:jc w:val="center"/>
              <w:rPr>
                <w:rFonts w:hint="eastAsia" w:ascii="宋体" w:hAnsi="宋体" w:eastAsia="宋体" w:cs="宋体"/>
                <w:color w:val="auto"/>
                <w:sz w:val="21"/>
                <w:szCs w:val="21"/>
                <w:highlight w:val="none"/>
              </w:rPr>
            </w:pPr>
          </w:p>
        </w:tc>
      </w:tr>
      <w:tr w14:paraId="2669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7" w:type="pct"/>
            <w:vAlign w:val="center"/>
          </w:tcPr>
          <w:p w14:paraId="0D811F11">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159" w:type="pct"/>
            <w:vAlign w:val="center"/>
          </w:tcPr>
          <w:p w14:paraId="7D0AF02A">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31" w:type="pct"/>
            <w:vAlign w:val="center"/>
          </w:tcPr>
          <w:p w14:paraId="6EC8C4F3">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265" w:type="pct"/>
            <w:vAlign w:val="center"/>
          </w:tcPr>
          <w:p w14:paraId="59EB3DF9">
            <w:pPr>
              <w:pStyle w:val="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135" w:type="pct"/>
            <w:vAlign w:val="center"/>
          </w:tcPr>
          <w:p w14:paraId="1BF96619">
            <w:pPr>
              <w:pStyle w:val="50"/>
              <w:jc w:val="center"/>
              <w:rPr>
                <w:rFonts w:hint="eastAsia" w:ascii="宋体" w:hAnsi="宋体" w:eastAsia="宋体" w:cs="宋体"/>
                <w:color w:val="auto"/>
                <w:sz w:val="21"/>
                <w:szCs w:val="21"/>
                <w:highlight w:val="none"/>
              </w:rPr>
            </w:pPr>
          </w:p>
        </w:tc>
      </w:tr>
    </w:tbl>
    <w:p w14:paraId="7A96DC4C">
      <w:pPr>
        <w:ind w:firstLine="420" w:firstLineChars="200"/>
        <w:rPr>
          <w:rFonts w:hint="eastAsia" w:cs="仿宋_GB2312"/>
          <w:color w:val="auto"/>
          <w:sz w:val="21"/>
          <w:szCs w:val="21"/>
          <w:highlight w:val="none"/>
        </w:rPr>
      </w:pPr>
    </w:p>
    <w:p w14:paraId="2B5EBACC">
      <w:pPr>
        <w:ind w:firstLine="420" w:firstLineChars="200"/>
        <w:rPr>
          <w:rFonts w:cs="仿宋_GB2312"/>
          <w:color w:val="auto"/>
          <w:sz w:val="21"/>
          <w:szCs w:val="21"/>
          <w:highlight w:val="none"/>
        </w:rPr>
      </w:pPr>
      <w:r>
        <w:rPr>
          <w:rFonts w:hint="eastAsia" w:cs="仿宋_GB2312"/>
          <w:color w:val="auto"/>
          <w:sz w:val="21"/>
          <w:szCs w:val="21"/>
          <w:highlight w:val="none"/>
        </w:rPr>
        <w:t>说明：投标人应按照招标文件“第三章 采购需求”</w:t>
      </w:r>
      <w:r>
        <w:rPr>
          <w:rFonts w:hint="eastAsia" w:cs="仿宋_GB2312"/>
          <w:color w:val="auto"/>
          <w:sz w:val="21"/>
          <w:szCs w:val="21"/>
          <w:highlight w:val="none"/>
          <w:lang w:val="en-US" w:eastAsia="zh-CN"/>
        </w:rPr>
        <w:t>中的技术要求</w:t>
      </w:r>
      <w:r>
        <w:rPr>
          <w:rFonts w:hint="eastAsia" w:cs="仿宋_GB2312"/>
          <w:color w:val="auto"/>
          <w:sz w:val="21"/>
          <w:szCs w:val="21"/>
          <w:highlight w:val="none"/>
        </w:rPr>
        <w:t>填写</w:t>
      </w:r>
      <w:r>
        <w:rPr>
          <w:rFonts w:hint="eastAsia" w:cs="仿宋_GB2312"/>
          <w:color w:val="auto"/>
          <w:sz w:val="21"/>
          <w:szCs w:val="21"/>
          <w:highlight w:val="none"/>
          <w:lang w:eastAsia="zh-CN"/>
        </w:rPr>
        <w:t>，</w:t>
      </w:r>
      <w:r>
        <w:rPr>
          <w:rFonts w:hint="eastAsia" w:cs="仿宋_GB2312"/>
          <w:color w:val="auto"/>
          <w:sz w:val="21"/>
          <w:szCs w:val="21"/>
          <w:highlight w:val="none"/>
          <w:lang w:val="en-US" w:eastAsia="zh-CN"/>
        </w:rPr>
        <w:t>“响应/正偏离/负偏离”应据实填写“响应”、“正偏离”或“负偏离”</w:t>
      </w:r>
      <w:r>
        <w:rPr>
          <w:rFonts w:hint="eastAsia" w:cs="仿宋_GB2312"/>
          <w:color w:val="auto"/>
          <w:sz w:val="21"/>
          <w:szCs w:val="21"/>
          <w:highlight w:val="none"/>
        </w:rPr>
        <w:t>。</w:t>
      </w:r>
    </w:p>
    <w:p w14:paraId="12AEBD40">
      <w:pPr>
        <w:ind w:firstLine="400" w:firstLineChars="200"/>
        <w:rPr>
          <w:rFonts w:cs="仿宋_GB2312"/>
          <w:color w:val="auto"/>
          <w:szCs w:val="24"/>
          <w:highlight w:val="none"/>
        </w:rPr>
      </w:pPr>
    </w:p>
    <w:p w14:paraId="53059121">
      <w:pPr>
        <w:ind w:firstLine="40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p>
    <w:p w14:paraId="27EF6D84">
      <w:pPr>
        <w:ind w:firstLine="420"/>
        <w:rPr>
          <w:rFonts w:cs="仿宋_GB2312"/>
          <w:color w:val="auto"/>
          <w:szCs w:val="24"/>
          <w:highlight w:val="none"/>
        </w:rPr>
      </w:pPr>
      <w:r>
        <w:rPr>
          <w:rFonts w:hint="eastAsia" w:cs="仿宋_GB2312"/>
          <w:color w:val="auto"/>
          <w:szCs w:val="24"/>
          <w:highlight w:val="none"/>
        </w:rPr>
        <w:t>日      期：</w:t>
      </w:r>
    </w:p>
    <w:p w14:paraId="3689B270">
      <w:pPr>
        <w:ind w:firstLine="420"/>
        <w:rPr>
          <w:rFonts w:cs="仿宋_GB2312"/>
          <w:color w:val="auto"/>
          <w:szCs w:val="24"/>
          <w:highlight w:val="none"/>
        </w:rPr>
      </w:pPr>
    </w:p>
    <w:p w14:paraId="05FE41C4">
      <w:pPr>
        <w:ind w:firstLine="420"/>
        <w:rPr>
          <w:rFonts w:cs="仿宋_GB2312"/>
          <w:color w:val="auto"/>
          <w:szCs w:val="24"/>
          <w:highlight w:val="none"/>
        </w:rPr>
      </w:pPr>
    </w:p>
    <w:p w14:paraId="5228E054">
      <w:pPr>
        <w:ind w:firstLine="420"/>
        <w:rPr>
          <w:rFonts w:hint="eastAsia" w:cs="仿宋_GB2312"/>
          <w:color w:val="auto"/>
          <w:sz w:val="21"/>
          <w:szCs w:val="21"/>
          <w:highlight w:val="none"/>
          <w:lang w:val="en-US" w:eastAsia="zh-CN"/>
        </w:rPr>
      </w:pPr>
      <w:r>
        <w:rPr>
          <w:rFonts w:hint="eastAsia" w:cs="仿宋_GB2312"/>
          <w:color w:val="auto"/>
          <w:sz w:val="21"/>
          <w:szCs w:val="21"/>
          <w:highlight w:val="none"/>
          <w:lang w:val="en-US" w:eastAsia="zh-CN"/>
        </w:rPr>
        <w:t>备注：投标人在本表中须标注产品实际参数数值，照搬照抄采购文件参数、不注明实际数值者</w:t>
      </w:r>
      <w:r>
        <w:rPr>
          <w:rFonts w:hint="eastAsia" w:cs="仿宋_GB2312"/>
          <w:b/>
          <w:bCs/>
          <w:color w:val="auto"/>
          <w:sz w:val="21"/>
          <w:szCs w:val="21"/>
          <w:highlight w:val="none"/>
          <w:lang w:val="en-US" w:eastAsia="zh-CN"/>
        </w:rPr>
        <w:t>视为未响应</w:t>
      </w:r>
      <w:r>
        <w:rPr>
          <w:rFonts w:hint="eastAsia" w:cs="仿宋_GB2312"/>
          <w:color w:val="auto"/>
          <w:sz w:val="21"/>
          <w:szCs w:val="21"/>
          <w:highlight w:val="none"/>
          <w:lang w:val="en-US" w:eastAsia="zh-CN"/>
        </w:rPr>
        <w:t>。</w:t>
      </w:r>
    </w:p>
    <w:p w14:paraId="5E3B4625">
      <w:pPr>
        <w:ind w:firstLine="420"/>
        <w:rPr>
          <w:rFonts w:hint="eastAsia" w:cs="仿宋_GB2312"/>
          <w:color w:val="auto"/>
          <w:sz w:val="21"/>
          <w:szCs w:val="21"/>
          <w:highlight w:val="none"/>
          <w:lang w:val="en-US" w:eastAsia="zh-CN"/>
        </w:rPr>
      </w:pPr>
    </w:p>
    <w:p w14:paraId="49372E23">
      <w:pPr>
        <w:ind w:firstLine="420"/>
        <w:rPr>
          <w:rFonts w:hint="eastAsia" w:cs="仿宋_GB2312"/>
          <w:color w:val="auto"/>
          <w:sz w:val="21"/>
          <w:szCs w:val="21"/>
          <w:highlight w:val="none"/>
          <w:lang w:val="en-US" w:eastAsia="zh-CN"/>
        </w:rPr>
      </w:pPr>
    </w:p>
    <w:p w14:paraId="30496E48">
      <w:pPr>
        <w:ind w:firstLine="420"/>
        <w:rPr>
          <w:rFonts w:hint="eastAsia" w:cs="仿宋_GB2312"/>
          <w:color w:val="auto"/>
          <w:sz w:val="21"/>
          <w:szCs w:val="21"/>
          <w:highlight w:val="none"/>
          <w:lang w:val="en-US" w:eastAsia="zh-CN"/>
        </w:rPr>
      </w:pPr>
    </w:p>
    <w:p w14:paraId="06C98EB9">
      <w:pPr>
        <w:pStyle w:val="4"/>
        <w:bidi w:val="0"/>
        <w:jc w:val="center"/>
        <w:rPr>
          <w:rFonts w:hint="eastAsia"/>
          <w:highlight w:val="none"/>
          <w:lang w:val="en-US" w:eastAsia="zh-CN"/>
        </w:rPr>
      </w:pPr>
      <w:bookmarkStart w:id="761" w:name="_Toc8751"/>
      <w:r>
        <w:rPr>
          <w:rFonts w:hint="eastAsia"/>
          <w:highlight w:val="none"/>
          <w:lang w:val="en-US" w:eastAsia="zh-CN"/>
        </w:rPr>
        <w:t>十、技术方案</w:t>
      </w:r>
      <w:bookmarkEnd w:id="761"/>
    </w:p>
    <w:p w14:paraId="3878D3F5">
      <w:pPr>
        <w:pStyle w:val="38"/>
        <w:rPr>
          <w:color w:val="auto"/>
          <w:highlight w:val="none"/>
        </w:rPr>
      </w:pPr>
      <w:r>
        <w:rPr>
          <w:rFonts w:hint="eastAsia"/>
          <w:color w:val="auto"/>
          <w:highlight w:val="none"/>
        </w:rPr>
        <w:t>投标人应按照招标文件的要求，提供详细的</w:t>
      </w:r>
      <w:r>
        <w:rPr>
          <w:rFonts w:hint="eastAsia"/>
          <w:color w:val="auto"/>
          <w:highlight w:val="none"/>
          <w:lang w:val="en-US" w:eastAsia="zh-CN"/>
        </w:rPr>
        <w:t>供货及相关</w:t>
      </w:r>
      <w:r>
        <w:rPr>
          <w:rFonts w:hint="eastAsia"/>
          <w:color w:val="auto"/>
          <w:highlight w:val="none"/>
        </w:rPr>
        <w:t>服务方案，包括文字描述或图表显示。格式自拟。</w:t>
      </w:r>
    </w:p>
    <w:p w14:paraId="7EE77353">
      <w:pPr>
        <w:pStyle w:val="38"/>
        <w:rPr>
          <w:color w:val="auto"/>
          <w:highlight w:val="none"/>
        </w:rPr>
      </w:pPr>
      <w:r>
        <w:rPr>
          <w:color w:val="auto"/>
          <w:highlight w:val="none"/>
        </w:rPr>
        <w:br w:type="page"/>
      </w:r>
    </w:p>
    <w:p w14:paraId="7AD86D6F">
      <w:pPr>
        <w:ind w:firstLine="420"/>
        <w:rPr>
          <w:rFonts w:hint="eastAsia" w:cs="仿宋_GB2312"/>
          <w:color w:val="auto"/>
          <w:sz w:val="21"/>
          <w:szCs w:val="21"/>
          <w:highlight w:val="none"/>
          <w:lang w:val="en-US" w:eastAsia="zh-CN"/>
        </w:rPr>
      </w:pPr>
    </w:p>
    <w:p w14:paraId="68D392B1">
      <w:pPr>
        <w:pStyle w:val="4"/>
        <w:bidi w:val="0"/>
        <w:jc w:val="center"/>
        <w:rPr>
          <w:rFonts w:hint="eastAsia"/>
          <w:highlight w:val="none"/>
          <w:lang w:val="en-US" w:eastAsia="zh-CN"/>
        </w:rPr>
      </w:pPr>
      <w:bookmarkStart w:id="762" w:name="_Toc22240"/>
      <w:r>
        <w:rPr>
          <w:rFonts w:hint="eastAsia"/>
          <w:highlight w:val="none"/>
          <w:lang w:val="en-US" w:eastAsia="zh-CN"/>
        </w:rPr>
        <w:t>十一、其他文件</w:t>
      </w:r>
      <w:bookmarkEnd w:id="762"/>
    </w:p>
    <w:p w14:paraId="6EF40482">
      <w:pPr>
        <w:pStyle w:val="38"/>
        <w:ind w:left="0" w:leftChars="0" w:firstLine="0" w:firstLineChars="0"/>
        <w:rPr>
          <w:rFonts w:hint="eastAsia"/>
          <w:b/>
          <w:bCs/>
          <w:color w:val="auto"/>
          <w:sz w:val="24"/>
          <w:szCs w:val="24"/>
          <w:highlight w:val="none"/>
        </w:rPr>
      </w:pPr>
      <w:r>
        <w:rPr>
          <w:rFonts w:hint="eastAsia"/>
          <w:b/>
          <w:bCs/>
          <w:color w:val="auto"/>
          <w:sz w:val="24"/>
          <w:szCs w:val="24"/>
          <w:highlight w:val="none"/>
          <w:lang w:eastAsia="zh-CN"/>
        </w:rPr>
        <w:t>（</w:t>
      </w:r>
      <w:r>
        <w:rPr>
          <w:rFonts w:hint="eastAsia"/>
          <w:b/>
          <w:bCs/>
          <w:color w:val="auto"/>
          <w:sz w:val="24"/>
          <w:szCs w:val="24"/>
          <w:highlight w:val="none"/>
          <w:lang w:val="en-US" w:eastAsia="zh-CN"/>
        </w:rPr>
        <w:t>一）</w:t>
      </w:r>
      <w:r>
        <w:rPr>
          <w:rFonts w:hint="eastAsia"/>
          <w:b/>
          <w:bCs/>
          <w:color w:val="auto"/>
          <w:sz w:val="24"/>
          <w:szCs w:val="24"/>
          <w:highlight w:val="none"/>
        </w:rPr>
        <w:t>招标文件要求提供的其它商务</w:t>
      </w:r>
      <w:r>
        <w:rPr>
          <w:rFonts w:hint="eastAsia"/>
          <w:b/>
          <w:bCs/>
          <w:color w:val="auto"/>
          <w:sz w:val="24"/>
          <w:szCs w:val="24"/>
          <w:highlight w:val="none"/>
          <w:lang w:eastAsia="zh-CN"/>
        </w:rPr>
        <w:t>、</w:t>
      </w:r>
      <w:r>
        <w:rPr>
          <w:rFonts w:hint="eastAsia"/>
          <w:b/>
          <w:bCs/>
          <w:color w:val="auto"/>
          <w:sz w:val="24"/>
          <w:szCs w:val="24"/>
          <w:highlight w:val="none"/>
        </w:rPr>
        <w:t>技术资料和证明材料；</w:t>
      </w:r>
    </w:p>
    <w:p w14:paraId="1AB0431C">
      <w:pPr>
        <w:pStyle w:val="38"/>
        <w:rPr>
          <w:rFonts w:hint="eastAsia"/>
          <w:color w:val="auto"/>
          <w:sz w:val="24"/>
          <w:szCs w:val="24"/>
          <w:highlight w:val="none"/>
          <w:lang w:val="en-US" w:eastAsia="zh-CN"/>
        </w:rPr>
      </w:pPr>
      <w:r>
        <w:rPr>
          <w:rFonts w:hint="eastAsia"/>
          <w:color w:val="auto"/>
          <w:sz w:val="24"/>
          <w:szCs w:val="24"/>
          <w:highlight w:val="none"/>
          <w:lang w:val="en-US" w:eastAsia="zh-CN"/>
        </w:rPr>
        <w:t>1.1投标人信息采集表</w:t>
      </w:r>
    </w:p>
    <w:tbl>
      <w:tblPr>
        <w:tblStyle w:val="32"/>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2841"/>
        <w:gridCol w:w="2743"/>
      </w:tblGrid>
      <w:tr w14:paraId="321A6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vAlign w:val="center"/>
          </w:tcPr>
          <w:p w14:paraId="1508E63E">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投标人名称</w:t>
            </w:r>
          </w:p>
        </w:tc>
        <w:tc>
          <w:tcPr>
            <w:tcW w:w="2841" w:type="dxa"/>
            <w:vAlign w:val="center"/>
          </w:tcPr>
          <w:p w14:paraId="525F160D">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投标人实际控制人性别</w:t>
            </w:r>
          </w:p>
        </w:tc>
        <w:tc>
          <w:tcPr>
            <w:tcW w:w="2743" w:type="dxa"/>
            <w:vAlign w:val="center"/>
          </w:tcPr>
          <w:p w14:paraId="6288AB90">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外商投资类型</w:t>
            </w:r>
          </w:p>
        </w:tc>
      </w:tr>
      <w:tr w14:paraId="0694C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5BC16E3C">
            <w:pPr>
              <w:pStyle w:val="38"/>
              <w:rPr>
                <w:rFonts w:hint="eastAsia" w:ascii="宋体" w:hAnsi="宋体" w:eastAsia="宋体" w:cs="宋体"/>
                <w:color w:val="auto"/>
                <w:sz w:val="24"/>
                <w:szCs w:val="24"/>
                <w:highlight w:val="none"/>
                <w:vertAlign w:val="baseline"/>
                <w:lang w:val="en-US" w:eastAsia="zh-CN"/>
              </w:rPr>
            </w:pPr>
          </w:p>
        </w:tc>
        <w:tc>
          <w:tcPr>
            <w:tcW w:w="2841" w:type="dxa"/>
          </w:tcPr>
          <w:p w14:paraId="471F983C">
            <w:pPr>
              <w:pStyle w:val="38"/>
              <w:rPr>
                <w:rFonts w:hint="eastAsia" w:ascii="宋体" w:hAnsi="宋体" w:eastAsia="宋体" w:cs="宋体"/>
                <w:color w:val="auto"/>
                <w:sz w:val="24"/>
                <w:szCs w:val="24"/>
                <w:highlight w:val="none"/>
                <w:vertAlign w:val="baseline"/>
                <w:lang w:val="en-US" w:eastAsia="zh-CN"/>
              </w:rPr>
            </w:pPr>
          </w:p>
        </w:tc>
        <w:tc>
          <w:tcPr>
            <w:tcW w:w="2743" w:type="dxa"/>
          </w:tcPr>
          <w:p w14:paraId="59E9D0CB">
            <w:pPr>
              <w:pStyle w:val="38"/>
              <w:rPr>
                <w:rFonts w:hint="eastAsia" w:ascii="宋体" w:hAnsi="宋体" w:eastAsia="宋体" w:cs="宋体"/>
                <w:color w:val="auto"/>
                <w:sz w:val="24"/>
                <w:szCs w:val="24"/>
                <w:highlight w:val="none"/>
                <w:vertAlign w:val="baseline"/>
                <w:lang w:val="en-US" w:eastAsia="zh-CN"/>
              </w:rPr>
            </w:pPr>
          </w:p>
        </w:tc>
      </w:tr>
      <w:tr w14:paraId="6D8FF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3BE5BC20">
            <w:pPr>
              <w:pStyle w:val="38"/>
              <w:rPr>
                <w:rFonts w:hint="eastAsia" w:ascii="宋体" w:hAnsi="宋体" w:eastAsia="宋体" w:cs="宋体"/>
                <w:color w:val="auto"/>
                <w:sz w:val="24"/>
                <w:szCs w:val="24"/>
                <w:highlight w:val="none"/>
                <w:vertAlign w:val="baseline"/>
                <w:lang w:val="en-US" w:eastAsia="zh-CN"/>
              </w:rPr>
            </w:pPr>
          </w:p>
        </w:tc>
        <w:tc>
          <w:tcPr>
            <w:tcW w:w="2841" w:type="dxa"/>
          </w:tcPr>
          <w:p w14:paraId="65335BA2">
            <w:pPr>
              <w:pStyle w:val="38"/>
              <w:rPr>
                <w:rFonts w:hint="eastAsia" w:ascii="宋体" w:hAnsi="宋体" w:eastAsia="宋体" w:cs="宋体"/>
                <w:color w:val="auto"/>
                <w:sz w:val="24"/>
                <w:szCs w:val="24"/>
                <w:highlight w:val="none"/>
                <w:vertAlign w:val="baseline"/>
                <w:lang w:val="en-US" w:eastAsia="zh-CN"/>
              </w:rPr>
            </w:pPr>
          </w:p>
        </w:tc>
        <w:tc>
          <w:tcPr>
            <w:tcW w:w="2743" w:type="dxa"/>
          </w:tcPr>
          <w:p w14:paraId="331FBFA7">
            <w:pPr>
              <w:pStyle w:val="38"/>
              <w:rPr>
                <w:rFonts w:hint="eastAsia" w:ascii="宋体" w:hAnsi="宋体" w:eastAsia="宋体" w:cs="宋体"/>
                <w:color w:val="auto"/>
                <w:sz w:val="24"/>
                <w:szCs w:val="24"/>
                <w:highlight w:val="none"/>
                <w:vertAlign w:val="baseline"/>
                <w:lang w:val="en-US" w:eastAsia="zh-CN"/>
              </w:rPr>
            </w:pPr>
          </w:p>
        </w:tc>
      </w:tr>
      <w:tr w14:paraId="1A91A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399AB141">
            <w:pPr>
              <w:pStyle w:val="38"/>
              <w:rPr>
                <w:rFonts w:hint="eastAsia" w:ascii="宋体" w:hAnsi="宋体" w:eastAsia="宋体" w:cs="宋体"/>
                <w:color w:val="auto"/>
                <w:sz w:val="24"/>
                <w:szCs w:val="24"/>
                <w:highlight w:val="none"/>
                <w:vertAlign w:val="baseline"/>
                <w:lang w:val="en-US" w:eastAsia="zh-CN"/>
              </w:rPr>
            </w:pPr>
          </w:p>
        </w:tc>
        <w:tc>
          <w:tcPr>
            <w:tcW w:w="2841" w:type="dxa"/>
          </w:tcPr>
          <w:p w14:paraId="00E4C5E8">
            <w:pPr>
              <w:pStyle w:val="38"/>
              <w:rPr>
                <w:rFonts w:hint="eastAsia" w:ascii="宋体" w:hAnsi="宋体" w:eastAsia="宋体" w:cs="宋体"/>
                <w:color w:val="auto"/>
                <w:sz w:val="24"/>
                <w:szCs w:val="24"/>
                <w:highlight w:val="none"/>
                <w:vertAlign w:val="baseline"/>
                <w:lang w:val="en-US" w:eastAsia="zh-CN"/>
              </w:rPr>
            </w:pPr>
          </w:p>
        </w:tc>
        <w:tc>
          <w:tcPr>
            <w:tcW w:w="2743" w:type="dxa"/>
          </w:tcPr>
          <w:p w14:paraId="42125693">
            <w:pPr>
              <w:pStyle w:val="38"/>
              <w:rPr>
                <w:rFonts w:hint="eastAsia" w:ascii="宋体" w:hAnsi="宋体" w:eastAsia="宋体" w:cs="宋体"/>
                <w:color w:val="auto"/>
                <w:sz w:val="24"/>
                <w:szCs w:val="24"/>
                <w:highlight w:val="none"/>
                <w:vertAlign w:val="baseline"/>
                <w:lang w:val="en-US" w:eastAsia="zh-CN"/>
              </w:rPr>
            </w:pPr>
          </w:p>
        </w:tc>
      </w:tr>
      <w:tr w14:paraId="24B46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2995954E">
            <w:pPr>
              <w:pStyle w:val="38"/>
              <w:rPr>
                <w:rFonts w:hint="eastAsia" w:ascii="宋体" w:hAnsi="宋体" w:eastAsia="宋体" w:cs="宋体"/>
                <w:color w:val="auto"/>
                <w:sz w:val="24"/>
                <w:szCs w:val="24"/>
                <w:highlight w:val="none"/>
                <w:vertAlign w:val="baseline"/>
                <w:lang w:val="en-US" w:eastAsia="zh-CN"/>
              </w:rPr>
            </w:pPr>
          </w:p>
        </w:tc>
        <w:tc>
          <w:tcPr>
            <w:tcW w:w="2841" w:type="dxa"/>
          </w:tcPr>
          <w:p w14:paraId="75889361">
            <w:pPr>
              <w:pStyle w:val="38"/>
              <w:rPr>
                <w:rFonts w:hint="eastAsia" w:ascii="宋体" w:hAnsi="宋体" w:eastAsia="宋体" w:cs="宋体"/>
                <w:color w:val="auto"/>
                <w:sz w:val="24"/>
                <w:szCs w:val="24"/>
                <w:highlight w:val="none"/>
                <w:vertAlign w:val="baseline"/>
                <w:lang w:val="en-US" w:eastAsia="zh-CN"/>
              </w:rPr>
            </w:pPr>
          </w:p>
        </w:tc>
        <w:tc>
          <w:tcPr>
            <w:tcW w:w="2743" w:type="dxa"/>
          </w:tcPr>
          <w:p w14:paraId="760C7D5C">
            <w:pPr>
              <w:pStyle w:val="38"/>
              <w:rPr>
                <w:rFonts w:hint="eastAsia" w:ascii="宋体" w:hAnsi="宋体" w:eastAsia="宋体" w:cs="宋体"/>
                <w:color w:val="auto"/>
                <w:sz w:val="24"/>
                <w:szCs w:val="24"/>
                <w:highlight w:val="none"/>
                <w:vertAlign w:val="baseline"/>
                <w:lang w:val="en-US" w:eastAsia="zh-CN"/>
              </w:rPr>
            </w:pPr>
          </w:p>
        </w:tc>
      </w:tr>
    </w:tbl>
    <w:p w14:paraId="799D1172">
      <w:pPr>
        <w:keepNext w:val="0"/>
        <w:keepLines w:val="0"/>
        <w:widowControl/>
        <w:suppressLineNumbers w:val="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注：1.投标人如为联合体，则应填写联合体各成员信息。 </w:t>
      </w:r>
    </w:p>
    <w:p w14:paraId="429C5533">
      <w:pPr>
        <w:keepNext w:val="0"/>
        <w:keepLines w:val="0"/>
        <w:widowControl/>
        <w:suppressLineNumbers w:val="0"/>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r>
        <w:rPr>
          <w:rFonts w:hint="eastAsia" w:cs="宋体"/>
          <w:color w:val="auto"/>
          <w:kern w:val="0"/>
          <w:sz w:val="21"/>
          <w:szCs w:val="21"/>
          <w:highlight w:val="none"/>
          <w:lang w:val="en-US" w:eastAsia="zh-CN" w:bidi="ar"/>
        </w:rPr>
        <w:t>“投标人实际控制人性别”</w:t>
      </w:r>
      <w:r>
        <w:rPr>
          <w:rFonts w:hint="eastAsia" w:ascii="宋体" w:hAnsi="宋体" w:eastAsia="宋体" w:cs="宋体"/>
          <w:color w:val="auto"/>
          <w:kern w:val="0"/>
          <w:sz w:val="21"/>
          <w:szCs w:val="21"/>
          <w:highlight w:val="none"/>
          <w:lang w:val="en-US" w:eastAsia="zh-CN" w:bidi="ar"/>
        </w:rPr>
        <w:t>按投标人实际控制人性别划分请填写“男”或“女”，指拥有投标人 51%以上绝对所有权的性；绝对所有权拥有者可以是一个人，也可以是多人合计计算。</w:t>
      </w:r>
    </w:p>
    <w:p w14:paraId="6C85D95C">
      <w:pPr>
        <w:pStyle w:val="38"/>
        <w:ind w:left="0" w:leftChars="0" w:firstLine="420" w:firstLineChars="200"/>
        <w:rPr>
          <w:rFonts w:hint="eastAsia"/>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
        </w:rPr>
        <w:t>3.</w:t>
      </w:r>
      <w:r>
        <w:rPr>
          <w:rFonts w:hint="eastAsia"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外商投资类型</w:t>
      </w:r>
      <w:r>
        <w:rPr>
          <w:rFonts w:hint="eastAsia"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请填写“外商单独投资”、“外商部分投资”或“内资”。</w:t>
      </w:r>
    </w:p>
    <w:p w14:paraId="74B37C36">
      <w:pPr>
        <w:pStyle w:val="38"/>
        <w:rPr>
          <w:rFonts w:hint="eastAsia"/>
          <w:color w:val="auto"/>
          <w:sz w:val="28"/>
          <w:szCs w:val="28"/>
          <w:highlight w:val="none"/>
          <w:lang w:val="en-US" w:eastAsia="zh-CN"/>
        </w:rPr>
      </w:pPr>
    </w:p>
    <w:p w14:paraId="3F26FF37">
      <w:pPr>
        <w:pStyle w:val="38"/>
        <w:rPr>
          <w:rFonts w:hint="eastAsia"/>
          <w:color w:val="auto"/>
          <w:sz w:val="24"/>
          <w:szCs w:val="24"/>
          <w:highlight w:val="none"/>
          <w:lang w:val="en-US" w:eastAsia="zh-CN"/>
        </w:rPr>
      </w:pPr>
      <w:r>
        <w:rPr>
          <w:rFonts w:hint="eastAsia"/>
          <w:color w:val="auto"/>
          <w:sz w:val="24"/>
          <w:szCs w:val="24"/>
          <w:highlight w:val="none"/>
          <w:lang w:val="en-US" w:eastAsia="zh-CN"/>
        </w:rPr>
        <w:t>1.2其它商务、技术资料和证明材料</w:t>
      </w:r>
    </w:p>
    <w:p w14:paraId="110B54DA">
      <w:pPr>
        <w:pStyle w:val="38"/>
        <w:ind w:left="0" w:leftChars="0" w:firstLine="0" w:firstLineChars="0"/>
        <w:rPr>
          <w:rFonts w:hint="eastAsia"/>
          <w:b/>
          <w:bCs/>
          <w:color w:val="auto"/>
          <w:sz w:val="24"/>
          <w:szCs w:val="24"/>
          <w:highlight w:val="none"/>
          <w:lang w:eastAsia="zh-CN"/>
        </w:rPr>
      </w:pPr>
    </w:p>
    <w:p w14:paraId="7DF13FE9">
      <w:pPr>
        <w:pStyle w:val="38"/>
        <w:ind w:left="0" w:leftChars="0" w:firstLine="0" w:firstLineChars="0"/>
        <w:rPr>
          <w:rFonts w:hint="eastAsia"/>
          <w:b/>
          <w:bCs/>
          <w:color w:val="auto"/>
          <w:sz w:val="24"/>
          <w:szCs w:val="24"/>
          <w:highlight w:val="none"/>
        </w:rPr>
      </w:pPr>
      <w:r>
        <w:rPr>
          <w:rFonts w:hint="eastAsia"/>
          <w:b/>
          <w:bCs/>
          <w:color w:val="auto"/>
          <w:sz w:val="24"/>
          <w:szCs w:val="24"/>
          <w:highlight w:val="none"/>
          <w:lang w:eastAsia="zh-CN"/>
        </w:rPr>
        <w:t>（</w:t>
      </w:r>
      <w:r>
        <w:rPr>
          <w:rFonts w:hint="eastAsia"/>
          <w:b/>
          <w:bCs/>
          <w:color w:val="auto"/>
          <w:sz w:val="24"/>
          <w:szCs w:val="24"/>
          <w:highlight w:val="none"/>
          <w:lang w:val="en-US" w:eastAsia="zh-CN"/>
        </w:rPr>
        <w:t>二）</w:t>
      </w:r>
      <w:r>
        <w:rPr>
          <w:rFonts w:hint="eastAsia"/>
          <w:b/>
          <w:bCs/>
          <w:color w:val="auto"/>
          <w:sz w:val="24"/>
          <w:szCs w:val="24"/>
          <w:highlight w:val="none"/>
        </w:rPr>
        <w:t>投标人认为需要提供的其它商务</w:t>
      </w:r>
      <w:r>
        <w:rPr>
          <w:rFonts w:hint="eastAsia"/>
          <w:b/>
          <w:bCs/>
          <w:color w:val="auto"/>
          <w:sz w:val="24"/>
          <w:szCs w:val="24"/>
          <w:highlight w:val="none"/>
          <w:lang w:eastAsia="zh-CN"/>
        </w:rPr>
        <w:t>、</w:t>
      </w:r>
      <w:r>
        <w:rPr>
          <w:rFonts w:hint="eastAsia"/>
          <w:b/>
          <w:bCs/>
          <w:color w:val="auto"/>
          <w:sz w:val="24"/>
          <w:szCs w:val="24"/>
          <w:highlight w:val="none"/>
        </w:rPr>
        <w:t>技术资料和说明。</w:t>
      </w:r>
    </w:p>
    <w:p w14:paraId="3352B805">
      <w:pPr>
        <w:pStyle w:val="38"/>
        <w:rPr>
          <w:rFonts w:hint="eastAsia"/>
          <w:color w:val="auto"/>
          <w:highlight w:val="none"/>
        </w:rPr>
      </w:pPr>
    </w:p>
    <w:p w14:paraId="766E7230">
      <w:pPr>
        <w:pStyle w:val="38"/>
        <w:rPr>
          <w:rFonts w:hint="eastAsia"/>
          <w:color w:val="auto"/>
          <w:highlight w:val="none"/>
        </w:rPr>
      </w:pPr>
    </w:p>
    <w:p w14:paraId="7E6DA7CB">
      <w:pPr>
        <w:pStyle w:val="38"/>
        <w:rPr>
          <w:rFonts w:hint="eastAsia"/>
          <w:color w:val="auto"/>
          <w:highlight w:val="none"/>
        </w:rPr>
      </w:pPr>
    </w:p>
    <w:p w14:paraId="395AC919">
      <w:pPr>
        <w:pStyle w:val="38"/>
        <w:rPr>
          <w:rFonts w:hint="eastAsia"/>
          <w:color w:val="auto"/>
          <w:highlight w:val="none"/>
        </w:rPr>
      </w:pPr>
    </w:p>
    <w:p w14:paraId="436F8A75">
      <w:pPr>
        <w:pStyle w:val="38"/>
        <w:rPr>
          <w:rFonts w:hint="eastAsia"/>
          <w:color w:val="auto"/>
          <w:highlight w:val="none"/>
        </w:rPr>
      </w:pPr>
    </w:p>
    <w:p w14:paraId="0F28D1BF">
      <w:pPr>
        <w:pStyle w:val="38"/>
        <w:rPr>
          <w:rFonts w:hint="eastAsia"/>
          <w:color w:val="auto"/>
          <w:highlight w:val="none"/>
        </w:rPr>
      </w:pPr>
    </w:p>
    <w:p w14:paraId="73B3AAA3">
      <w:pPr>
        <w:pStyle w:val="38"/>
        <w:rPr>
          <w:rFonts w:hint="eastAsia"/>
          <w:color w:val="auto"/>
          <w:highlight w:val="none"/>
        </w:rPr>
      </w:pPr>
    </w:p>
    <w:p w14:paraId="137393C0">
      <w:pPr>
        <w:pStyle w:val="38"/>
        <w:rPr>
          <w:rFonts w:hint="eastAsia"/>
          <w:color w:val="auto"/>
          <w:highlight w:val="none"/>
        </w:rPr>
      </w:pPr>
    </w:p>
    <w:p w14:paraId="11F121D1">
      <w:pPr>
        <w:pStyle w:val="38"/>
        <w:rPr>
          <w:rFonts w:hint="eastAsia"/>
          <w:color w:val="auto"/>
          <w:highlight w:val="none"/>
        </w:rPr>
      </w:pPr>
    </w:p>
    <w:p w14:paraId="029E7D74">
      <w:pPr>
        <w:pStyle w:val="4"/>
        <w:bidi w:val="0"/>
        <w:rPr>
          <w:rFonts w:hint="eastAsia"/>
          <w:highlight w:val="none"/>
          <w:lang w:val="en-US" w:eastAsia="zh-CN"/>
        </w:rPr>
      </w:pPr>
      <w:bookmarkStart w:id="763" w:name="_Toc163492926"/>
      <w:bookmarkStart w:id="764" w:name="_Toc155185932"/>
      <w:bookmarkStart w:id="765" w:name="_Toc7233"/>
      <w:r>
        <w:rPr>
          <w:rFonts w:hint="eastAsia"/>
          <w:highlight w:val="none"/>
          <w:lang w:val="en-US" w:eastAsia="zh-CN"/>
        </w:rPr>
        <w:t>十二、</w:t>
      </w:r>
      <w:bookmarkEnd w:id="763"/>
      <w:bookmarkEnd w:id="764"/>
      <w:r>
        <w:rPr>
          <w:rFonts w:hint="eastAsia"/>
          <w:highlight w:val="none"/>
          <w:lang w:val="en-US" w:eastAsia="zh-CN"/>
        </w:rPr>
        <w:t>落实政府采购政策相关证明文件</w:t>
      </w:r>
      <w:bookmarkEnd w:id="765"/>
    </w:p>
    <w:p w14:paraId="7C3ECB16">
      <w:pPr>
        <w:pStyle w:val="5"/>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766" w:name="_Toc163492938"/>
      <w:bookmarkStart w:id="767" w:name="_Toc9071"/>
      <w:bookmarkStart w:id="768" w:name="_Toc26028"/>
      <w:r>
        <w:rPr>
          <w:rFonts w:hint="eastAsia" w:ascii="宋体" w:hAnsi="宋体" w:eastAsia="宋体" w:cs="宋体"/>
          <w:b/>
          <w:bCs/>
          <w:color w:val="auto"/>
          <w:kern w:val="2"/>
          <w:sz w:val="24"/>
          <w:szCs w:val="24"/>
          <w:highlight w:val="none"/>
          <w:lang w:val="en-US" w:eastAsia="zh-CN" w:bidi="ar-SA"/>
        </w:rPr>
        <w:t>（一）节能环保产品清单及证明材料</w:t>
      </w:r>
      <w:r>
        <w:rPr>
          <w:rFonts w:hint="eastAsia" w:ascii="宋体" w:hAnsi="宋体" w:eastAsia="宋体" w:cs="宋体"/>
          <w:b w:val="0"/>
          <w:bCs w:val="0"/>
          <w:color w:val="auto"/>
          <w:kern w:val="2"/>
          <w:sz w:val="24"/>
          <w:szCs w:val="24"/>
          <w:highlight w:val="none"/>
          <w:lang w:val="en-US" w:eastAsia="zh-CN" w:bidi="ar-SA"/>
        </w:rPr>
        <w:t>【如适用】</w:t>
      </w:r>
      <w:bookmarkEnd w:id="766"/>
      <w:bookmarkEnd w:id="767"/>
      <w:bookmarkEnd w:id="768"/>
    </w:p>
    <w:p w14:paraId="70F7B0FB">
      <w:pPr>
        <w:spacing w:line="30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lang w:val="en-US" w:eastAsia="zh-CN"/>
        </w:rPr>
        <w:t>/包号</w:t>
      </w:r>
      <w:r>
        <w:rPr>
          <w:rFonts w:hint="eastAsia" w:ascii="宋体" w:hAnsi="宋体" w:eastAsia="宋体" w:cs="宋体"/>
          <w:color w:val="auto"/>
          <w:sz w:val="24"/>
          <w:szCs w:val="24"/>
          <w:highlight w:val="none"/>
        </w:rPr>
        <w:t>：</w:t>
      </w:r>
    </w:p>
    <w:p w14:paraId="0E9AF162">
      <w:pPr>
        <w:spacing w:line="30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节能产品</w:t>
      </w:r>
    </w:p>
    <w:tbl>
      <w:tblPr>
        <w:tblStyle w:val="31"/>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6C2C9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48CDFDA5">
            <w:pPr>
              <w:pStyle w:val="50"/>
              <w:jc w:val="center"/>
              <w:rPr>
                <w:color w:val="auto"/>
                <w:sz w:val="21"/>
                <w:szCs w:val="21"/>
                <w:highlight w:val="none"/>
              </w:rPr>
            </w:pPr>
            <w:r>
              <w:rPr>
                <w:rFonts w:hint="eastAsia"/>
                <w:color w:val="auto"/>
                <w:sz w:val="21"/>
                <w:szCs w:val="21"/>
                <w:highlight w:val="none"/>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704FBD92">
            <w:pPr>
              <w:pStyle w:val="50"/>
              <w:jc w:val="center"/>
              <w:rPr>
                <w:color w:val="auto"/>
                <w:sz w:val="21"/>
                <w:szCs w:val="21"/>
                <w:highlight w:val="none"/>
              </w:rPr>
            </w:pPr>
            <w:r>
              <w:rPr>
                <w:rFonts w:hint="eastAsia"/>
                <w:color w:val="auto"/>
                <w:sz w:val="21"/>
                <w:szCs w:val="21"/>
                <w:highlight w:val="none"/>
              </w:rPr>
              <w:t>设备名称</w:t>
            </w:r>
          </w:p>
        </w:tc>
        <w:tc>
          <w:tcPr>
            <w:tcW w:w="972" w:type="dxa"/>
            <w:tcBorders>
              <w:top w:val="single" w:color="auto" w:sz="4" w:space="0"/>
              <w:left w:val="single" w:color="auto" w:sz="4" w:space="0"/>
              <w:bottom w:val="single" w:color="auto" w:sz="4" w:space="0"/>
              <w:right w:val="single" w:color="auto" w:sz="4" w:space="0"/>
            </w:tcBorders>
            <w:vAlign w:val="center"/>
          </w:tcPr>
          <w:p w14:paraId="2314533B">
            <w:pPr>
              <w:pStyle w:val="50"/>
              <w:jc w:val="center"/>
              <w:rPr>
                <w:color w:val="auto"/>
                <w:sz w:val="21"/>
                <w:szCs w:val="21"/>
                <w:highlight w:val="none"/>
              </w:rPr>
            </w:pPr>
            <w:r>
              <w:rPr>
                <w:rFonts w:hint="eastAsia"/>
                <w:color w:val="auto"/>
                <w:sz w:val="21"/>
                <w:szCs w:val="21"/>
                <w:highlight w:val="none"/>
              </w:rPr>
              <w:t>制造商名称</w:t>
            </w:r>
          </w:p>
        </w:tc>
        <w:tc>
          <w:tcPr>
            <w:tcW w:w="792" w:type="dxa"/>
            <w:tcBorders>
              <w:top w:val="single" w:color="auto" w:sz="4" w:space="0"/>
              <w:left w:val="single" w:color="auto" w:sz="4" w:space="0"/>
              <w:bottom w:val="single" w:color="auto" w:sz="4" w:space="0"/>
              <w:right w:val="single" w:color="auto" w:sz="4" w:space="0"/>
            </w:tcBorders>
            <w:vAlign w:val="center"/>
          </w:tcPr>
          <w:p w14:paraId="257F111C">
            <w:pPr>
              <w:pStyle w:val="50"/>
              <w:jc w:val="center"/>
              <w:rPr>
                <w:color w:val="auto"/>
                <w:sz w:val="21"/>
                <w:szCs w:val="21"/>
                <w:highlight w:val="none"/>
              </w:rPr>
            </w:pPr>
            <w:r>
              <w:rPr>
                <w:rFonts w:hint="eastAsia"/>
                <w:color w:val="auto"/>
                <w:sz w:val="21"/>
                <w:szCs w:val="21"/>
                <w:highlight w:val="none"/>
              </w:rPr>
              <w:t>品牌</w:t>
            </w:r>
          </w:p>
        </w:tc>
        <w:tc>
          <w:tcPr>
            <w:tcW w:w="696" w:type="dxa"/>
            <w:tcBorders>
              <w:top w:val="single" w:color="auto" w:sz="4" w:space="0"/>
              <w:left w:val="single" w:color="auto" w:sz="4" w:space="0"/>
              <w:bottom w:val="single" w:color="auto" w:sz="4" w:space="0"/>
              <w:right w:val="single" w:color="auto" w:sz="4" w:space="0"/>
            </w:tcBorders>
            <w:vAlign w:val="center"/>
          </w:tcPr>
          <w:p w14:paraId="3D16978E">
            <w:pPr>
              <w:pStyle w:val="50"/>
              <w:jc w:val="center"/>
              <w:rPr>
                <w:color w:val="auto"/>
                <w:sz w:val="21"/>
                <w:szCs w:val="21"/>
                <w:highlight w:val="none"/>
              </w:rPr>
            </w:pPr>
            <w:r>
              <w:rPr>
                <w:rFonts w:hint="eastAsia"/>
                <w:color w:val="auto"/>
                <w:sz w:val="21"/>
                <w:szCs w:val="21"/>
                <w:highlight w:val="none"/>
              </w:rPr>
              <w:t>型号</w:t>
            </w:r>
          </w:p>
        </w:tc>
        <w:tc>
          <w:tcPr>
            <w:tcW w:w="648" w:type="dxa"/>
            <w:tcBorders>
              <w:top w:val="single" w:color="auto" w:sz="4" w:space="0"/>
              <w:left w:val="single" w:color="auto" w:sz="4" w:space="0"/>
              <w:bottom w:val="single" w:color="auto" w:sz="4" w:space="0"/>
              <w:right w:val="single" w:color="auto" w:sz="4" w:space="0"/>
            </w:tcBorders>
            <w:vAlign w:val="center"/>
          </w:tcPr>
          <w:p w14:paraId="2098D515">
            <w:pPr>
              <w:pStyle w:val="50"/>
              <w:jc w:val="center"/>
              <w:rPr>
                <w:color w:val="auto"/>
                <w:sz w:val="21"/>
                <w:szCs w:val="21"/>
                <w:highlight w:val="none"/>
              </w:rPr>
            </w:pPr>
            <w:r>
              <w:rPr>
                <w:rFonts w:hint="eastAsia"/>
                <w:color w:val="auto"/>
                <w:sz w:val="21"/>
                <w:szCs w:val="21"/>
                <w:highlight w:val="none"/>
              </w:rPr>
              <w:t>数量</w:t>
            </w:r>
          </w:p>
        </w:tc>
        <w:tc>
          <w:tcPr>
            <w:tcW w:w="1128" w:type="dxa"/>
            <w:tcBorders>
              <w:top w:val="single" w:color="auto" w:sz="4" w:space="0"/>
              <w:left w:val="single" w:color="auto" w:sz="4" w:space="0"/>
              <w:bottom w:val="single" w:color="auto" w:sz="4" w:space="0"/>
              <w:right w:val="single" w:color="auto" w:sz="4" w:space="0"/>
            </w:tcBorders>
            <w:vAlign w:val="center"/>
          </w:tcPr>
          <w:p w14:paraId="6C4423A6">
            <w:pPr>
              <w:pStyle w:val="50"/>
              <w:jc w:val="center"/>
              <w:rPr>
                <w:color w:val="auto"/>
                <w:sz w:val="21"/>
                <w:szCs w:val="21"/>
                <w:highlight w:val="none"/>
              </w:rPr>
            </w:pPr>
            <w:r>
              <w:rPr>
                <w:rFonts w:hint="eastAsia"/>
                <w:color w:val="auto"/>
                <w:sz w:val="21"/>
                <w:szCs w:val="21"/>
                <w:highlight w:val="none"/>
              </w:rPr>
              <w:t>单价</w:t>
            </w:r>
          </w:p>
          <w:p w14:paraId="1412F04F">
            <w:pPr>
              <w:pStyle w:val="50"/>
              <w:jc w:val="center"/>
              <w:rPr>
                <w:color w:val="auto"/>
                <w:sz w:val="21"/>
                <w:szCs w:val="21"/>
                <w:highlight w:val="none"/>
              </w:rPr>
            </w:pPr>
            <w:r>
              <w:rPr>
                <w:rFonts w:hint="eastAsia"/>
                <w:color w:val="auto"/>
                <w:sz w:val="21"/>
                <w:szCs w:val="21"/>
                <w:highlight w:val="none"/>
              </w:rPr>
              <w:t>（万元）</w:t>
            </w:r>
          </w:p>
        </w:tc>
        <w:tc>
          <w:tcPr>
            <w:tcW w:w="1224" w:type="dxa"/>
            <w:tcBorders>
              <w:top w:val="single" w:color="auto" w:sz="4" w:space="0"/>
              <w:left w:val="single" w:color="auto" w:sz="4" w:space="0"/>
              <w:bottom w:val="single" w:color="auto" w:sz="4" w:space="0"/>
              <w:right w:val="single" w:color="auto" w:sz="4" w:space="0"/>
            </w:tcBorders>
            <w:vAlign w:val="center"/>
          </w:tcPr>
          <w:p w14:paraId="3DBA0637">
            <w:pPr>
              <w:pStyle w:val="50"/>
              <w:jc w:val="center"/>
              <w:rPr>
                <w:color w:val="auto"/>
                <w:sz w:val="21"/>
                <w:szCs w:val="21"/>
                <w:highlight w:val="none"/>
              </w:rPr>
            </w:pPr>
            <w:r>
              <w:rPr>
                <w:rFonts w:hint="eastAsia"/>
                <w:color w:val="auto"/>
                <w:sz w:val="21"/>
                <w:szCs w:val="21"/>
                <w:highlight w:val="none"/>
              </w:rPr>
              <w:t>总价</w:t>
            </w:r>
          </w:p>
          <w:p w14:paraId="4BD80FB4">
            <w:pPr>
              <w:pStyle w:val="50"/>
              <w:jc w:val="center"/>
              <w:rPr>
                <w:color w:val="auto"/>
                <w:sz w:val="21"/>
                <w:szCs w:val="21"/>
                <w:highlight w:val="none"/>
              </w:rPr>
            </w:pPr>
            <w:r>
              <w:rPr>
                <w:rFonts w:hint="eastAsia"/>
                <w:color w:val="auto"/>
                <w:sz w:val="21"/>
                <w:szCs w:val="21"/>
                <w:highlight w:val="none"/>
              </w:rPr>
              <w:t>（万元）</w:t>
            </w:r>
          </w:p>
        </w:tc>
        <w:tc>
          <w:tcPr>
            <w:tcW w:w="1582" w:type="dxa"/>
            <w:tcBorders>
              <w:top w:val="single" w:color="auto" w:sz="4" w:space="0"/>
              <w:left w:val="single" w:color="auto" w:sz="4" w:space="0"/>
              <w:bottom w:val="single" w:color="auto" w:sz="4" w:space="0"/>
              <w:right w:val="single" w:color="auto" w:sz="4" w:space="0"/>
            </w:tcBorders>
            <w:vAlign w:val="center"/>
          </w:tcPr>
          <w:p w14:paraId="2200FEC1">
            <w:pPr>
              <w:pStyle w:val="50"/>
              <w:jc w:val="center"/>
              <w:rPr>
                <w:color w:val="auto"/>
                <w:sz w:val="21"/>
                <w:szCs w:val="21"/>
                <w:highlight w:val="none"/>
              </w:rPr>
            </w:pPr>
            <w:r>
              <w:rPr>
                <w:rFonts w:hint="eastAsia"/>
                <w:color w:val="auto"/>
                <w:sz w:val="21"/>
                <w:szCs w:val="21"/>
                <w:highlight w:val="none"/>
              </w:rPr>
              <w:t>属强制采购或优先采购</w:t>
            </w:r>
          </w:p>
        </w:tc>
      </w:tr>
      <w:tr w14:paraId="241AA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252A3CD0">
            <w:pPr>
              <w:pStyle w:val="50"/>
              <w:numPr>
                <w:ilvl w:val="0"/>
                <w:numId w:val="14"/>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46B753A7">
            <w:pPr>
              <w:pStyle w:val="50"/>
              <w:jc w:val="center"/>
              <w:rPr>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079CCAB3">
            <w:pPr>
              <w:pStyle w:val="50"/>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0E0F3CBB">
            <w:pPr>
              <w:pStyle w:val="50"/>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79103B02">
            <w:pPr>
              <w:pStyle w:val="50"/>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664E4803">
            <w:pPr>
              <w:pStyle w:val="50"/>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64CBD47D">
            <w:pPr>
              <w:pStyle w:val="50"/>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2F8EAB40">
            <w:pPr>
              <w:pStyle w:val="50"/>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158E5841">
            <w:pPr>
              <w:pStyle w:val="50"/>
              <w:jc w:val="center"/>
              <w:rPr>
                <w:color w:val="auto"/>
                <w:sz w:val="21"/>
                <w:szCs w:val="21"/>
                <w:highlight w:val="none"/>
              </w:rPr>
            </w:pPr>
          </w:p>
        </w:tc>
      </w:tr>
      <w:tr w14:paraId="674D0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4345A32C">
            <w:pPr>
              <w:pStyle w:val="50"/>
              <w:numPr>
                <w:ilvl w:val="0"/>
                <w:numId w:val="14"/>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33933B88">
            <w:pPr>
              <w:pStyle w:val="50"/>
              <w:jc w:val="center"/>
              <w:rPr>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2854143D">
            <w:pPr>
              <w:pStyle w:val="50"/>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1502CEB1">
            <w:pPr>
              <w:pStyle w:val="50"/>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5EBD9B03">
            <w:pPr>
              <w:pStyle w:val="50"/>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014CDF4F">
            <w:pPr>
              <w:pStyle w:val="50"/>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247F34CF">
            <w:pPr>
              <w:pStyle w:val="50"/>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32B5487D">
            <w:pPr>
              <w:pStyle w:val="50"/>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1DE51BF7">
            <w:pPr>
              <w:pStyle w:val="50"/>
              <w:jc w:val="center"/>
              <w:rPr>
                <w:color w:val="auto"/>
                <w:sz w:val="21"/>
                <w:szCs w:val="21"/>
                <w:highlight w:val="none"/>
              </w:rPr>
            </w:pPr>
          </w:p>
        </w:tc>
      </w:tr>
      <w:tr w14:paraId="021AF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009802FE">
            <w:pPr>
              <w:pStyle w:val="50"/>
              <w:numPr>
                <w:ilvl w:val="0"/>
                <w:numId w:val="14"/>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58D06B7B">
            <w:pPr>
              <w:pStyle w:val="50"/>
              <w:jc w:val="center"/>
              <w:rPr>
                <w:color w:val="auto"/>
                <w:sz w:val="21"/>
                <w:szCs w:val="21"/>
                <w:highlight w:val="none"/>
              </w:rPr>
            </w:pPr>
            <w:r>
              <w:rPr>
                <w:color w:val="auto"/>
                <w:sz w:val="21"/>
                <w:szCs w:val="21"/>
                <w:highlight w:val="none"/>
              </w:rPr>
              <w:t>……</w:t>
            </w:r>
          </w:p>
        </w:tc>
        <w:tc>
          <w:tcPr>
            <w:tcW w:w="972" w:type="dxa"/>
            <w:tcBorders>
              <w:top w:val="single" w:color="auto" w:sz="4" w:space="0"/>
              <w:left w:val="single" w:color="auto" w:sz="4" w:space="0"/>
              <w:bottom w:val="single" w:color="auto" w:sz="4" w:space="0"/>
              <w:right w:val="single" w:color="auto" w:sz="4" w:space="0"/>
            </w:tcBorders>
            <w:vAlign w:val="center"/>
          </w:tcPr>
          <w:p w14:paraId="79CA850F">
            <w:pPr>
              <w:pStyle w:val="50"/>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384F1759">
            <w:pPr>
              <w:pStyle w:val="50"/>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6FC7AF62">
            <w:pPr>
              <w:pStyle w:val="50"/>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3BDFFD59">
            <w:pPr>
              <w:pStyle w:val="50"/>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747D163F">
            <w:pPr>
              <w:pStyle w:val="50"/>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59DFC375">
            <w:pPr>
              <w:pStyle w:val="50"/>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2F14EE02">
            <w:pPr>
              <w:pStyle w:val="50"/>
              <w:jc w:val="center"/>
              <w:rPr>
                <w:color w:val="auto"/>
                <w:sz w:val="21"/>
                <w:szCs w:val="21"/>
                <w:highlight w:val="none"/>
              </w:rPr>
            </w:pPr>
          </w:p>
        </w:tc>
      </w:tr>
    </w:tbl>
    <w:p w14:paraId="7221A9E6">
      <w:pPr>
        <w:spacing w:line="300" w:lineRule="auto"/>
        <w:rPr>
          <w:rFonts w:ascii="Arial" w:hAnsi="Arial" w:cs="Arial"/>
          <w:color w:val="auto"/>
          <w:szCs w:val="21"/>
          <w:highlight w:val="none"/>
        </w:rPr>
      </w:pPr>
    </w:p>
    <w:p w14:paraId="4FEEE6D2">
      <w:pPr>
        <w:spacing w:line="30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环保产品</w:t>
      </w:r>
    </w:p>
    <w:tbl>
      <w:tblPr>
        <w:tblStyle w:val="31"/>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65742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730AC282">
            <w:pPr>
              <w:pStyle w:val="50"/>
              <w:jc w:val="center"/>
              <w:rPr>
                <w:color w:val="auto"/>
                <w:sz w:val="21"/>
                <w:szCs w:val="21"/>
                <w:highlight w:val="none"/>
              </w:rPr>
            </w:pPr>
            <w:r>
              <w:rPr>
                <w:rFonts w:hint="eastAsia"/>
                <w:color w:val="auto"/>
                <w:sz w:val="21"/>
                <w:szCs w:val="21"/>
                <w:highlight w:val="none"/>
              </w:rPr>
              <w:t>序号</w:t>
            </w:r>
          </w:p>
        </w:tc>
        <w:tc>
          <w:tcPr>
            <w:tcW w:w="1140" w:type="dxa"/>
            <w:tcBorders>
              <w:top w:val="single" w:color="auto" w:sz="4" w:space="0"/>
              <w:left w:val="single" w:color="auto" w:sz="4" w:space="0"/>
              <w:bottom w:val="single" w:color="auto" w:sz="4" w:space="0"/>
              <w:right w:val="single" w:color="auto" w:sz="4" w:space="0"/>
            </w:tcBorders>
            <w:vAlign w:val="center"/>
          </w:tcPr>
          <w:p w14:paraId="76D83CED">
            <w:pPr>
              <w:pStyle w:val="50"/>
              <w:jc w:val="center"/>
              <w:rPr>
                <w:color w:val="auto"/>
                <w:sz w:val="21"/>
                <w:szCs w:val="21"/>
                <w:highlight w:val="none"/>
              </w:rPr>
            </w:pPr>
            <w:r>
              <w:rPr>
                <w:rFonts w:hint="eastAsia"/>
                <w:color w:val="auto"/>
                <w:sz w:val="21"/>
                <w:szCs w:val="21"/>
                <w:highlight w:val="none"/>
              </w:rPr>
              <w:t>设备名称</w:t>
            </w:r>
          </w:p>
        </w:tc>
        <w:tc>
          <w:tcPr>
            <w:tcW w:w="1272" w:type="dxa"/>
            <w:tcBorders>
              <w:top w:val="single" w:color="auto" w:sz="4" w:space="0"/>
              <w:left w:val="single" w:color="auto" w:sz="4" w:space="0"/>
              <w:bottom w:val="single" w:color="auto" w:sz="4" w:space="0"/>
              <w:right w:val="single" w:color="auto" w:sz="4" w:space="0"/>
            </w:tcBorders>
            <w:vAlign w:val="center"/>
          </w:tcPr>
          <w:p w14:paraId="453C8050">
            <w:pPr>
              <w:pStyle w:val="50"/>
              <w:jc w:val="center"/>
              <w:rPr>
                <w:color w:val="auto"/>
                <w:sz w:val="21"/>
                <w:szCs w:val="21"/>
                <w:highlight w:val="none"/>
              </w:rPr>
            </w:pPr>
            <w:r>
              <w:rPr>
                <w:rFonts w:hint="eastAsia"/>
                <w:color w:val="auto"/>
                <w:sz w:val="21"/>
                <w:szCs w:val="21"/>
                <w:highlight w:val="none"/>
              </w:rPr>
              <w:t>制造商</w:t>
            </w:r>
          </w:p>
          <w:p w14:paraId="65E621B0">
            <w:pPr>
              <w:pStyle w:val="50"/>
              <w:jc w:val="center"/>
              <w:rPr>
                <w:color w:val="auto"/>
                <w:sz w:val="21"/>
                <w:szCs w:val="21"/>
                <w:highlight w:val="none"/>
              </w:rPr>
            </w:pPr>
            <w:r>
              <w:rPr>
                <w:rFonts w:hint="eastAsia"/>
                <w:color w:val="auto"/>
                <w:sz w:val="21"/>
                <w:szCs w:val="21"/>
                <w:highlight w:val="none"/>
              </w:rPr>
              <w:t>名称</w:t>
            </w:r>
          </w:p>
        </w:tc>
        <w:tc>
          <w:tcPr>
            <w:tcW w:w="816" w:type="dxa"/>
            <w:tcBorders>
              <w:top w:val="single" w:color="auto" w:sz="4" w:space="0"/>
              <w:left w:val="single" w:color="auto" w:sz="4" w:space="0"/>
              <w:bottom w:val="single" w:color="auto" w:sz="4" w:space="0"/>
              <w:right w:val="single" w:color="auto" w:sz="4" w:space="0"/>
            </w:tcBorders>
            <w:vAlign w:val="center"/>
          </w:tcPr>
          <w:p w14:paraId="6F3ADE63">
            <w:pPr>
              <w:pStyle w:val="50"/>
              <w:jc w:val="center"/>
              <w:rPr>
                <w:color w:val="auto"/>
                <w:sz w:val="21"/>
                <w:szCs w:val="21"/>
                <w:highlight w:val="none"/>
              </w:rPr>
            </w:pPr>
            <w:r>
              <w:rPr>
                <w:rFonts w:hint="eastAsia"/>
                <w:color w:val="auto"/>
                <w:sz w:val="21"/>
                <w:szCs w:val="21"/>
                <w:highlight w:val="none"/>
              </w:rPr>
              <w:t>品牌</w:t>
            </w:r>
          </w:p>
        </w:tc>
        <w:tc>
          <w:tcPr>
            <w:tcW w:w="816" w:type="dxa"/>
            <w:tcBorders>
              <w:top w:val="single" w:color="auto" w:sz="4" w:space="0"/>
              <w:left w:val="single" w:color="auto" w:sz="4" w:space="0"/>
              <w:bottom w:val="single" w:color="auto" w:sz="4" w:space="0"/>
              <w:right w:val="single" w:color="auto" w:sz="4" w:space="0"/>
            </w:tcBorders>
            <w:vAlign w:val="center"/>
          </w:tcPr>
          <w:p w14:paraId="3CD7CD03">
            <w:pPr>
              <w:pStyle w:val="50"/>
              <w:jc w:val="center"/>
              <w:rPr>
                <w:color w:val="auto"/>
                <w:sz w:val="21"/>
                <w:szCs w:val="21"/>
                <w:highlight w:val="none"/>
              </w:rPr>
            </w:pPr>
            <w:r>
              <w:rPr>
                <w:rFonts w:hint="eastAsia"/>
                <w:color w:val="auto"/>
                <w:sz w:val="21"/>
                <w:szCs w:val="21"/>
                <w:highlight w:val="none"/>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326FDC5B">
            <w:pPr>
              <w:pStyle w:val="50"/>
              <w:jc w:val="center"/>
              <w:rPr>
                <w:color w:val="auto"/>
                <w:sz w:val="21"/>
                <w:szCs w:val="21"/>
                <w:highlight w:val="none"/>
              </w:rPr>
            </w:pPr>
            <w:r>
              <w:rPr>
                <w:rFonts w:hint="eastAsia"/>
                <w:color w:val="auto"/>
                <w:sz w:val="21"/>
                <w:szCs w:val="21"/>
                <w:highlight w:val="none"/>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036411B3">
            <w:pPr>
              <w:pStyle w:val="50"/>
              <w:jc w:val="center"/>
              <w:rPr>
                <w:color w:val="auto"/>
                <w:sz w:val="21"/>
                <w:szCs w:val="21"/>
                <w:highlight w:val="none"/>
              </w:rPr>
            </w:pPr>
            <w:r>
              <w:rPr>
                <w:rFonts w:hint="eastAsia"/>
                <w:color w:val="auto"/>
                <w:sz w:val="21"/>
                <w:szCs w:val="21"/>
                <w:highlight w:val="none"/>
              </w:rPr>
              <w:t>单价</w:t>
            </w:r>
          </w:p>
          <w:p w14:paraId="468F5161">
            <w:pPr>
              <w:pStyle w:val="50"/>
              <w:jc w:val="center"/>
              <w:rPr>
                <w:color w:val="auto"/>
                <w:sz w:val="21"/>
                <w:szCs w:val="21"/>
                <w:highlight w:val="none"/>
              </w:rPr>
            </w:pPr>
            <w:r>
              <w:rPr>
                <w:rFonts w:hint="eastAsia"/>
                <w:color w:val="auto"/>
                <w:sz w:val="21"/>
                <w:szCs w:val="21"/>
                <w:highlight w:val="none"/>
              </w:rPr>
              <w:t>（万元）</w:t>
            </w:r>
          </w:p>
        </w:tc>
        <w:tc>
          <w:tcPr>
            <w:tcW w:w="1714" w:type="dxa"/>
            <w:tcBorders>
              <w:top w:val="single" w:color="auto" w:sz="4" w:space="0"/>
              <w:left w:val="single" w:color="auto" w:sz="4" w:space="0"/>
              <w:bottom w:val="single" w:color="auto" w:sz="4" w:space="0"/>
              <w:right w:val="single" w:color="auto" w:sz="4" w:space="0"/>
            </w:tcBorders>
            <w:vAlign w:val="center"/>
          </w:tcPr>
          <w:p w14:paraId="46E37CE6">
            <w:pPr>
              <w:pStyle w:val="50"/>
              <w:jc w:val="center"/>
              <w:rPr>
                <w:color w:val="auto"/>
                <w:sz w:val="21"/>
                <w:szCs w:val="21"/>
                <w:highlight w:val="none"/>
              </w:rPr>
            </w:pPr>
            <w:r>
              <w:rPr>
                <w:rFonts w:hint="eastAsia"/>
                <w:color w:val="auto"/>
                <w:sz w:val="21"/>
                <w:szCs w:val="21"/>
                <w:highlight w:val="none"/>
              </w:rPr>
              <w:t>总价</w:t>
            </w:r>
          </w:p>
          <w:p w14:paraId="675BFD71">
            <w:pPr>
              <w:pStyle w:val="50"/>
              <w:jc w:val="center"/>
              <w:rPr>
                <w:color w:val="auto"/>
                <w:sz w:val="21"/>
                <w:szCs w:val="21"/>
                <w:highlight w:val="none"/>
              </w:rPr>
            </w:pPr>
            <w:r>
              <w:rPr>
                <w:rFonts w:hint="eastAsia"/>
                <w:color w:val="auto"/>
                <w:sz w:val="21"/>
                <w:szCs w:val="21"/>
                <w:highlight w:val="none"/>
              </w:rPr>
              <w:t>（万元）</w:t>
            </w:r>
          </w:p>
        </w:tc>
      </w:tr>
      <w:tr w14:paraId="66369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3D6AEBC1">
            <w:pPr>
              <w:pStyle w:val="50"/>
              <w:numPr>
                <w:ilvl w:val="0"/>
                <w:numId w:val="15"/>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5F61D07B">
            <w:pPr>
              <w:pStyle w:val="50"/>
              <w:jc w:val="center"/>
              <w:rPr>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0F1F9BAE">
            <w:pPr>
              <w:pStyle w:val="50"/>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39D62786">
            <w:pPr>
              <w:pStyle w:val="50"/>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41B521F0">
            <w:pPr>
              <w:pStyle w:val="50"/>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2049AB9A">
            <w:pPr>
              <w:pStyle w:val="50"/>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424779D1">
            <w:pPr>
              <w:pStyle w:val="50"/>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66DA157B">
            <w:pPr>
              <w:pStyle w:val="50"/>
              <w:jc w:val="center"/>
              <w:rPr>
                <w:color w:val="auto"/>
                <w:sz w:val="21"/>
                <w:szCs w:val="21"/>
                <w:highlight w:val="none"/>
              </w:rPr>
            </w:pPr>
          </w:p>
        </w:tc>
      </w:tr>
      <w:tr w14:paraId="1DE2A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56E44046">
            <w:pPr>
              <w:pStyle w:val="50"/>
              <w:numPr>
                <w:ilvl w:val="0"/>
                <w:numId w:val="15"/>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51E8EB7D">
            <w:pPr>
              <w:pStyle w:val="50"/>
              <w:jc w:val="center"/>
              <w:rPr>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57722577">
            <w:pPr>
              <w:pStyle w:val="50"/>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57249671">
            <w:pPr>
              <w:pStyle w:val="50"/>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2FAAD56A">
            <w:pPr>
              <w:pStyle w:val="50"/>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07A1FA49">
            <w:pPr>
              <w:pStyle w:val="50"/>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01ED32BD">
            <w:pPr>
              <w:pStyle w:val="50"/>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71B8982A">
            <w:pPr>
              <w:pStyle w:val="50"/>
              <w:jc w:val="center"/>
              <w:rPr>
                <w:color w:val="auto"/>
                <w:sz w:val="21"/>
                <w:szCs w:val="21"/>
                <w:highlight w:val="none"/>
              </w:rPr>
            </w:pPr>
          </w:p>
        </w:tc>
      </w:tr>
      <w:tr w14:paraId="0B058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3A6ACB44">
            <w:pPr>
              <w:pStyle w:val="50"/>
              <w:numPr>
                <w:ilvl w:val="0"/>
                <w:numId w:val="15"/>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67F48CCF">
            <w:pPr>
              <w:pStyle w:val="50"/>
              <w:jc w:val="center"/>
              <w:rPr>
                <w:color w:val="auto"/>
                <w:sz w:val="21"/>
                <w:szCs w:val="21"/>
                <w:highlight w:val="none"/>
              </w:rPr>
            </w:pPr>
            <w:r>
              <w:rPr>
                <w:color w:val="auto"/>
                <w:sz w:val="21"/>
                <w:szCs w:val="21"/>
                <w:highlight w:val="none"/>
              </w:rPr>
              <w:t>……</w:t>
            </w:r>
          </w:p>
        </w:tc>
        <w:tc>
          <w:tcPr>
            <w:tcW w:w="1272" w:type="dxa"/>
            <w:tcBorders>
              <w:top w:val="single" w:color="auto" w:sz="4" w:space="0"/>
              <w:left w:val="single" w:color="auto" w:sz="4" w:space="0"/>
              <w:bottom w:val="single" w:color="auto" w:sz="4" w:space="0"/>
              <w:right w:val="single" w:color="auto" w:sz="4" w:space="0"/>
            </w:tcBorders>
            <w:vAlign w:val="center"/>
          </w:tcPr>
          <w:p w14:paraId="394CCE80">
            <w:pPr>
              <w:pStyle w:val="50"/>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14B5E23E">
            <w:pPr>
              <w:pStyle w:val="50"/>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07593ED8">
            <w:pPr>
              <w:pStyle w:val="50"/>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0DDCB87F">
            <w:pPr>
              <w:pStyle w:val="50"/>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5B529BC2">
            <w:pPr>
              <w:pStyle w:val="50"/>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3902FF88">
            <w:pPr>
              <w:pStyle w:val="50"/>
              <w:jc w:val="center"/>
              <w:rPr>
                <w:color w:val="auto"/>
                <w:sz w:val="21"/>
                <w:szCs w:val="21"/>
                <w:highlight w:val="none"/>
              </w:rPr>
            </w:pPr>
          </w:p>
        </w:tc>
      </w:tr>
    </w:tbl>
    <w:p w14:paraId="24615472">
      <w:pPr>
        <w:spacing w:line="300" w:lineRule="auto"/>
        <w:rPr>
          <w:rFonts w:ascii="Arial" w:hAnsi="Arial" w:cs="Arial"/>
          <w:color w:val="auto"/>
          <w:szCs w:val="21"/>
          <w:highlight w:val="none"/>
        </w:rPr>
      </w:pPr>
    </w:p>
    <w:p w14:paraId="1582D27F">
      <w:pPr>
        <w:rPr>
          <w:rFonts w:ascii="Arial" w:hAnsi="Arial" w:cs="Arial"/>
          <w:b/>
          <w:color w:val="auto"/>
          <w:sz w:val="21"/>
          <w:szCs w:val="21"/>
          <w:highlight w:val="none"/>
        </w:rPr>
      </w:pPr>
      <w:r>
        <w:rPr>
          <w:rFonts w:hint="eastAsia" w:ascii="Arial" w:hAnsi="Arial" w:cs="Arial"/>
          <w:b/>
          <w:color w:val="auto"/>
          <w:sz w:val="21"/>
          <w:szCs w:val="21"/>
          <w:highlight w:val="none"/>
        </w:rPr>
        <w:t>特别说明：投标人应将所投产品中节能、环保产品分别列入上表中，并按本招标文件</w:t>
      </w:r>
      <w:r>
        <w:rPr>
          <w:rFonts w:hint="eastAsia" w:ascii="Arial" w:hAnsi="Arial" w:cs="Arial"/>
          <w:b/>
          <w:color w:val="auto"/>
          <w:sz w:val="21"/>
          <w:szCs w:val="21"/>
          <w:highlight w:val="none"/>
          <w:lang w:val="en-US" w:eastAsia="zh-CN"/>
        </w:rPr>
        <w:t>“</w:t>
      </w:r>
      <w:r>
        <w:rPr>
          <w:rFonts w:hint="eastAsia" w:ascii="Arial" w:hAnsi="Arial" w:cs="Arial"/>
          <w:b/>
          <w:color w:val="auto"/>
          <w:sz w:val="21"/>
          <w:szCs w:val="21"/>
          <w:highlight w:val="none"/>
        </w:rPr>
        <w:t>第二章</w:t>
      </w:r>
      <w:r>
        <w:rPr>
          <w:rFonts w:hint="eastAsia" w:ascii="Arial" w:hAnsi="Arial" w:cs="Arial"/>
          <w:b/>
          <w:color w:val="auto"/>
          <w:sz w:val="21"/>
          <w:szCs w:val="21"/>
          <w:highlight w:val="none"/>
          <w:lang w:val="en-US" w:eastAsia="zh-CN"/>
        </w:rPr>
        <w:t>投标人须知”</w:t>
      </w:r>
      <w:r>
        <w:rPr>
          <w:rFonts w:hint="eastAsia" w:ascii="Arial" w:hAnsi="Arial" w:cs="Arial"/>
          <w:b/>
          <w:color w:val="auto"/>
          <w:sz w:val="21"/>
          <w:szCs w:val="21"/>
          <w:highlight w:val="none"/>
        </w:rPr>
        <w:t>提供相关证明材料，未填写本表或未提供有效认证证书</w:t>
      </w:r>
      <w:r>
        <w:rPr>
          <w:rFonts w:ascii="Arial" w:hAnsi="Arial" w:cs="Arial"/>
          <w:b/>
          <w:color w:val="auto"/>
          <w:sz w:val="21"/>
          <w:szCs w:val="21"/>
          <w:highlight w:val="none"/>
        </w:rPr>
        <w:t>的</w:t>
      </w:r>
      <w:r>
        <w:rPr>
          <w:rFonts w:hint="eastAsia" w:ascii="Arial" w:hAnsi="Arial" w:cs="Arial"/>
          <w:b/>
          <w:color w:val="auto"/>
          <w:sz w:val="21"/>
          <w:szCs w:val="21"/>
          <w:highlight w:val="none"/>
        </w:rPr>
        <w:t>不给予</w:t>
      </w:r>
      <w:r>
        <w:rPr>
          <w:rFonts w:ascii="Arial" w:hAnsi="Arial" w:cs="Arial"/>
          <w:b/>
          <w:color w:val="auto"/>
          <w:sz w:val="21"/>
          <w:szCs w:val="21"/>
          <w:highlight w:val="none"/>
        </w:rPr>
        <w:t>价格扣除</w:t>
      </w:r>
      <w:r>
        <w:rPr>
          <w:rFonts w:hint="eastAsia" w:ascii="Arial" w:hAnsi="Arial" w:cs="Arial"/>
          <w:b/>
          <w:color w:val="auto"/>
          <w:sz w:val="21"/>
          <w:szCs w:val="21"/>
          <w:highlight w:val="none"/>
        </w:rPr>
        <w:t>。</w:t>
      </w:r>
    </w:p>
    <w:p w14:paraId="0436FC94">
      <w:pPr>
        <w:spacing w:line="300" w:lineRule="auto"/>
        <w:rPr>
          <w:rFonts w:ascii="Arial" w:hAnsi="Arial" w:cs="Arial"/>
          <w:color w:val="auto"/>
          <w:szCs w:val="21"/>
          <w:highlight w:val="none"/>
        </w:rPr>
      </w:pPr>
    </w:p>
    <w:p w14:paraId="34EA0190">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Arial" w:hAnsi="Arial" w:cs="Arial"/>
          <w:color w:val="auto"/>
          <w:szCs w:val="21"/>
          <w:highlight w:val="none"/>
        </w:rPr>
        <w:t>：</w:t>
      </w:r>
    </w:p>
    <w:p w14:paraId="60189BBC">
      <w:pPr>
        <w:rPr>
          <w:rFonts w:ascii="Arial" w:hAnsi="Arial" w:cs="Arial"/>
          <w:color w:val="auto"/>
          <w:szCs w:val="21"/>
          <w:highlight w:val="none"/>
        </w:rPr>
      </w:pPr>
      <w:r>
        <w:rPr>
          <w:rFonts w:ascii="Arial" w:hAnsi="Arial" w:cs="Arial"/>
          <w:color w:val="auto"/>
          <w:szCs w:val="21"/>
          <w:highlight w:val="none"/>
        </w:rPr>
        <w:t>日期：</w:t>
      </w:r>
    </w:p>
    <w:p w14:paraId="6F4F3946">
      <w:pPr>
        <w:rPr>
          <w:rFonts w:ascii="Arial" w:hAnsi="Arial" w:cs="Arial"/>
          <w:color w:val="auto"/>
          <w:szCs w:val="21"/>
          <w:highlight w:val="none"/>
        </w:rPr>
      </w:pPr>
      <w:r>
        <w:rPr>
          <w:rFonts w:ascii="Arial" w:hAnsi="Arial" w:cs="Arial"/>
          <w:color w:val="auto"/>
          <w:szCs w:val="21"/>
          <w:highlight w:val="none"/>
        </w:rPr>
        <w:br w:type="page"/>
      </w:r>
    </w:p>
    <w:p w14:paraId="69BC9E1D">
      <w:pPr>
        <w:pStyle w:val="5"/>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宋体" w:hAnsi="宋体" w:eastAsia="宋体" w:cstheme="minorBidi"/>
          <w:b/>
          <w:bCs/>
          <w:color w:val="auto"/>
          <w:kern w:val="2"/>
          <w:sz w:val="24"/>
          <w:szCs w:val="24"/>
          <w:highlight w:val="none"/>
          <w:lang w:val="en-US" w:eastAsia="zh-CN" w:bidi="ar-SA"/>
        </w:rPr>
      </w:pPr>
      <w:bookmarkStart w:id="769" w:name="_Toc17119"/>
      <w:bookmarkStart w:id="770" w:name="_Toc163492939"/>
      <w:bookmarkStart w:id="771" w:name="_Toc8969"/>
      <w:r>
        <w:rPr>
          <w:rFonts w:hint="eastAsia" w:ascii="宋体" w:hAnsi="宋体" w:eastAsia="宋体" w:cstheme="minorBidi"/>
          <w:b/>
          <w:bCs/>
          <w:color w:val="auto"/>
          <w:kern w:val="2"/>
          <w:sz w:val="24"/>
          <w:szCs w:val="24"/>
          <w:highlight w:val="none"/>
          <w:lang w:val="en-US" w:eastAsia="zh-CN" w:bidi="ar-SA"/>
        </w:rPr>
        <w:t>（二）中小企业声明函</w:t>
      </w:r>
      <w:r>
        <w:rPr>
          <w:rFonts w:hint="eastAsia" w:ascii="宋体" w:hAnsi="宋体" w:eastAsia="宋体" w:cstheme="minorBidi"/>
          <w:b w:val="0"/>
          <w:bCs w:val="0"/>
          <w:color w:val="auto"/>
          <w:kern w:val="2"/>
          <w:sz w:val="24"/>
          <w:szCs w:val="24"/>
          <w:highlight w:val="none"/>
          <w:lang w:val="en-US" w:eastAsia="zh-CN" w:bidi="ar-SA"/>
        </w:rPr>
        <w:t>【</w:t>
      </w:r>
      <w:r>
        <w:rPr>
          <w:rFonts w:hint="eastAsia" w:cstheme="minorBidi"/>
          <w:b w:val="0"/>
          <w:bCs w:val="0"/>
          <w:i w:val="0"/>
          <w:iCs w:val="0"/>
          <w:color w:val="auto"/>
          <w:kern w:val="2"/>
          <w:sz w:val="24"/>
          <w:szCs w:val="24"/>
          <w:highlight w:val="none"/>
          <w:lang w:val="en-US" w:eastAsia="zh-CN" w:bidi="ar-SA"/>
        </w:rPr>
        <w:t>如专门面向中小企业采购的项目，此函可放于此处，否则，应后置于“其他资格证明文件”</w:t>
      </w:r>
      <w:r>
        <w:rPr>
          <w:rFonts w:hint="eastAsia" w:ascii="宋体" w:hAnsi="宋体" w:eastAsia="宋体" w:cstheme="minorBidi"/>
          <w:b w:val="0"/>
          <w:bCs w:val="0"/>
          <w:color w:val="auto"/>
          <w:kern w:val="2"/>
          <w:sz w:val="24"/>
          <w:szCs w:val="24"/>
          <w:highlight w:val="none"/>
          <w:lang w:val="en-US" w:eastAsia="zh-CN" w:bidi="ar-SA"/>
        </w:rPr>
        <w:t>】</w:t>
      </w:r>
      <w:bookmarkEnd w:id="769"/>
      <w:bookmarkEnd w:id="770"/>
      <w:bookmarkEnd w:id="771"/>
    </w:p>
    <w:p w14:paraId="788F6B09">
      <w:pPr>
        <w:pStyle w:val="40"/>
        <w:keepNext w:val="0"/>
        <w:keepLines w:val="0"/>
        <w:pageBreakBefore w:val="0"/>
        <w:widowControl w:val="0"/>
        <w:numPr>
          <w:ilvl w:val="0"/>
          <w:numId w:val="0"/>
        </w:numPr>
        <w:kinsoku/>
        <w:wordWrap/>
        <w:overflowPunct/>
        <w:topLinePunct w:val="0"/>
        <w:autoSpaceDE/>
        <w:autoSpaceDN/>
        <w:bidi w:val="0"/>
        <w:adjustRightInd/>
        <w:snapToGrid/>
        <w:spacing w:line="300" w:lineRule="exact"/>
        <w:ind w:left="420" w:leftChars="0" w:hanging="420" w:firstLineChars="0"/>
        <w:jc w:val="center"/>
        <w:textAlignment w:val="auto"/>
        <w:rPr>
          <w:rFonts w:hint="eastAsia"/>
          <w:b/>
          <w:bCs/>
          <w:color w:val="auto"/>
          <w:sz w:val="32"/>
          <w:szCs w:val="32"/>
          <w:highlight w:val="none"/>
        </w:rPr>
      </w:pPr>
    </w:p>
    <w:p w14:paraId="7A30942C">
      <w:pPr>
        <w:pStyle w:val="40"/>
        <w:numPr>
          <w:ilvl w:val="0"/>
          <w:numId w:val="0"/>
        </w:numPr>
        <w:ind w:left="420" w:leftChars="0" w:hanging="420" w:firstLineChars="0"/>
        <w:jc w:val="center"/>
        <w:rPr>
          <w:b/>
          <w:bCs/>
          <w:color w:val="auto"/>
          <w:sz w:val="32"/>
          <w:szCs w:val="32"/>
          <w:highlight w:val="none"/>
        </w:rPr>
      </w:pPr>
      <w:r>
        <w:rPr>
          <w:rFonts w:hint="eastAsia"/>
          <w:b/>
          <w:bCs/>
          <w:color w:val="auto"/>
          <w:sz w:val="32"/>
          <w:szCs w:val="32"/>
          <w:highlight w:val="none"/>
        </w:rPr>
        <w:t>中小企业声明函</w:t>
      </w:r>
    </w:p>
    <w:p w14:paraId="7EF557E4">
      <w:pPr>
        <w:ind w:firstLine="424" w:firstLineChars="200"/>
        <w:rPr>
          <w:rFonts w:cs="宋体"/>
          <w:color w:val="auto"/>
          <w:spacing w:val="6"/>
          <w:szCs w:val="24"/>
          <w:highlight w:val="none"/>
        </w:rPr>
      </w:pPr>
      <w:r>
        <w:rPr>
          <w:rFonts w:hint="eastAsia" w:cs="宋体"/>
          <w:color w:val="auto"/>
          <w:spacing w:val="6"/>
          <w:szCs w:val="24"/>
          <w:highlight w:val="none"/>
        </w:rPr>
        <w:t>本公司（联合体）郑重声明，根据《政府采购促进中小企业发展管理办法》（财库﹝2020﹞46 号）的规定，本公司（联合体）参加</w:t>
      </w:r>
      <w:r>
        <w:rPr>
          <w:rFonts w:hint="eastAsia" w:cs="宋体"/>
          <w:color w:val="auto"/>
          <w:spacing w:val="6"/>
          <w:szCs w:val="24"/>
          <w:highlight w:val="none"/>
          <w:u w:val="single"/>
        </w:rPr>
        <w:t xml:space="preserve"> （单位名称）</w:t>
      </w:r>
      <w:r>
        <w:rPr>
          <w:rFonts w:hint="eastAsia" w:cs="宋体"/>
          <w:color w:val="auto"/>
          <w:spacing w:val="6"/>
          <w:szCs w:val="24"/>
          <w:highlight w:val="none"/>
        </w:rPr>
        <w:t xml:space="preserve"> 的</w:t>
      </w:r>
      <w:r>
        <w:rPr>
          <w:rFonts w:hint="eastAsia" w:cs="宋体"/>
          <w:color w:val="auto"/>
          <w:spacing w:val="6"/>
          <w:szCs w:val="24"/>
          <w:highlight w:val="none"/>
          <w:u w:val="single"/>
        </w:rPr>
        <w:t xml:space="preserve"> （项目名称） </w:t>
      </w:r>
      <w:r>
        <w:rPr>
          <w:rFonts w:hint="eastAsia" w:cs="宋体"/>
          <w:color w:val="auto"/>
          <w:spacing w:val="6"/>
          <w:szCs w:val="24"/>
          <w:highlight w:val="none"/>
        </w:rPr>
        <w:t>采购活动，提供的货物全部由符合政策要求的中小企业制造。相关企业（含联合体中的中小企业、签订分包意向协议的中小企业）的具体情况如下：</w:t>
      </w:r>
    </w:p>
    <w:p w14:paraId="410B09A6">
      <w:pPr>
        <w:ind w:firstLine="424" w:firstLineChars="200"/>
        <w:rPr>
          <w:rFonts w:cs="宋体"/>
          <w:color w:val="auto"/>
          <w:spacing w:val="6"/>
          <w:szCs w:val="24"/>
          <w:highlight w:val="none"/>
        </w:rPr>
      </w:pPr>
      <w:r>
        <w:rPr>
          <w:rFonts w:hint="eastAsia" w:cs="宋体"/>
          <w:color w:val="auto"/>
          <w:spacing w:val="6"/>
          <w:szCs w:val="24"/>
          <w:highlight w:val="none"/>
        </w:rPr>
        <w:t>1.</w:t>
      </w:r>
      <w:r>
        <w:rPr>
          <w:rFonts w:hint="eastAsia" w:cs="宋体"/>
          <w:color w:val="auto"/>
          <w:spacing w:val="6"/>
          <w:szCs w:val="24"/>
          <w:highlight w:val="none"/>
          <w:u w:val="single"/>
        </w:rPr>
        <w:t xml:space="preserve"> （标的名称） </w:t>
      </w:r>
      <w:r>
        <w:rPr>
          <w:rFonts w:hint="eastAsia" w:cs="宋体"/>
          <w:color w:val="auto"/>
          <w:spacing w:val="6"/>
          <w:szCs w:val="24"/>
          <w:highlight w:val="none"/>
        </w:rPr>
        <w:t>，属于</w:t>
      </w:r>
      <w:r>
        <w:rPr>
          <w:rFonts w:hint="eastAsia" w:cs="宋体"/>
          <w:color w:val="auto"/>
          <w:spacing w:val="6"/>
          <w:szCs w:val="24"/>
          <w:highlight w:val="none"/>
          <w:u w:val="single"/>
        </w:rPr>
        <w:t xml:space="preserve"> （采购文件中明确的所属行业）</w:t>
      </w:r>
      <w:r>
        <w:rPr>
          <w:rFonts w:hint="eastAsia" w:cs="宋体"/>
          <w:color w:val="auto"/>
          <w:spacing w:val="6"/>
          <w:szCs w:val="24"/>
          <w:highlight w:val="none"/>
        </w:rPr>
        <w:t>行业 ；制造商为</w:t>
      </w:r>
      <w:r>
        <w:rPr>
          <w:rFonts w:hint="eastAsia" w:cs="宋体"/>
          <w:color w:val="auto"/>
          <w:spacing w:val="6"/>
          <w:szCs w:val="24"/>
          <w:highlight w:val="none"/>
          <w:u w:val="single"/>
        </w:rPr>
        <w:t xml:space="preserve"> （企业名称） </w:t>
      </w:r>
      <w:r>
        <w:rPr>
          <w:rFonts w:hint="eastAsia" w:cs="宋体"/>
          <w:color w:val="auto"/>
          <w:spacing w:val="6"/>
          <w:szCs w:val="24"/>
          <w:highlight w:val="none"/>
        </w:rPr>
        <w:t>，从业人员</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人，营业收入为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万元，资产总额为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万元，属于</w:t>
      </w:r>
      <w:r>
        <w:rPr>
          <w:rFonts w:hint="eastAsia" w:cs="宋体"/>
          <w:color w:val="auto"/>
          <w:spacing w:val="6"/>
          <w:szCs w:val="24"/>
          <w:highlight w:val="none"/>
          <w:u w:val="single"/>
        </w:rPr>
        <w:t xml:space="preserve"> （中型企业、小型企业、微型企业）</w:t>
      </w:r>
      <w:r>
        <w:rPr>
          <w:rFonts w:hint="eastAsia" w:cs="宋体"/>
          <w:color w:val="auto"/>
          <w:spacing w:val="6"/>
          <w:szCs w:val="24"/>
          <w:highlight w:val="none"/>
        </w:rPr>
        <w:t>；</w:t>
      </w:r>
    </w:p>
    <w:p w14:paraId="55576761">
      <w:pPr>
        <w:ind w:firstLine="424" w:firstLineChars="200"/>
        <w:rPr>
          <w:rFonts w:cs="宋体"/>
          <w:color w:val="auto"/>
          <w:spacing w:val="6"/>
          <w:szCs w:val="24"/>
          <w:highlight w:val="none"/>
        </w:rPr>
      </w:pPr>
      <w:r>
        <w:rPr>
          <w:rFonts w:hint="eastAsia" w:cs="宋体"/>
          <w:color w:val="auto"/>
          <w:spacing w:val="6"/>
          <w:szCs w:val="24"/>
          <w:highlight w:val="none"/>
        </w:rPr>
        <w:t>2.</w:t>
      </w:r>
      <w:r>
        <w:rPr>
          <w:rFonts w:hint="eastAsia" w:cs="宋体"/>
          <w:color w:val="auto"/>
          <w:spacing w:val="6"/>
          <w:szCs w:val="24"/>
          <w:highlight w:val="none"/>
          <w:u w:val="single"/>
        </w:rPr>
        <w:t xml:space="preserve"> （标的名称） </w:t>
      </w:r>
      <w:r>
        <w:rPr>
          <w:rFonts w:hint="eastAsia" w:cs="宋体"/>
          <w:color w:val="auto"/>
          <w:spacing w:val="6"/>
          <w:szCs w:val="24"/>
          <w:highlight w:val="none"/>
        </w:rPr>
        <w:t>，属于</w:t>
      </w:r>
      <w:r>
        <w:rPr>
          <w:rFonts w:hint="eastAsia" w:cs="宋体"/>
          <w:color w:val="auto"/>
          <w:spacing w:val="6"/>
          <w:szCs w:val="24"/>
          <w:highlight w:val="none"/>
          <w:u w:val="single"/>
        </w:rPr>
        <w:t xml:space="preserve"> （采购文件中明确的所属行业）</w:t>
      </w:r>
      <w:r>
        <w:rPr>
          <w:rFonts w:hint="eastAsia" w:cs="宋体"/>
          <w:color w:val="auto"/>
          <w:spacing w:val="6"/>
          <w:szCs w:val="24"/>
          <w:highlight w:val="none"/>
        </w:rPr>
        <w:t>行业 ；制造商为</w:t>
      </w:r>
      <w:r>
        <w:rPr>
          <w:rFonts w:hint="eastAsia" w:cs="宋体"/>
          <w:color w:val="auto"/>
          <w:spacing w:val="6"/>
          <w:szCs w:val="24"/>
          <w:highlight w:val="none"/>
          <w:u w:val="single"/>
        </w:rPr>
        <w:t xml:space="preserve"> （企业名称） </w:t>
      </w:r>
      <w:r>
        <w:rPr>
          <w:rFonts w:hint="eastAsia" w:cs="宋体"/>
          <w:color w:val="auto"/>
          <w:spacing w:val="6"/>
          <w:szCs w:val="24"/>
          <w:highlight w:val="none"/>
        </w:rPr>
        <w:t>，从业人员</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人，营业收入为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万元，资产总额为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万元，属于</w:t>
      </w:r>
      <w:r>
        <w:rPr>
          <w:rFonts w:hint="eastAsia" w:cs="宋体"/>
          <w:color w:val="auto"/>
          <w:spacing w:val="6"/>
          <w:szCs w:val="24"/>
          <w:highlight w:val="none"/>
          <w:u w:val="single"/>
        </w:rPr>
        <w:t xml:space="preserve"> （中型企业、小型企业、微型企业）</w:t>
      </w:r>
      <w:r>
        <w:rPr>
          <w:rFonts w:hint="eastAsia" w:cs="宋体"/>
          <w:color w:val="auto"/>
          <w:spacing w:val="6"/>
          <w:szCs w:val="24"/>
          <w:highlight w:val="none"/>
        </w:rPr>
        <w:t>；</w:t>
      </w:r>
    </w:p>
    <w:p w14:paraId="2A80FAB9">
      <w:pPr>
        <w:ind w:firstLine="424" w:firstLineChars="200"/>
        <w:rPr>
          <w:rFonts w:cs="宋体"/>
          <w:color w:val="auto"/>
          <w:spacing w:val="6"/>
          <w:szCs w:val="24"/>
          <w:highlight w:val="none"/>
        </w:rPr>
      </w:pPr>
      <w:r>
        <w:rPr>
          <w:rFonts w:hint="eastAsia" w:cs="宋体"/>
          <w:color w:val="auto"/>
          <w:spacing w:val="6"/>
          <w:szCs w:val="24"/>
          <w:highlight w:val="none"/>
        </w:rPr>
        <w:t>……</w:t>
      </w:r>
    </w:p>
    <w:p w14:paraId="024EB60F">
      <w:pPr>
        <w:ind w:firstLine="424" w:firstLineChars="200"/>
        <w:rPr>
          <w:rFonts w:cs="宋体"/>
          <w:color w:val="auto"/>
          <w:spacing w:val="6"/>
          <w:szCs w:val="24"/>
          <w:highlight w:val="none"/>
        </w:rPr>
      </w:pPr>
      <w:r>
        <w:rPr>
          <w:rFonts w:hint="eastAsia" w:cs="宋体"/>
          <w:color w:val="auto"/>
          <w:spacing w:val="6"/>
          <w:szCs w:val="24"/>
          <w:highlight w:val="none"/>
        </w:rPr>
        <w:t>以上企业，不属于大企业的分支机构，不存在控股股东为大企业的情形，也不存在与大企业的负责人为同一人的情形。</w:t>
      </w:r>
    </w:p>
    <w:p w14:paraId="4338BB6F">
      <w:pPr>
        <w:ind w:firstLine="424" w:firstLineChars="200"/>
        <w:rPr>
          <w:rFonts w:cs="宋体"/>
          <w:color w:val="auto"/>
          <w:spacing w:val="6"/>
          <w:szCs w:val="24"/>
          <w:highlight w:val="none"/>
        </w:rPr>
      </w:pPr>
      <w:r>
        <w:rPr>
          <w:rFonts w:hint="eastAsia" w:cs="宋体"/>
          <w:color w:val="auto"/>
          <w:spacing w:val="6"/>
          <w:szCs w:val="24"/>
          <w:highlight w:val="none"/>
        </w:rPr>
        <w:t>本企业对上述声明内容的真实性负责。如有虚假，将依法承担相应责任。</w:t>
      </w:r>
    </w:p>
    <w:p w14:paraId="3E468953">
      <w:pPr>
        <w:ind w:right="1008" w:firstLine="4028" w:firstLineChars="1900"/>
        <w:rPr>
          <w:rFonts w:cs="宋体"/>
          <w:color w:val="auto"/>
          <w:spacing w:val="6"/>
          <w:szCs w:val="24"/>
          <w:highlight w:val="none"/>
        </w:rPr>
      </w:pPr>
    </w:p>
    <w:p w14:paraId="02B9BB0E">
      <w:pPr>
        <w:ind w:right="1008" w:firstLine="3604" w:firstLineChars="1700"/>
        <w:rPr>
          <w:rFonts w:cs="宋体"/>
          <w:color w:val="auto"/>
          <w:spacing w:val="6"/>
          <w:szCs w:val="24"/>
          <w:highlight w:val="none"/>
        </w:rPr>
      </w:pPr>
      <w:r>
        <w:rPr>
          <w:rFonts w:hint="eastAsia" w:cs="宋体"/>
          <w:color w:val="auto"/>
          <w:spacing w:val="6"/>
          <w:szCs w:val="24"/>
          <w:highlight w:val="none"/>
          <w:lang w:val="en-US" w:eastAsia="zh-CN"/>
        </w:rPr>
        <w:t>投标人</w:t>
      </w:r>
      <w:r>
        <w:rPr>
          <w:rFonts w:hint="eastAsia" w:cs="宋体"/>
          <w:color w:val="auto"/>
          <w:spacing w:val="6"/>
          <w:szCs w:val="24"/>
          <w:highlight w:val="none"/>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宋体"/>
          <w:color w:val="auto"/>
          <w:spacing w:val="6"/>
          <w:szCs w:val="24"/>
          <w:highlight w:val="none"/>
        </w:rPr>
        <w:t>：</w:t>
      </w:r>
    </w:p>
    <w:p w14:paraId="16F4F19B">
      <w:pPr>
        <w:ind w:right="1008" w:firstLine="3604" w:firstLineChars="1700"/>
        <w:rPr>
          <w:rFonts w:hint="default" w:eastAsia="宋体" w:cs="宋体"/>
          <w:color w:val="auto"/>
          <w:spacing w:val="6"/>
          <w:szCs w:val="24"/>
          <w:highlight w:val="none"/>
          <w:lang w:val="en-US" w:eastAsia="zh-CN"/>
        </w:rPr>
      </w:pPr>
      <w:r>
        <w:rPr>
          <w:rFonts w:hint="eastAsia" w:cs="宋体"/>
          <w:color w:val="auto"/>
          <w:spacing w:val="6"/>
          <w:szCs w:val="24"/>
          <w:highlight w:val="none"/>
        </w:rPr>
        <w:t>日期：</w:t>
      </w:r>
      <w:r>
        <w:rPr>
          <w:rFonts w:hint="eastAsia" w:cs="宋体"/>
          <w:color w:val="auto"/>
          <w:spacing w:val="6"/>
          <w:szCs w:val="24"/>
          <w:highlight w:val="none"/>
          <w:lang w:val="en-US" w:eastAsia="zh-CN"/>
        </w:rPr>
        <w:t xml:space="preserve">   年  月  日</w:t>
      </w:r>
    </w:p>
    <w:p w14:paraId="158539F5">
      <w:pPr>
        <w:ind w:firstLine="424" w:firstLineChars="200"/>
        <w:rPr>
          <w:rFonts w:cs="宋体"/>
          <w:color w:val="auto"/>
          <w:spacing w:val="6"/>
          <w:szCs w:val="24"/>
          <w:highlight w:val="none"/>
        </w:rPr>
      </w:pPr>
    </w:p>
    <w:p w14:paraId="2EE0ADB7">
      <w:pPr>
        <w:rPr>
          <w:rFonts w:hint="default" w:cs="宋体"/>
          <w:b/>
          <w:bCs/>
          <w:color w:val="auto"/>
          <w:spacing w:val="6"/>
          <w:sz w:val="21"/>
          <w:szCs w:val="21"/>
          <w:highlight w:val="none"/>
          <w:lang w:val="en-US" w:eastAsia="zh-CN"/>
        </w:rPr>
      </w:pPr>
      <w:r>
        <w:rPr>
          <w:rFonts w:hint="eastAsia" w:cs="宋体"/>
          <w:b/>
          <w:bCs/>
          <w:color w:val="auto"/>
          <w:spacing w:val="6"/>
          <w:sz w:val="21"/>
          <w:szCs w:val="21"/>
          <w:highlight w:val="none"/>
        </w:rPr>
        <w:t>说明：</w:t>
      </w:r>
      <w:r>
        <w:rPr>
          <w:rFonts w:hint="eastAsia" w:cs="宋体"/>
          <w:b/>
          <w:bCs/>
          <w:color w:val="auto"/>
          <w:spacing w:val="6"/>
          <w:sz w:val="21"/>
          <w:szCs w:val="21"/>
          <w:highlight w:val="none"/>
          <w:lang w:val="en-US" w:eastAsia="zh-CN"/>
        </w:rPr>
        <w:t>1.重要提示：投标人应仔细阅读本函附件1关于</w:t>
      </w:r>
      <w:r>
        <w:rPr>
          <w:rFonts w:hint="eastAsia" w:cs="宋体"/>
          <w:color w:val="auto"/>
          <w:spacing w:val="-6"/>
          <w:kern w:val="0"/>
          <w:sz w:val="21"/>
          <w:szCs w:val="21"/>
          <w:highlight w:val="none"/>
          <w:lang w:val="en-US" w:eastAsia="zh-CN" w:bidi="ar"/>
        </w:rPr>
        <w:t>“</w:t>
      </w:r>
      <w:r>
        <w:rPr>
          <w:rFonts w:hint="eastAsia" w:cs="宋体"/>
          <w:b/>
          <w:bCs/>
          <w:color w:val="auto"/>
          <w:spacing w:val="6"/>
          <w:sz w:val="21"/>
          <w:szCs w:val="21"/>
          <w:highlight w:val="none"/>
          <w:lang w:val="en-US" w:eastAsia="zh-CN"/>
        </w:rPr>
        <w:t>中小企业声明函”的填写要求及提交要求，否则，因填写或提交等产生的一切不利后果，须自行承担。</w:t>
      </w:r>
    </w:p>
    <w:p w14:paraId="520C5DD0">
      <w:pPr>
        <w:ind w:firstLine="666" w:firstLineChars="300"/>
        <w:rPr>
          <w:rFonts w:cs="宋体"/>
          <w:color w:val="auto"/>
          <w:spacing w:val="6"/>
          <w:sz w:val="21"/>
          <w:szCs w:val="21"/>
          <w:highlight w:val="none"/>
        </w:rPr>
      </w:pPr>
      <w:r>
        <w:rPr>
          <w:rFonts w:hint="eastAsia" w:cs="宋体"/>
          <w:b/>
          <w:bCs/>
          <w:color w:val="auto"/>
          <w:spacing w:val="6"/>
          <w:sz w:val="21"/>
          <w:szCs w:val="21"/>
          <w:highlight w:val="none"/>
          <w:lang w:val="en-US" w:eastAsia="zh-CN"/>
        </w:rPr>
        <w:t>2.</w:t>
      </w:r>
      <w:r>
        <w:rPr>
          <w:rFonts w:hint="eastAsia" w:cs="宋体"/>
          <w:color w:val="auto"/>
          <w:spacing w:val="6"/>
          <w:sz w:val="21"/>
          <w:szCs w:val="21"/>
          <w:highlight w:val="none"/>
        </w:rPr>
        <w:t>从业人员、营业收入、资产总额填报上一年度数据，无上一年度数据的新成立企业可不填报。</w:t>
      </w:r>
    </w:p>
    <w:p w14:paraId="5E0EAE7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0A6F850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0AD6E5F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1AA62AF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2B2E41E4">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color w:val="auto"/>
          <w:highlight w:val="none"/>
          <w:lang w:val="en-US" w:eastAsia="zh-CN"/>
        </w:rPr>
      </w:pPr>
      <w:r>
        <w:rPr>
          <w:rFonts w:hint="eastAsia"/>
          <w:b/>
          <w:bCs/>
          <w:color w:val="auto"/>
          <w:highlight w:val="none"/>
          <w:lang w:val="en-US" w:eastAsia="zh-CN"/>
        </w:rPr>
        <w:t xml:space="preserve">附件1 </w:t>
      </w:r>
    </w:p>
    <w:p w14:paraId="41AE582E">
      <w:pPr>
        <w:keepNext w:val="0"/>
        <w:keepLines w:val="0"/>
        <w:widowControl/>
        <w:suppressLineNumbers w:val="0"/>
        <w:ind w:firstLine="562" w:firstLineChars="200"/>
        <w:jc w:val="left"/>
        <w:rPr>
          <w:rStyle w:val="34"/>
          <w:rFonts w:hint="eastAsia" w:ascii="宋体" w:hAnsi="宋体" w:eastAsia="宋体" w:cs="宋体"/>
          <w:color w:val="auto"/>
          <w:kern w:val="0"/>
          <w:sz w:val="28"/>
          <w:szCs w:val="28"/>
          <w:highlight w:val="none"/>
          <w:lang w:val="en-US" w:eastAsia="zh-CN" w:bidi="ar"/>
        </w:rPr>
      </w:pPr>
    </w:p>
    <w:p w14:paraId="04DF5852">
      <w:pPr>
        <w:keepNext w:val="0"/>
        <w:keepLines w:val="0"/>
        <w:widowControl/>
        <w:suppressLineNumbers w:val="0"/>
        <w:ind w:firstLine="482" w:firstLineChars="200"/>
        <w:jc w:val="left"/>
        <w:rPr>
          <w:rStyle w:val="34"/>
          <w:rFonts w:hint="eastAsia" w:ascii="宋体" w:hAnsi="宋体" w:eastAsia="宋体" w:cs="宋体"/>
          <w:color w:val="auto"/>
          <w:kern w:val="0"/>
          <w:sz w:val="24"/>
          <w:szCs w:val="24"/>
          <w:highlight w:val="none"/>
          <w:lang w:val="en-US" w:eastAsia="zh-CN" w:bidi="ar"/>
        </w:rPr>
      </w:pPr>
      <w:r>
        <w:rPr>
          <w:rStyle w:val="34"/>
          <w:rFonts w:hint="eastAsia" w:ascii="宋体" w:hAnsi="宋体" w:eastAsia="宋体" w:cs="宋体"/>
          <w:color w:val="auto"/>
          <w:kern w:val="0"/>
          <w:sz w:val="24"/>
          <w:szCs w:val="24"/>
          <w:highlight w:val="none"/>
          <w:lang w:val="en-US" w:eastAsia="zh-CN" w:bidi="ar"/>
        </w:rPr>
        <w:t>（一）关于</w:t>
      </w:r>
      <w:r>
        <w:rPr>
          <w:rStyle w:val="34"/>
          <w:rFonts w:hint="eastAsia" w:cs="宋体"/>
          <w:color w:val="auto"/>
          <w:kern w:val="0"/>
          <w:sz w:val="24"/>
          <w:szCs w:val="24"/>
          <w:highlight w:val="none"/>
          <w:lang w:val="en-US" w:eastAsia="zh-CN" w:bidi="ar"/>
        </w:rPr>
        <w:t>“</w:t>
      </w:r>
      <w:r>
        <w:rPr>
          <w:rStyle w:val="34"/>
          <w:rFonts w:hint="eastAsia" w:ascii="宋体" w:hAnsi="宋体" w:eastAsia="宋体" w:cs="宋体"/>
          <w:color w:val="auto"/>
          <w:kern w:val="0"/>
          <w:sz w:val="24"/>
          <w:szCs w:val="24"/>
          <w:highlight w:val="none"/>
          <w:lang w:val="en-US" w:eastAsia="zh-CN" w:bidi="ar"/>
        </w:rPr>
        <w:t>中小企业声明函</w:t>
      </w:r>
      <w:r>
        <w:rPr>
          <w:rStyle w:val="34"/>
          <w:rFonts w:hint="eastAsia" w:cs="宋体"/>
          <w:color w:val="auto"/>
          <w:kern w:val="0"/>
          <w:sz w:val="24"/>
          <w:szCs w:val="24"/>
          <w:highlight w:val="none"/>
          <w:lang w:val="en-US" w:eastAsia="zh-CN" w:bidi="ar"/>
        </w:rPr>
        <w:t>”</w:t>
      </w:r>
      <w:r>
        <w:rPr>
          <w:rStyle w:val="34"/>
          <w:rFonts w:hint="eastAsia" w:ascii="宋体" w:hAnsi="宋体" w:eastAsia="宋体" w:cs="宋体"/>
          <w:color w:val="auto"/>
          <w:kern w:val="0"/>
          <w:sz w:val="24"/>
          <w:szCs w:val="24"/>
          <w:highlight w:val="none"/>
          <w:lang w:val="en-US" w:eastAsia="zh-CN" w:bidi="ar"/>
        </w:rPr>
        <w:t>的填写要求</w:t>
      </w:r>
    </w:p>
    <w:p w14:paraId="3BC9810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具体填写要求如下：</w:t>
      </w:r>
    </w:p>
    <w:p w14:paraId="59B4717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1.“单位名称”应填写采购人名称。</w:t>
      </w:r>
    </w:p>
    <w:p w14:paraId="38B0B2B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16263D2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740E3E0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4.“采购文件中明确的所属行业”应填写采购文件中明确的采购标的所属行业，并应确保与采购标的涉及的货物制造商/服务承接商/工程承建商（根据项目属性确定）本身的所属行业保持一致。</w:t>
      </w:r>
    </w:p>
    <w:p w14:paraId="4632990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7FA6E1C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3A0E2E7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5.“企业名称”应填写投标（响应）的货物制造商/服务承接商/工程承建商（根据项目属性确定）。</w:t>
      </w:r>
    </w:p>
    <w:p w14:paraId="7580B83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对于分包方式面向中小企业采购的项目，“企业名称”应填写分包部分采购标的对应的货物制造商/服务承接商/工程承建商（根据项目属性确定）。</w:t>
      </w:r>
    </w:p>
    <w:p w14:paraId="7930917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对于以联合体方式面向中小企业采购的项目，“企业名称”应填写联合体中中小企业承担采购标的对应的货物制造商/服务承接商/工程承建商（根据项目属性确定）。</w:t>
      </w:r>
    </w:p>
    <w:p w14:paraId="16EF32B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6.从业人员、资产总额指标以上年度末数据为依据，营业收入指标以上年度累计数据为依据。无上年度数据的新成立企业可不填报。</w:t>
      </w:r>
    </w:p>
    <w:p w14:paraId="3D70206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7.“中型企业/小型企业/微型企业”部分，投标人应依据企业上年度从业人员、营业收入、资产总额等指标，按照《中小企业划型标准规定》（工信部联企业〔2011〕300号）、《金融业企业划型标准规定》（银发〔2015〕309号），判断</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载明的货物制造商/服务承接商/工程承建商（根据项目属性确定）是否属于采购文件所属行业的中型企业/小型企业/微型企业。</w:t>
      </w:r>
    </w:p>
    <w:p w14:paraId="09BD31C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2D1E5155">
      <w:pPr>
        <w:keepNext w:val="0"/>
        <w:keepLines w:val="0"/>
        <w:widowControl/>
        <w:suppressLineNumbers w:val="0"/>
        <w:ind w:firstLine="482" w:firstLineChars="200"/>
        <w:jc w:val="left"/>
        <w:rPr>
          <w:rStyle w:val="34"/>
          <w:rFonts w:hint="eastAsia" w:ascii="宋体" w:hAnsi="宋体" w:eastAsia="宋体" w:cs="宋体"/>
          <w:color w:val="auto"/>
          <w:kern w:val="0"/>
          <w:sz w:val="24"/>
          <w:szCs w:val="24"/>
          <w:highlight w:val="none"/>
          <w:lang w:val="en-US" w:eastAsia="zh-CN" w:bidi="ar"/>
        </w:rPr>
      </w:pPr>
      <w:r>
        <w:rPr>
          <w:rStyle w:val="34"/>
          <w:rFonts w:hint="eastAsia" w:ascii="宋体" w:hAnsi="宋体" w:eastAsia="宋体" w:cs="宋体"/>
          <w:color w:val="auto"/>
          <w:kern w:val="0"/>
          <w:sz w:val="24"/>
          <w:szCs w:val="24"/>
          <w:highlight w:val="none"/>
          <w:lang w:val="en-US" w:eastAsia="zh-CN" w:bidi="ar"/>
        </w:rPr>
        <w:t>（二）关于</w:t>
      </w:r>
      <w:r>
        <w:rPr>
          <w:rStyle w:val="34"/>
          <w:rFonts w:hint="eastAsia" w:cs="宋体"/>
          <w:color w:val="auto"/>
          <w:kern w:val="0"/>
          <w:sz w:val="24"/>
          <w:szCs w:val="24"/>
          <w:highlight w:val="none"/>
          <w:lang w:val="en-US" w:eastAsia="zh-CN" w:bidi="ar"/>
        </w:rPr>
        <w:t>“</w:t>
      </w:r>
      <w:r>
        <w:rPr>
          <w:rStyle w:val="34"/>
          <w:rFonts w:hint="eastAsia" w:ascii="宋体" w:hAnsi="宋体" w:eastAsia="宋体" w:cs="宋体"/>
          <w:color w:val="auto"/>
          <w:kern w:val="0"/>
          <w:sz w:val="24"/>
          <w:szCs w:val="24"/>
          <w:highlight w:val="none"/>
          <w:lang w:val="en-US" w:eastAsia="zh-CN" w:bidi="ar"/>
        </w:rPr>
        <w:t>中小企业声明函</w:t>
      </w:r>
      <w:r>
        <w:rPr>
          <w:rStyle w:val="34"/>
          <w:rFonts w:hint="eastAsia" w:cs="宋体"/>
          <w:color w:val="auto"/>
          <w:kern w:val="0"/>
          <w:sz w:val="24"/>
          <w:szCs w:val="24"/>
          <w:highlight w:val="none"/>
          <w:lang w:val="en-US" w:eastAsia="zh-CN" w:bidi="ar"/>
        </w:rPr>
        <w:t>”</w:t>
      </w:r>
      <w:r>
        <w:rPr>
          <w:rStyle w:val="34"/>
          <w:rFonts w:hint="eastAsia" w:ascii="宋体" w:hAnsi="宋体" w:eastAsia="宋体" w:cs="宋体"/>
          <w:color w:val="auto"/>
          <w:kern w:val="0"/>
          <w:sz w:val="24"/>
          <w:szCs w:val="24"/>
          <w:highlight w:val="none"/>
          <w:lang w:val="en-US" w:eastAsia="zh-CN" w:bidi="ar"/>
        </w:rPr>
        <w:t>的提交要求</w:t>
      </w:r>
    </w:p>
    <w:p w14:paraId="4AADC3E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1.投标（响应）投标人对</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的真实性负责。投标（响应）投标人应当核实投标（响应）的货物制造商/服务承接商/工程承建商（根据项目属性确定）的相关信息，如对相关信息了解不充分，或者不能确定相关信息真实、准确的，不建议出具</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w:t>
      </w:r>
    </w:p>
    <w:p w14:paraId="74A4738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2.鼓励投标人在投标（响应）时一并提供对货物制造商、服务承接商、工程承建商相关信息的核实核验情况以及其他佐证材料。</w:t>
      </w:r>
    </w:p>
    <w:p w14:paraId="08898FF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3.如投标人提供的</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33D79B35">
      <w:pPr>
        <w:rPr>
          <w:rFonts w:cs="宋体"/>
          <w:color w:val="auto"/>
          <w:spacing w:val="6"/>
          <w:sz w:val="21"/>
          <w:szCs w:val="21"/>
          <w:highlight w:val="none"/>
        </w:rPr>
      </w:pPr>
    </w:p>
    <w:p w14:paraId="3A3671E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color w:val="auto"/>
          <w:highlight w:val="none"/>
          <w:lang w:val="en-US" w:eastAsia="zh-CN"/>
        </w:rPr>
      </w:pPr>
      <w:r>
        <w:rPr>
          <w:rFonts w:hint="eastAsia"/>
          <w:b/>
          <w:bCs/>
          <w:color w:val="auto"/>
          <w:highlight w:val="none"/>
          <w:lang w:val="en-US" w:eastAsia="zh-CN"/>
        </w:rPr>
        <w:t>附件2：</w:t>
      </w:r>
    </w:p>
    <w:p w14:paraId="39170DD1">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关于印发中小企业划型标准规定的通知</w:t>
      </w:r>
    </w:p>
    <w:p w14:paraId="16683A5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34"/>
          <w:rFonts w:hint="eastAsia" w:ascii="宋体" w:hAnsi="宋体" w:eastAsia="宋体" w:cs="宋体"/>
          <w:b w:val="0"/>
          <w:color w:val="auto"/>
          <w:sz w:val="24"/>
          <w:szCs w:val="24"/>
          <w:highlight w:val="none"/>
        </w:rPr>
      </w:pPr>
      <w:r>
        <w:rPr>
          <w:rStyle w:val="34"/>
          <w:rFonts w:hint="eastAsia" w:ascii="宋体" w:hAnsi="宋体" w:eastAsia="宋体" w:cs="宋体"/>
          <w:b w:val="0"/>
          <w:color w:val="auto"/>
          <w:sz w:val="24"/>
          <w:szCs w:val="24"/>
          <w:highlight w:val="none"/>
        </w:rPr>
        <w:t>工信部联企业〔2011〕300号</w:t>
      </w:r>
    </w:p>
    <w:p w14:paraId="4A8A73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34"/>
          <w:rFonts w:hint="eastAsia" w:ascii="宋体" w:hAnsi="宋体" w:eastAsia="宋体" w:cs="宋体"/>
          <w:b w:val="0"/>
          <w:color w:val="auto"/>
          <w:sz w:val="24"/>
          <w:szCs w:val="24"/>
          <w:highlight w:val="none"/>
        </w:rPr>
      </w:pPr>
    </w:p>
    <w:p w14:paraId="603F6392">
      <w:pPr>
        <w:keepNext w:val="0"/>
        <w:keepLines w:val="0"/>
        <w:pageBreakBefore w:val="0"/>
        <w:widowControl w:val="0"/>
        <w:kinsoku/>
        <w:wordWrap/>
        <w:overflowPunct/>
        <w:topLinePunct w:val="0"/>
        <w:autoSpaceDE/>
        <w:autoSpaceDN/>
        <w:bidi w:val="0"/>
        <w:adjustRightInd/>
        <w:snapToGrid/>
        <w:spacing w:line="360" w:lineRule="exact"/>
        <w:textAlignment w:val="auto"/>
        <w:rPr>
          <w:rStyle w:val="34"/>
          <w:rFonts w:hint="eastAsia" w:ascii="宋体" w:hAnsi="宋体" w:eastAsia="宋体" w:cs="宋体"/>
          <w:b w:val="0"/>
          <w:color w:val="auto"/>
          <w:sz w:val="24"/>
          <w:szCs w:val="24"/>
          <w:highlight w:val="none"/>
        </w:rPr>
      </w:pPr>
      <w:r>
        <w:rPr>
          <w:rStyle w:val="34"/>
          <w:rFonts w:hint="eastAsia" w:ascii="宋体" w:hAnsi="宋体" w:eastAsia="宋体" w:cs="宋体"/>
          <w:b w:val="0"/>
          <w:color w:val="auto"/>
          <w:sz w:val="24"/>
          <w:szCs w:val="24"/>
          <w:highlight w:val="none"/>
        </w:rPr>
        <w:t>各省、自治区、直辖市人民政府，国务院各部委、各直属机构及有关单位：</w:t>
      </w:r>
    </w:p>
    <w:p w14:paraId="668B2E43">
      <w:pPr>
        <w:keepNext w:val="0"/>
        <w:keepLines w:val="0"/>
        <w:pageBreakBefore w:val="0"/>
        <w:widowControl w:val="0"/>
        <w:kinsoku/>
        <w:wordWrap/>
        <w:overflowPunct/>
        <w:topLinePunct w:val="0"/>
        <w:autoSpaceDE/>
        <w:autoSpaceDN/>
        <w:bidi w:val="0"/>
        <w:adjustRightInd/>
        <w:snapToGrid/>
        <w:spacing w:line="36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542C1DCB">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工业和信息化部　国家统计局</w:t>
      </w:r>
    </w:p>
    <w:p w14:paraId="3B56F11D">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国家发展和改革委员会　财政部</w:t>
      </w:r>
    </w:p>
    <w:p w14:paraId="2E3E3209">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二○一一年六月十八日</w:t>
      </w:r>
    </w:p>
    <w:p w14:paraId="4AD5ABC3">
      <w:pPr>
        <w:keepNext w:val="0"/>
        <w:keepLines w:val="0"/>
        <w:pageBreakBefore w:val="0"/>
        <w:widowControl w:val="0"/>
        <w:kinsoku/>
        <w:wordWrap/>
        <w:overflowPunct/>
        <w:topLinePunct w:val="0"/>
        <w:autoSpaceDE/>
        <w:autoSpaceDN/>
        <w:bidi w:val="0"/>
        <w:adjustRightInd/>
        <w:snapToGrid/>
        <w:spacing w:line="36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xml:space="preserve"> </w:t>
      </w:r>
    </w:p>
    <w:p w14:paraId="17EE360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34"/>
          <w:rFonts w:hint="eastAsia" w:ascii="宋体" w:hAnsi="宋体" w:eastAsia="宋体" w:cs="宋体"/>
          <w:b/>
          <w:bCs w:val="0"/>
          <w:color w:val="auto"/>
          <w:sz w:val="28"/>
          <w:szCs w:val="28"/>
          <w:highlight w:val="none"/>
        </w:rPr>
      </w:pPr>
      <w:r>
        <w:rPr>
          <w:rStyle w:val="34"/>
          <w:rFonts w:hint="eastAsia" w:ascii="宋体" w:hAnsi="宋体" w:eastAsia="宋体" w:cs="宋体"/>
          <w:b/>
          <w:bCs w:val="0"/>
          <w:color w:val="auto"/>
          <w:sz w:val="28"/>
          <w:szCs w:val="28"/>
          <w:highlight w:val="none"/>
        </w:rPr>
        <w:t>中小企业划型标准规定</w:t>
      </w:r>
    </w:p>
    <w:p w14:paraId="1CCCDF96">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一、根据《中华人民共和国中小企业促进法》和《国务院关于进一步促进中小企业发展的若干意见》(国发〔2009〕36号)，制定本规定。</w:t>
      </w:r>
    </w:p>
    <w:p w14:paraId="4CA76FA6">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二、中小企业划分为中型、小型、微型三种类型，具体标准根据企业从业人员、营业收入、资产总额等指标，结合行业特点制定。</w:t>
      </w:r>
    </w:p>
    <w:p w14:paraId="606E706A">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65A8FA22">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四、各行业划型标准为：</w:t>
      </w:r>
    </w:p>
    <w:p w14:paraId="48ACB782">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（一）农、林、牧、渔业。营业收入20000万元以下的为中小微型企业。其中，营业收入500万元及以上的为中型企业，营业收入50万元及以上的为小型企业，营业收入50万元以下的为微型企业。</w:t>
      </w:r>
    </w:p>
    <w:p w14:paraId="58EB895D">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B714A11">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6991FB55">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5B74E4DA">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6A6E50B9">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B4BFAA4">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3FF373E8">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07B7DD75">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DFF99D8">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0DC0961">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2EDD5EEE">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049FDA79">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95B473A">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8447B90">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6310013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（十六）其他未列明行业。从业人员300人以下的为中小微型企业。其中，从业人员100人及以上的为中型企业；从业人员10人及以上的为小型企业；从业人员10人以下的为微型企业。　　</w:t>
      </w:r>
    </w:p>
    <w:p w14:paraId="7DD1F01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五、企业类型的划分以统计部门的统计数据为依据。</w:t>
      </w:r>
    </w:p>
    <w:p w14:paraId="657AA3D7">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六、本规定适用于在中华人民共和国境内依法设立的各类所有制和各种组织形式的企业。个体工商户和本规定以外的行业，参照本规定进行划型。</w:t>
      </w:r>
    </w:p>
    <w:p w14:paraId="1CBEBD8F">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3D0AF1FC">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八、本规定由工业和信息化部、国家统计局会同有关部门根据《国民经济行业分类》修订情况和企业发展变化情况适时修订。</w:t>
      </w:r>
    </w:p>
    <w:p w14:paraId="40B5BBAD">
      <w:pPr>
        <w:keepNext w:val="0"/>
        <w:keepLines w:val="0"/>
        <w:pageBreakBefore w:val="0"/>
        <w:widowControl w:val="0"/>
        <w:kinsoku/>
        <w:wordWrap/>
        <w:overflowPunct/>
        <w:topLinePunct w:val="0"/>
        <w:autoSpaceDE/>
        <w:autoSpaceDN/>
        <w:bidi w:val="0"/>
        <w:adjustRightInd/>
        <w:snapToGrid/>
        <w:spacing w:line="40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九、本规定由工业和信息化部、国家统计局会同有关部门负责解释。</w:t>
      </w:r>
    </w:p>
    <w:p w14:paraId="3502BEC0">
      <w:pPr>
        <w:keepNext w:val="0"/>
        <w:keepLines w:val="0"/>
        <w:pageBreakBefore w:val="0"/>
        <w:widowControl w:val="0"/>
        <w:kinsoku/>
        <w:wordWrap/>
        <w:overflowPunct/>
        <w:topLinePunct w:val="0"/>
        <w:autoSpaceDE/>
        <w:autoSpaceDN/>
        <w:bidi w:val="0"/>
        <w:adjustRightInd/>
        <w:snapToGrid/>
        <w:spacing w:line="400" w:lineRule="exact"/>
        <w:textAlignment w:val="auto"/>
        <w:rPr>
          <w:rFonts w:cs="宋体"/>
          <w:color w:val="auto"/>
          <w:spacing w:val="6"/>
          <w:sz w:val="21"/>
          <w:szCs w:val="21"/>
          <w:highlight w:val="none"/>
        </w:rPr>
      </w:pPr>
      <w:r>
        <w:rPr>
          <w:rStyle w:val="34"/>
          <w:rFonts w:hint="eastAsia" w:ascii="宋体" w:hAnsi="宋体" w:eastAsia="宋体" w:cs="宋体"/>
          <w:b w:val="0"/>
          <w:bCs w:val="0"/>
          <w:color w:val="auto"/>
          <w:sz w:val="24"/>
          <w:szCs w:val="24"/>
          <w:highlight w:val="none"/>
        </w:rPr>
        <w:t>十、本规定自发布之日起执行，原国家经贸委、原国家计委、财政部和国家统计局2003年颁布的《中小企业标准暂行规定》同时废止。</w:t>
      </w:r>
    </w:p>
    <w:p w14:paraId="69897B1D">
      <w:pPr>
        <w:rPr>
          <w:rFonts w:cs="宋体"/>
          <w:color w:val="auto"/>
          <w:spacing w:val="6"/>
          <w:sz w:val="21"/>
          <w:szCs w:val="21"/>
          <w:highlight w:val="none"/>
        </w:rPr>
      </w:pPr>
    </w:p>
    <w:p w14:paraId="01D6BB5B">
      <w:pPr>
        <w:rPr>
          <w:rFonts w:cs="宋体"/>
          <w:color w:val="auto"/>
          <w:spacing w:val="6"/>
          <w:sz w:val="21"/>
          <w:szCs w:val="21"/>
          <w:highlight w:val="none"/>
        </w:rPr>
      </w:pPr>
    </w:p>
    <w:p w14:paraId="09E9C251">
      <w:pPr>
        <w:rPr>
          <w:rFonts w:cs="宋体"/>
          <w:color w:val="auto"/>
          <w:spacing w:val="6"/>
          <w:sz w:val="21"/>
          <w:szCs w:val="21"/>
          <w:highlight w:val="none"/>
        </w:rPr>
      </w:pPr>
    </w:p>
    <w:p w14:paraId="105BD67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color w:val="auto"/>
          <w:highlight w:val="none"/>
          <w:lang w:val="en-US" w:eastAsia="zh-CN"/>
        </w:rPr>
      </w:pPr>
      <w:r>
        <w:rPr>
          <w:rFonts w:hint="eastAsia"/>
          <w:b/>
          <w:bCs/>
          <w:color w:val="auto"/>
          <w:highlight w:val="none"/>
          <w:lang w:val="en-US" w:eastAsia="zh-CN"/>
        </w:rPr>
        <w:t>附件3：</w:t>
      </w:r>
    </w:p>
    <w:p w14:paraId="6678DB20">
      <w:pPr>
        <w:rPr>
          <w:rFonts w:hint="eastAsia" w:cs="宋体"/>
          <w:color w:val="auto"/>
          <w:spacing w:val="6"/>
          <w:sz w:val="21"/>
          <w:szCs w:val="21"/>
          <w:highlight w:val="none"/>
        </w:rPr>
      </w:pPr>
    </w:p>
    <w:p w14:paraId="55813C91">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关于印发《金融业企业划型标准规定》的通知</w:t>
      </w:r>
    </w:p>
    <w:p w14:paraId="6F58212E">
      <w:pPr>
        <w:jc w:val="center"/>
        <w:rPr>
          <w:rStyle w:val="34"/>
          <w:rFonts w:hint="eastAsia" w:ascii="宋体" w:hAnsi="宋体" w:eastAsia="宋体" w:cs="宋体"/>
          <w:b w:val="0"/>
          <w:color w:val="auto"/>
          <w:sz w:val="24"/>
          <w:szCs w:val="24"/>
          <w:highlight w:val="none"/>
        </w:rPr>
      </w:pPr>
      <w:r>
        <w:rPr>
          <w:rStyle w:val="34"/>
          <w:rFonts w:hint="eastAsia" w:ascii="宋体" w:hAnsi="宋体" w:eastAsia="宋体" w:cs="宋体"/>
          <w:b w:val="0"/>
          <w:color w:val="auto"/>
          <w:sz w:val="24"/>
          <w:szCs w:val="24"/>
          <w:highlight w:val="none"/>
        </w:rPr>
        <w:t>银发〔2015〕309号</w:t>
      </w:r>
    </w:p>
    <w:p w14:paraId="1BD1E125">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7B59722A">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请人民银行上海总部，各分行、营业管理部、省会（首府）城市中心支行、副省级城市中心支行会同所在省（区、市）银监局、证监局、保监局、统计局将本通知联合转发至辖内相关机构。</w:t>
      </w:r>
    </w:p>
    <w:p w14:paraId="71345050">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4"/>
          <w:rFonts w:hint="eastAsia" w:ascii="宋体" w:hAnsi="宋体" w:eastAsia="宋体" w:cs="宋体"/>
          <w:b w:val="0"/>
          <w:bCs w:val="0"/>
          <w:color w:val="auto"/>
          <w:sz w:val="24"/>
          <w:szCs w:val="24"/>
          <w:highlight w:val="none"/>
        </w:rPr>
      </w:pPr>
    </w:p>
    <w:p w14:paraId="447A620D">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附件：金融业企业划型标准规定</w:t>
      </w:r>
    </w:p>
    <w:p w14:paraId="14AFDC0B">
      <w:pPr>
        <w:keepNext w:val="0"/>
        <w:keepLines w:val="0"/>
        <w:pageBreakBefore w:val="0"/>
        <w:widowControl w:val="0"/>
        <w:kinsoku/>
        <w:wordWrap/>
        <w:overflowPunct/>
        <w:topLinePunct w:val="0"/>
        <w:autoSpaceDE/>
        <w:autoSpaceDN/>
        <w:bidi w:val="0"/>
        <w:adjustRightInd/>
        <w:snapToGrid/>
        <w:spacing w:line="460" w:lineRule="exact"/>
        <w:textAlignment w:val="auto"/>
        <w:rPr>
          <w:rStyle w:val="34"/>
          <w:rFonts w:hint="eastAsia" w:ascii="宋体" w:hAnsi="宋体" w:eastAsia="宋体" w:cs="宋体"/>
          <w:b w:val="0"/>
          <w:bCs w:val="0"/>
          <w:color w:val="auto"/>
          <w:sz w:val="24"/>
          <w:szCs w:val="24"/>
          <w:highlight w:val="none"/>
        </w:rPr>
      </w:pPr>
      <w:r>
        <w:rPr>
          <w:rFonts w:hint="eastAsia" w:cs="宋体"/>
          <w:color w:val="auto"/>
          <w:spacing w:val="6"/>
          <w:sz w:val="24"/>
          <w:szCs w:val="24"/>
          <w:highlight w:val="none"/>
        </w:rPr>
        <w:t>                                      </w:t>
      </w:r>
      <w:r>
        <w:rPr>
          <w:rStyle w:val="34"/>
          <w:rFonts w:hint="eastAsia" w:ascii="宋体" w:hAnsi="宋体" w:eastAsia="宋体" w:cs="宋体"/>
          <w:b w:val="0"/>
          <w:bCs w:val="0"/>
          <w:color w:val="auto"/>
          <w:sz w:val="24"/>
          <w:szCs w:val="24"/>
          <w:highlight w:val="none"/>
        </w:rPr>
        <w:t>       </w:t>
      </w:r>
      <w:r>
        <w:rPr>
          <w:rStyle w:val="34"/>
          <w:rFonts w:hint="eastAsia" w:cs="宋体"/>
          <w:b w:val="0"/>
          <w:bCs w:val="0"/>
          <w:color w:val="auto"/>
          <w:sz w:val="24"/>
          <w:szCs w:val="24"/>
          <w:highlight w:val="none"/>
          <w:lang w:val="en-US" w:eastAsia="zh-CN"/>
        </w:rPr>
        <w:t xml:space="preserve">                            </w:t>
      </w:r>
      <w:r>
        <w:rPr>
          <w:rStyle w:val="34"/>
          <w:rFonts w:hint="eastAsia" w:ascii="宋体" w:hAnsi="宋体" w:eastAsia="宋体" w:cs="宋体"/>
          <w:b w:val="0"/>
          <w:bCs w:val="0"/>
          <w:color w:val="auto"/>
          <w:sz w:val="24"/>
          <w:szCs w:val="24"/>
          <w:highlight w:val="none"/>
        </w:rPr>
        <w:t>中国人民银行</w:t>
      </w:r>
    </w:p>
    <w:p w14:paraId="074F2083">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中国银行业监督管理委员会</w:t>
      </w:r>
    </w:p>
    <w:p w14:paraId="1A58B566">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中国证券监督管理委员会</w:t>
      </w:r>
    </w:p>
    <w:p w14:paraId="5CFC2949">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中国保险监督管理委员会</w:t>
      </w:r>
    </w:p>
    <w:p w14:paraId="6DCB8038">
      <w:pPr>
        <w:keepNext w:val="0"/>
        <w:keepLines w:val="0"/>
        <w:pageBreakBefore w:val="0"/>
        <w:widowControl w:val="0"/>
        <w:kinsoku/>
        <w:wordWrap/>
        <w:overflowPunct/>
        <w:topLinePunct w:val="0"/>
        <w:autoSpaceDE/>
        <w:autoSpaceDN/>
        <w:bidi w:val="0"/>
        <w:adjustRightInd/>
        <w:snapToGrid/>
        <w:spacing w:line="460" w:lineRule="exact"/>
        <w:ind w:firstLine="2160" w:firstLineChars="900"/>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中华人民共和国国家统计局</w:t>
      </w:r>
    </w:p>
    <w:p w14:paraId="77F43059">
      <w:pPr>
        <w:keepNext w:val="0"/>
        <w:keepLines w:val="0"/>
        <w:pageBreakBefore w:val="0"/>
        <w:widowControl w:val="0"/>
        <w:kinsoku/>
        <w:wordWrap/>
        <w:overflowPunct/>
        <w:topLinePunct w:val="0"/>
        <w:autoSpaceDE/>
        <w:autoSpaceDN/>
        <w:bidi w:val="0"/>
        <w:adjustRightInd/>
        <w:snapToGrid/>
        <w:spacing w:line="46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w:t>
      </w:r>
      <w:r>
        <w:rPr>
          <w:rStyle w:val="34"/>
          <w:rFonts w:hint="eastAsia" w:cs="宋体"/>
          <w:b w:val="0"/>
          <w:bCs w:val="0"/>
          <w:color w:val="auto"/>
          <w:sz w:val="24"/>
          <w:szCs w:val="24"/>
          <w:highlight w:val="none"/>
          <w:lang w:val="en-US" w:eastAsia="zh-CN"/>
        </w:rPr>
        <w:t xml:space="preserve">     </w:t>
      </w:r>
      <w:r>
        <w:rPr>
          <w:rStyle w:val="34"/>
          <w:rFonts w:hint="eastAsia" w:ascii="宋体" w:hAnsi="宋体" w:eastAsia="宋体" w:cs="宋体"/>
          <w:b w:val="0"/>
          <w:bCs w:val="0"/>
          <w:color w:val="auto"/>
          <w:sz w:val="24"/>
          <w:szCs w:val="24"/>
          <w:highlight w:val="none"/>
        </w:rPr>
        <w:t> 2015年9月28日</w:t>
      </w:r>
    </w:p>
    <w:p w14:paraId="468E9292">
      <w:pPr>
        <w:rPr>
          <w:rFonts w:hint="eastAsia" w:cs="宋体"/>
          <w:color w:val="auto"/>
          <w:spacing w:val="6"/>
          <w:sz w:val="21"/>
          <w:szCs w:val="21"/>
          <w:highlight w:val="none"/>
        </w:rPr>
      </w:pPr>
    </w:p>
    <w:p w14:paraId="2172C349">
      <w:pPr>
        <w:rPr>
          <w:rFonts w:hint="eastAsia" w:cs="宋体"/>
          <w:color w:val="auto"/>
          <w:spacing w:val="6"/>
          <w:sz w:val="21"/>
          <w:szCs w:val="21"/>
          <w:highlight w:val="none"/>
          <w:lang w:val="en-US" w:eastAsia="zh-CN"/>
        </w:rPr>
      </w:pPr>
    </w:p>
    <w:p w14:paraId="6C117132">
      <w:pPr>
        <w:rPr>
          <w:rFonts w:hint="eastAsia" w:cs="宋体"/>
          <w:color w:val="auto"/>
          <w:spacing w:val="6"/>
          <w:sz w:val="21"/>
          <w:szCs w:val="21"/>
          <w:highlight w:val="none"/>
          <w:lang w:val="en-US" w:eastAsia="zh-CN"/>
        </w:rPr>
      </w:pPr>
    </w:p>
    <w:p w14:paraId="11CB5630">
      <w:pPr>
        <w:rPr>
          <w:rFonts w:hint="eastAsia" w:cs="宋体"/>
          <w:color w:val="auto"/>
          <w:spacing w:val="6"/>
          <w:sz w:val="21"/>
          <w:szCs w:val="21"/>
          <w:highlight w:val="none"/>
          <w:lang w:val="en-US" w:eastAsia="zh-CN"/>
        </w:rPr>
      </w:pPr>
    </w:p>
    <w:p w14:paraId="62BE329A">
      <w:pPr>
        <w:rPr>
          <w:rFonts w:hint="eastAsia" w:cs="宋体"/>
          <w:color w:val="auto"/>
          <w:spacing w:val="6"/>
          <w:sz w:val="21"/>
          <w:szCs w:val="21"/>
          <w:highlight w:val="none"/>
          <w:lang w:val="en-US" w:eastAsia="zh-CN"/>
        </w:rPr>
      </w:pPr>
    </w:p>
    <w:p w14:paraId="4B2C6755">
      <w:pPr>
        <w:rPr>
          <w:rFonts w:hint="eastAsia" w:cs="宋体"/>
          <w:color w:val="auto"/>
          <w:spacing w:val="6"/>
          <w:sz w:val="21"/>
          <w:szCs w:val="21"/>
          <w:highlight w:val="none"/>
          <w:lang w:val="en-US" w:eastAsia="zh-CN"/>
        </w:rPr>
      </w:pPr>
    </w:p>
    <w:p w14:paraId="57DED987">
      <w:pPr>
        <w:rPr>
          <w:rFonts w:hint="eastAsia" w:cs="宋体"/>
          <w:color w:val="auto"/>
          <w:spacing w:val="6"/>
          <w:sz w:val="21"/>
          <w:szCs w:val="21"/>
          <w:highlight w:val="none"/>
          <w:lang w:val="en-US" w:eastAsia="zh-CN"/>
        </w:rPr>
      </w:pPr>
    </w:p>
    <w:p w14:paraId="603FDA53">
      <w:pPr>
        <w:rPr>
          <w:rFonts w:hint="eastAsia" w:cs="宋体"/>
          <w:color w:val="auto"/>
          <w:spacing w:val="6"/>
          <w:sz w:val="21"/>
          <w:szCs w:val="21"/>
          <w:highlight w:val="none"/>
        </w:rPr>
      </w:pPr>
      <w:r>
        <w:rPr>
          <w:rFonts w:hint="eastAsia" w:cs="宋体"/>
          <w:color w:val="auto"/>
          <w:spacing w:val="6"/>
          <w:sz w:val="21"/>
          <w:szCs w:val="21"/>
          <w:highlight w:val="none"/>
          <w:lang w:val="en-US" w:eastAsia="zh-CN"/>
        </w:rPr>
        <w:t>附件</w:t>
      </w:r>
      <w:r>
        <w:rPr>
          <w:rFonts w:hint="eastAsia" w:cs="宋体"/>
          <w:color w:val="auto"/>
          <w:spacing w:val="6"/>
          <w:sz w:val="21"/>
          <w:szCs w:val="21"/>
          <w:highlight w:val="none"/>
        </w:rPr>
        <w:t>              </w:t>
      </w:r>
    </w:p>
    <w:p w14:paraId="6AE7AC92">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金融业企业划型标准规定</w:t>
      </w:r>
    </w:p>
    <w:p w14:paraId="4582A24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一、根据《中华人民共和国中小企业促进法》、《国务院关于进一步促进中小企业发展的若干意见》（国发〔2009〕36号）和《国务院办公厅关于金融支持小微企业发展的实施意见》（国办发〔2013〕87号），制定本规定。</w:t>
      </w:r>
    </w:p>
    <w:p w14:paraId="2E255CC7">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二、适用范围。本规定适用于从事《国民经济行业分类》（GB/T4754-2011）中J门类（金融业）活动的企业。</w:t>
      </w:r>
    </w:p>
    <w:p w14:paraId="3A9E3184">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DBC8327">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四、划型标准指标。采用一个完整会计年度中四个季度末法人并表口径的资产总额（信托公司为信托资产）平均值作为划型指标，该指标以监管部门数据为准。</w:t>
      </w:r>
    </w:p>
    <w:p w14:paraId="4A6B5DF2">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五、指标标准值。依据指标标准值，将各类金融业企业划分为大、中、小、微四个规模类型，中型企业标准上限及以上的为大型企业。</w:t>
      </w:r>
    </w:p>
    <w:p w14:paraId="5AB0B25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（一）银行业存款类金融机构。资产总额40000亿元以下的为中小微型企业。其中，资产总额5000亿元及以上的为中型企业，资产总额50亿元及以上的为小型企业，资产总额50亿元以下的为微型企业。</w:t>
      </w:r>
    </w:p>
    <w:p w14:paraId="005E2B8C">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（二）银行业非存款类金融机构。资产总额1000亿元以下的为中小微企业。其中，资产总额200亿元及以上的为中型企业，资产总额50亿元及以上的为小型企业，资产总额50亿元以下的为微型企业。</w:t>
      </w:r>
    </w:p>
    <w:p w14:paraId="582BEAA6">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（三）贷款公司、小额贷款公司及典当行。资产总额1000亿元以下的为中小微型企业。其中，资产总额200亿元及以上的为中型企业，资产总额50亿元及以上的为小型企业，资产总额50亿元以下的为微型企业。</w:t>
      </w:r>
    </w:p>
    <w:p w14:paraId="7C331B1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（四）证券业金融机构。资产总额1000亿元以下的为中小微型企业。其中，资产总额100亿元及以上的为中型企业，资产总额10亿元及以上的为小型企业，资产总额10亿元以下的为微型企业。</w:t>
      </w:r>
    </w:p>
    <w:p w14:paraId="28CB5B6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（五）保险业金融机构。资产总额5000亿元以下的为中小微型企业。其中，资产总额400亿元及以上的为中型企业，资产总额20亿元及以上的为小型企业，资产总额20亿元以下的为微型企业。</w:t>
      </w:r>
    </w:p>
    <w:p w14:paraId="454BE6B7">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（六）信托公司。信托资产1000亿元以下的为中小微型企业。其中，信托资产400亿元及以上的为中型企业，信托资产20亿元及以上的为小型企业，信托资产20亿元以下的为微型企业。</w:t>
      </w:r>
    </w:p>
    <w:p w14:paraId="3F1F7E3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（七）金融控股公司。资产总额40000亿元以下的为中小微企业。其中，资产总额5000亿元及以上的为中型企业，资产总额50亿元及以上的为小型企业，资产总额50亿元以下的为微型企业。、</w:t>
      </w:r>
    </w:p>
    <w:p w14:paraId="5F69800D">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lang w:eastAsia="zh-CN"/>
        </w:rPr>
      </w:pPr>
      <w:r>
        <w:rPr>
          <w:rStyle w:val="34"/>
          <w:rFonts w:hint="eastAsia" w:ascii="宋体" w:hAnsi="宋体" w:eastAsia="宋体" w:cs="宋体"/>
          <w:b w:val="0"/>
          <w:bCs w:val="0"/>
          <w:color w:val="auto"/>
          <w:sz w:val="24"/>
          <w:szCs w:val="24"/>
          <w:highlight w:val="none"/>
        </w:rPr>
        <w:t>(八)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Style w:val="34"/>
          <w:rFonts w:hint="eastAsia" w:cs="宋体"/>
          <w:b w:val="0"/>
          <w:bCs w:val="0"/>
          <w:color w:val="auto"/>
          <w:sz w:val="24"/>
          <w:szCs w:val="24"/>
          <w:highlight w:val="none"/>
          <w:lang w:eastAsia="zh-CN"/>
        </w:rPr>
        <w:t>。</w:t>
      </w:r>
    </w:p>
    <w:p w14:paraId="6F66F52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加相应的字段模块。经过认定的金融业企业在系统中进行规模登记</w:t>
      </w:r>
      <w:r>
        <w:rPr>
          <w:rStyle w:val="34"/>
          <w:rFonts w:hint="eastAsia" w:cs="宋体"/>
          <w:b w:val="0"/>
          <w:bCs w:val="0"/>
          <w:color w:val="auto"/>
          <w:sz w:val="24"/>
          <w:szCs w:val="24"/>
          <w:highlight w:val="none"/>
          <w:lang w:eastAsia="zh-CN"/>
        </w:rPr>
        <w:t>，</w:t>
      </w:r>
      <w:r>
        <w:rPr>
          <w:rStyle w:val="34"/>
          <w:rFonts w:hint="eastAsia" w:ascii="宋体" w:hAnsi="宋体" w:eastAsia="宋体" w:cs="宋体"/>
          <w:b w:val="0"/>
          <w:bCs w:val="0"/>
          <w:color w:val="auto"/>
          <w:sz w:val="24"/>
          <w:szCs w:val="24"/>
          <w:highlight w:val="none"/>
        </w:rPr>
        <w:t>方便政府部门和社会各界查询使用。</w:t>
      </w:r>
    </w:p>
    <w:p w14:paraId="5EBE83F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七、标准值的评估和调整。金融业企业划型标准工作组每五年对划型标准值受经济发展与通货膨胀等因素的影响程度进行评估和调整。</w:t>
      </w:r>
    </w:p>
    <w:p w14:paraId="3526F7B8">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lang w:eastAsia="zh-CN"/>
        </w:rPr>
      </w:pPr>
      <w:r>
        <w:rPr>
          <w:rStyle w:val="34"/>
          <w:rFonts w:hint="eastAsia" w:ascii="宋体" w:hAnsi="宋体" w:eastAsia="宋体" w:cs="宋体"/>
          <w:b w:val="0"/>
          <w:bCs w:val="0"/>
          <w:color w:val="auto"/>
          <w:sz w:val="24"/>
          <w:szCs w:val="24"/>
          <w:highlight w:val="none"/>
        </w:rPr>
        <w:t>八、本规定的中型金融业企业标准上限即为大型金融业企业下限。国务院有关部门据此进行相关数据的统计分析，不得制定与本规定不一致的金融业企业划型标准</w:t>
      </w:r>
      <w:r>
        <w:rPr>
          <w:rStyle w:val="34"/>
          <w:rFonts w:hint="eastAsia" w:cs="宋体"/>
          <w:b w:val="0"/>
          <w:bCs w:val="0"/>
          <w:color w:val="auto"/>
          <w:sz w:val="24"/>
          <w:szCs w:val="24"/>
          <w:highlight w:val="none"/>
          <w:lang w:eastAsia="zh-CN"/>
        </w:rPr>
        <w:t>。</w:t>
      </w:r>
    </w:p>
    <w:p w14:paraId="4AEAEF4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lang w:eastAsia="zh-CN"/>
        </w:rPr>
      </w:pPr>
      <w:r>
        <w:rPr>
          <w:rStyle w:val="34"/>
          <w:rFonts w:hint="eastAsia" w:ascii="宋体" w:hAnsi="宋体" w:eastAsia="宋体" w:cs="宋体"/>
          <w:b w:val="0"/>
          <w:bCs w:val="0"/>
          <w:color w:val="auto"/>
          <w:sz w:val="24"/>
          <w:szCs w:val="24"/>
          <w:highlight w:val="none"/>
        </w:rPr>
        <w:t>九、融资担保公司参照本规定中“除贷款公司、小额贷款公司、典当行以外的其他金融机构”标准划型</w:t>
      </w:r>
      <w:r>
        <w:rPr>
          <w:rStyle w:val="34"/>
          <w:rFonts w:hint="eastAsia" w:cs="宋体"/>
          <w:b w:val="0"/>
          <w:bCs w:val="0"/>
          <w:color w:val="auto"/>
          <w:sz w:val="24"/>
          <w:szCs w:val="24"/>
          <w:highlight w:val="none"/>
          <w:lang w:eastAsia="zh-CN"/>
        </w:rPr>
        <w:t>。</w:t>
      </w:r>
    </w:p>
    <w:p w14:paraId="2D289CF4">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十、本规定由人民银行会同银监会、证监会、保监会和统计局负责解释。</w:t>
      </w:r>
    </w:p>
    <w:p w14:paraId="6D5C5212">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lang w:eastAsia="zh-CN"/>
        </w:rPr>
      </w:pPr>
      <w:r>
        <w:rPr>
          <w:rStyle w:val="34"/>
          <w:rFonts w:hint="eastAsia" w:ascii="宋体" w:hAnsi="宋体" w:eastAsia="宋体" w:cs="宋体"/>
          <w:b w:val="0"/>
          <w:bCs w:val="0"/>
          <w:color w:val="auto"/>
          <w:sz w:val="24"/>
          <w:szCs w:val="24"/>
          <w:highlight w:val="none"/>
        </w:rPr>
        <w:t>十一、本规定自发布之日起实施</w:t>
      </w:r>
      <w:r>
        <w:rPr>
          <w:rStyle w:val="34"/>
          <w:rFonts w:hint="eastAsia" w:cs="宋体"/>
          <w:b w:val="0"/>
          <w:bCs w:val="0"/>
          <w:color w:val="auto"/>
          <w:sz w:val="24"/>
          <w:szCs w:val="24"/>
          <w:highlight w:val="none"/>
          <w:lang w:eastAsia="zh-CN"/>
        </w:rPr>
        <w:t>。</w:t>
      </w:r>
    </w:p>
    <w:p w14:paraId="30CFC65D">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p>
    <w:p w14:paraId="3D2D92AD">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附:金融业企业划型标准</w:t>
      </w:r>
    </w:p>
    <w:p w14:paraId="521D909C">
      <w:pPr>
        <w:rPr>
          <w:rFonts w:cs="宋体"/>
          <w:color w:val="auto"/>
          <w:spacing w:val="6"/>
          <w:sz w:val="21"/>
          <w:szCs w:val="21"/>
          <w:highlight w:val="none"/>
        </w:rPr>
      </w:pPr>
    </w:p>
    <w:p w14:paraId="309AACCA">
      <w:pPr>
        <w:rPr>
          <w:rFonts w:hint="eastAsia" w:cs="宋体"/>
          <w:color w:val="auto"/>
          <w:spacing w:val="6"/>
          <w:sz w:val="24"/>
          <w:szCs w:val="24"/>
          <w:highlight w:val="none"/>
          <w:lang w:val="en-US" w:eastAsia="zh-CN"/>
        </w:rPr>
      </w:pPr>
    </w:p>
    <w:p w14:paraId="56271D2C">
      <w:pPr>
        <w:rPr>
          <w:rFonts w:hint="eastAsia" w:cs="宋体"/>
          <w:color w:val="auto"/>
          <w:spacing w:val="6"/>
          <w:sz w:val="24"/>
          <w:szCs w:val="24"/>
          <w:highlight w:val="none"/>
          <w:lang w:val="en-US" w:eastAsia="zh-CN"/>
        </w:rPr>
      </w:pPr>
    </w:p>
    <w:p w14:paraId="7FBEE99C">
      <w:pPr>
        <w:rPr>
          <w:rFonts w:hint="eastAsia" w:cs="宋体"/>
          <w:color w:val="auto"/>
          <w:spacing w:val="6"/>
          <w:sz w:val="24"/>
          <w:szCs w:val="24"/>
          <w:highlight w:val="none"/>
          <w:lang w:val="en-US" w:eastAsia="zh-CN"/>
        </w:rPr>
      </w:pPr>
    </w:p>
    <w:p w14:paraId="1DDE6272">
      <w:pPr>
        <w:rPr>
          <w:rFonts w:hint="eastAsia" w:cs="宋体"/>
          <w:color w:val="auto"/>
          <w:spacing w:val="6"/>
          <w:sz w:val="24"/>
          <w:szCs w:val="24"/>
          <w:highlight w:val="none"/>
          <w:lang w:val="en-US" w:eastAsia="zh-CN"/>
        </w:rPr>
      </w:pPr>
    </w:p>
    <w:p w14:paraId="71D4B5E5">
      <w:pPr>
        <w:rPr>
          <w:rFonts w:hint="eastAsia" w:cs="宋体"/>
          <w:color w:val="auto"/>
          <w:spacing w:val="6"/>
          <w:sz w:val="24"/>
          <w:szCs w:val="24"/>
          <w:highlight w:val="none"/>
          <w:lang w:val="en-US" w:eastAsia="zh-CN"/>
        </w:rPr>
      </w:pPr>
    </w:p>
    <w:p w14:paraId="3E75E6CE">
      <w:pPr>
        <w:rPr>
          <w:rFonts w:hint="eastAsia" w:cs="宋体"/>
          <w:color w:val="auto"/>
          <w:spacing w:val="6"/>
          <w:sz w:val="24"/>
          <w:szCs w:val="24"/>
          <w:highlight w:val="none"/>
          <w:lang w:val="en-US" w:eastAsia="zh-CN"/>
        </w:rPr>
      </w:pPr>
      <w:r>
        <w:rPr>
          <w:rFonts w:hint="eastAsia" w:cs="宋体"/>
          <w:color w:val="auto"/>
          <w:spacing w:val="6"/>
          <w:sz w:val="24"/>
          <w:szCs w:val="24"/>
          <w:highlight w:val="none"/>
          <w:lang w:val="en-US" w:eastAsia="zh-CN"/>
        </w:rPr>
        <w:t>附</w:t>
      </w:r>
    </w:p>
    <w:p w14:paraId="518B6286">
      <w:pPr>
        <w:pStyle w:val="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金融业企业划型标准</w:t>
      </w:r>
    </w:p>
    <w:tbl>
      <w:tblPr>
        <w:tblStyle w:val="32"/>
        <w:tblW w:w="8498"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168"/>
        <w:gridCol w:w="1817"/>
        <w:gridCol w:w="1143"/>
        <w:gridCol w:w="3251"/>
      </w:tblGrid>
      <w:tr w14:paraId="450C3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2287" w:type="dxa"/>
            <w:gridSpan w:val="2"/>
            <w:vAlign w:val="center"/>
          </w:tcPr>
          <w:p w14:paraId="20830650">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行业</w:t>
            </w:r>
          </w:p>
        </w:tc>
        <w:tc>
          <w:tcPr>
            <w:tcW w:w="1817" w:type="dxa"/>
            <w:vAlign w:val="center"/>
          </w:tcPr>
          <w:p w14:paraId="21E94760">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类别</w:t>
            </w:r>
          </w:p>
        </w:tc>
        <w:tc>
          <w:tcPr>
            <w:tcW w:w="1143" w:type="dxa"/>
            <w:vAlign w:val="center"/>
          </w:tcPr>
          <w:p w14:paraId="7B7B20EF">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类型</w:t>
            </w:r>
          </w:p>
        </w:tc>
        <w:tc>
          <w:tcPr>
            <w:tcW w:w="3251" w:type="dxa"/>
            <w:vAlign w:val="center"/>
          </w:tcPr>
          <w:p w14:paraId="1E3FFC63">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资产总额</w:t>
            </w:r>
          </w:p>
        </w:tc>
      </w:tr>
      <w:tr w14:paraId="564CD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76B85567">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货币金融服务</w:t>
            </w:r>
          </w:p>
        </w:tc>
        <w:tc>
          <w:tcPr>
            <w:tcW w:w="1168" w:type="dxa"/>
            <w:vMerge w:val="restart"/>
            <w:vAlign w:val="center"/>
          </w:tcPr>
          <w:p w14:paraId="70CDC531">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货币银行服务</w:t>
            </w:r>
          </w:p>
        </w:tc>
        <w:tc>
          <w:tcPr>
            <w:tcW w:w="1817" w:type="dxa"/>
            <w:vMerge w:val="restart"/>
            <w:vAlign w:val="center"/>
          </w:tcPr>
          <w:p w14:paraId="5FA4D774">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银行业存款类金融机构</w:t>
            </w:r>
          </w:p>
        </w:tc>
        <w:tc>
          <w:tcPr>
            <w:tcW w:w="1143" w:type="dxa"/>
            <w:vAlign w:val="center"/>
          </w:tcPr>
          <w:p w14:paraId="68DCCD4E">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中型</w:t>
            </w:r>
          </w:p>
        </w:tc>
        <w:tc>
          <w:tcPr>
            <w:tcW w:w="3251" w:type="dxa"/>
            <w:vAlign w:val="center"/>
          </w:tcPr>
          <w:p w14:paraId="2573F6C1">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5000亿元（含）至40000亿元</w:t>
            </w:r>
          </w:p>
        </w:tc>
      </w:tr>
      <w:tr w14:paraId="296CB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55672C4E">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42754F2">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2B5BBB3E">
            <w:pPr>
              <w:spacing w:line="240" w:lineRule="auto"/>
              <w:jc w:val="both"/>
              <w:rPr>
                <w:rFonts w:hint="eastAsia" w:ascii="宋体" w:hAnsi="宋体" w:eastAsia="宋体" w:cs="宋体"/>
                <w:color w:val="auto"/>
                <w:spacing w:val="6"/>
                <w:sz w:val="21"/>
                <w:szCs w:val="21"/>
                <w:highlight w:val="none"/>
                <w:vertAlign w:val="baseline"/>
              </w:rPr>
            </w:pPr>
          </w:p>
        </w:tc>
        <w:tc>
          <w:tcPr>
            <w:tcW w:w="1143" w:type="dxa"/>
            <w:vAlign w:val="center"/>
          </w:tcPr>
          <w:p w14:paraId="5726A831">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7B7644FE">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50亿元（含）至5000亿元</w:t>
            </w:r>
          </w:p>
        </w:tc>
      </w:tr>
      <w:tr w14:paraId="0170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97B8E31">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62A3ADA7">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2739C062">
            <w:pPr>
              <w:spacing w:line="240" w:lineRule="auto"/>
              <w:jc w:val="both"/>
              <w:rPr>
                <w:rFonts w:hint="eastAsia" w:ascii="宋体" w:hAnsi="宋体" w:eastAsia="宋体" w:cs="宋体"/>
                <w:color w:val="auto"/>
                <w:spacing w:val="6"/>
                <w:sz w:val="21"/>
                <w:szCs w:val="21"/>
                <w:highlight w:val="none"/>
                <w:vertAlign w:val="baseline"/>
              </w:rPr>
            </w:pPr>
          </w:p>
        </w:tc>
        <w:tc>
          <w:tcPr>
            <w:tcW w:w="1143" w:type="dxa"/>
            <w:vAlign w:val="center"/>
          </w:tcPr>
          <w:p w14:paraId="574E759D">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微型</w:t>
            </w:r>
          </w:p>
        </w:tc>
        <w:tc>
          <w:tcPr>
            <w:tcW w:w="3251" w:type="dxa"/>
            <w:vAlign w:val="center"/>
          </w:tcPr>
          <w:p w14:paraId="31E71C93">
            <w:pPr>
              <w:spacing w:line="240" w:lineRule="auto"/>
              <w:jc w:val="center"/>
              <w:rPr>
                <w:rFonts w:hint="eastAsia" w:ascii="宋体" w:hAnsi="宋体" w:eastAsia="宋体" w:cs="宋体"/>
                <w:color w:val="auto"/>
                <w:spacing w:val="6"/>
                <w:sz w:val="21"/>
                <w:szCs w:val="21"/>
                <w:highlight w:val="none"/>
                <w:vertAlign w:val="baseline"/>
                <w:lang w:val="en-US"/>
              </w:rPr>
            </w:pPr>
            <w:r>
              <w:rPr>
                <w:rFonts w:hint="eastAsia" w:ascii="宋体" w:hAnsi="宋体" w:eastAsia="宋体" w:cs="宋体"/>
                <w:color w:val="auto"/>
                <w:spacing w:val="6"/>
                <w:sz w:val="21"/>
                <w:szCs w:val="21"/>
                <w:highlight w:val="none"/>
                <w:vertAlign w:val="baseline"/>
                <w:lang w:val="en-US" w:eastAsia="zh-CN"/>
              </w:rPr>
              <w:t>50亿元以下</w:t>
            </w:r>
          </w:p>
        </w:tc>
      </w:tr>
      <w:tr w14:paraId="2DB2C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5870DD10">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54462350">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非货币银行服务</w:t>
            </w:r>
          </w:p>
        </w:tc>
        <w:tc>
          <w:tcPr>
            <w:tcW w:w="1817" w:type="dxa"/>
            <w:vMerge w:val="restart"/>
            <w:vAlign w:val="center"/>
          </w:tcPr>
          <w:p w14:paraId="5AFB021B">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银行业非存款类金融机构</w:t>
            </w:r>
          </w:p>
        </w:tc>
        <w:tc>
          <w:tcPr>
            <w:tcW w:w="1143" w:type="dxa"/>
            <w:shd w:val="clear" w:color="auto" w:fill="auto"/>
            <w:vAlign w:val="center"/>
          </w:tcPr>
          <w:p w14:paraId="3E8639C3">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0264EE0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44F62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4052F8B1">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29FC2E57">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CC2AB41">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629A5D1D">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369016A5">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19A02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3F44AEC1">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49AABDB8">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021D6B73">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4D6A5FD7">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vAlign w:val="center"/>
          </w:tcPr>
          <w:p w14:paraId="2092CAA9">
            <w:pPr>
              <w:spacing w:line="240" w:lineRule="auto"/>
              <w:jc w:val="center"/>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50亿元以下</w:t>
            </w:r>
          </w:p>
        </w:tc>
      </w:tr>
      <w:tr w14:paraId="32DBB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1D395072">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3C59877F">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restart"/>
            <w:vAlign w:val="center"/>
          </w:tcPr>
          <w:p w14:paraId="2EC8225A">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贷款公司、小额贷款公司及典当行</w:t>
            </w:r>
          </w:p>
        </w:tc>
        <w:tc>
          <w:tcPr>
            <w:tcW w:w="1143" w:type="dxa"/>
            <w:shd w:val="clear" w:color="auto" w:fill="auto"/>
            <w:vAlign w:val="center"/>
          </w:tcPr>
          <w:p w14:paraId="1179E4C7">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1872DF82">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7D41C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4C8C424F">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23A9D58">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0EB0EA6F">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0E2E384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4CE1698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2EC16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FC983A4">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F15DFCE">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25BF6E2A">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0008C78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4B0C3D85">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r w14:paraId="768B9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57078315">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资本市场服务</w:t>
            </w:r>
          </w:p>
        </w:tc>
        <w:tc>
          <w:tcPr>
            <w:tcW w:w="1817" w:type="dxa"/>
            <w:vMerge w:val="restart"/>
            <w:vAlign w:val="center"/>
          </w:tcPr>
          <w:p w14:paraId="3D322AF0">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证券业金融机构</w:t>
            </w:r>
          </w:p>
        </w:tc>
        <w:tc>
          <w:tcPr>
            <w:tcW w:w="1143" w:type="dxa"/>
            <w:shd w:val="clear" w:color="auto" w:fill="auto"/>
            <w:vAlign w:val="center"/>
          </w:tcPr>
          <w:p w14:paraId="64668508">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14E0EDA2">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100亿元（含）至1000亿元</w:t>
            </w:r>
          </w:p>
        </w:tc>
      </w:tr>
      <w:tr w14:paraId="69FD9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D34752E">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8D50271">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4673B04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366579A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10亿元（含）至100亿元</w:t>
            </w:r>
          </w:p>
        </w:tc>
      </w:tr>
      <w:tr w14:paraId="3229C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79822140">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40728FBE">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3B32E369">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62D9C87E">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10亿元以下</w:t>
            </w:r>
          </w:p>
        </w:tc>
      </w:tr>
      <w:tr w14:paraId="17D80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5C05660E">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保险业</w:t>
            </w:r>
          </w:p>
        </w:tc>
        <w:tc>
          <w:tcPr>
            <w:tcW w:w="1817" w:type="dxa"/>
            <w:vMerge w:val="restart"/>
            <w:vAlign w:val="center"/>
          </w:tcPr>
          <w:p w14:paraId="09E03A54">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保险业金融机构</w:t>
            </w:r>
          </w:p>
        </w:tc>
        <w:tc>
          <w:tcPr>
            <w:tcW w:w="1143" w:type="dxa"/>
            <w:shd w:val="clear" w:color="auto" w:fill="auto"/>
            <w:vAlign w:val="center"/>
          </w:tcPr>
          <w:p w14:paraId="4E1EEFD1">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724042D0">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400亿元（含）至5000亿元</w:t>
            </w:r>
          </w:p>
        </w:tc>
      </w:tr>
      <w:tr w14:paraId="527CD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82DB3D8">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354A95F1">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4BA30B0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3527A6B5">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20亿元（含）至400亿元</w:t>
            </w:r>
          </w:p>
        </w:tc>
      </w:tr>
      <w:tr w14:paraId="5BF02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10EA4354">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0872F472">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36F1E6C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4E922B2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20亿元以下</w:t>
            </w:r>
          </w:p>
        </w:tc>
      </w:tr>
      <w:tr w14:paraId="6525C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1AC8B795">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其他金融业</w:t>
            </w:r>
          </w:p>
        </w:tc>
        <w:tc>
          <w:tcPr>
            <w:tcW w:w="1168" w:type="dxa"/>
            <w:vMerge w:val="restart"/>
            <w:vAlign w:val="center"/>
          </w:tcPr>
          <w:p w14:paraId="50BCEB53">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金融信托与管理服务</w:t>
            </w:r>
          </w:p>
        </w:tc>
        <w:tc>
          <w:tcPr>
            <w:tcW w:w="1817" w:type="dxa"/>
            <w:vMerge w:val="restart"/>
            <w:vAlign w:val="center"/>
          </w:tcPr>
          <w:p w14:paraId="34180EE9">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信托公司</w:t>
            </w:r>
          </w:p>
        </w:tc>
        <w:tc>
          <w:tcPr>
            <w:tcW w:w="1143" w:type="dxa"/>
            <w:shd w:val="clear" w:color="auto" w:fill="auto"/>
            <w:vAlign w:val="center"/>
          </w:tcPr>
          <w:p w14:paraId="177A8B98">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549AD15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400亿元（含）至1000亿元</w:t>
            </w:r>
          </w:p>
        </w:tc>
      </w:tr>
      <w:tr w14:paraId="11ABD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5BB87F9B">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1F961A5">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07E19452">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4B3BC8CE">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5ED343ED">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20亿元（含）至400亿元</w:t>
            </w:r>
          </w:p>
        </w:tc>
      </w:tr>
      <w:tr w14:paraId="3C739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77A9159C">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25F3B705">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5B0B8C77">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499C3ED3">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47FCB3A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20亿元以下</w:t>
            </w:r>
          </w:p>
        </w:tc>
      </w:tr>
      <w:tr w14:paraId="61493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080DABB4">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0CBDEEAF">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控股公司服务</w:t>
            </w:r>
          </w:p>
        </w:tc>
        <w:tc>
          <w:tcPr>
            <w:tcW w:w="1817" w:type="dxa"/>
            <w:vMerge w:val="restart"/>
            <w:vAlign w:val="center"/>
          </w:tcPr>
          <w:p w14:paraId="21E7A2B1">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金融控股公司</w:t>
            </w:r>
          </w:p>
        </w:tc>
        <w:tc>
          <w:tcPr>
            <w:tcW w:w="1143" w:type="dxa"/>
            <w:shd w:val="clear" w:color="auto" w:fill="auto"/>
            <w:vAlign w:val="center"/>
          </w:tcPr>
          <w:p w14:paraId="08EC2860">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17F4CB0D">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5000亿元（含）至40000亿元</w:t>
            </w:r>
          </w:p>
        </w:tc>
      </w:tr>
      <w:tr w14:paraId="50521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CE22B51">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34E23FDB">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5934540A">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031E65DE">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7301CD62">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50亿元（含）至5000亿元</w:t>
            </w:r>
          </w:p>
        </w:tc>
      </w:tr>
      <w:tr w14:paraId="5E20F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3601A236">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C74B70E">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D618B2D">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5836E47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1A7BBC30">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r w14:paraId="7588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119" w:type="dxa"/>
            <w:vMerge w:val="continue"/>
            <w:vAlign w:val="center"/>
          </w:tcPr>
          <w:p w14:paraId="38A3E926">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613EC132">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其他未包括的金融业</w:t>
            </w:r>
          </w:p>
        </w:tc>
        <w:tc>
          <w:tcPr>
            <w:tcW w:w="1817" w:type="dxa"/>
            <w:vMerge w:val="restart"/>
            <w:vAlign w:val="center"/>
          </w:tcPr>
          <w:p w14:paraId="1EA97055">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rPr>
              <w:t>除贷款公司、小额贷款公司、典当行以外的其他金融机构</w:t>
            </w:r>
          </w:p>
        </w:tc>
        <w:tc>
          <w:tcPr>
            <w:tcW w:w="1143" w:type="dxa"/>
            <w:shd w:val="clear" w:color="auto" w:fill="auto"/>
            <w:vAlign w:val="center"/>
          </w:tcPr>
          <w:p w14:paraId="543E65EF">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40812AF3">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2A84A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119" w:type="dxa"/>
            <w:vMerge w:val="continue"/>
          </w:tcPr>
          <w:p w14:paraId="1A83EAB5">
            <w:pPr>
              <w:spacing w:line="240" w:lineRule="auto"/>
              <w:rPr>
                <w:rFonts w:hint="eastAsia" w:ascii="宋体" w:hAnsi="宋体" w:eastAsia="宋体" w:cs="宋体"/>
                <w:color w:val="auto"/>
                <w:spacing w:val="6"/>
                <w:sz w:val="21"/>
                <w:szCs w:val="21"/>
                <w:highlight w:val="none"/>
                <w:vertAlign w:val="baseline"/>
              </w:rPr>
            </w:pPr>
          </w:p>
        </w:tc>
        <w:tc>
          <w:tcPr>
            <w:tcW w:w="1168" w:type="dxa"/>
            <w:vMerge w:val="continue"/>
          </w:tcPr>
          <w:p w14:paraId="4673A7E6">
            <w:pPr>
              <w:spacing w:line="240" w:lineRule="auto"/>
              <w:rPr>
                <w:rFonts w:hint="eastAsia" w:ascii="宋体" w:hAnsi="宋体" w:eastAsia="宋体" w:cs="宋体"/>
                <w:color w:val="auto"/>
                <w:spacing w:val="6"/>
                <w:sz w:val="21"/>
                <w:szCs w:val="21"/>
                <w:highlight w:val="none"/>
                <w:vertAlign w:val="baseline"/>
              </w:rPr>
            </w:pPr>
          </w:p>
        </w:tc>
        <w:tc>
          <w:tcPr>
            <w:tcW w:w="1817" w:type="dxa"/>
            <w:vMerge w:val="continue"/>
          </w:tcPr>
          <w:p w14:paraId="7AF9125E">
            <w:pPr>
              <w:spacing w:line="240" w:lineRule="auto"/>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3FC6458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300D9FF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36CAE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19" w:type="dxa"/>
            <w:vMerge w:val="continue"/>
          </w:tcPr>
          <w:p w14:paraId="334D6888">
            <w:pPr>
              <w:spacing w:line="240" w:lineRule="auto"/>
              <w:rPr>
                <w:rFonts w:hint="eastAsia" w:ascii="宋体" w:hAnsi="宋体" w:eastAsia="宋体" w:cs="宋体"/>
                <w:color w:val="auto"/>
                <w:spacing w:val="6"/>
                <w:sz w:val="21"/>
                <w:szCs w:val="21"/>
                <w:highlight w:val="none"/>
                <w:vertAlign w:val="baseline"/>
              </w:rPr>
            </w:pPr>
          </w:p>
        </w:tc>
        <w:tc>
          <w:tcPr>
            <w:tcW w:w="1168" w:type="dxa"/>
            <w:vMerge w:val="continue"/>
          </w:tcPr>
          <w:p w14:paraId="056D553D">
            <w:pPr>
              <w:spacing w:line="240" w:lineRule="auto"/>
              <w:rPr>
                <w:rFonts w:hint="eastAsia" w:ascii="宋体" w:hAnsi="宋体" w:eastAsia="宋体" w:cs="宋体"/>
                <w:color w:val="auto"/>
                <w:spacing w:val="6"/>
                <w:sz w:val="21"/>
                <w:szCs w:val="21"/>
                <w:highlight w:val="none"/>
                <w:vertAlign w:val="baseline"/>
              </w:rPr>
            </w:pPr>
          </w:p>
        </w:tc>
        <w:tc>
          <w:tcPr>
            <w:tcW w:w="1817" w:type="dxa"/>
            <w:vMerge w:val="continue"/>
          </w:tcPr>
          <w:p w14:paraId="79DB9057">
            <w:pPr>
              <w:spacing w:line="240" w:lineRule="auto"/>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38A2EE51">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2E1BAE2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bl>
    <w:p w14:paraId="74A0B923">
      <w:pPr>
        <w:rPr>
          <w:rFonts w:cs="宋体"/>
          <w:color w:val="auto"/>
          <w:spacing w:val="6"/>
          <w:sz w:val="21"/>
          <w:szCs w:val="21"/>
          <w:highlight w:val="none"/>
        </w:rPr>
      </w:pPr>
      <w:r>
        <w:rPr>
          <w:rFonts w:cs="宋体"/>
          <w:color w:val="auto"/>
          <w:spacing w:val="6"/>
          <w:sz w:val="21"/>
          <w:szCs w:val="21"/>
          <w:highlight w:val="none"/>
        </w:rPr>
        <w:br w:type="page"/>
      </w:r>
    </w:p>
    <w:p w14:paraId="25FD31A5">
      <w:pPr>
        <w:pStyle w:val="21"/>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bCs/>
          <w:color w:val="auto"/>
          <w:sz w:val="36"/>
          <w:szCs w:val="36"/>
          <w:highlight w:val="none"/>
          <w:lang w:val="en-US" w:eastAsia="zh-CN"/>
        </w:rPr>
      </w:pPr>
      <w:bookmarkStart w:id="772" w:name="_Toc163492940"/>
    </w:p>
    <w:p w14:paraId="7FBB327E">
      <w:pPr>
        <w:pStyle w:val="5"/>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bookmarkStart w:id="773" w:name="_Toc1602"/>
      <w:bookmarkStart w:id="774" w:name="_Toc21713"/>
      <w:r>
        <w:rPr>
          <w:rFonts w:hint="eastAsia" w:ascii="宋体" w:hAnsi="宋体" w:eastAsia="宋体" w:cstheme="minorBidi"/>
          <w:b/>
          <w:bCs/>
          <w:color w:val="auto"/>
          <w:kern w:val="2"/>
          <w:sz w:val="24"/>
          <w:szCs w:val="24"/>
          <w:highlight w:val="none"/>
          <w:lang w:val="en-US" w:eastAsia="zh-CN" w:bidi="ar-SA"/>
        </w:rPr>
        <w:t>（三）监狱企业证明文件</w:t>
      </w:r>
      <w:r>
        <w:rPr>
          <w:rFonts w:hint="eastAsia" w:ascii="宋体" w:hAnsi="宋体" w:eastAsia="宋体" w:cstheme="minorBidi"/>
          <w:b w:val="0"/>
          <w:bCs w:val="0"/>
          <w:color w:val="auto"/>
          <w:kern w:val="2"/>
          <w:sz w:val="24"/>
          <w:szCs w:val="24"/>
          <w:highlight w:val="none"/>
          <w:lang w:val="en-US" w:eastAsia="zh-CN" w:bidi="ar-SA"/>
        </w:rPr>
        <w:t>【如适用】</w:t>
      </w:r>
      <w:bookmarkEnd w:id="772"/>
      <w:bookmarkEnd w:id="773"/>
      <w:bookmarkEnd w:id="774"/>
    </w:p>
    <w:p w14:paraId="4D52C5E6">
      <w:pPr>
        <w:rPr>
          <w:rFonts w:cs="仿宋_GB2312"/>
          <w:b/>
          <w:color w:val="auto"/>
          <w:sz w:val="28"/>
          <w:szCs w:val="28"/>
          <w:highlight w:val="none"/>
        </w:rPr>
      </w:pPr>
    </w:p>
    <w:p w14:paraId="568CB06F">
      <w:pPr>
        <w:adjustRightInd w:val="0"/>
        <w:snapToGrid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【监狱企业应当提供由省级及以上监狱管理局、戒毒管理局（含新疆生产建设兵团）出具的监狱企业的证明文件，格式</w:t>
      </w:r>
      <w:r>
        <w:rPr>
          <w:rFonts w:hint="eastAsia" w:ascii="宋体" w:hAnsi="宋体" w:eastAsia="宋体" w:cs="宋体"/>
          <w:color w:val="auto"/>
          <w:sz w:val="24"/>
          <w:szCs w:val="24"/>
          <w:highlight w:val="none"/>
          <w:lang w:val="en-US" w:eastAsia="zh-CN"/>
        </w:rPr>
        <w:t>如下</w:t>
      </w:r>
      <w:r>
        <w:rPr>
          <w:rFonts w:hint="eastAsia" w:ascii="宋体" w:hAnsi="宋体" w:eastAsia="宋体" w:cs="宋体"/>
          <w:color w:val="auto"/>
          <w:sz w:val="24"/>
          <w:szCs w:val="24"/>
          <w:highlight w:val="none"/>
        </w:rPr>
        <w:t>】。</w:t>
      </w:r>
    </w:p>
    <w:p w14:paraId="1AE5E16E">
      <w:pPr>
        <w:pStyle w:val="21"/>
        <w:spacing w:line="360" w:lineRule="auto"/>
        <w:jc w:val="center"/>
        <w:rPr>
          <w:rFonts w:hint="eastAsia" w:ascii="宋体" w:hAnsi="宋体" w:eastAsia="宋体" w:cs="宋体"/>
          <w:b/>
          <w:bCs w:val="0"/>
          <w:color w:val="auto"/>
          <w:sz w:val="32"/>
          <w:szCs w:val="32"/>
          <w:highlight w:val="none"/>
        </w:rPr>
      </w:pPr>
    </w:p>
    <w:p w14:paraId="3EB62D44">
      <w:pPr>
        <w:pStyle w:val="21"/>
        <w:spacing w:line="360" w:lineRule="auto"/>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监狱企业证明函</w:t>
      </w:r>
    </w:p>
    <w:p w14:paraId="502B17B6">
      <w:pPr>
        <w:spacing w:line="360" w:lineRule="auto"/>
        <w:rPr>
          <w:rFonts w:hint="eastAsia" w:ascii="仿宋_GB2312" w:hAnsi="仿宋_GB2312" w:eastAsia="仿宋_GB2312" w:cs="仿宋_GB2312"/>
          <w:color w:val="auto"/>
          <w:sz w:val="32"/>
          <w:szCs w:val="32"/>
          <w:highlight w:val="none"/>
        </w:rPr>
      </w:pPr>
    </w:p>
    <w:p w14:paraId="15A18AA0">
      <w:pPr>
        <w:ind w:firstLine="424" w:firstLineChars="200"/>
        <w:rPr>
          <w:rFonts w:hint="eastAsia" w:ascii="宋体" w:hAnsi="宋体" w:eastAsia="宋体" w:cs="宋体"/>
          <w:color w:val="auto"/>
          <w:spacing w:val="6"/>
          <w:szCs w:val="24"/>
          <w:highlight w:val="none"/>
        </w:rPr>
      </w:pPr>
      <w:r>
        <w:rPr>
          <w:rFonts w:hint="eastAsia" w:ascii="宋体" w:hAnsi="宋体" w:eastAsia="宋体" w:cs="宋体"/>
          <w:color w:val="auto"/>
          <w:spacing w:val="6"/>
          <w:szCs w:val="24"/>
          <w:highlight w:val="none"/>
        </w:rPr>
        <w:t>本公司郑重声明，根据财政部、司法部《关于政府采购支持监狱企业发展有关问题的通知》（财库</w:t>
      </w:r>
      <w:r>
        <w:rPr>
          <w:rFonts w:hint="eastAsia" w:ascii="宋体" w:hAnsi="宋体" w:eastAsia="宋体" w:cs="宋体"/>
          <w:color w:val="auto"/>
          <w:spacing w:val="6"/>
          <w:szCs w:val="24"/>
          <w:highlight w:val="none"/>
          <w:lang w:eastAsia="zh-CN"/>
        </w:rPr>
        <w:t>〔</w:t>
      </w:r>
      <w:r>
        <w:rPr>
          <w:rFonts w:hint="eastAsia" w:ascii="宋体" w:hAnsi="宋体" w:eastAsia="宋体" w:cs="宋体"/>
          <w:color w:val="auto"/>
          <w:spacing w:val="6"/>
          <w:szCs w:val="24"/>
          <w:highlight w:val="none"/>
        </w:rPr>
        <w:t>2014</w:t>
      </w:r>
      <w:r>
        <w:rPr>
          <w:rFonts w:hint="eastAsia" w:ascii="宋体" w:hAnsi="宋体" w:eastAsia="宋体" w:cs="宋体"/>
          <w:color w:val="auto"/>
          <w:spacing w:val="6"/>
          <w:szCs w:val="24"/>
          <w:highlight w:val="none"/>
          <w:lang w:eastAsia="zh-CN"/>
        </w:rPr>
        <w:t>〕</w:t>
      </w:r>
      <w:r>
        <w:rPr>
          <w:rFonts w:hint="eastAsia" w:ascii="宋体" w:hAnsi="宋体" w:eastAsia="宋体" w:cs="宋体"/>
          <w:color w:val="auto"/>
          <w:spacing w:val="6"/>
          <w:szCs w:val="24"/>
          <w:highlight w:val="none"/>
        </w:rPr>
        <w:t>68号）的规定，本公司为监狱企业。</w:t>
      </w:r>
    </w:p>
    <w:p w14:paraId="1CCB3CF9">
      <w:pPr>
        <w:spacing w:line="360" w:lineRule="auto"/>
        <w:rPr>
          <w:rFonts w:hint="eastAsia" w:ascii="宋体" w:hAnsi="宋体" w:eastAsia="宋体" w:cs="宋体"/>
          <w:color w:val="auto"/>
          <w:sz w:val="24"/>
          <w:szCs w:val="24"/>
          <w:highlight w:val="none"/>
        </w:rPr>
      </w:pPr>
    </w:p>
    <w:p w14:paraId="1E607B04">
      <w:pPr>
        <w:ind w:firstLine="4440" w:firstLineChars="1850"/>
        <w:rPr>
          <w:rFonts w:hint="eastAsia" w:ascii="宋体" w:hAnsi="宋体" w:eastAsia="宋体" w:cs="宋体"/>
          <w:color w:val="auto"/>
          <w:sz w:val="24"/>
          <w:szCs w:val="24"/>
          <w:highlight w:val="none"/>
        </w:rPr>
      </w:pPr>
    </w:p>
    <w:p w14:paraId="434B163C">
      <w:pPr>
        <w:ind w:firstLine="4440" w:firstLineChars="1850"/>
        <w:rPr>
          <w:rFonts w:hint="eastAsia" w:ascii="宋体" w:hAnsi="宋体" w:eastAsia="宋体" w:cs="宋体"/>
          <w:color w:val="auto"/>
          <w:sz w:val="24"/>
          <w:szCs w:val="24"/>
          <w:highlight w:val="none"/>
        </w:rPr>
      </w:pPr>
    </w:p>
    <w:p w14:paraId="6F4991AB">
      <w:pPr>
        <w:ind w:right="1008" w:firstLine="4284" w:firstLineChars="17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lang w:val="en-US" w:eastAsia="zh-CN"/>
        </w:rPr>
        <w:t>投标人</w:t>
      </w:r>
      <w:r>
        <w:rPr>
          <w:rFonts w:hint="eastAsia" w:ascii="宋体" w:hAnsi="宋体" w:eastAsia="宋体" w:cs="宋体"/>
          <w:color w:val="auto"/>
          <w:spacing w:val="6"/>
          <w:sz w:val="24"/>
          <w:szCs w:val="24"/>
          <w:highlight w:val="none"/>
        </w:rPr>
        <w:t>名称</w:t>
      </w:r>
      <w:r>
        <w:rPr>
          <w:rFonts w:hint="eastAsia" w:ascii="宋体" w:hAnsi="宋体" w:eastAsia="宋体" w:cs="宋体"/>
          <w:color w:val="auto"/>
          <w:szCs w:val="24"/>
          <w:highlight w:val="none"/>
          <w:lang w:eastAsia="zh-CN"/>
        </w:rPr>
        <w:t>（</w:t>
      </w:r>
      <w:r>
        <w:rPr>
          <w:rFonts w:hint="eastAsia" w:ascii="宋体" w:hAnsi="宋体" w:eastAsia="宋体"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highlight w:val="none"/>
          <w:lang w:val="zh-CN"/>
        </w:rPr>
        <w:t>)</w:t>
      </w:r>
      <w:r>
        <w:rPr>
          <w:rFonts w:hint="eastAsia" w:ascii="宋体" w:hAnsi="宋体" w:eastAsia="宋体" w:cs="宋体"/>
          <w:color w:val="auto"/>
          <w:spacing w:val="6"/>
          <w:sz w:val="24"/>
          <w:szCs w:val="24"/>
          <w:highlight w:val="none"/>
        </w:rPr>
        <w:t>：</w:t>
      </w:r>
    </w:p>
    <w:p w14:paraId="3D5D8E35">
      <w:pPr>
        <w:ind w:right="1008" w:firstLine="4284" w:firstLineChars="1700"/>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6"/>
          <w:sz w:val="24"/>
          <w:szCs w:val="24"/>
          <w:highlight w:val="none"/>
        </w:rPr>
        <w:t>日期：</w:t>
      </w:r>
      <w:r>
        <w:rPr>
          <w:rFonts w:hint="eastAsia" w:ascii="宋体" w:hAnsi="宋体" w:eastAsia="宋体" w:cs="宋体"/>
          <w:color w:val="auto"/>
          <w:spacing w:val="6"/>
          <w:sz w:val="24"/>
          <w:szCs w:val="24"/>
          <w:highlight w:val="none"/>
          <w:lang w:val="en-US" w:eastAsia="zh-CN"/>
        </w:rPr>
        <w:t xml:space="preserve">   年  月  日</w:t>
      </w:r>
    </w:p>
    <w:p w14:paraId="6A110F3F">
      <w:pPr>
        <w:spacing w:line="360" w:lineRule="auto"/>
        <w:ind w:firstLine="240" w:firstLineChars="100"/>
        <w:rPr>
          <w:rFonts w:hint="eastAsia" w:ascii="宋体" w:hAnsi="宋体" w:eastAsia="宋体" w:cs="宋体"/>
          <w:color w:val="auto"/>
          <w:sz w:val="24"/>
          <w:szCs w:val="24"/>
          <w:highlight w:val="none"/>
        </w:rPr>
      </w:pPr>
    </w:p>
    <w:p w14:paraId="2EFF9B45">
      <w:pPr>
        <w:spacing w:line="360" w:lineRule="auto"/>
        <w:ind w:firstLine="240" w:firstLineChars="100"/>
        <w:rPr>
          <w:rFonts w:hint="eastAsia" w:ascii="宋体" w:hAnsi="宋体" w:eastAsia="宋体" w:cs="宋体"/>
          <w:color w:val="auto"/>
          <w:sz w:val="24"/>
          <w:szCs w:val="24"/>
          <w:highlight w:val="none"/>
        </w:rPr>
      </w:pPr>
    </w:p>
    <w:p w14:paraId="320E853E">
      <w:pPr>
        <w:spacing w:line="360" w:lineRule="auto"/>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省级以上监狱管理局、戒毒管理局</w:t>
      </w:r>
    </w:p>
    <w:p w14:paraId="1820BE0C">
      <w:pPr>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（含新疆生产建设兵团）</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szCs w:val="24"/>
          <w:highlight w:val="none"/>
          <w:lang w:eastAsia="zh-CN"/>
        </w:rPr>
        <w:t>盖章</w:t>
      </w:r>
      <w:r>
        <w:rPr>
          <w:rFonts w:hint="eastAsia" w:ascii="宋体" w:hAnsi="宋体" w:eastAsia="宋体" w:cs="宋体"/>
          <w:color w:val="auto"/>
          <w:kern w:val="0"/>
          <w:sz w:val="24"/>
          <w:highlight w:val="none"/>
          <w:lang w:val="zh-CN"/>
        </w:rPr>
        <w:t>)</w:t>
      </w:r>
      <w:r>
        <w:rPr>
          <w:rFonts w:hint="eastAsia" w:ascii="宋体" w:hAnsi="宋体" w:eastAsia="宋体" w:cs="宋体"/>
          <w:color w:val="auto"/>
          <w:sz w:val="24"/>
          <w:szCs w:val="24"/>
          <w:highlight w:val="none"/>
        </w:rPr>
        <w:t xml:space="preserve">：  </w:t>
      </w:r>
    </w:p>
    <w:p w14:paraId="3D60F0B5">
      <w:pPr>
        <w:ind w:firstLine="4320" w:firstLineChars="18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pacing w:val="6"/>
          <w:sz w:val="24"/>
          <w:szCs w:val="24"/>
          <w:highlight w:val="none"/>
          <w:lang w:val="en-US" w:eastAsia="zh-CN"/>
        </w:rPr>
        <w:t xml:space="preserve">   年  月  日</w:t>
      </w:r>
    </w:p>
    <w:p w14:paraId="79DE6790">
      <w:pPr>
        <w:spacing w:line="360" w:lineRule="auto"/>
        <w:ind w:firstLine="240" w:firstLineChars="100"/>
        <w:rPr>
          <w:rFonts w:hint="eastAsia" w:ascii="宋体" w:hAnsi="宋体" w:eastAsia="宋体" w:cs="宋体"/>
          <w:color w:val="auto"/>
          <w:sz w:val="24"/>
          <w:szCs w:val="24"/>
          <w:highlight w:val="none"/>
        </w:rPr>
      </w:pPr>
    </w:p>
    <w:p w14:paraId="620F5294">
      <w:pPr>
        <w:spacing w:line="360" w:lineRule="auto"/>
        <w:ind w:firstLine="4000" w:firstLineChars="1250"/>
        <w:rPr>
          <w:rFonts w:hint="eastAsia" w:ascii="仿宋_GB2312" w:hAnsi="仿宋_GB2312" w:eastAsia="仿宋_GB2312" w:cs="仿宋_GB2312"/>
          <w:color w:val="auto"/>
          <w:sz w:val="32"/>
          <w:szCs w:val="32"/>
          <w:highlight w:val="none"/>
        </w:rPr>
      </w:pPr>
    </w:p>
    <w:p w14:paraId="67BD4CD8">
      <w:pPr>
        <w:spacing w:line="360" w:lineRule="auto"/>
        <w:rPr>
          <w:rFonts w:hint="eastAsia" w:ascii="仿宋_GB2312" w:hAnsi="仿宋_GB2312" w:eastAsia="仿宋_GB2312" w:cs="仿宋_GB2312"/>
          <w:color w:val="auto"/>
          <w:sz w:val="32"/>
          <w:szCs w:val="32"/>
          <w:highlight w:val="none"/>
        </w:rPr>
      </w:pPr>
    </w:p>
    <w:p w14:paraId="7D421EE8">
      <w:pPr>
        <w:widowControl/>
        <w:spacing w:before="100" w:beforeAutospacing="1" w:after="100" w:afterAutospacing="1"/>
        <w:rPr>
          <w:rFonts w:ascii="Arial" w:hAnsi="Arial" w:cs="Arial"/>
          <w:color w:val="auto"/>
          <w:sz w:val="21"/>
          <w:szCs w:val="21"/>
          <w:highlight w:val="none"/>
        </w:rPr>
      </w:pPr>
    </w:p>
    <w:p w14:paraId="5132BCF7">
      <w:pPr>
        <w:widowControl/>
        <w:spacing w:before="100" w:beforeAutospacing="1" w:after="100" w:afterAutospacing="1"/>
        <w:rPr>
          <w:rFonts w:ascii="Arial" w:hAnsi="Arial" w:cs="Arial"/>
          <w:color w:val="auto"/>
          <w:sz w:val="21"/>
          <w:szCs w:val="21"/>
          <w:highlight w:val="none"/>
        </w:rPr>
      </w:pPr>
    </w:p>
    <w:p w14:paraId="2E2A344B">
      <w:pPr>
        <w:widowControl/>
        <w:spacing w:before="100" w:beforeAutospacing="1" w:after="100" w:afterAutospacing="1"/>
        <w:rPr>
          <w:rFonts w:ascii="Arial" w:hAnsi="Arial" w:cs="Arial"/>
          <w:color w:val="auto"/>
          <w:sz w:val="21"/>
          <w:szCs w:val="21"/>
          <w:highlight w:val="none"/>
        </w:rPr>
      </w:pPr>
    </w:p>
    <w:p w14:paraId="10AD3CA7">
      <w:pPr>
        <w:pStyle w:val="5"/>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bookmarkStart w:id="775" w:name="_Toc163492941"/>
    </w:p>
    <w:p w14:paraId="187956EC">
      <w:pPr>
        <w:pStyle w:val="5"/>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bookmarkStart w:id="776" w:name="_Toc24742"/>
      <w:bookmarkStart w:id="777" w:name="_Toc17111"/>
      <w:r>
        <w:rPr>
          <w:rFonts w:hint="eastAsia" w:ascii="宋体" w:hAnsi="宋体" w:eastAsia="宋体" w:cstheme="minorBidi"/>
          <w:b/>
          <w:bCs/>
          <w:color w:val="auto"/>
          <w:kern w:val="2"/>
          <w:sz w:val="24"/>
          <w:szCs w:val="24"/>
          <w:highlight w:val="none"/>
          <w:lang w:val="en-US" w:eastAsia="zh-CN" w:bidi="ar-SA"/>
        </w:rPr>
        <w:t>（四）残疾人福利性单位声明函</w:t>
      </w:r>
      <w:r>
        <w:rPr>
          <w:rFonts w:hint="eastAsia" w:ascii="宋体" w:hAnsi="宋体" w:eastAsia="宋体" w:cstheme="minorBidi"/>
          <w:b w:val="0"/>
          <w:bCs w:val="0"/>
          <w:color w:val="auto"/>
          <w:kern w:val="2"/>
          <w:sz w:val="24"/>
          <w:szCs w:val="24"/>
          <w:highlight w:val="none"/>
          <w:lang w:val="en-US" w:eastAsia="zh-CN" w:bidi="ar-SA"/>
        </w:rPr>
        <w:t>【如适用】</w:t>
      </w:r>
      <w:bookmarkEnd w:id="775"/>
      <w:bookmarkEnd w:id="776"/>
      <w:bookmarkEnd w:id="777"/>
    </w:p>
    <w:p w14:paraId="033E9D35">
      <w:pPr>
        <w:pStyle w:val="40"/>
        <w:numPr>
          <w:ilvl w:val="0"/>
          <w:numId w:val="0"/>
        </w:numPr>
        <w:ind w:left="420" w:leftChars="0" w:hanging="420" w:firstLineChars="0"/>
        <w:jc w:val="center"/>
        <w:rPr>
          <w:rFonts w:hint="eastAsia"/>
          <w:b/>
          <w:bCs/>
          <w:color w:val="auto"/>
          <w:sz w:val="32"/>
          <w:szCs w:val="32"/>
          <w:highlight w:val="none"/>
        </w:rPr>
      </w:pPr>
    </w:p>
    <w:p w14:paraId="2E25FECA">
      <w:pPr>
        <w:pStyle w:val="40"/>
        <w:numPr>
          <w:ilvl w:val="0"/>
          <w:numId w:val="0"/>
        </w:numPr>
        <w:ind w:left="420" w:leftChars="0" w:hanging="420" w:firstLineChars="0"/>
        <w:jc w:val="center"/>
        <w:rPr>
          <w:b/>
          <w:bCs/>
          <w:color w:val="auto"/>
          <w:sz w:val="32"/>
          <w:szCs w:val="32"/>
          <w:highlight w:val="none"/>
        </w:rPr>
      </w:pPr>
      <w:r>
        <w:rPr>
          <w:rFonts w:hint="eastAsia"/>
          <w:b/>
          <w:bCs/>
          <w:color w:val="auto"/>
          <w:sz w:val="32"/>
          <w:szCs w:val="32"/>
          <w:highlight w:val="none"/>
        </w:rPr>
        <w:t>残疾人福利性单位声明函</w:t>
      </w:r>
    </w:p>
    <w:p w14:paraId="170F1E1A">
      <w:pPr>
        <w:wordWrap w:val="0"/>
        <w:ind w:firstLine="400" w:firstLineChars="200"/>
        <w:rPr>
          <w:rFonts w:hint="eastAsia"/>
          <w:color w:val="auto"/>
          <w:szCs w:val="24"/>
          <w:highlight w:val="none"/>
        </w:rPr>
      </w:pPr>
    </w:p>
    <w:p w14:paraId="07108C57">
      <w:pPr>
        <w:wordWrap w:val="0"/>
        <w:ind w:firstLine="400" w:firstLineChars="200"/>
        <w:rPr>
          <w:i w:val="0"/>
          <w:iCs w:val="0"/>
          <w:color w:val="auto"/>
          <w:szCs w:val="24"/>
          <w:highlight w:val="none"/>
        </w:rPr>
      </w:pPr>
      <w:r>
        <w:rPr>
          <w:rFonts w:hint="eastAsia"/>
          <w:i w:val="0"/>
          <w:iCs w:val="0"/>
          <w:color w:val="auto"/>
          <w:szCs w:val="24"/>
          <w:highlight w:val="none"/>
        </w:rPr>
        <w:t>本公司（联合体）郑重声明，根据《财政部 民政部 中国残疾人联合会关于促进残疾人就业政府采购政策的通知》（财库〔2017〕141号）的规定，本公司（联合体）参加</w:t>
      </w:r>
      <w:r>
        <w:rPr>
          <w:rFonts w:hint="eastAsia"/>
          <w:i w:val="0"/>
          <w:iCs w:val="0"/>
          <w:color w:val="auto"/>
          <w:szCs w:val="24"/>
          <w:highlight w:val="none"/>
          <w:u w:val="single"/>
        </w:rPr>
        <w:t xml:space="preserve"> （单位名称） </w:t>
      </w:r>
      <w:r>
        <w:rPr>
          <w:rFonts w:hint="eastAsia"/>
          <w:i w:val="0"/>
          <w:iCs w:val="0"/>
          <w:color w:val="auto"/>
          <w:szCs w:val="24"/>
          <w:highlight w:val="none"/>
        </w:rPr>
        <w:t>的</w:t>
      </w:r>
      <w:r>
        <w:rPr>
          <w:rFonts w:hint="eastAsia"/>
          <w:i w:val="0"/>
          <w:iCs w:val="0"/>
          <w:color w:val="auto"/>
          <w:szCs w:val="24"/>
          <w:highlight w:val="none"/>
          <w:u w:val="single"/>
        </w:rPr>
        <w:t xml:space="preserve"> （项目名称） </w:t>
      </w:r>
      <w:r>
        <w:rPr>
          <w:rFonts w:hint="eastAsia"/>
          <w:i w:val="0"/>
          <w:iCs w:val="0"/>
          <w:color w:val="auto"/>
          <w:szCs w:val="24"/>
          <w:highlight w:val="none"/>
        </w:rPr>
        <w:t>采购活动，提供的货物</w:t>
      </w:r>
      <w:r>
        <w:rPr>
          <w:rFonts w:hint="eastAsia"/>
          <w:b/>
          <w:i w:val="0"/>
          <w:iCs w:val="0"/>
          <w:color w:val="auto"/>
          <w:szCs w:val="24"/>
          <w:highlight w:val="none"/>
        </w:rPr>
        <w:t>全部由</w:t>
      </w:r>
      <w:r>
        <w:rPr>
          <w:rFonts w:hint="eastAsia"/>
          <w:i w:val="0"/>
          <w:iCs w:val="0"/>
          <w:color w:val="auto"/>
          <w:szCs w:val="24"/>
          <w:highlight w:val="none"/>
        </w:rPr>
        <w:t>符合政策要求的</w:t>
      </w:r>
      <w:r>
        <w:rPr>
          <w:rFonts w:hint="eastAsia"/>
          <w:b/>
          <w:i w:val="0"/>
          <w:iCs w:val="0"/>
          <w:color w:val="auto"/>
          <w:szCs w:val="24"/>
          <w:highlight w:val="none"/>
        </w:rPr>
        <w:t>残疾人福利性单位制造</w:t>
      </w:r>
      <w:r>
        <w:rPr>
          <w:rFonts w:hint="eastAsia"/>
          <w:i w:val="0"/>
          <w:iCs w:val="0"/>
          <w:color w:val="auto"/>
          <w:szCs w:val="24"/>
          <w:highlight w:val="none"/>
        </w:rPr>
        <w:t>。相关企业（含联合体中的残疾人福利性单位、签订分包意向协议</w:t>
      </w:r>
      <w:r>
        <w:rPr>
          <w:rFonts w:hint="eastAsia"/>
          <w:i w:val="0"/>
          <w:iCs w:val="0"/>
          <w:color w:val="auto"/>
          <w:szCs w:val="24"/>
          <w:highlight w:val="none"/>
          <w:lang w:val="en-US" w:eastAsia="zh-CN"/>
        </w:rPr>
        <w:t>书</w:t>
      </w:r>
      <w:r>
        <w:rPr>
          <w:rFonts w:hint="eastAsia"/>
          <w:i w:val="0"/>
          <w:iCs w:val="0"/>
          <w:color w:val="auto"/>
          <w:szCs w:val="24"/>
          <w:highlight w:val="none"/>
        </w:rPr>
        <w:t>的残疾人福利性单位）的具体情况如下：</w:t>
      </w:r>
    </w:p>
    <w:p w14:paraId="0688D70D">
      <w:pPr>
        <w:wordWrap w:val="0"/>
        <w:ind w:firstLine="400" w:firstLineChars="200"/>
        <w:rPr>
          <w:i w:val="0"/>
          <w:iCs w:val="0"/>
          <w:color w:val="auto"/>
          <w:szCs w:val="24"/>
          <w:highlight w:val="none"/>
        </w:rPr>
      </w:pPr>
      <w:r>
        <w:rPr>
          <w:rFonts w:hint="eastAsia"/>
          <w:i w:val="0"/>
          <w:iCs w:val="0"/>
          <w:color w:val="auto"/>
          <w:szCs w:val="24"/>
          <w:highlight w:val="none"/>
        </w:rPr>
        <w:t>1.</w:t>
      </w:r>
      <w:r>
        <w:rPr>
          <w:rFonts w:hint="eastAsia"/>
          <w:i w:val="0"/>
          <w:iCs w:val="0"/>
          <w:color w:val="auto"/>
          <w:szCs w:val="24"/>
          <w:highlight w:val="none"/>
          <w:u w:val="single"/>
        </w:rPr>
        <w:t xml:space="preserve"> （标的名称） </w:t>
      </w:r>
      <w:r>
        <w:rPr>
          <w:rFonts w:hint="eastAsia"/>
          <w:i w:val="0"/>
          <w:iCs w:val="0"/>
          <w:color w:val="auto"/>
          <w:szCs w:val="24"/>
          <w:highlight w:val="none"/>
        </w:rPr>
        <w:t xml:space="preserve">，制造商为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7C2F52C1">
      <w:pPr>
        <w:wordWrap w:val="0"/>
        <w:ind w:firstLine="400" w:firstLineChars="200"/>
        <w:rPr>
          <w:i w:val="0"/>
          <w:iCs w:val="0"/>
          <w:color w:val="auto"/>
          <w:szCs w:val="24"/>
          <w:highlight w:val="none"/>
        </w:rPr>
      </w:pPr>
      <w:r>
        <w:rPr>
          <w:rFonts w:hint="eastAsia"/>
          <w:i w:val="0"/>
          <w:iCs w:val="0"/>
          <w:color w:val="auto"/>
          <w:szCs w:val="24"/>
          <w:highlight w:val="none"/>
        </w:rPr>
        <w:t xml:space="preserve">2. </w:t>
      </w:r>
      <w:r>
        <w:rPr>
          <w:rFonts w:hint="eastAsia"/>
          <w:i w:val="0"/>
          <w:iCs w:val="0"/>
          <w:color w:val="auto"/>
          <w:szCs w:val="24"/>
          <w:highlight w:val="none"/>
          <w:u w:val="single"/>
        </w:rPr>
        <w:t xml:space="preserve">（标的名称） </w:t>
      </w:r>
      <w:r>
        <w:rPr>
          <w:rFonts w:hint="eastAsia"/>
          <w:i w:val="0"/>
          <w:iCs w:val="0"/>
          <w:color w:val="auto"/>
          <w:szCs w:val="24"/>
          <w:highlight w:val="none"/>
        </w:rPr>
        <w:t xml:space="preserve">，制造商为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1B0D60CE">
      <w:pPr>
        <w:wordWrap w:val="0"/>
        <w:ind w:firstLine="400" w:firstLineChars="200"/>
        <w:rPr>
          <w:i w:val="0"/>
          <w:iCs w:val="0"/>
          <w:color w:val="auto"/>
          <w:szCs w:val="24"/>
          <w:highlight w:val="none"/>
        </w:rPr>
      </w:pPr>
      <w:r>
        <w:rPr>
          <w:rFonts w:hint="eastAsia"/>
          <w:i w:val="0"/>
          <w:iCs w:val="0"/>
          <w:color w:val="auto"/>
          <w:szCs w:val="24"/>
          <w:highlight w:val="none"/>
        </w:rPr>
        <w:t>……</w:t>
      </w:r>
    </w:p>
    <w:p w14:paraId="28DC0BFB">
      <w:pPr>
        <w:wordWrap w:val="0"/>
        <w:ind w:firstLine="400" w:firstLineChars="200"/>
        <w:rPr>
          <w:i w:val="0"/>
          <w:iCs w:val="0"/>
          <w:color w:val="auto"/>
          <w:szCs w:val="24"/>
          <w:highlight w:val="none"/>
        </w:rPr>
      </w:pPr>
      <w:r>
        <w:rPr>
          <w:rFonts w:hint="eastAsia"/>
          <w:i w:val="0"/>
          <w:iCs w:val="0"/>
          <w:color w:val="auto"/>
          <w:szCs w:val="24"/>
          <w:highlight w:val="none"/>
        </w:rPr>
        <w:t>以上企业，不属于大企业的分支机构，不存在控股股东为大企业的情形，也不存在与大企业的负责人为同一人的情形。</w:t>
      </w:r>
    </w:p>
    <w:p w14:paraId="11CCD441">
      <w:pPr>
        <w:wordWrap w:val="0"/>
        <w:ind w:left="905" w:leftChars="200" w:hanging="505" w:hangingChars="253"/>
        <w:rPr>
          <w:i w:val="0"/>
          <w:iCs w:val="0"/>
          <w:color w:val="auto"/>
          <w:szCs w:val="24"/>
          <w:highlight w:val="none"/>
        </w:rPr>
      </w:pPr>
      <w:r>
        <w:rPr>
          <w:rFonts w:hint="eastAsia"/>
          <w:i w:val="0"/>
          <w:iCs w:val="0"/>
          <w:color w:val="auto"/>
          <w:szCs w:val="24"/>
          <w:highlight w:val="none"/>
        </w:rPr>
        <w:t>本企业对上述声明内容的真实性负责。如有虚假，将依法承担相应责任。</w:t>
      </w:r>
    </w:p>
    <w:p w14:paraId="3C25A706">
      <w:pPr>
        <w:wordWrap w:val="0"/>
        <w:ind w:left="1091" w:hanging="906" w:hangingChars="453"/>
        <w:rPr>
          <w:b/>
          <w:bCs/>
          <w:i w:val="0"/>
          <w:iCs w:val="0"/>
          <w:color w:val="auto"/>
          <w:szCs w:val="24"/>
          <w:highlight w:val="none"/>
        </w:rPr>
      </w:pPr>
    </w:p>
    <w:p w14:paraId="587BDAE6">
      <w:pPr>
        <w:wordWrap w:val="0"/>
        <w:ind w:left="1091" w:hanging="906" w:hangingChars="453"/>
        <w:rPr>
          <w:bCs/>
          <w:i w:val="0"/>
          <w:iCs w:val="0"/>
          <w:color w:val="auto"/>
          <w:szCs w:val="24"/>
          <w:highlight w:val="none"/>
        </w:rPr>
      </w:pPr>
      <w:r>
        <w:rPr>
          <w:rFonts w:hint="eastAsia"/>
          <w:b/>
          <w:bCs/>
          <w:i w:val="0"/>
          <w:iCs w:val="0"/>
          <w:color w:val="auto"/>
          <w:szCs w:val="24"/>
          <w:highlight w:val="none"/>
        </w:rPr>
        <w:t>说明：</w:t>
      </w:r>
      <w:r>
        <w:rPr>
          <w:rFonts w:hint="eastAsia"/>
          <w:bCs/>
          <w:i w:val="0"/>
          <w:iCs w:val="0"/>
          <w:color w:val="auto"/>
          <w:szCs w:val="24"/>
          <w:highlight w:val="none"/>
        </w:rPr>
        <w:t>1、</w:t>
      </w:r>
      <w:r>
        <w:rPr>
          <w:rFonts w:hint="eastAsia"/>
          <w:bCs/>
          <w:i w:val="0"/>
          <w:iCs w:val="0"/>
          <w:color w:val="auto"/>
          <w:szCs w:val="21"/>
          <w:highlight w:val="none"/>
          <w:lang w:val="zh-CN"/>
        </w:rPr>
        <w:t>货物应当全部由符合政策要求的残疾人福利性单位生产且使用该残疾人福利性单位商号或注册商标（与代理商或投标人无关）；应当严格按上述格式及内容进行填写（应当明确每个标的的生产企业类型及相关数据），否则导致的后果由投标人自行承担；</w:t>
      </w:r>
    </w:p>
    <w:p w14:paraId="688B62A3">
      <w:pPr>
        <w:wordWrap w:val="0"/>
        <w:ind w:left="1087" w:hanging="906" w:hangingChars="453"/>
        <w:rPr>
          <w:rFonts w:cs="Courier New"/>
          <w:color w:val="auto"/>
          <w:szCs w:val="21"/>
          <w:highlight w:val="none"/>
        </w:rPr>
      </w:pPr>
      <w:r>
        <w:rPr>
          <w:rFonts w:hint="eastAsia"/>
          <w:bCs/>
          <w:i w:val="0"/>
          <w:iCs w:val="0"/>
          <w:color w:val="auto"/>
          <w:szCs w:val="21"/>
          <w:highlight w:val="none"/>
          <w:lang w:val="zh-CN"/>
        </w:rPr>
        <w:t xml:space="preserve">      2、</w:t>
      </w:r>
      <w:r>
        <w:rPr>
          <w:rFonts w:hint="eastAsia" w:cs="Courier New"/>
          <w:i w:val="0"/>
          <w:iCs w:val="0"/>
          <w:color w:val="auto"/>
          <w:szCs w:val="21"/>
          <w:highlight w:val="none"/>
        </w:rPr>
        <w:t>以联合体形式参加的，应</w:t>
      </w:r>
      <w:r>
        <w:rPr>
          <w:rFonts w:hint="eastAsia"/>
          <w:bCs/>
          <w:i w:val="0"/>
          <w:iCs w:val="0"/>
          <w:color w:val="auto"/>
          <w:szCs w:val="21"/>
          <w:highlight w:val="none"/>
          <w:lang w:val="zh-CN"/>
        </w:rPr>
        <w:t>当</w:t>
      </w:r>
      <w:r>
        <w:rPr>
          <w:rFonts w:hint="eastAsia" w:cs="Courier New"/>
          <w:i w:val="0"/>
          <w:iCs w:val="0"/>
          <w:color w:val="auto"/>
          <w:szCs w:val="21"/>
          <w:highlight w:val="none"/>
        </w:rPr>
        <w:t>由联合体各方盖章。</w:t>
      </w:r>
    </w:p>
    <w:p w14:paraId="46842FC4">
      <w:pPr>
        <w:wordWrap w:val="0"/>
        <w:spacing w:before="100" w:beforeAutospacing="1" w:after="100" w:afterAutospacing="1"/>
        <w:ind w:firstLine="2764" w:firstLineChars="1382"/>
        <w:rPr>
          <w:bCs/>
          <w:color w:val="auto"/>
          <w:szCs w:val="21"/>
          <w:highlight w:val="none"/>
          <w:lang w:val="zh-CN"/>
        </w:rPr>
      </w:pPr>
      <w:r>
        <w:rPr>
          <w:rFonts w:hint="eastAsia"/>
          <w:bCs/>
          <w:color w:val="auto"/>
          <w:szCs w:val="21"/>
          <w:highlight w:val="none"/>
          <w:lang w:val="zh-CN"/>
        </w:rPr>
        <w:t>投标人</w:t>
      </w:r>
      <w:r>
        <w:rPr>
          <w:rFonts w:hint="eastAsia"/>
          <w:bCs/>
          <w:color w:val="auto"/>
          <w:szCs w:val="21"/>
          <w:highlight w:val="none"/>
          <w:lang w:val="en-US" w:eastAsia="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bCs/>
          <w:color w:val="auto"/>
          <w:szCs w:val="21"/>
          <w:highlight w:val="none"/>
          <w:lang w:val="zh-CN"/>
        </w:rPr>
        <w:t>：</w:t>
      </w:r>
      <w:r>
        <w:rPr>
          <w:rFonts w:hint="eastAsia"/>
          <w:bCs/>
          <w:color w:val="auto"/>
          <w:szCs w:val="21"/>
          <w:highlight w:val="none"/>
          <w:u w:val="single"/>
          <w:lang w:val="zh-CN"/>
        </w:rPr>
        <w:t xml:space="preserve">              </w:t>
      </w:r>
    </w:p>
    <w:p w14:paraId="6CADBBE9">
      <w:pPr>
        <w:wordWrap w:val="0"/>
        <w:spacing w:before="100" w:beforeAutospacing="1" w:after="100" w:afterAutospacing="1"/>
        <w:ind w:firstLine="2764" w:firstLineChars="1382"/>
        <w:rPr>
          <w:color w:val="auto"/>
          <w:highlight w:val="none"/>
        </w:rPr>
      </w:pPr>
      <w:r>
        <w:rPr>
          <w:rFonts w:hint="eastAsia"/>
          <w:color w:val="auto"/>
          <w:szCs w:val="24"/>
          <w:highlight w:val="none"/>
        </w:rPr>
        <w:t>日</w:t>
      </w:r>
      <w:r>
        <w:rPr>
          <w:color w:val="auto"/>
          <w:szCs w:val="24"/>
          <w:highlight w:val="none"/>
        </w:rPr>
        <w:t xml:space="preserve">  </w:t>
      </w:r>
      <w:r>
        <w:rPr>
          <w:rFonts w:hint="eastAsia"/>
          <w:color w:val="auto"/>
          <w:szCs w:val="24"/>
          <w:highlight w:val="none"/>
        </w:rPr>
        <w:t>期：</w:t>
      </w:r>
      <w:r>
        <w:rPr>
          <w:bCs/>
          <w:color w:val="auto"/>
          <w:szCs w:val="24"/>
          <w:highlight w:val="none"/>
          <w:u w:val="single"/>
        </w:rPr>
        <w:t xml:space="preserve">                         </w:t>
      </w:r>
    </w:p>
    <w:p w14:paraId="0083A0A1">
      <w:pPr>
        <w:pStyle w:val="38"/>
        <w:rPr>
          <w:rFonts w:hint="eastAsia"/>
          <w:color w:val="auto"/>
          <w:highlight w:val="none"/>
        </w:rPr>
      </w:pPr>
    </w:p>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0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EEFAAF9-DD17-483C-9B91-C7FD8D41A30D}"/>
  </w:font>
  <w:font w:name="Arial">
    <w:panose1 w:val="020B0604020202020204"/>
    <w:charset w:val="01"/>
    <w:family w:val="swiss"/>
    <w:pitch w:val="default"/>
    <w:sig w:usb0="E0002EFF" w:usb1="C000785B" w:usb2="00000009" w:usb3="00000000" w:csb0="400001FF" w:csb1="FFFF0000"/>
    <w:embedRegular r:id="rId2" w:fontKey="{9CE0C04F-78F3-48D8-8A03-ED32D3EA5302}"/>
  </w:font>
  <w:font w:name="黑体">
    <w:panose1 w:val="02010600030101010101"/>
    <w:charset w:val="86"/>
    <w:family w:val="auto"/>
    <w:pitch w:val="default"/>
    <w:sig w:usb0="800002BF" w:usb1="38CF7CFA" w:usb2="00000016" w:usb3="00000000" w:csb0="00040001" w:csb1="00000000"/>
    <w:embedRegular r:id="rId3" w:fontKey="{F735CEED-A643-4FDA-A778-3A16021B5836}"/>
  </w:font>
  <w:font w:name="Courier New">
    <w:panose1 w:val="02070309020205020404"/>
    <w:charset w:val="01"/>
    <w:family w:val="modern"/>
    <w:pitch w:val="default"/>
    <w:sig w:usb0="E0002EFF" w:usb1="C0007843" w:usb2="00000009" w:usb3="00000000" w:csb0="400001FF" w:csb1="FFFF0000"/>
    <w:embedRegular r:id="rId4" w:fontKey="{B46C9DC6-AE2A-456D-9EDC-84C79D5EB16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C3860D72-F75A-4905-AF1B-A709D27311D7}"/>
  </w:font>
  <w:font w:name="等线 Light">
    <w:panose1 w:val="02010600030101010101"/>
    <w:charset w:val="86"/>
    <w:family w:val="auto"/>
    <w:pitch w:val="default"/>
    <w:sig w:usb0="A00002BF" w:usb1="38CF7CFA" w:usb2="00000016" w:usb3="00000000" w:csb0="0004000F" w:csb1="00000000"/>
    <w:embedRegular r:id="rId6" w:fontKey="{272D6E93-ED28-41EE-ABD3-B9B28DF999A5}"/>
  </w:font>
  <w:font w:name="仿宋">
    <w:panose1 w:val="02010609060101010101"/>
    <w:charset w:val="86"/>
    <w:family w:val="auto"/>
    <w:pitch w:val="default"/>
    <w:sig w:usb0="800002BF" w:usb1="38CF7CFA" w:usb2="00000016" w:usb3="00000000" w:csb0="00040001" w:csb1="00000000"/>
    <w:embedRegular r:id="rId7" w:fontKey="{B4DEF60A-DC6C-4A01-A1CD-3AFA76CC086F}"/>
  </w:font>
  <w:font w:name="等线">
    <w:panose1 w:val="02010600030101010101"/>
    <w:charset w:val="86"/>
    <w:family w:val="auto"/>
    <w:pitch w:val="default"/>
    <w:sig w:usb0="A00002BF" w:usb1="38CF7CFA" w:usb2="00000016" w:usb3="00000000" w:csb0="0004000F" w:csb1="00000000"/>
    <w:embedRegular r:id="rId8" w:fontKey="{564CC2EC-4B9D-4117-9F40-FC1CB182928E}"/>
  </w:font>
  <w:font w:name="仿宋_GB2312">
    <w:panose1 w:val="02010609030101010101"/>
    <w:charset w:val="86"/>
    <w:family w:val="modern"/>
    <w:pitch w:val="default"/>
    <w:sig w:usb0="00000001" w:usb1="080E0000" w:usb2="00000000" w:usb3="00000000" w:csb0="00040000" w:csb1="00000000"/>
    <w:embedRegular r:id="rId9" w:fontKey="{B1F8AB00-2B20-4DBB-A367-FF1BF2800809}"/>
  </w:font>
  <w:font w:name="华文楷体">
    <w:panose1 w:val="02010600040101010101"/>
    <w:charset w:val="86"/>
    <w:family w:val="auto"/>
    <w:pitch w:val="default"/>
    <w:sig w:usb0="00000287" w:usb1="080F0000" w:usb2="00000000" w:usb3="00000000" w:csb0="0004009F" w:csb1="DFD70000"/>
  </w:font>
  <w:font w:name="FZShuSong-Z01">
    <w:altName w:val="Segoe Print"/>
    <w:panose1 w:val="00000000000000000000"/>
    <w:charset w:val="00"/>
    <w:family w:val="auto"/>
    <w:pitch w:val="default"/>
    <w:sig w:usb0="00000000" w:usb1="00000000" w:usb2="00000000" w:usb3="00000000" w:csb0="00000000" w:csb1="00000000"/>
    <w:embedRegular r:id="rId10" w:fontKey="{C6D4A71D-4908-483F-A428-6EB956079C87}"/>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embedRegular r:id="rId11" w:fontKey="{FA836B19-13C9-438E-A151-C4FE1DBA16E3}"/>
  </w:font>
  <w:font w:name="Helvetica">
    <w:panose1 w:val="020B0504020202030204"/>
    <w:charset w:val="00"/>
    <w:family w:val="swiss"/>
    <w:pitch w:val="default"/>
    <w:sig w:usb0="00000007" w:usb1="00000000" w:usb2="00000000" w:usb3="00000000" w:csb0="00000093" w:csb1="00000000"/>
    <w:embedRegular r:id="rId12" w:fontKey="{C68D2C86-306A-4936-BC91-8EC9BC35898C}"/>
  </w:font>
  <w:font w:name="华文中宋">
    <w:panose1 w:val="02010600040101010101"/>
    <w:charset w:val="86"/>
    <w:family w:val="auto"/>
    <w:pitch w:val="default"/>
    <w:sig w:usb0="00000287" w:usb1="080F0000" w:usb2="00000000" w:usb3="00000000" w:csb0="0004009F" w:csb1="DFD70000"/>
    <w:embedRegular r:id="rId13" w:fontKey="{5D5BE483-77B9-48A2-AABD-D44183985191}"/>
  </w:font>
  <w:font w:name="Tahoma">
    <w:panose1 w:val="020B0604030504040204"/>
    <w:charset w:val="00"/>
    <w:family w:val="swiss"/>
    <w:pitch w:val="default"/>
    <w:sig w:usb0="E1002EFF" w:usb1="C000605B" w:usb2="00000029" w:usb3="00000000" w:csb0="200101FF" w:csb1="20280000"/>
    <w:embedRegular r:id="rId14" w:fontKey="{1F432E79-C550-4722-9DED-CA2A78F56758}"/>
  </w:font>
  <w:font w:name="DejaVuSans">
    <w:altName w:val="Segoe Print"/>
    <w:panose1 w:val="00000000000000000000"/>
    <w:charset w:val="00"/>
    <w:family w:val="auto"/>
    <w:pitch w:val="default"/>
    <w:sig w:usb0="00000000" w:usb1="00000000" w:usb2="00000000" w:usb3="00000000" w:csb0="00000000" w:csb1="00000000"/>
    <w:embedRegular r:id="rId15" w:fontKey="{F1930D32-78E4-474D-8282-F07CD87A5CA8}"/>
  </w:font>
  <w:font w:name="方正小标宋_GBK">
    <w:panose1 w:val="02000000000000000000"/>
    <w:charset w:val="86"/>
    <w:family w:val="auto"/>
    <w:pitch w:val="default"/>
    <w:sig w:usb0="A00002BF" w:usb1="38CF7CFA" w:usb2="00082016" w:usb3="00000000" w:csb0="00040001" w:csb1="00000000"/>
    <w:embedRegular r:id="rId16" w:fontKey="{BEB40078-5C61-4EB9-971B-6E41D472C7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75237">
    <w:pPr>
      <w:pStyle w:val="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4804"/>
                          </w:sdtPr>
                          <w:sdtContent>
                            <w:p w14:paraId="43E63C1D">
                              <w:pPr>
                                <w:pStyle w:val="2"/>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718A90B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47454804"/>
                    </w:sdtPr>
                    <w:sdtContent>
                      <w:p w14:paraId="43E63C1D">
                        <w:pPr>
                          <w:pStyle w:val="2"/>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718A90BE"/>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4359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E427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A2D5C">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3757FD">
                          <w:pPr>
                            <w:pStyle w:val="2"/>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3757FD">
                    <w:pPr>
                      <w:pStyle w:val="2"/>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41052">
    <w:pPr>
      <w:pStyle w:val="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8428888"/>
                          </w:sdtPr>
                          <w:sdtContent>
                            <w:p w14:paraId="1087FA9B">
                              <w:pPr>
                                <w:pStyle w:val="2"/>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448A7938"/>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sdt>
                    <w:sdtPr>
                      <w:id w:val="-178428888"/>
                    </w:sdtPr>
                    <w:sdtContent>
                      <w:p w14:paraId="1087FA9B">
                        <w:pPr>
                          <w:pStyle w:val="2"/>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448A7938"/>
                </w:txbxContent>
              </v:textbox>
            </v:shape>
          </w:pict>
        </mc:Fallback>
      </mc:AlternateContent>
    </w:r>
  </w:p>
  <w:p w14:paraId="4005E617">
    <w:pPr>
      <w:pStyle w:val="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57AC4">
    <w:pPr>
      <w:pStyle w:val="23"/>
      <w:keepNext w:val="0"/>
      <w:keepLines w:val="0"/>
      <w:pageBreakBefore w:val="0"/>
      <w:widowControl w:val="0"/>
      <w:kinsoku/>
      <w:wordWrap/>
      <w:overflowPunct/>
      <w:topLinePunct w:val="0"/>
      <w:bidi w:val="0"/>
      <w:adjustRightInd/>
      <w:snapToGrid w:val="0"/>
      <w:jc w:val="right"/>
      <w:textAlignment w:val="auto"/>
      <w:rPr>
        <w:sz w:val="18"/>
        <w:szCs w:val="18"/>
      </w:rPr>
    </w:pPr>
    <w:r>
      <w:rPr>
        <w:rFonts w:hint="eastAsia" w:ascii="宋体" w:hAnsi="宋体" w:eastAsia="宋体" w:cs="宋体"/>
        <w:sz w:val="18"/>
        <w:szCs w:val="18"/>
        <w:lang w:val="en-US" w:eastAsia="zh-CN"/>
      </w:rPr>
      <w:t>兵团政府采购项目</w:t>
    </w:r>
    <w:r>
      <w:rPr>
        <w:rFonts w:hint="eastAsia" w:ascii="宋体" w:hAnsi="宋体" w:eastAsia="宋体" w:cs="宋体"/>
        <w:sz w:val="18"/>
        <w:szCs w:val="18"/>
      </w:rPr>
      <w:t>公开招标文件</w:t>
    </w:r>
    <w:r>
      <w:rPr>
        <w:rFonts w:hint="eastAsia" w:ascii="宋体" w:hAnsi="宋体" w:eastAsia="宋体" w:cs="宋体"/>
        <w:sz w:val="18"/>
        <w:szCs w:val="18"/>
        <w:lang w:val="en-US" w:eastAsia="zh-CN"/>
      </w:rPr>
      <w:t>示范文本（货物）</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7F33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5F71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2F3D0">
    <w:pPr>
      <w:pStyle w:val="23"/>
    </w:pPr>
    <w:r>
      <w:rPr>
        <w:rFonts w:hint="eastAsia"/>
        <w:sz w:val="24"/>
        <w:szCs w:val="24"/>
        <w:lang w:val="en-US" w:eastAsia="zh-CN"/>
      </w:rPr>
      <w:t xml:space="preserve">                         </w:t>
    </w:r>
    <w:r>
      <w:rPr>
        <w:rFonts w:hint="eastAsia" w:ascii="宋体" w:hAnsi="宋体" w:eastAsia="宋体" w:cs="宋体"/>
        <w:sz w:val="18"/>
        <w:szCs w:val="18"/>
        <w:lang w:val="en-US" w:eastAsia="zh-CN"/>
      </w:rPr>
      <w:t>兵团政府采购项目</w:t>
    </w:r>
    <w:r>
      <w:rPr>
        <w:rFonts w:hint="eastAsia" w:ascii="宋体" w:hAnsi="宋体" w:eastAsia="宋体" w:cs="宋体"/>
        <w:sz w:val="18"/>
        <w:szCs w:val="18"/>
      </w:rPr>
      <w:t>公开招标文件</w:t>
    </w:r>
    <w:r>
      <w:rPr>
        <w:rFonts w:hint="eastAsia" w:ascii="宋体" w:hAnsi="宋体" w:eastAsia="宋体" w:cs="宋体"/>
        <w:sz w:val="18"/>
        <w:szCs w:val="18"/>
        <w:lang w:val="en-US" w:eastAsia="zh-CN"/>
      </w:rPr>
      <w:t>示范文本（货物）</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070575"/>
    <w:multiLevelType w:val="singleLevel"/>
    <w:tmpl w:val="9C070575"/>
    <w:lvl w:ilvl="0" w:tentative="0">
      <w:start w:val="1"/>
      <w:numFmt w:val="decimal"/>
      <w:pStyle w:val="8"/>
      <w:lvlText w:val="%1."/>
      <w:lvlJc w:val="left"/>
      <w:pPr>
        <w:tabs>
          <w:tab w:val="left" w:pos="780"/>
        </w:tabs>
        <w:ind w:left="780" w:hanging="360"/>
      </w:p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E0E64592"/>
    <w:multiLevelType w:val="singleLevel"/>
    <w:tmpl w:val="E0E64592"/>
    <w:lvl w:ilvl="0" w:tentative="0">
      <w:start w:val="19"/>
      <w:numFmt w:val="decimal"/>
      <w:suff w:val="nothing"/>
      <w:lvlText w:val="%1）"/>
      <w:lvlJc w:val="left"/>
    </w:lvl>
  </w:abstractNum>
  <w:abstractNum w:abstractNumId="7">
    <w:nsid w:val="E956B47A"/>
    <w:multiLevelType w:val="singleLevel"/>
    <w:tmpl w:val="E956B47A"/>
    <w:lvl w:ilvl="0" w:tentative="0">
      <w:start w:val="26"/>
      <w:numFmt w:val="decimal"/>
      <w:suff w:val="nothing"/>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0B07BE14"/>
    <w:multiLevelType w:val="singleLevel"/>
    <w:tmpl w:val="0B07BE14"/>
    <w:lvl w:ilvl="0" w:tentative="0">
      <w:start w:val="2"/>
      <w:numFmt w:val="chineseCounting"/>
      <w:suff w:val="nothing"/>
      <w:lvlText w:val="%1、"/>
      <w:lvlJc w:val="left"/>
      <w:rPr>
        <w:rFonts w:hint="eastAsia"/>
      </w:rPr>
    </w:lvl>
  </w:abstractNum>
  <w:abstractNum w:abstractNumId="10">
    <w:nsid w:val="1C761375"/>
    <w:multiLevelType w:val="multilevel"/>
    <w:tmpl w:val="1C76137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47B6378"/>
    <w:multiLevelType w:val="multilevel"/>
    <w:tmpl w:val="447B6378"/>
    <w:lvl w:ilvl="0" w:tentative="0">
      <w:start w:val="1"/>
      <w:numFmt w:val="decimal"/>
      <w:pStyle w:val="40"/>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EAC951B"/>
    <w:multiLevelType w:val="singleLevel"/>
    <w:tmpl w:val="4EAC951B"/>
    <w:lvl w:ilvl="0" w:tentative="0">
      <w:start w:val="34"/>
      <w:numFmt w:val="decimal"/>
      <w:suff w:val="nothing"/>
      <w:lvlText w:val="%1）"/>
      <w:lvlJc w:val="left"/>
    </w:lvl>
  </w:abstractNum>
  <w:abstractNum w:abstractNumId="13">
    <w:nsid w:val="75504026"/>
    <w:multiLevelType w:val="multilevel"/>
    <w:tmpl w:val="7550402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7A0F6431"/>
    <w:multiLevelType w:val="singleLevel"/>
    <w:tmpl w:val="7A0F6431"/>
    <w:lvl w:ilvl="0" w:tentative="0">
      <w:start w:val="1"/>
      <w:numFmt w:val="decimal"/>
      <w:suff w:val="space"/>
      <w:lvlText w:val="%1."/>
      <w:lvlJc w:val="left"/>
    </w:lvl>
  </w:abstractNum>
  <w:num w:numId="1">
    <w:abstractNumId w:val="0"/>
  </w:num>
  <w:num w:numId="2">
    <w:abstractNumId w:val="11"/>
  </w:num>
  <w:num w:numId="3">
    <w:abstractNumId w:val="7"/>
  </w:num>
  <w:num w:numId="4">
    <w:abstractNumId w:val="6"/>
  </w:num>
  <w:num w:numId="5">
    <w:abstractNumId w:val="12"/>
  </w:num>
  <w:num w:numId="6">
    <w:abstractNumId w:val="9"/>
  </w:num>
  <w:num w:numId="7">
    <w:abstractNumId w:val="14"/>
  </w:num>
  <w:num w:numId="8">
    <w:abstractNumId w:val="2"/>
  </w:num>
  <w:num w:numId="9">
    <w:abstractNumId w:val="8"/>
  </w:num>
  <w:num w:numId="10">
    <w:abstractNumId w:val="4"/>
  </w:num>
  <w:num w:numId="11">
    <w:abstractNumId w:val="3"/>
  </w:num>
  <w:num w:numId="12">
    <w:abstractNumId w:val="1"/>
  </w:num>
  <w:num w:numId="13">
    <w:abstractNumId w:val="5"/>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Tg1OTJkZTA1ZDVhNGYzMmVkNzJiZGI5ZmNhNzAifQ=="/>
  </w:docVars>
  <w:rsids>
    <w:rsidRoot w:val="00172A27"/>
    <w:rsid w:val="0000366A"/>
    <w:rsid w:val="00006F7F"/>
    <w:rsid w:val="00007003"/>
    <w:rsid w:val="000075B7"/>
    <w:rsid w:val="000237EA"/>
    <w:rsid w:val="00027CD2"/>
    <w:rsid w:val="00031E0C"/>
    <w:rsid w:val="00040832"/>
    <w:rsid w:val="00040D23"/>
    <w:rsid w:val="000439DA"/>
    <w:rsid w:val="00054A99"/>
    <w:rsid w:val="00063604"/>
    <w:rsid w:val="0006370A"/>
    <w:rsid w:val="00066832"/>
    <w:rsid w:val="00067934"/>
    <w:rsid w:val="000720BF"/>
    <w:rsid w:val="0008641D"/>
    <w:rsid w:val="000B39A0"/>
    <w:rsid w:val="000C3E03"/>
    <w:rsid w:val="000C488D"/>
    <w:rsid w:val="000C52EC"/>
    <w:rsid w:val="000D0230"/>
    <w:rsid w:val="000D0AD3"/>
    <w:rsid w:val="000E45BD"/>
    <w:rsid w:val="000E4E33"/>
    <w:rsid w:val="000E67CF"/>
    <w:rsid w:val="000F20FD"/>
    <w:rsid w:val="000F39B0"/>
    <w:rsid w:val="001008D8"/>
    <w:rsid w:val="001022A4"/>
    <w:rsid w:val="00115EF7"/>
    <w:rsid w:val="0013642D"/>
    <w:rsid w:val="00146410"/>
    <w:rsid w:val="00150D67"/>
    <w:rsid w:val="00150EAD"/>
    <w:rsid w:val="00156600"/>
    <w:rsid w:val="00160E9C"/>
    <w:rsid w:val="00172190"/>
    <w:rsid w:val="00173480"/>
    <w:rsid w:val="00181988"/>
    <w:rsid w:val="00182557"/>
    <w:rsid w:val="0018304A"/>
    <w:rsid w:val="001904E9"/>
    <w:rsid w:val="001A77DE"/>
    <w:rsid w:val="001B36EC"/>
    <w:rsid w:val="001D7B23"/>
    <w:rsid w:val="001E2F56"/>
    <w:rsid w:val="00204A2D"/>
    <w:rsid w:val="002062E6"/>
    <w:rsid w:val="00207131"/>
    <w:rsid w:val="0022214D"/>
    <w:rsid w:val="00223585"/>
    <w:rsid w:val="002257E4"/>
    <w:rsid w:val="002317DB"/>
    <w:rsid w:val="00232245"/>
    <w:rsid w:val="0023265E"/>
    <w:rsid w:val="00235B5A"/>
    <w:rsid w:val="00251060"/>
    <w:rsid w:val="002514A3"/>
    <w:rsid w:val="00256B32"/>
    <w:rsid w:val="00256D01"/>
    <w:rsid w:val="002706F2"/>
    <w:rsid w:val="00271135"/>
    <w:rsid w:val="00285E30"/>
    <w:rsid w:val="00292BAB"/>
    <w:rsid w:val="002A1AEC"/>
    <w:rsid w:val="002A1BCB"/>
    <w:rsid w:val="002A5262"/>
    <w:rsid w:val="002A6484"/>
    <w:rsid w:val="002A79C6"/>
    <w:rsid w:val="002C06B9"/>
    <w:rsid w:val="002C0FDD"/>
    <w:rsid w:val="002C5E37"/>
    <w:rsid w:val="002D11F7"/>
    <w:rsid w:val="002D48C5"/>
    <w:rsid w:val="002E0B52"/>
    <w:rsid w:val="002E1CF4"/>
    <w:rsid w:val="002E5FED"/>
    <w:rsid w:val="002F0DA9"/>
    <w:rsid w:val="003113C1"/>
    <w:rsid w:val="00312C3A"/>
    <w:rsid w:val="0031353D"/>
    <w:rsid w:val="0032200D"/>
    <w:rsid w:val="00333B37"/>
    <w:rsid w:val="0034487B"/>
    <w:rsid w:val="00347CC6"/>
    <w:rsid w:val="00347D88"/>
    <w:rsid w:val="00350BCD"/>
    <w:rsid w:val="0035643C"/>
    <w:rsid w:val="00366226"/>
    <w:rsid w:val="003746B0"/>
    <w:rsid w:val="00374A6B"/>
    <w:rsid w:val="00383E1C"/>
    <w:rsid w:val="00390D4A"/>
    <w:rsid w:val="0039222E"/>
    <w:rsid w:val="0039288A"/>
    <w:rsid w:val="00393395"/>
    <w:rsid w:val="0039372E"/>
    <w:rsid w:val="00394AF5"/>
    <w:rsid w:val="003A19A4"/>
    <w:rsid w:val="003A1A1B"/>
    <w:rsid w:val="003A4485"/>
    <w:rsid w:val="003A4878"/>
    <w:rsid w:val="003B4310"/>
    <w:rsid w:val="003B60A6"/>
    <w:rsid w:val="003C5883"/>
    <w:rsid w:val="003C7C49"/>
    <w:rsid w:val="003D3327"/>
    <w:rsid w:val="003D6656"/>
    <w:rsid w:val="003E057C"/>
    <w:rsid w:val="003E2B14"/>
    <w:rsid w:val="003E314B"/>
    <w:rsid w:val="003F5655"/>
    <w:rsid w:val="003F5BC6"/>
    <w:rsid w:val="004021C6"/>
    <w:rsid w:val="00406BEF"/>
    <w:rsid w:val="00410595"/>
    <w:rsid w:val="00420F7C"/>
    <w:rsid w:val="0043307A"/>
    <w:rsid w:val="00433514"/>
    <w:rsid w:val="00446BB3"/>
    <w:rsid w:val="0045353D"/>
    <w:rsid w:val="004771C7"/>
    <w:rsid w:val="00481283"/>
    <w:rsid w:val="00481C3A"/>
    <w:rsid w:val="004851CA"/>
    <w:rsid w:val="0048656E"/>
    <w:rsid w:val="00493221"/>
    <w:rsid w:val="004A302C"/>
    <w:rsid w:val="004B539D"/>
    <w:rsid w:val="004C1FA1"/>
    <w:rsid w:val="004C3DCC"/>
    <w:rsid w:val="004E0BF9"/>
    <w:rsid w:val="004E0CF9"/>
    <w:rsid w:val="004F3FDD"/>
    <w:rsid w:val="004F46AB"/>
    <w:rsid w:val="00501A4A"/>
    <w:rsid w:val="005032B9"/>
    <w:rsid w:val="005100F2"/>
    <w:rsid w:val="00510300"/>
    <w:rsid w:val="00511D7B"/>
    <w:rsid w:val="00513AD5"/>
    <w:rsid w:val="00523D37"/>
    <w:rsid w:val="00524831"/>
    <w:rsid w:val="0052616B"/>
    <w:rsid w:val="00532F25"/>
    <w:rsid w:val="00541D90"/>
    <w:rsid w:val="00542258"/>
    <w:rsid w:val="0054547C"/>
    <w:rsid w:val="0054632A"/>
    <w:rsid w:val="00551EDC"/>
    <w:rsid w:val="005544D1"/>
    <w:rsid w:val="00554509"/>
    <w:rsid w:val="00561523"/>
    <w:rsid w:val="00561527"/>
    <w:rsid w:val="005714C6"/>
    <w:rsid w:val="00594E7A"/>
    <w:rsid w:val="005A146E"/>
    <w:rsid w:val="005A7208"/>
    <w:rsid w:val="005A7987"/>
    <w:rsid w:val="005B5936"/>
    <w:rsid w:val="005C0D20"/>
    <w:rsid w:val="005D050C"/>
    <w:rsid w:val="005F7A46"/>
    <w:rsid w:val="00611383"/>
    <w:rsid w:val="00620B1C"/>
    <w:rsid w:val="00626E33"/>
    <w:rsid w:val="006407ED"/>
    <w:rsid w:val="0064251F"/>
    <w:rsid w:val="00643F74"/>
    <w:rsid w:val="006503AE"/>
    <w:rsid w:val="00651EE4"/>
    <w:rsid w:val="00654524"/>
    <w:rsid w:val="00654BCF"/>
    <w:rsid w:val="0066052B"/>
    <w:rsid w:val="006630EF"/>
    <w:rsid w:val="0066446E"/>
    <w:rsid w:val="0066601A"/>
    <w:rsid w:val="006662AB"/>
    <w:rsid w:val="00674212"/>
    <w:rsid w:val="0067621A"/>
    <w:rsid w:val="006815D1"/>
    <w:rsid w:val="00687DD5"/>
    <w:rsid w:val="006923C3"/>
    <w:rsid w:val="006937E9"/>
    <w:rsid w:val="00693EF9"/>
    <w:rsid w:val="006947A5"/>
    <w:rsid w:val="006A1A11"/>
    <w:rsid w:val="006A2C75"/>
    <w:rsid w:val="006A4105"/>
    <w:rsid w:val="006B0C84"/>
    <w:rsid w:val="006B543B"/>
    <w:rsid w:val="006B7E54"/>
    <w:rsid w:val="006C0BD1"/>
    <w:rsid w:val="006C30C8"/>
    <w:rsid w:val="006C5139"/>
    <w:rsid w:val="006C69FC"/>
    <w:rsid w:val="006D069F"/>
    <w:rsid w:val="006D2C95"/>
    <w:rsid w:val="006D5F8F"/>
    <w:rsid w:val="006D6CEA"/>
    <w:rsid w:val="006E3B5C"/>
    <w:rsid w:val="006E3EB8"/>
    <w:rsid w:val="00707B1D"/>
    <w:rsid w:val="00710909"/>
    <w:rsid w:val="00716369"/>
    <w:rsid w:val="00723649"/>
    <w:rsid w:val="007265C3"/>
    <w:rsid w:val="00735F23"/>
    <w:rsid w:val="00740CEF"/>
    <w:rsid w:val="00742261"/>
    <w:rsid w:val="00752C5E"/>
    <w:rsid w:val="007531F9"/>
    <w:rsid w:val="00764378"/>
    <w:rsid w:val="0076591F"/>
    <w:rsid w:val="00766F0F"/>
    <w:rsid w:val="00773B9A"/>
    <w:rsid w:val="0077582F"/>
    <w:rsid w:val="007862C9"/>
    <w:rsid w:val="0079007B"/>
    <w:rsid w:val="007A0F22"/>
    <w:rsid w:val="007B5C1A"/>
    <w:rsid w:val="007C03A0"/>
    <w:rsid w:val="007C2BEF"/>
    <w:rsid w:val="007D3D77"/>
    <w:rsid w:val="007E157B"/>
    <w:rsid w:val="007E2EF7"/>
    <w:rsid w:val="007E4818"/>
    <w:rsid w:val="007E6A7E"/>
    <w:rsid w:val="007F33F3"/>
    <w:rsid w:val="007F6124"/>
    <w:rsid w:val="00801BDF"/>
    <w:rsid w:val="00802B86"/>
    <w:rsid w:val="0082514B"/>
    <w:rsid w:val="00830599"/>
    <w:rsid w:val="008334B0"/>
    <w:rsid w:val="0083496F"/>
    <w:rsid w:val="0083530F"/>
    <w:rsid w:val="00836468"/>
    <w:rsid w:val="00843492"/>
    <w:rsid w:val="00845F16"/>
    <w:rsid w:val="00846033"/>
    <w:rsid w:val="00852AF3"/>
    <w:rsid w:val="00856D2D"/>
    <w:rsid w:val="00856F2E"/>
    <w:rsid w:val="00871560"/>
    <w:rsid w:val="00872D54"/>
    <w:rsid w:val="00872F2D"/>
    <w:rsid w:val="0087585D"/>
    <w:rsid w:val="00880E22"/>
    <w:rsid w:val="00882B6F"/>
    <w:rsid w:val="008834AE"/>
    <w:rsid w:val="00885F4D"/>
    <w:rsid w:val="008962E2"/>
    <w:rsid w:val="008A74EF"/>
    <w:rsid w:val="008B0539"/>
    <w:rsid w:val="008B1C98"/>
    <w:rsid w:val="008B5ADF"/>
    <w:rsid w:val="008D0B3B"/>
    <w:rsid w:val="008D1450"/>
    <w:rsid w:val="008D2E66"/>
    <w:rsid w:val="008D56A5"/>
    <w:rsid w:val="008E1546"/>
    <w:rsid w:val="008E189F"/>
    <w:rsid w:val="008E24ED"/>
    <w:rsid w:val="008E40FE"/>
    <w:rsid w:val="008E57AC"/>
    <w:rsid w:val="008E6D3B"/>
    <w:rsid w:val="00906396"/>
    <w:rsid w:val="0090770A"/>
    <w:rsid w:val="00916E4D"/>
    <w:rsid w:val="00917A63"/>
    <w:rsid w:val="00920750"/>
    <w:rsid w:val="00923C36"/>
    <w:rsid w:val="00924B8E"/>
    <w:rsid w:val="00930024"/>
    <w:rsid w:val="009344DE"/>
    <w:rsid w:val="009357E5"/>
    <w:rsid w:val="00936087"/>
    <w:rsid w:val="00945D17"/>
    <w:rsid w:val="00951FEE"/>
    <w:rsid w:val="00965FBF"/>
    <w:rsid w:val="00973941"/>
    <w:rsid w:val="0097751F"/>
    <w:rsid w:val="00980255"/>
    <w:rsid w:val="009804FA"/>
    <w:rsid w:val="00985B78"/>
    <w:rsid w:val="0098649F"/>
    <w:rsid w:val="00993AFA"/>
    <w:rsid w:val="0099686E"/>
    <w:rsid w:val="00996DF2"/>
    <w:rsid w:val="009A41B0"/>
    <w:rsid w:val="009A4756"/>
    <w:rsid w:val="009A4C46"/>
    <w:rsid w:val="009A4DBF"/>
    <w:rsid w:val="009B3513"/>
    <w:rsid w:val="009B39EA"/>
    <w:rsid w:val="009D3FC3"/>
    <w:rsid w:val="009D433D"/>
    <w:rsid w:val="009D4484"/>
    <w:rsid w:val="009D5889"/>
    <w:rsid w:val="009D7755"/>
    <w:rsid w:val="009F1D20"/>
    <w:rsid w:val="00A00548"/>
    <w:rsid w:val="00A00713"/>
    <w:rsid w:val="00A00731"/>
    <w:rsid w:val="00A11A5C"/>
    <w:rsid w:val="00A22235"/>
    <w:rsid w:val="00A22F7B"/>
    <w:rsid w:val="00A23801"/>
    <w:rsid w:val="00A2554C"/>
    <w:rsid w:val="00A3295D"/>
    <w:rsid w:val="00A33652"/>
    <w:rsid w:val="00A3798C"/>
    <w:rsid w:val="00A42866"/>
    <w:rsid w:val="00A461C1"/>
    <w:rsid w:val="00A46B5C"/>
    <w:rsid w:val="00A50D6E"/>
    <w:rsid w:val="00A51DD8"/>
    <w:rsid w:val="00A647EA"/>
    <w:rsid w:val="00A736C6"/>
    <w:rsid w:val="00A82472"/>
    <w:rsid w:val="00A83F1F"/>
    <w:rsid w:val="00A8416F"/>
    <w:rsid w:val="00AA0223"/>
    <w:rsid w:val="00AB28B8"/>
    <w:rsid w:val="00AB3B77"/>
    <w:rsid w:val="00AC57B7"/>
    <w:rsid w:val="00AC73C5"/>
    <w:rsid w:val="00AC755C"/>
    <w:rsid w:val="00AD0E13"/>
    <w:rsid w:val="00AD5ABF"/>
    <w:rsid w:val="00AF45C5"/>
    <w:rsid w:val="00AF5667"/>
    <w:rsid w:val="00B05DD5"/>
    <w:rsid w:val="00B12477"/>
    <w:rsid w:val="00B13343"/>
    <w:rsid w:val="00B1354B"/>
    <w:rsid w:val="00B220B2"/>
    <w:rsid w:val="00B23942"/>
    <w:rsid w:val="00B32474"/>
    <w:rsid w:val="00B4327E"/>
    <w:rsid w:val="00B467A4"/>
    <w:rsid w:val="00B5286D"/>
    <w:rsid w:val="00B545BC"/>
    <w:rsid w:val="00B61032"/>
    <w:rsid w:val="00B61D2E"/>
    <w:rsid w:val="00B71854"/>
    <w:rsid w:val="00B71DA4"/>
    <w:rsid w:val="00B7235B"/>
    <w:rsid w:val="00B76348"/>
    <w:rsid w:val="00B81261"/>
    <w:rsid w:val="00B82556"/>
    <w:rsid w:val="00B87655"/>
    <w:rsid w:val="00B87801"/>
    <w:rsid w:val="00B92871"/>
    <w:rsid w:val="00B928DA"/>
    <w:rsid w:val="00BA5AC3"/>
    <w:rsid w:val="00BA630D"/>
    <w:rsid w:val="00BB06B4"/>
    <w:rsid w:val="00BB2551"/>
    <w:rsid w:val="00BB4892"/>
    <w:rsid w:val="00BB5E9B"/>
    <w:rsid w:val="00BC1A44"/>
    <w:rsid w:val="00BC5C37"/>
    <w:rsid w:val="00BC757B"/>
    <w:rsid w:val="00BC7ED2"/>
    <w:rsid w:val="00BD0190"/>
    <w:rsid w:val="00BE212E"/>
    <w:rsid w:val="00BE4AAB"/>
    <w:rsid w:val="00BE5086"/>
    <w:rsid w:val="00BF4971"/>
    <w:rsid w:val="00C07F40"/>
    <w:rsid w:val="00C12E85"/>
    <w:rsid w:val="00C16A79"/>
    <w:rsid w:val="00C20278"/>
    <w:rsid w:val="00C22791"/>
    <w:rsid w:val="00C236DC"/>
    <w:rsid w:val="00C31B7F"/>
    <w:rsid w:val="00C32F79"/>
    <w:rsid w:val="00C33FD2"/>
    <w:rsid w:val="00C35271"/>
    <w:rsid w:val="00C4036A"/>
    <w:rsid w:val="00C50E28"/>
    <w:rsid w:val="00C62934"/>
    <w:rsid w:val="00C64428"/>
    <w:rsid w:val="00C74D6F"/>
    <w:rsid w:val="00C842DE"/>
    <w:rsid w:val="00C902FB"/>
    <w:rsid w:val="00C965AE"/>
    <w:rsid w:val="00CA0AED"/>
    <w:rsid w:val="00CA66E6"/>
    <w:rsid w:val="00CC29DE"/>
    <w:rsid w:val="00CC3B64"/>
    <w:rsid w:val="00CD37C6"/>
    <w:rsid w:val="00CD3BA4"/>
    <w:rsid w:val="00CD41AA"/>
    <w:rsid w:val="00CD6943"/>
    <w:rsid w:val="00CE6C2F"/>
    <w:rsid w:val="00CE73CC"/>
    <w:rsid w:val="00CE7E9C"/>
    <w:rsid w:val="00CF2EF3"/>
    <w:rsid w:val="00CF3298"/>
    <w:rsid w:val="00D02F3B"/>
    <w:rsid w:val="00D0657B"/>
    <w:rsid w:val="00D129CB"/>
    <w:rsid w:val="00D16A04"/>
    <w:rsid w:val="00D27C17"/>
    <w:rsid w:val="00D41B89"/>
    <w:rsid w:val="00D47F27"/>
    <w:rsid w:val="00D5541F"/>
    <w:rsid w:val="00D57923"/>
    <w:rsid w:val="00D66387"/>
    <w:rsid w:val="00D741B6"/>
    <w:rsid w:val="00D74BD0"/>
    <w:rsid w:val="00D74FED"/>
    <w:rsid w:val="00D75A81"/>
    <w:rsid w:val="00D7761F"/>
    <w:rsid w:val="00D86806"/>
    <w:rsid w:val="00D86C35"/>
    <w:rsid w:val="00DB04FB"/>
    <w:rsid w:val="00DB6DFF"/>
    <w:rsid w:val="00DC003F"/>
    <w:rsid w:val="00DE72B3"/>
    <w:rsid w:val="00DF4668"/>
    <w:rsid w:val="00E00172"/>
    <w:rsid w:val="00E0533A"/>
    <w:rsid w:val="00E0701A"/>
    <w:rsid w:val="00E131D1"/>
    <w:rsid w:val="00E17AA0"/>
    <w:rsid w:val="00E2655B"/>
    <w:rsid w:val="00E311AB"/>
    <w:rsid w:val="00E358BF"/>
    <w:rsid w:val="00E36EC8"/>
    <w:rsid w:val="00E51146"/>
    <w:rsid w:val="00E512A9"/>
    <w:rsid w:val="00E54AF9"/>
    <w:rsid w:val="00E5624E"/>
    <w:rsid w:val="00E601D4"/>
    <w:rsid w:val="00E64C88"/>
    <w:rsid w:val="00E7179D"/>
    <w:rsid w:val="00E74832"/>
    <w:rsid w:val="00E81B04"/>
    <w:rsid w:val="00E820C5"/>
    <w:rsid w:val="00E87550"/>
    <w:rsid w:val="00E9413F"/>
    <w:rsid w:val="00E973D2"/>
    <w:rsid w:val="00EA0745"/>
    <w:rsid w:val="00EC7C64"/>
    <w:rsid w:val="00ED00D6"/>
    <w:rsid w:val="00EE26DC"/>
    <w:rsid w:val="00EE3FF1"/>
    <w:rsid w:val="00EE5816"/>
    <w:rsid w:val="00F03292"/>
    <w:rsid w:val="00F0565C"/>
    <w:rsid w:val="00F121AE"/>
    <w:rsid w:val="00F15852"/>
    <w:rsid w:val="00F23F4B"/>
    <w:rsid w:val="00F462F0"/>
    <w:rsid w:val="00F46C50"/>
    <w:rsid w:val="00F56CD7"/>
    <w:rsid w:val="00F60B61"/>
    <w:rsid w:val="00F66E89"/>
    <w:rsid w:val="00F67822"/>
    <w:rsid w:val="00F70621"/>
    <w:rsid w:val="00F74182"/>
    <w:rsid w:val="00F7607A"/>
    <w:rsid w:val="00F8517B"/>
    <w:rsid w:val="00F90250"/>
    <w:rsid w:val="00F91395"/>
    <w:rsid w:val="00F961D7"/>
    <w:rsid w:val="00F97A2B"/>
    <w:rsid w:val="00FA0CA3"/>
    <w:rsid w:val="00FA3BC5"/>
    <w:rsid w:val="00FA40FE"/>
    <w:rsid w:val="00FB08DC"/>
    <w:rsid w:val="00FB0D30"/>
    <w:rsid w:val="00FB1AE0"/>
    <w:rsid w:val="00FB34C2"/>
    <w:rsid w:val="00FB42F5"/>
    <w:rsid w:val="00FD76E1"/>
    <w:rsid w:val="00FE0970"/>
    <w:rsid w:val="00FF3F3A"/>
    <w:rsid w:val="00FF400F"/>
    <w:rsid w:val="01064C9A"/>
    <w:rsid w:val="010B7A7E"/>
    <w:rsid w:val="01303AC5"/>
    <w:rsid w:val="013E61E2"/>
    <w:rsid w:val="014F4893"/>
    <w:rsid w:val="01554610"/>
    <w:rsid w:val="01781929"/>
    <w:rsid w:val="017C564F"/>
    <w:rsid w:val="01877B89"/>
    <w:rsid w:val="019E3125"/>
    <w:rsid w:val="01BA39DE"/>
    <w:rsid w:val="01CA216C"/>
    <w:rsid w:val="01D0068D"/>
    <w:rsid w:val="01D775B9"/>
    <w:rsid w:val="01DD3C4D"/>
    <w:rsid w:val="02026E30"/>
    <w:rsid w:val="02132174"/>
    <w:rsid w:val="02186A33"/>
    <w:rsid w:val="022278B2"/>
    <w:rsid w:val="023130F5"/>
    <w:rsid w:val="024737BC"/>
    <w:rsid w:val="024C2B81"/>
    <w:rsid w:val="026D3223"/>
    <w:rsid w:val="028265A2"/>
    <w:rsid w:val="028604AE"/>
    <w:rsid w:val="028B75EF"/>
    <w:rsid w:val="028D5673"/>
    <w:rsid w:val="02922C89"/>
    <w:rsid w:val="029D33DC"/>
    <w:rsid w:val="02AD3196"/>
    <w:rsid w:val="02C44E0D"/>
    <w:rsid w:val="02C81E26"/>
    <w:rsid w:val="02C9326F"/>
    <w:rsid w:val="02DA63DE"/>
    <w:rsid w:val="02DF39F5"/>
    <w:rsid w:val="02EF5EA2"/>
    <w:rsid w:val="03200295"/>
    <w:rsid w:val="0359140E"/>
    <w:rsid w:val="0361440A"/>
    <w:rsid w:val="036D7252"/>
    <w:rsid w:val="03747EC0"/>
    <w:rsid w:val="03922815"/>
    <w:rsid w:val="03990047"/>
    <w:rsid w:val="03A639D9"/>
    <w:rsid w:val="03AF1619"/>
    <w:rsid w:val="03B7227C"/>
    <w:rsid w:val="03C07382"/>
    <w:rsid w:val="03C350C4"/>
    <w:rsid w:val="03D41080"/>
    <w:rsid w:val="03DB06E3"/>
    <w:rsid w:val="03E07A24"/>
    <w:rsid w:val="03E2554B"/>
    <w:rsid w:val="03E30F7F"/>
    <w:rsid w:val="03EA08A3"/>
    <w:rsid w:val="03F62DA4"/>
    <w:rsid w:val="04001E75"/>
    <w:rsid w:val="040E4592"/>
    <w:rsid w:val="04293179"/>
    <w:rsid w:val="043833BC"/>
    <w:rsid w:val="04446205"/>
    <w:rsid w:val="04506958"/>
    <w:rsid w:val="045126D0"/>
    <w:rsid w:val="045336A3"/>
    <w:rsid w:val="045D72C7"/>
    <w:rsid w:val="045F303F"/>
    <w:rsid w:val="04820ADC"/>
    <w:rsid w:val="04893C18"/>
    <w:rsid w:val="04951C17"/>
    <w:rsid w:val="049F343C"/>
    <w:rsid w:val="04B14F1D"/>
    <w:rsid w:val="04F01EE9"/>
    <w:rsid w:val="04F574FF"/>
    <w:rsid w:val="05025778"/>
    <w:rsid w:val="052E656D"/>
    <w:rsid w:val="053A4F12"/>
    <w:rsid w:val="053F247C"/>
    <w:rsid w:val="05595CE0"/>
    <w:rsid w:val="057C377D"/>
    <w:rsid w:val="057E74F5"/>
    <w:rsid w:val="05810D93"/>
    <w:rsid w:val="05812B41"/>
    <w:rsid w:val="05962A91"/>
    <w:rsid w:val="05AA653C"/>
    <w:rsid w:val="05B362B9"/>
    <w:rsid w:val="05C2565F"/>
    <w:rsid w:val="05C72C4A"/>
    <w:rsid w:val="05CB2336"/>
    <w:rsid w:val="05D15877"/>
    <w:rsid w:val="05D215EF"/>
    <w:rsid w:val="05D2339D"/>
    <w:rsid w:val="05D37841"/>
    <w:rsid w:val="05E530D0"/>
    <w:rsid w:val="05EA4B8A"/>
    <w:rsid w:val="05FD48BE"/>
    <w:rsid w:val="060E6ACB"/>
    <w:rsid w:val="06231E4A"/>
    <w:rsid w:val="06253E14"/>
    <w:rsid w:val="0633208D"/>
    <w:rsid w:val="063A16EC"/>
    <w:rsid w:val="063B53E6"/>
    <w:rsid w:val="06411235"/>
    <w:rsid w:val="065B7836"/>
    <w:rsid w:val="06856661"/>
    <w:rsid w:val="069114AA"/>
    <w:rsid w:val="0698763E"/>
    <w:rsid w:val="06A66D03"/>
    <w:rsid w:val="06AE7966"/>
    <w:rsid w:val="06AF6DD1"/>
    <w:rsid w:val="06B07B82"/>
    <w:rsid w:val="06B64A6C"/>
    <w:rsid w:val="06DD649D"/>
    <w:rsid w:val="06E8731C"/>
    <w:rsid w:val="06ED4932"/>
    <w:rsid w:val="06F04422"/>
    <w:rsid w:val="07046BC9"/>
    <w:rsid w:val="07047ECE"/>
    <w:rsid w:val="071C5217"/>
    <w:rsid w:val="071D4AEC"/>
    <w:rsid w:val="07210A39"/>
    <w:rsid w:val="072242D3"/>
    <w:rsid w:val="072440CC"/>
    <w:rsid w:val="0737795B"/>
    <w:rsid w:val="073F4A62"/>
    <w:rsid w:val="07442078"/>
    <w:rsid w:val="07585B24"/>
    <w:rsid w:val="07600921"/>
    <w:rsid w:val="078A2181"/>
    <w:rsid w:val="07941252"/>
    <w:rsid w:val="07B54D24"/>
    <w:rsid w:val="07E51AAD"/>
    <w:rsid w:val="07EA70C4"/>
    <w:rsid w:val="081E0B1B"/>
    <w:rsid w:val="08534C69"/>
    <w:rsid w:val="085D7896"/>
    <w:rsid w:val="08687FE8"/>
    <w:rsid w:val="08935065"/>
    <w:rsid w:val="08997D8A"/>
    <w:rsid w:val="089A2898"/>
    <w:rsid w:val="08AD2074"/>
    <w:rsid w:val="08D306C7"/>
    <w:rsid w:val="08D538D0"/>
    <w:rsid w:val="08D77648"/>
    <w:rsid w:val="08E04023"/>
    <w:rsid w:val="08F2265D"/>
    <w:rsid w:val="09077801"/>
    <w:rsid w:val="090C1F60"/>
    <w:rsid w:val="091C32AD"/>
    <w:rsid w:val="0920407D"/>
    <w:rsid w:val="09212671"/>
    <w:rsid w:val="0926010A"/>
    <w:rsid w:val="093D1475"/>
    <w:rsid w:val="093F343F"/>
    <w:rsid w:val="09412D13"/>
    <w:rsid w:val="095B3C9B"/>
    <w:rsid w:val="095E1B17"/>
    <w:rsid w:val="09664528"/>
    <w:rsid w:val="09704318"/>
    <w:rsid w:val="09AC1C5B"/>
    <w:rsid w:val="09B039F5"/>
    <w:rsid w:val="09BD105E"/>
    <w:rsid w:val="09CE174C"/>
    <w:rsid w:val="09EA6F07"/>
    <w:rsid w:val="09EB2C7F"/>
    <w:rsid w:val="09FE29B2"/>
    <w:rsid w:val="0A140428"/>
    <w:rsid w:val="0A1C108A"/>
    <w:rsid w:val="0A2148F3"/>
    <w:rsid w:val="0A2C5771"/>
    <w:rsid w:val="0A391C3C"/>
    <w:rsid w:val="0A3D172D"/>
    <w:rsid w:val="0A3E680D"/>
    <w:rsid w:val="0A44688F"/>
    <w:rsid w:val="0A6749FB"/>
    <w:rsid w:val="0A740EC6"/>
    <w:rsid w:val="0A7964DD"/>
    <w:rsid w:val="0A825391"/>
    <w:rsid w:val="0A9D29C6"/>
    <w:rsid w:val="0A9F4195"/>
    <w:rsid w:val="0AAB338B"/>
    <w:rsid w:val="0AB47859"/>
    <w:rsid w:val="0AD6392F"/>
    <w:rsid w:val="0AD656DD"/>
    <w:rsid w:val="0AD83203"/>
    <w:rsid w:val="0AEF054D"/>
    <w:rsid w:val="0AF049F1"/>
    <w:rsid w:val="0B05734A"/>
    <w:rsid w:val="0B08583F"/>
    <w:rsid w:val="0B095AB3"/>
    <w:rsid w:val="0B0E131B"/>
    <w:rsid w:val="0B115FB9"/>
    <w:rsid w:val="0B1A381C"/>
    <w:rsid w:val="0B265A74"/>
    <w:rsid w:val="0B352404"/>
    <w:rsid w:val="0B3550F2"/>
    <w:rsid w:val="0B376893"/>
    <w:rsid w:val="0B381EF4"/>
    <w:rsid w:val="0B386398"/>
    <w:rsid w:val="0B391F35"/>
    <w:rsid w:val="0B3A0D5F"/>
    <w:rsid w:val="0B3A3EBE"/>
    <w:rsid w:val="0B460AB5"/>
    <w:rsid w:val="0B536D2E"/>
    <w:rsid w:val="0B5C2086"/>
    <w:rsid w:val="0B674587"/>
    <w:rsid w:val="0B6A776A"/>
    <w:rsid w:val="0B6E5916"/>
    <w:rsid w:val="0BB24C22"/>
    <w:rsid w:val="0BBE064B"/>
    <w:rsid w:val="0BD87233"/>
    <w:rsid w:val="0BF0642E"/>
    <w:rsid w:val="0BF202F5"/>
    <w:rsid w:val="0BFE313E"/>
    <w:rsid w:val="0C02649C"/>
    <w:rsid w:val="0C0B25B3"/>
    <w:rsid w:val="0C104C1F"/>
    <w:rsid w:val="0C1E6205"/>
    <w:rsid w:val="0C28640C"/>
    <w:rsid w:val="0C3C5A14"/>
    <w:rsid w:val="0C5A4DAC"/>
    <w:rsid w:val="0C5E47B4"/>
    <w:rsid w:val="0C8A677F"/>
    <w:rsid w:val="0CB24D02"/>
    <w:rsid w:val="0CC04897"/>
    <w:rsid w:val="0CD12600"/>
    <w:rsid w:val="0CD520F0"/>
    <w:rsid w:val="0CD67C16"/>
    <w:rsid w:val="0CD81BE1"/>
    <w:rsid w:val="0CE0512D"/>
    <w:rsid w:val="0CFB142B"/>
    <w:rsid w:val="0D0C53E6"/>
    <w:rsid w:val="0D2210AE"/>
    <w:rsid w:val="0D466B4A"/>
    <w:rsid w:val="0D496892"/>
    <w:rsid w:val="0D511F69"/>
    <w:rsid w:val="0D611BD6"/>
    <w:rsid w:val="0D65319A"/>
    <w:rsid w:val="0D865A79"/>
    <w:rsid w:val="0D95205B"/>
    <w:rsid w:val="0D957AD2"/>
    <w:rsid w:val="0D9D0734"/>
    <w:rsid w:val="0DA11FD2"/>
    <w:rsid w:val="0DA90E87"/>
    <w:rsid w:val="0DB74AC1"/>
    <w:rsid w:val="0DC061BD"/>
    <w:rsid w:val="0DD73C46"/>
    <w:rsid w:val="0DEF71E2"/>
    <w:rsid w:val="0E06277D"/>
    <w:rsid w:val="0E0D58BA"/>
    <w:rsid w:val="0E0F1632"/>
    <w:rsid w:val="0E19425F"/>
    <w:rsid w:val="0E237412"/>
    <w:rsid w:val="0E2449B2"/>
    <w:rsid w:val="0E342E47"/>
    <w:rsid w:val="0E460DCC"/>
    <w:rsid w:val="0E653000"/>
    <w:rsid w:val="0E6D45AA"/>
    <w:rsid w:val="0E707BF7"/>
    <w:rsid w:val="0E72396F"/>
    <w:rsid w:val="0E796AAB"/>
    <w:rsid w:val="0E7B2A67"/>
    <w:rsid w:val="0E7C0027"/>
    <w:rsid w:val="0E7E0566"/>
    <w:rsid w:val="0E7F6315"/>
    <w:rsid w:val="0E8D07A9"/>
    <w:rsid w:val="0EB36461"/>
    <w:rsid w:val="0EB45D35"/>
    <w:rsid w:val="0EBD75FE"/>
    <w:rsid w:val="0ECA5559"/>
    <w:rsid w:val="0ED87C76"/>
    <w:rsid w:val="0EF600FC"/>
    <w:rsid w:val="0EF6634E"/>
    <w:rsid w:val="0EFB3964"/>
    <w:rsid w:val="0F143ABE"/>
    <w:rsid w:val="0F1B5913"/>
    <w:rsid w:val="0F4C0664"/>
    <w:rsid w:val="0F5337A0"/>
    <w:rsid w:val="0F5A425D"/>
    <w:rsid w:val="0F706100"/>
    <w:rsid w:val="0F711E78"/>
    <w:rsid w:val="0F7B24F3"/>
    <w:rsid w:val="0F917E25"/>
    <w:rsid w:val="0F96368D"/>
    <w:rsid w:val="0F9D4A1B"/>
    <w:rsid w:val="0F9F3B85"/>
    <w:rsid w:val="0FA062BA"/>
    <w:rsid w:val="0FA638D0"/>
    <w:rsid w:val="0FB35FED"/>
    <w:rsid w:val="0FD33C3D"/>
    <w:rsid w:val="0FE8213B"/>
    <w:rsid w:val="0FF52AA9"/>
    <w:rsid w:val="0FF860F6"/>
    <w:rsid w:val="0FF94348"/>
    <w:rsid w:val="0FFF1232"/>
    <w:rsid w:val="10047D52"/>
    <w:rsid w:val="10086339"/>
    <w:rsid w:val="10150A56"/>
    <w:rsid w:val="10240C99"/>
    <w:rsid w:val="102723E9"/>
    <w:rsid w:val="102B566C"/>
    <w:rsid w:val="104841C5"/>
    <w:rsid w:val="105B3EF5"/>
    <w:rsid w:val="105E5DB4"/>
    <w:rsid w:val="107439CE"/>
    <w:rsid w:val="10861954"/>
    <w:rsid w:val="1090632E"/>
    <w:rsid w:val="10945E1E"/>
    <w:rsid w:val="10A92DD3"/>
    <w:rsid w:val="10BD54A5"/>
    <w:rsid w:val="10BF4663"/>
    <w:rsid w:val="10C55FD8"/>
    <w:rsid w:val="10F1501F"/>
    <w:rsid w:val="10F845FF"/>
    <w:rsid w:val="1103023A"/>
    <w:rsid w:val="11036B00"/>
    <w:rsid w:val="11082369"/>
    <w:rsid w:val="1134315E"/>
    <w:rsid w:val="11357D2A"/>
    <w:rsid w:val="113849FC"/>
    <w:rsid w:val="113A4C18"/>
    <w:rsid w:val="11421E5E"/>
    <w:rsid w:val="11422FE1"/>
    <w:rsid w:val="116E48C1"/>
    <w:rsid w:val="11845E93"/>
    <w:rsid w:val="11867E5D"/>
    <w:rsid w:val="11877731"/>
    <w:rsid w:val="11967974"/>
    <w:rsid w:val="11A2456B"/>
    <w:rsid w:val="11AE5258"/>
    <w:rsid w:val="11CC3396"/>
    <w:rsid w:val="11D01A8C"/>
    <w:rsid w:val="11DF30C9"/>
    <w:rsid w:val="11FA6155"/>
    <w:rsid w:val="12130FC5"/>
    <w:rsid w:val="121C60CC"/>
    <w:rsid w:val="1222745A"/>
    <w:rsid w:val="12371157"/>
    <w:rsid w:val="127001C5"/>
    <w:rsid w:val="127759F8"/>
    <w:rsid w:val="127A0C92"/>
    <w:rsid w:val="127F48AC"/>
    <w:rsid w:val="128819B3"/>
    <w:rsid w:val="128F2D41"/>
    <w:rsid w:val="12942106"/>
    <w:rsid w:val="129E4D32"/>
    <w:rsid w:val="12A548F1"/>
    <w:rsid w:val="12B91B6C"/>
    <w:rsid w:val="12BA7692"/>
    <w:rsid w:val="12EF558E"/>
    <w:rsid w:val="12F9640D"/>
    <w:rsid w:val="13021765"/>
    <w:rsid w:val="13037AFF"/>
    <w:rsid w:val="13180760"/>
    <w:rsid w:val="132A4818"/>
    <w:rsid w:val="13456351"/>
    <w:rsid w:val="134C0C32"/>
    <w:rsid w:val="13541895"/>
    <w:rsid w:val="135C37D3"/>
    <w:rsid w:val="135D4BEE"/>
    <w:rsid w:val="137B79E1"/>
    <w:rsid w:val="13833F28"/>
    <w:rsid w:val="13BA0375"/>
    <w:rsid w:val="13E470BD"/>
    <w:rsid w:val="13E7095B"/>
    <w:rsid w:val="13E83E5F"/>
    <w:rsid w:val="13F85AEA"/>
    <w:rsid w:val="14002996"/>
    <w:rsid w:val="14065285"/>
    <w:rsid w:val="14157276"/>
    <w:rsid w:val="14456D19"/>
    <w:rsid w:val="144731A8"/>
    <w:rsid w:val="14524026"/>
    <w:rsid w:val="14717C9A"/>
    <w:rsid w:val="147F2942"/>
    <w:rsid w:val="14861FBB"/>
    <w:rsid w:val="14991C55"/>
    <w:rsid w:val="14AF7789"/>
    <w:rsid w:val="14C14C23"/>
    <w:rsid w:val="14C41AA0"/>
    <w:rsid w:val="14D50D33"/>
    <w:rsid w:val="14DA401C"/>
    <w:rsid w:val="14EA0703"/>
    <w:rsid w:val="14EF1875"/>
    <w:rsid w:val="150F669C"/>
    <w:rsid w:val="151E65FF"/>
    <w:rsid w:val="1537321C"/>
    <w:rsid w:val="154020D1"/>
    <w:rsid w:val="157B7F4A"/>
    <w:rsid w:val="1585042C"/>
    <w:rsid w:val="15A308B2"/>
    <w:rsid w:val="15A840F3"/>
    <w:rsid w:val="15AE1730"/>
    <w:rsid w:val="15B11221"/>
    <w:rsid w:val="15BB5BFB"/>
    <w:rsid w:val="15E37F2A"/>
    <w:rsid w:val="15FB249C"/>
    <w:rsid w:val="15FF3D3A"/>
    <w:rsid w:val="16383AE2"/>
    <w:rsid w:val="16565924"/>
    <w:rsid w:val="16571DC8"/>
    <w:rsid w:val="16646293"/>
    <w:rsid w:val="16685D83"/>
    <w:rsid w:val="167C182F"/>
    <w:rsid w:val="167C538B"/>
    <w:rsid w:val="167D1103"/>
    <w:rsid w:val="167D2FDD"/>
    <w:rsid w:val="16AE5760"/>
    <w:rsid w:val="16AE750E"/>
    <w:rsid w:val="16AF2A39"/>
    <w:rsid w:val="16B40FC8"/>
    <w:rsid w:val="16BC1C2B"/>
    <w:rsid w:val="16BD0A63"/>
    <w:rsid w:val="16C46D32"/>
    <w:rsid w:val="16E3540A"/>
    <w:rsid w:val="16E442B3"/>
    <w:rsid w:val="16ED44DA"/>
    <w:rsid w:val="1711641B"/>
    <w:rsid w:val="1719707D"/>
    <w:rsid w:val="17215F32"/>
    <w:rsid w:val="172872C1"/>
    <w:rsid w:val="17457E73"/>
    <w:rsid w:val="174F6F43"/>
    <w:rsid w:val="175814CF"/>
    <w:rsid w:val="176821F4"/>
    <w:rsid w:val="177E1C86"/>
    <w:rsid w:val="178416E1"/>
    <w:rsid w:val="17944956"/>
    <w:rsid w:val="179B7A92"/>
    <w:rsid w:val="17AD05E9"/>
    <w:rsid w:val="17AD77C6"/>
    <w:rsid w:val="17B62B1E"/>
    <w:rsid w:val="17CB7119"/>
    <w:rsid w:val="17DB67AF"/>
    <w:rsid w:val="18041ADC"/>
    <w:rsid w:val="18495740"/>
    <w:rsid w:val="185A794E"/>
    <w:rsid w:val="188350F6"/>
    <w:rsid w:val="18891474"/>
    <w:rsid w:val="188D3225"/>
    <w:rsid w:val="188E6B63"/>
    <w:rsid w:val="188F0B1E"/>
    <w:rsid w:val="18AA5B83"/>
    <w:rsid w:val="18C272A1"/>
    <w:rsid w:val="18D314AE"/>
    <w:rsid w:val="18DA283C"/>
    <w:rsid w:val="18E831AB"/>
    <w:rsid w:val="18F90F15"/>
    <w:rsid w:val="192D6E10"/>
    <w:rsid w:val="19373862"/>
    <w:rsid w:val="193D1CBA"/>
    <w:rsid w:val="194D300E"/>
    <w:rsid w:val="19520625"/>
    <w:rsid w:val="19526877"/>
    <w:rsid w:val="19856C4C"/>
    <w:rsid w:val="199665EC"/>
    <w:rsid w:val="19BE7C49"/>
    <w:rsid w:val="19CC03D7"/>
    <w:rsid w:val="19D2300F"/>
    <w:rsid w:val="19EC5173"/>
    <w:rsid w:val="19F872A0"/>
    <w:rsid w:val="1A1D63D7"/>
    <w:rsid w:val="1A352420"/>
    <w:rsid w:val="1A377809"/>
    <w:rsid w:val="1A3B37AF"/>
    <w:rsid w:val="1A452ACF"/>
    <w:rsid w:val="1A512FD2"/>
    <w:rsid w:val="1A5D54D3"/>
    <w:rsid w:val="1A78612C"/>
    <w:rsid w:val="1AA232C9"/>
    <w:rsid w:val="1AD25EC1"/>
    <w:rsid w:val="1ADA2FC8"/>
    <w:rsid w:val="1AE259D8"/>
    <w:rsid w:val="1AE35507"/>
    <w:rsid w:val="1AEB2ADF"/>
    <w:rsid w:val="1AF04599"/>
    <w:rsid w:val="1AFB7651"/>
    <w:rsid w:val="1AFC1190"/>
    <w:rsid w:val="1B2129A5"/>
    <w:rsid w:val="1B3B1964"/>
    <w:rsid w:val="1B3E3557"/>
    <w:rsid w:val="1B4C2B0C"/>
    <w:rsid w:val="1B5E7755"/>
    <w:rsid w:val="1B636B19"/>
    <w:rsid w:val="1B6805D3"/>
    <w:rsid w:val="1B7E1468"/>
    <w:rsid w:val="1B825739"/>
    <w:rsid w:val="1B83540D"/>
    <w:rsid w:val="1BA62EAA"/>
    <w:rsid w:val="1BBF7F21"/>
    <w:rsid w:val="1BC17CE4"/>
    <w:rsid w:val="1BCC0B62"/>
    <w:rsid w:val="1BDD4B1E"/>
    <w:rsid w:val="1BE35EAC"/>
    <w:rsid w:val="1BE718C7"/>
    <w:rsid w:val="1BF43C15"/>
    <w:rsid w:val="1C146065"/>
    <w:rsid w:val="1C1B73F4"/>
    <w:rsid w:val="1C2F10F1"/>
    <w:rsid w:val="1C3B1844"/>
    <w:rsid w:val="1C406E5A"/>
    <w:rsid w:val="1C495921"/>
    <w:rsid w:val="1C744D56"/>
    <w:rsid w:val="1C7A6810"/>
    <w:rsid w:val="1C7B7E93"/>
    <w:rsid w:val="1C7D1E5D"/>
    <w:rsid w:val="1C8036FB"/>
    <w:rsid w:val="1C9C6787"/>
    <w:rsid w:val="1CD770EC"/>
    <w:rsid w:val="1CE43C8A"/>
    <w:rsid w:val="1D183933"/>
    <w:rsid w:val="1D210A3A"/>
    <w:rsid w:val="1D3764AF"/>
    <w:rsid w:val="1D4F5570"/>
    <w:rsid w:val="1D5E1C8E"/>
    <w:rsid w:val="1D61177E"/>
    <w:rsid w:val="1D7E7C3A"/>
    <w:rsid w:val="1D8D4321"/>
    <w:rsid w:val="1D9C27B6"/>
    <w:rsid w:val="1DA2662B"/>
    <w:rsid w:val="1DA35CDF"/>
    <w:rsid w:val="1DAA4ED3"/>
    <w:rsid w:val="1DC615E1"/>
    <w:rsid w:val="1DC835AB"/>
    <w:rsid w:val="1DF95513"/>
    <w:rsid w:val="1DFD14A7"/>
    <w:rsid w:val="1E037E3E"/>
    <w:rsid w:val="1E2F7187"/>
    <w:rsid w:val="1E340C41"/>
    <w:rsid w:val="1E401394"/>
    <w:rsid w:val="1E403BB4"/>
    <w:rsid w:val="1E435EE1"/>
    <w:rsid w:val="1E4A2212"/>
    <w:rsid w:val="1E6908EA"/>
    <w:rsid w:val="1E766B63"/>
    <w:rsid w:val="1E8A6AB3"/>
    <w:rsid w:val="1E8C45D9"/>
    <w:rsid w:val="1E9B2A6E"/>
    <w:rsid w:val="1E9F430C"/>
    <w:rsid w:val="1EAF02C7"/>
    <w:rsid w:val="1EBA1146"/>
    <w:rsid w:val="1EBA40DD"/>
    <w:rsid w:val="1EC73863"/>
    <w:rsid w:val="1ED46823"/>
    <w:rsid w:val="1EDB24C3"/>
    <w:rsid w:val="1EDF295B"/>
    <w:rsid w:val="1EFF3AD1"/>
    <w:rsid w:val="1F046865"/>
    <w:rsid w:val="1F0B19A2"/>
    <w:rsid w:val="1F1D16D5"/>
    <w:rsid w:val="1F204D21"/>
    <w:rsid w:val="1F2760B0"/>
    <w:rsid w:val="1F460C2C"/>
    <w:rsid w:val="1F525822"/>
    <w:rsid w:val="1F564956"/>
    <w:rsid w:val="1F58270D"/>
    <w:rsid w:val="1F5F1CED"/>
    <w:rsid w:val="1F707A57"/>
    <w:rsid w:val="1F721A21"/>
    <w:rsid w:val="1F7237CF"/>
    <w:rsid w:val="1F770DE5"/>
    <w:rsid w:val="1F833C2E"/>
    <w:rsid w:val="1F890B18"/>
    <w:rsid w:val="1F8B5AF7"/>
    <w:rsid w:val="1F8D0609"/>
    <w:rsid w:val="1FB82BC8"/>
    <w:rsid w:val="1FBD7C1F"/>
    <w:rsid w:val="1FCA53B9"/>
    <w:rsid w:val="1FD47FE6"/>
    <w:rsid w:val="1FE31481"/>
    <w:rsid w:val="1FF16DE9"/>
    <w:rsid w:val="1FF468DA"/>
    <w:rsid w:val="1FFF7032"/>
    <w:rsid w:val="200F54C2"/>
    <w:rsid w:val="20167E2E"/>
    <w:rsid w:val="201B5C14"/>
    <w:rsid w:val="20254CE5"/>
    <w:rsid w:val="2039253E"/>
    <w:rsid w:val="204A02A8"/>
    <w:rsid w:val="2059498F"/>
    <w:rsid w:val="20690166"/>
    <w:rsid w:val="20766E26"/>
    <w:rsid w:val="20790B8D"/>
    <w:rsid w:val="20803CC9"/>
    <w:rsid w:val="209239FD"/>
    <w:rsid w:val="209459C7"/>
    <w:rsid w:val="20CC482F"/>
    <w:rsid w:val="20E97AC1"/>
    <w:rsid w:val="20EA2A65"/>
    <w:rsid w:val="20EF2BFD"/>
    <w:rsid w:val="20FF1092"/>
    <w:rsid w:val="210112AE"/>
    <w:rsid w:val="211F1734"/>
    <w:rsid w:val="21354AB4"/>
    <w:rsid w:val="214E2A84"/>
    <w:rsid w:val="21556257"/>
    <w:rsid w:val="215F4227"/>
    <w:rsid w:val="217F6677"/>
    <w:rsid w:val="21817CF9"/>
    <w:rsid w:val="21884BA0"/>
    <w:rsid w:val="219519F6"/>
    <w:rsid w:val="2197576F"/>
    <w:rsid w:val="219B1B95"/>
    <w:rsid w:val="21BA145D"/>
    <w:rsid w:val="21BF6A73"/>
    <w:rsid w:val="21C30312"/>
    <w:rsid w:val="21DD73FC"/>
    <w:rsid w:val="21DE15EF"/>
    <w:rsid w:val="21ED1832"/>
    <w:rsid w:val="21F26E49"/>
    <w:rsid w:val="21F7445F"/>
    <w:rsid w:val="220151E4"/>
    <w:rsid w:val="22032E04"/>
    <w:rsid w:val="22151646"/>
    <w:rsid w:val="2217240B"/>
    <w:rsid w:val="22196184"/>
    <w:rsid w:val="222039B6"/>
    <w:rsid w:val="222B5EB7"/>
    <w:rsid w:val="2237485C"/>
    <w:rsid w:val="223E3E3C"/>
    <w:rsid w:val="225B679C"/>
    <w:rsid w:val="226D730A"/>
    <w:rsid w:val="227635D6"/>
    <w:rsid w:val="22794E74"/>
    <w:rsid w:val="228D26CE"/>
    <w:rsid w:val="22AE1F9A"/>
    <w:rsid w:val="22BB723B"/>
    <w:rsid w:val="22C87E24"/>
    <w:rsid w:val="22C95DFC"/>
    <w:rsid w:val="22D327D6"/>
    <w:rsid w:val="22DB3114"/>
    <w:rsid w:val="22E22A19"/>
    <w:rsid w:val="22EC5F17"/>
    <w:rsid w:val="22EE06E2"/>
    <w:rsid w:val="22F015DA"/>
    <w:rsid w:val="22F8223D"/>
    <w:rsid w:val="22F84FC6"/>
    <w:rsid w:val="22FD3CF7"/>
    <w:rsid w:val="230230BC"/>
    <w:rsid w:val="23243032"/>
    <w:rsid w:val="232748D0"/>
    <w:rsid w:val="235A0EEE"/>
    <w:rsid w:val="235C6C70"/>
    <w:rsid w:val="23614286"/>
    <w:rsid w:val="23712585"/>
    <w:rsid w:val="23874B8C"/>
    <w:rsid w:val="23A61E5A"/>
    <w:rsid w:val="23C92C2A"/>
    <w:rsid w:val="23C93BD9"/>
    <w:rsid w:val="242B03F0"/>
    <w:rsid w:val="243472A5"/>
    <w:rsid w:val="2440076D"/>
    <w:rsid w:val="249935AC"/>
    <w:rsid w:val="249E6E14"/>
    <w:rsid w:val="24A563F4"/>
    <w:rsid w:val="24B228BF"/>
    <w:rsid w:val="24CA5E5B"/>
    <w:rsid w:val="24D171E9"/>
    <w:rsid w:val="24EF141E"/>
    <w:rsid w:val="25034EC9"/>
    <w:rsid w:val="250C0222"/>
    <w:rsid w:val="25323DC4"/>
    <w:rsid w:val="25461985"/>
    <w:rsid w:val="25586D6C"/>
    <w:rsid w:val="256516E0"/>
    <w:rsid w:val="256B319A"/>
    <w:rsid w:val="25781413"/>
    <w:rsid w:val="257858B7"/>
    <w:rsid w:val="258B383C"/>
    <w:rsid w:val="259124D5"/>
    <w:rsid w:val="259455FA"/>
    <w:rsid w:val="259C15A5"/>
    <w:rsid w:val="259F4BF2"/>
    <w:rsid w:val="25A246E2"/>
    <w:rsid w:val="25AD5EB4"/>
    <w:rsid w:val="25B662E5"/>
    <w:rsid w:val="25BF5294"/>
    <w:rsid w:val="25C2759F"/>
    <w:rsid w:val="25C420BE"/>
    <w:rsid w:val="25C56306"/>
    <w:rsid w:val="25C63DCF"/>
    <w:rsid w:val="25C74149"/>
    <w:rsid w:val="25DE267C"/>
    <w:rsid w:val="25E46AA9"/>
    <w:rsid w:val="25E642BC"/>
    <w:rsid w:val="25E66CC5"/>
    <w:rsid w:val="25FA62CC"/>
    <w:rsid w:val="26143832"/>
    <w:rsid w:val="26207C3D"/>
    <w:rsid w:val="262275D1"/>
    <w:rsid w:val="26325A66"/>
    <w:rsid w:val="263712CE"/>
    <w:rsid w:val="26456C5F"/>
    <w:rsid w:val="26487037"/>
    <w:rsid w:val="264D6D44"/>
    <w:rsid w:val="26635DE5"/>
    <w:rsid w:val="269640B9"/>
    <w:rsid w:val="26977FBF"/>
    <w:rsid w:val="26A73F90"/>
    <w:rsid w:val="26AF355A"/>
    <w:rsid w:val="26B50445"/>
    <w:rsid w:val="26B54405"/>
    <w:rsid w:val="26B835BD"/>
    <w:rsid w:val="26BC17D3"/>
    <w:rsid w:val="26DC11F6"/>
    <w:rsid w:val="26EC191F"/>
    <w:rsid w:val="26F251F5"/>
    <w:rsid w:val="270C62B7"/>
    <w:rsid w:val="27223D2C"/>
    <w:rsid w:val="27473793"/>
    <w:rsid w:val="27642C26"/>
    <w:rsid w:val="27673C73"/>
    <w:rsid w:val="27677991"/>
    <w:rsid w:val="27802801"/>
    <w:rsid w:val="278A123C"/>
    <w:rsid w:val="2790513A"/>
    <w:rsid w:val="27963D10"/>
    <w:rsid w:val="27976201"/>
    <w:rsid w:val="279F537D"/>
    <w:rsid w:val="27AE55C0"/>
    <w:rsid w:val="27DF5779"/>
    <w:rsid w:val="280451E0"/>
    <w:rsid w:val="280E7BD2"/>
    <w:rsid w:val="28177609"/>
    <w:rsid w:val="28186EDD"/>
    <w:rsid w:val="281C077C"/>
    <w:rsid w:val="28247630"/>
    <w:rsid w:val="282615FA"/>
    <w:rsid w:val="282910EA"/>
    <w:rsid w:val="28396E4B"/>
    <w:rsid w:val="283E4B96"/>
    <w:rsid w:val="28414686"/>
    <w:rsid w:val="28447CD2"/>
    <w:rsid w:val="284B2E0F"/>
    <w:rsid w:val="284D6B87"/>
    <w:rsid w:val="28550131"/>
    <w:rsid w:val="28642123"/>
    <w:rsid w:val="28757E8C"/>
    <w:rsid w:val="287E4F92"/>
    <w:rsid w:val="288527C5"/>
    <w:rsid w:val="28AA0CC0"/>
    <w:rsid w:val="28B07116"/>
    <w:rsid w:val="28B9421C"/>
    <w:rsid w:val="28CB21A2"/>
    <w:rsid w:val="28CC2935"/>
    <w:rsid w:val="28E62B38"/>
    <w:rsid w:val="28E868B0"/>
    <w:rsid w:val="28F25980"/>
    <w:rsid w:val="28F96D0F"/>
    <w:rsid w:val="290673F2"/>
    <w:rsid w:val="290B7A2E"/>
    <w:rsid w:val="2944442E"/>
    <w:rsid w:val="294626C4"/>
    <w:rsid w:val="29493E9D"/>
    <w:rsid w:val="29606D8E"/>
    <w:rsid w:val="2964062C"/>
    <w:rsid w:val="29787C34"/>
    <w:rsid w:val="298131E9"/>
    <w:rsid w:val="298760C9"/>
    <w:rsid w:val="298C36DF"/>
    <w:rsid w:val="29927747"/>
    <w:rsid w:val="29AE7AF9"/>
    <w:rsid w:val="29C54E43"/>
    <w:rsid w:val="29C9048F"/>
    <w:rsid w:val="29CB06AB"/>
    <w:rsid w:val="29DF4157"/>
    <w:rsid w:val="29FA689B"/>
    <w:rsid w:val="2A007C29"/>
    <w:rsid w:val="2A0108B7"/>
    <w:rsid w:val="2A04596B"/>
    <w:rsid w:val="2A133E00"/>
    <w:rsid w:val="2A1536D4"/>
    <w:rsid w:val="2A1A0CEB"/>
    <w:rsid w:val="2A202079"/>
    <w:rsid w:val="2A2E4796"/>
    <w:rsid w:val="2A500BB0"/>
    <w:rsid w:val="2A506E02"/>
    <w:rsid w:val="2A524929"/>
    <w:rsid w:val="2A5C57A7"/>
    <w:rsid w:val="2A6B3832"/>
    <w:rsid w:val="2A88659C"/>
    <w:rsid w:val="2A906CB5"/>
    <w:rsid w:val="2A954815"/>
    <w:rsid w:val="2ABE1FBE"/>
    <w:rsid w:val="2AD0584D"/>
    <w:rsid w:val="2AEE4B12"/>
    <w:rsid w:val="2AFE685E"/>
    <w:rsid w:val="2B057BED"/>
    <w:rsid w:val="2B060A50"/>
    <w:rsid w:val="2B0A5203"/>
    <w:rsid w:val="2B116592"/>
    <w:rsid w:val="2B193698"/>
    <w:rsid w:val="2B1B1B92"/>
    <w:rsid w:val="2B1C4F36"/>
    <w:rsid w:val="2B2160A9"/>
    <w:rsid w:val="2B400C25"/>
    <w:rsid w:val="2B4714A0"/>
    <w:rsid w:val="2B471FB3"/>
    <w:rsid w:val="2B606BD1"/>
    <w:rsid w:val="2B612949"/>
    <w:rsid w:val="2B6C5576"/>
    <w:rsid w:val="2B717030"/>
    <w:rsid w:val="2B74267D"/>
    <w:rsid w:val="2B762899"/>
    <w:rsid w:val="2B7663F5"/>
    <w:rsid w:val="2B7E52A9"/>
    <w:rsid w:val="2BA50A88"/>
    <w:rsid w:val="2BAA2542"/>
    <w:rsid w:val="2BB60EE7"/>
    <w:rsid w:val="2BCA4992"/>
    <w:rsid w:val="2BE035C8"/>
    <w:rsid w:val="2BF24188"/>
    <w:rsid w:val="2BF65788"/>
    <w:rsid w:val="2BFD08C4"/>
    <w:rsid w:val="2C235EB7"/>
    <w:rsid w:val="2C2B5431"/>
    <w:rsid w:val="2C610E53"/>
    <w:rsid w:val="2C6646BB"/>
    <w:rsid w:val="2C9C1E8B"/>
    <w:rsid w:val="2C9E3E55"/>
    <w:rsid w:val="2C9F3729"/>
    <w:rsid w:val="2CA91A51"/>
    <w:rsid w:val="2CAF267A"/>
    <w:rsid w:val="2CBE197F"/>
    <w:rsid w:val="2CCB6C14"/>
    <w:rsid w:val="2CE51A84"/>
    <w:rsid w:val="2CE90E48"/>
    <w:rsid w:val="2CED0939"/>
    <w:rsid w:val="2CF27CFD"/>
    <w:rsid w:val="2CF577ED"/>
    <w:rsid w:val="2CFA3055"/>
    <w:rsid w:val="2D012636"/>
    <w:rsid w:val="2D016C6B"/>
    <w:rsid w:val="2D0D2D89"/>
    <w:rsid w:val="2D2B1461"/>
    <w:rsid w:val="2D2D1B91"/>
    <w:rsid w:val="2D3D0C04"/>
    <w:rsid w:val="2D5B7F98"/>
    <w:rsid w:val="2D68108A"/>
    <w:rsid w:val="2D6A6CF3"/>
    <w:rsid w:val="2D8D7A26"/>
    <w:rsid w:val="2DB9081B"/>
    <w:rsid w:val="2DCE2518"/>
    <w:rsid w:val="2DD218DC"/>
    <w:rsid w:val="2DDB69E3"/>
    <w:rsid w:val="2DE735DA"/>
    <w:rsid w:val="2DEF7457"/>
    <w:rsid w:val="2E093AD9"/>
    <w:rsid w:val="2E0A0E72"/>
    <w:rsid w:val="2E277E7A"/>
    <w:rsid w:val="2E426A62"/>
    <w:rsid w:val="2E6B420B"/>
    <w:rsid w:val="2E6C48D9"/>
    <w:rsid w:val="2E7035CF"/>
    <w:rsid w:val="2E7B2FD1"/>
    <w:rsid w:val="2E7D3F3E"/>
    <w:rsid w:val="2E864BA1"/>
    <w:rsid w:val="2E8F4F19"/>
    <w:rsid w:val="2EA63495"/>
    <w:rsid w:val="2EB57234"/>
    <w:rsid w:val="2EBF00B3"/>
    <w:rsid w:val="2EC623F0"/>
    <w:rsid w:val="2EC8340B"/>
    <w:rsid w:val="2ED303B5"/>
    <w:rsid w:val="2EF35FAE"/>
    <w:rsid w:val="2EF91817"/>
    <w:rsid w:val="2EFA6A37"/>
    <w:rsid w:val="2F0E4B96"/>
    <w:rsid w:val="2F167CA6"/>
    <w:rsid w:val="2F242165"/>
    <w:rsid w:val="2F25260C"/>
    <w:rsid w:val="2F452CAE"/>
    <w:rsid w:val="2F474E65"/>
    <w:rsid w:val="2F4A3E20"/>
    <w:rsid w:val="2F5D70AC"/>
    <w:rsid w:val="2F671CE5"/>
    <w:rsid w:val="2F8A246F"/>
    <w:rsid w:val="2F8B61E7"/>
    <w:rsid w:val="2F904855"/>
    <w:rsid w:val="2FA33530"/>
    <w:rsid w:val="2FA36C75"/>
    <w:rsid w:val="2FB83480"/>
    <w:rsid w:val="2FBE036A"/>
    <w:rsid w:val="2FEA0C29"/>
    <w:rsid w:val="2FFA41B9"/>
    <w:rsid w:val="30030473"/>
    <w:rsid w:val="30077F63"/>
    <w:rsid w:val="301D6DE7"/>
    <w:rsid w:val="302428C3"/>
    <w:rsid w:val="30297EDA"/>
    <w:rsid w:val="303074BA"/>
    <w:rsid w:val="30370D29"/>
    <w:rsid w:val="30500B16"/>
    <w:rsid w:val="30601421"/>
    <w:rsid w:val="306929CC"/>
    <w:rsid w:val="30696528"/>
    <w:rsid w:val="306B405E"/>
    <w:rsid w:val="3071362F"/>
    <w:rsid w:val="307D2EFB"/>
    <w:rsid w:val="30832D34"/>
    <w:rsid w:val="308C4B30"/>
    <w:rsid w:val="309612E7"/>
    <w:rsid w:val="30B8300C"/>
    <w:rsid w:val="30C714A1"/>
    <w:rsid w:val="30D53BBD"/>
    <w:rsid w:val="30EB33E1"/>
    <w:rsid w:val="30F5600E"/>
    <w:rsid w:val="30FC114A"/>
    <w:rsid w:val="31012C04"/>
    <w:rsid w:val="310E0E7D"/>
    <w:rsid w:val="31104BF6"/>
    <w:rsid w:val="314A68DF"/>
    <w:rsid w:val="31774C75"/>
    <w:rsid w:val="317A6D88"/>
    <w:rsid w:val="317F1D7B"/>
    <w:rsid w:val="31943A79"/>
    <w:rsid w:val="319E66A5"/>
    <w:rsid w:val="31A737AC"/>
    <w:rsid w:val="31A812D2"/>
    <w:rsid w:val="31A87524"/>
    <w:rsid w:val="31B00187"/>
    <w:rsid w:val="31C0486E"/>
    <w:rsid w:val="31D200FD"/>
    <w:rsid w:val="31DB3455"/>
    <w:rsid w:val="31DE4CF4"/>
    <w:rsid w:val="31E56082"/>
    <w:rsid w:val="31E64732"/>
    <w:rsid w:val="31E651EC"/>
    <w:rsid w:val="31F84559"/>
    <w:rsid w:val="3207249C"/>
    <w:rsid w:val="320F4D4B"/>
    <w:rsid w:val="32140715"/>
    <w:rsid w:val="3236068C"/>
    <w:rsid w:val="324059AE"/>
    <w:rsid w:val="326351F9"/>
    <w:rsid w:val="32743B56"/>
    <w:rsid w:val="32766A06"/>
    <w:rsid w:val="327D078A"/>
    <w:rsid w:val="32834BDC"/>
    <w:rsid w:val="32933D30"/>
    <w:rsid w:val="32A7158A"/>
    <w:rsid w:val="32A81A27"/>
    <w:rsid w:val="32B31CDC"/>
    <w:rsid w:val="32B53CA7"/>
    <w:rsid w:val="32C75788"/>
    <w:rsid w:val="32E165BD"/>
    <w:rsid w:val="32FA3DAF"/>
    <w:rsid w:val="330469DC"/>
    <w:rsid w:val="33244988"/>
    <w:rsid w:val="33274478"/>
    <w:rsid w:val="332B3F69"/>
    <w:rsid w:val="334A3443"/>
    <w:rsid w:val="334F40FB"/>
    <w:rsid w:val="33641229"/>
    <w:rsid w:val="33704071"/>
    <w:rsid w:val="33857B1D"/>
    <w:rsid w:val="338673F1"/>
    <w:rsid w:val="339D48A3"/>
    <w:rsid w:val="33AC3A1C"/>
    <w:rsid w:val="33C74846"/>
    <w:rsid w:val="33CC574C"/>
    <w:rsid w:val="33CF6FEA"/>
    <w:rsid w:val="33F64577"/>
    <w:rsid w:val="34056568"/>
    <w:rsid w:val="342F2625"/>
    <w:rsid w:val="343E7CCC"/>
    <w:rsid w:val="34525525"/>
    <w:rsid w:val="346040E6"/>
    <w:rsid w:val="346131AE"/>
    <w:rsid w:val="34A0589E"/>
    <w:rsid w:val="34A67F96"/>
    <w:rsid w:val="34A9783B"/>
    <w:rsid w:val="34B0508B"/>
    <w:rsid w:val="34CC177B"/>
    <w:rsid w:val="34CE1050"/>
    <w:rsid w:val="34DF440A"/>
    <w:rsid w:val="350A581B"/>
    <w:rsid w:val="351D3D85"/>
    <w:rsid w:val="352E7D40"/>
    <w:rsid w:val="353115DE"/>
    <w:rsid w:val="35417A73"/>
    <w:rsid w:val="35426A60"/>
    <w:rsid w:val="35586B6B"/>
    <w:rsid w:val="355E7319"/>
    <w:rsid w:val="35690D78"/>
    <w:rsid w:val="358D36CE"/>
    <w:rsid w:val="3598340C"/>
    <w:rsid w:val="35BC5C66"/>
    <w:rsid w:val="35CE6E2D"/>
    <w:rsid w:val="35DB7EC8"/>
    <w:rsid w:val="35EE2046"/>
    <w:rsid w:val="35F41640"/>
    <w:rsid w:val="361A6E50"/>
    <w:rsid w:val="362A0508"/>
    <w:rsid w:val="362F1FC2"/>
    <w:rsid w:val="363967AA"/>
    <w:rsid w:val="363C023B"/>
    <w:rsid w:val="36415851"/>
    <w:rsid w:val="36460158"/>
    <w:rsid w:val="36603F29"/>
    <w:rsid w:val="36745C27"/>
    <w:rsid w:val="36851BE2"/>
    <w:rsid w:val="368A0116"/>
    <w:rsid w:val="369116D0"/>
    <w:rsid w:val="36941E25"/>
    <w:rsid w:val="36965B9D"/>
    <w:rsid w:val="369F7E9A"/>
    <w:rsid w:val="36A4650C"/>
    <w:rsid w:val="36A9323B"/>
    <w:rsid w:val="36CC15BF"/>
    <w:rsid w:val="36EF34FF"/>
    <w:rsid w:val="37054AD1"/>
    <w:rsid w:val="370C4F32"/>
    <w:rsid w:val="370E607B"/>
    <w:rsid w:val="370F6463"/>
    <w:rsid w:val="372907BF"/>
    <w:rsid w:val="37294C63"/>
    <w:rsid w:val="37353608"/>
    <w:rsid w:val="374D6BA3"/>
    <w:rsid w:val="37500442"/>
    <w:rsid w:val="375A6BCB"/>
    <w:rsid w:val="377A726D"/>
    <w:rsid w:val="377E4FAF"/>
    <w:rsid w:val="377F356D"/>
    <w:rsid w:val="37971BCD"/>
    <w:rsid w:val="37A75B88"/>
    <w:rsid w:val="37BA3B0D"/>
    <w:rsid w:val="37D921E5"/>
    <w:rsid w:val="37F51788"/>
    <w:rsid w:val="37F92887"/>
    <w:rsid w:val="37FC2378"/>
    <w:rsid w:val="380C2A2C"/>
    <w:rsid w:val="384B3FA8"/>
    <w:rsid w:val="3854528C"/>
    <w:rsid w:val="38547ABE"/>
    <w:rsid w:val="38565141"/>
    <w:rsid w:val="385955B4"/>
    <w:rsid w:val="385E6B8E"/>
    <w:rsid w:val="38B41380"/>
    <w:rsid w:val="38B95B73"/>
    <w:rsid w:val="38C22C79"/>
    <w:rsid w:val="38C77A8E"/>
    <w:rsid w:val="38CF183A"/>
    <w:rsid w:val="38DF66DE"/>
    <w:rsid w:val="38E30E42"/>
    <w:rsid w:val="38E57239"/>
    <w:rsid w:val="38EF5A38"/>
    <w:rsid w:val="38F31085"/>
    <w:rsid w:val="39036257"/>
    <w:rsid w:val="3905700A"/>
    <w:rsid w:val="390F1199"/>
    <w:rsid w:val="39367F12"/>
    <w:rsid w:val="393D0552"/>
    <w:rsid w:val="394538AA"/>
    <w:rsid w:val="394D5E49"/>
    <w:rsid w:val="39553AED"/>
    <w:rsid w:val="398F2E12"/>
    <w:rsid w:val="399531A9"/>
    <w:rsid w:val="39993E51"/>
    <w:rsid w:val="39A10631"/>
    <w:rsid w:val="39AD02F7"/>
    <w:rsid w:val="39B5458C"/>
    <w:rsid w:val="39B60304"/>
    <w:rsid w:val="39DA2245"/>
    <w:rsid w:val="39DA3FF3"/>
    <w:rsid w:val="39DF3CFF"/>
    <w:rsid w:val="39E1425E"/>
    <w:rsid w:val="39E81075"/>
    <w:rsid w:val="39EB5714"/>
    <w:rsid w:val="39F71049"/>
    <w:rsid w:val="39F96B6F"/>
    <w:rsid w:val="3A013C75"/>
    <w:rsid w:val="3A0472C2"/>
    <w:rsid w:val="3A073743"/>
    <w:rsid w:val="3A12378C"/>
    <w:rsid w:val="3A2B6F44"/>
    <w:rsid w:val="3A361B71"/>
    <w:rsid w:val="3A456E52"/>
    <w:rsid w:val="3A522D3D"/>
    <w:rsid w:val="3A5A5133"/>
    <w:rsid w:val="3A631110"/>
    <w:rsid w:val="3A830B2E"/>
    <w:rsid w:val="3ABA2F86"/>
    <w:rsid w:val="3ABF0270"/>
    <w:rsid w:val="3AC16F61"/>
    <w:rsid w:val="3AC70A1B"/>
    <w:rsid w:val="3AEA64B7"/>
    <w:rsid w:val="3AF92B9E"/>
    <w:rsid w:val="3AFA0DF0"/>
    <w:rsid w:val="3B097226"/>
    <w:rsid w:val="3B111C96"/>
    <w:rsid w:val="3B194FEF"/>
    <w:rsid w:val="3B236ECD"/>
    <w:rsid w:val="3B2929B3"/>
    <w:rsid w:val="3B497682"/>
    <w:rsid w:val="3B5F6EA5"/>
    <w:rsid w:val="3B6E70E8"/>
    <w:rsid w:val="3B765F9D"/>
    <w:rsid w:val="3B7F30A4"/>
    <w:rsid w:val="3B8561E0"/>
    <w:rsid w:val="3B8B1A48"/>
    <w:rsid w:val="3BB07701"/>
    <w:rsid w:val="3BB11FC2"/>
    <w:rsid w:val="3BB2349B"/>
    <w:rsid w:val="3BB54D17"/>
    <w:rsid w:val="3BBF7944"/>
    <w:rsid w:val="3BC82C9D"/>
    <w:rsid w:val="3BC9431F"/>
    <w:rsid w:val="3BE92C13"/>
    <w:rsid w:val="3C0158A9"/>
    <w:rsid w:val="3C0D4B53"/>
    <w:rsid w:val="3C0E2679"/>
    <w:rsid w:val="3C2105FF"/>
    <w:rsid w:val="3C2D2B00"/>
    <w:rsid w:val="3C372D23"/>
    <w:rsid w:val="3C447E49"/>
    <w:rsid w:val="3C494757"/>
    <w:rsid w:val="3C4B11D8"/>
    <w:rsid w:val="3C4B380F"/>
    <w:rsid w:val="3C4F6F1A"/>
    <w:rsid w:val="3C6D3E4D"/>
    <w:rsid w:val="3C720E5A"/>
    <w:rsid w:val="3CA408E8"/>
    <w:rsid w:val="3CA52FDE"/>
    <w:rsid w:val="3CC14C1F"/>
    <w:rsid w:val="3CCB7F4E"/>
    <w:rsid w:val="3CD0758C"/>
    <w:rsid w:val="3CE358B4"/>
    <w:rsid w:val="3CE55188"/>
    <w:rsid w:val="3CF56BC9"/>
    <w:rsid w:val="3D01029A"/>
    <w:rsid w:val="3D0A4BEF"/>
    <w:rsid w:val="3D0E2E48"/>
    <w:rsid w:val="3D1D0DC6"/>
    <w:rsid w:val="3D1F37E4"/>
    <w:rsid w:val="3D211F38"/>
    <w:rsid w:val="3D235CB1"/>
    <w:rsid w:val="3D346110"/>
    <w:rsid w:val="3D37175C"/>
    <w:rsid w:val="3D4F2F4A"/>
    <w:rsid w:val="3D762284"/>
    <w:rsid w:val="3D826E7B"/>
    <w:rsid w:val="3D864BBD"/>
    <w:rsid w:val="3DDB0CD9"/>
    <w:rsid w:val="3DDD67A7"/>
    <w:rsid w:val="3DE23DBE"/>
    <w:rsid w:val="3DE90CA8"/>
    <w:rsid w:val="3DED0897"/>
    <w:rsid w:val="3E03620E"/>
    <w:rsid w:val="3E0F13B4"/>
    <w:rsid w:val="3E157CEF"/>
    <w:rsid w:val="3E667746"/>
    <w:rsid w:val="3E734A16"/>
    <w:rsid w:val="3E783102"/>
    <w:rsid w:val="3E815385"/>
    <w:rsid w:val="3E885B96"/>
    <w:rsid w:val="3E952BDE"/>
    <w:rsid w:val="3EB43064"/>
    <w:rsid w:val="3EB92D70"/>
    <w:rsid w:val="3EBC22FE"/>
    <w:rsid w:val="3ECD4126"/>
    <w:rsid w:val="3EF1250A"/>
    <w:rsid w:val="3EF773F5"/>
    <w:rsid w:val="3F163D1F"/>
    <w:rsid w:val="3F2B2F30"/>
    <w:rsid w:val="3F450160"/>
    <w:rsid w:val="3F473ED8"/>
    <w:rsid w:val="3F4C14EF"/>
    <w:rsid w:val="3F4D019D"/>
    <w:rsid w:val="3F5860E5"/>
    <w:rsid w:val="3F591E5E"/>
    <w:rsid w:val="3F760C61"/>
    <w:rsid w:val="3F8213B4"/>
    <w:rsid w:val="3F827606"/>
    <w:rsid w:val="3F870779"/>
    <w:rsid w:val="3F890995"/>
    <w:rsid w:val="3F8A2017"/>
    <w:rsid w:val="3F917849"/>
    <w:rsid w:val="3F9B0612"/>
    <w:rsid w:val="3F9D1D4A"/>
    <w:rsid w:val="3FA241A2"/>
    <w:rsid w:val="3FAA4467"/>
    <w:rsid w:val="3FAC01DF"/>
    <w:rsid w:val="3FD85478"/>
    <w:rsid w:val="3FE03674"/>
    <w:rsid w:val="3FE536F1"/>
    <w:rsid w:val="3FE77469"/>
    <w:rsid w:val="40215D3E"/>
    <w:rsid w:val="403A57EB"/>
    <w:rsid w:val="404843AC"/>
    <w:rsid w:val="404B3E9C"/>
    <w:rsid w:val="4061546E"/>
    <w:rsid w:val="40664832"/>
    <w:rsid w:val="4079067E"/>
    <w:rsid w:val="4093139F"/>
    <w:rsid w:val="409343AF"/>
    <w:rsid w:val="409E3FCC"/>
    <w:rsid w:val="40D75730"/>
    <w:rsid w:val="40DA0D7C"/>
    <w:rsid w:val="40E63BC5"/>
    <w:rsid w:val="40EB4D37"/>
    <w:rsid w:val="40EC14AB"/>
    <w:rsid w:val="40FA4F7A"/>
    <w:rsid w:val="410D2F00"/>
    <w:rsid w:val="410D73A4"/>
    <w:rsid w:val="413C37E5"/>
    <w:rsid w:val="415648A7"/>
    <w:rsid w:val="415A71E1"/>
    <w:rsid w:val="41630D72"/>
    <w:rsid w:val="418807D8"/>
    <w:rsid w:val="419B675D"/>
    <w:rsid w:val="41AA69A0"/>
    <w:rsid w:val="41B15F81"/>
    <w:rsid w:val="41C31810"/>
    <w:rsid w:val="41C45CB4"/>
    <w:rsid w:val="41C55588"/>
    <w:rsid w:val="41E225DE"/>
    <w:rsid w:val="41EE2D31"/>
    <w:rsid w:val="41F8595E"/>
    <w:rsid w:val="42024A2E"/>
    <w:rsid w:val="42100EF9"/>
    <w:rsid w:val="4214206C"/>
    <w:rsid w:val="42454372"/>
    <w:rsid w:val="426179A2"/>
    <w:rsid w:val="427174BE"/>
    <w:rsid w:val="42786A9F"/>
    <w:rsid w:val="428B67D2"/>
    <w:rsid w:val="428E0070"/>
    <w:rsid w:val="4294310E"/>
    <w:rsid w:val="42943344"/>
    <w:rsid w:val="42975177"/>
    <w:rsid w:val="429A07C3"/>
    <w:rsid w:val="42C615B8"/>
    <w:rsid w:val="42CB4E20"/>
    <w:rsid w:val="42D77C69"/>
    <w:rsid w:val="42DC0DDB"/>
    <w:rsid w:val="42DE0FF8"/>
    <w:rsid w:val="42E56A55"/>
    <w:rsid w:val="42FC322C"/>
    <w:rsid w:val="43041731"/>
    <w:rsid w:val="43193DDE"/>
    <w:rsid w:val="43372938"/>
    <w:rsid w:val="43484F88"/>
    <w:rsid w:val="434A1275"/>
    <w:rsid w:val="435C1F1C"/>
    <w:rsid w:val="4387343D"/>
    <w:rsid w:val="43972F54"/>
    <w:rsid w:val="439E42E3"/>
    <w:rsid w:val="43A124B3"/>
    <w:rsid w:val="43B65AD0"/>
    <w:rsid w:val="43BB4E95"/>
    <w:rsid w:val="43C55D14"/>
    <w:rsid w:val="43D85A47"/>
    <w:rsid w:val="43E837B0"/>
    <w:rsid w:val="43E97C54"/>
    <w:rsid w:val="43F11473"/>
    <w:rsid w:val="43F839F3"/>
    <w:rsid w:val="44022AC4"/>
    <w:rsid w:val="44024872"/>
    <w:rsid w:val="44044A8E"/>
    <w:rsid w:val="44184095"/>
    <w:rsid w:val="44236B1E"/>
    <w:rsid w:val="444158E6"/>
    <w:rsid w:val="44510C48"/>
    <w:rsid w:val="4453331F"/>
    <w:rsid w:val="44564BBE"/>
    <w:rsid w:val="44641089"/>
    <w:rsid w:val="446948F1"/>
    <w:rsid w:val="446F3961"/>
    <w:rsid w:val="449B0C88"/>
    <w:rsid w:val="44B95F17"/>
    <w:rsid w:val="44C11AA6"/>
    <w:rsid w:val="44C75831"/>
    <w:rsid w:val="44CD7477"/>
    <w:rsid w:val="44D04970"/>
    <w:rsid w:val="44D426B2"/>
    <w:rsid w:val="44DF4BB3"/>
    <w:rsid w:val="44E346A3"/>
    <w:rsid w:val="44F3240C"/>
    <w:rsid w:val="450048CC"/>
    <w:rsid w:val="451A208F"/>
    <w:rsid w:val="451E56DB"/>
    <w:rsid w:val="452457E1"/>
    <w:rsid w:val="45350C77"/>
    <w:rsid w:val="453A628D"/>
    <w:rsid w:val="45415D40"/>
    <w:rsid w:val="45435142"/>
    <w:rsid w:val="45451DF1"/>
    <w:rsid w:val="454A4722"/>
    <w:rsid w:val="454B2248"/>
    <w:rsid w:val="45513D03"/>
    <w:rsid w:val="4554734F"/>
    <w:rsid w:val="45570447"/>
    <w:rsid w:val="45723C79"/>
    <w:rsid w:val="45B46417"/>
    <w:rsid w:val="45B86522"/>
    <w:rsid w:val="45DB537A"/>
    <w:rsid w:val="45DE4E6B"/>
    <w:rsid w:val="45F43872"/>
    <w:rsid w:val="46113492"/>
    <w:rsid w:val="461B3AA5"/>
    <w:rsid w:val="462C5BD6"/>
    <w:rsid w:val="462E5DF2"/>
    <w:rsid w:val="464C0026"/>
    <w:rsid w:val="465D0485"/>
    <w:rsid w:val="46655038"/>
    <w:rsid w:val="466C06C8"/>
    <w:rsid w:val="467557CF"/>
    <w:rsid w:val="46843C64"/>
    <w:rsid w:val="46850285"/>
    <w:rsid w:val="46955E71"/>
    <w:rsid w:val="469F45FA"/>
    <w:rsid w:val="46A240EA"/>
    <w:rsid w:val="46A460B4"/>
    <w:rsid w:val="46AF05B5"/>
    <w:rsid w:val="46C94000"/>
    <w:rsid w:val="46C94CDE"/>
    <w:rsid w:val="46D30747"/>
    <w:rsid w:val="46DC3AA0"/>
    <w:rsid w:val="46E14C12"/>
    <w:rsid w:val="46FF153C"/>
    <w:rsid w:val="4706474A"/>
    <w:rsid w:val="470703F1"/>
    <w:rsid w:val="470D3C59"/>
    <w:rsid w:val="471B28B4"/>
    <w:rsid w:val="473B0E1B"/>
    <w:rsid w:val="473F27FF"/>
    <w:rsid w:val="476017C6"/>
    <w:rsid w:val="47745A86"/>
    <w:rsid w:val="47811F51"/>
    <w:rsid w:val="47841A42"/>
    <w:rsid w:val="47863A0C"/>
    <w:rsid w:val="47874069"/>
    <w:rsid w:val="478E2D76"/>
    <w:rsid w:val="47916CB1"/>
    <w:rsid w:val="47A65E5C"/>
    <w:rsid w:val="47C1641D"/>
    <w:rsid w:val="47CA1B4A"/>
    <w:rsid w:val="47E67FE2"/>
    <w:rsid w:val="47F0014A"/>
    <w:rsid w:val="47F60B91"/>
    <w:rsid w:val="481903DC"/>
    <w:rsid w:val="48387ABD"/>
    <w:rsid w:val="486F26F2"/>
    <w:rsid w:val="48740AF8"/>
    <w:rsid w:val="487A3570"/>
    <w:rsid w:val="487B247F"/>
    <w:rsid w:val="488E0DCA"/>
    <w:rsid w:val="48934632"/>
    <w:rsid w:val="48B56357"/>
    <w:rsid w:val="48B955C2"/>
    <w:rsid w:val="48B9571B"/>
    <w:rsid w:val="48BA396D"/>
    <w:rsid w:val="48BB76E5"/>
    <w:rsid w:val="48C657AA"/>
    <w:rsid w:val="48F30C2D"/>
    <w:rsid w:val="48F55A38"/>
    <w:rsid w:val="490177EE"/>
    <w:rsid w:val="490D6193"/>
    <w:rsid w:val="491D5CAA"/>
    <w:rsid w:val="491F7C74"/>
    <w:rsid w:val="492B090F"/>
    <w:rsid w:val="492D6240"/>
    <w:rsid w:val="49325BF9"/>
    <w:rsid w:val="49382AE4"/>
    <w:rsid w:val="49417BEA"/>
    <w:rsid w:val="494852C1"/>
    <w:rsid w:val="494E0559"/>
    <w:rsid w:val="4953791E"/>
    <w:rsid w:val="4968786D"/>
    <w:rsid w:val="496A7A12"/>
    <w:rsid w:val="496F0BFB"/>
    <w:rsid w:val="49843F7B"/>
    <w:rsid w:val="498E0956"/>
    <w:rsid w:val="49911DC2"/>
    <w:rsid w:val="499659CF"/>
    <w:rsid w:val="499A718B"/>
    <w:rsid w:val="49B52386"/>
    <w:rsid w:val="49C202E7"/>
    <w:rsid w:val="49EC3FFA"/>
    <w:rsid w:val="49F72751"/>
    <w:rsid w:val="4A0D70B2"/>
    <w:rsid w:val="4A1E3C56"/>
    <w:rsid w:val="4A1E617D"/>
    <w:rsid w:val="4A2D016F"/>
    <w:rsid w:val="4A421E6C"/>
    <w:rsid w:val="4A626327"/>
    <w:rsid w:val="4A704B0B"/>
    <w:rsid w:val="4A730023"/>
    <w:rsid w:val="4A744C91"/>
    <w:rsid w:val="4A876DA6"/>
    <w:rsid w:val="4A8833F8"/>
    <w:rsid w:val="4A8A619F"/>
    <w:rsid w:val="4AA2290B"/>
    <w:rsid w:val="4AC05487"/>
    <w:rsid w:val="4AD46AF0"/>
    <w:rsid w:val="4ADF61DE"/>
    <w:rsid w:val="4ADF76BB"/>
    <w:rsid w:val="4AFE3C4A"/>
    <w:rsid w:val="4B0071C8"/>
    <w:rsid w:val="4B125FF6"/>
    <w:rsid w:val="4B1B110F"/>
    <w:rsid w:val="4B3F45FD"/>
    <w:rsid w:val="4B4614E8"/>
    <w:rsid w:val="4B5C462F"/>
    <w:rsid w:val="4B6C4CC7"/>
    <w:rsid w:val="4B7D0C82"/>
    <w:rsid w:val="4B8244EA"/>
    <w:rsid w:val="4B8B339F"/>
    <w:rsid w:val="4B92472D"/>
    <w:rsid w:val="4BA17066"/>
    <w:rsid w:val="4BDA7172"/>
    <w:rsid w:val="4BE75898"/>
    <w:rsid w:val="4C0575F5"/>
    <w:rsid w:val="4C285091"/>
    <w:rsid w:val="4C2B503E"/>
    <w:rsid w:val="4C312198"/>
    <w:rsid w:val="4C3253A4"/>
    <w:rsid w:val="4C3677AE"/>
    <w:rsid w:val="4C40062D"/>
    <w:rsid w:val="4C481290"/>
    <w:rsid w:val="4C5C4F93"/>
    <w:rsid w:val="4C651E42"/>
    <w:rsid w:val="4C735D9E"/>
    <w:rsid w:val="4C787DC7"/>
    <w:rsid w:val="4C8229F4"/>
    <w:rsid w:val="4C8C3872"/>
    <w:rsid w:val="4C9726F2"/>
    <w:rsid w:val="4C987D10"/>
    <w:rsid w:val="4CA94424"/>
    <w:rsid w:val="4CAA3CF8"/>
    <w:rsid w:val="4CB22BAD"/>
    <w:rsid w:val="4CD62D3F"/>
    <w:rsid w:val="4CE0771A"/>
    <w:rsid w:val="4D2C48AA"/>
    <w:rsid w:val="4D331F40"/>
    <w:rsid w:val="4D3B0DF4"/>
    <w:rsid w:val="4D534390"/>
    <w:rsid w:val="4D64659D"/>
    <w:rsid w:val="4D7F6F33"/>
    <w:rsid w:val="4D8409ED"/>
    <w:rsid w:val="4D9549A9"/>
    <w:rsid w:val="4D9D16E6"/>
    <w:rsid w:val="4DA76875"/>
    <w:rsid w:val="4DB017E2"/>
    <w:rsid w:val="4DB82445"/>
    <w:rsid w:val="4DC25072"/>
    <w:rsid w:val="4DC96400"/>
    <w:rsid w:val="4DD76D6F"/>
    <w:rsid w:val="4DDC4D2C"/>
    <w:rsid w:val="4DE15652"/>
    <w:rsid w:val="4DEB281B"/>
    <w:rsid w:val="4DF711BF"/>
    <w:rsid w:val="4DFF1AA1"/>
    <w:rsid w:val="4E0D453F"/>
    <w:rsid w:val="4E10402F"/>
    <w:rsid w:val="4E121B55"/>
    <w:rsid w:val="4E1E176D"/>
    <w:rsid w:val="4E2B2C17"/>
    <w:rsid w:val="4E2D698F"/>
    <w:rsid w:val="4E3E1298"/>
    <w:rsid w:val="4E5008D0"/>
    <w:rsid w:val="4E505C68"/>
    <w:rsid w:val="4E573A0C"/>
    <w:rsid w:val="4E5C1022"/>
    <w:rsid w:val="4E613302"/>
    <w:rsid w:val="4E760336"/>
    <w:rsid w:val="4EAC01FC"/>
    <w:rsid w:val="4EB250E6"/>
    <w:rsid w:val="4EB3058D"/>
    <w:rsid w:val="4EB33338"/>
    <w:rsid w:val="4EB470B0"/>
    <w:rsid w:val="4EB54C4E"/>
    <w:rsid w:val="4EB7631A"/>
    <w:rsid w:val="4EB946C7"/>
    <w:rsid w:val="4EBE1CDD"/>
    <w:rsid w:val="4EC05A55"/>
    <w:rsid w:val="4ECA0682"/>
    <w:rsid w:val="4ECD0674"/>
    <w:rsid w:val="4ECD3CCE"/>
    <w:rsid w:val="4ED33793"/>
    <w:rsid w:val="4ED60DD5"/>
    <w:rsid w:val="4EE74D90"/>
    <w:rsid w:val="4EEF633A"/>
    <w:rsid w:val="4F097C45"/>
    <w:rsid w:val="4F134939"/>
    <w:rsid w:val="4F1D6A04"/>
    <w:rsid w:val="4F2935FA"/>
    <w:rsid w:val="4F2A7373"/>
    <w:rsid w:val="4F316279"/>
    <w:rsid w:val="4F437111"/>
    <w:rsid w:val="4F495A4B"/>
    <w:rsid w:val="4F587A3C"/>
    <w:rsid w:val="4F5A7C58"/>
    <w:rsid w:val="4F7A3E56"/>
    <w:rsid w:val="4F8C3B89"/>
    <w:rsid w:val="4F9547EC"/>
    <w:rsid w:val="4FB8672C"/>
    <w:rsid w:val="4FCC21D8"/>
    <w:rsid w:val="4FD40891"/>
    <w:rsid w:val="4FD55530"/>
    <w:rsid w:val="4FE6773D"/>
    <w:rsid w:val="4FEB6B02"/>
    <w:rsid w:val="4FEE65F2"/>
    <w:rsid w:val="4FF27E90"/>
    <w:rsid w:val="4FF52BAA"/>
    <w:rsid w:val="50106568"/>
    <w:rsid w:val="501209BD"/>
    <w:rsid w:val="501222E0"/>
    <w:rsid w:val="501F0559"/>
    <w:rsid w:val="5023629C"/>
    <w:rsid w:val="503A5393"/>
    <w:rsid w:val="503B1837"/>
    <w:rsid w:val="5043249A"/>
    <w:rsid w:val="504D50C7"/>
    <w:rsid w:val="505521CD"/>
    <w:rsid w:val="5060304C"/>
    <w:rsid w:val="506A211C"/>
    <w:rsid w:val="507C3BFE"/>
    <w:rsid w:val="50827466"/>
    <w:rsid w:val="50AC49D2"/>
    <w:rsid w:val="50AF1F3A"/>
    <w:rsid w:val="50CC248F"/>
    <w:rsid w:val="50D21A70"/>
    <w:rsid w:val="50D457E8"/>
    <w:rsid w:val="50EC0D83"/>
    <w:rsid w:val="50F6750C"/>
    <w:rsid w:val="50FB4B23"/>
    <w:rsid w:val="51160A34"/>
    <w:rsid w:val="51163F32"/>
    <w:rsid w:val="51183927"/>
    <w:rsid w:val="51226553"/>
    <w:rsid w:val="51453FF0"/>
    <w:rsid w:val="516C77CE"/>
    <w:rsid w:val="5170282E"/>
    <w:rsid w:val="519A433C"/>
    <w:rsid w:val="519B0C10"/>
    <w:rsid w:val="51AE366B"/>
    <w:rsid w:val="51D71830"/>
    <w:rsid w:val="51DF0427"/>
    <w:rsid w:val="51E23F34"/>
    <w:rsid w:val="51ED4B9A"/>
    <w:rsid w:val="51F83758"/>
    <w:rsid w:val="520B3E30"/>
    <w:rsid w:val="520E5B76"/>
    <w:rsid w:val="523D39D3"/>
    <w:rsid w:val="5246001F"/>
    <w:rsid w:val="52524C16"/>
    <w:rsid w:val="528C10A0"/>
    <w:rsid w:val="52972F71"/>
    <w:rsid w:val="52AC4F94"/>
    <w:rsid w:val="52B0193D"/>
    <w:rsid w:val="52BC29D7"/>
    <w:rsid w:val="52C8312A"/>
    <w:rsid w:val="52DD4E28"/>
    <w:rsid w:val="52FB52AE"/>
    <w:rsid w:val="52FB705C"/>
    <w:rsid w:val="52FC4B82"/>
    <w:rsid w:val="53051C89"/>
    <w:rsid w:val="5311687F"/>
    <w:rsid w:val="532E2213"/>
    <w:rsid w:val="533026AA"/>
    <w:rsid w:val="533E2F7F"/>
    <w:rsid w:val="534D3630"/>
    <w:rsid w:val="535C60FE"/>
    <w:rsid w:val="53807561"/>
    <w:rsid w:val="538708F0"/>
    <w:rsid w:val="538E7D0E"/>
    <w:rsid w:val="53A56FC8"/>
    <w:rsid w:val="53B4545D"/>
    <w:rsid w:val="53B8319F"/>
    <w:rsid w:val="53C03E02"/>
    <w:rsid w:val="53DF24DA"/>
    <w:rsid w:val="53F65A75"/>
    <w:rsid w:val="53FB308C"/>
    <w:rsid w:val="5402441A"/>
    <w:rsid w:val="542F214A"/>
    <w:rsid w:val="54302D35"/>
    <w:rsid w:val="54316AAD"/>
    <w:rsid w:val="543A3BB4"/>
    <w:rsid w:val="544A1AF3"/>
    <w:rsid w:val="54640C31"/>
    <w:rsid w:val="547F3CBD"/>
    <w:rsid w:val="54994D7E"/>
    <w:rsid w:val="549D719D"/>
    <w:rsid w:val="549E786E"/>
    <w:rsid w:val="54AB6860"/>
    <w:rsid w:val="54BB2F47"/>
    <w:rsid w:val="54BE216E"/>
    <w:rsid w:val="54BF40B9"/>
    <w:rsid w:val="54D15BFA"/>
    <w:rsid w:val="550F3292"/>
    <w:rsid w:val="5512615B"/>
    <w:rsid w:val="551B6940"/>
    <w:rsid w:val="552A3C28"/>
    <w:rsid w:val="55563AD1"/>
    <w:rsid w:val="555F460E"/>
    <w:rsid w:val="556B5B8F"/>
    <w:rsid w:val="558722C8"/>
    <w:rsid w:val="558F536E"/>
    <w:rsid w:val="55C027DF"/>
    <w:rsid w:val="55C2628A"/>
    <w:rsid w:val="55C909CB"/>
    <w:rsid w:val="55CE2806"/>
    <w:rsid w:val="55D50038"/>
    <w:rsid w:val="55D63DB0"/>
    <w:rsid w:val="55DB3175"/>
    <w:rsid w:val="55E55DA1"/>
    <w:rsid w:val="55EE4C56"/>
    <w:rsid w:val="55F61D5C"/>
    <w:rsid w:val="561346BC"/>
    <w:rsid w:val="56222B52"/>
    <w:rsid w:val="562A1B91"/>
    <w:rsid w:val="562B5B9A"/>
    <w:rsid w:val="56331D5B"/>
    <w:rsid w:val="56356D29"/>
    <w:rsid w:val="5637484F"/>
    <w:rsid w:val="5640122A"/>
    <w:rsid w:val="56570A4D"/>
    <w:rsid w:val="565847C5"/>
    <w:rsid w:val="56586573"/>
    <w:rsid w:val="5661367A"/>
    <w:rsid w:val="56902358"/>
    <w:rsid w:val="5697709C"/>
    <w:rsid w:val="56AB7BA5"/>
    <w:rsid w:val="56AF3861"/>
    <w:rsid w:val="56B85264"/>
    <w:rsid w:val="56C46C9A"/>
    <w:rsid w:val="56CA56C3"/>
    <w:rsid w:val="56CF0F2B"/>
    <w:rsid w:val="56DC53F6"/>
    <w:rsid w:val="56E901C2"/>
    <w:rsid w:val="56F40992"/>
    <w:rsid w:val="5714693E"/>
    <w:rsid w:val="57500440"/>
    <w:rsid w:val="57530C37"/>
    <w:rsid w:val="575C2093"/>
    <w:rsid w:val="57664784"/>
    <w:rsid w:val="576663CB"/>
    <w:rsid w:val="5781726E"/>
    <w:rsid w:val="578D049F"/>
    <w:rsid w:val="57A51C8C"/>
    <w:rsid w:val="57BE4AFC"/>
    <w:rsid w:val="57C06AC6"/>
    <w:rsid w:val="57CE11E3"/>
    <w:rsid w:val="57CF2865"/>
    <w:rsid w:val="57D12A81"/>
    <w:rsid w:val="57E07028"/>
    <w:rsid w:val="57E5652D"/>
    <w:rsid w:val="57EC78BB"/>
    <w:rsid w:val="57EF4CB5"/>
    <w:rsid w:val="57F01EDF"/>
    <w:rsid w:val="57F549C2"/>
    <w:rsid w:val="57FE314A"/>
    <w:rsid w:val="58010F61"/>
    <w:rsid w:val="58033583"/>
    <w:rsid w:val="581A7F84"/>
    <w:rsid w:val="583122F1"/>
    <w:rsid w:val="58403763"/>
    <w:rsid w:val="58434227"/>
    <w:rsid w:val="584C2108"/>
    <w:rsid w:val="58550FBC"/>
    <w:rsid w:val="585D2567"/>
    <w:rsid w:val="586C6306"/>
    <w:rsid w:val="58737694"/>
    <w:rsid w:val="587F072F"/>
    <w:rsid w:val="588E2720"/>
    <w:rsid w:val="58B7361D"/>
    <w:rsid w:val="58BA1767"/>
    <w:rsid w:val="58DC49CD"/>
    <w:rsid w:val="591A469F"/>
    <w:rsid w:val="59215342"/>
    <w:rsid w:val="59264A99"/>
    <w:rsid w:val="592941F7"/>
    <w:rsid w:val="592A069B"/>
    <w:rsid w:val="592A3C50"/>
    <w:rsid w:val="5934151A"/>
    <w:rsid w:val="593B46DD"/>
    <w:rsid w:val="594026BD"/>
    <w:rsid w:val="594159E5"/>
    <w:rsid w:val="59460076"/>
    <w:rsid w:val="595042A3"/>
    <w:rsid w:val="59515D8A"/>
    <w:rsid w:val="595C637A"/>
    <w:rsid w:val="5960477C"/>
    <w:rsid w:val="5967369D"/>
    <w:rsid w:val="596B66F6"/>
    <w:rsid w:val="596D2336"/>
    <w:rsid w:val="596F6178"/>
    <w:rsid w:val="59A5674B"/>
    <w:rsid w:val="59B166C6"/>
    <w:rsid w:val="59BD150F"/>
    <w:rsid w:val="59C53F20"/>
    <w:rsid w:val="59ED3476"/>
    <w:rsid w:val="5A093EC3"/>
    <w:rsid w:val="5A151F73"/>
    <w:rsid w:val="5A492DA3"/>
    <w:rsid w:val="5A53777D"/>
    <w:rsid w:val="5A582FE6"/>
    <w:rsid w:val="5A601E9A"/>
    <w:rsid w:val="5AA77AC9"/>
    <w:rsid w:val="5AA91A93"/>
    <w:rsid w:val="5ABD109B"/>
    <w:rsid w:val="5ABE4B07"/>
    <w:rsid w:val="5AC266B1"/>
    <w:rsid w:val="5AE44879"/>
    <w:rsid w:val="5AFA409D"/>
    <w:rsid w:val="5AFA5E4B"/>
    <w:rsid w:val="5B0B7F86"/>
    <w:rsid w:val="5B1769FD"/>
    <w:rsid w:val="5B2D6220"/>
    <w:rsid w:val="5B321A89"/>
    <w:rsid w:val="5B386973"/>
    <w:rsid w:val="5B4516CD"/>
    <w:rsid w:val="5B4A6DD2"/>
    <w:rsid w:val="5B4E6197"/>
    <w:rsid w:val="5B657EA9"/>
    <w:rsid w:val="5B751975"/>
    <w:rsid w:val="5B8147BE"/>
    <w:rsid w:val="5B920779"/>
    <w:rsid w:val="5BA555B3"/>
    <w:rsid w:val="5BB47AC3"/>
    <w:rsid w:val="5BB74B2C"/>
    <w:rsid w:val="5BD41E6E"/>
    <w:rsid w:val="5BEA2363"/>
    <w:rsid w:val="5BEA5EBF"/>
    <w:rsid w:val="5BEF1728"/>
    <w:rsid w:val="5BF64864"/>
    <w:rsid w:val="5BFD3E45"/>
    <w:rsid w:val="5C2869E8"/>
    <w:rsid w:val="5C2C64D8"/>
    <w:rsid w:val="5C381321"/>
    <w:rsid w:val="5C3A6E47"/>
    <w:rsid w:val="5C3B1922"/>
    <w:rsid w:val="5C4F5402"/>
    <w:rsid w:val="5C5069F0"/>
    <w:rsid w:val="5C537F09"/>
    <w:rsid w:val="5C5477DD"/>
    <w:rsid w:val="5C5E2B95"/>
    <w:rsid w:val="5C6C36AD"/>
    <w:rsid w:val="5C7834CB"/>
    <w:rsid w:val="5C7A1E91"/>
    <w:rsid w:val="5C8C6F77"/>
    <w:rsid w:val="5C914DC7"/>
    <w:rsid w:val="5CA40764"/>
    <w:rsid w:val="5CAB5170"/>
    <w:rsid w:val="5CBD5382"/>
    <w:rsid w:val="5CCA5724"/>
    <w:rsid w:val="5CE62B2B"/>
    <w:rsid w:val="5CE70651"/>
    <w:rsid w:val="5CEE5E83"/>
    <w:rsid w:val="5D290C69"/>
    <w:rsid w:val="5D292A17"/>
    <w:rsid w:val="5D2D075A"/>
    <w:rsid w:val="5D443CF5"/>
    <w:rsid w:val="5D495144"/>
    <w:rsid w:val="5D557CB0"/>
    <w:rsid w:val="5D6972B8"/>
    <w:rsid w:val="5D6D7082"/>
    <w:rsid w:val="5D706822"/>
    <w:rsid w:val="5D7F6ADB"/>
    <w:rsid w:val="5DAD53F7"/>
    <w:rsid w:val="5DB42C29"/>
    <w:rsid w:val="5DB669A1"/>
    <w:rsid w:val="5DBD1FCA"/>
    <w:rsid w:val="5DC0337C"/>
    <w:rsid w:val="5DF03535"/>
    <w:rsid w:val="5E084D23"/>
    <w:rsid w:val="5E092890"/>
    <w:rsid w:val="5E192A8C"/>
    <w:rsid w:val="5E1C432A"/>
    <w:rsid w:val="5E23390B"/>
    <w:rsid w:val="5E257683"/>
    <w:rsid w:val="5E282CCF"/>
    <w:rsid w:val="5E3A2E3F"/>
    <w:rsid w:val="5E510478"/>
    <w:rsid w:val="5E524438"/>
    <w:rsid w:val="5E714676"/>
    <w:rsid w:val="5E8425FB"/>
    <w:rsid w:val="5E8C6F99"/>
    <w:rsid w:val="5EAA0273"/>
    <w:rsid w:val="5ECF75EF"/>
    <w:rsid w:val="5ED54C05"/>
    <w:rsid w:val="5EF2352E"/>
    <w:rsid w:val="5EF57055"/>
    <w:rsid w:val="5EF763C6"/>
    <w:rsid w:val="5EFD0600"/>
    <w:rsid w:val="5F08322C"/>
    <w:rsid w:val="5F267129"/>
    <w:rsid w:val="5F4E6765"/>
    <w:rsid w:val="5F5D7160"/>
    <w:rsid w:val="5F685A79"/>
    <w:rsid w:val="5F6D6C9C"/>
    <w:rsid w:val="5F714A4F"/>
    <w:rsid w:val="5F7408C2"/>
    <w:rsid w:val="5F887EC9"/>
    <w:rsid w:val="5F893C41"/>
    <w:rsid w:val="5F8B79B9"/>
    <w:rsid w:val="5F97010C"/>
    <w:rsid w:val="5FA36AB1"/>
    <w:rsid w:val="5FB23198"/>
    <w:rsid w:val="5FB46F10"/>
    <w:rsid w:val="5FB90FB7"/>
    <w:rsid w:val="5FC30058"/>
    <w:rsid w:val="5FF27A39"/>
    <w:rsid w:val="5FFB0081"/>
    <w:rsid w:val="5FFE1F39"/>
    <w:rsid w:val="60060FEE"/>
    <w:rsid w:val="600A2554"/>
    <w:rsid w:val="60462E90"/>
    <w:rsid w:val="604E7E90"/>
    <w:rsid w:val="60571E01"/>
    <w:rsid w:val="605C29E7"/>
    <w:rsid w:val="606C0ACB"/>
    <w:rsid w:val="606F72DB"/>
    <w:rsid w:val="60786190"/>
    <w:rsid w:val="608368E3"/>
    <w:rsid w:val="6085265B"/>
    <w:rsid w:val="60965409"/>
    <w:rsid w:val="60A07495"/>
    <w:rsid w:val="60A30D33"/>
    <w:rsid w:val="60A96349"/>
    <w:rsid w:val="60AE00AB"/>
    <w:rsid w:val="60B31391"/>
    <w:rsid w:val="60C2740B"/>
    <w:rsid w:val="60C82547"/>
    <w:rsid w:val="61190D9E"/>
    <w:rsid w:val="612945BF"/>
    <w:rsid w:val="61530A39"/>
    <w:rsid w:val="6183303E"/>
    <w:rsid w:val="618741B1"/>
    <w:rsid w:val="618D5C6B"/>
    <w:rsid w:val="61923281"/>
    <w:rsid w:val="619F1863"/>
    <w:rsid w:val="61AC3CD1"/>
    <w:rsid w:val="61AD7043"/>
    <w:rsid w:val="61CB22EF"/>
    <w:rsid w:val="61DF3FED"/>
    <w:rsid w:val="61FE695C"/>
    <w:rsid w:val="621912AD"/>
    <w:rsid w:val="62326812"/>
    <w:rsid w:val="62514EEA"/>
    <w:rsid w:val="62571DD5"/>
    <w:rsid w:val="625B7377"/>
    <w:rsid w:val="6278019C"/>
    <w:rsid w:val="628123F6"/>
    <w:rsid w:val="628C1A7E"/>
    <w:rsid w:val="629B7F14"/>
    <w:rsid w:val="62A96AD4"/>
    <w:rsid w:val="62AE40EB"/>
    <w:rsid w:val="62B2525D"/>
    <w:rsid w:val="62C0797A"/>
    <w:rsid w:val="62E25B42"/>
    <w:rsid w:val="62E95123"/>
    <w:rsid w:val="62FB09B2"/>
    <w:rsid w:val="62FE04A2"/>
    <w:rsid w:val="63001694"/>
    <w:rsid w:val="63185A08"/>
    <w:rsid w:val="631D29EB"/>
    <w:rsid w:val="633C6169"/>
    <w:rsid w:val="637A3FCD"/>
    <w:rsid w:val="637F5A87"/>
    <w:rsid w:val="63822EAD"/>
    <w:rsid w:val="638C7755"/>
    <w:rsid w:val="639826A5"/>
    <w:rsid w:val="639B1A12"/>
    <w:rsid w:val="63AB23D8"/>
    <w:rsid w:val="63B70D7D"/>
    <w:rsid w:val="63BC45E5"/>
    <w:rsid w:val="63D23E09"/>
    <w:rsid w:val="63EA73A4"/>
    <w:rsid w:val="63ED197A"/>
    <w:rsid w:val="63F773CC"/>
    <w:rsid w:val="64055F8C"/>
    <w:rsid w:val="64300F47"/>
    <w:rsid w:val="64483336"/>
    <w:rsid w:val="644F0FB6"/>
    <w:rsid w:val="646C600B"/>
    <w:rsid w:val="646F3406"/>
    <w:rsid w:val="64942E6C"/>
    <w:rsid w:val="64AE53F9"/>
    <w:rsid w:val="64B12C63"/>
    <w:rsid w:val="64B81251"/>
    <w:rsid w:val="64D63485"/>
    <w:rsid w:val="64E35BA2"/>
    <w:rsid w:val="64EC2CA8"/>
    <w:rsid w:val="65000502"/>
    <w:rsid w:val="65085608"/>
    <w:rsid w:val="65091AAC"/>
    <w:rsid w:val="650F7082"/>
    <w:rsid w:val="65110961"/>
    <w:rsid w:val="6518767F"/>
    <w:rsid w:val="65362175"/>
    <w:rsid w:val="65385EEE"/>
    <w:rsid w:val="65662279"/>
    <w:rsid w:val="656767D3"/>
    <w:rsid w:val="65712B94"/>
    <w:rsid w:val="657A02B4"/>
    <w:rsid w:val="65801643"/>
    <w:rsid w:val="65842EE1"/>
    <w:rsid w:val="65956E9C"/>
    <w:rsid w:val="659858FD"/>
    <w:rsid w:val="6598698C"/>
    <w:rsid w:val="65A13CC9"/>
    <w:rsid w:val="65AA25C1"/>
    <w:rsid w:val="65E120E1"/>
    <w:rsid w:val="65F4277A"/>
    <w:rsid w:val="65F91B21"/>
    <w:rsid w:val="660364FC"/>
    <w:rsid w:val="660A4D14"/>
    <w:rsid w:val="660D737A"/>
    <w:rsid w:val="661324B7"/>
    <w:rsid w:val="661C63CF"/>
    <w:rsid w:val="661E2CB4"/>
    <w:rsid w:val="661E3335"/>
    <w:rsid w:val="662621EA"/>
    <w:rsid w:val="662C6800"/>
    <w:rsid w:val="6632293D"/>
    <w:rsid w:val="664571D6"/>
    <w:rsid w:val="664E603D"/>
    <w:rsid w:val="666F1DE3"/>
    <w:rsid w:val="667B2536"/>
    <w:rsid w:val="667D1E28"/>
    <w:rsid w:val="66A870A3"/>
    <w:rsid w:val="66AD46B9"/>
    <w:rsid w:val="66B141AA"/>
    <w:rsid w:val="66CD4D5B"/>
    <w:rsid w:val="66DD6797"/>
    <w:rsid w:val="66ED4AB6"/>
    <w:rsid w:val="66F66060"/>
    <w:rsid w:val="66F67E0E"/>
    <w:rsid w:val="670818F0"/>
    <w:rsid w:val="671D183F"/>
    <w:rsid w:val="67293782"/>
    <w:rsid w:val="675114E9"/>
    <w:rsid w:val="675863D3"/>
    <w:rsid w:val="6759039D"/>
    <w:rsid w:val="67890C82"/>
    <w:rsid w:val="678B49FB"/>
    <w:rsid w:val="679703E1"/>
    <w:rsid w:val="67984F00"/>
    <w:rsid w:val="67A965FC"/>
    <w:rsid w:val="67B8330F"/>
    <w:rsid w:val="67FA56DC"/>
    <w:rsid w:val="68336E40"/>
    <w:rsid w:val="683926A8"/>
    <w:rsid w:val="684738F0"/>
    <w:rsid w:val="68537CAF"/>
    <w:rsid w:val="685F3791"/>
    <w:rsid w:val="68725BBA"/>
    <w:rsid w:val="68776D2D"/>
    <w:rsid w:val="687A4A6F"/>
    <w:rsid w:val="68953F41"/>
    <w:rsid w:val="6899434A"/>
    <w:rsid w:val="68B079A5"/>
    <w:rsid w:val="68BB30BE"/>
    <w:rsid w:val="68D45F2D"/>
    <w:rsid w:val="68DF62EE"/>
    <w:rsid w:val="68EA5751"/>
    <w:rsid w:val="68F570FB"/>
    <w:rsid w:val="690A194F"/>
    <w:rsid w:val="69456E2B"/>
    <w:rsid w:val="69531548"/>
    <w:rsid w:val="696372B1"/>
    <w:rsid w:val="696F3EA8"/>
    <w:rsid w:val="69731BEA"/>
    <w:rsid w:val="69790883"/>
    <w:rsid w:val="697A2F79"/>
    <w:rsid w:val="698C6808"/>
    <w:rsid w:val="69992CD3"/>
    <w:rsid w:val="69A47FF6"/>
    <w:rsid w:val="69BF6BDD"/>
    <w:rsid w:val="69F71415"/>
    <w:rsid w:val="6A102F95"/>
    <w:rsid w:val="6A242EE4"/>
    <w:rsid w:val="6A2922A9"/>
    <w:rsid w:val="6A4415E9"/>
    <w:rsid w:val="6A4F66FC"/>
    <w:rsid w:val="6A543887"/>
    <w:rsid w:val="6A5D1F52"/>
    <w:rsid w:val="6A7C062B"/>
    <w:rsid w:val="6A8D0A8A"/>
    <w:rsid w:val="6A9736B6"/>
    <w:rsid w:val="6AAB0F10"/>
    <w:rsid w:val="6ACC55B0"/>
    <w:rsid w:val="6ACD70D8"/>
    <w:rsid w:val="6AE12B83"/>
    <w:rsid w:val="6AEA7C8A"/>
    <w:rsid w:val="6AF12F2B"/>
    <w:rsid w:val="6B054AC4"/>
    <w:rsid w:val="6B1E7934"/>
    <w:rsid w:val="6B225676"/>
    <w:rsid w:val="6B422808"/>
    <w:rsid w:val="6B476E8A"/>
    <w:rsid w:val="6B4B5217"/>
    <w:rsid w:val="6B6411A6"/>
    <w:rsid w:val="6B680BAF"/>
    <w:rsid w:val="6B6F1F3D"/>
    <w:rsid w:val="6B8A1717"/>
    <w:rsid w:val="6B8C6F93"/>
    <w:rsid w:val="6B99345E"/>
    <w:rsid w:val="6BAD273F"/>
    <w:rsid w:val="6BBB1626"/>
    <w:rsid w:val="6BC56001"/>
    <w:rsid w:val="6BCA186A"/>
    <w:rsid w:val="6BCC7390"/>
    <w:rsid w:val="6BCE3108"/>
    <w:rsid w:val="6BD36970"/>
    <w:rsid w:val="6BD526E8"/>
    <w:rsid w:val="6C17069E"/>
    <w:rsid w:val="6C2225DD"/>
    <w:rsid w:val="6C301153"/>
    <w:rsid w:val="6C3F7B62"/>
    <w:rsid w:val="6C6B0957"/>
    <w:rsid w:val="6C6E0447"/>
    <w:rsid w:val="6C832144"/>
    <w:rsid w:val="6C845EBC"/>
    <w:rsid w:val="6C89702F"/>
    <w:rsid w:val="6C9D0D2C"/>
    <w:rsid w:val="6CC265FC"/>
    <w:rsid w:val="6CD504C6"/>
    <w:rsid w:val="6CD52274"/>
    <w:rsid w:val="6CF92406"/>
    <w:rsid w:val="6CFC3CA5"/>
    <w:rsid w:val="6CFC5A53"/>
    <w:rsid w:val="6CFE5C6F"/>
    <w:rsid w:val="6D050DAB"/>
    <w:rsid w:val="6D147240"/>
    <w:rsid w:val="6D196605"/>
    <w:rsid w:val="6D21370B"/>
    <w:rsid w:val="6D293FA7"/>
    <w:rsid w:val="6D3B18E0"/>
    <w:rsid w:val="6D57537F"/>
    <w:rsid w:val="6D5B6C1D"/>
    <w:rsid w:val="6D5D6CA1"/>
    <w:rsid w:val="6D6D4BA2"/>
    <w:rsid w:val="6D77332B"/>
    <w:rsid w:val="6D871D31"/>
    <w:rsid w:val="6D8B5ABC"/>
    <w:rsid w:val="6D940381"/>
    <w:rsid w:val="6D9C3AFC"/>
    <w:rsid w:val="6DAC1227"/>
    <w:rsid w:val="6DBB76BC"/>
    <w:rsid w:val="6DD15131"/>
    <w:rsid w:val="6DD469CF"/>
    <w:rsid w:val="6DE07122"/>
    <w:rsid w:val="6DF66946"/>
    <w:rsid w:val="6DF7216D"/>
    <w:rsid w:val="6DF835FD"/>
    <w:rsid w:val="6E0B0643"/>
    <w:rsid w:val="6E14209A"/>
    <w:rsid w:val="6E22773B"/>
    <w:rsid w:val="6E443B55"/>
    <w:rsid w:val="6E4E6782"/>
    <w:rsid w:val="6E5B2C4D"/>
    <w:rsid w:val="6E6164B5"/>
    <w:rsid w:val="6E8E4DD0"/>
    <w:rsid w:val="6E9F4B86"/>
    <w:rsid w:val="6EA168B2"/>
    <w:rsid w:val="6EB02F99"/>
    <w:rsid w:val="6EB72460"/>
    <w:rsid w:val="6EB74327"/>
    <w:rsid w:val="6EB8556A"/>
    <w:rsid w:val="6EBA7973"/>
    <w:rsid w:val="6EBC36EB"/>
    <w:rsid w:val="6EDF43AF"/>
    <w:rsid w:val="6EEE586F"/>
    <w:rsid w:val="6EF72976"/>
    <w:rsid w:val="6F064E06"/>
    <w:rsid w:val="6F094457"/>
    <w:rsid w:val="6F176B74"/>
    <w:rsid w:val="6F35349E"/>
    <w:rsid w:val="6F360C58"/>
    <w:rsid w:val="6F370FC4"/>
    <w:rsid w:val="6F5E6CE0"/>
    <w:rsid w:val="6F614293"/>
    <w:rsid w:val="6F636421"/>
    <w:rsid w:val="6F6B5112"/>
    <w:rsid w:val="6F6E6EC3"/>
    <w:rsid w:val="6F7264A0"/>
    <w:rsid w:val="6F765F90"/>
    <w:rsid w:val="6F7C0F78"/>
    <w:rsid w:val="6F9401C4"/>
    <w:rsid w:val="6FB915A7"/>
    <w:rsid w:val="6FC14D32"/>
    <w:rsid w:val="6FCD1928"/>
    <w:rsid w:val="6FD902CD"/>
    <w:rsid w:val="6FDD39BA"/>
    <w:rsid w:val="6FDE58E3"/>
    <w:rsid w:val="6FE61F3E"/>
    <w:rsid w:val="70161521"/>
    <w:rsid w:val="70187047"/>
    <w:rsid w:val="701914D7"/>
    <w:rsid w:val="701C6FC8"/>
    <w:rsid w:val="702F613F"/>
    <w:rsid w:val="703244E4"/>
    <w:rsid w:val="70443444"/>
    <w:rsid w:val="705636CC"/>
    <w:rsid w:val="706B361B"/>
    <w:rsid w:val="70720586"/>
    <w:rsid w:val="70875F7B"/>
    <w:rsid w:val="70897150"/>
    <w:rsid w:val="70B53F76"/>
    <w:rsid w:val="70BB7EBB"/>
    <w:rsid w:val="70ED2282"/>
    <w:rsid w:val="711710AD"/>
    <w:rsid w:val="713F62F4"/>
    <w:rsid w:val="71656047"/>
    <w:rsid w:val="718F158B"/>
    <w:rsid w:val="71A242CB"/>
    <w:rsid w:val="71A87F57"/>
    <w:rsid w:val="71AA5D09"/>
    <w:rsid w:val="71C8684B"/>
    <w:rsid w:val="71CF732E"/>
    <w:rsid w:val="71DC40A5"/>
    <w:rsid w:val="71DD22F7"/>
    <w:rsid w:val="71E116BB"/>
    <w:rsid w:val="71F4319C"/>
    <w:rsid w:val="71FC75D1"/>
    <w:rsid w:val="71FE04BF"/>
    <w:rsid w:val="720D49AF"/>
    <w:rsid w:val="720F7FD6"/>
    <w:rsid w:val="72121874"/>
    <w:rsid w:val="72181F15"/>
    <w:rsid w:val="721F290F"/>
    <w:rsid w:val="722021E3"/>
    <w:rsid w:val="7229553C"/>
    <w:rsid w:val="72323CC5"/>
    <w:rsid w:val="72334969"/>
    <w:rsid w:val="726F7FB0"/>
    <w:rsid w:val="72770E94"/>
    <w:rsid w:val="729C3F60"/>
    <w:rsid w:val="72A46970"/>
    <w:rsid w:val="72AD3E9C"/>
    <w:rsid w:val="72B50B7E"/>
    <w:rsid w:val="72BB0EC2"/>
    <w:rsid w:val="72C62D8B"/>
    <w:rsid w:val="72EE22E1"/>
    <w:rsid w:val="72F05CEA"/>
    <w:rsid w:val="72FB0CA2"/>
    <w:rsid w:val="72FD2525"/>
    <w:rsid w:val="732D2E0A"/>
    <w:rsid w:val="732E0930"/>
    <w:rsid w:val="73335F46"/>
    <w:rsid w:val="73373C88"/>
    <w:rsid w:val="735C7C30"/>
    <w:rsid w:val="73661E78"/>
    <w:rsid w:val="73697BBA"/>
    <w:rsid w:val="73775E2C"/>
    <w:rsid w:val="73A155A6"/>
    <w:rsid w:val="73A86934"/>
    <w:rsid w:val="73B250BD"/>
    <w:rsid w:val="73B40E35"/>
    <w:rsid w:val="73B61051"/>
    <w:rsid w:val="73B70925"/>
    <w:rsid w:val="73BB6668"/>
    <w:rsid w:val="73C365CB"/>
    <w:rsid w:val="73D414D7"/>
    <w:rsid w:val="73EA4857"/>
    <w:rsid w:val="73F6144E"/>
    <w:rsid w:val="741C5935"/>
    <w:rsid w:val="742023C5"/>
    <w:rsid w:val="743D52CE"/>
    <w:rsid w:val="7443670B"/>
    <w:rsid w:val="74534AF2"/>
    <w:rsid w:val="745B7503"/>
    <w:rsid w:val="748D1686"/>
    <w:rsid w:val="74933140"/>
    <w:rsid w:val="74AE3AD6"/>
    <w:rsid w:val="74B80A8E"/>
    <w:rsid w:val="751122B7"/>
    <w:rsid w:val="75157FF9"/>
    <w:rsid w:val="751759A6"/>
    <w:rsid w:val="75387844"/>
    <w:rsid w:val="75431C52"/>
    <w:rsid w:val="75644ADD"/>
    <w:rsid w:val="75674604"/>
    <w:rsid w:val="756920F3"/>
    <w:rsid w:val="756B5E6B"/>
    <w:rsid w:val="756C4E37"/>
    <w:rsid w:val="756D0E75"/>
    <w:rsid w:val="75755831"/>
    <w:rsid w:val="75866801"/>
    <w:rsid w:val="758807CB"/>
    <w:rsid w:val="758962F1"/>
    <w:rsid w:val="75937E8D"/>
    <w:rsid w:val="75D51537"/>
    <w:rsid w:val="75DF5F11"/>
    <w:rsid w:val="75E35A02"/>
    <w:rsid w:val="75E654F2"/>
    <w:rsid w:val="762027B2"/>
    <w:rsid w:val="762108D3"/>
    <w:rsid w:val="76312C11"/>
    <w:rsid w:val="763224E5"/>
    <w:rsid w:val="76361FD5"/>
    <w:rsid w:val="764364A0"/>
    <w:rsid w:val="76505878"/>
    <w:rsid w:val="765406AD"/>
    <w:rsid w:val="76790114"/>
    <w:rsid w:val="76794AF8"/>
    <w:rsid w:val="76850C08"/>
    <w:rsid w:val="769778EA"/>
    <w:rsid w:val="76BB24DB"/>
    <w:rsid w:val="76C84BF7"/>
    <w:rsid w:val="76D67314"/>
    <w:rsid w:val="76DF266D"/>
    <w:rsid w:val="76E063E5"/>
    <w:rsid w:val="77065E4C"/>
    <w:rsid w:val="77066C6E"/>
    <w:rsid w:val="770B3462"/>
    <w:rsid w:val="7711659E"/>
    <w:rsid w:val="771B11CB"/>
    <w:rsid w:val="7722255A"/>
    <w:rsid w:val="77274014"/>
    <w:rsid w:val="772E2227"/>
    <w:rsid w:val="77302EC9"/>
    <w:rsid w:val="7731279D"/>
    <w:rsid w:val="77533CC6"/>
    <w:rsid w:val="775748F9"/>
    <w:rsid w:val="775D4510"/>
    <w:rsid w:val="7760252B"/>
    <w:rsid w:val="776058DA"/>
    <w:rsid w:val="77626DFA"/>
    <w:rsid w:val="777032C5"/>
    <w:rsid w:val="77777A8E"/>
    <w:rsid w:val="777803CC"/>
    <w:rsid w:val="777D1E86"/>
    <w:rsid w:val="77905715"/>
    <w:rsid w:val="779276DF"/>
    <w:rsid w:val="77BA09E4"/>
    <w:rsid w:val="77F40160"/>
    <w:rsid w:val="77FC0FFD"/>
    <w:rsid w:val="78197E01"/>
    <w:rsid w:val="781D568D"/>
    <w:rsid w:val="78342545"/>
    <w:rsid w:val="78362F6D"/>
    <w:rsid w:val="78412EB3"/>
    <w:rsid w:val="78627545"/>
    <w:rsid w:val="78632E2A"/>
    <w:rsid w:val="78654665"/>
    <w:rsid w:val="78654DF4"/>
    <w:rsid w:val="78782D79"/>
    <w:rsid w:val="787B0173"/>
    <w:rsid w:val="788A2AAC"/>
    <w:rsid w:val="789C661D"/>
    <w:rsid w:val="789E3E62"/>
    <w:rsid w:val="78E0447A"/>
    <w:rsid w:val="78EF46BD"/>
    <w:rsid w:val="78F22A35"/>
    <w:rsid w:val="78F63C9E"/>
    <w:rsid w:val="790740FD"/>
    <w:rsid w:val="791660EE"/>
    <w:rsid w:val="791D122B"/>
    <w:rsid w:val="791F31F5"/>
    <w:rsid w:val="793F5645"/>
    <w:rsid w:val="79464C25"/>
    <w:rsid w:val="794835E0"/>
    <w:rsid w:val="7948558C"/>
    <w:rsid w:val="794E7636"/>
    <w:rsid w:val="797F1EE5"/>
    <w:rsid w:val="79892D64"/>
    <w:rsid w:val="798B2638"/>
    <w:rsid w:val="798E037A"/>
    <w:rsid w:val="79960FDD"/>
    <w:rsid w:val="79997202"/>
    <w:rsid w:val="799E680F"/>
    <w:rsid w:val="79A8581C"/>
    <w:rsid w:val="79B0209F"/>
    <w:rsid w:val="79C45B4A"/>
    <w:rsid w:val="79C96FDE"/>
    <w:rsid w:val="79E6416C"/>
    <w:rsid w:val="7A066163"/>
    <w:rsid w:val="7A0860A5"/>
    <w:rsid w:val="7A1B3962"/>
    <w:rsid w:val="7A2111EE"/>
    <w:rsid w:val="7A2A00A3"/>
    <w:rsid w:val="7A2F56B9"/>
    <w:rsid w:val="7A623463"/>
    <w:rsid w:val="7A6D48C0"/>
    <w:rsid w:val="7A6D7F90"/>
    <w:rsid w:val="7A765096"/>
    <w:rsid w:val="7A861051"/>
    <w:rsid w:val="7A974046"/>
    <w:rsid w:val="7A9A4854"/>
    <w:rsid w:val="7AB931D5"/>
    <w:rsid w:val="7ABA14EE"/>
    <w:rsid w:val="7AC53928"/>
    <w:rsid w:val="7AC878BC"/>
    <w:rsid w:val="7ACA7190"/>
    <w:rsid w:val="7B007056"/>
    <w:rsid w:val="7B02692A"/>
    <w:rsid w:val="7B0F72C3"/>
    <w:rsid w:val="7B114DBF"/>
    <w:rsid w:val="7B124498"/>
    <w:rsid w:val="7B227B40"/>
    <w:rsid w:val="7B2368A0"/>
    <w:rsid w:val="7B375471"/>
    <w:rsid w:val="7B5B428C"/>
    <w:rsid w:val="7B887EC5"/>
    <w:rsid w:val="7B914152"/>
    <w:rsid w:val="7BA3043B"/>
    <w:rsid w:val="7BB17EFC"/>
    <w:rsid w:val="7BB5399C"/>
    <w:rsid w:val="7BC60184"/>
    <w:rsid w:val="7BD5403F"/>
    <w:rsid w:val="7BDD2EF3"/>
    <w:rsid w:val="7BE73A8B"/>
    <w:rsid w:val="7BF471EA"/>
    <w:rsid w:val="7C011556"/>
    <w:rsid w:val="7C18217D"/>
    <w:rsid w:val="7C1E59E5"/>
    <w:rsid w:val="7C246D74"/>
    <w:rsid w:val="7C2823C0"/>
    <w:rsid w:val="7C346F6A"/>
    <w:rsid w:val="7C3C40BE"/>
    <w:rsid w:val="7C4C3220"/>
    <w:rsid w:val="7C4F37CE"/>
    <w:rsid w:val="7C507B69"/>
    <w:rsid w:val="7C596A1E"/>
    <w:rsid w:val="7C5E2286"/>
    <w:rsid w:val="7C701FB9"/>
    <w:rsid w:val="7C817D22"/>
    <w:rsid w:val="7C857813"/>
    <w:rsid w:val="7C99506C"/>
    <w:rsid w:val="7CD24A22"/>
    <w:rsid w:val="7CEA1D6C"/>
    <w:rsid w:val="7CF61768"/>
    <w:rsid w:val="7D0C7F34"/>
    <w:rsid w:val="7D0E5A5A"/>
    <w:rsid w:val="7D2C5EE0"/>
    <w:rsid w:val="7D360B0D"/>
    <w:rsid w:val="7D406A1E"/>
    <w:rsid w:val="7D496A92"/>
    <w:rsid w:val="7D5A0C9F"/>
    <w:rsid w:val="7D637428"/>
    <w:rsid w:val="7D6F2271"/>
    <w:rsid w:val="7D741635"/>
    <w:rsid w:val="7D823D52"/>
    <w:rsid w:val="7D843534"/>
    <w:rsid w:val="7D851A94"/>
    <w:rsid w:val="7D965A4F"/>
    <w:rsid w:val="7DA95783"/>
    <w:rsid w:val="7DB3326F"/>
    <w:rsid w:val="7DCB56F9"/>
    <w:rsid w:val="7DF34C50"/>
    <w:rsid w:val="7E0D00F2"/>
    <w:rsid w:val="7E1846B6"/>
    <w:rsid w:val="7E1A21DD"/>
    <w:rsid w:val="7E271A86"/>
    <w:rsid w:val="7E3037AE"/>
    <w:rsid w:val="7E3A287F"/>
    <w:rsid w:val="7E486D4A"/>
    <w:rsid w:val="7E585093"/>
    <w:rsid w:val="7E5F22E5"/>
    <w:rsid w:val="7E6B4A0B"/>
    <w:rsid w:val="7E714CEC"/>
    <w:rsid w:val="7E786F03"/>
    <w:rsid w:val="7E7C7B82"/>
    <w:rsid w:val="7E8B4E88"/>
    <w:rsid w:val="7E960CC1"/>
    <w:rsid w:val="7EA36676"/>
    <w:rsid w:val="7EB702F4"/>
    <w:rsid w:val="7ECD724F"/>
    <w:rsid w:val="7ED405DD"/>
    <w:rsid w:val="7ED54355"/>
    <w:rsid w:val="7ED625A7"/>
    <w:rsid w:val="7EED715E"/>
    <w:rsid w:val="7EFD7F37"/>
    <w:rsid w:val="7F0834F6"/>
    <w:rsid w:val="7F0A2251"/>
    <w:rsid w:val="7F0D3AEF"/>
    <w:rsid w:val="7F17671C"/>
    <w:rsid w:val="7F2271E4"/>
    <w:rsid w:val="7F2D7CEE"/>
    <w:rsid w:val="7F313C82"/>
    <w:rsid w:val="7F3B4E35"/>
    <w:rsid w:val="7F4A61E1"/>
    <w:rsid w:val="7F4C286A"/>
    <w:rsid w:val="7F544D8E"/>
    <w:rsid w:val="7F596D35"/>
    <w:rsid w:val="7F5C68C8"/>
    <w:rsid w:val="7F645E05"/>
    <w:rsid w:val="7F743B6E"/>
    <w:rsid w:val="7F8C710A"/>
    <w:rsid w:val="7F967F89"/>
    <w:rsid w:val="7F9935D5"/>
    <w:rsid w:val="7FA51F7A"/>
    <w:rsid w:val="7FB328E9"/>
    <w:rsid w:val="7FBA7C9E"/>
    <w:rsid w:val="7FC468A4"/>
    <w:rsid w:val="7FC849DB"/>
    <w:rsid w:val="7FD30895"/>
    <w:rsid w:val="7FDD1714"/>
    <w:rsid w:val="7FDD5BB8"/>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pPr>
    <w:rPr>
      <w:rFonts w:ascii="Times New Roman" w:hAnsi="Times New Roman" w:eastAsia="Times New Roman" w:cs="Times New Roman"/>
      <w:lang w:val="en-US" w:eastAsia="zh-CN" w:bidi="ar-SA"/>
    </w:rPr>
  </w:style>
  <w:style w:type="paragraph" w:styleId="3">
    <w:name w:val="heading 1"/>
    <w:basedOn w:val="1"/>
    <w:next w:val="1"/>
    <w:link w:val="39"/>
    <w:autoRedefine/>
    <w:qFormat/>
    <w:uiPriority w:val="9"/>
    <w:pPr>
      <w:keepNext/>
      <w:keepLines/>
      <w:spacing w:before="340" w:after="330" w:line="578" w:lineRule="auto"/>
      <w:jc w:val="center"/>
      <w:outlineLvl w:val="0"/>
    </w:pPr>
    <w:rPr>
      <w:rFonts w:eastAsia="黑体"/>
      <w:b/>
      <w:bCs/>
      <w:kern w:val="44"/>
      <w:sz w:val="44"/>
      <w:szCs w:val="44"/>
    </w:rPr>
  </w:style>
  <w:style w:type="paragraph" w:styleId="4">
    <w:name w:val="heading 2"/>
    <w:basedOn w:val="1"/>
    <w:next w:val="1"/>
    <w:link w:val="43"/>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5">
    <w:name w:val="heading 3"/>
    <w:basedOn w:val="1"/>
    <w:next w:val="1"/>
    <w:link w:val="46"/>
    <w:autoRedefine/>
    <w:unhideWhenUsed/>
    <w:qFormat/>
    <w:uiPriority w:val="9"/>
    <w:pPr>
      <w:keepNext/>
      <w:keepLines/>
      <w:spacing w:before="260" w:after="260" w:line="416" w:lineRule="auto"/>
      <w:outlineLvl w:val="2"/>
    </w:pPr>
    <w:rPr>
      <w:b/>
      <w:bCs/>
      <w:sz w:val="30"/>
      <w:szCs w:val="32"/>
    </w:rPr>
  </w:style>
  <w:style w:type="paragraph" w:styleId="6">
    <w:name w:val="heading 4"/>
    <w:basedOn w:val="1"/>
    <w:next w:val="1"/>
    <w:link w:val="47"/>
    <w:autoRedefine/>
    <w:unhideWhenUsed/>
    <w:qFormat/>
    <w:uiPriority w:val="9"/>
    <w:pPr>
      <w:keepNext/>
      <w:keepLines/>
      <w:spacing w:before="280" w:after="290" w:line="376" w:lineRule="auto"/>
      <w:outlineLvl w:val="3"/>
    </w:pPr>
    <w:rPr>
      <w:rFonts w:asciiTheme="majorHAnsi" w:hAnsiTheme="majorHAnsi" w:cstheme="majorBidi"/>
      <w:b/>
      <w:bCs/>
      <w:sz w:val="28"/>
      <w:szCs w:val="28"/>
    </w:rPr>
  </w:style>
  <w:style w:type="paragraph" w:styleId="7">
    <w:name w:val="heading 5"/>
    <w:basedOn w:val="8"/>
    <w:next w:val="9"/>
    <w:autoRedefine/>
    <w:qFormat/>
    <w:uiPriority w:val="1"/>
    <w:pPr>
      <w:tabs>
        <w:tab w:val="left" w:pos="780"/>
      </w:tabs>
      <w:ind w:left="638" w:firstLine="561"/>
      <w:outlineLvl w:val="4"/>
    </w:pPr>
    <w:rPr>
      <w:rFonts w:ascii="仿宋" w:hAnsi="仿宋" w:eastAsia="仿宋" w:cs="仿宋"/>
      <w:b/>
      <w:bCs/>
      <w:kern w:val="0"/>
      <w:sz w:val="28"/>
      <w:szCs w:val="28"/>
      <w:lang w:val="zh-CN" w:bidi="zh-CN"/>
    </w:rPr>
  </w:style>
  <w:style w:type="character" w:default="1" w:styleId="33">
    <w:name w:val="Default Paragraph Font"/>
    <w:autoRedefine/>
    <w:semiHidden/>
    <w:unhideWhenUsed/>
    <w:qFormat/>
    <w:uiPriority w:val="1"/>
  </w:style>
  <w:style w:type="table" w:default="1" w:styleId="31">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42"/>
    <w:autoRedefine/>
    <w:unhideWhenUsed/>
    <w:qFormat/>
    <w:uiPriority w:val="99"/>
    <w:pPr>
      <w:tabs>
        <w:tab w:val="center" w:pos="4153"/>
        <w:tab w:val="right" w:pos="8306"/>
      </w:tabs>
      <w:snapToGrid w:val="0"/>
      <w:spacing w:line="240" w:lineRule="auto"/>
    </w:pPr>
    <w:rPr>
      <w:sz w:val="18"/>
      <w:szCs w:val="18"/>
    </w:rPr>
  </w:style>
  <w:style w:type="paragraph" w:styleId="8">
    <w:name w:val="List Number 2"/>
    <w:basedOn w:val="1"/>
    <w:autoRedefine/>
    <w:semiHidden/>
    <w:unhideWhenUsed/>
    <w:qFormat/>
    <w:uiPriority w:val="99"/>
    <w:pPr>
      <w:numPr>
        <w:ilvl w:val="0"/>
        <w:numId w:val="1"/>
      </w:numPr>
    </w:pPr>
  </w:style>
  <w:style w:type="paragraph" w:styleId="9">
    <w:name w:val="Normal (Web)"/>
    <w:basedOn w:val="1"/>
    <w:autoRedefine/>
    <w:qFormat/>
    <w:uiPriority w:val="99"/>
    <w:pPr>
      <w:widowControl/>
      <w:spacing w:before="100" w:beforeAutospacing="1" w:after="100" w:afterAutospacing="1"/>
    </w:pPr>
    <w:rPr>
      <w:rFonts w:cs="宋体"/>
      <w:color w:val="000000"/>
      <w:kern w:val="0"/>
      <w:szCs w:val="24"/>
    </w:rPr>
  </w:style>
  <w:style w:type="paragraph" w:styleId="10">
    <w:name w:val="toc 7"/>
    <w:basedOn w:val="1"/>
    <w:next w:val="1"/>
    <w:autoRedefine/>
    <w:unhideWhenUsed/>
    <w:qFormat/>
    <w:uiPriority w:val="39"/>
    <w:pPr>
      <w:ind w:left="1440"/>
    </w:pPr>
    <w:rPr>
      <w:rFonts w:asciiTheme="minorHAnsi" w:eastAsiaTheme="minorHAnsi"/>
      <w:sz w:val="18"/>
      <w:szCs w:val="18"/>
    </w:rPr>
  </w:style>
  <w:style w:type="paragraph" w:styleId="11">
    <w:name w:val="Normal Indent"/>
    <w:basedOn w:val="1"/>
    <w:next w:val="1"/>
    <w:autoRedefine/>
    <w:unhideWhenUsed/>
    <w:qFormat/>
    <w:uiPriority w:val="0"/>
    <w:pPr>
      <w:ind w:firstLine="420" w:firstLineChars="200"/>
    </w:pPr>
    <w:rPr>
      <w:rFonts w:ascii="Calibri" w:hAnsi="Calibri"/>
      <w:szCs w:val="22"/>
    </w:rPr>
  </w:style>
  <w:style w:type="paragraph" w:styleId="12">
    <w:name w:val="List Bullet"/>
    <w:basedOn w:val="1"/>
    <w:autoRedefine/>
    <w:unhideWhenUsed/>
    <w:qFormat/>
    <w:uiPriority w:val="99"/>
    <w:pPr>
      <w:tabs>
        <w:tab w:val="left" w:pos="360"/>
        <w:tab w:val="left" w:pos="1134"/>
      </w:tabs>
      <w:spacing w:line="240" w:lineRule="auto"/>
      <w:ind w:left="1134" w:hanging="1134"/>
      <w:contextualSpacing/>
      <w:jc w:val="both"/>
    </w:pPr>
    <w:rPr>
      <w:rFonts w:ascii="Times New Roman" w:hAnsi="Times New Roman" w:cs="Times New Roman"/>
      <w:kern w:val="0"/>
      <w:sz w:val="20"/>
      <w:szCs w:val="20"/>
    </w:rPr>
  </w:style>
  <w:style w:type="paragraph" w:styleId="13">
    <w:name w:val="annotation text"/>
    <w:basedOn w:val="1"/>
    <w:link w:val="44"/>
    <w:autoRedefine/>
    <w:qFormat/>
    <w:uiPriority w:val="0"/>
    <w:pPr>
      <w:spacing w:line="240" w:lineRule="auto"/>
    </w:pPr>
    <w:rPr>
      <w:rFonts w:eastAsiaTheme="minorEastAsia"/>
      <w:sz w:val="21"/>
      <w:szCs w:val="24"/>
    </w:rPr>
  </w:style>
  <w:style w:type="paragraph" w:styleId="14">
    <w:name w:val="Body Text"/>
    <w:basedOn w:val="1"/>
    <w:next w:val="15"/>
    <w:link w:val="48"/>
    <w:autoRedefine/>
    <w:qFormat/>
    <w:uiPriority w:val="99"/>
    <w:pPr>
      <w:spacing w:after="120" w:line="240" w:lineRule="auto"/>
      <w:jc w:val="both"/>
    </w:pPr>
    <w:rPr>
      <w:rFonts w:eastAsiaTheme="minorEastAsia"/>
      <w:sz w:val="21"/>
      <w:szCs w:val="24"/>
    </w:rPr>
  </w:style>
  <w:style w:type="paragraph" w:styleId="15">
    <w:name w:val="Body Text First Indent"/>
    <w:basedOn w:val="14"/>
    <w:next w:val="16"/>
    <w:qFormat/>
    <w:uiPriority w:val="0"/>
    <w:pPr>
      <w:tabs>
        <w:tab w:val="left" w:pos="567"/>
      </w:tabs>
      <w:ind w:firstLine="420" w:firstLineChars="100"/>
    </w:pPr>
  </w:style>
  <w:style w:type="paragraph" w:styleId="16">
    <w:name w:val="toc 6"/>
    <w:basedOn w:val="1"/>
    <w:next w:val="1"/>
    <w:autoRedefine/>
    <w:unhideWhenUsed/>
    <w:qFormat/>
    <w:uiPriority w:val="39"/>
    <w:pPr>
      <w:ind w:left="1200"/>
    </w:pPr>
    <w:rPr>
      <w:rFonts w:asciiTheme="minorHAnsi" w:eastAsiaTheme="minorHAnsi"/>
      <w:sz w:val="18"/>
      <w:szCs w:val="18"/>
    </w:rPr>
  </w:style>
  <w:style w:type="paragraph" w:styleId="17">
    <w:name w:val="Body Text Indent"/>
    <w:basedOn w:val="1"/>
    <w:next w:val="18"/>
    <w:autoRedefine/>
    <w:unhideWhenUsed/>
    <w:qFormat/>
    <w:uiPriority w:val="0"/>
    <w:pPr>
      <w:ind w:firstLine="630"/>
    </w:pPr>
    <w:rPr>
      <w:rFonts w:eastAsia="仿宋_GB2312"/>
      <w:kern w:val="0"/>
      <w:sz w:val="32"/>
      <w:szCs w:val="20"/>
    </w:rPr>
  </w:style>
  <w:style w:type="paragraph" w:styleId="18">
    <w:name w:val="envelope return"/>
    <w:basedOn w:val="1"/>
    <w:qFormat/>
    <w:uiPriority w:val="0"/>
    <w:rPr>
      <w:rFonts w:ascii="Arial" w:hAnsi="Arial"/>
    </w:rPr>
  </w:style>
  <w:style w:type="paragraph" w:styleId="19">
    <w:name w:val="toc 5"/>
    <w:basedOn w:val="1"/>
    <w:next w:val="1"/>
    <w:autoRedefine/>
    <w:unhideWhenUsed/>
    <w:qFormat/>
    <w:uiPriority w:val="39"/>
    <w:pPr>
      <w:ind w:left="960"/>
    </w:pPr>
    <w:rPr>
      <w:rFonts w:asciiTheme="minorHAnsi" w:eastAsiaTheme="minorHAnsi"/>
      <w:sz w:val="18"/>
      <w:szCs w:val="18"/>
    </w:rPr>
  </w:style>
  <w:style w:type="paragraph" w:styleId="20">
    <w:name w:val="toc 3"/>
    <w:basedOn w:val="1"/>
    <w:next w:val="1"/>
    <w:autoRedefine/>
    <w:unhideWhenUsed/>
    <w:qFormat/>
    <w:uiPriority w:val="39"/>
    <w:pPr>
      <w:ind w:left="480"/>
    </w:pPr>
    <w:rPr>
      <w:rFonts w:asciiTheme="minorHAnsi" w:eastAsiaTheme="minorHAnsi"/>
      <w:i/>
      <w:iCs/>
      <w:sz w:val="20"/>
      <w:szCs w:val="20"/>
    </w:rPr>
  </w:style>
  <w:style w:type="paragraph" w:styleId="21">
    <w:name w:val="Plain Text"/>
    <w:basedOn w:val="1"/>
    <w:autoRedefine/>
    <w:unhideWhenUsed/>
    <w:qFormat/>
    <w:uiPriority w:val="0"/>
    <w:rPr>
      <w:rFonts w:ascii="宋体" w:hAnsi="Courier New"/>
      <w:kern w:val="0"/>
      <w:sz w:val="20"/>
      <w:szCs w:val="20"/>
    </w:rPr>
  </w:style>
  <w:style w:type="paragraph" w:styleId="22">
    <w:name w:val="toc 8"/>
    <w:basedOn w:val="1"/>
    <w:next w:val="1"/>
    <w:autoRedefine/>
    <w:unhideWhenUsed/>
    <w:qFormat/>
    <w:uiPriority w:val="39"/>
    <w:pPr>
      <w:ind w:left="1680"/>
    </w:pPr>
    <w:rPr>
      <w:rFonts w:asciiTheme="minorHAnsi" w:eastAsiaTheme="minorHAnsi"/>
      <w:sz w:val="18"/>
      <w:szCs w:val="18"/>
    </w:rPr>
  </w:style>
  <w:style w:type="paragraph" w:styleId="23">
    <w:name w:val="header"/>
    <w:basedOn w:val="1"/>
    <w:link w:val="41"/>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4">
    <w:name w:val="toc 1"/>
    <w:basedOn w:val="1"/>
    <w:next w:val="1"/>
    <w:autoRedefine/>
    <w:unhideWhenUsed/>
    <w:qFormat/>
    <w:uiPriority w:val="39"/>
    <w:pPr>
      <w:spacing w:before="120" w:after="120"/>
    </w:pPr>
    <w:rPr>
      <w:rFonts w:asciiTheme="minorHAnsi" w:eastAsiaTheme="minorHAnsi"/>
      <w:b/>
      <w:bCs/>
      <w:caps/>
      <w:sz w:val="20"/>
      <w:szCs w:val="20"/>
    </w:rPr>
  </w:style>
  <w:style w:type="paragraph" w:styleId="25">
    <w:name w:val="toc 4"/>
    <w:basedOn w:val="1"/>
    <w:next w:val="1"/>
    <w:autoRedefine/>
    <w:unhideWhenUsed/>
    <w:qFormat/>
    <w:uiPriority w:val="39"/>
    <w:pPr>
      <w:ind w:left="720"/>
    </w:pPr>
    <w:rPr>
      <w:rFonts w:asciiTheme="minorHAnsi" w:eastAsiaTheme="minorHAnsi"/>
      <w:sz w:val="18"/>
      <w:szCs w:val="18"/>
    </w:rPr>
  </w:style>
  <w:style w:type="paragraph" w:styleId="26">
    <w:name w:val="footnote text"/>
    <w:basedOn w:val="1"/>
    <w:qFormat/>
    <w:uiPriority w:val="0"/>
    <w:pPr>
      <w:widowControl/>
      <w:jc w:val="left"/>
    </w:pPr>
    <w:rPr>
      <w:kern w:val="0"/>
      <w:sz w:val="20"/>
      <w:szCs w:val="20"/>
      <w:lang w:val="de-DE"/>
    </w:rPr>
  </w:style>
  <w:style w:type="paragraph" w:styleId="27">
    <w:name w:val="toc 2"/>
    <w:basedOn w:val="1"/>
    <w:next w:val="1"/>
    <w:autoRedefine/>
    <w:unhideWhenUsed/>
    <w:qFormat/>
    <w:uiPriority w:val="39"/>
    <w:pPr>
      <w:ind w:left="240"/>
    </w:pPr>
    <w:rPr>
      <w:rFonts w:asciiTheme="minorHAnsi" w:eastAsiaTheme="minorHAnsi"/>
      <w:smallCaps/>
      <w:sz w:val="20"/>
      <w:szCs w:val="20"/>
    </w:rPr>
  </w:style>
  <w:style w:type="paragraph" w:styleId="28">
    <w:name w:val="toc 9"/>
    <w:basedOn w:val="1"/>
    <w:next w:val="1"/>
    <w:autoRedefine/>
    <w:unhideWhenUsed/>
    <w:qFormat/>
    <w:uiPriority w:val="39"/>
    <w:pPr>
      <w:ind w:left="1920"/>
    </w:pPr>
    <w:rPr>
      <w:rFonts w:asciiTheme="minorHAnsi" w:eastAsiaTheme="minorHAnsi"/>
      <w:sz w:val="18"/>
      <w:szCs w:val="18"/>
    </w:rPr>
  </w:style>
  <w:style w:type="paragraph" w:styleId="29">
    <w:name w:val="annotation subject"/>
    <w:basedOn w:val="13"/>
    <w:next w:val="13"/>
    <w:link w:val="52"/>
    <w:autoRedefine/>
    <w:semiHidden/>
    <w:unhideWhenUsed/>
    <w:qFormat/>
    <w:uiPriority w:val="99"/>
    <w:pPr>
      <w:spacing w:line="360" w:lineRule="auto"/>
    </w:pPr>
    <w:rPr>
      <w:rFonts w:eastAsia="宋体"/>
      <w:b/>
      <w:bCs/>
      <w:sz w:val="24"/>
      <w:szCs w:val="22"/>
    </w:rPr>
  </w:style>
  <w:style w:type="paragraph" w:styleId="30">
    <w:name w:val="Body Text First Indent 2"/>
    <w:basedOn w:val="17"/>
    <w:next w:val="1"/>
    <w:autoRedefine/>
    <w:qFormat/>
    <w:uiPriority w:val="0"/>
    <w:pPr>
      <w:snapToGrid/>
      <w:spacing w:after="120" w:line="240" w:lineRule="auto"/>
      <w:ind w:left="420" w:leftChars="200" w:right="0" w:firstLine="420" w:firstLineChars="200"/>
    </w:pPr>
    <w:rPr>
      <w:rFonts w:ascii="Times New Roman" w:eastAsia="宋体"/>
      <w:spacing w:val="0"/>
      <w:sz w:val="21"/>
      <w:szCs w:val="24"/>
    </w:rPr>
  </w:style>
  <w:style w:type="table" w:styleId="32">
    <w:name w:val="Table Grid"/>
    <w:basedOn w:val="3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autoRedefine/>
    <w:qFormat/>
    <w:uiPriority w:val="0"/>
    <w:rPr>
      <w:b/>
      <w:bCs/>
    </w:rPr>
  </w:style>
  <w:style w:type="character" w:styleId="35">
    <w:name w:val="Hyperlink"/>
    <w:basedOn w:val="33"/>
    <w:autoRedefine/>
    <w:unhideWhenUsed/>
    <w:qFormat/>
    <w:uiPriority w:val="99"/>
    <w:rPr>
      <w:color w:val="0563C1" w:themeColor="hyperlink"/>
      <w:u w:val="single"/>
      <w14:textFill>
        <w14:solidFill>
          <w14:schemeClr w14:val="hlink"/>
        </w14:solidFill>
      </w14:textFill>
    </w:rPr>
  </w:style>
  <w:style w:type="character" w:styleId="36">
    <w:name w:val="annotation reference"/>
    <w:basedOn w:val="33"/>
    <w:autoRedefine/>
    <w:qFormat/>
    <w:uiPriority w:val="0"/>
    <w:rPr>
      <w:sz w:val="21"/>
      <w:szCs w:val="21"/>
    </w:rPr>
  </w:style>
  <w:style w:type="paragraph" w:customStyle="1" w:styleId="37">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8">
    <w:name w:val="正文缩进2"/>
    <w:basedOn w:val="1"/>
    <w:autoRedefine/>
    <w:qFormat/>
    <w:uiPriority w:val="0"/>
    <w:pPr>
      <w:wordWrap w:val="0"/>
      <w:ind w:firstLine="480"/>
    </w:pPr>
    <w:rPr>
      <w:iCs/>
      <w:shd w:val="clear" w:color="auto" w:fill="FFFFFF" w:themeFill="background1"/>
      <w:lang w:val="zh-CN"/>
    </w:rPr>
  </w:style>
  <w:style w:type="character" w:customStyle="1" w:styleId="39">
    <w:name w:val="标题 1 字符"/>
    <w:basedOn w:val="33"/>
    <w:link w:val="3"/>
    <w:autoRedefine/>
    <w:qFormat/>
    <w:uiPriority w:val="9"/>
    <w:rPr>
      <w:rFonts w:eastAsia="黑体"/>
      <w:b/>
      <w:bCs/>
      <w:kern w:val="44"/>
      <w:sz w:val="44"/>
      <w:szCs w:val="44"/>
    </w:rPr>
  </w:style>
  <w:style w:type="paragraph" w:styleId="40">
    <w:name w:val="List Paragraph"/>
    <w:basedOn w:val="1"/>
    <w:autoRedefine/>
    <w:qFormat/>
    <w:uiPriority w:val="34"/>
    <w:pPr>
      <w:numPr>
        <w:ilvl w:val="0"/>
        <w:numId w:val="2"/>
      </w:numPr>
    </w:pPr>
  </w:style>
  <w:style w:type="character" w:customStyle="1" w:styleId="41">
    <w:name w:val="页眉 字符"/>
    <w:basedOn w:val="33"/>
    <w:link w:val="23"/>
    <w:autoRedefine/>
    <w:qFormat/>
    <w:uiPriority w:val="99"/>
    <w:rPr>
      <w:rFonts w:eastAsia="宋体"/>
      <w:sz w:val="18"/>
      <w:szCs w:val="18"/>
    </w:rPr>
  </w:style>
  <w:style w:type="character" w:customStyle="1" w:styleId="42">
    <w:name w:val="页脚 字符"/>
    <w:basedOn w:val="33"/>
    <w:link w:val="2"/>
    <w:autoRedefine/>
    <w:qFormat/>
    <w:uiPriority w:val="99"/>
    <w:rPr>
      <w:rFonts w:eastAsia="宋体"/>
      <w:sz w:val="18"/>
      <w:szCs w:val="18"/>
    </w:rPr>
  </w:style>
  <w:style w:type="character" w:customStyle="1" w:styleId="43">
    <w:name w:val="标题 2 字符"/>
    <w:basedOn w:val="33"/>
    <w:link w:val="4"/>
    <w:autoRedefine/>
    <w:qFormat/>
    <w:uiPriority w:val="0"/>
    <w:rPr>
      <w:rFonts w:eastAsia="宋体" w:asciiTheme="majorHAnsi" w:hAnsiTheme="majorHAnsi" w:cstheme="majorBidi"/>
      <w:b/>
      <w:bCs/>
      <w:sz w:val="32"/>
      <w:szCs w:val="32"/>
    </w:rPr>
  </w:style>
  <w:style w:type="character" w:customStyle="1" w:styleId="44">
    <w:name w:val="批注文字 字符"/>
    <w:basedOn w:val="33"/>
    <w:link w:val="13"/>
    <w:autoRedefine/>
    <w:qFormat/>
    <w:uiPriority w:val="0"/>
    <w:rPr>
      <w:szCs w:val="24"/>
    </w:rPr>
  </w:style>
  <w:style w:type="paragraph" w:customStyle="1" w:styleId="45">
    <w:name w:val="Char1 Char Char Char"/>
    <w:basedOn w:val="1"/>
    <w:autoRedefine/>
    <w:qFormat/>
    <w:uiPriority w:val="0"/>
    <w:pPr>
      <w:adjustRightInd w:val="0"/>
      <w:jc w:val="both"/>
    </w:pPr>
    <w:rPr>
      <w:rFonts w:ascii="Times New Roman" w:hAnsi="Times New Roman" w:cs="Times New Roman"/>
      <w:kern w:val="0"/>
      <w:szCs w:val="20"/>
    </w:rPr>
  </w:style>
  <w:style w:type="character" w:customStyle="1" w:styleId="46">
    <w:name w:val="标题 3 字符"/>
    <w:basedOn w:val="33"/>
    <w:link w:val="5"/>
    <w:autoRedefine/>
    <w:qFormat/>
    <w:uiPriority w:val="9"/>
    <w:rPr>
      <w:rFonts w:eastAsia="宋体"/>
      <w:b/>
      <w:bCs/>
      <w:sz w:val="30"/>
      <w:szCs w:val="32"/>
    </w:rPr>
  </w:style>
  <w:style w:type="character" w:customStyle="1" w:styleId="47">
    <w:name w:val="标题 4 字符"/>
    <w:basedOn w:val="33"/>
    <w:link w:val="6"/>
    <w:autoRedefine/>
    <w:qFormat/>
    <w:uiPriority w:val="9"/>
    <w:rPr>
      <w:rFonts w:eastAsia="宋体" w:asciiTheme="majorHAnsi" w:hAnsiTheme="majorHAnsi" w:cstheme="majorBidi"/>
      <w:b/>
      <w:bCs/>
      <w:sz w:val="28"/>
      <w:szCs w:val="28"/>
    </w:rPr>
  </w:style>
  <w:style w:type="character" w:customStyle="1" w:styleId="48">
    <w:name w:val="正文文本 字符"/>
    <w:basedOn w:val="33"/>
    <w:link w:val="14"/>
    <w:autoRedefine/>
    <w:qFormat/>
    <w:uiPriority w:val="99"/>
    <w:rPr>
      <w:szCs w:val="24"/>
    </w:rPr>
  </w:style>
  <w:style w:type="paragraph" w:customStyle="1" w:styleId="49">
    <w:name w:val="样式"/>
    <w:basedOn w:val="1"/>
    <w:autoRedefine/>
    <w:qFormat/>
    <w:uiPriority w:val="0"/>
    <w:pPr>
      <w:autoSpaceDE w:val="0"/>
      <w:autoSpaceDN w:val="0"/>
      <w:snapToGrid w:val="0"/>
      <w:spacing w:before="120" w:after="120"/>
      <w:jc w:val="both"/>
    </w:pPr>
    <w:rPr>
      <w:rFonts w:hAnsi="Times New Roman" w:cs="Times New Roman"/>
      <w:kern w:val="0"/>
      <w:szCs w:val="20"/>
    </w:rPr>
  </w:style>
  <w:style w:type="paragraph" w:styleId="50">
    <w:name w:val="No Spacing"/>
    <w:autoRedefine/>
    <w:qFormat/>
    <w:uiPriority w:val="1"/>
    <w:pPr>
      <w:widowControl w:val="0"/>
    </w:pPr>
    <w:rPr>
      <w:rFonts w:ascii="宋体" w:hAnsi="宋体" w:eastAsia="宋体" w:cstheme="minorBidi"/>
      <w:kern w:val="2"/>
      <w:sz w:val="24"/>
      <w:szCs w:val="22"/>
      <w:lang w:val="en-US" w:eastAsia="zh-CN" w:bidi="ar-SA"/>
    </w:rPr>
  </w:style>
  <w:style w:type="character" w:customStyle="1" w:styleId="51">
    <w:name w:val="未处理的提及1"/>
    <w:basedOn w:val="33"/>
    <w:autoRedefine/>
    <w:semiHidden/>
    <w:unhideWhenUsed/>
    <w:qFormat/>
    <w:uiPriority w:val="99"/>
    <w:rPr>
      <w:color w:val="605E5C"/>
      <w:shd w:val="clear" w:color="auto" w:fill="E1DFDD"/>
    </w:rPr>
  </w:style>
  <w:style w:type="character" w:customStyle="1" w:styleId="52">
    <w:name w:val="批注主题 字符"/>
    <w:basedOn w:val="44"/>
    <w:link w:val="29"/>
    <w:autoRedefine/>
    <w:semiHidden/>
    <w:qFormat/>
    <w:uiPriority w:val="99"/>
    <w:rPr>
      <w:rFonts w:ascii="宋体" w:hAnsi="宋体" w:cstheme="minorBidi"/>
      <w:b/>
      <w:bCs/>
      <w:kern w:val="2"/>
      <w:sz w:val="24"/>
      <w:szCs w:val="22"/>
    </w:rPr>
  </w:style>
  <w:style w:type="character" w:customStyle="1" w:styleId="53">
    <w:name w:val="未处理的提及2"/>
    <w:basedOn w:val="33"/>
    <w:autoRedefine/>
    <w:semiHidden/>
    <w:unhideWhenUsed/>
    <w:qFormat/>
    <w:uiPriority w:val="99"/>
    <w:rPr>
      <w:color w:val="605E5C"/>
      <w:shd w:val="clear" w:color="auto" w:fill="E1DFDD"/>
    </w:rPr>
  </w:style>
  <w:style w:type="paragraph" w:customStyle="1" w:styleId="54">
    <w:name w:val="正文_2"/>
    <w:basedOn w:val="55"/>
    <w:next w:val="63"/>
    <w:autoRedefine/>
    <w:qFormat/>
    <w:uiPriority w:val="0"/>
    <w:pPr>
      <w:widowControl w:val="0"/>
      <w:jc w:val="both"/>
    </w:pPr>
    <w:rPr>
      <w:rFonts w:ascii="Calibri" w:hAnsi="Calibri" w:eastAsia="宋体" w:cs="Times New Roman"/>
      <w:lang w:val="en-US" w:eastAsia="zh-CN" w:bidi="ar-SA"/>
    </w:rPr>
  </w:style>
  <w:style w:type="paragraph" w:customStyle="1" w:styleId="55">
    <w:name w:val="正文_1_0"/>
    <w:basedOn w:val="56"/>
    <w:next w:val="60"/>
    <w:qFormat/>
    <w:uiPriority w:val="0"/>
    <w:rPr>
      <w:rFonts w:ascii="Calibri" w:hAnsi="Calibri" w:cs="Calibri"/>
      <w:szCs w:val="21"/>
      <w:lang w:bidi="ug-CN"/>
    </w:rPr>
  </w:style>
  <w:style w:type="paragraph" w:customStyle="1" w:styleId="56">
    <w:name w:val="正文_1_1"/>
    <w:basedOn w:val="57"/>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57">
    <w:name w:val="正文_5"/>
    <w:next w:val="5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8">
    <w:name w:val="引文目录标题_0"/>
    <w:basedOn w:val="59"/>
    <w:next w:val="57"/>
    <w:qFormat/>
    <w:uiPriority w:val="0"/>
    <w:pPr>
      <w:spacing w:before="120"/>
    </w:pPr>
    <w:rPr>
      <w:rFonts w:ascii="Arial" w:hAnsi="Arial"/>
      <w:sz w:val="24"/>
    </w:rPr>
  </w:style>
  <w:style w:type="paragraph" w:customStyle="1" w:styleId="59">
    <w:name w:val="正文_2_0"/>
    <w:basedOn w:val="56"/>
    <w:next w:val="58"/>
    <w:qFormat/>
    <w:uiPriority w:val="0"/>
    <w:pPr>
      <w:widowControl w:val="0"/>
      <w:jc w:val="both"/>
    </w:pPr>
    <w:rPr>
      <w:kern w:val="2"/>
      <w:sz w:val="21"/>
      <w:szCs w:val="22"/>
      <w:lang w:val="en-US" w:eastAsia="zh-CN" w:bidi="ar-SA"/>
    </w:rPr>
  </w:style>
  <w:style w:type="paragraph" w:customStyle="1" w:styleId="60">
    <w:name w:val="正文首行缩进1"/>
    <w:basedOn w:val="61"/>
    <w:unhideWhenUsed/>
    <w:qFormat/>
    <w:uiPriority w:val="99"/>
    <w:pPr>
      <w:ind w:firstLine="420" w:firstLineChars="100"/>
    </w:pPr>
    <w:rPr>
      <w:szCs w:val="22"/>
    </w:rPr>
  </w:style>
  <w:style w:type="paragraph" w:customStyle="1" w:styleId="61">
    <w:name w:val="正文文本_0_0"/>
    <w:basedOn w:val="62"/>
    <w:qFormat/>
    <w:uiPriority w:val="0"/>
    <w:pPr>
      <w:spacing w:after="120"/>
    </w:pPr>
    <w:rPr>
      <w:rFonts w:ascii="Calibri" w:hAnsi="Calibri"/>
      <w:kern w:val="0"/>
      <w:sz w:val="20"/>
    </w:rPr>
  </w:style>
  <w:style w:type="paragraph" w:customStyle="1" w:styleId="62">
    <w:name w:val="正文_1_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3">
    <w:name w:val="正文文本_1"/>
    <w:basedOn w:val="64"/>
    <w:qFormat/>
    <w:uiPriority w:val="0"/>
    <w:pPr>
      <w:spacing w:after="120" w:afterLines="0"/>
    </w:pPr>
    <w:rPr>
      <w:rFonts w:ascii="Times New Roman" w:hAnsi="Times New Roman" w:eastAsia="宋体"/>
      <w:szCs w:val="24"/>
    </w:rPr>
  </w:style>
  <w:style w:type="paragraph" w:customStyle="1" w:styleId="64">
    <w:name w:val="正文_8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5">
    <w:name w:val="Normal"/>
    <w:next w:val="66"/>
    <w:autoRedefine/>
    <w:qFormat/>
    <w:uiPriority w:val="0"/>
    <w:pPr>
      <w:widowControl w:val="0"/>
      <w:jc w:val="both"/>
    </w:pPr>
    <w:rPr>
      <w:rFonts w:ascii="Times New Roman" w:hAnsi="Times New Roman" w:eastAsia="Times New Roman" w:cs="Times New Roman"/>
      <w:lang w:val="en-US" w:eastAsia="zh-CN" w:bidi="ar-SA"/>
    </w:rPr>
  </w:style>
  <w:style w:type="paragraph" w:customStyle="1" w:styleId="66">
    <w:name w:val="Footnote Text"/>
    <w:basedOn w:val="65"/>
    <w:autoRedefine/>
    <w:qFormat/>
    <w:uiPriority w:val="0"/>
    <w:pPr>
      <w:snapToGrid w:val="0"/>
      <w:jc w:val="left"/>
    </w:pPr>
    <w:rPr>
      <w:sz w:val="18"/>
      <w:szCs w:val="18"/>
    </w:rPr>
  </w:style>
  <w:style w:type="paragraph" w:customStyle="1" w:styleId="67">
    <w:name w:val="正文_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8">
    <w:name w:val="正文_2_0_0"/>
    <w:autoRedefine/>
    <w:qFormat/>
    <w:uiPriority w:val="99"/>
    <w:pPr>
      <w:widowControl w:val="0"/>
      <w:jc w:val="both"/>
    </w:pPr>
    <w:rPr>
      <w:rFonts w:ascii="Calibri" w:hAnsi="Calibri" w:eastAsia="宋体" w:cs="Times New Roman"/>
      <w:lang w:val="en-US" w:eastAsia="zh-CN" w:bidi="ar-SA"/>
    </w:rPr>
  </w:style>
  <w:style w:type="paragraph" w:customStyle="1" w:styleId="69">
    <w:name w:val="Normal Indent1"/>
    <w:basedOn w:val="1"/>
    <w:autoRedefine/>
    <w:qFormat/>
    <w:uiPriority w:val="0"/>
    <w:pPr>
      <w:ind w:firstLine="420" w:firstLineChars="200"/>
    </w:pPr>
  </w:style>
  <w:style w:type="paragraph" w:customStyle="1" w:styleId="70">
    <w:name w:val="LO-Normal"/>
    <w:autoRedefine/>
    <w:qFormat/>
    <w:uiPriority w:val="0"/>
    <w:pPr>
      <w:suppressAutoHyphens/>
    </w:pPr>
    <w:rPr>
      <w:rFonts w:ascii="Times New Roman" w:hAnsi="Times New Roman" w:eastAsia="宋体" w:cs="Times New Roman"/>
      <w:sz w:val="24"/>
      <w:szCs w:val="24"/>
      <w:lang w:val="en-US" w:eastAsia="zh-CN" w:bidi="ar-SA"/>
    </w:rPr>
  </w:style>
  <w:style w:type="paragraph" w:customStyle="1" w:styleId="71">
    <w:name w:val="Normal_22"/>
    <w:autoRedefine/>
    <w:qFormat/>
    <w:uiPriority w:val="0"/>
    <w:rPr>
      <w:rFonts w:ascii="Times New Roman" w:hAnsi="Times New Roman" w:eastAsia="Times New Roman" w:cs="Times New Roman"/>
      <w:sz w:val="24"/>
      <w:szCs w:val="24"/>
      <w:lang w:bidi="ar-SA"/>
    </w:rPr>
  </w:style>
  <w:style w:type="paragraph" w:customStyle="1" w:styleId="72">
    <w:name w:val="正文_6_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73">
    <w:name w:val="正文_0_0_0 Char"/>
    <w:link w:val="74"/>
    <w:autoRedefine/>
    <w:qFormat/>
    <w:locked/>
    <w:uiPriority w:val="0"/>
    <w:rPr>
      <w:rFonts w:ascii="Calibri" w:hAnsi="Calibri" w:cs="Calibri"/>
      <w:kern w:val="2"/>
      <w:sz w:val="28"/>
      <w:szCs w:val="22"/>
      <w:lang w:val="en-US" w:eastAsia="zh-CN" w:bidi="ar-SA"/>
    </w:rPr>
  </w:style>
  <w:style w:type="paragraph" w:customStyle="1" w:styleId="74">
    <w:name w:val="正文_0_0_0_0_0"/>
    <w:link w:val="73"/>
    <w:autoRedefine/>
    <w:qFormat/>
    <w:uiPriority w:val="0"/>
    <w:pPr>
      <w:spacing w:before="120" w:after="120" w:line="360" w:lineRule="auto"/>
      <w:ind w:left="1072" w:hanging="1072"/>
      <w:jc w:val="both"/>
    </w:pPr>
    <w:rPr>
      <w:rFonts w:ascii="Calibri" w:hAnsi="Calibri" w:eastAsia="宋体" w:cs="Calibri"/>
      <w:kern w:val="2"/>
      <w:sz w:val="28"/>
      <w:szCs w:val="22"/>
      <w:lang w:val="en-US" w:eastAsia="zh-CN" w:bidi="ar-SA"/>
    </w:rPr>
  </w:style>
  <w:style w:type="paragraph" w:customStyle="1" w:styleId="75">
    <w:name w:val="正文文本_0_1"/>
    <w:basedOn w:val="76"/>
    <w:autoRedefine/>
    <w:qFormat/>
    <w:uiPriority w:val="99"/>
    <w:pPr>
      <w:spacing w:after="120"/>
    </w:pPr>
    <w:rPr>
      <w:rFonts w:ascii="Calibri" w:hAnsi="Calibri" w:eastAsia="宋体"/>
      <w:kern w:val="0"/>
      <w:sz w:val="24"/>
      <w:szCs w:val="20"/>
    </w:rPr>
  </w:style>
  <w:style w:type="paragraph" w:customStyle="1" w:styleId="76">
    <w:name w:val="正文_6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77">
    <w:name w:val="Table Paragraph_1"/>
    <w:basedOn w:val="76"/>
    <w:autoRedefine/>
    <w:qFormat/>
    <w:uiPriority w:val="0"/>
    <w:pPr>
      <w:jc w:val="left"/>
    </w:pPr>
    <w:rPr>
      <w:rFonts w:ascii="Calibri" w:hAnsi="Calibri" w:eastAsia="宋体"/>
      <w:kern w:val="0"/>
      <w:sz w:val="22"/>
      <w:lang w:eastAsia="en-US"/>
    </w:rPr>
  </w:style>
  <w:style w:type="paragraph" w:customStyle="1" w:styleId="78">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79">
    <w:name w:val="正文1"/>
    <w:autoRedefine/>
    <w:qFormat/>
    <w:uiPriority w:val="0"/>
    <w:pPr>
      <w:widowControl w:val="0"/>
      <w:jc w:val="both"/>
    </w:pPr>
    <w:rPr>
      <w:rFonts w:ascii="Calibri" w:hAnsi="Calibri" w:eastAsia="宋体" w:cs="Times New Roman"/>
      <w:lang w:val="en-US" w:eastAsia="zh-CN" w:bidi="ar-SA"/>
    </w:rPr>
  </w:style>
  <w:style w:type="paragraph" w:customStyle="1" w:styleId="80">
    <w:name w:val="列出段落1"/>
    <w:basedOn w:val="1"/>
    <w:autoRedefine/>
    <w:qFormat/>
    <w:uiPriority w:val="0"/>
    <w:pPr>
      <w:ind w:firstLine="420" w:firstLineChars="200"/>
    </w:pPr>
    <w:rPr>
      <w:szCs w:val="21"/>
    </w:rPr>
  </w:style>
  <w:style w:type="paragraph" w:customStyle="1" w:styleId="81">
    <w:name w:val="xl31"/>
    <w:basedOn w:val="1"/>
    <w:autoRedefine/>
    <w:qFormat/>
    <w:uiPriority w:val="0"/>
    <w:pPr>
      <w:widowControl/>
      <w:spacing w:before="100" w:beforeAutospacing="1" w:after="100" w:afterAutospacing="1"/>
      <w:jc w:val="center"/>
    </w:pPr>
    <w:rPr>
      <w:b/>
      <w:bCs/>
      <w:kern w:val="0"/>
      <w:sz w:val="28"/>
      <w:szCs w:val="28"/>
    </w:rPr>
  </w:style>
  <w:style w:type="paragraph" w:customStyle="1" w:styleId="82">
    <w:name w:val="正文2"/>
    <w:basedOn w:val="1"/>
    <w:qFormat/>
    <w:uiPriority w:val="0"/>
    <w:pPr>
      <w:spacing w:before="156" w:line="360" w:lineRule="auto"/>
      <w:ind w:firstLine="510" w:firstLineChars="200"/>
    </w:pPr>
    <w:rPr>
      <w:sz w:val="24"/>
      <w:szCs w:val="20"/>
    </w:rPr>
  </w:style>
  <w:style w:type="paragraph" w:customStyle="1" w:styleId="83">
    <w:name w:val="Char Char Char Char Char Char Char1 Char"/>
    <w:basedOn w:val="1"/>
    <w:autoRedefine/>
    <w:qFormat/>
    <w:uiPriority w:val="0"/>
    <w:rPr>
      <w:rFonts w:ascii="Arial" w:hAnsi="Arial" w:eastAsia="宋体" w:cs="Arial"/>
      <w:sz w:val="24"/>
    </w:rPr>
  </w:style>
  <w:style w:type="paragraph" w:customStyle="1" w:styleId="84">
    <w:name w:val="正文缩进2格"/>
    <w:basedOn w:val="1"/>
    <w:qFormat/>
    <w:uiPriority w:val="0"/>
    <w:pPr>
      <w:spacing w:line="600" w:lineRule="exact"/>
      <w:ind w:firstLine="639" w:firstLineChars="206"/>
    </w:pPr>
    <w:rPr>
      <w:rFonts w:ascii="仿宋_GB2312" w:hAnsi="宋体" w:eastAsia="仿宋_GB2312"/>
      <w:kern w:val="0"/>
      <w:sz w:val="31"/>
      <w:szCs w:val="20"/>
    </w:rPr>
  </w:style>
  <w:style w:type="paragraph" w:customStyle="1" w:styleId="85">
    <w:name w:val="正文_8"/>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6">
    <w:name w:val="font31"/>
    <w:basedOn w:val="33"/>
    <w:qFormat/>
    <w:uiPriority w:val="0"/>
    <w:rPr>
      <w:rFonts w:ascii="宋体" w:hAnsi="宋体" w:eastAsia="宋体" w:cs="宋体"/>
      <w:color w:val="000000"/>
      <w:sz w:val="34"/>
      <w:szCs w:val="34"/>
      <w:u w:val="none"/>
    </w:rPr>
  </w:style>
  <w:style w:type="character" w:customStyle="1" w:styleId="87">
    <w:name w:val="font41"/>
    <w:basedOn w:val="33"/>
    <w:qFormat/>
    <w:uiPriority w:val="0"/>
    <w:rPr>
      <w:rFonts w:ascii="宋体" w:hAnsi="宋体" w:eastAsia="宋体" w:cs="宋体"/>
      <w:b/>
      <w:bCs/>
      <w:color w:val="000000"/>
      <w:sz w:val="34"/>
      <w:szCs w:val="34"/>
      <w:u w:val="none"/>
    </w:rPr>
  </w:style>
  <w:style w:type="character" w:customStyle="1" w:styleId="88">
    <w:name w:val="font21"/>
    <w:basedOn w:val="33"/>
    <w:qFormat/>
    <w:uiPriority w:val="0"/>
    <w:rPr>
      <w:rFonts w:ascii="宋体" w:hAnsi="宋体" w:eastAsia="宋体" w:cs="宋体"/>
      <w:color w:val="000000"/>
      <w:sz w:val="24"/>
      <w:szCs w:val="24"/>
      <w:u w:val="none"/>
    </w:rPr>
  </w:style>
  <w:style w:type="paragraph" w:customStyle="1" w:styleId="89">
    <w:name w:val="Table Paragraph"/>
    <w:basedOn w:val="55"/>
    <w:autoRedefine/>
    <w:qFormat/>
    <w:uiPriority w:val="1"/>
    <w:pPr>
      <w:spacing w:before="85"/>
      <w:jc w:val="center"/>
    </w:pPr>
    <w:rPr>
      <w:rFonts w:ascii="宋体" w:hAnsi="宋体" w:eastAsia="宋体" w:cs="宋体"/>
      <w:lang w:val="zh-CN" w:eastAsia="zh-CN" w:bidi="zh-CN"/>
    </w:rPr>
  </w:style>
  <w:style w:type="paragraph" w:customStyle="1" w:styleId="90">
    <w:name w:val="Normal_0"/>
    <w:qFormat/>
    <w:uiPriority w:val="0"/>
    <w:rPr>
      <w:rFonts w:ascii="Times New Roman" w:hAnsi="Times New Roman" w:eastAsia="Times New Roman" w:cs="Times New Roman"/>
      <w:sz w:val="24"/>
      <w:szCs w:val="24"/>
      <w:lang w:bidi="ar-SA"/>
    </w:rPr>
  </w:style>
  <w:style w:type="paragraph" w:customStyle="1" w:styleId="91">
    <w:name w:val="样式 标题 4 + 段前: 5 磅 段后: 5 磅 行距: 单倍行距_0"/>
    <w:basedOn w:val="56"/>
    <w:qFormat/>
    <w:uiPriority w:val="0"/>
    <w:pPr>
      <w:keepNext/>
      <w:keepLines/>
      <w:adjustRightInd w:val="0"/>
      <w:spacing w:before="100" w:after="100"/>
      <w:jc w:val="left"/>
      <w:textAlignment w:val="baseline"/>
      <w:outlineLvl w:val="3"/>
    </w:pPr>
    <w:rPr>
      <w:rFonts w:ascii="Arial" w:hAnsi="Arial" w:eastAsia="黑体" w:cs="宋体"/>
      <w:b/>
      <w:bCs/>
      <w:kern w:val="0"/>
      <w:sz w:val="28"/>
      <w:szCs w:val="28"/>
      <w:lang w:bidi="ug-CN"/>
    </w:rPr>
  </w:style>
  <w:style w:type="paragraph" w:customStyle="1" w:styleId="92">
    <w:name w:val="正文_1_2"/>
    <w:next w:val="9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3">
    <w:name w:val="正文文本缩进_0"/>
    <w:basedOn w:val="94"/>
    <w:qFormat/>
    <w:uiPriority w:val="0"/>
    <w:pPr>
      <w:spacing w:line="500" w:lineRule="exact"/>
      <w:ind w:left="1588" w:leftChars="832" w:firstLine="433" w:firstLineChars="196"/>
    </w:pPr>
    <w:rPr>
      <w:rFonts w:ascii="Calibri" w:hAnsi="Calibri"/>
      <w:sz w:val="24"/>
    </w:rPr>
  </w:style>
  <w:style w:type="paragraph" w:customStyle="1" w:styleId="94">
    <w:name w:val="正文_5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5">
    <w:name w:val="正文_0"/>
    <w:basedOn w:val="54"/>
    <w:autoRedefine/>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125</Pages>
  <Words>2307</Words>
  <Characters>2642</Characters>
  <Lines>328</Lines>
  <Paragraphs>92</Paragraphs>
  <TotalTime>9</TotalTime>
  <ScaleCrop>false</ScaleCrop>
  <LinksUpToDate>false</LinksUpToDate>
  <CharactersWithSpaces>2966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2024-01-02T05:57:00Z</dcterms:created>
  <dc:creator>admin</dc:creator>
  <cp:lastModifiedBy>エイの息子✨</cp:lastModifiedBy>
  <cp:lastPrinted>2024-12-30T05:43:00Z</cp:lastPrinted>
  <dcterms:modified xsi:type="dcterms:W3CDTF">2025-06-23T02:36:22Z</dcterms:modified>
  <cp:revision>425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BA5F919ED484461B88F059FF2571F185_13</vt:lpwstr>
  </property>
  <property fmtid="{D5CDD505-2E9C-101B-9397-08002B2CF9AE}" pid="4" name="KSOTemplateDocerSaveRecord">
    <vt:lpwstr>eyJoZGlkIjoiMDcwZGQ5NGZhMmU0MDE1YjU1OGI2ZWNlZmQ1MWM4Y2UiLCJ1c2VySWQiOiI0NTU4ODYwNzIifQ==</vt:lpwstr>
  </property>
</Properties>
</file>