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中标（成交）结果公告</w:t>
      </w:r>
      <w:bookmarkEnd w:id="0"/>
      <w:bookmarkEnd w:id="1"/>
    </w:p>
    <w:p>
      <w:pPr>
        <w:spacing w:line="560" w:lineRule="exact"/>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b/>
          <w:sz w:val="28"/>
          <w:szCs w:val="28"/>
        </w:rPr>
        <w:t>TZDYCCG-(GK)-2021-01号</w:t>
      </w:r>
    </w:p>
    <w:p>
      <w:pPr>
        <w:spacing w:line="560" w:lineRule="exact"/>
        <w:rPr>
          <w:rFonts w:ascii="黑体" w:hAnsi="黑体" w:eastAsia="黑体"/>
          <w:sz w:val="28"/>
          <w:szCs w:val="28"/>
        </w:rPr>
      </w:pPr>
      <w:r>
        <w:rPr>
          <w:rFonts w:hint="eastAsia" w:ascii="黑体" w:hAnsi="黑体" w:eastAsia="黑体"/>
          <w:sz w:val="28"/>
          <w:szCs w:val="28"/>
        </w:rPr>
        <w:t>二、项目名称：</w:t>
      </w:r>
      <w:r>
        <w:rPr>
          <w:rFonts w:hint="eastAsia" w:ascii="黑体" w:hAnsi="黑体" w:eastAsia="黑体"/>
          <w:b/>
          <w:bCs/>
          <w:sz w:val="28"/>
          <w:szCs w:val="28"/>
        </w:rPr>
        <w:t>2021年叶城县养鸽繁育基地项目（4万对种鸽采购项目）</w:t>
      </w:r>
    </w:p>
    <w:p>
      <w:pPr>
        <w:spacing w:line="560" w:lineRule="exact"/>
        <w:rPr>
          <w:rFonts w:ascii="黑体" w:hAnsi="黑体" w:eastAsia="黑体"/>
          <w:sz w:val="28"/>
          <w:szCs w:val="28"/>
        </w:rPr>
      </w:pPr>
      <w:r>
        <w:rPr>
          <w:rFonts w:hint="eastAsia" w:ascii="黑体" w:hAnsi="黑体" w:eastAsia="黑体"/>
          <w:sz w:val="28"/>
          <w:szCs w:val="28"/>
        </w:rPr>
        <w:t>三、中标（成交）信息</w:t>
      </w:r>
    </w:p>
    <w:p>
      <w:pPr>
        <w:spacing w:line="560" w:lineRule="exact"/>
        <w:rPr>
          <w:rFonts w:ascii="黑体" w:hAnsi="黑体" w:eastAsia="黑体"/>
          <w:sz w:val="28"/>
          <w:szCs w:val="28"/>
        </w:rPr>
      </w:pPr>
      <w:r>
        <w:rPr>
          <w:rFonts w:hint="eastAsia" w:ascii="黑体" w:hAnsi="黑体" w:eastAsia="黑体"/>
          <w:sz w:val="28"/>
          <w:szCs w:val="28"/>
        </w:rPr>
        <w:t>供应商名称：阿克陶县恒裕鑫鸽业有限公司</w:t>
      </w:r>
    </w:p>
    <w:p>
      <w:pPr>
        <w:spacing w:line="560" w:lineRule="exact"/>
        <w:rPr>
          <w:rFonts w:ascii="黑体" w:hAnsi="黑体" w:eastAsia="黑体"/>
          <w:sz w:val="28"/>
          <w:szCs w:val="28"/>
        </w:rPr>
      </w:pPr>
      <w:r>
        <w:rPr>
          <w:rFonts w:hint="eastAsia" w:ascii="黑体" w:hAnsi="黑体" w:eastAsia="黑体"/>
          <w:sz w:val="28"/>
          <w:szCs w:val="28"/>
        </w:rPr>
        <w:t>供应商地址：新疆克州阿克陶县玉麦乡加依铁热克村英吉沙路500号123号门面房</w:t>
      </w:r>
    </w:p>
    <w:p>
      <w:pPr>
        <w:spacing w:line="560" w:lineRule="exact"/>
        <w:rPr>
          <w:rFonts w:ascii="黑体" w:hAnsi="黑体" w:eastAsia="黑体"/>
          <w:sz w:val="28"/>
          <w:szCs w:val="28"/>
        </w:rPr>
      </w:pPr>
      <w:r>
        <w:rPr>
          <w:rFonts w:hint="eastAsia" w:ascii="黑体" w:hAnsi="黑体" w:eastAsia="黑体"/>
          <w:sz w:val="28"/>
          <w:szCs w:val="28"/>
        </w:rPr>
        <w:t>中标</w:t>
      </w:r>
      <w:r>
        <w:rPr>
          <w:rFonts w:hint="eastAsia" w:ascii="黑体" w:hAnsi="黑体" w:eastAsia="黑体"/>
          <w:color w:val="auto"/>
          <w:sz w:val="28"/>
          <w:szCs w:val="28"/>
        </w:rPr>
        <w:t>（成交）金额：8720000</w:t>
      </w:r>
      <w:r>
        <w:rPr>
          <w:rFonts w:hint="eastAsia" w:ascii="黑体" w:hAnsi="黑体" w:eastAsia="黑体"/>
          <w:color w:val="auto"/>
          <w:sz w:val="28"/>
          <w:szCs w:val="28"/>
          <w:lang w:val="en-US" w:eastAsia="zh-CN"/>
        </w:rPr>
        <w:t>.00</w:t>
      </w:r>
      <w:r>
        <w:rPr>
          <w:rFonts w:hint="eastAsia" w:ascii="黑体" w:hAnsi="黑体" w:eastAsia="黑体"/>
          <w:color w:val="auto"/>
          <w:sz w:val="28"/>
          <w:szCs w:val="28"/>
        </w:rPr>
        <w:t xml:space="preserve"> 元（大写:</w:t>
      </w:r>
      <w:r>
        <w:rPr>
          <w:rFonts w:hint="eastAsia" w:ascii="黑体" w:hAnsi="黑体" w:eastAsia="黑体"/>
          <w:color w:val="auto"/>
          <w:sz w:val="28"/>
          <w:szCs w:val="28"/>
          <w:lang w:val="en-US" w:eastAsia="zh-CN"/>
        </w:rPr>
        <w:t>捌佰柒拾贰万元零角零分</w:t>
      </w:r>
      <w:r>
        <w:rPr>
          <w:rFonts w:hint="eastAsia" w:ascii="黑体" w:hAnsi="黑体" w:eastAsia="黑体"/>
          <w:color w:val="auto"/>
          <w:sz w:val="28"/>
          <w:szCs w:val="28"/>
        </w:rPr>
        <w:t>）</w:t>
      </w:r>
    </w:p>
    <w:p>
      <w:pPr>
        <w:rPr>
          <w:rFonts w:hint="eastAsia" w:ascii="黑体" w:hAnsi="黑体" w:eastAsia="黑体"/>
          <w:sz w:val="28"/>
          <w:szCs w:val="28"/>
        </w:rPr>
      </w:pPr>
      <w:r>
        <w:rPr>
          <w:rFonts w:hint="eastAsia" w:ascii="黑体" w:hAnsi="黑体" w:eastAsia="黑体"/>
          <w:sz w:val="28"/>
          <w:szCs w:val="28"/>
        </w:rPr>
        <w:t>主要标的信息</w:t>
      </w:r>
    </w:p>
    <w:p>
      <w:pPr>
        <w:pStyle w:val="2"/>
        <w:rPr>
          <w:rFonts w:hint="eastAsia"/>
        </w:rPr>
      </w:pP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50"/>
        <w:gridCol w:w="5482"/>
        <w:gridCol w:w="914"/>
        <w:gridCol w:w="83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18" w:type="dxa"/>
            <w:vAlign w:val="center"/>
          </w:tcPr>
          <w:p>
            <w:pPr>
              <w:pStyle w:val="8"/>
              <w:jc w:val="center"/>
              <w:rPr>
                <w:rFonts w:hint="eastAsia" w:ascii="宋体" w:hAnsi="宋体"/>
                <w:b/>
                <w:bCs/>
                <w:sz w:val="24"/>
              </w:rPr>
            </w:pPr>
            <w:r>
              <w:rPr>
                <w:rFonts w:hint="eastAsia" w:ascii="宋体" w:hAnsi="宋体"/>
                <w:b/>
                <w:bCs/>
                <w:sz w:val="24"/>
              </w:rPr>
              <w:t>序号</w:t>
            </w:r>
          </w:p>
        </w:tc>
        <w:tc>
          <w:tcPr>
            <w:tcW w:w="1150" w:type="dxa"/>
            <w:vAlign w:val="center"/>
          </w:tcPr>
          <w:p>
            <w:pPr>
              <w:pStyle w:val="8"/>
              <w:jc w:val="center"/>
              <w:rPr>
                <w:rFonts w:hint="eastAsia" w:ascii="宋体" w:hAnsi="宋体"/>
                <w:b/>
                <w:bCs/>
                <w:sz w:val="24"/>
              </w:rPr>
            </w:pPr>
            <w:r>
              <w:rPr>
                <w:rFonts w:hint="eastAsia" w:ascii="宋体" w:hAnsi="宋体"/>
                <w:b/>
                <w:bCs/>
                <w:sz w:val="24"/>
              </w:rPr>
              <w:t>名称</w:t>
            </w:r>
          </w:p>
        </w:tc>
        <w:tc>
          <w:tcPr>
            <w:tcW w:w="5482" w:type="dxa"/>
            <w:vAlign w:val="center"/>
          </w:tcPr>
          <w:p>
            <w:pPr>
              <w:pStyle w:val="8"/>
              <w:jc w:val="center"/>
              <w:rPr>
                <w:rFonts w:hint="eastAsia" w:ascii="宋体" w:hAnsi="宋体"/>
                <w:b/>
                <w:bCs/>
                <w:sz w:val="24"/>
              </w:rPr>
            </w:pPr>
            <w:r>
              <w:rPr>
                <w:rFonts w:hint="eastAsia" w:ascii="宋体" w:hAnsi="宋体"/>
                <w:b/>
                <w:bCs/>
                <w:sz w:val="24"/>
              </w:rPr>
              <w:t>参数</w:t>
            </w:r>
          </w:p>
        </w:tc>
        <w:tc>
          <w:tcPr>
            <w:tcW w:w="914" w:type="dxa"/>
            <w:vAlign w:val="center"/>
          </w:tcPr>
          <w:p>
            <w:pPr>
              <w:pStyle w:val="8"/>
              <w:jc w:val="center"/>
              <w:rPr>
                <w:rFonts w:hint="eastAsia" w:ascii="宋体" w:hAnsi="宋体"/>
                <w:b/>
                <w:bCs/>
                <w:sz w:val="24"/>
              </w:rPr>
            </w:pPr>
            <w:r>
              <w:rPr>
                <w:rFonts w:hint="eastAsia" w:ascii="宋体" w:hAnsi="宋体"/>
                <w:b/>
                <w:bCs/>
                <w:sz w:val="24"/>
              </w:rPr>
              <w:t>数量</w:t>
            </w:r>
          </w:p>
        </w:tc>
        <w:tc>
          <w:tcPr>
            <w:tcW w:w="833" w:type="dxa"/>
            <w:vAlign w:val="center"/>
          </w:tcPr>
          <w:p>
            <w:pPr>
              <w:pStyle w:val="8"/>
              <w:jc w:val="center"/>
              <w:rPr>
                <w:rFonts w:hint="eastAsia" w:ascii="宋体" w:hAnsi="宋体"/>
                <w:b/>
                <w:bCs/>
                <w:sz w:val="24"/>
              </w:rPr>
            </w:pPr>
            <w:r>
              <w:rPr>
                <w:rFonts w:hint="eastAsia" w:ascii="宋体" w:hAnsi="宋体"/>
                <w:b/>
                <w:bCs/>
                <w:sz w:val="24"/>
              </w:rPr>
              <w:t>单位</w:t>
            </w:r>
          </w:p>
        </w:tc>
        <w:tc>
          <w:tcPr>
            <w:tcW w:w="850" w:type="dxa"/>
            <w:vAlign w:val="center"/>
          </w:tcPr>
          <w:p>
            <w:pPr>
              <w:pStyle w:val="8"/>
              <w:jc w:val="center"/>
              <w:rPr>
                <w:rFonts w:hint="eastAsia"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518" w:type="dxa"/>
            <w:vAlign w:val="center"/>
          </w:tcPr>
          <w:p>
            <w:pPr>
              <w:pStyle w:val="8"/>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150" w:type="dxa"/>
            <w:vAlign w:val="center"/>
          </w:tcPr>
          <w:p>
            <w:pPr>
              <w:widowControl/>
              <w:jc w:val="center"/>
              <w:textAlignment w:val="center"/>
              <w:rPr>
                <w:rFonts w:hint="eastAsia" w:ascii="方正仿宋简体" w:hAnsi="方正仿宋简体" w:eastAsia="方正仿宋简体" w:cs="方正仿宋简体"/>
                <w:kern w:val="0"/>
                <w:sz w:val="18"/>
                <w:szCs w:val="18"/>
              </w:rPr>
            </w:pPr>
            <w:r>
              <w:rPr>
                <w:rFonts w:hint="eastAsia" w:ascii="仿宋_GB2312" w:eastAsia="仿宋_GB2312"/>
                <w:b/>
                <w:sz w:val="24"/>
              </w:rPr>
              <w:t>2021年叶城县养鸽繁育基地项目（4万对种鸽采购项目）</w:t>
            </w:r>
          </w:p>
        </w:tc>
        <w:tc>
          <w:tcPr>
            <w:tcW w:w="5482" w:type="dxa"/>
            <w:vAlign w:val="center"/>
          </w:tcPr>
          <w:p>
            <w:pPr>
              <w:widowControl/>
              <w:jc w:val="left"/>
              <w:textAlignment w:val="center"/>
              <w:rPr>
                <w:rFonts w:hint="eastAsia" w:ascii="方正仿宋简体" w:hAnsi="方正仿宋简体" w:eastAsia="方正仿宋简体" w:cs="方正仿宋简体"/>
                <w:kern w:val="0"/>
                <w:sz w:val="18"/>
                <w:szCs w:val="18"/>
              </w:rPr>
            </w:pPr>
            <w:r>
              <w:rPr>
                <w:rFonts w:hint="eastAsia" w:ascii="仿宋_GB2312" w:eastAsia="仿宋_GB2312"/>
                <w:b/>
                <w:sz w:val="24"/>
              </w:rPr>
              <w:t>采购品种：白羽王或者白卡奴</w:t>
            </w:r>
            <w:bookmarkStart w:id="14" w:name="_GoBack"/>
            <w:bookmarkEnd w:id="14"/>
            <w:r>
              <w:rPr>
                <w:rFonts w:hint="eastAsia" w:ascii="仿宋_GB2312" w:eastAsia="仿宋_GB2312"/>
                <w:b/>
                <w:sz w:val="24"/>
              </w:rPr>
              <w:t>。采购的种鸽在4个月龄以上6个月龄以下，落实公母性别鉴定，公鸽子佩戴红色或者黄色脚环，母鸽子佩戴蓝色或者浅绿色脚环，配对采购，坚决防止未经配对购买现象。采购的种鸽要求严格落实防疫隔离制度，完成新城疫、鸽瘟、鸽痘等国家强制防疫疫苗接种，检疫效价合格率达到国家规定的70%标准以上，采购的种鸽要由动物卫生监督服务中心出具动物卫生防疫合格证和畜牧兽医服务中心出具的免疫效价检测报告。种鸽要身体健康，不得有残疾现象。</w:t>
            </w:r>
          </w:p>
        </w:tc>
        <w:tc>
          <w:tcPr>
            <w:tcW w:w="914" w:type="dxa"/>
            <w:vAlign w:val="center"/>
          </w:tcPr>
          <w:p>
            <w:pPr>
              <w:widowControl/>
              <w:jc w:val="center"/>
              <w:textAlignment w:val="center"/>
              <w:rPr>
                <w:rFonts w:hint="eastAsia" w:ascii="方正仿宋简体" w:hAnsi="方正仿宋简体" w:eastAsia="方正仿宋简体" w:cs="方正仿宋简体"/>
                <w:kern w:val="0"/>
                <w:sz w:val="18"/>
                <w:szCs w:val="18"/>
              </w:rPr>
            </w:pPr>
            <w:r>
              <w:rPr>
                <w:rFonts w:hint="eastAsia" w:ascii="仿宋_GB2312" w:eastAsia="仿宋_GB2312"/>
                <w:b/>
                <w:sz w:val="24"/>
              </w:rPr>
              <w:t>4万对</w:t>
            </w:r>
          </w:p>
        </w:tc>
        <w:tc>
          <w:tcPr>
            <w:tcW w:w="833" w:type="dxa"/>
            <w:vAlign w:val="center"/>
          </w:tcPr>
          <w:p>
            <w:pPr>
              <w:widowControl/>
              <w:jc w:val="center"/>
              <w:textAlignment w:val="center"/>
              <w:rPr>
                <w:rFonts w:hint="eastAsia" w:ascii="方正仿宋简体" w:hAnsi="方正仿宋简体" w:eastAsia="方正仿宋简体" w:cs="方正仿宋简体"/>
                <w:kern w:val="0"/>
                <w:sz w:val="18"/>
                <w:szCs w:val="18"/>
              </w:rPr>
            </w:pPr>
            <w:r>
              <w:rPr>
                <w:rFonts w:hint="eastAsia" w:ascii="仿宋_GB2312" w:eastAsia="仿宋_GB2312"/>
                <w:b/>
                <w:sz w:val="24"/>
              </w:rPr>
              <w:t>对</w:t>
            </w:r>
          </w:p>
        </w:tc>
        <w:tc>
          <w:tcPr>
            <w:tcW w:w="850" w:type="dxa"/>
            <w:vAlign w:val="center"/>
          </w:tcPr>
          <w:p>
            <w:pPr>
              <w:widowControl/>
              <w:jc w:val="center"/>
              <w:textAlignment w:val="center"/>
              <w:rPr>
                <w:rFonts w:ascii="方正仿宋简体" w:hAnsi="方正仿宋简体" w:eastAsia="方正仿宋简体" w:cs="方正仿宋简体"/>
                <w:kern w:val="0"/>
                <w:sz w:val="18"/>
                <w:szCs w:val="18"/>
              </w:rPr>
            </w:pPr>
          </w:p>
        </w:tc>
      </w:tr>
    </w:tbl>
    <w:p>
      <w:pPr>
        <w:pStyle w:val="2"/>
      </w:pPr>
    </w:p>
    <w:p>
      <w:pPr>
        <w:spacing w:line="540" w:lineRule="exact"/>
        <w:rPr>
          <w:rFonts w:ascii="黑体" w:hAnsi="黑体" w:eastAsia="黑体"/>
          <w:sz w:val="28"/>
          <w:szCs w:val="28"/>
        </w:rPr>
      </w:pPr>
      <w:r>
        <w:rPr>
          <w:rFonts w:hint="eastAsia" w:ascii="黑体" w:hAnsi="黑体" w:eastAsia="黑体"/>
          <w:sz w:val="28"/>
          <w:szCs w:val="28"/>
        </w:rPr>
        <w:t>评审专家名单：</w:t>
      </w:r>
      <w:r>
        <w:rPr>
          <w:rFonts w:hint="eastAsia" w:ascii="微软雅黑 Light" w:hAnsi="微软雅黑 Light" w:eastAsia="微软雅黑 Light" w:cs="微软雅黑 Light"/>
          <w:color w:val="auto"/>
          <w:kern w:val="0"/>
          <w:sz w:val="24"/>
          <w:lang w:val="en-US" w:eastAsia="zh-CN"/>
        </w:rPr>
        <w:t>杨</w:t>
      </w:r>
      <w:r>
        <w:rPr>
          <w:rFonts w:hint="eastAsia" w:ascii="微软雅黑 Light" w:hAnsi="微软雅黑 Light" w:eastAsia="微软雅黑 Light" w:cs="微软雅黑 Light"/>
          <w:color w:val="auto"/>
          <w:kern w:val="0"/>
          <w:sz w:val="24"/>
          <w:lang w:val="en-US" w:eastAsia="zh-CN"/>
        </w:rPr>
        <w:t>红娟</w:t>
      </w:r>
      <w:r>
        <w:rPr>
          <w:rFonts w:hint="eastAsia" w:ascii="黑体" w:hAnsi="黑体" w:eastAsia="黑体"/>
          <w:color w:val="auto"/>
          <w:sz w:val="28"/>
          <w:szCs w:val="28"/>
        </w:rPr>
        <w:t>、</w:t>
      </w:r>
      <w:r>
        <w:rPr>
          <w:rFonts w:hint="eastAsia" w:ascii="微软雅黑 Light" w:hAnsi="微软雅黑 Light" w:eastAsia="微软雅黑 Light" w:cs="微软雅黑 Light"/>
          <w:color w:val="auto"/>
          <w:sz w:val="24"/>
          <w:lang w:val="en-US" w:eastAsia="zh-CN"/>
        </w:rPr>
        <w:t>赵晓文</w:t>
      </w:r>
      <w:r>
        <w:rPr>
          <w:rFonts w:hint="eastAsia" w:ascii="黑体" w:hAnsi="黑体" w:eastAsia="黑体"/>
          <w:color w:val="auto"/>
          <w:sz w:val="28"/>
          <w:szCs w:val="28"/>
        </w:rPr>
        <w:t>、</w:t>
      </w:r>
      <w:r>
        <w:rPr>
          <w:rFonts w:hint="eastAsia" w:ascii="微软雅黑 Light" w:hAnsi="微软雅黑 Light" w:eastAsia="微软雅黑 Light" w:cs="微软雅黑 Light"/>
          <w:color w:val="auto"/>
          <w:sz w:val="24"/>
          <w:lang w:val="en-US" w:eastAsia="zh-CN"/>
        </w:rPr>
        <w:t>毕新强</w:t>
      </w:r>
      <w:r>
        <w:rPr>
          <w:rFonts w:hint="eastAsia" w:ascii="黑体" w:hAnsi="黑体" w:eastAsia="黑体"/>
          <w:color w:val="auto"/>
          <w:sz w:val="28"/>
          <w:szCs w:val="28"/>
        </w:rPr>
        <w:t>、</w:t>
      </w:r>
      <w:r>
        <w:rPr>
          <w:rFonts w:hint="eastAsia" w:ascii="微软雅黑 Light" w:hAnsi="微软雅黑 Light" w:eastAsia="微软雅黑 Light" w:cs="微软雅黑 Light"/>
          <w:color w:val="auto"/>
          <w:sz w:val="24"/>
          <w:lang w:val="en-US" w:eastAsia="zh-CN"/>
        </w:rPr>
        <w:t>吴云虎</w:t>
      </w:r>
      <w:r>
        <w:rPr>
          <w:rFonts w:hint="eastAsia" w:ascii="黑体" w:hAnsi="黑体" w:eastAsia="黑体"/>
          <w:color w:val="auto"/>
          <w:sz w:val="28"/>
          <w:szCs w:val="28"/>
        </w:rPr>
        <w:t>、</w:t>
      </w:r>
      <w:r>
        <w:rPr>
          <w:rFonts w:hint="eastAsia" w:ascii="微软雅黑 Light" w:hAnsi="微软雅黑 Light" w:eastAsia="微软雅黑 Light" w:cs="微软雅黑 Light"/>
          <w:color w:val="auto"/>
          <w:sz w:val="24"/>
          <w:lang w:val="en-US" w:eastAsia="zh-CN"/>
        </w:rPr>
        <w:t>万</w:t>
      </w:r>
      <w:r>
        <w:rPr>
          <w:rFonts w:hint="eastAsia" w:ascii="微软雅黑 Light" w:hAnsi="微软雅黑 Light" w:eastAsia="微软雅黑 Light" w:cs="微软雅黑 Light"/>
          <w:color w:val="auto"/>
          <w:sz w:val="24"/>
          <w:lang w:val="en-US" w:eastAsia="zh-CN"/>
        </w:rPr>
        <w:t>妍</w:t>
      </w:r>
    </w:p>
    <w:p>
      <w:pPr>
        <w:numPr>
          <w:ilvl w:val="0"/>
          <w:numId w:val="1"/>
        </w:numPr>
        <w:spacing w:line="540" w:lineRule="exact"/>
        <w:rPr>
          <w:rFonts w:ascii="黑体" w:hAnsi="黑体" w:eastAsia="黑体"/>
          <w:sz w:val="28"/>
          <w:szCs w:val="28"/>
        </w:rPr>
      </w:pPr>
      <w:r>
        <w:rPr>
          <w:rFonts w:hint="eastAsia" w:ascii="黑体" w:hAnsi="黑体" w:eastAsia="黑体"/>
          <w:sz w:val="28"/>
          <w:szCs w:val="28"/>
        </w:rPr>
        <w:t>代理服务收费标准及金额：100万以下*1.5%；（100-500）万*1.1%；（500-1000）万*0.8%。</w:t>
      </w:r>
    </w:p>
    <w:p>
      <w:pPr>
        <w:spacing w:line="540" w:lineRule="exact"/>
        <w:rPr>
          <w:rFonts w:ascii="黑体" w:hAnsi="黑体" w:eastAsia="黑体"/>
          <w:sz w:val="28"/>
          <w:szCs w:val="28"/>
        </w:rPr>
      </w:pPr>
      <w:r>
        <w:rPr>
          <w:rFonts w:hint="eastAsia" w:ascii="黑体" w:hAnsi="黑体" w:eastAsia="黑体"/>
          <w:sz w:val="28"/>
          <w:szCs w:val="28"/>
        </w:rPr>
        <w:t>七、公告期限</w:t>
      </w:r>
    </w:p>
    <w:p>
      <w:pPr>
        <w:spacing w:line="540" w:lineRule="exact"/>
        <w:rPr>
          <w:rFonts w:ascii="黑体" w:hAnsi="黑体" w:eastAsia="黑体"/>
          <w:sz w:val="28"/>
          <w:szCs w:val="28"/>
        </w:rPr>
      </w:pPr>
      <w:r>
        <w:rPr>
          <w:rFonts w:hint="eastAsia" w:ascii="黑体" w:hAnsi="黑体" w:eastAsia="黑体"/>
          <w:sz w:val="28"/>
          <w:szCs w:val="28"/>
        </w:rPr>
        <w:t>自本公告发布之日起1个工作日。</w:t>
      </w:r>
    </w:p>
    <w:p>
      <w:pPr>
        <w:spacing w:line="540" w:lineRule="exact"/>
        <w:rPr>
          <w:rFonts w:ascii="黑体" w:hAnsi="黑体" w:eastAsia="黑体"/>
          <w:sz w:val="28"/>
          <w:szCs w:val="28"/>
        </w:rPr>
      </w:pPr>
      <w:r>
        <w:rPr>
          <w:rFonts w:hint="eastAsia" w:ascii="黑体" w:hAnsi="黑体" w:eastAsia="黑体"/>
          <w:sz w:val="28"/>
          <w:szCs w:val="28"/>
        </w:rPr>
        <w:t>八、其他补充事宜;无</w:t>
      </w:r>
    </w:p>
    <w:p>
      <w:pPr>
        <w:spacing w:line="540" w:lineRule="exact"/>
        <w:rPr>
          <w:rFonts w:ascii="黑体" w:hAnsi="黑体" w:eastAsia="黑体"/>
          <w:sz w:val="28"/>
          <w:szCs w:val="28"/>
        </w:rPr>
      </w:pPr>
      <w:r>
        <w:rPr>
          <w:rFonts w:hint="eastAsia" w:ascii="黑体" w:hAnsi="黑体" w:eastAsia="黑体"/>
          <w:sz w:val="28"/>
          <w:szCs w:val="28"/>
        </w:rPr>
        <w:t>九、凡对本次公告内容提出询问，请按以下方式联系。</w:t>
      </w:r>
    </w:p>
    <w:p>
      <w:pPr>
        <w:spacing w:line="540" w:lineRule="exact"/>
        <w:rPr>
          <w:rFonts w:ascii="黑体" w:hAnsi="黑体" w:eastAsia="黑体"/>
          <w:sz w:val="28"/>
          <w:szCs w:val="28"/>
        </w:rPr>
      </w:pPr>
      <w:bookmarkStart w:id="2" w:name="_Toc35393810"/>
      <w:bookmarkStart w:id="3" w:name="_Toc35393641"/>
      <w:bookmarkStart w:id="4" w:name="_Toc28359023"/>
      <w:bookmarkStart w:id="5" w:name="_Toc28359100"/>
      <w:r>
        <w:rPr>
          <w:rFonts w:hint="eastAsia" w:ascii="黑体" w:hAnsi="黑体" w:eastAsia="黑体"/>
          <w:sz w:val="28"/>
          <w:szCs w:val="28"/>
        </w:rPr>
        <w:t>1.采购人信息</w:t>
      </w:r>
      <w:bookmarkEnd w:id="2"/>
      <w:bookmarkEnd w:id="3"/>
      <w:bookmarkEnd w:id="4"/>
      <w:bookmarkEnd w:id="5"/>
    </w:p>
    <w:p>
      <w:pPr>
        <w:spacing w:line="540" w:lineRule="exact"/>
        <w:rPr>
          <w:rFonts w:ascii="黑体" w:hAnsi="黑体" w:eastAsia="黑体"/>
          <w:sz w:val="28"/>
          <w:szCs w:val="28"/>
        </w:rPr>
      </w:pPr>
      <w:r>
        <w:rPr>
          <w:rFonts w:hint="eastAsia" w:ascii="黑体" w:hAnsi="黑体" w:eastAsia="黑体"/>
          <w:sz w:val="28"/>
          <w:szCs w:val="28"/>
        </w:rPr>
        <w:t>名    称：　叶城县畜牧兽医站　</w:t>
      </w:r>
    </w:p>
    <w:p>
      <w:pPr>
        <w:spacing w:line="540" w:lineRule="exact"/>
        <w:rPr>
          <w:rFonts w:ascii="黑体" w:hAnsi="黑体" w:eastAsia="黑体"/>
          <w:sz w:val="28"/>
          <w:szCs w:val="28"/>
        </w:rPr>
      </w:pPr>
      <w:r>
        <w:rPr>
          <w:rFonts w:hint="eastAsia" w:ascii="黑体" w:hAnsi="黑体" w:eastAsia="黑体"/>
          <w:sz w:val="28"/>
          <w:szCs w:val="28"/>
        </w:rPr>
        <w:t>地    址：　叶城县畜牧产业示范园区　　　</w:t>
      </w:r>
    </w:p>
    <w:p>
      <w:pPr>
        <w:spacing w:line="540" w:lineRule="exact"/>
        <w:rPr>
          <w:rFonts w:ascii="黑体" w:hAnsi="黑体" w:eastAsia="黑体"/>
          <w:sz w:val="28"/>
          <w:szCs w:val="28"/>
        </w:rPr>
      </w:pPr>
      <w:r>
        <w:rPr>
          <w:rFonts w:hint="eastAsia" w:ascii="黑体" w:hAnsi="黑体" w:eastAsia="黑体"/>
          <w:sz w:val="28"/>
          <w:szCs w:val="28"/>
        </w:rPr>
        <w:t>联系方式：　</w:t>
      </w:r>
      <w:r>
        <w:rPr>
          <w:rFonts w:ascii="黑体" w:hAnsi="黑体" w:eastAsia="黑体"/>
          <w:sz w:val="28"/>
          <w:szCs w:val="28"/>
        </w:rPr>
        <w:t>15276129923</w:t>
      </w:r>
      <w:r>
        <w:rPr>
          <w:rFonts w:hint="eastAsia" w:ascii="黑体" w:hAnsi="黑体" w:eastAsia="黑体"/>
          <w:sz w:val="28"/>
          <w:szCs w:val="28"/>
        </w:rPr>
        <w:t>　　</w:t>
      </w:r>
      <w:r>
        <w:rPr>
          <w:rFonts w:ascii="黑体" w:hAnsi="黑体" w:eastAsia="黑体"/>
          <w:sz w:val="28"/>
          <w:szCs w:val="28"/>
        </w:rPr>
        <w:t xml:space="preserve">   </w:t>
      </w:r>
      <w:r>
        <w:rPr>
          <w:rFonts w:hint="eastAsia" w:ascii="黑体" w:hAnsi="黑体" w:eastAsia="黑体"/>
          <w:sz w:val="28"/>
          <w:szCs w:val="28"/>
        </w:rPr>
        <w:t xml:space="preserve"> </w:t>
      </w:r>
    </w:p>
    <w:p>
      <w:pPr>
        <w:spacing w:line="540" w:lineRule="exact"/>
        <w:rPr>
          <w:rFonts w:ascii="黑体" w:hAnsi="黑体" w:eastAsia="黑体"/>
          <w:sz w:val="28"/>
          <w:szCs w:val="28"/>
        </w:rPr>
      </w:pPr>
      <w:bookmarkStart w:id="6" w:name="_Toc28359024"/>
      <w:bookmarkStart w:id="7" w:name="_Toc35393642"/>
      <w:bookmarkStart w:id="8" w:name="_Toc35393811"/>
      <w:bookmarkStart w:id="9" w:name="_Toc28359101"/>
      <w:r>
        <w:rPr>
          <w:rFonts w:hint="eastAsia" w:ascii="黑体" w:hAnsi="黑体" w:eastAsia="黑体"/>
          <w:sz w:val="28"/>
          <w:szCs w:val="28"/>
        </w:rPr>
        <w:t>2.采购代理机构信息</w:t>
      </w:r>
      <w:bookmarkEnd w:id="6"/>
      <w:bookmarkEnd w:id="7"/>
      <w:bookmarkEnd w:id="8"/>
      <w:bookmarkEnd w:id="9"/>
    </w:p>
    <w:p>
      <w:pPr>
        <w:spacing w:line="540" w:lineRule="exact"/>
        <w:rPr>
          <w:rFonts w:ascii="黑体" w:hAnsi="黑体" w:eastAsia="黑体"/>
          <w:sz w:val="28"/>
          <w:szCs w:val="28"/>
        </w:rPr>
      </w:pPr>
      <w:r>
        <w:rPr>
          <w:rFonts w:hint="eastAsia" w:ascii="黑体" w:hAnsi="黑体" w:eastAsia="黑体"/>
          <w:sz w:val="28"/>
          <w:szCs w:val="28"/>
        </w:rPr>
        <w:t>名    称：　新疆天智达项目管理咨询有限公司　</w:t>
      </w:r>
    </w:p>
    <w:p>
      <w:pPr>
        <w:spacing w:line="540" w:lineRule="exact"/>
        <w:rPr>
          <w:rFonts w:ascii="黑体" w:hAnsi="黑体" w:eastAsia="黑体"/>
          <w:sz w:val="28"/>
          <w:szCs w:val="28"/>
        </w:rPr>
      </w:pPr>
      <w:r>
        <w:rPr>
          <w:rFonts w:hint="eastAsia" w:ascii="黑体" w:hAnsi="黑体" w:eastAsia="黑体"/>
          <w:sz w:val="28"/>
          <w:szCs w:val="28"/>
        </w:rPr>
        <w:t>地　  址：　新疆喀什地区喀什市库木德尔瓦扎街道玉吉米力克社区5组20号</w:t>
      </w:r>
    </w:p>
    <w:p>
      <w:pPr>
        <w:spacing w:line="540" w:lineRule="exact"/>
        <w:rPr>
          <w:rFonts w:ascii="黑体" w:hAnsi="黑体" w:eastAsia="黑体"/>
          <w:sz w:val="28"/>
          <w:szCs w:val="28"/>
        </w:rPr>
      </w:pPr>
      <w:r>
        <w:rPr>
          <w:rFonts w:hint="eastAsia" w:ascii="黑体" w:hAnsi="黑体" w:eastAsia="黑体"/>
          <w:sz w:val="28"/>
          <w:szCs w:val="28"/>
        </w:rPr>
        <w:t>联系方式：0998-2516291</w:t>
      </w:r>
      <w:r>
        <w:rPr>
          <w:rFonts w:ascii="黑体" w:hAnsi="黑体" w:eastAsia="黑体"/>
          <w:sz w:val="28"/>
          <w:szCs w:val="28"/>
        </w:rPr>
        <w:t xml:space="preserve">         </w:t>
      </w:r>
      <w:r>
        <w:rPr>
          <w:rFonts w:hint="eastAsia" w:ascii="黑体" w:hAnsi="黑体" w:eastAsia="黑体"/>
          <w:sz w:val="28"/>
          <w:szCs w:val="28"/>
        </w:rPr>
        <w:t xml:space="preserve"> </w:t>
      </w:r>
    </w:p>
    <w:p>
      <w:pPr>
        <w:spacing w:line="540" w:lineRule="exact"/>
        <w:rPr>
          <w:rFonts w:ascii="黑体" w:hAnsi="黑体" w:eastAsia="黑体"/>
          <w:sz w:val="28"/>
          <w:szCs w:val="28"/>
        </w:rPr>
      </w:pPr>
      <w:bookmarkStart w:id="10" w:name="_Toc28359025"/>
      <w:bookmarkStart w:id="11" w:name="_Toc35393812"/>
      <w:bookmarkStart w:id="12" w:name="_Toc35393643"/>
      <w:bookmarkStart w:id="13" w:name="_Toc28359102"/>
      <w:r>
        <w:rPr>
          <w:rFonts w:hint="eastAsia" w:ascii="黑体" w:hAnsi="黑体" w:eastAsia="黑体"/>
          <w:sz w:val="28"/>
          <w:szCs w:val="28"/>
        </w:rPr>
        <w:t>3.项目联系方式</w:t>
      </w:r>
      <w:bookmarkEnd w:id="10"/>
      <w:bookmarkEnd w:id="11"/>
      <w:bookmarkEnd w:id="12"/>
      <w:bookmarkEnd w:id="13"/>
    </w:p>
    <w:p>
      <w:pPr>
        <w:spacing w:line="540" w:lineRule="exact"/>
        <w:rPr>
          <w:rFonts w:ascii="黑体" w:hAnsi="黑体" w:eastAsia="黑体"/>
          <w:sz w:val="28"/>
          <w:szCs w:val="28"/>
        </w:rPr>
      </w:pPr>
      <w:r>
        <w:rPr>
          <w:rFonts w:hint="eastAsia" w:ascii="黑体" w:hAnsi="黑体" w:eastAsia="黑体"/>
          <w:sz w:val="28"/>
          <w:szCs w:val="28"/>
        </w:rPr>
        <w:t>项目联系人：周学鹏</w:t>
      </w:r>
      <w:r>
        <w:rPr>
          <w:rFonts w:ascii="黑体" w:hAnsi="黑体" w:eastAsia="黑体"/>
          <w:sz w:val="28"/>
          <w:szCs w:val="28"/>
        </w:rPr>
        <w:t xml:space="preserve">      </w:t>
      </w:r>
    </w:p>
    <w:p>
      <w:pPr>
        <w:spacing w:line="540" w:lineRule="exact"/>
        <w:rPr>
          <w:rFonts w:ascii="黑体" w:hAnsi="黑体" w:eastAsia="黑体"/>
          <w:sz w:val="28"/>
          <w:szCs w:val="28"/>
        </w:rPr>
      </w:pPr>
      <w:r>
        <w:rPr>
          <w:rFonts w:hint="eastAsia" w:ascii="黑体" w:hAnsi="黑体" w:eastAsia="黑体"/>
          <w:sz w:val="28"/>
          <w:szCs w:val="28"/>
        </w:rPr>
        <w:t>电　    话：</w:t>
      </w:r>
      <w:r>
        <w:rPr>
          <w:rFonts w:ascii="黑体" w:hAnsi="黑体" w:eastAsia="黑体"/>
          <w:sz w:val="28"/>
          <w:szCs w:val="28"/>
        </w:rPr>
        <w:t>15276129923</w:t>
      </w:r>
      <w:r>
        <w:rPr>
          <w:rFonts w:hint="eastAsia" w:ascii="黑体" w:hAnsi="黑体" w:eastAsia="黑体"/>
          <w:sz w:val="28"/>
          <w:szCs w:val="28"/>
        </w:rPr>
        <w:t>　　</w:t>
      </w:r>
    </w:p>
    <w:p>
      <w:pPr>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40EACD"/>
    <w:multiLevelType w:val="singleLevel"/>
    <w:tmpl w:val="D640EAC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706F81"/>
    <w:rsid w:val="000D7447"/>
    <w:rsid w:val="009202B5"/>
    <w:rsid w:val="00CA0A07"/>
    <w:rsid w:val="014340F2"/>
    <w:rsid w:val="01464CE9"/>
    <w:rsid w:val="0EBD11E1"/>
    <w:rsid w:val="0F6859A7"/>
    <w:rsid w:val="27AB268E"/>
    <w:rsid w:val="305E3FB2"/>
    <w:rsid w:val="39287934"/>
    <w:rsid w:val="3E842D9B"/>
    <w:rsid w:val="63F06FEA"/>
    <w:rsid w:val="749C1284"/>
    <w:rsid w:val="7870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4"/>
    <w:unhideWhenUsed/>
    <w:qFormat/>
    <w:uiPriority w:val="0"/>
    <w:pPr>
      <w:snapToGrid w:val="0"/>
      <w:jc w:val="left"/>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uiPriority w:val="0"/>
    <w:rPr>
      <w:kern w:val="2"/>
      <w:sz w:val="18"/>
      <w:szCs w:val="18"/>
    </w:rPr>
  </w:style>
  <w:style w:type="character" w:customStyle="1" w:styleId="13">
    <w:name w:val="页脚 Char"/>
    <w:basedOn w:val="11"/>
    <w:link w:val="6"/>
    <w:qFormat/>
    <w:uiPriority w:val="0"/>
    <w:rPr>
      <w:kern w:val="2"/>
      <w:sz w:val="18"/>
      <w:szCs w:val="18"/>
    </w:rPr>
  </w:style>
  <w:style w:type="character" w:customStyle="1" w:styleId="14">
    <w:name w:val="脚注文本 Char"/>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629</Words>
  <Characters>194</Characters>
  <Lines>1</Lines>
  <Paragraphs>1</Paragraphs>
  <TotalTime>2</TotalTime>
  <ScaleCrop>false</ScaleCrop>
  <LinksUpToDate>false</LinksUpToDate>
  <CharactersWithSpaces>822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2020-09-09T11:26:00Z</dcterms:created>
  <dc:creator>123</dc:creator>
  <cp:lastModifiedBy>one heart</cp:lastModifiedBy>
  <cp:lastPrinted>2020-10-20T09:41:00Z</cp:lastPrinted>
  <dcterms:modified xsi:type="dcterms:W3CDTF">2021-02-04T11:41:32Z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