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eastAsia="华文中宋"/>
          <w:b/>
          <w:sz w:val="52"/>
        </w:rPr>
      </w:pPr>
      <w:r>
        <w:rPr>
          <w:rFonts w:hint="eastAsia" w:eastAsia="华文中宋"/>
          <w:b/>
          <w:sz w:val="52"/>
        </w:rPr>
        <w:t xml:space="preserve"> </w:t>
      </w:r>
    </w:p>
    <w:p>
      <w:pPr>
        <w:tabs>
          <w:tab w:val="left" w:pos="1134"/>
          <w:tab w:val="left" w:pos="5481"/>
          <w:tab w:val="left" w:pos="5859"/>
        </w:tabs>
        <w:jc w:val="center"/>
        <w:rPr>
          <w:rFonts w:ascii="黑体" w:hAnsi="黑体" w:eastAsia="黑体"/>
          <w:sz w:val="52"/>
          <w:szCs w:val="52"/>
        </w:rPr>
      </w:pPr>
      <w:r>
        <w:rPr>
          <w:rFonts w:hint="eastAsia" w:ascii="黑体" w:hAnsi="黑体" w:eastAsia="黑体"/>
          <w:sz w:val="52"/>
          <w:szCs w:val="52"/>
        </w:rPr>
        <w:t xml:space="preserve"> 英吉沙县特色食品产业园项目二期-制冷系统设备采购</w:t>
      </w:r>
    </w:p>
    <w:p>
      <w:pPr>
        <w:tabs>
          <w:tab w:val="left" w:pos="1134"/>
          <w:tab w:val="left" w:pos="5481"/>
          <w:tab w:val="left" w:pos="5859"/>
        </w:tabs>
        <w:jc w:val="center"/>
        <w:rPr>
          <w:rFonts w:ascii="黑体" w:hAnsi="黑体" w:eastAsia="黑体"/>
          <w:sz w:val="72"/>
          <w:szCs w:val="72"/>
        </w:rPr>
      </w:pPr>
      <w:r>
        <w:rPr>
          <w:rFonts w:hint="eastAsia" w:ascii="黑体" w:hAnsi="黑体" w:eastAsia="黑体"/>
          <w:sz w:val="52"/>
          <w:szCs w:val="52"/>
        </w:rPr>
        <w:t>招标文件</w:t>
      </w:r>
    </w:p>
    <w:p>
      <w:pPr>
        <w:jc w:val="center"/>
        <w:rPr>
          <w:rFonts w:ascii="黑体" w:hAnsi="黑体" w:eastAsia="黑体"/>
          <w:b/>
          <w:sz w:val="36"/>
          <w:szCs w:val="36"/>
        </w:rPr>
      </w:pPr>
      <w:r>
        <w:rPr>
          <w:rFonts w:hint="eastAsia" w:ascii="黑体" w:hAnsi="黑体" w:eastAsia="黑体"/>
          <w:b/>
          <w:sz w:val="36"/>
          <w:szCs w:val="36"/>
        </w:rPr>
        <w:t>项目编号：</w:t>
      </w:r>
      <w:r>
        <w:rPr>
          <w:rFonts w:eastAsia="Times New Roman"/>
          <w:sz w:val="24"/>
          <w:szCs w:val="28"/>
        </w:rPr>
        <w:t> </w:t>
      </w:r>
      <w:r>
        <w:rPr>
          <w:rFonts w:ascii="Calibri" w:hAnsi="Calibri" w:eastAsia="黑体" w:cs="Calibri"/>
          <w:b/>
          <w:sz w:val="36"/>
          <w:szCs w:val="36"/>
        </w:rPr>
        <w:t> </w:t>
      </w:r>
      <w:r>
        <w:rPr>
          <w:rFonts w:hint="eastAsia" w:ascii="黑体" w:hAnsi="黑体" w:eastAsia="黑体"/>
          <w:b/>
          <w:sz w:val="36"/>
          <w:szCs w:val="36"/>
        </w:rPr>
        <w:t>XJRJ</w:t>
      </w:r>
      <w:r>
        <w:rPr>
          <w:rFonts w:ascii="黑体" w:hAnsi="黑体" w:eastAsia="黑体"/>
          <w:b/>
          <w:sz w:val="36"/>
          <w:szCs w:val="36"/>
        </w:rPr>
        <w:t>-YJS-2020</w:t>
      </w:r>
      <w:r>
        <w:rPr>
          <w:rFonts w:hint="eastAsia" w:ascii="黑体" w:hAnsi="黑体" w:eastAsia="黑体"/>
          <w:b/>
          <w:sz w:val="36"/>
          <w:szCs w:val="36"/>
        </w:rPr>
        <w:t>（CG003）</w:t>
      </w:r>
    </w:p>
    <w:p>
      <w:pPr>
        <w:tabs>
          <w:tab w:val="left" w:pos="1134"/>
          <w:tab w:val="left" w:pos="5481"/>
          <w:tab w:val="left" w:pos="5859"/>
        </w:tabs>
        <w:jc w:val="center"/>
        <w:rPr>
          <w:rFonts w:ascii="黑体" w:hAnsi="黑体" w:eastAsia="黑体"/>
          <w:b/>
          <w:sz w:val="36"/>
          <w:szCs w:val="36"/>
        </w:rPr>
      </w:pPr>
      <w:r>
        <w:rPr>
          <w:rFonts w:hint="eastAsia" w:ascii="黑体" w:hAnsi="黑体" w:eastAsia="黑体"/>
          <w:b/>
          <w:sz w:val="36"/>
          <w:szCs w:val="36"/>
        </w:rPr>
        <w:t xml:space="preserve">  </w:t>
      </w: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pStyle w:val="30"/>
        <w:ind w:left="723" w:hanging="723"/>
        <w:rPr>
          <w:rFonts w:ascii="黑体" w:hAnsi="黑体" w:eastAsia="黑体"/>
          <w:b/>
          <w:sz w:val="36"/>
          <w:szCs w:val="36"/>
        </w:rPr>
      </w:pPr>
    </w:p>
    <w:p>
      <w:pPr>
        <w:spacing w:line="560" w:lineRule="exact"/>
        <w:ind w:firstLine="422" w:firstLineChars="150"/>
        <w:rPr>
          <w:rFonts w:ascii="仿宋_GB2312" w:hAnsi="仿宋_GB2312" w:eastAsia="仿宋_GB2312"/>
          <w:b/>
          <w:bCs/>
          <w:sz w:val="28"/>
          <w:szCs w:val="28"/>
        </w:rPr>
      </w:pPr>
      <w:r>
        <w:rPr>
          <w:rFonts w:hint="eastAsia" w:ascii="仿宋_GB2312" w:hAnsi="仿宋_GB2312" w:eastAsia="仿宋_GB2312"/>
          <w:b/>
          <w:bCs/>
          <w:sz w:val="28"/>
          <w:szCs w:val="28"/>
        </w:rPr>
        <w:t>采购项目名称：英吉沙县特色食品产业园项目二期-制冷系统设备采购</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采购单位：英吉沙县商务和工业信息化局</w:t>
      </w:r>
      <w:r>
        <w:rPr>
          <w:rFonts w:hint="eastAsia" w:ascii="仿宋_GB2312" w:hAnsi="仿宋_GB2312" w:eastAsia="仿宋_GB2312"/>
          <w:b/>
          <w:sz w:val="28"/>
          <w:szCs w:val="28"/>
        </w:rPr>
        <w:t>（盖章）</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 xml:space="preserve">联 系 人：王主任       </w:t>
      </w:r>
    </w:p>
    <w:p>
      <w:pPr>
        <w:spacing w:line="560" w:lineRule="exact"/>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联系电话：0998-3633520</w:t>
      </w:r>
    </w:p>
    <w:p>
      <w:pPr>
        <w:spacing w:line="560" w:lineRule="exact"/>
        <w:rPr>
          <w:rFonts w:ascii="仿宋_GB2312" w:hAnsi="仿宋_GB2312" w:eastAsia="仿宋_GB2312"/>
          <w:b/>
          <w:bCs/>
          <w:sz w:val="28"/>
          <w:szCs w:val="28"/>
        </w:rPr>
      </w:pPr>
      <w:r>
        <w:rPr>
          <w:rFonts w:ascii="仿宋_GB2312" w:hAnsi="仿宋_GB2312" w:eastAsia="仿宋_GB2312"/>
          <w:b/>
          <w:bCs/>
          <w:sz w:val="24"/>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224790</wp:posOffset>
                </wp:positionV>
                <wp:extent cx="5286375" cy="0"/>
                <wp:effectExtent l="0" t="0" r="0" b="0"/>
                <wp:wrapNone/>
                <wp:docPr id="2" name="直线 2"/>
                <wp:cNvGraphicFramePr/>
                <a:graphic xmlns:a="http://schemas.openxmlformats.org/drawingml/2006/main">
                  <a:graphicData uri="http://schemas.microsoft.com/office/word/2010/wordprocessingShape">
                    <wps:wsp>
                      <wps:cNvCnPr/>
                      <wps:spPr>
                        <a:xfrm>
                          <a:off x="0" y="0"/>
                          <a:ext cx="5286375" cy="0"/>
                        </a:xfrm>
                        <a:prstGeom prst="line">
                          <a:avLst/>
                        </a:prstGeom>
                        <a:ln w="12700" cap="rnd" cmpd="sng">
                          <a:solidFill>
                            <a:srgbClr val="000000"/>
                          </a:solidFill>
                          <a:prstDash val="sysDot"/>
                          <a:headEnd type="none" w="med" len="med"/>
                          <a:tailEnd type="none" w="med" len="med"/>
                        </a:ln>
                      </wps:spPr>
                      <wps:bodyPr/>
                    </wps:wsp>
                  </a:graphicData>
                </a:graphic>
              </wp:anchor>
            </w:drawing>
          </mc:Choice>
          <mc:Fallback>
            <w:pict>
              <v:line id="直线 2" o:spid="_x0000_s1026" o:spt="20" style="position:absolute;left:0pt;margin-left:5.6pt;margin-top:17.7pt;height:0pt;width:416.25pt;z-index:251659264;mso-width-relative:page;mso-height-relative:page;" filled="f" stroked="t" coordsize="21600,21600" o:gfxdata="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5KCFD2gAAAAgBAAAPAAAAAAAAAAEAIAAAACIAAABkcnMv&#10;ZG93bnJldi54bWxQSwECFAAUAAAACACHTuJAni/Sg8gBAACCAwAADgAAAAAAAAABACAAAAApAQAA&#10;ZHJzL2Uyb0RvYy54bWxQSwUGAAAAAAYABgBZAQAAYwUAAAAA&#10;">
                <v:fill on="f" focussize="0,0"/>
                <v:stroke weight="1pt" color="#000000" joinstyle="round" dashstyle="1 1" endcap="round"/>
                <v:imagedata o:title=""/>
                <o:lock v:ext="edit" aspectratio="f"/>
              </v:line>
            </w:pict>
          </mc:Fallback>
        </mc:AlternateContent>
      </w:r>
    </w:p>
    <w:p>
      <w:pPr>
        <w:spacing w:line="288" w:lineRule="auto"/>
        <w:ind w:firstLine="427" w:firstLineChars="152"/>
        <w:rPr>
          <w:rFonts w:ascii="仿宋_GB2312" w:hAnsi="仿宋_GB2312" w:eastAsia="仿宋_GB2312"/>
          <w:b/>
          <w:bCs/>
          <w:sz w:val="28"/>
          <w:szCs w:val="28"/>
        </w:rPr>
      </w:pPr>
      <w:r>
        <w:rPr>
          <w:rFonts w:hint="eastAsia" w:ascii="仿宋_GB2312" w:hAnsi="仿宋_GB2312" w:eastAsia="仿宋_GB2312"/>
          <w:b/>
          <w:bCs/>
          <w:sz w:val="28"/>
          <w:szCs w:val="28"/>
        </w:rPr>
        <w:t>招标代理机构：</w:t>
      </w:r>
      <w:r>
        <w:rPr>
          <w:rFonts w:hint="eastAsia" w:ascii="仿宋_GB2312" w:hAnsi="仿宋_GB2312" w:eastAsia="仿宋_GB2312"/>
          <w:b/>
          <w:sz w:val="28"/>
          <w:szCs w:val="28"/>
        </w:rPr>
        <w:t>新疆荣九工程管理有限公司 （盖章）</w:t>
      </w:r>
    </w:p>
    <w:p>
      <w:pPr>
        <w:autoSpaceDE w:val="0"/>
        <w:autoSpaceDN w:val="0"/>
        <w:adjustRightInd w:val="0"/>
        <w:spacing w:line="560" w:lineRule="exact"/>
        <w:ind w:firstLine="427" w:firstLineChars="152"/>
        <w:rPr>
          <w:rFonts w:ascii="仿宋_GB2312" w:hAnsi="仿宋_GB2312" w:eastAsia="仿宋_GB2312"/>
          <w:bCs/>
          <w:kern w:val="0"/>
          <w:sz w:val="28"/>
          <w:szCs w:val="28"/>
        </w:rPr>
      </w:pPr>
      <w:r>
        <w:rPr>
          <w:rFonts w:hint="eastAsia" w:ascii="仿宋_GB2312" w:hAnsi="仿宋_GB2312" w:eastAsia="仿宋_GB2312"/>
          <w:b/>
          <w:bCs/>
          <w:sz w:val="28"/>
          <w:szCs w:val="28"/>
        </w:rPr>
        <w:t>联 系 人：胡斌</w:t>
      </w:r>
      <w:r>
        <w:rPr>
          <w:rFonts w:hint="eastAsia" w:ascii="仿宋_GB2312" w:hAnsi="仿宋_GB2312" w:eastAsia="仿宋_GB2312"/>
          <w:b/>
          <w:bCs/>
          <w:kern w:val="0"/>
          <w:sz w:val="28"/>
          <w:szCs w:val="28"/>
        </w:rPr>
        <w:t xml:space="preserve"> </w:t>
      </w:r>
      <w:r>
        <w:rPr>
          <w:rFonts w:hint="eastAsia" w:ascii="仿宋_GB2312" w:hAnsi="仿宋_GB2312" w:eastAsia="仿宋_GB2312"/>
          <w:bCs/>
          <w:kern w:val="0"/>
          <w:sz w:val="28"/>
          <w:szCs w:val="28"/>
        </w:rPr>
        <w:t xml:space="preserve"> </w:t>
      </w:r>
    </w:p>
    <w:p>
      <w:pPr>
        <w:autoSpaceDE w:val="0"/>
        <w:autoSpaceDN w:val="0"/>
        <w:adjustRightInd w:val="0"/>
        <w:spacing w:line="560" w:lineRule="exact"/>
        <w:ind w:firstLine="427" w:firstLineChars="152"/>
        <w:rPr>
          <w:rFonts w:ascii="仿宋_GB2312" w:hAnsi="仿宋_GB2312" w:eastAsia="仿宋_GB2312"/>
          <w:b/>
          <w:kern w:val="0"/>
          <w:sz w:val="28"/>
          <w:szCs w:val="28"/>
        </w:rPr>
      </w:pPr>
      <w:r>
        <w:rPr>
          <w:rFonts w:hint="eastAsia" w:ascii="仿宋_GB2312" w:hAnsi="仿宋_GB2312" w:eastAsia="仿宋_GB2312"/>
          <w:b/>
          <w:kern w:val="0"/>
          <w:sz w:val="28"/>
          <w:szCs w:val="28"/>
        </w:rPr>
        <w:t>联系电话：15739141779</w:t>
      </w:r>
    </w:p>
    <w:p>
      <w:pPr>
        <w:pStyle w:val="70"/>
        <w:jc w:val="center"/>
        <w:sectPr>
          <w:footerReference r:id="rId5" w:type="first"/>
          <w:headerReference r:id="rId3" w:type="default"/>
          <w:footerReference r:id="rId4" w:type="default"/>
          <w:pgSz w:w="11906" w:h="16838"/>
          <w:pgMar w:top="1440" w:right="1797" w:bottom="1440" w:left="1797" w:header="851" w:footer="992" w:gutter="0"/>
          <w:pgNumType w:start="1"/>
          <w:cols w:space="720" w:num="1"/>
          <w:titlePg/>
          <w:docGrid w:type="lines" w:linePitch="312" w:charSpace="0"/>
        </w:sectPr>
      </w:pPr>
    </w:p>
    <w:p>
      <w:pPr>
        <w:pStyle w:val="70"/>
        <w:jc w:val="center"/>
      </w:pPr>
      <w:r>
        <w:rPr>
          <w:lang w:val="zh-CN"/>
        </w:rPr>
        <w:t>目录</w:t>
      </w:r>
    </w:p>
    <w:p>
      <w:pPr>
        <w:pStyle w:val="29"/>
        <w:tabs>
          <w:tab w:val="right" w:leader="dot" w:pos="8312"/>
        </w:tabs>
        <w:snapToGrid w:val="0"/>
        <w:rPr>
          <w:sz w:val="24"/>
        </w:rPr>
      </w:pPr>
      <w:r>
        <w:fldChar w:fldCharType="begin"/>
      </w:r>
      <w:r>
        <w:instrText xml:space="preserve"> TOC \o "1-3" \h \z \u </w:instrText>
      </w:r>
      <w:r>
        <w:fldChar w:fldCharType="separate"/>
      </w:r>
      <w:r>
        <w:fldChar w:fldCharType="begin"/>
      </w:r>
      <w:r>
        <w:instrText xml:space="preserve"> HYPERLINK \l "_Toc16169" </w:instrText>
      </w:r>
      <w:r>
        <w:fldChar w:fldCharType="separate"/>
      </w:r>
      <w:r>
        <w:rPr>
          <w:rFonts w:hint="eastAsia" w:eastAsia="黑体"/>
          <w:sz w:val="24"/>
        </w:rPr>
        <w:t>第一部分  招标公告</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"_Toc9869" </w:instrText>
      </w:r>
      <w:r>
        <w:fldChar w:fldCharType="separate"/>
      </w:r>
      <w:r>
        <w:rPr>
          <w:rFonts w:hint="eastAsia" w:eastAsia="黑体"/>
          <w:sz w:val="24"/>
        </w:rPr>
        <w:t>第二部分   投标人须知前附表</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"_Toc11230" </w:instrText>
      </w:r>
      <w:r>
        <w:fldChar w:fldCharType="separate"/>
      </w:r>
      <w:r>
        <w:rPr>
          <w:rFonts w:hint="eastAsia" w:eastAsia="黑体"/>
          <w:sz w:val="24"/>
        </w:rPr>
        <w:t>第三部分   投标人须知</w:t>
      </w:r>
      <w:r>
        <w:rPr>
          <w:sz w:val="24"/>
        </w:rPr>
        <w:tab/>
      </w:r>
      <w:r>
        <w:rPr>
          <w:sz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"_Toc24930" </w:instrText>
      </w:r>
      <w:r>
        <w:fldChar w:fldCharType="separate"/>
      </w:r>
      <w:r>
        <w:rPr>
          <w:rFonts w:hint="eastAsia" w:ascii="宋体" w:hAnsi="宋体"/>
          <w:sz w:val="24"/>
          <w:szCs w:val="24"/>
        </w:rPr>
        <w:t>一、总则</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"_Toc18590" </w:instrText>
      </w:r>
      <w:r>
        <w:fldChar w:fldCharType="separate"/>
      </w:r>
      <w:r>
        <w:rPr>
          <w:rFonts w:hint="eastAsia" w:ascii="宋体" w:hAnsi="宋体"/>
          <w:sz w:val="24"/>
          <w:szCs w:val="24"/>
        </w:rPr>
        <w:t>二、招标文件</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"_Toc13060" </w:instrText>
      </w:r>
      <w:r>
        <w:fldChar w:fldCharType="separate"/>
      </w:r>
      <w:r>
        <w:rPr>
          <w:rFonts w:hint="eastAsia" w:ascii="宋体" w:hAnsi="宋体"/>
          <w:sz w:val="24"/>
          <w:szCs w:val="24"/>
        </w:rPr>
        <w:t>三、投标文件</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"_Toc11569" </w:instrText>
      </w:r>
      <w:r>
        <w:fldChar w:fldCharType="separate"/>
      </w:r>
      <w:r>
        <w:rPr>
          <w:rFonts w:hint="eastAsia" w:ascii="宋体" w:hAnsi="宋体"/>
          <w:sz w:val="24"/>
          <w:szCs w:val="24"/>
        </w:rPr>
        <w:t>四、投标保证金</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"_Toc1403" </w:instrText>
      </w:r>
      <w:r>
        <w:fldChar w:fldCharType="separate"/>
      </w:r>
      <w:r>
        <w:rPr>
          <w:rFonts w:hint="eastAsia" w:ascii="宋体" w:hAnsi="宋体"/>
          <w:sz w:val="24"/>
          <w:szCs w:val="24"/>
        </w:rPr>
        <w:t>五、投标文件的递交</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"_Toc3932" </w:instrText>
      </w:r>
      <w:r>
        <w:fldChar w:fldCharType="separate"/>
      </w:r>
      <w:r>
        <w:rPr>
          <w:rFonts w:hint="eastAsia" w:ascii="宋体" w:hAnsi="宋体"/>
          <w:sz w:val="24"/>
          <w:szCs w:val="24"/>
        </w:rPr>
        <w:t>六、开标</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"_Toc17388" </w:instrText>
      </w:r>
      <w:r>
        <w:fldChar w:fldCharType="separate"/>
      </w:r>
      <w:r>
        <w:rPr>
          <w:rFonts w:hint="eastAsia" w:ascii="宋体" w:hAnsi="宋体"/>
          <w:sz w:val="24"/>
          <w:szCs w:val="24"/>
        </w:rPr>
        <w:t>七、评标步骤和要求</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"_Toc20570" </w:instrText>
      </w:r>
      <w:r>
        <w:fldChar w:fldCharType="separate"/>
      </w:r>
      <w:r>
        <w:rPr>
          <w:rFonts w:hint="eastAsia" w:ascii="宋体" w:hAnsi="宋体"/>
          <w:sz w:val="24"/>
          <w:szCs w:val="24"/>
        </w:rPr>
        <w:t>八、履约保证金</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"_Toc2723" </w:instrText>
      </w:r>
      <w:r>
        <w:fldChar w:fldCharType="separate"/>
      </w:r>
      <w:r>
        <w:rPr>
          <w:rFonts w:hint="eastAsia" w:ascii="宋体" w:hAnsi="宋体"/>
          <w:sz w:val="24"/>
          <w:szCs w:val="24"/>
        </w:rPr>
        <w:t>九、代理服务费</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"_Toc25405" </w:instrText>
      </w:r>
      <w:r>
        <w:fldChar w:fldCharType="separate"/>
      </w:r>
      <w:r>
        <w:rPr>
          <w:rFonts w:hint="eastAsia" w:ascii="宋体" w:hAnsi="宋体"/>
          <w:sz w:val="24"/>
          <w:szCs w:val="24"/>
        </w:rPr>
        <w:t>十、签订、备案合同</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"_Toc4224" </w:instrText>
      </w:r>
      <w:r>
        <w:fldChar w:fldCharType="separate"/>
      </w:r>
      <w:r>
        <w:rPr>
          <w:rFonts w:hint="eastAsia" w:ascii="宋体" w:hAnsi="宋体"/>
          <w:sz w:val="24"/>
          <w:szCs w:val="24"/>
        </w:rPr>
        <w:t>十一、处罚、询问和质疑</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"_Toc15153" </w:instrText>
      </w:r>
      <w:r>
        <w:fldChar w:fldCharType="separate"/>
      </w:r>
      <w:r>
        <w:rPr>
          <w:rFonts w:hint="eastAsia" w:ascii="宋体" w:hAnsi="宋体"/>
          <w:sz w:val="24"/>
          <w:szCs w:val="24"/>
        </w:rPr>
        <w:t>十二、保密和披露</w:t>
      </w:r>
      <w:r>
        <w:rPr>
          <w:sz w:val="24"/>
          <w:szCs w:val="24"/>
        </w:rPr>
        <w:tab/>
      </w:r>
      <w:r>
        <w:rPr>
          <w:sz w:val="24"/>
          <w:szCs w:val="24"/>
        </w:rPr>
        <w:fldChar w:fldCharType="end"/>
      </w:r>
    </w:p>
    <w:p>
      <w:pPr>
        <w:pStyle w:val="29"/>
        <w:tabs>
          <w:tab w:val="right" w:leader="dot" w:pos="8312"/>
        </w:tabs>
        <w:snapToGrid w:val="0"/>
        <w:rPr>
          <w:sz w:val="24"/>
        </w:rPr>
      </w:pPr>
      <w:r>
        <w:fldChar w:fldCharType="begin"/>
      </w:r>
      <w:r>
        <w:instrText xml:space="preserve"> HYPERLINK \l "_Toc23714" </w:instrText>
      </w:r>
      <w:r>
        <w:fldChar w:fldCharType="separate"/>
      </w:r>
      <w:r>
        <w:rPr>
          <w:rFonts w:hint="eastAsia" w:eastAsia="黑体"/>
          <w:sz w:val="24"/>
        </w:rPr>
        <w:t>第四部分   采购清单</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"_Toc10482" </w:instrText>
      </w:r>
      <w:r>
        <w:fldChar w:fldCharType="separate"/>
      </w:r>
      <w:r>
        <w:rPr>
          <w:rFonts w:hint="eastAsia" w:eastAsia="黑体"/>
          <w:sz w:val="24"/>
        </w:rPr>
        <w:t>第五部分   评审方法</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"_Toc12931" </w:instrText>
      </w:r>
      <w:r>
        <w:fldChar w:fldCharType="separate"/>
      </w:r>
      <w:r>
        <w:rPr>
          <w:rFonts w:hint="eastAsia" w:ascii="宋体" w:hAnsi="宋体"/>
          <w:bCs/>
          <w:sz w:val="24"/>
        </w:rPr>
        <w:t>初步评审表</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"_Toc2306" </w:instrText>
      </w:r>
      <w:r>
        <w:fldChar w:fldCharType="separate"/>
      </w:r>
      <w:r>
        <w:rPr>
          <w:rFonts w:hint="eastAsia" w:ascii="宋体" w:hAnsi="宋体"/>
          <w:bCs/>
          <w:sz w:val="24"/>
        </w:rPr>
        <w:t>附表2、详细评审</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"_Toc12259" </w:instrText>
      </w:r>
      <w:r>
        <w:fldChar w:fldCharType="separate"/>
      </w:r>
      <w:r>
        <w:rPr>
          <w:rFonts w:hint="eastAsia" w:eastAsia="黑体"/>
          <w:sz w:val="24"/>
        </w:rPr>
        <w:t>第六部分   政府采购合同</w:t>
      </w:r>
      <w:r>
        <w:rPr>
          <w:sz w:val="24"/>
        </w:rPr>
        <w:tab/>
      </w:r>
      <w:r>
        <w:rPr>
          <w:sz w:val="24"/>
        </w:rPr>
        <w:fldChar w:fldCharType="end"/>
      </w:r>
    </w:p>
    <w:p>
      <w:pPr>
        <w:pStyle w:val="29"/>
        <w:tabs>
          <w:tab w:val="right" w:leader="dot" w:pos="8312"/>
        </w:tabs>
        <w:snapToGrid w:val="0"/>
        <w:rPr>
          <w:sz w:val="24"/>
        </w:rPr>
      </w:pPr>
      <w:r>
        <w:fldChar w:fldCharType="begin"/>
      </w:r>
      <w:r>
        <w:instrText xml:space="preserve"> HYPERLINK \l "_Toc28755" </w:instrText>
      </w:r>
      <w:r>
        <w:fldChar w:fldCharType="separate"/>
      </w:r>
      <w:r>
        <w:rPr>
          <w:rFonts w:hint="eastAsia" w:eastAsia="黑体"/>
          <w:sz w:val="24"/>
        </w:rPr>
        <w:t>第七部分   投标文件格式</w:t>
      </w:r>
      <w:r>
        <w:rPr>
          <w:sz w:val="24"/>
        </w:rPr>
        <w:tab/>
      </w:r>
      <w:r>
        <w:rPr>
          <w:sz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"_Toc13115" </w:instrText>
      </w:r>
      <w:r>
        <w:fldChar w:fldCharType="separate"/>
      </w:r>
      <w:r>
        <w:rPr>
          <w:rFonts w:hint="eastAsia" w:ascii="宋体" w:hAnsi="宋体"/>
          <w:sz w:val="24"/>
          <w:szCs w:val="24"/>
        </w:rPr>
        <w:t>一、资格审查材料</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"_Toc13190" </w:instrText>
      </w:r>
      <w:r>
        <w:fldChar w:fldCharType="separate"/>
      </w:r>
      <w:r>
        <w:rPr>
          <w:rFonts w:hint="eastAsia" w:ascii="宋体" w:hAnsi="宋体"/>
          <w:sz w:val="24"/>
          <w:szCs w:val="24"/>
        </w:rPr>
        <w:t>（一）★营业执照、组织机构代码证、税务登记证</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"_Toc5773" </w:instrText>
      </w:r>
      <w:r>
        <w:fldChar w:fldCharType="separate"/>
      </w:r>
      <w:r>
        <w:rPr>
          <w:rFonts w:hint="eastAsia" w:ascii="宋体" w:hAnsi="宋体"/>
          <w:sz w:val="24"/>
          <w:szCs w:val="24"/>
        </w:rPr>
        <w:t>（二）★投标保证金</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"_Toc17652" </w:instrText>
      </w:r>
      <w:r>
        <w:fldChar w:fldCharType="separate"/>
      </w:r>
      <w:r>
        <w:rPr>
          <w:rFonts w:hint="eastAsia" w:ascii="宋体" w:hAnsi="宋体"/>
          <w:sz w:val="24"/>
          <w:szCs w:val="24"/>
        </w:rPr>
        <w:t>（三）其他声明及文件资料（分公司，业绩证明文件）</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"_Toc27070" </w:instrText>
      </w:r>
      <w:r>
        <w:fldChar w:fldCharType="separate"/>
      </w:r>
      <w:r>
        <w:rPr>
          <w:rFonts w:hint="eastAsia" w:ascii="宋体" w:hAnsi="宋体"/>
          <w:sz w:val="24"/>
          <w:szCs w:val="24"/>
        </w:rPr>
        <w:t>二、商务部分</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"_Toc2066" </w:instrText>
      </w:r>
      <w:r>
        <w:fldChar w:fldCharType="separate"/>
      </w:r>
      <w:r>
        <w:rPr>
          <w:rFonts w:hint="eastAsia" w:ascii="宋体" w:hAnsi="宋体"/>
          <w:sz w:val="24"/>
          <w:szCs w:val="24"/>
        </w:rPr>
        <w:t>（四）★投标函</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"_Toc28911" </w:instrText>
      </w:r>
      <w:r>
        <w:fldChar w:fldCharType="separate"/>
      </w:r>
      <w:r>
        <w:rPr>
          <w:rFonts w:hint="eastAsia" w:ascii="宋体" w:hAnsi="宋体"/>
          <w:sz w:val="24"/>
          <w:szCs w:val="24"/>
        </w:rPr>
        <w:t>（五）★法定代表人授权委托书</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"_Toc27897" </w:instrText>
      </w:r>
      <w:r>
        <w:fldChar w:fldCharType="separate"/>
      </w:r>
      <w:r>
        <w:rPr>
          <w:rFonts w:hint="eastAsia" w:ascii="宋体" w:hAnsi="宋体"/>
          <w:sz w:val="24"/>
          <w:szCs w:val="24"/>
        </w:rPr>
        <w:t>（六）中小微企业相关证明材料</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"_Toc3692" </w:instrText>
      </w:r>
      <w:r>
        <w:fldChar w:fldCharType="separate"/>
      </w:r>
      <w:r>
        <w:rPr>
          <w:rFonts w:hint="eastAsia" w:ascii="宋体" w:hAnsi="宋体"/>
          <w:sz w:val="24"/>
          <w:szCs w:val="24"/>
        </w:rPr>
        <w:t>（七）★开标一览表</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"_Toc32015" </w:instrText>
      </w:r>
      <w:r>
        <w:fldChar w:fldCharType="separate"/>
      </w:r>
      <w:r>
        <w:rPr>
          <w:rFonts w:hint="eastAsia" w:ascii="宋体" w:hAnsi="宋体"/>
          <w:sz w:val="24"/>
          <w:szCs w:val="24"/>
        </w:rPr>
        <w:t>（八）★报价明细表</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"_Toc15649" </w:instrText>
      </w:r>
      <w:r>
        <w:fldChar w:fldCharType="separate"/>
      </w:r>
      <w:r>
        <w:rPr>
          <w:rFonts w:hint="eastAsia" w:ascii="宋体" w:hAnsi="宋体"/>
          <w:sz w:val="24"/>
          <w:szCs w:val="24"/>
        </w:rPr>
        <w:t>三、技术部分</w:t>
      </w:r>
      <w:r>
        <w:rPr>
          <w:sz w:val="24"/>
          <w:szCs w:val="24"/>
        </w:rPr>
        <w:tab/>
      </w:r>
      <w:r>
        <w:rPr>
          <w:sz w:val="24"/>
          <w:szCs w:val="24"/>
        </w:rPr>
        <w:fldChar w:fldCharType="end"/>
      </w:r>
    </w:p>
    <w:p>
      <w:pPr>
        <w:pStyle w:val="22"/>
        <w:tabs>
          <w:tab w:val="right" w:leader="dot" w:pos="8312"/>
        </w:tabs>
        <w:snapToGrid w:val="0"/>
        <w:spacing w:after="0" w:line="240" w:lineRule="auto"/>
        <w:rPr>
          <w:sz w:val="24"/>
          <w:szCs w:val="24"/>
        </w:rPr>
      </w:pPr>
      <w:r>
        <w:fldChar w:fldCharType="begin"/>
      </w:r>
      <w:r>
        <w:instrText xml:space="preserve"> HYPERLINK \l "_Toc2603" </w:instrText>
      </w:r>
      <w:r>
        <w:fldChar w:fldCharType="separate"/>
      </w:r>
      <w:r>
        <w:rPr>
          <w:rFonts w:hint="eastAsia" w:ascii="宋体" w:hAnsi="宋体"/>
          <w:sz w:val="24"/>
          <w:szCs w:val="24"/>
        </w:rPr>
        <w:t>（九）投标人自行编写的技术文件</w:t>
      </w:r>
      <w:r>
        <w:rPr>
          <w:sz w:val="24"/>
          <w:szCs w:val="24"/>
        </w:rPr>
        <w:tab/>
      </w:r>
      <w:r>
        <w:rPr>
          <w:sz w:val="24"/>
          <w:szCs w:val="24"/>
        </w:rPr>
        <w:fldChar w:fldCharType="end"/>
      </w:r>
    </w:p>
    <w:p>
      <w:pPr>
        <w:pStyle w:val="32"/>
        <w:tabs>
          <w:tab w:val="right" w:leader="dot" w:pos="8312"/>
        </w:tabs>
        <w:snapToGrid w:val="0"/>
        <w:spacing w:after="0" w:line="240" w:lineRule="auto"/>
        <w:rPr>
          <w:sz w:val="24"/>
          <w:szCs w:val="24"/>
        </w:rPr>
      </w:pPr>
      <w:r>
        <w:fldChar w:fldCharType="begin"/>
      </w:r>
      <w:r>
        <w:instrText xml:space="preserve"> HYPERLINK \l "_Toc10173" </w:instrText>
      </w:r>
      <w:r>
        <w:fldChar w:fldCharType="separate"/>
      </w:r>
      <w:r>
        <w:rPr>
          <w:rFonts w:hint="eastAsia" w:ascii="宋体" w:hAnsi="宋体"/>
          <w:sz w:val="24"/>
          <w:szCs w:val="24"/>
        </w:rPr>
        <w:t>四、服务部分</w:t>
      </w:r>
      <w:r>
        <w:rPr>
          <w:sz w:val="24"/>
          <w:szCs w:val="24"/>
        </w:rPr>
        <w:tab/>
      </w:r>
      <w:r>
        <w:rPr>
          <w:sz w:val="24"/>
          <w:szCs w:val="24"/>
        </w:rPr>
        <w:fldChar w:fldCharType="end"/>
      </w:r>
    </w:p>
    <w:p>
      <w:pPr>
        <w:pStyle w:val="32"/>
        <w:tabs>
          <w:tab w:val="right" w:leader="dot" w:pos="8312"/>
        </w:tabs>
        <w:snapToGrid w:val="0"/>
        <w:spacing w:after="0" w:line="240" w:lineRule="auto"/>
      </w:pPr>
      <w:r>
        <w:fldChar w:fldCharType="begin"/>
      </w:r>
      <w:r>
        <w:instrText xml:space="preserve"> HYPERLINK \l "_Toc31658" </w:instrText>
      </w:r>
      <w:r>
        <w:fldChar w:fldCharType="separate"/>
      </w:r>
      <w:r>
        <w:rPr>
          <w:rFonts w:hint="eastAsia" w:ascii="宋体" w:hAnsi="宋体"/>
          <w:sz w:val="24"/>
          <w:szCs w:val="24"/>
        </w:rPr>
        <w:t>（十）投标人自行编写的服务文件</w:t>
      </w:r>
      <w:r>
        <w:rPr>
          <w:sz w:val="24"/>
          <w:szCs w:val="24"/>
        </w:rPr>
        <w:tab/>
      </w:r>
      <w:r>
        <w:rPr>
          <w:sz w:val="24"/>
          <w:szCs w:val="24"/>
        </w:rPr>
        <w:fldChar w:fldCharType="end"/>
      </w:r>
    </w:p>
    <w:p>
      <w:r>
        <w:fldChar w:fldCharType="end"/>
      </w:r>
    </w:p>
    <w:p>
      <w:pPr>
        <w:rPr>
          <w:b/>
          <w:bCs/>
          <w:lang w:val="zh-CN"/>
        </w:rPr>
      </w:pPr>
    </w:p>
    <w:p>
      <w:pPr>
        <w:rPr>
          <w:b/>
          <w:bCs/>
          <w:lang w:val="zh-CN"/>
        </w:rPr>
      </w:pPr>
    </w:p>
    <w:p>
      <w:pPr>
        <w:rPr>
          <w:b/>
          <w:bCs/>
          <w:lang w:val="zh-CN"/>
        </w:rPr>
      </w:pPr>
    </w:p>
    <w:p>
      <w:pPr>
        <w:rPr>
          <w:b/>
          <w:bCs/>
          <w:lang w:val="zh-CN"/>
        </w:rPr>
      </w:pPr>
    </w:p>
    <w:p>
      <w:pPr>
        <w:rPr>
          <w:b/>
          <w:bCs/>
          <w:lang w:val="zh-CN"/>
        </w:rPr>
      </w:pPr>
    </w:p>
    <w:p>
      <w:pPr>
        <w:pStyle w:val="30"/>
        <w:ind w:left="723" w:hanging="723"/>
        <w:jc w:val="center"/>
        <w:outlineLvl w:val="0"/>
        <w:rPr>
          <w:rFonts w:eastAsia="黑体"/>
          <w:b/>
          <w:sz w:val="36"/>
          <w:szCs w:val="36"/>
        </w:rPr>
      </w:pPr>
      <w:bookmarkStart w:id="0" w:name="_Toc16169"/>
      <w:r>
        <w:rPr>
          <w:rFonts w:hint="eastAsia" w:eastAsia="黑体"/>
          <w:b/>
          <w:sz w:val="36"/>
          <w:szCs w:val="36"/>
        </w:rPr>
        <w:t>第一部分  招标公告</w:t>
      </w:r>
      <w:bookmarkEnd w:id="0"/>
    </w:p>
    <w:p>
      <w:pPr>
        <w:jc w:val="center"/>
        <w:rPr>
          <w:b/>
          <w:bCs/>
          <w:sz w:val="30"/>
          <w:szCs w:val="30"/>
        </w:rPr>
      </w:pPr>
      <w:bookmarkStart w:id="1" w:name="_Toc9869"/>
      <w:bookmarkStart w:id="2" w:name="_Toc33212754"/>
      <w:bookmarkStart w:id="3" w:name="_Toc33194700"/>
      <w:r>
        <w:rPr>
          <w:rFonts w:hint="eastAsia"/>
          <w:b/>
          <w:bCs/>
          <w:sz w:val="30"/>
          <w:szCs w:val="30"/>
        </w:rPr>
        <w:t>英吉沙县特色食品产业园项目二期-制冷系统设备采购</w:t>
      </w:r>
    </w:p>
    <w:p>
      <w:pPr>
        <w:jc w:val="center"/>
        <w:rPr>
          <w:b/>
          <w:bCs/>
          <w:sz w:val="30"/>
          <w:szCs w:val="30"/>
        </w:rPr>
      </w:pPr>
      <w:r>
        <w:rPr>
          <w:b/>
          <w:bCs/>
          <w:sz w:val="30"/>
          <w:szCs w:val="30"/>
        </w:rPr>
        <w:t>公开招标公告</w:t>
      </w:r>
    </w:p>
    <w:p>
      <w:pPr>
        <w:pStyle w:val="33"/>
        <w:widowControl/>
        <w:spacing w:before="204" w:after="204" w:line="240" w:lineRule="atLeast"/>
        <w:rPr>
          <w:rFonts w:ascii="宋体" w:hAnsi="宋体" w:cs="宋体"/>
        </w:rPr>
      </w:pPr>
      <w:r>
        <w:rPr>
          <w:rStyle w:val="40"/>
          <w:rFonts w:hint="eastAsia" w:ascii="宋体" w:hAnsi="宋体" w:cs="宋体"/>
          <w:color w:val="000000"/>
        </w:rPr>
        <w:t>一、项目基本情况</w:t>
      </w:r>
      <w:r>
        <w:rPr>
          <w:rFonts w:hint="eastAsia" w:ascii="宋体" w:hAnsi="宋体" w:cs="宋体"/>
          <w:color w:val="000000"/>
        </w:rPr>
        <w:t xml:space="preserve"> </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项目编号：XJRJ-YJS-2020（CG003）</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项目名称：英吉沙县特色食品产业园项目二期-制冷系统设备采购</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采购方式：公开招标</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预算金额（元）：400万元</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采购需求：</w:t>
      </w:r>
    </w:p>
    <w:p>
      <w:pPr>
        <w:pStyle w:val="33"/>
        <w:widowControl/>
        <w:spacing w:before="60" w:after="60"/>
        <w:ind w:left="479" w:leftChars="228"/>
        <w:jc w:val="left"/>
        <w:rPr>
          <w:rFonts w:ascii="宋体" w:hAnsi="宋体" w:cs="宋体"/>
        </w:rPr>
      </w:pPr>
      <w:r>
        <w:rPr>
          <w:rFonts w:hint="eastAsia" w:ascii="宋体" w:hAnsi="宋体" w:cs="宋体"/>
          <w:color w:val="000000"/>
        </w:rPr>
        <w:t>标项一:</w:t>
      </w:r>
      <w:r>
        <w:rPr>
          <w:rFonts w:hint="eastAsia" w:ascii="宋体" w:hAnsi="宋体" w:cs="宋体"/>
          <w:color w:val="000000"/>
        </w:rPr>
        <w:br w:type="textWrapping"/>
      </w:r>
      <w:r>
        <w:rPr>
          <w:rFonts w:hint="eastAsia" w:ascii="宋体" w:hAnsi="宋体" w:cs="宋体"/>
          <w:color w:val="000000"/>
        </w:rPr>
        <w:t>标项名称:制冷系统设备采购</w:t>
      </w:r>
      <w:r>
        <w:rPr>
          <w:rFonts w:hint="eastAsia" w:ascii="宋体" w:hAnsi="宋体" w:cs="宋体"/>
          <w:color w:val="000000"/>
        </w:rPr>
        <w:br w:type="textWrapping"/>
      </w:r>
      <w:r>
        <w:rPr>
          <w:rFonts w:hint="eastAsia" w:ascii="宋体" w:hAnsi="宋体" w:cs="宋体"/>
          <w:color w:val="000000"/>
        </w:rPr>
        <w:t>预算金额（元）:400万元</w:t>
      </w:r>
      <w:r>
        <w:rPr>
          <w:rFonts w:hint="eastAsia" w:ascii="宋体" w:hAnsi="宋体" w:cs="宋体"/>
          <w:color w:val="000000"/>
        </w:rPr>
        <w:br w:type="textWrapping"/>
      </w:r>
      <w:r>
        <w:rPr>
          <w:rFonts w:hint="eastAsia" w:ascii="宋体" w:hAnsi="宋体" w:cs="宋体"/>
          <w:color w:val="000000"/>
        </w:rPr>
        <w:t>简要规格描述或项目基本概况介绍、用途：采购安装一批制冷系统设备</w:t>
      </w:r>
    </w:p>
    <w:p>
      <w:pPr>
        <w:pStyle w:val="33"/>
        <w:widowControl/>
        <w:spacing w:before="60" w:after="60" w:line="240" w:lineRule="atLeast"/>
        <w:ind w:firstLine="420"/>
        <w:jc w:val="left"/>
        <w:rPr>
          <w:rFonts w:ascii="宋体" w:hAnsi="宋体" w:cs="宋体"/>
          <w:color w:val="000000"/>
        </w:rPr>
      </w:pPr>
      <w:r>
        <w:rPr>
          <w:rFonts w:hint="eastAsia" w:ascii="宋体" w:hAnsi="宋体" w:cs="宋体"/>
          <w:color w:val="000000"/>
        </w:rPr>
        <w:t>合同履约期限：合同签订之日起</w:t>
      </w:r>
      <w:r>
        <w:rPr>
          <w:rFonts w:hint="eastAsia" w:ascii="宋体" w:hAnsi="宋体" w:cs="宋体"/>
          <w:color w:val="000000"/>
          <w:lang w:val="en-US" w:eastAsia="zh-CN"/>
        </w:rPr>
        <w:t>35</w:t>
      </w:r>
      <w:r>
        <w:rPr>
          <w:rFonts w:hint="eastAsia" w:ascii="宋体" w:hAnsi="宋体" w:cs="宋体"/>
          <w:color w:val="000000"/>
        </w:rPr>
        <w:t>日内完整供货安装。</w:t>
      </w:r>
    </w:p>
    <w:p>
      <w:pPr>
        <w:pStyle w:val="33"/>
        <w:widowControl/>
        <w:spacing w:before="60" w:after="60" w:line="240" w:lineRule="atLeast"/>
        <w:ind w:firstLine="420"/>
        <w:jc w:val="left"/>
        <w:rPr>
          <w:rFonts w:ascii="宋体" w:hAnsi="宋体" w:cs="宋体"/>
          <w:color w:val="000000"/>
        </w:rPr>
      </w:pPr>
      <w:r>
        <w:rPr>
          <w:rFonts w:hint="eastAsia" w:ascii="宋体" w:hAnsi="宋体" w:cs="宋体"/>
          <w:color w:val="000000"/>
        </w:rPr>
        <w:t>质保期限：一年。</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本项目（否）接受联合体投标。</w:t>
      </w:r>
    </w:p>
    <w:p>
      <w:pPr>
        <w:pStyle w:val="33"/>
        <w:widowControl/>
        <w:spacing w:before="60" w:after="60" w:line="240" w:lineRule="atLeast"/>
        <w:jc w:val="left"/>
        <w:rPr>
          <w:rFonts w:ascii="宋体" w:hAnsi="宋体" w:cs="宋体"/>
        </w:rPr>
      </w:pPr>
    </w:p>
    <w:p>
      <w:pPr>
        <w:pStyle w:val="33"/>
        <w:widowControl/>
        <w:spacing w:before="60" w:after="60" w:line="240" w:lineRule="atLeast"/>
        <w:jc w:val="left"/>
        <w:rPr>
          <w:rFonts w:ascii="宋体" w:hAnsi="宋体" w:cs="宋体"/>
        </w:rPr>
      </w:pPr>
      <w:r>
        <w:rPr>
          <w:rStyle w:val="40"/>
          <w:rFonts w:hint="eastAsia" w:ascii="宋体" w:hAnsi="宋体" w:cs="宋体"/>
          <w:color w:val="000000"/>
        </w:rPr>
        <w:t>二、申请人的资格要求：</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1.满足《中华人民共和国政府采购法》第二十二条规定；</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2.落实政府采购政策需满足的资格要求：无</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3.本项目的特定资格要求：（1）五证一码或三证合一的营业执照（含有相关经营范围）；（2）投标商具有机电设备安装工程专业承包三级及以上资质，同时具有有效的安全生产许可证；（3）投标商具有中华人民共和国特种设备生产许可证或中华人民共和国特种设备安装改造修理许可证；（4）有依法缴纳税收和社会保障资金的良好纪录，需具有近半年完税证明及盖有社保局公章的社保缴纳证明；（5）具有良好的商业信誉和健全的财务会计制度，需具有近一年的财务审计报告或财务报表（成立不足一年的提供企业成立至今的财务报表）；（6）具有良好的售后服务能力和相应的质量保证措施（提供相关证明材料及售后服务承诺书）；（7）投标人如在国家企业信用信息公示系统、“信用中国”网站、中国政府采购网被列入严重违法失信行为记录名单的（尚在处罚期内的），将被拒绝本次投标；（8）相互关联的存在实际控制、管理关系的两个企业，不得参加同一项目的投标。</w:t>
      </w:r>
    </w:p>
    <w:p>
      <w:pPr>
        <w:pStyle w:val="33"/>
        <w:widowControl/>
        <w:spacing w:before="204" w:after="204" w:line="240" w:lineRule="atLeast"/>
        <w:rPr>
          <w:rFonts w:ascii="宋体" w:hAnsi="宋体" w:cs="宋体"/>
        </w:rPr>
      </w:pPr>
      <w:r>
        <w:rPr>
          <w:rStyle w:val="40"/>
          <w:rFonts w:hint="eastAsia" w:ascii="宋体" w:hAnsi="宋体" w:cs="宋体"/>
          <w:color w:val="000000"/>
        </w:rPr>
        <w:t>三、获取招标文件</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时间：2020年09月18日至2020年09月25日，每天上午10:00至13:30，下午16:00至19:30（北京时间，法定节假日除外）</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地点：新疆政府采购网线上自行下载获取（公告网页最下方）</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方式：新疆政府采购网线上自行下载获取（公告网页最下方）</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售价（元）：0</w:t>
      </w:r>
    </w:p>
    <w:p>
      <w:pPr>
        <w:pStyle w:val="33"/>
        <w:widowControl/>
        <w:spacing w:before="204" w:after="204" w:line="240" w:lineRule="atLeast"/>
        <w:rPr>
          <w:rFonts w:ascii="宋体" w:hAnsi="宋体" w:cs="宋体"/>
        </w:rPr>
      </w:pPr>
      <w:r>
        <w:rPr>
          <w:rStyle w:val="40"/>
          <w:rFonts w:hint="eastAsia" w:ascii="宋体" w:hAnsi="宋体" w:cs="宋体"/>
          <w:color w:val="000000"/>
        </w:rPr>
        <w:t>四、提交投标文件截止时间、开标时间和地点</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提交投标文件截止时间：2020年10月09日 11:00（北京时间）</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投标地点：英吉沙县商务和工业信息化局会议室</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开标时间：2020年10月09日 11:00（北京时间）</w:t>
      </w:r>
    </w:p>
    <w:p>
      <w:pPr>
        <w:pStyle w:val="33"/>
        <w:widowControl/>
        <w:spacing w:before="60" w:after="60" w:line="240" w:lineRule="atLeast"/>
        <w:ind w:firstLine="420"/>
        <w:jc w:val="left"/>
        <w:rPr>
          <w:rFonts w:ascii="宋体" w:hAnsi="宋体" w:cs="宋体"/>
        </w:rPr>
      </w:pPr>
      <w:r>
        <w:rPr>
          <w:rFonts w:hint="eastAsia" w:ascii="宋体" w:hAnsi="宋体" w:cs="宋体"/>
          <w:color w:val="000000"/>
        </w:rPr>
        <w:t>开标地点：英吉沙县商务和工业信息化局会议室</w:t>
      </w:r>
    </w:p>
    <w:p>
      <w:pPr>
        <w:pStyle w:val="33"/>
        <w:widowControl/>
        <w:spacing w:before="204" w:after="204" w:line="240" w:lineRule="atLeast"/>
        <w:rPr>
          <w:rFonts w:ascii="宋体" w:hAnsi="宋体" w:cs="宋体"/>
        </w:rPr>
      </w:pPr>
      <w:r>
        <w:rPr>
          <w:rStyle w:val="40"/>
          <w:rFonts w:hint="eastAsia" w:ascii="宋体" w:hAnsi="宋体" w:cs="宋体"/>
          <w:color w:val="000000"/>
        </w:rPr>
        <w:t>五、公告期限</w:t>
      </w:r>
    </w:p>
    <w:p>
      <w:pPr>
        <w:pStyle w:val="33"/>
        <w:widowControl/>
        <w:spacing w:before="60" w:after="60"/>
        <w:ind w:firstLine="420"/>
        <w:jc w:val="left"/>
        <w:rPr>
          <w:rFonts w:ascii="宋体" w:hAnsi="宋体" w:cs="宋体"/>
        </w:rPr>
      </w:pPr>
      <w:r>
        <w:rPr>
          <w:rFonts w:hint="eastAsia" w:ascii="宋体" w:hAnsi="宋体" w:cs="宋体"/>
          <w:color w:val="000000"/>
        </w:rPr>
        <w:t>自本公告发布之日起5个工作日。</w:t>
      </w:r>
    </w:p>
    <w:p>
      <w:pPr>
        <w:pStyle w:val="33"/>
        <w:widowControl/>
        <w:spacing w:before="204" w:after="204" w:line="384" w:lineRule="atLeast"/>
        <w:rPr>
          <w:rFonts w:ascii="宋体" w:hAnsi="宋体" w:cs="宋体"/>
        </w:rPr>
      </w:pPr>
      <w:r>
        <w:rPr>
          <w:rStyle w:val="40"/>
          <w:rFonts w:hint="eastAsia" w:ascii="宋体" w:hAnsi="宋体" w:cs="宋体"/>
          <w:color w:val="000000"/>
        </w:rPr>
        <w:t>六、对本次采购提出询问，请按以下方式联系</w:t>
      </w:r>
    </w:p>
    <w:p>
      <w:pPr>
        <w:pStyle w:val="33"/>
        <w:widowControl/>
        <w:spacing w:before="60" w:after="60"/>
        <w:ind w:firstLine="420"/>
        <w:jc w:val="left"/>
        <w:rPr>
          <w:rFonts w:ascii="宋体" w:hAnsi="宋体" w:cs="宋体"/>
        </w:rPr>
      </w:pPr>
      <w:r>
        <w:rPr>
          <w:rFonts w:hint="eastAsia" w:ascii="宋体" w:hAnsi="宋体" w:cs="宋体"/>
          <w:color w:val="000000"/>
        </w:rPr>
        <w:t>1.采购人信息</w:t>
      </w:r>
    </w:p>
    <w:p>
      <w:pPr>
        <w:pStyle w:val="33"/>
        <w:widowControl/>
        <w:spacing w:before="60" w:after="60"/>
        <w:ind w:firstLine="420"/>
        <w:jc w:val="left"/>
        <w:rPr>
          <w:rFonts w:ascii="宋体" w:hAnsi="宋体" w:cs="宋体"/>
        </w:rPr>
      </w:pPr>
      <w:r>
        <w:rPr>
          <w:rFonts w:hint="eastAsia" w:ascii="宋体" w:hAnsi="宋体" w:cs="宋体"/>
          <w:color w:val="000000"/>
        </w:rPr>
        <w:t>名 称：</w:t>
      </w:r>
      <w:r>
        <w:rPr>
          <w:rStyle w:val="45"/>
          <w:rFonts w:hint="eastAsia" w:ascii="宋体" w:hAnsi="宋体" w:cs="宋体"/>
          <w:color w:val="000000"/>
        </w:rPr>
        <w:t>英吉沙县商务和工业信息化局</w:t>
      </w:r>
    </w:p>
    <w:p>
      <w:pPr>
        <w:pStyle w:val="33"/>
        <w:widowControl/>
        <w:spacing w:before="60" w:after="60"/>
        <w:ind w:firstLine="420"/>
        <w:jc w:val="left"/>
        <w:rPr>
          <w:rFonts w:ascii="宋体" w:hAnsi="宋体" w:cs="宋体"/>
        </w:rPr>
      </w:pPr>
      <w:r>
        <w:rPr>
          <w:rFonts w:hint="eastAsia" w:ascii="宋体" w:hAnsi="宋体" w:cs="宋体"/>
          <w:color w:val="000000"/>
        </w:rPr>
        <w:t>地 址：英吉沙县</w:t>
      </w:r>
    </w:p>
    <w:p>
      <w:pPr>
        <w:pStyle w:val="33"/>
        <w:widowControl/>
        <w:spacing w:before="60" w:after="60"/>
        <w:ind w:firstLine="420"/>
        <w:jc w:val="left"/>
        <w:rPr>
          <w:rFonts w:ascii="宋体" w:hAnsi="宋体" w:cs="宋体"/>
        </w:rPr>
      </w:pPr>
      <w:r>
        <w:rPr>
          <w:rFonts w:hint="eastAsia" w:ascii="宋体" w:hAnsi="宋体" w:cs="宋体"/>
          <w:color w:val="000000"/>
        </w:rPr>
        <w:t>联系方式：0998-3633520</w:t>
      </w:r>
    </w:p>
    <w:p>
      <w:pPr>
        <w:pStyle w:val="33"/>
        <w:widowControl/>
        <w:spacing w:before="60" w:after="60"/>
        <w:ind w:firstLine="420"/>
        <w:jc w:val="left"/>
        <w:rPr>
          <w:rFonts w:ascii="宋体" w:hAnsi="宋体" w:cs="宋体"/>
        </w:rPr>
      </w:pPr>
      <w:r>
        <w:rPr>
          <w:rFonts w:hint="eastAsia" w:ascii="宋体" w:hAnsi="宋体" w:cs="宋体"/>
          <w:color w:val="000000"/>
        </w:rPr>
        <w:t>2.采购代理机构信息</w:t>
      </w:r>
    </w:p>
    <w:p>
      <w:pPr>
        <w:pStyle w:val="33"/>
        <w:widowControl/>
        <w:spacing w:before="60" w:after="60"/>
        <w:ind w:firstLine="420"/>
        <w:jc w:val="left"/>
        <w:rPr>
          <w:rFonts w:ascii="宋体" w:hAnsi="宋体" w:cs="宋体"/>
        </w:rPr>
      </w:pPr>
      <w:r>
        <w:rPr>
          <w:rFonts w:hint="eastAsia" w:ascii="宋体" w:hAnsi="宋体" w:cs="宋体"/>
          <w:color w:val="000000"/>
        </w:rPr>
        <w:t>名 称：新疆荣九工程管理有限公司</w:t>
      </w:r>
    </w:p>
    <w:p>
      <w:pPr>
        <w:pStyle w:val="33"/>
        <w:widowControl/>
        <w:spacing w:before="60" w:after="60"/>
        <w:ind w:firstLine="420"/>
        <w:jc w:val="left"/>
        <w:rPr>
          <w:rFonts w:ascii="宋体" w:hAnsi="宋体" w:cs="宋体"/>
        </w:rPr>
      </w:pPr>
      <w:r>
        <w:rPr>
          <w:rFonts w:hint="eastAsia" w:ascii="宋体" w:hAnsi="宋体" w:cs="宋体"/>
          <w:color w:val="000000"/>
        </w:rPr>
        <w:t>联系方式：15739141779</w:t>
      </w:r>
    </w:p>
    <w:p>
      <w:pPr>
        <w:pStyle w:val="33"/>
        <w:widowControl/>
        <w:spacing w:before="60" w:after="60"/>
        <w:ind w:firstLine="420"/>
        <w:jc w:val="left"/>
        <w:rPr>
          <w:rFonts w:ascii="宋体" w:hAnsi="宋体" w:cs="宋体"/>
        </w:rPr>
      </w:pPr>
      <w:r>
        <w:rPr>
          <w:rFonts w:hint="eastAsia" w:ascii="宋体" w:hAnsi="宋体" w:cs="宋体"/>
          <w:color w:val="000000"/>
        </w:rPr>
        <w:t>3.同级政府采购监督管理部门名称：英吉沙县财政局政府采购办</w:t>
      </w:r>
    </w:p>
    <w:p>
      <w:pPr>
        <w:pStyle w:val="33"/>
        <w:widowControl/>
        <w:spacing w:before="60" w:after="60"/>
        <w:jc w:val="left"/>
      </w:pPr>
      <w:r>
        <w:rPr>
          <w:rFonts w:hint="eastAsia" w:ascii="宋体" w:hAnsi="宋体" w:cs="宋体"/>
          <w:color w:val="000000"/>
        </w:rPr>
        <w:t>  监督投诉电话：0998-3786612</w:t>
      </w:r>
    </w:p>
    <w:p>
      <w:pPr>
        <w:rPr>
          <w:rFonts w:eastAsia="黑体"/>
          <w:b/>
          <w:sz w:val="36"/>
          <w:szCs w:val="36"/>
        </w:rPr>
      </w:pPr>
      <w:r>
        <w:rPr>
          <w:rFonts w:hint="eastAsia" w:eastAsia="黑体"/>
          <w:b/>
          <w:sz w:val="36"/>
          <w:szCs w:val="36"/>
        </w:rPr>
        <w:br w:type="page"/>
      </w:r>
    </w:p>
    <w:p>
      <w:pPr>
        <w:spacing w:line="570" w:lineRule="atLeast"/>
        <w:ind w:firstLine="723" w:firstLineChars="200"/>
        <w:jc w:val="center"/>
        <w:outlineLvl w:val="0"/>
        <w:rPr>
          <w:bCs/>
          <w:kern w:val="0"/>
          <w:szCs w:val="21"/>
        </w:rPr>
      </w:pPr>
      <w:r>
        <w:rPr>
          <w:rFonts w:hint="eastAsia" w:eastAsia="黑体"/>
          <w:b/>
          <w:sz w:val="36"/>
          <w:szCs w:val="36"/>
        </w:rPr>
        <w:t>第二部分   投标人须知前附表</w:t>
      </w:r>
      <w:bookmarkEnd w:id="1"/>
      <w:bookmarkEnd w:id="2"/>
      <w:bookmarkEnd w:id="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57"/>
        <w:gridCol w:w="611"/>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序号</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内容</w:t>
            </w:r>
          </w:p>
        </w:tc>
        <w:tc>
          <w:tcPr>
            <w:tcW w:w="6746" w:type="dxa"/>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w:t>
            </w:r>
          </w:p>
        </w:tc>
        <w:tc>
          <w:tcPr>
            <w:tcW w:w="1284" w:type="dxa"/>
            <w:gridSpan w:val="2"/>
            <w:vAlign w:val="center"/>
          </w:tcPr>
          <w:p>
            <w:pPr>
              <w:pStyle w:val="65"/>
              <w:keepNext w:val="0"/>
              <w:keepLines w:val="0"/>
              <w:numPr>
                <w:ilvl w:val="0"/>
                <w:numId w:val="0"/>
              </w:numPr>
              <w:spacing w:before="0" w:after="0" w:line="360" w:lineRule="auto"/>
              <w:jc w:val="center"/>
              <w:rPr>
                <w:rFonts w:ascii="宋体" w:hAnsi="宋体" w:eastAsia="宋体"/>
                <w:bCs w:val="0"/>
                <w:sz w:val="24"/>
                <w:szCs w:val="24"/>
              </w:rPr>
            </w:pPr>
            <w:r>
              <w:rPr>
                <w:rFonts w:hint="eastAsia" w:ascii="宋体" w:hAnsi="宋体" w:eastAsia="宋体"/>
                <w:bCs w:val="0"/>
                <w:sz w:val="24"/>
                <w:szCs w:val="24"/>
              </w:rPr>
              <w:t>采购人</w:t>
            </w:r>
          </w:p>
        </w:tc>
        <w:tc>
          <w:tcPr>
            <w:tcW w:w="6746" w:type="dxa"/>
            <w:vAlign w:val="center"/>
          </w:tcPr>
          <w:p>
            <w:pPr>
              <w:spacing w:line="360" w:lineRule="auto"/>
              <w:rPr>
                <w:rFonts w:ascii="宋体" w:hAnsi="宋体" w:cs="宋体"/>
                <w:kern w:val="0"/>
                <w:sz w:val="24"/>
                <w:u w:val="single"/>
              </w:rPr>
            </w:pPr>
            <w:r>
              <w:rPr>
                <w:rFonts w:hint="eastAsia" w:ascii="宋体" w:hAnsi="宋体" w:cs="宋体"/>
                <w:sz w:val="24"/>
              </w:rPr>
              <w:t>英吉沙县商务和工业信息化局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采购代理机构</w:t>
            </w:r>
          </w:p>
        </w:tc>
        <w:tc>
          <w:tcPr>
            <w:tcW w:w="6746" w:type="dxa"/>
            <w:vAlign w:val="center"/>
          </w:tcPr>
          <w:p>
            <w:pPr>
              <w:widowControl/>
              <w:spacing w:line="360" w:lineRule="auto"/>
              <w:jc w:val="left"/>
              <w:rPr>
                <w:rFonts w:ascii="宋体" w:hAnsi="宋体" w:cs="宋体"/>
                <w:sz w:val="24"/>
                <w:u w:val="single"/>
              </w:rPr>
            </w:pPr>
            <w:r>
              <w:rPr>
                <w:rFonts w:hint="eastAsia" w:ascii="宋体" w:hAnsi="宋体" w:cs="宋体"/>
                <w:sz w:val="24"/>
              </w:rPr>
              <w:t xml:space="preserve">新疆荣九工程管理有限公司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3</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投标人资格要求</w:t>
            </w:r>
          </w:p>
        </w:tc>
        <w:tc>
          <w:tcPr>
            <w:tcW w:w="6746" w:type="dxa"/>
            <w:vAlign w:val="center"/>
          </w:tcPr>
          <w:p>
            <w:pPr>
              <w:rPr>
                <w:rFonts w:ascii="宋体" w:hAnsi="宋体" w:cs="宋体"/>
                <w:sz w:val="24"/>
              </w:rPr>
            </w:pPr>
            <w:r>
              <w:rPr>
                <w:rFonts w:hint="eastAsia" w:ascii="宋体" w:hAnsi="宋体" w:cs="宋体"/>
                <w:sz w:val="24"/>
              </w:rPr>
              <w:t xml:space="preserve">（1）符合《中华人民共和国政府采购法》第二十二条规定； </w:t>
            </w:r>
          </w:p>
          <w:p>
            <w:pPr>
              <w:spacing w:line="360" w:lineRule="auto"/>
              <w:rPr>
                <w:rFonts w:ascii="宋体" w:hAnsi="宋体" w:cs="宋体"/>
                <w:color w:val="000000"/>
                <w:sz w:val="24"/>
              </w:rPr>
            </w:pPr>
            <w:r>
              <w:rPr>
                <w:rFonts w:hint="eastAsia" w:ascii="宋体" w:hAnsi="宋体" w:cs="宋体"/>
                <w:color w:val="000000"/>
                <w:sz w:val="24"/>
              </w:rPr>
              <w:t>（2）五证一码或三证合一的营业执照（含有相关经营范围）；</w:t>
            </w:r>
          </w:p>
          <w:p>
            <w:pPr>
              <w:spacing w:line="360" w:lineRule="auto"/>
              <w:rPr>
                <w:rFonts w:ascii="宋体" w:hAnsi="宋体" w:cs="宋体"/>
                <w:color w:val="000000"/>
                <w:sz w:val="24"/>
              </w:rPr>
            </w:pPr>
            <w:r>
              <w:rPr>
                <w:rFonts w:hint="eastAsia" w:ascii="宋体" w:hAnsi="宋体" w:cs="宋体"/>
                <w:color w:val="000000"/>
                <w:sz w:val="24"/>
              </w:rPr>
              <w:t>（3）投标商具有机电设备安装工程专业承包三级及以上资质，同时具有有效的安全生产许可证；</w:t>
            </w:r>
          </w:p>
          <w:p>
            <w:pPr>
              <w:spacing w:line="360" w:lineRule="auto"/>
              <w:rPr>
                <w:rFonts w:ascii="宋体" w:hAnsi="宋体" w:cs="宋体"/>
                <w:sz w:val="24"/>
              </w:rPr>
            </w:pPr>
            <w:r>
              <w:rPr>
                <w:rFonts w:hint="eastAsia" w:ascii="宋体" w:hAnsi="宋体" w:cs="宋体"/>
                <w:sz w:val="24"/>
              </w:rPr>
              <w:t>（4）投标商具有中华人民共和国特种设备生产许可证或中华人民共和国特种设备安装改造修理许可证；</w:t>
            </w:r>
          </w:p>
          <w:p>
            <w:pPr>
              <w:spacing w:line="360" w:lineRule="auto"/>
              <w:rPr>
                <w:rFonts w:ascii="宋体" w:hAnsi="宋体" w:cs="宋体"/>
                <w:sz w:val="24"/>
              </w:rPr>
            </w:pPr>
            <w:r>
              <w:rPr>
                <w:rFonts w:hint="eastAsia" w:ascii="宋体" w:hAnsi="宋体" w:cs="宋体"/>
                <w:sz w:val="24"/>
              </w:rPr>
              <w:t>（5）有依法缴纳税收和社会保障资金的良好纪录，需具有近半年完税证明及社保缴纳证明；</w:t>
            </w:r>
          </w:p>
          <w:p>
            <w:pPr>
              <w:spacing w:line="360" w:lineRule="auto"/>
              <w:rPr>
                <w:rFonts w:ascii="宋体" w:hAnsi="宋体" w:cs="宋体"/>
                <w:sz w:val="24"/>
              </w:rPr>
            </w:pPr>
            <w:r>
              <w:rPr>
                <w:rFonts w:hint="eastAsia" w:ascii="宋体" w:hAnsi="宋体" w:cs="宋体"/>
                <w:sz w:val="24"/>
              </w:rPr>
              <w:t>（6）具有良好的商业信誉和健全的财务会计制度，需具有近一年的财务审计报告或财务报表（成立不足一年的提供企业成立至今的财务报表）；</w:t>
            </w:r>
          </w:p>
          <w:p>
            <w:pPr>
              <w:spacing w:line="360" w:lineRule="auto"/>
              <w:rPr>
                <w:rFonts w:ascii="宋体" w:hAnsi="宋体" w:cs="宋体"/>
                <w:sz w:val="24"/>
              </w:rPr>
            </w:pPr>
            <w:r>
              <w:rPr>
                <w:rFonts w:hint="eastAsia" w:ascii="宋体" w:hAnsi="宋体" w:cs="宋体"/>
                <w:sz w:val="24"/>
              </w:rPr>
              <w:t>（7）</w:t>
            </w:r>
            <w:r>
              <w:rPr>
                <w:rFonts w:hint="eastAsia" w:ascii="宋体" w:hAnsi="宋体" w:cs="宋体"/>
                <w:color w:val="auto"/>
                <w:sz w:val="24"/>
              </w:rPr>
              <w:t>具有良好的售后服务能力和相应的质量保证措施（提供相关证明材料及售后服务承诺书）；</w:t>
            </w:r>
          </w:p>
          <w:p>
            <w:pPr>
              <w:spacing w:line="360" w:lineRule="auto"/>
              <w:rPr>
                <w:rFonts w:ascii="宋体" w:hAnsi="宋体" w:cs="宋体"/>
                <w:sz w:val="24"/>
              </w:rPr>
            </w:pPr>
            <w:r>
              <w:rPr>
                <w:rFonts w:hint="eastAsia" w:ascii="宋体" w:hAnsi="宋体" w:cs="宋体"/>
                <w:sz w:val="24"/>
              </w:rPr>
              <w:t>（8）投标人如在国家企业信用信息公示系统、“信用中国”网站、中国政府采购网被列入严重违法失信行为记录名单的（尚在处罚期内的），将被拒绝本次投标；</w:t>
            </w:r>
          </w:p>
          <w:p>
            <w:pPr>
              <w:spacing w:line="360" w:lineRule="auto"/>
              <w:rPr>
                <w:rFonts w:ascii="宋体" w:hAnsi="宋体" w:cs="宋体"/>
                <w:sz w:val="24"/>
              </w:rPr>
            </w:pPr>
            <w:r>
              <w:rPr>
                <w:rFonts w:hint="eastAsia" w:ascii="宋体" w:hAnsi="宋体" w:cs="宋体"/>
                <w:sz w:val="24"/>
              </w:rPr>
              <w:t>（9）相互关联的存在实际控制、管理关系的两个企业，不得参加同一项目的投标。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4</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项目</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名称</w:t>
            </w:r>
          </w:p>
        </w:tc>
        <w:tc>
          <w:tcPr>
            <w:tcW w:w="6746" w:type="dxa"/>
            <w:vAlign w:val="center"/>
          </w:tcPr>
          <w:p>
            <w:pPr>
              <w:spacing w:line="360" w:lineRule="auto"/>
              <w:rPr>
                <w:rFonts w:ascii="宋体" w:hAnsi="宋体" w:cs="宋体"/>
                <w:color w:val="000000"/>
                <w:sz w:val="24"/>
                <w:u w:val="single"/>
              </w:rPr>
            </w:pPr>
            <w:r>
              <w:rPr>
                <w:rFonts w:hint="eastAsia" w:ascii="宋体" w:hAnsi="宋体" w:cs="宋体"/>
                <w:sz w:val="24"/>
              </w:rPr>
              <w:t>英吉沙县特色食品产业园项目二期-制冷系统设备采购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5</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招标</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方式</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6</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资金</w:t>
            </w:r>
          </w:p>
          <w:p>
            <w:pPr>
              <w:spacing w:line="360" w:lineRule="auto"/>
              <w:jc w:val="center"/>
              <w:rPr>
                <w:rFonts w:ascii="宋体" w:hAnsi="宋体" w:cs="宋体"/>
                <w:b/>
                <w:color w:val="000000"/>
                <w:kern w:val="0"/>
                <w:sz w:val="24"/>
              </w:rPr>
            </w:pPr>
            <w:r>
              <w:rPr>
                <w:rFonts w:hint="eastAsia" w:ascii="宋体" w:hAnsi="宋体" w:cs="宋体"/>
                <w:b/>
                <w:color w:val="000000"/>
                <w:kern w:val="0"/>
                <w:sz w:val="24"/>
              </w:rPr>
              <w:t>来源</w:t>
            </w:r>
          </w:p>
        </w:tc>
        <w:tc>
          <w:tcPr>
            <w:tcW w:w="6746" w:type="dxa"/>
            <w:vAlign w:val="center"/>
          </w:tcPr>
          <w:p>
            <w:pPr>
              <w:spacing w:line="360" w:lineRule="auto"/>
              <w:rPr>
                <w:rFonts w:ascii="宋体" w:hAnsi="宋体" w:cs="宋体"/>
                <w:color w:val="000000"/>
                <w:sz w:val="24"/>
              </w:rPr>
            </w:pPr>
            <w:r>
              <w:rPr>
                <w:rFonts w:hint="eastAsia" w:ascii="宋体" w:hAnsi="宋体" w:cs="宋体"/>
                <w:color w:val="000000"/>
                <w:sz w:val="24"/>
              </w:rPr>
              <w:t>2020年抗疫特别国债资金和脱贫攻坚补短板综合财力补助资金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color w:val="FF0000"/>
                <w:kern w:val="0"/>
                <w:sz w:val="24"/>
              </w:rPr>
            </w:pPr>
            <w:r>
              <w:rPr>
                <w:rFonts w:hint="eastAsia" w:ascii="宋体" w:hAnsi="宋体" w:cs="宋体"/>
                <w:b/>
                <w:kern w:val="0"/>
                <w:sz w:val="24"/>
              </w:rPr>
              <w:t>7</w:t>
            </w:r>
          </w:p>
        </w:tc>
        <w:tc>
          <w:tcPr>
            <w:tcW w:w="0" w:type="auto"/>
            <w:vMerge w:val="restart"/>
            <w:vAlign w:val="center"/>
          </w:tcPr>
          <w:p>
            <w:pPr>
              <w:spacing w:line="360" w:lineRule="auto"/>
              <w:jc w:val="center"/>
              <w:rPr>
                <w:rFonts w:ascii="宋体" w:hAnsi="宋体" w:cs="宋体"/>
                <w:color w:val="FF0000"/>
                <w:sz w:val="24"/>
                <w:highlight w:val="yellow"/>
              </w:rPr>
            </w:pPr>
            <w:r>
              <w:rPr>
                <w:rFonts w:hint="eastAsia" w:ascii="宋体" w:hAnsi="宋体" w:cs="宋体"/>
                <w:b/>
                <w:kern w:val="0"/>
                <w:sz w:val="24"/>
              </w:rPr>
              <w:t>投标文件的组成部分</w:t>
            </w: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封面</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b/>
                <w:color w:val="FF0000"/>
                <w:kern w:val="0"/>
                <w:sz w:val="24"/>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商</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★投标函；</w:t>
            </w:r>
          </w:p>
          <w:p>
            <w:pPr>
              <w:spacing w:line="360" w:lineRule="auto"/>
              <w:rPr>
                <w:rFonts w:ascii="宋体" w:hAnsi="宋体" w:cs="宋体"/>
                <w:kern w:val="0"/>
                <w:sz w:val="24"/>
              </w:rPr>
            </w:pPr>
            <w:r>
              <w:rPr>
                <w:rFonts w:hint="eastAsia" w:ascii="宋体" w:hAnsi="宋体" w:cs="宋体"/>
                <w:kern w:val="0"/>
                <w:sz w:val="24"/>
              </w:rPr>
              <w:t>★法定代表人授权委托书；</w:t>
            </w:r>
          </w:p>
          <w:p>
            <w:pPr>
              <w:spacing w:line="360" w:lineRule="auto"/>
              <w:rPr>
                <w:rFonts w:ascii="宋体" w:hAnsi="宋体" w:cs="宋体"/>
                <w:kern w:val="0"/>
                <w:sz w:val="24"/>
              </w:rPr>
            </w:pPr>
            <w:r>
              <w:rPr>
                <w:rFonts w:hint="eastAsia" w:ascii="宋体" w:hAnsi="宋体" w:cs="宋体"/>
                <w:kern w:val="0"/>
                <w:sz w:val="24"/>
              </w:rPr>
              <w:t>★按照“投标人资格要求”规定提交的相关证明材料（</w:t>
            </w:r>
            <w:r>
              <w:rPr>
                <w:rFonts w:hint="eastAsia" w:ascii="宋体" w:hAnsi="宋体" w:cs="宋体"/>
                <w:b/>
                <w:kern w:val="0"/>
                <w:sz w:val="24"/>
              </w:rPr>
              <w:t>评审时需要原件的须于</w:t>
            </w:r>
            <w:r>
              <w:rPr>
                <w:rFonts w:hint="eastAsia" w:ascii="宋体" w:hAnsi="宋体" w:cs="宋体"/>
                <w:b/>
                <w:sz w:val="24"/>
              </w:rPr>
              <w:t>投标截止时间前</w:t>
            </w:r>
            <w:r>
              <w:rPr>
                <w:rFonts w:hint="eastAsia" w:ascii="宋体" w:hAnsi="宋体" w:cs="宋体"/>
                <w:b/>
                <w:kern w:val="0"/>
                <w:sz w:val="24"/>
              </w:rPr>
              <w:t>提供）</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企业信誉</w:t>
            </w:r>
          </w:p>
          <w:p>
            <w:pPr>
              <w:spacing w:line="360" w:lineRule="auto"/>
              <w:rPr>
                <w:rFonts w:ascii="宋体" w:hAnsi="宋体" w:cs="宋体"/>
                <w:kern w:val="0"/>
                <w:sz w:val="24"/>
              </w:rPr>
            </w:pPr>
            <w:r>
              <w:rPr>
                <w:rFonts w:hint="eastAsia" w:ascii="宋体" w:hAnsi="宋体" w:cs="宋体"/>
                <w:kern w:val="0"/>
                <w:sz w:val="24"/>
              </w:rPr>
              <w:t>财务状况</w:t>
            </w:r>
          </w:p>
          <w:p>
            <w:pPr>
              <w:spacing w:line="360" w:lineRule="auto"/>
              <w:rPr>
                <w:rFonts w:ascii="宋体" w:hAnsi="宋体" w:cs="宋体"/>
                <w:color w:val="FF0000"/>
                <w:kern w:val="0"/>
                <w:sz w:val="24"/>
              </w:rPr>
            </w:pPr>
            <w:r>
              <w:rPr>
                <w:rFonts w:hint="eastAsia" w:ascii="宋体" w:hAnsi="宋体" w:cs="宋体"/>
                <w:kern w:val="0"/>
                <w:sz w:val="24"/>
              </w:rPr>
              <w:t xml:space="preserve">服务方案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报</w:t>
            </w:r>
          </w:p>
          <w:p>
            <w:pPr>
              <w:spacing w:line="360" w:lineRule="auto"/>
              <w:jc w:val="center"/>
              <w:rPr>
                <w:rFonts w:ascii="宋体" w:hAnsi="宋体" w:cs="宋体"/>
                <w:b/>
                <w:kern w:val="0"/>
                <w:sz w:val="24"/>
              </w:rPr>
            </w:pPr>
            <w:r>
              <w:rPr>
                <w:rFonts w:hint="eastAsia" w:ascii="宋体" w:hAnsi="宋体" w:cs="宋体"/>
                <w:b/>
                <w:kern w:val="0"/>
                <w:sz w:val="24"/>
              </w:rPr>
              <w:t>价</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★开标一览表；</w:t>
            </w:r>
          </w:p>
          <w:p>
            <w:pPr>
              <w:spacing w:line="360" w:lineRule="auto"/>
              <w:rPr>
                <w:rFonts w:ascii="宋体" w:hAnsi="宋体" w:cs="宋体"/>
                <w:kern w:val="0"/>
                <w:sz w:val="24"/>
              </w:rPr>
            </w:pPr>
            <w:r>
              <w:rPr>
                <w:rFonts w:hint="eastAsia" w:ascii="宋体" w:hAnsi="宋体" w:cs="宋体"/>
                <w:kern w:val="0"/>
                <w:sz w:val="24"/>
              </w:rPr>
              <w:t>★报价明细表；</w:t>
            </w:r>
          </w:p>
          <w:p>
            <w:pPr>
              <w:spacing w:line="360" w:lineRule="auto"/>
              <w:rPr>
                <w:rFonts w:ascii="宋体" w:hAnsi="宋体" w:cs="宋体"/>
                <w:kern w:val="0"/>
                <w:sz w:val="24"/>
              </w:rPr>
            </w:pPr>
            <w:r>
              <w:rPr>
                <w:rFonts w:hint="eastAsia" w:ascii="宋体" w:hAnsi="宋体" w:cs="宋体"/>
                <w:kern w:val="0"/>
                <w:sz w:val="24"/>
              </w:rPr>
              <w:t>环境标志产品明细表；</w:t>
            </w:r>
          </w:p>
          <w:p>
            <w:pPr>
              <w:spacing w:line="360" w:lineRule="auto"/>
              <w:rPr>
                <w:rFonts w:ascii="宋体" w:hAnsi="宋体" w:cs="宋体"/>
                <w:kern w:val="0"/>
                <w:sz w:val="24"/>
              </w:rPr>
            </w:pPr>
            <w:r>
              <w:rPr>
                <w:rFonts w:hint="eastAsia" w:ascii="宋体" w:hAnsi="宋体" w:cs="宋体"/>
                <w:kern w:val="0"/>
                <w:sz w:val="24"/>
              </w:rPr>
              <w:t>节能产品明细表；</w:t>
            </w:r>
          </w:p>
          <w:p>
            <w:pPr>
              <w:spacing w:line="360" w:lineRule="auto"/>
              <w:rPr>
                <w:rFonts w:ascii="宋体" w:hAnsi="宋体" w:cs="宋体"/>
                <w:kern w:val="0"/>
                <w:sz w:val="24"/>
              </w:rPr>
            </w:pPr>
            <w:r>
              <w:rPr>
                <w:rFonts w:hint="eastAsia" w:ascii="宋体" w:hAnsi="宋体" w:cs="宋体"/>
                <w:kern w:val="0"/>
                <w:sz w:val="24"/>
              </w:rPr>
              <w:t>小、微型企业产品明细表；</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技</w:t>
            </w:r>
          </w:p>
          <w:p>
            <w:pPr>
              <w:spacing w:line="360" w:lineRule="auto"/>
              <w:jc w:val="center"/>
              <w:rPr>
                <w:rFonts w:ascii="宋体" w:hAnsi="宋体" w:cs="宋体"/>
                <w:b/>
                <w:kern w:val="0"/>
                <w:sz w:val="24"/>
              </w:rPr>
            </w:pPr>
            <w:r>
              <w:rPr>
                <w:rFonts w:hint="eastAsia" w:ascii="宋体" w:hAnsi="宋体" w:cs="宋体"/>
                <w:b/>
                <w:kern w:val="0"/>
                <w:sz w:val="24"/>
              </w:rPr>
              <w:t>术</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投标人自行编写的技术文件：</w:t>
            </w:r>
          </w:p>
          <w:p>
            <w:pPr>
              <w:spacing w:line="360" w:lineRule="auto"/>
              <w:rPr>
                <w:rFonts w:ascii="宋体" w:hAnsi="宋体" w:cs="宋体"/>
                <w:kern w:val="0"/>
                <w:sz w:val="24"/>
              </w:rPr>
            </w:pPr>
            <w:r>
              <w:rPr>
                <w:rFonts w:hint="eastAsia" w:ascii="宋体" w:hAnsi="宋体" w:cs="宋体"/>
                <w:kern w:val="0"/>
                <w:sz w:val="24"/>
              </w:rPr>
              <w:t>①货物主要技术指标和运行性能：</w:t>
            </w:r>
          </w:p>
          <w:p>
            <w:pPr>
              <w:spacing w:line="360" w:lineRule="auto"/>
              <w:rPr>
                <w:rFonts w:ascii="宋体" w:hAnsi="宋体" w:cs="宋体"/>
                <w:kern w:val="0"/>
                <w:sz w:val="24"/>
              </w:rPr>
            </w:pPr>
            <w:r>
              <w:rPr>
                <w:rFonts w:hint="eastAsia" w:ascii="宋体" w:hAnsi="宋体" w:cs="宋体"/>
                <w:kern w:val="0"/>
                <w:sz w:val="24"/>
              </w:rPr>
              <w:t>&lt;1&gt; ☆ 技术明细表（详细描述货物技术指标及性能，包括采</w:t>
            </w:r>
          </w:p>
          <w:p>
            <w:pPr>
              <w:spacing w:line="360" w:lineRule="auto"/>
              <w:rPr>
                <w:rFonts w:ascii="宋体" w:hAnsi="宋体" w:cs="宋体"/>
                <w:kern w:val="0"/>
                <w:sz w:val="24"/>
              </w:rPr>
            </w:pPr>
            <w:r>
              <w:rPr>
                <w:rFonts w:hint="eastAsia" w:ascii="宋体" w:hAnsi="宋体" w:cs="宋体"/>
                <w:kern w:val="0"/>
                <w:sz w:val="24"/>
              </w:rPr>
              <w:t>用的新工艺、新技术、新材料等）；</w:t>
            </w:r>
          </w:p>
          <w:p>
            <w:pPr>
              <w:spacing w:line="360" w:lineRule="auto"/>
              <w:rPr>
                <w:rFonts w:ascii="宋体" w:hAnsi="宋体" w:cs="宋体"/>
                <w:kern w:val="0"/>
                <w:sz w:val="24"/>
              </w:rPr>
            </w:pPr>
            <w:r>
              <w:rPr>
                <w:rFonts w:hint="eastAsia" w:ascii="宋体" w:hAnsi="宋体" w:cs="宋体"/>
                <w:kern w:val="0"/>
                <w:sz w:val="24"/>
              </w:rPr>
              <w:t>&lt;2&gt;同货物型号一致的产品手册、彩页、说明书等技术文</w:t>
            </w:r>
          </w:p>
          <w:p>
            <w:pPr>
              <w:spacing w:line="360" w:lineRule="auto"/>
              <w:rPr>
                <w:rFonts w:ascii="宋体" w:hAnsi="宋体" w:cs="宋体"/>
                <w:kern w:val="0"/>
                <w:sz w:val="24"/>
              </w:rPr>
            </w:pPr>
            <w:r>
              <w:rPr>
                <w:rFonts w:hint="eastAsia" w:ascii="宋体" w:hAnsi="宋体" w:cs="宋体"/>
                <w:kern w:val="0"/>
                <w:sz w:val="24"/>
              </w:rPr>
              <w:t>件（包括但不限于招标文件中要求提供的投标产品样本、</w:t>
            </w:r>
          </w:p>
          <w:p>
            <w:pPr>
              <w:spacing w:line="360" w:lineRule="auto"/>
              <w:rPr>
                <w:rFonts w:ascii="宋体" w:hAnsi="宋体" w:cs="宋体"/>
                <w:kern w:val="0"/>
                <w:sz w:val="24"/>
              </w:rPr>
            </w:pPr>
            <w:r>
              <w:rPr>
                <w:rFonts w:hint="eastAsia" w:ascii="宋体" w:hAnsi="宋体" w:cs="宋体"/>
                <w:kern w:val="0"/>
                <w:sz w:val="24"/>
              </w:rPr>
              <w:t>使用保养说明书、图纸以及产品检测报告和认定证书等技</w:t>
            </w:r>
          </w:p>
          <w:p>
            <w:pPr>
              <w:spacing w:line="360" w:lineRule="auto"/>
              <w:rPr>
                <w:rFonts w:ascii="宋体" w:hAnsi="宋体" w:cs="宋体"/>
                <w:kern w:val="0"/>
                <w:sz w:val="24"/>
              </w:rPr>
            </w:pPr>
            <w:r>
              <w:rPr>
                <w:rFonts w:hint="eastAsia" w:ascii="宋体" w:hAnsi="宋体" w:cs="宋体"/>
                <w:kern w:val="0"/>
                <w:sz w:val="24"/>
              </w:rPr>
              <w:t>术资料）；</w:t>
            </w:r>
          </w:p>
          <w:p>
            <w:pPr>
              <w:spacing w:line="360" w:lineRule="auto"/>
              <w:rPr>
                <w:rFonts w:ascii="宋体" w:hAnsi="宋体" w:cs="宋体"/>
                <w:kern w:val="0"/>
                <w:sz w:val="24"/>
              </w:rPr>
            </w:pPr>
            <w:r>
              <w:rPr>
                <w:rFonts w:hint="eastAsia" w:ascii="宋体" w:hAnsi="宋体" w:cs="宋体"/>
                <w:kern w:val="0"/>
                <w:sz w:val="24"/>
              </w:rPr>
              <w:t>&lt;3&gt; ☆ 货物技术规范偏离表；</w:t>
            </w:r>
          </w:p>
          <w:p>
            <w:pPr>
              <w:spacing w:line="360" w:lineRule="auto"/>
              <w:rPr>
                <w:rFonts w:ascii="宋体" w:hAnsi="宋体" w:cs="宋体"/>
                <w:kern w:val="0"/>
                <w:sz w:val="24"/>
              </w:rPr>
            </w:pPr>
            <w:r>
              <w:rPr>
                <w:rFonts w:hint="eastAsia" w:ascii="宋体" w:hAnsi="宋体" w:cs="宋体"/>
                <w:kern w:val="0"/>
                <w:sz w:val="24"/>
              </w:rPr>
              <w:t>②货物配件、耗材、选件表和备件及特殊工具清单；</w:t>
            </w:r>
          </w:p>
          <w:p>
            <w:pPr>
              <w:spacing w:line="360" w:lineRule="auto"/>
              <w:rPr>
                <w:rFonts w:ascii="宋体" w:hAnsi="宋体" w:cs="宋体"/>
                <w:kern w:val="0"/>
                <w:sz w:val="24"/>
              </w:rPr>
            </w:pPr>
            <w:r>
              <w:rPr>
                <w:rFonts w:hint="eastAsia" w:ascii="宋体" w:hAnsi="宋体" w:cs="宋体"/>
                <w:kern w:val="0"/>
                <w:sz w:val="24"/>
              </w:rPr>
              <w:t>③货物安装方案及验收标准；</w:t>
            </w:r>
          </w:p>
          <w:p>
            <w:pPr>
              <w:spacing w:line="360" w:lineRule="auto"/>
              <w:rPr>
                <w:rFonts w:ascii="宋体" w:hAnsi="宋体" w:cs="宋体"/>
                <w:kern w:val="0"/>
                <w:sz w:val="24"/>
              </w:rPr>
            </w:pPr>
            <w:r>
              <w:rPr>
                <w:rFonts w:hint="eastAsia" w:ascii="宋体" w:hAnsi="宋体" w:cs="宋体"/>
                <w:kern w:val="0"/>
                <w:sz w:val="24"/>
              </w:rPr>
              <w:t>④质量保证措施和保证交货期措施；</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p>
            <w:pPr>
              <w:spacing w:line="360" w:lineRule="auto"/>
              <w:rPr>
                <w:rFonts w:ascii="宋体" w:hAnsi="宋体" w:cs="宋体"/>
                <w:color w:val="FF0000"/>
                <w:kern w:val="0"/>
                <w:sz w:val="24"/>
                <w:u w:val="single"/>
              </w:rPr>
            </w:pPr>
            <w:r>
              <w:rPr>
                <w:rFonts w:hint="eastAsia" w:ascii="宋体" w:hAnsi="宋体" w:cs="宋体"/>
                <w:kern w:val="0"/>
                <w:sz w:val="24"/>
                <w:u w:val="single"/>
              </w:rPr>
              <w:t xml:space="preserve">                                                       </w:t>
            </w:r>
            <w:r>
              <w:rPr>
                <w:rFonts w:hint="eastAsia" w:ascii="宋体" w:hAnsi="宋体" w:cs="宋体"/>
                <w:color w:val="FF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color w:val="FF0000"/>
                <w:kern w:val="0"/>
                <w:sz w:val="24"/>
              </w:rPr>
            </w:pPr>
          </w:p>
        </w:tc>
        <w:tc>
          <w:tcPr>
            <w:tcW w:w="0" w:type="auto"/>
            <w:vMerge w:val="continue"/>
            <w:vAlign w:val="center"/>
          </w:tcPr>
          <w:p>
            <w:pPr>
              <w:spacing w:line="360" w:lineRule="auto"/>
              <w:jc w:val="center"/>
              <w:rPr>
                <w:rFonts w:ascii="宋体" w:hAnsi="宋体" w:cs="宋体"/>
                <w:color w:val="FF0000"/>
                <w:sz w:val="24"/>
                <w:highlight w:val="yellow"/>
              </w:rPr>
            </w:pPr>
          </w:p>
        </w:tc>
        <w:tc>
          <w:tcPr>
            <w:tcW w:w="827" w:type="dxa"/>
            <w:vAlign w:val="center"/>
          </w:tcPr>
          <w:p>
            <w:pPr>
              <w:spacing w:line="360" w:lineRule="auto"/>
              <w:jc w:val="center"/>
              <w:rPr>
                <w:rFonts w:ascii="宋体" w:hAnsi="宋体" w:cs="宋体"/>
                <w:b/>
                <w:kern w:val="0"/>
                <w:sz w:val="24"/>
              </w:rPr>
            </w:pPr>
            <w:r>
              <w:rPr>
                <w:rFonts w:hint="eastAsia" w:ascii="宋体" w:hAnsi="宋体" w:cs="宋体"/>
                <w:b/>
                <w:kern w:val="0"/>
                <w:sz w:val="24"/>
              </w:rPr>
              <w:t>服</w:t>
            </w:r>
          </w:p>
          <w:p>
            <w:pPr>
              <w:spacing w:line="360" w:lineRule="auto"/>
              <w:jc w:val="center"/>
              <w:rPr>
                <w:rFonts w:ascii="宋体" w:hAnsi="宋体" w:cs="宋体"/>
                <w:b/>
                <w:kern w:val="0"/>
                <w:sz w:val="24"/>
              </w:rPr>
            </w:pPr>
            <w:r>
              <w:rPr>
                <w:rFonts w:hint="eastAsia" w:ascii="宋体" w:hAnsi="宋体" w:cs="宋体"/>
                <w:b/>
                <w:kern w:val="0"/>
                <w:sz w:val="24"/>
              </w:rPr>
              <w:t>务</w:t>
            </w:r>
          </w:p>
          <w:p>
            <w:pPr>
              <w:spacing w:line="360" w:lineRule="auto"/>
              <w:jc w:val="center"/>
              <w:rPr>
                <w:rFonts w:ascii="宋体" w:hAnsi="宋体" w:cs="宋体"/>
                <w:b/>
                <w:kern w:val="0"/>
                <w:sz w:val="24"/>
              </w:rPr>
            </w:pPr>
            <w:r>
              <w:rPr>
                <w:rFonts w:hint="eastAsia" w:ascii="宋体" w:hAnsi="宋体" w:cs="宋体"/>
                <w:b/>
                <w:kern w:val="0"/>
                <w:sz w:val="24"/>
              </w:rPr>
              <w:t>部</w:t>
            </w:r>
          </w:p>
          <w:p>
            <w:pPr>
              <w:spacing w:line="360" w:lineRule="auto"/>
              <w:jc w:val="center"/>
              <w:rPr>
                <w:rFonts w:ascii="宋体" w:hAnsi="宋体" w:cs="宋体"/>
                <w:b/>
                <w:color w:val="FF0000"/>
                <w:kern w:val="0"/>
                <w:sz w:val="24"/>
              </w:rPr>
            </w:pPr>
            <w:r>
              <w:rPr>
                <w:rFonts w:hint="eastAsia" w:ascii="宋体" w:hAnsi="宋体" w:cs="宋体"/>
                <w:b/>
                <w:kern w:val="0"/>
                <w:sz w:val="24"/>
              </w:rPr>
              <w:t>分</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投标人自行编写的服务文件：</w:t>
            </w:r>
          </w:p>
          <w:p>
            <w:pPr>
              <w:spacing w:line="360" w:lineRule="auto"/>
              <w:rPr>
                <w:rFonts w:ascii="宋体" w:hAnsi="宋体" w:cs="宋体"/>
                <w:kern w:val="0"/>
                <w:sz w:val="24"/>
              </w:rPr>
            </w:pPr>
            <w:r>
              <w:rPr>
                <w:rFonts w:hint="eastAsia" w:ascii="宋体" w:hAnsi="宋体" w:cs="宋体"/>
                <w:kern w:val="0"/>
                <w:sz w:val="24"/>
              </w:rPr>
              <w:t>货物的保修期和售后服务的程序、内容及措施；</w:t>
            </w:r>
          </w:p>
          <w:p>
            <w:pPr>
              <w:spacing w:line="360" w:lineRule="auto"/>
              <w:rPr>
                <w:rFonts w:ascii="宋体" w:hAnsi="宋体" w:cs="宋体"/>
                <w:kern w:val="0"/>
                <w:sz w:val="24"/>
              </w:rPr>
            </w:pPr>
            <w:r>
              <w:rPr>
                <w:rFonts w:hint="eastAsia" w:ascii="宋体" w:hAnsi="宋体" w:cs="宋体"/>
                <w:kern w:val="0"/>
                <w:sz w:val="24"/>
              </w:rPr>
              <w:t>响应时间和技术支持情况；</w:t>
            </w:r>
          </w:p>
          <w:p>
            <w:pPr>
              <w:spacing w:line="360" w:lineRule="auto"/>
              <w:rPr>
                <w:rFonts w:ascii="宋体" w:hAnsi="宋体" w:cs="宋体"/>
                <w:kern w:val="0"/>
                <w:sz w:val="24"/>
              </w:rPr>
            </w:pPr>
            <w:r>
              <w:rPr>
                <w:rFonts w:hint="eastAsia" w:ascii="宋体" w:hAnsi="宋体" w:cs="宋体"/>
                <w:kern w:val="0"/>
                <w:sz w:val="24"/>
              </w:rPr>
              <w:t>培训方案及内容；</w:t>
            </w:r>
          </w:p>
          <w:p>
            <w:pPr>
              <w:spacing w:line="360" w:lineRule="auto"/>
              <w:rPr>
                <w:rFonts w:ascii="宋体" w:hAnsi="宋体" w:cs="宋体"/>
                <w:kern w:val="0"/>
                <w:sz w:val="24"/>
              </w:rPr>
            </w:pPr>
            <w:r>
              <w:rPr>
                <w:rFonts w:hint="eastAsia" w:ascii="宋体" w:hAnsi="宋体" w:cs="宋体"/>
                <w:kern w:val="0"/>
                <w:sz w:val="24"/>
              </w:rPr>
              <w:t>售后服务网点明细（包括联系人、详细地址、电话、传真）及</w:t>
            </w:r>
            <w:r>
              <w:rPr>
                <w:rFonts w:hint="eastAsia" w:ascii="宋体" w:hAnsi="宋体" w:cs="宋体"/>
                <w:sz w:val="24"/>
              </w:rPr>
              <w:t>本地化服务；</w:t>
            </w:r>
          </w:p>
          <w:p>
            <w:pPr>
              <w:spacing w:line="360" w:lineRule="auto"/>
              <w:rPr>
                <w:rFonts w:ascii="宋体" w:hAnsi="宋体" w:cs="宋体"/>
                <w:kern w:val="0"/>
                <w:sz w:val="24"/>
                <w:u w:val="single"/>
              </w:rPr>
            </w:pPr>
            <w:r>
              <w:rPr>
                <w:rFonts w:hint="eastAsia" w:ascii="宋体" w:hAnsi="宋体" w:cs="宋体"/>
                <w:kern w:val="0"/>
                <w:sz w:val="24"/>
              </w:rPr>
              <w:t>其他：</w:t>
            </w: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8</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是否允许联合体投标</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9</w:t>
            </w:r>
          </w:p>
        </w:tc>
        <w:tc>
          <w:tcPr>
            <w:tcW w:w="1284" w:type="dxa"/>
            <w:gridSpan w:val="2"/>
            <w:vAlign w:val="center"/>
          </w:tcPr>
          <w:p>
            <w:pPr>
              <w:spacing w:line="360" w:lineRule="auto"/>
              <w:jc w:val="center"/>
              <w:rPr>
                <w:rFonts w:ascii="宋体" w:hAnsi="宋体" w:cs="宋体"/>
                <w:b/>
                <w:color w:val="FF0000"/>
                <w:sz w:val="24"/>
              </w:rPr>
            </w:pPr>
            <w:r>
              <w:rPr>
                <w:rFonts w:hint="eastAsia" w:ascii="宋体" w:hAnsi="宋体" w:cs="宋体"/>
                <w:b/>
                <w:sz w:val="24"/>
              </w:rPr>
              <w:t>是否允许投报进口产品</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□是，允许的货物为</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10</w:t>
            </w:r>
          </w:p>
        </w:tc>
        <w:tc>
          <w:tcPr>
            <w:tcW w:w="1284" w:type="dxa"/>
            <w:gridSpan w:val="2"/>
            <w:vAlign w:val="center"/>
          </w:tcPr>
          <w:p>
            <w:pPr>
              <w:spacing w:line="360" w:lineRule="auto"/>
              <w:jc w:val="center"/>
              <w:rPr>
                <w:rFonts w:ascii="宋体" w:hAnsi="宋体" w:cs="宋体"/>
                <w:b/>
                <w:sz w:val="24"/>
                <w:highlight w:val="yellow"/>
              </w:rPr>
            </w:pPr>
            <w:r>
              <w:rPr>
                <w:rFonts w:hint="eastAsia" w:ascii="宋体" w:hAnsi="宋体" w:cs="宋体"/>
                <w:b/>
                <w:sz w:val="24"/>
              </w:rPr>
              <w:t>是否允许投标人将项目非主体、非关键性工作交由他人完成</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p>
          <w:p>
            <w:pPr>
              <w:spacing w:line="360" w:lineRule="auto"/>
              <w:rPr>
                <w:rFonts w:ascii="宋体" w:hAnsi="宋体" w:cs="宋体"/>
                <w:kern w:val="0"/>
                <w:sz w:val="24"/>
              </w:rPr>
            </w:pPr>
            <w:r>
              <w:rPr>
                <w:rFonts w:hint="eastAsia" w:ascii="宋体" w:hAnsi="宋体" w:cs="宋体"/>
                <w:kern w:val="0"/>
                <w:sz w:val="24"/>
              </w:rPr>
              <w:t>□是。中标人按照合同约定或者经采购人同意，可以将项目非主体、非关键性工作分包交由他人完成。此时，接受分包的人应当具备相应的资格条件，并不得再次分包。</w:t>
            </w:r>
          </w:p>
          <w:p>
            <w:pPr>
              <w:spacing w:line="360" w:lineRule="auto"/>
              <w:ind w:firstLine="480"/>
              <w:rPr>
                <w:rFonts w:ascii="宋体" w:hAnsi="宋体" w:cs="宋体"/>
                <w:kern w:val="0"/>
                <w:sz w:val="24"/>
                <w:u w:val="single"/>
              </w:rPr>
            </w:pPr>
            <w:r>
              <w:rPr>
                <w:rFonts w:hint="eastAsia" w:ascii="宋体" w:hAnsi="宋体" w:cs="宋体"/>
                <w:kern w:val="0"/>
                <w:sz w:val="24"/>
              </w:rPr>
              <w:t>分包内容要求：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分包金额要求：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u w:val="single"/>
              </w:rPr>
            </w:pPr>
            <w:r>
              <w:rPr>
                <w:rFonts w:hint="eastAsia" w:ascii="宋体" w:hAnsi="宋体" w:cs="宋体"/>
                <w:kern w:val="0"/>
                <w:sz w:val="24"/>
              </w:rPr>
              <w:t>接受分包的第三人资质要求：</w:t>
            </w:r>
            <w:r>
              <w:rPr>
                <w:rFonts w:hint="eastAsia" w:ascii="宋体" w:hAnsi="宋体" w:cs="宋体"/>
                <w:kern w:val="0"/>
                <w:sz w:val="24"/>
                <w:u w:val="single"/>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11</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踏勘现场</w:t>
            </w:r>
          </w:p>
        </w:tc>
        <w:tc>
          <w:tcPr>
            <w:tcW w:w="6746"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2"/>
                <w:sz w:val="16"/>
              </w:rPr>
              <w:instrText xml:space="preserve">√</w:instrText>
            </w:r>
            <w:r>
              <w:rPr>
                <w:rFonts w:hint="eastAsia" w:ascii="宋体" w:hAnsi="宋体" w:cs="宋体"/>
                <w:kern w:val="0"/>
                <w:sz w:val="24"/>
              </w:rPr>
              <w:instrText xml:space="preserve">)</w:instrText>
            </w:r>
            <w:r>
              <w:rPr>
                <w:rFonts w:hint="eastAsia" w:ascii="宋体" w:hAnsi="宋体" w:cs="宋体"/>
                <w:kern w:val="0"/>
                <w:sz w:val="24"/>
              </w:rPr>
              <w:fldChar w:fldCharType="end"/>
            </w:r>
            <w:r>
              <w:rPr>
                <w:rFonts w:hint="eastAsia" w:ascii="宋体" w:hAnsi="宋体" w:cs="宋体"/>
                <w:kern w:val="0"/>
                <w:sz w:val="24"/>
              </w:rPr>
              <w:t>自行踏勘。</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□统一组织。</w:t>
            </w:r>
          </w:p>
          <w:p>
            <w:pPr>
              <w:autoSpaceDE w:val="0"/>
              <w:autoSpaceDN w:val="0"/>
              <w:adjustRightInd w:val="0"/>
              <w:spacing w:line="360" w:lineRule="auto"/>
              <w:rPr>
                <w:rFonts w:ascii="宋体" w:hAnsi="宋体" w:cs="宋体"/>
                <w:kern w:val="0"/>
                <w:sz w:val="24"/>
                <w:u w:val="single"/>
              </w:rPr>
            </w:pPr>
            <w:r>
              <w:rPr>
                <w:rFonts w:hint="eastAsia" w:ascii="宋体" w:hAnsi="宋体" w:cs="宋体"/>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12</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答疑澄清</w:t>
            </w:r>
          </w:p>
        </w:tc>
        <w:tc>
          <w:tcPr>
            <w:tcW w:w="6746" w:type="dxa"/>
            <w:vAlign w:val="center"/>
          </w:tcPr>
          <w:p>
            <w:pPr>
              <w:spacing w:line="360" w:lineRule="auto"/>
              <w:rPr>
                <w:rFonts w:ascii="宋体" w:hAnsi="宋体" w:cs="宋体"/>
                <w:bCs/>
                <w:sz w:val="24"/>
              </w:rPr>
            </w:pPr>
            <w:r>
              <w:rPr>
                <w:rFonts w:hint="eastAsia" w:ascii="宋体" w:hAnsi="宋体" w:cs="宋体"/>
                <w:kern w:val="0"/>
                <w:sz w:val="24"/>
              </w:rPr>
              <w:t>于</w:t>
            </w:r>
            <w:r>
              <w:rPr>
                <w:rFonts w:hint="eastAsia" w:ascii="宋体" w:hAnsi="宋体" w:cs="宋体"/>
                <w:kern w:val="0"/>
                <w:sz w:val="24"/>
                <w:u w:val="single"/>
              </w:rPr>
              <w:t xml:space="preserve"> 开标前10日  </w:t>
            </w:r>
            <w:r>
              <w:rPr>
                <w:rFonts w:hint="eastAsia" w:ascii="宋体" w:hAnsi="宋体" w:cs="宋体"/>
                <w:bCs/>
                <w:sz w:val="24"/>
              </w:rPr>
              <w:t>接受投标人疑问或澄清要求（逾期不予受理）。</w:t>
            </w:r>
          </w:p>
          <w:p>
            <w:pPr>
              <w:spacing w:line="360" w:lineRule="auto"/>
              <w:rPr>
                <w:rFonts w:ascii="宋体" w:hAnsi="宋体" w:cs="宋体"/>
                <w:kern w:val="0"/>
              </w:rPr>
            </w:pPr>
            <w:r>
              <w:rPr>
                <w:rFonts w:hint="eastAsia" w:ascii="宋体" w:hAnsi="宋体" w:cs="宋体"/>
                <w:kern w:val="0"/>
                <w:sz w:val="24"/>
              </w:rPr>
              <w:t>提交方式：</w:t>
            </w:r>
            <w:r>
              <w:rPr>
                <w:rFonts w:hint="eastAsia" w:ascii="宋体" w:hAnsi="宋体" w:cs="宋体"/>
                <w:bCs/>
                <w:sz w:val="24"/>
              </w:rPr>
              <w:t>提交纸质材料以及营业执照复印件和授权委托书并加盖投标人公章。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投标截止时间（开标时间）和地点</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投标截止时间（开标时间）：</w:t>
            </w:r>
            <w:r>
              <w:rPr>
                <w:rFonts w:ascii="宋体" w:hAnsi="宋体" w:cs="宋体"/>
                <w:kern w:val="0"/>
                <w:sz w:val="24"/>
              </w:rPr>
              <w:t>2020-</w:t>
            </w: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09 11:00时（北京时间） </w:t>
            </w:r>
          </w:p>
          <w:p>
            <w:pPr>
              <w:spacing w:line="360" w:lineRule="auto"/>
              <w:rPr>
                <w:rFonts w:ascii="宋体" w:hAnsi="宋体" w:cs="宋体"/>
                <w:kern w:val="0"/>
                <w:sz w:val="24"/>
              </w:rPr>
            </w:pPr>
            <w:r>
              <w:rPr>
                <w:rFonts w:hint="eastAsia" w:ascii="宋体" w:hAnsi="宋体" w:cs="宋体"/>
                <w:kern w:val="0"/>
                <w:sz w:val="24"/>
              </w:rPr>
              <w:t>投标（开标）地址：英吉沙县商务和工业信息化局会议室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13</w:t>
            </w:r>
          </w:p>
        </w:tc>
        <w:tc>
          <w:tcPr>
            <w:tcW w:w="1284" w:type="dxa"/>
            <w:gridSpan w:val="2"/>
            <w:vAlign w:val="center"/>
          </w:tcPr>
          <w:p>
            <w:pPr>
              <w:spacing w:line="360" w:lineRule="auto"/>
              <w:jc w:val="center"/>
              <w:rPr>
                <w:rFonts w:ascii="宋体" w:hAnsi="宋体" w:cs="宋体"/>
                <w:b/>
                <w:sz w:val="24"/>
              </w:rPr>
            </w:pPr>
            <w:r>
              <w:rPr>
                <w:rFonts w:hint="eastAsia" w:ascii="宋体" w:hAnsi="宋体" w:cs="宋体"/>
                <w:b/>
                <w:sz w:val="24"/>
              </w:rPr>
              <w:t>投标有效期</w:t>
            </w:r>
          </w:p>
        </w:tc>
        <w:tc>
          <w:tcPr>
            <w:tcW w:w="6746" w:type="dxa"/>
            <w:vAlign w:val="center"/>
          </w:tcPr>
          <w:p>
            <w:pPr>
              <w:spacing w:line="360" w:lineRule="auto"/>
              <w:rPr>
                <w:rFonts w:ascii="宋体" w:hAnsi="宋体" w:cs="宋体"/>
                <w:sz w:val="24"/>
              </w:rPr>
            </w:pPr>
            <w:r>
              <w:rPr>
                <w:rFonts w:hint="eastAsia" w:ascii="宋体" w:hAnsi="宋体" w:cs="宋体"/>
                <w:sz w:val="24"/>
                <w:lang w:val="zh-CN"/>
              </w:rPr>
              <w:t>自投标截止之日起</w:t>
            </w:r>
            <w:r>
              <w:rPr>
                <w:rFonts w:hint="eastAsia" w:ascii="宋体" w:hAnsi="宋体" w:cs="宋体"/>
                <w:sz w:val="24"/>
                <w:u w:val="single"/>
                <w:lang w:val="zh-CN"/>
              </w:rPr>
              <w:t xml:space="preserve"> 60 </w:t>
            </w:r>
            <w:r>
              <w:rPr>
                <w:rFonts w:hint="eastAsia" w:ascii="宋体" w:hAnsi="宋体" w:cs="宋体"/>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14</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投标人在投标截止</w:t>
            </w:r>
          </w:p>
          <w:p>
            <w:pPr>
              <w:spacing w:line="360" w:lineRule="auto"/>
              <w:jc w:val="center"/>
              <w:rPr>
                <w:rFonts w:ascii="宋体" w:hAnsi="宋体" w:cs="宋体"/>
                <w:b/>
                <w:kern w:val="0"/>
                <w:sz w:val="24"/>
              </w:rPr>
            </w:pPr>
            <w:r>
              <w:rPr>
                <w:rFonts w:hint="eastAsia" w:ascii="宋体" w:hAnsi="宋体" w:cs="宋体"/>
                <w:b/>
                <w:kern w:val="0"/>
                <w:sz w:val="24"/>
              </w:rPr>
              <w:t>时间前提交的文件</w:t>
            </w:r>
          </w:p>
        </w:tc>
        <w:tc>
          <w:tcPr>
            <w:tcW w:w="6746" w:type="dxa"/>
            <w:vAlign w:val="center"/>
          </w:tcPr>
          <w:p>
            <w:pPr>
              <w:spacing w:line="360" w:lineRule="auto"/>
              <w:rPr>
                <w:rFonts w:ascii="宋体" w:hAnsi="宋体" w:cs="宋体"/>
                <w:kern w:val="0"/>
                <w:sz w:val="24"/>
              </w:rPr>
            </w:pPr>
            <w:r>
              <w:rPr>
                <w:rFonts w:hint="eastAsia" w:ascii="宋体" w:hAnsi="宋体" w:cs="宋体"/>
                <w:sz w:val="24"/>
              </w:rPr>
              <w:t>投标文件（具体要求见本表第12项）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投标人认为参与投标应当提交的其他材料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投标文件份数</w:t>
            </w:r>
          </w:p>
        </w:tc>
        <w:tc>
          <w:tcPr>
            <w:tcW w:w="6746" w:type="dxa"/>
            <w:vAlign w:val="center"/>
          </w:tcPr>
          <w:p>
            <w:pPr>
              <w:spacing w:line="360" w:lineRule="auto"/>
              <w:rPr>
                <w:rFonts w:ascii="宋体" w:hAnsi="宋体" w:cs="宋体"/>
                <w:sz w:val="24"/>
              </w:rPr>
            </w:pPr>
            <w:r>
              <w:rPr>
                <w:rFonts w:hint="eastAsia" w:ascii="宋体" w:hAnsi="宋体" w:cs="宋体"/>
                <w:sz w:val="24"/>
              </w:rPr>
              <w:t>投标文件包括：</w:t>
            </w:r>
          </w:p>
          <w:p>
            <w:pPr>
              <w:spacing w:line="360" w:lineRule="auto"/>
              <w:rPr>
                <w:rFonts w:ascii="宋体" w:hAnsi="宋体" w:cs="宋体"/>
                <w:sz w:val="24"/>
              </w:rPr>
            </w:pPr>
            <w:r>
              <w:rPr>
                <w:rFonts w:hint="eastAsia" w:ascii="宋体" w:hAnsi="宋体" w:cs="宋体"/>
                <w:sz w:val="24"/>
              </w:rPr>
              <w:t>纸质版文件：正本一份，副本四份，开标一览表一份；</w:t>
            </w:r>
          </w:p>
          <w:p>
            <w:pPr>
              <w:spacing w:line="360" w:lineRule="auto"/>
              <w:rPr>
                <w:rFonts w:ascii="宋体" w:hAnsi="宋体" w:cs="宋体"/>
                <w:sz w:val="24"/>
              </w:rPr>
            </w:pPr>
            <w:r>
              <w:rPr>
                <w:rFonts w:hint="eastAsia" w:ascii="宋体" w:hAnsi="宋体" w:cs="宋体"/>
                <w:sz w:val="24"/>
              </w:rPr>
              <w:t>电子版文件：一份（以U盘形式递交）；</w:t>
            </w:r>
          </w:p>
          <w:p>
            <w:pPr>
              <w:spacing w:line="360" w:lineRule="auto"/>
              <w:rPr>
                <w:rFonts w:ascii="宋体" w:hAnsi="宋体" w:cs="宋体"/>
                <w:sz w:val="24"/>
              </w:rPr>
            </w:pPr>
            <w:r>
              <w:rPr>
                <w:rFonts w:hint="eastAsia" w:ascii="宋体" w:hAnsi="宋体" w:cs="宋体"/>
                <w:sz w:val="24"/>
              </w:rPr>
              <w:t>电子版文件要求包含投标文件正本全部内容，电子版表面标记单位名称。电子版文件内容与投标文件正本内容不一致时以投标文件正本为准。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16</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投标保证金</w:t>
            </w:r>
          </w:p>
        </w:tc>
        <w:tc>
          <w:tcPr>
            <w:tcW w:w="6746" w:type="dxa"/>
            <w:vAlign w:val="center"/>
          </w:tcPr>
          <w:p>
            <w:pPr>
              <w:spacing w:line="360" w:lineRule="auto"/>
              <w:rPr>
                <w:rFonts w:ascii="宋体" w:hAnsi="宋体" w:cs="宋体"/>
                <w:b/>
                <w:bCs/>
                <w:kern w:val="0"/>
                <w:sz w:val="24"/>
              </w:rPr>
            </w:pPr>
            <w:r>
              <w:rPr>
                <w:rFonts w:hint="eastAsia" w:ascii="宋体" w:hAnsi="宋体" w:cs="宋体"/>
                <w:b/>
                <w:sz w:val="24"/>
              </w:rPr>
              <w:t>投标保证金的交纳必须从投标人开户许可证所列账号（结算卡等关联账号不予认可,自然人投标的从与其名称一致的个人账户）进行转账，否则</w:t>
            </w:r>
            <w:r>
              <w:rPr>
                <w:rFonts w:hint="eastAsia" w:ascii="宋体" w:hAnsi="宋体" w:cs="宋体"/>
                <w:b/>
                <w:kern w:val="0"/>
                <w:sz w:val="24"/>
              </w:rPr>
              <w:t>将导致投标被拒绝。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20" w:lineRule="exact"/>
              <w:rPr>
                <w:rFonts w:ascii="宋体" w:hAnsi="宋体" w:cs="宋体"/>
                <w:color w:val="FF0000"/>
                <w:sz w:val="24"/>
              </w:rPr>
            </w:pPr>
            <w:r>
              <w:rPr>
                <w:rFonts w:hint="eastAsia" w:ascii="宋体" w:hAnsi="宋体" w:cs="宋体"/>
                <w:color w:val="FF0000"/>
                <w:sz w:val="24"/>
              </w:rPr>
              <w:t>投标保证金形式：银行汇票、银行电汇、支票、转账等</w:t>
            </w:r>
          </w:p>
          <w:p>
            <w:pPr>
              <w:spacing w:line="320" w:lineRule="exact"/>
              <w:rPr>
                <w:rFonts w:ascii="宋体" w:hAnsi="宋体" w:cs="宋体"/>
                <w:color w:val="FF0000"/>
                <w:sz w:val="24"/>
              </w:rPr>
            </w:pPr>
            <w:r>
              <w:rPr>
                <w:rFonts w:hint="eastAsia" w:ascii="宋体" w:hAnsi="宋体" w:cs="宋体"/>
                <w:color w:val="FF0000"/>
                <w:sz w:val="24"/>
              </w:rPr>
              <w:t>投标保证金金额：¥80000.00元（大写：捌万元整）</w:t>
            </w:r>
          </w:p>
          <w:p>
            <w:pPr>
              <w:spacing w:line="320" w:lineRule="exact"/>
              <w:rPr>
                <w:rFonts w:ascii="宋体" w:hAnsi="宋体" w:cs="宋体"/>
                <w:color w:val="FF0000"/>
                <w:sz w:val="24"/>
              </w:rPr>
            </w:pPr>
            <w:r>
              <w:rPr>
                <w:rFonts w:hint="eastAsia" w:ascii="宋体" w:hAnsi="宋体" w:cs="宋体"/>
                <w:color w:val="FF0000"/>
                <w:sz w:val="24"/>
              </w:rPr>
              <w:t xml:space="preserve">招标人指定的开户银行及账号如下： </w:t>
            </w:r>
          </w:p>
          <w:p>
            <w:pPr>
              <w:spacing w:line="320" w:lineRule="exact"/>
              <w:rPr>
                <w:rFonts w:ascii="宋体" w:hAnsi="宋体" w:cs="宋体"/>
                <w:color w:val="FF0000"/>
                <w:sz w:val="24"/>
              </w:rPr>
            </w:pPr>
            <w:r>
              <w:rPr>
                <w:rFonts w:hint="eastAsia" w:ascii="宋体" w:hAnsi="宋体" w:cs="宋体"/>
                <w:color w:val="FF0000"/>
                <w:sz w:val="24"/>
              </w:rPr>
              <w:t>开户名称：英吉沙县商务和工业信息化局</w:t>
            </w:r>
          </w:p>
          <w:p>
            <w:pPr>
              <w:spacing w:line="320" w:lineRule="exact"/>
              <w:rPr>
                <w:rFonts w:ascii="宋体" w:hAnsi="宋体" w:cs="宋体"/>
                <w:color w:val="FF0000"/>
                <w:sz w:val="24"/>
              </w:rPr>
            </w:pPr>
            <w:r>
              <w:rPr>
                <w:rFonts w:hint="eastAsia" w:ascii="宋体" w:hAnsi="宋体" w:cs="宋体"/>
                <w:color w:val="FF0000"/>
                <w:sz w:val="24"/>
              </w:rPr>
              <w:t>开户账号：3012345009026405341</w:t>
            </w:r>
          </w:p>
          <w:p>
            <w:pPr>
              <w:spacing w:line="320" w:lineRule="exact"/>
              <w:rPr>
                <w:rFonts w:ascii="宋体" w:hAnsi="宋体" w:cs="宋体"/>
                <w:color w:val="FF0000"/>
                <w:sz w:val="24"/>
              </w:rPr>
            </w:pPr>
            <w:r>
              <w:rPr>
                <w:rFonts w:hint="eastAsia" w:ascii="宋体" w:hAnsi="宋体" w:cs="宋体"/>
                <w:color w:val="FF0000"/>
                <w:sz w:val="24"/>
              </w:rPr>
              <w:t>开户银行：英吉沙县工商银行</w:t>
            </w:r>
          </w:p>
          <w:p>
            <w:pPr>
              <w:spacing w:line="320" w:lineRule="exact"/>
              <w:rPr>
                <w:rFonts w:ascii="宋体" w:hAnsi="宋体" w:cs="宋体"/>
                <w:color w:val="FF0000"/>
                <w:sz w:val="24"/>
              </w:rPr>
            </w:pPr>
            <w:r>
              <w:rPr>
                <w:rFonts w:hint="eastAsia" w:ascii="宋体" w:hAnsi="宋体" w:cs="宋体"/>
                <w:color w:val="FF0000"/>
                <w:sz w:val="24"/>
              </w:rPr>
              <w:t>联系方式：0998-3632059</w:t>
            </w:r>
          </w:p>
          <w:p>
            <w:pPr>
              <w:spacing w:line="320" w:lineRule="exact"/>
              <w:rPr>
                <w:rFonts w:ascii="宋体" w:hAnsi="宋体" w:cs="宋体"/>
                <w:color w:val="FF0000"/>
                <w:sz w:val="24"/>
              </w:rPr>
            </w:pPr>
            <w:r>
              <w:rPr>
                <w:rFonts w:hint="eastAsia" w:ascii="宋体" w:hAnsi="宋体" w:cs="宋体"/>
                <w:color w:val="FF0000"/>
                <w:sz w:val="24"/>
              </w:rPr>
              <w:t>投标保证金必须由投标人的基本帐户一次性汇入以上账户。</w:t>
            </w:r>
          </w:p>
          <w:p>
            <w:pPr>
              <w:spacing w:line="320" w:lineRule="exact"/>
              <w:rPr>
                <w:rFonts w:ascii="宋体" w:hAnsi="宋体" w:cs="宋体"/>
                <w:color w:val="FF0000"/>
                <w:sz w:val="24"/>
              </w:rPr>
            </w:pPr>
            <w:r>
              <w:rPr>
                <w:rFonts w:hint="eastAsia" w:ascii="宋体" w:hAnsi="宋体" w:cs="宋体"/>
                <w:color w:val="FF0000"/>
                <w:sz w:val="24"/>
              </w:rPr>
              <w:t>投标保证金缴纳时间：必须在投标截止时间前三天下午18：00分（北京时间）前缴纳，届时不交者视为自动放弃投标资格。</w:t>
            </w:r>
          </w:p>
          <w:p>
            <w:pPr>
              <w:spacing w:line="360" w:lineRule="auto"/>
              <w:rPr>
                <w:rFonts w:ascii="宋体" w:hAnsi="宋体" w:cs="宋体"/>
                <w:b/>
                <w:color w:val="FF0000"/>
                <w:sz w:val="24"/>
              </w:rPr>
            </w:pPr>
            <w:r>
              <w:rPr>
                <w:rFonts w:hint="eastAsia" w:ascii="宋体" w:hAnsi="宋体" w:cs="宋体"/>
                <w:color w:val="FF0000"/>
                <w:sz w:val="24"/>
              </w:rPr>
              <w:t>备注：交纳投标保证金电汇回单凭证附在投标书内，投标单位基本帐户开户许可证或银行开户信息证明附在投标书内。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17</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中小微型企业</w:t>
            </w:r>
          </w:p>
          <w:p>
            <w:pPr>
              <w:spacing w:line="360" w:lineRule="auto"/>
              <w:jc w:val="center"/>
              <w:rPr>
                <w:rFonts w:ascii="宋体" w:hAnsi="宋体" w:cs="宋体"/>
                <w:b/>
                <w:kern w:val="0"/>
                <w:sz w:val="24"/>
              </w:rPr>
            </w:pPr>
            <w:r>
              <w:rPr>
                <w:rFonts w:hint="eastAsia" w:ascii="宋体" w:hAnsi="宋体" w:cs="宋体"/>
                <w:b/>
                <w:kern w:val="0"/>
                <w:sz w:val="24"/>
              </w:rPr>
              <w:t>有关政策</w:t>
            </w:r>
          </w:p>
        </w:tc>
        <w:tc>
          <w:tcPr>
            <w:tcW w:w="6746" w:type="dxa"/>
            <w:tcBorders>
              <w:top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(1)根据工信部等部委发布的《关于印发中小企业划型标准规定的通知》（工信部联企业[2011]300号）规定执行；</w:t>
            </w:r>
          </w:p>
          <w:p>
            <w:pPr>
              <w:widowControl/>
              <w:spacing w:line="360" w:lineRule="auto"/>
              <w:jc w:val="left"/>
              <w:rPr>
                <w:rFonts w:ascii="宋体" w:hAnsi="宋体" w:cs="宋体"/>
                <w:kern w:val="0"/>
                <w:sz w:val="24"/>
              </w:rPr>
            </w:pPr>
            <w:r>
              <w:rPr>
                <w:rFonts w:hint="eastAsia" w:ascii="宋体" w:hAnsi="宋体" w:cs="宋体"/>
                <w:kern w:val="0"/>
                <w:sz w:val="24"/>
              </w:rPr>
              <w:t>(2)按照《财政部司法部关于政府采购支持监狱企业发展有关问题的通知》（财库[2014]68号）文件规定，在政府采购活动中，监狱企业视同小型、微型企业，享受评审中价格扣除的政府采购政策；</w:t>
            </w:r>
          </w:p>
          <w:p>
            <w:pPr>
              <w:spacing w:line="360" w:lineRule="auto"/>
              <w:rPr>
                <w:rFonts w:ascii="宋体" w:hAnsi="宋体" w:cs="宋体"/>
                <w:kern w:val="0"/>
                <w:sz w:val="24"/>
              </w:rPr>
            </w:pPr>
            <w:r>
              <w:rPr>
                <w:rFonts w:hint="eastAsia" w:ascii="宋体" w:hAnsi="宋体" w:cs="宋体"/>
                <w:kern w:val="0"/>
                <w:sz w:val="24"/>
              </w:rPr>
              <w:t xml:space="preserve">(3)价格扣除幅度：小型、微型企业产品价格给予6%的扣除。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18</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评审方法</w:t>
            </w:r>
          </w:p>
        </w:tc>
        <w:tc>
          <w:tcPr>
            <w:tcW w:w="6746" w:type="dxa"/>
            <w:vAlign w:val="center"/>
          </w:tcPr>
          <w:p>
            <w:pPr>
              <w:spacing w:line="360" w:lineRule="auto"/>
              <w:rPr>
                <w:rFonts w:ascii="宋体" w:hAnsi="宋体" w:cs="宋体"/>
                <w:kern w:val="0"/>
                <w:sz w:val="24"/>
              </w:rPr>
            </w:pPr>
            <w:r>
              <w:rPr>
                <w:rFonts w:hint="eastAsia" w:ascii="宋体" w:hAnsi="宋体" w:cs="宋体"/>
                <w:kern w:val="0"/>
                <w:sz w:val="24"/>
              </w:rPr>
              <w:t>综合评分法，即指投标文件满足招标文件全部实质性要求且按照评审因素的量化指标评审得分最高的供应商为中标候选人的评标方法。</w:t>
            </w:r>
            <w:r>
              <w:rPr>
                <w:rFonts w:hint="eastAsia" w:ascii="宋体" w:hAnsi="宋体" w:cs="宋体"/>
                <w:b/>
                <w:kern w:val="0"/>
                <w:sz w:val="24"/>
              </w:rPr>
              <w:t>每一投标人的最终得分为所有评委评分的算术平均值。</w:t>
            </w:r>
            <w:r>
              <w:rPr>
                <w:rFonts w:hint="eastAsia" w:ascii="宋体" w:hAnsi="宋体" w:cs="宋体"/>
                <w:kern w:val="0"/>
                <w:sz w:val="24"/>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19</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z w:val="24"/>
              </w:rPr>
              <w:t>评标委员会的组建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rPr>
              <w:t>评标委员会构成：</w:t>
            </w:r>
            <w:r>
              <w:rPr>
                <w:rFonts w:hint="eastAsia" w:ascii="宋体" w:hAnsi="宋体" w:cs="宋体"/>
                <w:color w:val="000000"/>
                <w:sz w:val="24"/>
                <w:u w:val="single"/>
              </w:rPr>
              <w:t xml:space="preserve">  5 </w:t>
            </w:r>
            <w:r>
              <w:rPr>
                <w:rFonts w:hint="eastAsia" w:ascii="宋体" w:hAnsi="宋体" w:cs="宋体"/>
                <w:color w:val="000000"/>
                <w:sz w:val="24"/>
              </w:rPr>
              <w:t xml:space="preserve"> 人，其中</w:t>
            </w:r>
            <w:r>
              <w:rPr>
                <w:rFonts w:hint="eastAsia" w:ascii="宋体" w:hAnsi="宋体" w:cs="宋体"/>
                <w:sz w:val="24"/>
              </w:rPr>
              <w:t>招标人代表</w:t>
            </w:r>
            <w:r>
              <w:rPr>
                <w:rFonts w:hint="eastAsia" w:ascii="宋体" w:hAnsi="宋体" w:cs="宋体"/>
                <w:color w:val="000000"/>
                <w:sz w:val="24"/>
                <w:u w:val="single"/>
              </w:rPr>
              <w:t xml:space="preserve">  0 </w:t>
            </w:r>
            <w:r>
              <w:rPr>
                <w:rFonts w:hint="eastAsia" w:ascii="宋体" w:hAnsi="宋体" w:cs="宋体"/>
                <w:color w:val="000000"/>
                <w:sz w:val="24"/>
              </w:rPr>
              <w:t>人，</w:t>
            </w:r>
          </w:p>
          <w:p>
            <w:pPr>
              <w:widowControl/>
              <w:spacing w:line="260" w:lineRule="exact"/>
              <w:ind w:left="960" w:hanging="960" w:hangingChars="400"/>
              <w:rPr>
                <w:rFonts w:ascii="宋体" w:hAnsi="宋体" w:cs="宋体"/>
                <w:color w:val="000000"/>
                <w:sz w:val="24"/>
              </w:rPr>
            </w:pPr>
            <w:r>
              <w:rPr>
                <w:rFonts w:hint="eastAsia" w:ascii="宋体" w:hAnsi="宋体" w:cs="宋体"/>
                <w:color w:val="000000"/>
                <w:sz w:val="24"/>
              </w:rPr>
              <w:t>专家</w:t>
            </w:r>
            <w:r>
              <w:rPr>
                <w:rFonts w:hint="eastAsia" w:ascii="宋体" w:hAnsi="宋体" w:cs="宋体"/>
                <w:color w:val="000000"/>
                <w:sz w:val="24"/>
                <w:u w:val="single"/>
              </w:rPr>
              <w:t xml:space="preserve"> 5 </w:t>
            </w:r>
            <w:r>
              <w:rPr>
                <w:rFonts w:hint="eastAsia" w:ascii="宋体" w:hAnsi="宋体" w:cs="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20</w:t>
            </w:r>
          </w:p>
        </w:tc>
        <w:tc>
          <w:tcPr>
            <w:tcW w:w="1284" w:type="dxa"/>
            <w:gridSpan w:val="2"/>
            <w:vAlign w:val="center"/>
          </w:tcPr>
          <w:p>
            <w:pPr>
              <w:widowControl/>
              <w:spacing w:line="260" w:lineRule="exact"/>
              <w:jc w:val="center"/>
              <w:rPr>
                <w:rFonts w:ascii="宋体" w:hAnsi="宋体" w:cs="宋体"/>
                <w:b/>
                <w:bCs/>
                <w:color w:val="000000"/>
                <w:kern w:val="0"/>
                <w:sz w:val="24"/>
              </w:rPr>
            </w:pPr>
            <w:r>
              <w:rPr>
                <w:rFonts w:hint="eastAsia" w:ascii="宋体" w:hAnsi="宋体" w:cs="宋体"/>
                <w:b/>
                <w:bCs/>
                <w:color w:val="000000"/>
                <w:spacing w:val="-10"/>
                <w:sz w:val="24"/>
              </w:rPr>
              <w:t>是否授权评标委员会确定中标人</w:t>
            </w:r>
          </w:p>
        </w:tc>
        <w:tc>
          <w:tcPr>
            <w:tcW w:w="6746" w:type="dxa"/>
            <w:vAlign w:val="center"/>
          </w:tcPr>
          <w:p>
            <w:pPr>
              <w:widowControl/>
              <w:spacing w:line="260" w:lineRule="exact"/>
              <w:rPr>
                <w:rFonts w:ascii="宋体" w:hAnsi="宋体" w:cs="宋体"/>
                <w:color w:val="000000"/>
                <w:sz w:val="24"/>
              </w:rPr>
            </w:pPr>
            <w:r>
              <w:rPr>
                <w:rFonts w:hint="eastAsia" w:ascii="宋体" w:hAnsi="宋体" w:cs="宋体"/>
                <w:color w:val="000000"/>
                <w:sz w:val="24"/>
              </w:rPr>
              <w:t>□是</w:t>
            </w:r>
          </w:p>
          <w:p>
            <w:pPr>
              <w:widowControl/>
              <w:spacing w:line="260" w:lineRule="exact"/>
              <w:rPr>
                <w:rFonts w:ascii="宋体" w:hAnsi="宋体" w:cs="宋体"/>
                <w:color w:val="000000"/>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color w:val="000000"/>
                <w:sz w:val="24"/>
              </w:rPr>
              <w:t>否，推荐的中标候选人数：</w:t>
            </w:r>
            <w:r>
              <w:rPr>
                <w:rFonts w:hint="eastAsia" w:ascii="宋体" w:hAnsi="宋体" w:cs="宋体"/>
                <w:color w:val="000000"/>
                <w:sz w:val="24"/>
                <w:u w:val="single"/>
              </w:rPr>
              <w:t xml:space="preserve"> 3 </w:t>
            </w:r>
            <w:r>
              <w:rPr>
                <w:rFonts w:hint="eastAsia" w:ascii="宋体" w:hAnsi="宋体" w:cs="宋体"/>
                <w:color w:val="000000"/>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21</w:t>
            </w:r>
          </w:p>
        </w:tc>
        <w:tc>
          <w:tcPr>
            <w:tcW w:w="1284" w:type="dxa"/>
            <w:gridSpan w:val="2"/>
            <w:vAlign w:val="center"/>
          </w:tcPr>
          <w:p>
            <w:pPr>
              <w:widowControl/>
              <w:spacing w:line="260" w:lineRule="exact"/>
              <w:jc w:val="center"/>
              <w:rPr>
                <w:rFonts w:ascii="宋体" w:hAnsi="宋体" w:cs="宋体"/>
                <w:b/>
                <w:color w:val="000000"/>
                <w:kern w:val="0"/>
                <w:sz w:val="24"/>
              </w:rPr>
            </w:pPr>
            <w:r>
              <w:rPr>
                <w:rFonts w:hint="eastAsia" w:ascii="宋体" w:hAnsi="宋体" w:cs="宋体"/>
                <w:b/>
                <w:bCs/>
                <w:color w:val="000000"/>
                <w:spacing w:val="-10"/>
                <w:sz w:val="24"/>
              </w:rPr>
              <w:t>中标候选人公示媒介</w:t>
            </w:r>
          </w:p>
        </w:tc>
        <w:tc>
          <w:tcPr>
            <w:tcW w:w="6746" w:type="dxa"/>
            <w:vAlign w:val="center"/>
          </w:tcPr>
          <w:p>
            <w:pPr>
              <w:widowControl/>
              <w:spacing w:line="260" w:lineRule="exact"/>
              <w:jc w:val="left"/>
              <w:rPr>
                <w:rFonts w:ascii="宋体" w:hAnsi="宋体" w:cs="宋体"/>
                <w:color w:val="000000"/>
                <w:kern w:val="0"/>
                <w:sz w:val="24"/>
              </w:rPr>
            </w:pPr>
            <w:r>
              <w:rPr>
                <w:rFonts w:hint="eastAsia" w:ascii="宋体" w:hAnsi="宋体" w:cs="宋体"/>
                <w:color w:val="000000"/>
                <w:spacing w:val="-10"/>
                <w:sz w:val="24"/>
              </w:rPr>
              <w:t>政采云（https://www.zcygov.cn）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22</w:t>
            </w:r>
          </w:p>
        </w:tc>
        <w:tc>
          <w:tcPr>
            <w:tcW w:w="1284" w:type="dxa"/>
            <w:gridSpan w:val="2"/>
            <w:vMerge w:val="restart"/>
            <w:vAlign w:val="center"/>
          </w:tcPr>
          <w:p>
            <w:pPr>
              <w:spacing w:line="360" w:lineRule="auto"/>
              <w:jc w:val="center"/>
              <w:rPr>
                <w:rFonts w:ascii="宋体" w:hAnsi="宋体" w:cs="宋体"/>
                <w:b/>
                <w:kern w:val="0"/>
                <w:sz w:val="24"/>
              </w:rPr>
            </w:pPr>
            <w:r>
              <w:rPr>
                <w:rFonts w:hint="eastAsia" w:ascii="宋体" w:hAnsi="宋体" w:cs="宋体"/>
                <w:b/>
                <w:kern w:val="0"/>
                <w:sz w:val="24"/>
              </w:rPr>
              <w:t>履约保证金</w:t>
            </w:r>
          </w:p>
        </w:tc>
        <w:tc>
          <w:tcPr>
            <w:tcW w:w="6746" w:type="dxa"/>
            <w:vAlign w:val="center"/>
          </w:tcPr>
          <w:p>
            <w:pPr>
              <w:spacing w:line="360" w:lineRule="auto"/>
              <w:rPr>
                <w:rFonts w:ascii="宋体" w:hAnsi="宋体" w:cs="宋体"/>
                <w:sz w:val="24"/>
              </w:rPr>
            </w:pPr>
            <w:r>
              <w:rPr>
                <w:rFonts w:hint="eastAsia" w:ascii="宋体" w:hAnsi="宋体" w:cs="宋体"/>
                <w:bCs/>
                <w:kern w:val="0"/>
                <w:sz w:val="24"/>
              </w:rPr>
              <w:t>履约保证金的交纳必须以公对公账户(</w:t>
            </w:r>
            <w:r>
              <w:rPr>
                <w:rFonts w:hint="eastAsia" w:ascii="宋体" w:hAnsi="宋体" w:cs="宋体"/>
                <w:sz w:val="24"/>
              </w:rPr>
              <w:t>自然人中标的从与其名称一致的个人账户)</w:t>
            </w:r>
            <w:r>
              <w:rPr>
                <w:rFonts w:hint="eastAsia" w:ascii="宋体" w:hAnsi="宋体" w:cs="宋体"/>
                <w:bCs/>
                <w:kern w:val="0"/>
                <w:sz w:val="24"/>
              </w:rPr>
              <w:t>进行转账，否则不予认可。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sz w:val="24"/>
              </w:rPr>
            </w:pPr>
            <w:r>
              <w:rPr>
                <w:rFonts w:hint="eastAsia" w:ascii="宋体" w:hAnsi="宋体" w:cs="宋体"/>
                <w:sz w:val="24"/>
              </w:rPr>
              <w:t>交纳时间：成交供应商收到成交通知书后（签订合同前）向采购人缴纳。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交纳金额：成交价的5%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adjustRightInd w:val="0"/>
              <w:snapToGrid w:val="0"/>
              <w:spacing w:line="400" w:lineRule="exact"/>
              <w:jc w:val="left"/>
              <w:rPr>
                <w:rFonts w:ascii="宋体" w:hAnsi="宋体" w:cs="宋体"/>
                <w:sz w:val="24"/>
              </w:rPr>
            </w:pPr>
            <w:r>
              <w:rPr>
                <w:rFonts w:hint="eastAsia" w:ascii="宋体" w:hAnsi="宋体" w:cs="宋体"/>
                <w:sz w:val="24"/>
              </w:rPr>
              <w:t>履约保证金形式：银行转账。</w:t>
            </w:r>
          </w:p>
          <w:p>
            <w:pPr>
              <w:pStyle w:val="18"/>
              <w:spacing w:after="0" w:line="360" w:lineRule="auto"/>
              <w:rPr>
                <w:rFonts w:ascii="宋体" w:hAnsi="宋体" w:cs="宋体"/>
                <w:sz w:val="24"/>
              </w:rPr>
            </w:pPr>
            <w:r>
              <w:rPr>
                <w:rFonts w:hint="eastAsia" w:ascii="宋体" w:hAnsi="宋体" w:cs="宋体"/>
                <w:sz w:val="24"/>
              </w:rPr>
              <w:t>成交供应商未按招标文件规定缴纳履约保证金的，其谈判保证金将不予退还。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360" w:lineRule="auto"/>
              <w:jc w:val="center"/>
              <w:rPr>
                <w:rFonts w:ascii="宋体" w:hAnsi="宋体" w:cs="宋体"/>
                <w:b/>
                <w:kern w:val="0"/>
                <w:sz w:val="24"/>
              </w:rPr>
            </w:pPr>
          </w:p>
        </w:tc>
        <w:tc>
          <w:tcPr>
            <w:tcW w:w="1284" w:type="dxa"/>
            <w:gridSpan w:val="2"/>
            <w:vMerge w:val="continue"/>
            <w:vAlign w:val="center"/>
          </w:tcPr>
          <w:p>
            <w:pPr>
              <w:spacing w:line="360" w:lineRule="auto"/>
              <w:jc w:val="center"/>
              <w:rPr>
                <w:rFonts w:ascii="宋体" w:hAnsi="宋体" w:cs="宋体"/>
                <w:b/>
                <w:kern w:val="0"/>
                <w:sz w:val="24"/>
              </w:rPr>
            </w:pPr>
          </w:p>
        </w:tc>
        <w:tc>
          <w:tcPr>
            <w:tcW w:w="6746" w:type="dxa"/>
            <w:vAlign w:val="center"/>
          </w:tcPr>
          <w:p>
            <w:pPr>
              <w:spacing w:line="360" w:lineRule="auto"/>
              <w:rPr>
                <w:rFonts w:ascii="宋体" w:hAnsi="宋体" w:cs="宋体"/>
                <w:kern w:val="0"/>
                <w:sz w:val="24"/>
              </w:rPr>
            </w:pPr>
            <w:r>
              <w:rPr>
                <w:rFonts w:hint="eastAsia" w:ascii="宋体" w:hAnsi="宋体" w:cs="宋体"/>
                <w:sz w:val="24"/>
              </w:rPr>
              <w:t>项目完成且验收合格无质量问题后原路退还。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23</w:t>
            </w:r>
          </w:p>
        </w:tc>
        <w:tc>
          <w:tcPr>
            <w:tcW w:w="1284" w:type="dxa"/>
            <w:gridSpan w:val="2"/>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履约担保</w:t>
            </w:r>
          </w:p>
        </w:tc>
        <w:tc>
          <w:tcPr>
            <w:tcW w:w="6746" w:type="dxa"/>
            <w:vAlign w:val="center"/>
          </w:tcPr>
          <w:p>
            <w:pPr>
              <w:widowControl/>
              <w:spacing w:line="260" w:lineRule="exact"/>
              <w:rPr>
                <w:rFonts w:ascii="宋体" w:hAnsi="宋体" w:cs="宋体"/>
                <w:color w:val="000000"/>
                <w:szCs w:val="21"/>
              </w:rPr>
            </w:pPr>
            <w:r>
              <w:rPr>
                <w:rFonts w:hint="eastAsia" w:ascii="宋体" w:hAnsi="宋体" w:cs="宋体"/>
                <w:color w:val="000000"/>
                <w:szCs w:val="21"/>
              </w:rPr>
              <w:t>履约担保的形式：</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360" w:lineRule="auto"/>
              <w:rPr>
                <w:rFonts w:ascii="宋体" w:hAnsi="宋体" w:cs="宋体"/>
                <w:color w:val="000000"/>
                <w:sz w:val="24"/>
              </w:rPr>
            </w:pPr>
            <w:r>
              <w:rPr>
                <w:rFonts w:hint="eastAsia" w:ascii="宋体" w:hAnsi="宋体" w:cs="宋体"/>
                <w:color w:val="000000"/>
                <w:szCs w:val="21"/>
              </w:rPr>
              <w:t>履约担保的金额：</w:t>
            </w:r>
            <w:r>
              <w:rPr>
                <w:rFonts w:hint="eastAsia" w:ascii="宋体" w:hAnsi="宋体" w:cs="宋体"/>
                <w:color w:val="000000"/>
                <w:szCs w:val="21"/>
                <w:u w:val="single"/>
              </w:rPr>
              <w:t xml:space="preserve">         /                               </w:t>
            </w:r>
            <w:r>
              <w:rPr>
                <w:rFonts w:hint="eastAsia" w:ascii="宋体" w:hAnsi="宋体" w:cs="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24</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代理服务费</w:t>
            </w:r>
          </w:p>
        </w:tc>
        <w:tc>
          <w:tcPr>
            <w:tcW w:w="6746" w:type="dxa"/>
            <w:vAlign w:val="center"/>
          </w:tcPr>
          <w:p>
            <w:pPr>
              <w:spacing w:line="360" w:lineRule="auto"/>
              <w:rPr>
                <w:rFonts w:ascii="宋体" w:hAnsi="宋体" w:cs="宋体"/>
                <w:sz w:val="24"/>
              </w:rPr>
            </w:pPr>
            <w:r>
              <w:rPr>
                <w:rFonts w:hint="eastAsia" w:ascii="宋体" w:hAnsi="宋体" w:cs="宋体"/>
                <w:sz w:val="24"/>
              </w:rPr>
              <w:t>成交供应商在收到成交通知书前，须向招标代理机构支付代理服务费，参考国家发展计划委员会“计价格（2002）1980号”文件收取。</w:t>
            </w:r>
          </w:p>
          <w:p>
            <w:pPr>
              <w:spacing w:line="360" w:lineRule="auto"/>
              <w:rPr>
                <w:rFonts w:ascii="宋体" w:hAnsi="宋体" w:cs="宋体"/>
                <w:sz w:val="24"/>
              </w:rPr>
            </w:pPr>
            <w:r>
              <w:rPr>
                <w:rFonts w:hint="eastAsia" w:ascii="宋体" w:hAnsi="宋体" w:cs="宋体"/>
                <w:sz w:val="24"/>
              </w:rPr>
              <w:t xml:space="preserve">交纳时间：投标人中标后，于领取中标通知书前交纳。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25</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争议的解决</w:t>
            </w:r>
          </w:p>
        </w:tc>
        <w:tc>
          <w:tcPr>
            <w:tcW w:w="6746" w:type="dxa"/>
            <w:vAlign w:val="center"/>
          </w:tcPr>
          <w:p>
            <w:pPr>
              <w:spacing w:line="360" w:lineRule="auto"/>
              <w:rPr>
                <w:rFonts w:ascii="宋体" w:hAnsi="宋体" w:cs="宋体"/>
                <w:sz w:val="24"/>
              </w:rPr>
            </w:pPr>
            <w:r>
              <w:rPr>
                <w:rFonts w:hint="eastAsia" w:ascii="宋体" w:hAnsi="宋体" w:cs="宋体"/>
                <w:sz w:val="24"/>
              </w:rPr>
              <w:t>协商解决；无法协商的提交当地人民法院判决。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26</w:t>
            </w:r>
          </w:p>
        </w:tc>
        <w:tc>
          <w:tcPr>
            <w:tcW w:w="1284" w:type="dxa"/>
            <w:gridSpan w:val="2"/>
            <w:vAlign w:val="center"/>
          </w:tcPr>
          <w:p>
            <w:pPr>
              <w:spacing w:line="360" w:lineRule="auto"/>
              <w:jc w:val="center"/>
              <w:rPr>
                <w:rFonts w:ascii="宋体" w:hAnsi="宋体" w:cs="宋体"/>
                <w:b/>
                <w:kern w:val="0"/>
                <w:sz w:val="24"/>
              </w:rPr>
            </w:pPr>
            <w:r>
              <w:rPr>
                <w:rFonts w:hint="eastAsia" w:ascii="宋体" w:hAnsi="宋体" w:cs="宋体"/>
                <w:b/>
                <w:kern w:val="0"/>
                <w:sz w:val="24"/>
              </w:rPr>
              <w:t>是否需要提交样品</w:t>
            </w:r>
          </w:p>
        </w:tc>
        <w:tc>
          <w:tcPr>
            <w:tcW w:w="6746" w:type="dxa"/>
            <w:vAlign w:val="center"/>
          </w:tcPr>
          <w:p>
            <w:pPr>
              <w:autoSpaceDE w:val="0"/>
              <w:autoSpaceDN w:val="0"/>
              <w:adjustRightInd w:val="0"/>
              <w:spacing w:line="360" w:lineRule="auto"/>
              <w:ind w:left="360" w:hanging="360"/>
              <w:rPr>
                <w:rFonts w:ascii="宋体" w:hAnsi="宋体" w:cs="宋体"/>
                <w:sz w:val="24"/>
                <w:lang w:val="zh-CN"/>
              </w:rPr>
            </w:pPr>
            <w:r>
              <w:rPr>
                <w:rFonts w:hint="eastAsia" w:ascii="宋体" w:hAnsi="宋体" w:cs="宋体"/>
                <w:sz w:val="24"/>
                <w:lang w:val="zh-CN"/>
              </w:rPr>
              <w:t>☑不需要</w:t>
            </w:r>
          </w:p>
          <w:p>
            <w:pPr>
              <w:autoSpaceDE w:val="0"/>
              <w:autoSpaceDN w:val="0"/>
              <w:adjustRightInd w:val="0"/>
              <w:spacing w:line="360" w:lineRule="auto"/>
              <w:ind w:left="360" w:hanging="360"/>
              <w:rPr>
                <w:rFonts w:ascii="宋体" w:hAnsi="宋体" w:cs="宋体"/>
                <w:sz w:val="24"/>
                <w:u w:val="single"/>
              </w:rPr>
            </w:pPr>
            <w:r>
              <w:rPr>
                <w:rFonts w:hint="eastAsia" w:ascii="宋体" w:hAnsi="宋体" w:cs="宋体"/>
                <w:sz w:val="24"/>
                <w:lang w:val="zh-CN"/>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27</w:t>
            </w:r>
          </w:p>
        </w:tc>
        <w:tc>
          <w:tcPr>
            <w:tcW w:w="1284" w:type="dxa"/>
            <w:gridSpan w:val="2"/>
            <w:vAlign w:val="center"/>
          </w:tcPr>
          <w:p>
            <w:pPr>
              <w:autoSpaceDE w:val="0"/>
              <w:autoSpaceDN w:val="0"/>
              <w:adjustRightInd w:val="0"/>
              <w:spacing w:line="360" w:lineRule="auto"/>
              <w:jc w:val="center"/>
              <w:rPr>
                <w:rFonts w:ascii="宋体" w:hAnsi="宋体" w:cs="宋体"/>
                <w:b/>
                <w:color w:val="000000"/>
                <w:kern w:val="0"/>
                <w:sz w:val="24"/>
              </w:rPr>
            </w:pPr>
            <w:r>
              <w:rPr>
                <w:rFonts w:hint="eastAsia" w:ascii="宋体" w:hAnsi="宋体" w:cs="宋体"/>
                <w:b/>
                <w:color w:val="000000"/>
                <w:kern w:val="0"/>
                <w:sz w:val="24"/>
              </w:rPr>
              <w:t>招标预算价</w:t>
            </w:r>
          </w:p>
        </w:tc>
        <w:tc>
          <w:tcPr>
            <w:tcW w:w="6746" w:type="dxa"/>
            <w:vAlign w:val="center"/>
          </w:tcPr>
          <w:p>
            <w:pPr>
              <w:pStyle w:val="30"/>
              <w:ind w:left="202" w:leftChars="1" w:firstLineChars="0"/>
              <w:rPr>
                <w:rFonts w:ascii="宋体" w:hAnsi="宋体" w:cs="宋体"/>
                <w:color w:val="000000"/>
                <w:sz w:val="24"/>
                <w:u w:val="single"/>
              </w:rPr>
            </w:pPr>
            <w:r>
              <w:rPr>
                <w:rFonts w:hint="eastAsia" w:ascii="宋体" w:hAnsi="宋体" w:cs="宋体"/>
                <w:color w:val="000000"/>
                <w:sz w:val="24"/>
                <w:u w:val="single"/>
              </w:rPr>
              <w:t>预算价：4000000元 大写：肆佰万元整</w:t>
            </w:r>
          </w:p>
          <w:p>
            <w:pPr>
              <w:pStyle w:val="30"/>
              <w:ind w:left="202" w:leftChars="1" w:firstLineChars="0"/>
              <w:rPr>
                <w:rFonts w:ascii="宋体" w:hAnsi="宋体" w:cs="宋体"/>
                <w:color w:val="000000"/>
                <w:sz w:val="24"/>
                <w:u w:val="single"/>
              </w:rPr>
            </w:pPr>
            <w:r>
              <w:rPr>
                <w:rFonts w:hint="eastAsia" w:ascii="宋体" w:hAnsi="宋体" w:cs="宋体"/>
                <w:color w:val="000000"/>
                <w:sz w:val="24"/>
                <w:u w:val="single"/>
              </w:rPr>
              <w:t>合同履约期限：合同签订之日起</w:t>
            </w:r>
            <w:r>
              <w:rPr>
                <w:rFonts w:hint="eastAsia" w:ascii="宋体" w:hAnsi="宋体" w:cs="宋体"/>
                <w:color w:val="000000"/>
                <w:sz w:val="24"/>
                <w:u w:val="single"/>
                <w:lang w:val="en-US" w:eastAsia="zh-CN"/>
              </w:rPr>
              <w:t>35</w:t>
            </w:r>
            <w:r>
              <w:rPr>
                <w:rFonts w:hint="eastAsia" w:ascii="宋体" w:hAnsi="宋体" w:cs="宋体"/>
                <w:color w:val="000000"/>
                <w:sz w:val="24"/>
                <w:u w:val="single"/>
              </w:rPr>
              <w:t>日内完整供货安装。</w:t>
            </w:r>
          </w:p>
          <w:p>
            <w:pPr>
              <w:pStyle w:val="30"/>
              <w:ind w:left="202" w:leftChars="1" w:firstLineChars="0"/>
              <w:rPr>
                <w:rFonts w:ascii="宋体" w:hAnsi="宋体" w:cs="宋体"/>
                <w:color w:val="000000"/>
                <w:sz w:val="24"/>
                <w:u w:val="single"/>
              </w:rPr>
            </w:pPr>
            <w:r>
              <w:rPr>
                <w:rFonts w:hint="eastAsia" w:ascii="宋体" w:hAnsi="宋体" w:cs="宋体"/>
                <w:color w:val="000000"/>
                <w:sz w:val="24"/>
                <w:u w:val="single"/>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ascii="宋体" w:hAnsi="宋体" w:cs="宋体"/>
                <w:b/>
                <w:color w:val="000000"/>
                <w:kern w:val="0"/>
                <w:sz w:val="24"/>
              </w:rPr>
            </w:pPr>
            <w:r>
              <w:rPr>
                <w:rFonts w:hint="eastAsia" w:ascii="宋体" w:hAnsi="宋体" w:cs="宋体"/>
                <w:b/>
                <w:color w:val="000000"/>
                <w:kern w:val="0"/>
                <w:sz w:val="24"/>
              </w:rPr>
              <w:t>28</w:t>
            </w:r>
          </w:p>
        </w:tc>
        <w:tc>
          <w:tcPr>
            <w:tcW w:w="1284" w:type="dxa"/>
            <w:gridSpan w:val="2"/>
            <w:vAlign w:val="center"/>
          </w:tcPr>
          <w:p>
            <w:pPr>
              <w:jc w:val="center"/>
              <w:rPr>
                <w:rFonts w:ascii="宋体" w:hAnsi="宋体" w:cs="宋体"/>
                <w:b/>
                <w:bCs/>
                <w:color w:val="000000"/>
                <w:sz w:val="24"/>
              </w:rPr>
            </w:pPr>
            <w:r>
              <w:rPr>
                <w:rFonts w:hint="eastAsia" w:ascii="宋体" w:hAnsi="宋体" w:cs="宋体"/>
                <w:b/>
                <w:bCs/>
                <w:color w:val="000000"/>
                <w:sz w:val="24"/>
              </w:rPr>
              <w:t>开标现场查验及递交原件</w:t>
            </w:r>
          </w:p>
          <w:p>
            <w:pPr>
              <w:spacing w:line="260" w:lineRule="exact"/>
              <w:jc w:val="center"/>
              <w:rPr>
                <w:rFonts w:ascii="宋体" w:hAnsi="宋体" w:cs="宋体"/>
                <w:b/>
                <w:color w:val="000000"/>
                <w:kern w:val="0"/>
                <w:sz w:val="24"/>
              </w:rPr>
            </w:pPr>
          </w:p>
        </w:tc>
        <w:tc>
          <w:tcPr>
            <w:tcW w:w="6746" w:type="dxa"/>
            <w:vAlign w:val="center"/>
          </w:tcPr>
          <w:p>
            <w:pPr>
              <w:adjustRightInd w:val="0"/>
              <w:snapToGrid w:val="0"/>
              <w:rPr>
                <w:rFonts w:ascii="宋体" w:hAnsi="宋体" w:cs="宋体"/>
                <w:b/>
                <w:bCs/>
                <w:color w:val="FF0000"/>
                <w:sz w:val="24"/>
              </w:rPr>
            </w:pPr>
            <w:r>
              <w:rPr>
                <w:rFonts w:hint="eastAsia" w:ascii="宋体" w:hAnsi="宋体" w:cs="宋体"/>
                <w:b/>
                <w:bCs/>
                <w:color w:val="FF0000"/>
                <w:sz w:val="24"/>
              </w:rPr>
              <w:t>招标人邀请所有供应商的法定代表人或其委托代理人参加开标会。供应商的法定代表人或其委托代理人应当按时参加开标会，并在招标人按开标程序进行点名时，向招标人提交法定代表人身份证明文件或法定代表人授权委托书，出示本人身份证，以证明其出席，并携带一下证件资料原件，否则将否决其投标。</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提供五证一码或三证合一的营业执照（含有相关经营范围）；</w:t>
            </w:r>
          </w:p>
          <w:p>
            <w:pPr>
              <w:numPr>
                <w:ilvl w:val="0"/>
                <w:numId w:val="2"/>
              </w:numPr>
              <w:adjustRightInd w:val="0"/>
              <w:snapToGrid w:val="0"/>
              <w:jc w:val="left"/>
              <w:rPr>
                <w:b/>
                <w:bCs/>
                <w:color w:val="FF0000"/>
              </w:rPr>
            </w:pPr>
            <w:r>
              <w:rPr>
                <w:rFonts w:hint="eastAsia" w:ascii="宋体" w:hAnsi="宋体" w:cs="宋体"/>
                <w:b/>
                <w:bCs/>
                <w:color w:val="FF0000"/>
                <w:sz w:val="24"/>
              </w:rPr>
              <w:t>提供机电设备安装工程专业承包三级及以上资质证书，同时具有有效的安全生产许可证；</w:t>
            </w:r>
          </w:p>
          <w:p>
            <w:pPr>
              <w:numPr>
                <w:ilvl w:val="0"/>
                <w:numId w:val="2"/>
              </w:numPr>
              <w:adjustRightInd w:val="0"/>
              <w:snapToGrid w:val="0"/>
              <w:jc w:val="left"/>
              <w:rPr>
                <w:b/>
                <w:bCs/>
                <w:color w:val="FF0000"/>
              </w:rPr>
            </w:pPr>
            <w:r>
              <w:rPr>
                <w:rFonts w:hint="eastAsia" w:ascii="宋体" w:hAnsi="宋体" w:cs="宋体"/>
                <w:b/>
                <w:bCs/>
                <w:color w:val="FF0000"/>
                <w:sz w:val="24"/>
              </w:rPr>
              <w:t>提供中华人民共和国特种设备生产许可证或中华人民共和国特种设备安装改造修理许可证；</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提供近半年完税证明及社保缴纳证明；</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提供近一年（2019年度）的财务审计报告，成立不足一年企业的提供企业成立至今的财务报表并加盖财务专用章；</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提供国家企业信用信息公示系统、“信用中国”网站、中国政府采购网的查询记录或报告（查询自公告发布之日起止投标截止时间之内）；</w:t>
            </w:r>
          </w:p>
          <w:p>
            <w:pPr>
              <w:numPr>
                <w:ilvl w:val="0"/>
                <w:numId w:val="2"/>
              </w:numPr>
              <w:adjustRightInd w:val="0"/>
              <w:snapToGrid w:val="0"/>
              <w:jc w:val="left"/>
              <w:rPr>
                <w:rFonts w:ascii="宋体" w:hAnsi="宋体" w:cs="宋体"/>
                <w:b/>
                <w:bCs/>
                <w:color w:val="FF0000"/>
                <w:sz w:val="24"/>
              </w:rPr>
            </w:pPr>
            <w:r>
              <w:rPr>
                <w:rFonts w:hint="eastAsia" w:ascii="宋体" w:hAnsi="宋体" w:cs="宋体"/>
                <w:b/>
                <w:bCs/>
                <w:color w:val="FF0000"/>
                <w:sz w:val="24"/>
              </w:rPr>
              <w:t>法定代表人或其委托代理人应携带本人身份证原件、近三个月社保证明，委托代理人还应携带法定代表人授权委托书、近三个月社保证明；</w:t>
            </w:r>
          </w:p>
          <w:p>
            <w:pPr>
              <w:pStyle w:val="30"/>
              <w:adjustRightInd w:val="0"/>
              <w:snapToGrid w:val="0"/>
              <w:ind w:left="482" w:hanging="482"/>
              <w:rPr>
                <w:rFonts w:ascii="宋体" w:hAnsi="宋体" w:cs="宋体"/>
                <w:b/>
                <w:bCs/>
                <w:color w:val="FF0000"/>
                <w:sz w:val="24"/>
                <w:szCs w:val="24"/>
              </w:rPr>
            </w:pPr>
            <w:r>
              <w:rPr>
                <w:rFonts w:hint="eastAsia" w:ascii="宋体" w:hAnsi="宋体" w:cs="宋体"/>
                <w:b/>
                <w:bCs/>
                <w:color w:val="FF0000"/>
                <w:sz w:val="24"/>
                <w:szCs w:val="24"/>
              </w:rPr>
              <w:t>（8）投标保证金收据、打款凭证电子回单加盖公章、开户许可证或银行开户信息证明。</w:t>
            </w:r>
          </w:p>
          <w:p>
            <w:pPr>
              <w:adjustRightInd w:val="0"/>
              <w:snapToGrid w:val="0"/>
              <w:jc w:val="left"/>
              <w:rPr>
                <w:rFonts w:ascii="宋体" w:hAnsi="宋体" w:cs="宋体"/>
                <w:b/>
                <w:bCs/>
                <w:color w:val="FF0000"/>
                <w:sz w:val="24"/>
              </w:rPr>
            </w:pPr>
            <w:r>
              <w:rPr>
                <w:rFonts w:hint="eastAsia" w:ascii="宋体" w:hAnsi="宋体" w:cs="宋体"/>
                <w:b/>
                <w:bCs/>
                <w:color w:val="FF0000"/>
                <w:sz w:val="24"/>
              </w:rPr>
              <w:t>以上原件不密封，带至开标现场由招标人、监督人进行查验。</w:t>
            </w:r>
          </w:p>
          <w:p>
            <w:pPr>
              <w:adjustRightInd w:val="0"/>
              <w:snapToGrid w:val="0"/>
              <w:jc w:val="left"/>
              <w:rPr>
                <w:rFonts w:ascii="宋体" w:hAnsi="宋体" w:cs="宋体"/>
                <w:color w:val="000000"/>
                <w:sz w:val="24"/>
                <w:lang w:val="zh-CN"/>
              </w:rPr>
            </w:pPr>
            <w:r>
              <w:rPr>
                <w:rFonts w:hint="eastAsia" w:ascii="宋体" w:hAnsi="宋体" w:cs="宋体"/>
                <w:b/>
                <w:bCs/>
                <w:color w:val="FF0000"/>
                <w:sz w:val="24"/>
              </w:rPr>
              <w:t>上述证件的公证件，本次招标不予认可。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Align w:val="center"/>
          </w:tcPr>
          <w:p>
            <w:pPr>
              <w:spacing w:line="360" w:lineRule="auto"/>
              <w:jc w:val="center"/>
              <w:rPr>
                <w:rFonts w:ascii="宋体" w:hAnsi="宋体" w:cs="宋体"/>
                <w:b/>
                <w:kern w:val="0"/>
                <w:sz w:val="24"/>
              </w:rPr>
            </w:pPr>
            <w:r>
              <w:rPr>
                <w:rFonts w:hint="eastAsia" w:ascii="宋体" w:hAnsi="宋体" w:cs="宋体"/>
                <w:b/>
                <w:kern w:val="0"/>
                <w:sz w:val="24"/>
              </w:rPr>
              <w:t>其他约定</w:t>
            </w:r>
          </w:p>
        </w:tc>
        <w:tc>
          <w:tcPr>
            <w:tcW w:w="0" w:type="auto"/>
            <w:gridSpan w:val="3"/>
            <w:vAlign w:val="center"/>
          </w:tcPr>
          <w:p>
            <w:pPr>
              <w:numPr>
                <w:ilvl w:val="0"/>
                <w:numId w:val="3"/>
              </w:numPr>
              <w:autoSpaceDE w:val="0"/>
              <w:autoSpaceDN w:val="0"/>
              <w:adjustRightInd w:val="0"/>
              <w:spacing w:line="360" w:lineRule="auto"/>
              <w:rPr>
                <w:b/>
                <w:bCs/>
              </w:rPr>
            </w:pPr>
            <w:r>
              <w:rPr>
                <w:rFonts w:hint="eastAsia"/>
                <w:b/>
                <w:bCs/>
              </w:rPr>
              <w:t>投标人应依照招标文件要求在投标文件中提供相关材料原件的扫描件或复印件。无论何种原因，即使投标人开标时携带了相关材料的原件，但在投标文件中未提供与之内容完全一致的扫描件或复印件，评标委员会可以视同其未提供，涉及评分项因素的不得分。</w:t>
            </w:r>
          </w:p>
          <w:p>
            <w:pPr>
              <w:numPr>
                <w:ilvl w:val="0"/>
                <w:numId w:val="3"/>
              </w:numPr>
              <w:autoSpaceDE w:val="0"/>
              <w:autoSpaceDN w:val="0"/>
              <w:adjustRightInd w:val="0"/>
              <w:spacing w:line="360" w:lineRule="auto"/>
              <w:rPr>
                <w:b/>
                <w:bCs/>
              </w:rPr>
            </w:pPr>
            <w:r>
              <w:rPr>
                <w:rFonts w:hint="eastAsia"/>
                <w:b/>
                <w:bCs/>
              </w:rPr>
              <w:t>评分项里有关涉及评分的资料原件，投标商必须单独提供原件密封递交以备查验，否则涉及评分项因素的不得分。</w:t>
            </w:r>
          </w:p>
          <w:p>
            <w:pPr>
              <w:numPr>
                <w:ilvl w:val="0"/>
                <w:numId w:val="3"/>
              </w:numPr>
              <w:autoSpaceDE w:val="0"/>
              <w:autoSpaceDN w:val="0"/>
              <w:adjustRightInd w:val="0"/>
              <w:spacing w:line="360" w:lineRule="auto"/>
            </w:pPr>
            <w:r>
              <w:rPr>
                <w:rFonts w:hint="eastAsia"/>
                <w:b/>
                <w:bCs/>
              </w:rPr>
              <w:t>投标商须按要求提供真实有效的材料，如有弄虚作假行为，将按照相关规定严肃处理。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spacing w:before="156" w:beforeLines="50" w:line="360" w:lineRule="auto"/>
              <w:jc w:val="center"/>
              <w:rPr>
                <w:rFonts w:ascii="宋体" w:hAnsi="宋体" w:cs="宋体"/>
                <w:b/>
                <w:kern w:val="0"/>
                <w:sz w:val="24"/>
              </w:rPr>
            </w:pPr>
            <w:r>
              <w:rPr>
                <w:rFonts w:hint="eastAsia" w:ascii="宋体" w:hAnsi="宋体" w:cs="宋体"/>
                <w:b/>
                <w:bCs/>
                <w:sz w:val="28"/>
                <w:szCs w:val="28"/>
              </w:rPr>
              <w:t>备注</w:t>
            </w:r>
          </w:p>
        </w:tc>
        <w:tc>
          <w:tcPr>
            <w:tcW w:w="0" w:type="auto"/>
            <w:gridSpan w:val="3"/>
            <w:vAlign w:val="center"/>
          </w:tcPr>
          <w:p>
            <w:pPr>
              <w:autoSpaceDE w:val="0"/>
              <w:autoSpaceDN w:val="0"/>
              <w:adjustRightInd w:val="0"/>
              <w:spacing w:line="360" w:lineRule="auto"/>
              <w:rPr>
                <w:rFonts w:ascii="宋体" w:hAnsi="宋体" w:cs="宋体"/>
                <w:sz w:val="24"/>
              </w:rPr>
            </w:pPr>
            <w:r>
              <w:rPr>
                <w:rFonts w:hint="eastAsia" w:ascii="宋体" w:hAnsi="宋体" w:cs="宋体"/>
              </w:rPr>
              <w:t>注</w:t>
            </w:r>
            <w:r>
              <w:rPr>
                <w:rFonts w:hint="eastAsia" w:ascii="宋体" w:hAnsi="宋体" w:cs="宋体"/>
                <w:sz w:val="24"/>
              </w:rPr>
              <w:t>：1、本表中若有加★项目有缺失或无效，将导致投标无效且不允许在开标后补正；</w:t>
            </w:r>
          </w:p>
          <w:p>
            <w:pPr>
              <w:autoSpaceDE w:val="0"/>
              <w:autoSpaceDN w:val="0"/>
              <w:adjustRightInd w:val="0"/>
              <w:spacing w:line="360" w:lineRule="auto"/>
              <w:rPr>
                <w:rFonts w:ascii="宋体" w:hAnsi="宋体" w:cs="宋体"/>
                <w:sz w:val="24"/>
              </w:rPr>
            </w:pPr>
            <w:r>
              <w:rPr>
                <w:rFonts w:hint="eastAsia" w:ascii="宋体" w:hAnsi="宋体" w:cs="宋体"/>
                <w:sz w:val="24"/>
              </w:rPr>
              <w:t>2、本表内容与招标文件其它内容不一致的，应当以本表内容为准。</w:t>
            </w:r>
          </w:p>
          <w:p>
            <w:pPr>
              <w:autoSpaceDE w:val="0"/>
              <w:autoSpaceDN w:val="0"/>
              <w:adjustRightInd w:val="0"/>
              <w:spacing w:line="360" w:lineRule="auto"/>
              <w:rPr>
                <w:rFonts w:ascii="宋体" w:hAnsi="宋体" w:cs="宋体"/>
              </w:rPr>
            </w:pPr>
            <w:r>
              <w:rPr>
                <w:rFonts w:hint="eastAsia" w:ascii="宋体" w:hAnsi="宋体" w:cs="宋体"/>
                <w:sz w:val="24"/>
              </w:rPr>
              <w:t>3、本表中“</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”标示选择使用该项，“□”标示不选择使用该项。</w:t>
            </w:r>
          </w:p>
        </w:tc>
      </w:tr>
    </w:tbl>
    <w:p>
      <w:pPr>
        <w:pStyle w:val="19"/>
        <w:tabs>
          <w:tab w:val="left" w:pos="0"/>
        </w:tabs>
        <w:spacing w:line="240" w:lineRule="auto"/>
        <w:ind w:left="0" w:leftChars="0" w:firstLine="0" w:firstLineChars="0"/>
        <w:jc w:val="left"/>
        <w:outlineLvl w:val="0"/>
        <w:rPr>
          <w:rFonts w:eastAsia="黑体"/>
          <w:b/>
          <w:sz w:val="36"/>
        </w:rPr>
      </w:pPr>
      <w:r>
        <w:rPr>
          <w:rFonts w:ascii="宋体" w:hAnsi="宋体"/>
          <w:kern w:val="0"/>
        </w:rPr>
        <w:br w:type="page"/>
      </w:r>
      <w:bookmarkStart w:id="4" w:name="_Toc33212755"/>
      <w:bookmarkStart w:id="5" w:name="_Toc11230"/>
      <w:bookmarkStart w:id="6" w:name="_Toc33194701"/>
      <w:r>
        <w:rPr>
          <w:rFonts w:hint="eastAsia" w:eastAsia="黑体"/>
          <w:b/>
          <w:sz w:val="36"/>
        </w:rPr>
        <w:t>第三部分   投标人须知</w:t>
      </w:r>
      <w:bookmarkEnd w:id="4"/>
      <w:bookmarkEnd w:id="5"/>
      <w:bookmarkEnd w:id="6"/>
    </w:p>
    <w:p>
      <w:pPr>
        <w:pStyle w:val="4"/>
        <w:numPr>
          <w:ilvl w:val="0"/>
          <w:numId w:val="0"/>
        </w:numPr>
        <w:ind w:left="240"/>
        <w:rPr>
          <w:rFonts w:ascii="宋体" w:hAnsi="宋体"/>
          <w:b w:val="0"/>
          <w:sz w:val="24"/>
        </w:rPr>
      </w:pPr>
      <w:bookmarkStart w:id="7" w:name="_Toc33212756"/>
      <w:bookmarkStart w:id="8" w:name="_Toc24930"/>
      <w:bookmarkStart w:id="9" w:name="_Toc33194702"/>
      <w:r>
        <w:rPr>
          <w:rFonts w:hint="eastAsia" w:ascii="宋体" w:hAnsi="宋体"/>
          <w:b w:val="0"/>
          <w:sz w:val="24"/>
        </w:rPr>
        <w:t>一、总则</w:t>
      </w:r>
      <w:bookmarkEnd w:id="7"/>
      <w:bookmarkEnd w:id="8"/>
      <w:bookmarkEnd w:id="9"/>
    </w:p>
    <w:p>
      <w:pPr>
        <w:spacing w:line="360" w:lineRule="auto"/>
        <w:rPr>
          <w:rFonts w:ascii="宋体" w:hAnsi="宋体"/>
          <w:b/>
          <w:sz w:val="24"/>
        </w:rPr>
      </w:pPr>
      <w:r>
        <w:rPr>
          <w:rFonts w:hint="eastAsia" w:ascii="宋体" w:hAnsi="宋体"/>
          <w:b/>
          <w:sz w:val="24"/>
        </w:rPr>
        <w:t>1.说明</w:t>
      </w:r>
    </w:p>
    <w:p>
      <w:pPr>
        <w:spacing w:line="360" w:lineRule="auto"/>
        <w:ind w:firstLine="480" w:firstLineChars="200"/>
        <w:rPr>
          <w:rFonts w:ascii="宋体" w:hAnsi="宋体"/>
          <w:sz w:val="24"/>
        </w:rPr>
      </w:pPr>
      <w:r>
        <w:rPr>
          <w:rFonts w:hint="eastAsia" w:ascii="宋体" w:hAnsi="宋体"/>
          <w:sz w:val="24"/>
        </w:rPr>
        <w:t>1.1本招标文件适用于本次招标采购项目的招标投标。</w:t>
      </w:r>
    </w:p>
    <w:p>
      <w:pPr>
        <w:spacing w:line="360" w:lineRule="auto"/>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2.1“采购人”名称见本招标文件第二部分“投标人须知前附表”中第1项。</w:t>
      </w:r>
    </w:p>
    <w:p>
      <w:pPr>
        <w:spacing w:line="360" w:lineRule="auto"/>
        <w:ind w:firstLine="480" w:firstLineChars="200"/>
        <w:rPr>
          <w:rFonts w:ascii="宋体" w:hAnsi="宋体"/>
          <w:sz w:val="24"/>
        </w:rPr>
      </w:pPr>
      <w:r>
        <w:rPr>
          <w:rFonts w:hint="eastAsia" w:ascii="宋体" w:hAnsi="宋体"/>
          <w:sz w:val="24"/>
        </w:rPr>
        <w:t>2.2“采购代理机构”名称见本招标文件第二部分“投标人须知前附表”中第2项。</w:t>
      </w:r>
    </w:p>
    <w:p>
      <w:pPr>
        <w:spacing w:line="360" w:lineRule="auto"/>
        <w:ind w:firstLine="480" w:firstLineChars="200"/>
        <w:rPr>
          <w:rFonts w:ascii="宋体" w:hAnsi="宋体"/>
          <w:sz w:val="24"/>
        </w:rPr>
      </w:pPr>
      <w:r>
        <w:rPr>
          <w:rFonts w:hint="eastAsia" w:ascii="宋体" w:hAnsi="宋体"/>
          <w:sz w:val="24"/>
        </w:rPr>
        <w:t>2.3“招标货物”指招标文件第四部分所述所有货物；“服务”指招标文件第四部分所述投标人应该履行的承诺和义务。</w:t>
      </w:r>
    </w:p>
    <w:p>
      <w:pPr>
        <w:spacing w:line="360" w:lineRule="auto"/>
        <w:ind w:firstLine="480" w:firstLineChars="200"/>
        <w:rPr>
          <w:rFonts w:ascii="宋体" w:hAnsi="宋体"/>
          <w:sz w:val="24"/>
        </w:rPr>
      </w:pPr>
      <w:r>
        <w:rPr>
          <w:rFonts w:hint="eastAsia" w:ascii="宋体" w:hAnsi="宋体"/>
          <w:sz w:val="24"/>
        </w:rPr>
        <w:t>2.4“潜在投标人”指符合招标文件各项规定的供应商。</w:t>
      </w:r>
    </w:p>
    <w:p>
      <w:pPr>
        <w:spacing w:line="360" w:lineRule="auto"/>
        <w:ind w:firstLine="480" w:firstLineChars="200"/>
        <w:rPr>
          <w:rFonts w:ascii="宋体" w:hAnsi="宋体"/>
          <w:sz w:val="24"/>
        </w:rPr>
      </w:pPr>
      <w:r>
        <w:rPr>
          <w:rFonts w:hint="eastAsia" w:ascii="宋体" w:hAnsi="宋体"/>
          <w:sz w:val="24"/>
        </w:rPr>
        <w:t>2.5“投标人”指符合招标文件规定并参加投标的供应商。</w:t>
      </w:r>
    </w:p>
    <w:p>
      <w:pPr>
        <w:spacing w:line="360" w:lineRule="auto"/>
        <w:ind w:firstLine="480" w:firstLineChars="200"/>
        <w:rPr>
          <w:rFonts w:ascii="宋体" w:hAnsi="宋体"/>
          <w:sz w:val="24"/>
        </w:rPr>
      </w:pPr>
      <w:r>
        <w:rPr>
          <w:rFonts w:hint="eastAsia" w:ascii="宋体" w:hAnsi="宋体"/>
          <w:sz w:val="24"/>
        </w:rPr>
        <w:t>2.6“投标人盖章”指使用投标人标准公章。</w:t>
      </w:r>
    </w:p>
    <w:p>
      <w:pPr>
        <w:spacing w:line="360" w:lineRule="auto"/>
        <w:ind w:firstLine="480" w:firstLineChars="200"/>
        <w:rPr>
          <w:rFonts w:ascii="宋体" w:hAnsi="宋体"/>
          <w:sz w:val="24"/>
        </w:rPr>
      </w:pPr>
      <w:r>
        <w:rPr>
          <w:rFonts w:hint="eastAsia" w:ascii="宋体" w:hAnsi="宋体"/>
          <w:sz w:val="24"/>
        </w:rPr>
        <w:t>2.7“电子投标文件”指使用未加密的投标文件电子版（与纸质版内容一致）。</w:t>
      </w:r>
    </w:p>
    <w:p>
      <w:pPr>
        <w:spacing w:line="360" w:lineRule="auto"/>
        <w:rPr>
          <w:rFonts w:ascii="宋体" w:hAnsi="宋体"/>
          <w:b/>
          <w:sz w:val="24"/>
        </w:rPr>
      </w:pPr>
      <w:r>
        <w:rPr>
          <w:rFonts w:hint="eastAsia" w:ascii="宋体" w:hAnsi="宋体"/>
          <w:b/>
          <w:sz w:val="24"/>
        </w:rPr>
        <w:t>3.合格投标人的条件</w:t>
      </w:r>
    </w:p>
    <w:p>
      <w:pPr>
        <w:spacing w:line="360" w:lineRule="auto"/>
        <w:ind w:firstLine="480" w:firstLineChars="200"/>
        <w:rPr>
          <w:rFonts w:ascii="宋体" w:hAnsi="宋体"/>
          <w:sz w:val="24"/>
        </w:rPr>
      </w:pPr>
      <w:r>
        <w:rPr>
          <w:rFonts w:hint="eastAsia" w:ascii="宋体" w:hAnsi="宋体"/>
          <w:sz w:val="24"/>
        </w:rPr>
        <w:t>3.1具有本项目生产、制造、供应或实施能力，符合、承认并承诺履行本文件各项规定的国内法人、其他组织或自然人均可参加投标。</w:t>
      </w:r>
    </w:p>
    <w:p>
      <w:pPr>
        <w:spacing w:line="360" w:lineRule="auto"/>
        <w:ind w:firstLine="480" w:firstLineChars="200"/>
        <w:rPr>
          <w:rFonts w:ascii="宋体" w:hAnsi="宋体"/>
          <w:sz w:val="24"/>
        </w:rPr>
      </w:pPr>
      <w:r>
        <w:rPr>
          <w:rFonts w:hint="eastAsia" w:ascii="宋体" w:hAnsi="宋体"/>
          <w:sz w:val="24"/>
        </w:rPr>
        <w:t>3.2遵守有关的国家法律、法规和条例，具备《中华人民共和国政府采购法》和本招标文件第二部分“投标人须知前附表”中第3项规定的资格条件。</w:t>
      </w:r>
    </w:p>
    <w:p>
      <w:pPr>
        <w:spacing w:line="360" w:lineRule="auto"/>
        <w:ind w:firstLine="480" w:firstLineChars="200"/>
        <w:rPr>
          <w:rFonts w:ascii="宋体" w:hAnsi="宋体"/>
          <w:sz w:val="24"/>
        </w:rPr>
      </w:pPr>
      <w:r>
        <w:rPr>
          <w:rFonts w:hint="eastAsia" w:ascii="宋体" w:hAnsi="宋体"/>
          <w:sz w:val="24"/>
        </w:rPr>
        <w:t>3.3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ind w:firstLine="480" w:firstLineChars="200"/>
        <w:rPr>
          <w:rFonts w:ascii="宋体" w:hAnsi="宋体"/>
          <w:sz w:val="24"/>
        </w:rPr>
      </w:pPr>
      <w:r>
        <w:rPr>
          <w:rFonts w:hint="eastAsia" w:ascii="宋体" w:hAnsi="宋体"/>
          <w:sz w:val="24"/>
        </w:rPr>
        <w:t>3.4投标人须持有《法定代表人授权委托书》（法定代表人参加投标的可以只提供法定代表人资格证明书）。</w:t>
      </w:r>
    </w:p>
    <w:p>
      <w:pPr>
        <w:spacing w:line="360" w:lineRule="auto"/>
        <w:ind w:firstLine="480" w:firstLineChars="200"/>
        <w:rPr>
          <w:rFonts w:ascii="宋体" w:hAnsi="宋体"/>
          <w:sz w:val="24"/>
        </w:rPr>
      </w:pPr>
      <w:r>
        <w:rPr>
          <w:rFonts w:hint="eastAsia" w:ascii="宋体" w:hAnsi="宋体"/>
          <w:sz w:val="24"/>
        </w:rPr>
        <w:t>3.5投标人在</w:t>
      </w:r>
      <w:r>
        <w:rPr>
          <w:rFonts w:hint="eastAsia" w:ascii="宋体" w:hAnsi="宋体"/>
          <w:color w:val="FF0000"/>
          <w:sz w:val="24"/>
        </w:rPr>
        <w:t>新疆政府采购网</w:t>
      </w:r>
      <w:r>
        <w:rPr>
          <w:rFonts w:hint="eastAsia" w:ascii="宋体" w:hAnsi="宋体"/>
          <w:sz w:val="24"/>
        </w:rPr>
        <w:t>上自行下载领取招标文件。</w:t>
      </w:r>
    </w:p>
    <w:p>
      <w:pPr>
        <w:spacing w:line="360" w:lineRule="auto"/>
        <w:ind w:firstLine="480" w:firstLineChars="200"/>
        <w:rPr>
          <w:rFonts w:ascii="宋体" w:hAnsi="宋体"/>
          <w:sz w:val="24"/>
        </w:rPr>
      </w:pPr>
      <w:r>
        <w:rPr>
          <w:rFonts w:hint="eastAsia" w:ascii="宋体" w:hAnsi="宋体"/>
          <w:sz w:val="24"/>
        </w:rPr>
        <w:t>3.6投标人按时足额交纳投标保证金。</w:t>
      </w:r>
    </w:p>
    <w:p>
      <w:pPr>
        <w:spacing w:line="360" w:lineRule="auto"/>
        <w:ind w:firstLine="480" w:firstLineChars="200"/>
        <w:rPr>
          <w:rFonts w:ascii="宋体" w:hAnsi="宋体"/>
          <w:sz w:val="24"/>
        </w:rPr>
      </w:pPr>
      <w:r>
        <w:rPr>
          <w:rFonts w:hint="eastAsia" w:ascii="宋体" w:hAnsi="宋体"/>
          <w:sz w:val="24"/>
        </w:rPr>
        <w:t>3.7本次招标是否允许由两个以上供应商组成一个联合体以一个投标人身份共同投标，按照招标文件第二部分“投标人须知前附表”中的规定。如果允许，除均应符合上述规定外，还应符合下列要求：</w:t>
      </w:r>
    </w:p>
    <w:p>
      <w:pPr>
        <w:spacing w:line="360" w:lineRule="auto"/>
        <w:ind w:firstLine="480" w:firstLineChars="200"/>
        <w:rPr>
          <w:rFonts w:ascii="宋体" w:hAnsi="宋体"/>
          <w:sz w:val="24"/>
        </w:rPr>
      </w:pPr>
      <w:r>
        <w:rPr>
          <w:rFonts w:hint="eastAsia" w:ascii="宋体" w:hAnsi="宋体"/>
          <w:sz w:val="24"/>
        </w:rPr>
        <w:t>1）联合体应提供“联合投标协议书”，该协议书对联合投标各方均具有法律约束力。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0" w:firstLineChars="200"/>
        <w:rPr>
          <w:rFonts w:ascii="宋体" w:hAnsi="宋体"/>
          <w:sz w:val="24"/>
        </w:rPr>
      </w:pPr>
      <w:r>
        <w:rPr>
          <w:rFonts w:hint="eastAsia" w:ascii="宋体" w:hAnsi="宋体"/>
          <w:sz w:val="24"/>
        </w:rPr>
        <w:t>2）联合体各方中至少应当有一方对应满足本项目规定的相应资质条件，并且联合体投标人整体应当符合项目的资质要求，否则，其提交的联合投标将被拒绝。联合体中有同类资质的供应商按照联合体分工承担相同工作的，应当按照资质等级较低的供应商确定联合体资质等级。</w:t>
      </w:r>
    </w:p>
    <w:p>
      <w:pPr>
        <w:spacing w:line="360" w:lineRule="auto"/>
        <w:ind w:firstLine="480" w:firstLineChars="200"/>
        <w:rPr>
          <w:rFonts w:ascii="宋体" w:hAnsi="宋体"/>
          <w:sz w:val="24"/>
        </w:rPr>
      </w:pPr>
      <w:r>
        <w:rPr>
          <w:rFonts w:hint="eastAsia" w:ascii="宋体" w:hAnsi="宋体"/>
          <w:sz w:val="24"/>
        </w:rPr>
        <w:t>3）由不同专业的供应商组成的联合体, 首先以投标的全权代表方的应答材料作为认定资质以及商务评审的依据；涉及行业专属的资质,按照所属行业所对应的供应商的应答材料确定。</w:t>
      </w:r>
    </w:p>
    <w:p>
      <w:pPr>
        <w:spacing w:line="360" w:lineRule="auto"/>
        <w:ind w:firstLine="480" w:firstLineChars="200"/>
        <w:rPr>
          <w:rFonts w:ascii="宋体" w:hAnsi="宋体"/>
          <w:sz w:val="24"/>
        </w:rPr>
      </w:pPr>
      <w:r>
        <w:rPr>
          <w:rFonts w:hint="eastAsia" w:ascii="宋体" w:hAnsi="宋体"/>
          <w:sz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80" w:firstLineChars="200"/>
        <w:rPr>
          <w:rFonts w:ascii="宋体" w:hAnsi="宋体"/>
          <w:sz w:val="24"/>
        </w:rPr>
      </w:pPr>
      <w:r>
        <w:rPr>
          <w:rFonts w:hint="eastAsia" w:ascii="宋体" w:hAnsi="宋体"/>
          <w:sz w:val="24"/>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0" w:firstLineChars="200"/>
        <w:rPr>
          <w:rFonts w:ascii="宋体" w:hAnsi="宋体"/>
          <w:sz w:val="24"/>
        </w:rPr>
      </w:pPr>
      <w:r>
        <w:rPr>
          <w:rFonts w:hint="eastAsia" w:ascii="宋体" w:hAnsi="宋体"/>
          <w:sz w:val="24"/>
        </w:rPr>
        <w:t>6）联合体各方均不得同时再以自己独立的名义单独投标，也不得再同时参加其他的联合体投标。若该等情形被发现，其单独的投标和与此有关的联合体的投标均将被一并拒绝。联合体参加投标的，上述3.5款中所述投标人为该联合体的全权代表（即牵头人）。</w:t>
      </w:r>
    </w:p>
    <w:p>
      <w:pPr>
        <w:spacing w:line="360" w:lineRule="auto"/>
        <w:ind w:firstLine="480" w:firstLineChars="200"/>
        <w:rPr>
          <w:rFonts w:ascii="宋体" w:hAnsi="宋体"/>
          <w:sz w:val="24"/>
        </w:rPr>
      </w:pPr>
      <w:r>
        <w:rPr>
          <w:rFonts w:hint="eastAsia" w:ascii="宋体" w:hAnsi="宋体"/>
          <w:sz w:val="24"/>
        </w:rPr>
        <w:t>3.8投标人不得与采购人、采购代理机构等有利害关系。</w:t>
      </w:r>
    </w:p>
    <w:p>
      <w:pPr>
        <w:spacing w:line="360" w:lineRule="auto"/>
        <w:rPr>
          <w:rFonts w:ascii="宋体" w:hAnsi="宋体"/>
          <w:b/>
          <w:sz w:val="24"/>
        </w:rPr>
      </w:pPr>
      <w:r>
        <w:rPr>
          <w:rFonts w:hint="eastAsia" w:ascii="宋体" w:hAnsi="宋体"/>
          <w:b/>
          <w:sz w:val="24"/>
        </w:rPr>
        <w:t>4.投标费用</w:t>
      </w:r>
    </w:p>
    <w:p>
      <w:pPr>
        <w:spacing w:line="360" w:lineRule="auto"/>
        <w:ind w:firstLine="480" w:firstLineChars="200"/>
        <w:rPr>
          <w:rFonts w:ascii="宋体" w:hAnsi="宋体"/>
          <w:sz w:val="24"/>
        </w:rPr>
      </w:pPr>
      <w:r>
        <w:rPr>
          <w:rFonts w:hint="eastAsia" w:ascii="宋体" w:hAnsi="宋体"/>
          <w:sz w:val="24"/>
        </w:rPr>
        <w:t>4.1投标人应承担所有与准备和参加投标有关的费用，采购代理机构在任何情况下均无义务和责任承担此费用。</w:t>
      </w:r>
    </w:p>
    <w:p>
      <w:pPr>
        <w:spacing w:line="360" w:lineRule="auto"/>
        <w:rPr>
          <w:rFonts w:ascii="宋体" w:hAnsi="宋体"/>
          <w:b/>
          <w:sz w:val="24"/>
        </w:rPr>
      </w:pPr>
      <w:r>
        <w:rPr>
          <w:rFonts w:hint="eastAsia" w:ascii="宋体" w:hAnsi="宋体"/>
          <w:b/>
          <w:sz w:val="24"/>
        </w:rPr>
        <w:t>5.纪律</w:t>
      </w:r>
    </w:p>
    <w:p>
      <w:pPr>
        <w:spacing w:line="360" w:lineRule="auto"/>
        <w:ind w:firstLine="480" w:firstLineChars="200"/>
        <w:rPr>
          <w:rFonts w:ascii="宋体" w:hAnsi="宋体"/>
          <w:sz w:val="24"/>
        </w:rPr>
      </w:pPr>
      <w:r>
        <w:rPr>
          <w:rFonts w:hint="eastAsia" w:ascii="宋体" w:hAnsi="宋体"/>
          <w:sz w:val="24"/>
        </w:rPr>
        <w:t>5.1投标人的投标行为应遵守中国的有关法律、法规和规章。</w:t>
      </w:r>
    </w:p>
    <w:p>
      <w:pPr>
        <w:spacing w:line="360" w:lineRule="auto"/>
        <w:ind w:firstLine="480" w:firstLineChars="200"/>
        <w:rPr>
          <w:rFonts w:ascii="宋体" w:hAnsi="宋体"/>
          <w:sz w:val="24"/>
        </w:rPr>
      </w:pPr>
      <w:r>
        <w:rPr>
          <w:rFonts w:hint="eastAsia" w:ascii="宋体" w:hAnsi="宋体"/>
          <w:sz w:val="24"/>
        </w:rPr>
        <w:t>5.2投标人不得相互串通投标报价，不得妨碍其他投标人的公平竞争，不得损害采购人或其他投标人的合法权益，投标人不得以向采购人、评标委员会成员行贿或者采取其他不正当手段谋取中标。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sz w:val="24"/>
        </w:rPr>
      </w:pPr>
      <w:r>
        <w:rPr>
          <w:rFonts w:hint="eastAsia" w:ascii="宋体" w:hAnsi="宋体"/>
          <w:sz w:val="24"/>
        </w:rPr>
        <w:t>5.2.1有下列情形之一的，属于投标人相互串通投标：</w:t>
      </w:r>
    </w:p>
    <w:p>
      <w:pPr>
        <w:spacing w:line="360" w:lineRule="auto"/>
        <w:ind w:firstLine="480" w:firstLineChars="200"/>
        <w:rPr>
          <w:rFonts w:ascii="宋体" w:hAnsi="宋体"/>
          <w:sz w:val="24"/>
        </w:rPr>
      </w:pPr>
      <w:r>
        <w:rPr>
          <w:rFonts w:hint="eastAsia" w:ascii="宋体" w:hAnsi="宋体"/>
          <w:sz w:val="24"/>
        </w:rPr>
        <w:t>1）投标人之间协商报价、技术方案等投标文件的实质性内容；</w:t>
      </w:r>
    </w:p>
    <w:p>
      <w:pPr>
        <w:spacing w:line="360" w:lineRule="auto"/>
        <w:ind w:firstLine="480" w:firstLineChars="200"/>
        <w:rPr>
          <w:rFonts w:ascii="宋体" w:hAnsi="宋体"/>
          <w:sz w:val="24"/>
        </w:rPr>
      </w:pPr>
      <w:r>
        <w:rPr>
          <w:rFonts w:hint="eastAsia" w:ascii="宋体" w:hAnsi="宋体"/>
          <w:sz w:val="24"/>
        </w:rPr>
        <w:t>2）投标人之间事先约定由某一特定投标人中标；</w:t>
      </w:r>
    </w:p>
    <w:p>
      <w:pPr>
        <w:spacing w:line="360" w:lineRule="auto"/>
        <w:ind w:firstLine="480" w:firstLineChars="200"/>
        <w:rPr>
          <w:rFonts w:ascii="宋体" w:hAnsi="宋体"/>
          <w:sz w:val="24"/>
        </w:rPr>
      </w:pPr>
      <w:r>
        <w:rPr>
          <w:rFonts w:hint="eastAsia" w:ascii="宋体" w:hAnsi="宋体"/>
          <w:sz w:val="24"/>
        </w:rPr>
        <w:t>3）投标人之间商定部分投标人放弃参加政府采购活动或者放弃中标；</w:t>
      </w:r>
    </w:p>
    <w:p>
      <w:pPr>
        <w:spacing w:line="360" w:lineRule="auto"/>
        <w:ind w:firstLine="480" w:firstLineChars="200"/>
        <w:rPr>
          <w:rFonts w:ascii="宋体" w:hAnsi="宋体"/>
          <w:sz w:val="24"/>
        </w:rPr>
      </w:pPr>
      <w:r>
        <w:rPr>
          <w:rFonts w:hint="eastAsia" w:ascii="宋体" w:hAnsi="宋体"/>
          <w:sz w:val="24"/>
        </w:rPr>
        <w:t>4）属于同一集团、协会、商会等组织成员的投标人按照该组织要求协同投标；</w:t>
      </w:r>
    </w:p>
    <w:p>
      <w:pPr>
        <w:spacing w:line="360" w:lineRule="auto"/>
        <w:ind w:firstLine="480" w:firstLineChars="200"/>
        <w:rPr>
          <w:rFonts w:ascii="宋体" w:hAnsi="宋体"/>
          <w:sz w:val="24"/>
        </w:rPr>
      </w:pPr>
      <w:r>
        <w:rPr>
          <w:rFonts w:hint="eastAsia" w:ascii="宋体" w:hAnsi="宋体"/>
          <w:sz w:val="24"/>
        </w:rPr>
        <w:t>5）投标人之间为谋求特定投标人中标或者排斥其他投标人的其他串通行为。</w:t>
      </w:r>
    </w:p>
    <w:p>
      <w:pPr>
        <w:spacing w:line="360" w:lineRule="auto"/>
        <w:ind w:firstLine="480" w:firstLineChars="200"/>
        <w:rPr>
          <w:rFonts w:ascii="宋体" w:hAnsi="宋体"/>
          <w:sz w:val="24"/>
        </w:rPr>
      </w:pPr>
      <w:r>
        <w:rPr>
          <w:rFonts w:hint="eastAsia" w:ascii="宋体" w:hAnsi="宋体"/>
          <w:sz w:val="24"/>
        </w:rPr>
        <w:t>5.2.2 有下列情形之一的，视为投标人相互串通投标：</w:t>
      </w:r>
    </w:p>
    <w:p>
      <w:pPr>
        <w:spacing w:line="360" w:lineRule="auto"/>
        <w:ind w:firstLine="480" w:firstLineChars="200"/>
        <w:rPr>
          <w:rFonts w:ascii="宋体" w:hAnsi="宋体"/>
          <w:sz w:val="24"/>
        </w:rPr>
      </w:pPr>
      <w:r>
        <w:rPr>
          <w:rFonts w:hint="eastAsia" w:ascii="宋体" w:hAnsi="宋体"/>
          <w:sz w:val="24"/>
        </w:rPr>
        <w:t>1）不同投标人的投标文件由同一单位或者个人编制，或制作电子投标文件的文件制作机器码（mac地址）一致，或制作电子投标文件的文件创建标识码一致；</w:t>
      </w:r>
    </w:p>
    <w:p>
      <w:pPr>
        <w:spacing w:line="360" w:lineRule="auto"/>
        <w:ind w:firstLine="480" w:firstLineChars="200"/>
        <w:rPr>
          <w:rFonts w:ascii="宋体" w:hAnsi="宋体"/>
          <w:sz w:val="24"/>
        </w:rPr>
      </w:pPr>
      <w:r>
        <w:rPr>
          <w:rFonts w:hint="eastAsia" w:ascii="宋体" w:hAnsi="宋体"/>
          <w:sz w:val="24"/>
        </w:rPr>
        <w:t>2）不同投标人委托同一单位或者个人办理投标事宜；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3）不同投标人的投标文件载明的项目管理成员为同一人；</w:t>
      </w:r>
    </w:p>
    <w:p>
      <w:pPr>
        <w:spacing w:line="360" w:lineRule="auto"/>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5）不同投标人的投标文件相互混装；</w:t>
      </w:r>
    </w:p>
    <w:p>
      <w:pPr>
        <w:spacing w:line="360" w:lineRule="auto"/>
        <w:ind w:firstLine="480" w:firstLineChars="200"/>
        <w:rPr>
          <w:rFonts w:ascii="宋体" w:hAnsi="宋体"/>
          <w:kern w:val="0"/>
          <w:sz w:val="24"/>
        </w:rPr>
      </w:pPr>
      <w:r>
        <w:rPr>
          <w:rFonts w:hint="eastAsia" w:ascii="宋体" w:hAnsi="宋体"/>
          <w:sz w:val="24"/>
        </w:rPr>
        <w:t>6）不同投标人的投标保证金从同一单位或者个人的账户转出，或不同投标人生成</w:t>
      </w:r>
      <w:r>
        <w:rPr>
          <w:rFonts w:hint="eastAsia" w:ascii="宋体" w:hAnsi="宋体"/>
          <w:kern w:val="0"/>
          <w:sz w:val="24"/>
        </w:rPr>
        <w:t>的投标保证金账号不同（账号未生成视为账号不同）但投标保证金交纳至同一个投标保证金账号的。</w:t>
      </w:r>
    </w:p>
    <w:p>
      <w:pPr>
        <w:pStyle w:val="4"/>
        <w:numPr>
          <w:ilvl w:val="0"/>
          <w:numId w:val="0"/>
        </w:numPr>
        <w:ind w:left="240"/>
        <w:rPr>
          <w:rFonts w:ascii="宋体" w:hAnsi="宋体"/>
          <w:b w:val="0"/>
          <w:sz w:val="24"/>
        </w:rPr>
      </w:pPr>
      <w:bookmarkStart w:id="10" w:name="_Toc18590"/>
      <w:bookmarkStart w:id="11" w:name="_Toc33194703"/>
      <w:bookmarkStart w:id="12" w:name="_Toc33212757"/>
      <w:r>
        <w:rPr>
          <w:rFonts w:hint="eastAsia" w:ascii="宋体" w:hAnsi="宋体"/>
          <w:b w:val="0"/>
          <w:sz w:val="24"/>
        </w:rPr>
        <w:t>二、招标文件</w:t>
      </w:r>
      <w:bookmarkEnd w:id="10"/>
      <w:bookmarkEnd w:id="11"/>
      <w:bookmarkEnd w:id="12"/>
    </w:p>
    <w:p>
      <w:pPr>
        <w:spacing w:line="360" w:lineRule="auto"/>
        <w:rPr>
          <w:rFonts w:ascii="宋体" w:hAnsi="宋体"/>
          <w:b/>
          <w:sz w:val="24"/>
        </w:rPr>
      </w:pPr>
      <w:r>
        <w:rPr>
          <w:rFonts w:hint="eastAsia" w:ascii="宋体" w:hAnsi="宋体"/>
          <w:b/>
          <w:sz w:val="24"/>
        </w:rPr>
        <w:t>6.招标文件组成</w:t>
      </w:r>
    </w:p>
    <w:p>
      <w:pPr>
        <w:spacing w:line="360" w:lineRule="auto"/>
        <w:ind w:firstLine="480" w:firstLineChars="200"/>
        <w:rPr>
          <w:rFonts w:ascii="宋体" w:hAnsi="宋体"/>
          <w:sz w:val="24"/>
        </w:rPr>
      </w:pPr>
      <w:r>
        <w:rPr>
          <w:rFonts w:hint="eastAsia" w:ascii="宋体" w:hAnsi="宋体"/>
          <w:sz w:val="24"/>
        </w:rPr>
        <w:t>6.1招标文件由招标文件目录所列内容组成。</w:t>
      </w:r>
    </w:p>
    <w:p>
      <w:pPr>
        <w:spacing w:line="360" w:lineRule="auto"/>
        <w:rPr>
          <w:rFonts w:ascii="宋体" w:hAnsi="宋体"/>
          <w:b/>
          <w:sz w:val="24"/>
        </w:rPr>
      </w:pPr>
      <w:r>
        <w:rPr>
          <w:rFonts w:hint="eastAsia" w:ascii="宋体" w:hAnsi="宋体"/>
          <w:b/>
          <w:sz w:val="24"/>
        </w:rPr>
        <w:t>7.踏勘现场</w:t>
      </w:r>
    </w:p>
    <w:p>
      <w:pPr>
        <w:spacing w:line="360" w:lineRule="auto"/>
        <w:ind w:firstLine="480" w:firstLineChars="200"/>
        <w:rPr>
          <w:rFonts w:ascii="宋体" w:hAnsi="宋体"/>
          <w:sz w:val="24"/>
        </w:rPr>
      </w:pPr>
      <w:r>
        <w:rPr>
          <w:rFonts w:hint="eastAsia" w:ascii="宋体" w:hAnsi="宋体"/>
          <w:sz w:val="24"/>
        </w:rPr>
        <w:t>7.1本项目是否统一组织投标人踏勘现场见招标文件第二部分“投标人须知前附表”中的规定。</w:t>
      </w:r>
    </w:p>
    <w:p>
      <w:pPr>
        <w:spacing w:line="360" w:lineRule="auto"/>
        <w:ind w:firstLine="480" w:firstLineChars="200"/>
        <w:rPr>
          <w:rFonts w:ascii="宋体" w:hAnsi="宋体"/>
          <w:sz w:val="24"/>
        </w:rPr>
      </w:pPr>
      <w:r>
        <w:rPr>
          <w:rFonts w:hint="eastAsia" w:ascii="宋体" w:hAnsi="宋体"/>
          <w:sz w:val="24"/>
        </w:rPr>
        <w:t>7.2踏勘现场所发生的费用由投标人自行承担。除采购人原因外，投标人自行负责在踏勘现场中所发生的人员伤亡和财产损失。</w:t>
      </w:r>
    </w:p>
    <w:p>
      <w:pPr>
        <w:spacing w:line="360" w:lineRule="auto"/>
        <w:ind w:firstLine="480" w:firstLineChars="200"/>
        <w:rPr>
          <w:rFonts w:ascii="宋体" w:hAnsi="宋体"/>
          <w:sz w:val="24"/>
        </w:rPr>
      </w:pPr>
      <w:r>
        <w:rPr>
          <w:rFonts w:hint="eastAsia" w:ascii="宋体" w:hAnsi="宋体"/>
          <w:sz w:val="24"/>
        </w:rPr>
        <w:t>7.3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rPr>
          <w:rFonts w:ascii="宋体" w:hAnsi="宋体"/>
          <w:bCs/>
          <w:sz w:val="24"/>
        </w:rPr>
      </w:pPr>
      <w:r>
        <w:rPr>
          <w:rFonts w:hint="eastAsia" w:ascii="宋体" w:hAnsi="宋体"/>
          <w:b/>
          <w:sz w:val="24"/>
        </w:rPr>
        <w:t>8.知识产权</w:t>
      </w:r>
    </w:p>
    <w:p>
      <w:pPr>
        <w:spacing w:line="360" w:lineRule="auto"/>
        <w:ind w:firstLine="549"/>
        <w:rPr>
          <w:rFonts w:ascii="宋体" w:hAnsi="宋体"/>
          <w:sz w:val="24"/>
        </w:rPr>
      </w:pPr>
      <w:r>
        <w:rPr>
          <w:rFonts w:hint="eastAsia" w:ascii="宋体" w:hAnsi="宋体"/>
          <w:sz w:val="24"/>
        </w:rPr>
        <w:t>8.1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549"/>
        <w:rPr>
          <w:rFonts w:ascii="宋体" w:hAnsi="宋体"/>
          <w:sz w:val="24"/>
        </w:rPr>
      </w:pPr>
      <w:r>
        <w:rPr>
          <w:rFonts w:hint="eastAsia" w:ascii="宋体" w:hAnsi="宋体"/>
          <w:sz w:val="24"/>
        </w:rPr>
        <w:t>8.2投标人如欲在项目实施过程中采用自有知识成果，须在投标文件中声明，并提供相关知识产权证明文件。使用该知识成果后，投标人须提供开发接口和开发手册等技术文档。</w:t>
      </w:r>
    </w:p>
    <w:p>
      <w:pPr>
        <w:spacing w:line="360" w:lineRule="auto"/>
        <w:rPr>
          <w:rFonts w:ascii="宋体" w:hAnsi="宋体"/>
          <w:b/>
          <w:sz w:val="24"/>
        </w:rPr>
      </w:pPr>
      <w:r>
        <w:rPr>
          <w:rFonts w:hint="eastAsia" w:ascii="宋体" w:hAnsi="宋体"/>
          <w:b/>
          <w:sz w:val="24"/>
        </w:rPr>
        <w:t>9.答疑及招标文件的澄清和修改</w:t>
      </w:r>
    </w:p>
    <w:p>
      <w:pPr>
        <w:spacing w:line="360" w:lineRule="auto"/>
        <w:ind w:firstLine="480" w:firstLineChars="200"/>
        <w:rPr>
          <w:rFonts w:ascii="宋体" w:hAnsi="宋体"/>
          <w:sz w:val="24"/>
        </w:rPr>
      </w:pPr>
      <w:r>
        <w:rPr>
          <w:rFonts w:hint="eastAsia" w:ascii="宋体" w:hAnsi="宋体"/>
          <w:sz w:val="24"/>
        </w:rPr>
        <w:t>9.1投标人如果对招标文件有疑问或要求进行澄清的，应按照招标文件第二部分“投标人须知前附表”第12项规定向采购代理机构提出。必要时，采购代理机构将组织相关专家召开答疑会，如召开，答疑会安排另行通知。</w:t>
      </w:r>
    </w:p>
    <w:p>
      <w:pPr>
        <w:spacing w:line="360" w:lineRule="auto"/>
        <w:ind w:firstLine="480" w:firstLineChars="200"/>
        <w:rPr>
          <w:rFonts w:ascii="宋体" w:hAnsi="宋体"/>
          <w:sz w:val="24"/>
        </w:rPr>
      </w:pPr>
      <w:r>
        <w:rPr>
          <w:rFonts w:hint="eastAsia" w:ascii="宋体" w:hAnsi="宋体"/>
          <w:sz w:val="24"/>
        </w:rPr>
        <w:t>投标人在规定的时间内未对招标文件提出疑问或要求澄清的，采购代理机构将视其</w:t>
      </w:r>
      <w:r>
        <w:rPr>
          <w:rFonts w:hint="eastAsia" w:ascii="宋体" w:hAnsi="宋体"/>
          <w:sz w:val="24"/>
          <w:szCs w:val="28"/>
        </w:rPr>
        <w:t>理解和接受</w:t>
      </w:r>
      <w:r>
        <w:rPr>
          <w:rFonts w:hint="eastAsia" w:ascii="宋体" w:hAnsi="宋体"/>
          <w:sz w:val="24"/>
        </w:rPr>
        <w:t>，对在“答疑接受时间”后就招标文件内容提出的疑问及澄清要求将不予受理。</w:t>
      </w:r>
    </w:p>
    <w:p>
      <w:pPr>
        <w:spacing w:line="360" w:lineRule="auto"/>
        <w:ind w:firstLine="480" w:firstLineChars="200"/>
        <w:rPr>
          <w:rFonts w:ascii="宋体" w:hAnsi="宋体"/>
          <w:sz w:val="24"/>
        </w:rPr>
      </w:pPr>
      <w:r>
        <w:rPr>
          <w:rFonts w:hint="eastAsia" w:ascii="宋体" w:hAnsi="宋体"/>
          <w:sz w:val="24"/>
        </w:rPr>
        <w:t>9.2无论出于何种原因，采购代理机构主动或出于解答投标人疑问对已发出的招标文件进行必要澄清或修改的，如果澄清或修改的内容可能影响投标文件编制，采购代理机构应当在投标截止时间至少15日前，通知所有获取招标文件的潜在投标人；不足15日的，采购代理机构应当顺延提交投标文件的截止时间，并就变更后的投标截止时间发出通知。</w:t>
      </w:r>
    </w:p>
    <w:p>
      <w:pPr>
        <w:spacing w:line="360" w:lineRule="auto"/>
        <w:ind w:firstLine="480" w:firstLineChars="200"/>
        <w:rPr>
          <w:rFonts w:ascii="宋体" w:hAnsi="宋体"/>
          <w:sz w:val="24"/>
        </w:rPr>
      </w:pPr>
      <w:r>
        <w:rPr>
          <w:rFonts w:hint="eastAsia" w:ascii="宋体" w:hAnsi="宋体"/>
          <w:sz w:val="24"/>
        </w:rPr>
        <w:t>9.3采购代理机构一旦对招标文件作出了澄清或修改，即刻发生效力，并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2" w:firstLineChars="200"/>
        <w:rPr>
          <w:rFonts w:ascii="宋体" w:hAnsi="宋体"/>
          <w:b/>
          <w:sz w:val="24"/>
        </w:rPr>
      </w:pPr>
      <w:r>
        <w:rPr>
          <w:rFonts w:hint="eastAsia" w:ascii="宋体" w:hAnsi="宋体"/>
          <w:b/>
          <w:sz w:val="24"/>
        </w:rPr>
        <w:t>9.4采购代理机构对招标文件作出的澄清或修改将向投标人进行通知，请投标人及时关注并获取相关资料。当招标文件的澄清或修改及其他通知等就同一内容的表述不一致时，以最后发布的内容为准。</w:t>
      </w:r>
    </w:p>
    <w:p>
      <w:pPr>
        <w:pStyle w:val="4"/>
        <w:numPr>
          <w:ilvl w:val="0"/>
          <w:numId w:val="0"/>
        </w:numPr>
        <w:ind w:left="240"/>
        <w:rPr>
          <w:rFonts w:ascii="宋体" w:hAnsi="宋体"/>
          <w:b w:val="0"/>
          <w:sz w:val="24"/>
        </w:rPr>
      </w:pPr>
      <w:bookmarkStart w:id="13" w:name="_Toc33212758"/>
      <w:bookmarkStart w:id="14" w:name="_Toc33194704"/>
      <w:bookmarkStart w:id="15" w:name="_Toc13060"/>
      <w:r>
        <w:rPr>
          <w:rFonts w:hint="eastAsia" w:ascii="宋体" w:hAnsi="宋体"/>
          <w:b w:val="0"/>
          <w:sz w:val="24"/>
        </w:rPr>
        <w:t>三、投标文件</w:t>
      </w:r>
      <w:bookmarkEnd w:id="13"/>
      <w:bookmarkEnd w:id="14"/>
      <w:bookmarkEnd w:id="15"/>
    </w:p>
    <w:p>
      <w:pPr>
        <w:spacing w:line="360" w:lineRule="auto"/>
        <w:rPr>
          <w:rFonts w:ascii="宋体" w:hAnsi="宋体"/>
          <w:b/>
          <w:sz w:val="24"/>
        </w:rPr>
      </w:pPr>
      <w:r>
        <w:rPr>
          <w:rFonts w:hint="eastAsia" w:ascii="宋体" w:hAnsi="宋体"/>
          <w:b/>
          <w:sz w:val="24"/>
        </w:rPr>
        <w:t>11.投标文件的语言及计量单位</w:t>
      </w:r>
    </w:p>
    <w:p>
      <w:pPr>
        <w:spacing w:line="360" w:lineRule="auto"/>
        <w:ind w:firstLine="480" w:firstLineChars="200"/>
        <w:rPr>
          <w:rFonts w:ascii="宋体" w:hAnsi="宋体"/>
          <w:sz w:val="24"/>
        </w:rPr>
      </w:pPr>
      <w:r>
        <w:rPr>
          <w:rFonts w:hint="eastAsia" w:ascii="宋体" w:hAnsi="宋体"/>
          <w:sz w:val="24"/>
        </w:rPr>
        <w:t>11.1投标人提交的投标文件（包括技术文件和资料、图纸中的说明）以及投标人与采购代理机构就有关投标的所有来往函电均应使用中文简体字。原版为外文的证书类文件，以及由外国人作出的本人签名、外国公司的名称或外国印章等可以是外文。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360" w:lineRule="auto"/>
        <w:ind w:firstLine="480" w:firstLineChars="200"/>
        <w:rPr>
          <w:rFonts w:ascii="宋体" w:hAnsi="宋体"/>
          <w:sz w:val="24"/>
        </w:rPr>
      </w:pPr>
      <w:r>
        <w:rPr>
          <w:rFonts w:hint="eastAsia" w:ascii="宋体" w:hAnsi="宋体"/>
          <w:sz w:val="24"/>
        </w:rPr>
        <w:t>11.2除非招标文件另有规定，投标文件所使用的计量单位，应使用国家法定计量单位。</w:t>
      </w:r>
    </w:p>
    <w:p>
      <w:pPr>
        <w:spacing w:line="360" w:lineRule="auto"/>
        <w:ind w:firstLine="480" w:firstLineChars="200"/>
        <w:rPr>
          <w:rFonts w:ascii="宋体" w:hAnsi="宋体"/>
          <w:sz w:val="24"/>
        </w:rPr>
      </w:pPr>
      <w:r>
        <w:rPr>
          <w:rFonts w:hint="eastAsia" w:ascii="宋体" w:hAnsi="宋体"/>
          <w:sz w:val="24"/>
        </w:rPr>
        <w:t>11.3对违反上述规定情形的，评标委员会有权要求投标人限期提供相应文件或决定对其投标予以拒绝。</w:t>
      </w:r>
    </w:p>
    <w:p>
      <w:pPr>
        <w:spacing w:line="360" w:lineRule="auto"/>
        <w:rPr>
          <w:rFonts w:ascii="宋体" w:hAnsi="宋体"/>
          <w:b/>
          <w:sz w:val="24"/>
        </w:rPr>
      </w:pPr>
      <w:r>
        <w:rPr>
          <w:rFonts w:hint="eastAsia" w:ascii="宋体" w:hAnsi="宋体"/>
          <w:b/>
          <w:sz w:val="24"/>
        </w:rPr>
        <w:t>12.投标文件组成及编制</w:t>
      </w:r>
    </w:p>
    <w:p>
      <w:pPr>
        <w:spacing w:line="360" w:lineRule="auto"/>
        <w:rPr>
          <w:rFonts w:ascii="宋体" w:hAnsi="宋体"/>
          <w:sz w:val="24"/>
        </w:rPr>
      </w:pPr>
      <w:r>
        <w:rPr>
          <w:rFonts w:hint="eastAsia" w:ascii="宋体" w:hAnsi="宋体"/>
          <w:sz w:val="24"/>
        </w:rPr>
        <w:t xml:space="preserve">    12.1本次招标，投标人须按照招标文件第二部分“投标人须知前附表”中第7项规定内容组织投标文件。</w:t>
      </w:r>
    </w:p>
    <w:p>
      <w:pPr>
        <w:spacing w:line="360" w:lineRule="auto"/>
        <w:ind w:firstLine="480"/>
        <w:rPr>
          <w:rFonts w:ascii="宋体" w:hAnsi="宋体"/>
          <w:sz w:val="24"/>
        </w:rPr>
      </w:pPr>
      <w:r>
        <w:rPr>
          <w:rFonts w:hint="eastAsia" w:ascii="宋体" w:hAnsi="宋体"/>
          <w:sz w:val="24"/>
        </w:rPr>
        <w:t>12.2投标人递交投标文件及相关要求按照招标文件第二部分“投标人须知前附表”中第14、15项的规定。</w:t>
      </w: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13.投标报价</w:t>
      </w:r>
    </w:p>
    <w:p>
      <w:pPr>
        <w:spacing w:line="360" w:lineRule="auto"/>
        <w:ind w:firstLine="480" w:firstLineChars="200"/>
        <w:rPr>
          <w:rFonts w:ascii="宋体" w:hAnsi="宋体"/>
          <w:sz w:val="24"/>
        </w:rPr>
      </w:pPr>
      <w:r>
        <w:rPr>
          <w:rFonts w:hint="eastAsia" w:ascii="宋体" w:hAnsi="宋体"/>
          <w:sz w:val="24"/>
        </w:rPr>
        <w:t>13.1除非招标文件另有规定，所有投标报价均以人民币元为计算单位。只要投报了一个确定数额的总价，无论分项价格是否全部填报了相应的金额或免费字样，报价应被视为已经包含了完成本项目</w:t>
      </w:r>
      <w:r>
        <w:rPr>
          <w:rFonts w:hint="eastAsia" w:ascii="宋体" w:hAnsi="宋体"/>
          <w:sz w:val="24"/>
          <w:szCs w:val="28"/>
        </w:rPr>
        <w:t>并通过验收</w:t>
      </w:r>
      <w:r>
        <w:rPr>
          <w:rFonts w:hint="eastAsia" w:ascii="宋体" w:hAnsi="宋体"/>
          <w:sz w:val="24"/>
        </w:rPr>
        <w:t>的所有费用和所需缴纳的所有税、费。在其他情况下，由于分项报价填报不完整、不清楚或存在其他任何失误，所导致的任何不利后果均应当由投标人自行承担。</w:t>
      </w:r>
    </w:p>
    <w:p>
      <w:pPr>
        <w:spacing w:line="360" w:lineRule="auto"/>
        <w:ind w:firstLine="480" w:firstLineChars="200"/>
        <w:rPr>
          <w:rFonts w:ascii="宋体" w:hAnsi="宋体"/>
          <w:b/>
          <w:sz w:val="24"/>
        </w:rPr>
      </w:pPr>
      <w:r>
        <w:rPr>
          <w:rFonts w:hint="eastAsia" w:ascii="宋体" w:hAnsi="宋体"/>
          <w:sz w:val="24"/>
        </w:rPr>
        <w:t>13.2除非招标文件另有规定，</w:t>
      </w:r>
      <w:r>
        <w:rPr>
          <w:rFonts w:hint="eastAsia" w:ascii="宋体" w:hAnsi="宋体"/>
          <w:b/>
          <w:sz w:val="24"/>
        </w:rPr>
        <w:t>不接受可选择或可调整的投标方案和报价，任何有选择的或可调整的投标方案和报价将被视为非响应性投标而被拒绝。</w:t>
      </w:r>
    </w:p>
    <w:p>
      <w:pPr>
        <w:spacing w:line="360" w:lineRule="auto"/>
        <w:ind w:firstLine="480" w:firstLineChars="200"/>
        <w:rPr>
          <w:rFonts w:ascii="宋体" w:hAnsi="宋体"/>
          <w:sz w:val="24"/>
        </w:rPr>
      </w:pPr>
      <w:r>
        <w:rPr>
          <w:rFonts w:hint="eastAsia" w:ascii="宋体" w:hAnsi="宋体"/>
          <w:sz w:val="24"/>
        </w:rPr>
        <w:t>13.3本项目是否接受进口产品按照招标文件第二部分“投标人须知前附表中”中的规定。</w:t>
      </w:r>
    </w:p>
    <w:p>
      <w:pPr>
        <w:spacing w:line="360" w:lineRule="auto"/>
        <w:ind w:firstLine="480" w:firstLineChars="200"/>
        <w:rPr>
          <w:rFonts w:ascii="宋体" w:hAnsi="宋体"/>
          <w:sz w:val="24"/>
        </w:rPr>
      </w:pPr>
      <w:r>
        <w:rPr>
          <w:rFonts w:hint="eastAsia" w:ascii="宋体" w:hAnsi="宋体"/>
          <w:sz w:val="24"/>
        </w:rPr>
        <w:t>13.4本项目是否允许投标人将项目的非主体、非关键性工作交由他人完成按照招标文件第二部分“投标人须知前附表”中项的规定。如允许，投标人根据采购项目的实际情况，拟在中标后将中标项目的非主体、非关键性工作交由他人完成，须在技术文件中载明。</w:t>
      </w:r>
    </w:p>
    <w:p>
      <w:pPr>
        <w:spacing w:line="360" w:lineRule="auto"/>
        <w:ind w:firstLine="480" w:firstLineChars="200"/>
        <w:rPr>
          <w:rFonts w:ascii="宋体" w:hAnsi="宋体"/>
          <w:sz w:val="24"/>
        </w:rPr>
      </w:pPr>
      <w:r>
        <w:rPr>
          <w:rFonts w:hint="eastAsia" w:ascii="宋体" w:hAnsi="宋体"/>
          <w:sz w:val="24"/>
        </w:rPr>
        <w:t>13.5投标人对投标报价若有说明应在投标文件中显著处注明。</w:t>
      </w:r>
    </w:p>
    <w:p>
      <w:pPr>
        <w:spacing w:line="360" w:lineRule="auto"/>
        <w:ind w:firstLine="480" w:firstLineChars="200"/>
        <w:rPr>
          <w:rFonts w:ascii="宋体" w:hAnsi="宋体"/>
          <w:sz w:val="24"/>
        </w:rPr>
      </w:pPr>
      <w:r>
        <w:rPr>
          <w:rFonts w:hint="eastAsia" w:ascii="宋体" w:hAnsi="宋体"/>
          <w:sz w:val="24"/>
        </w:rPr>
        <w:t>除政策性文件规定以外，投标人所报价格在合同实施期间不因市场变化因素而变动。</w:t>
      </w:r>
    </w:p>
    <w:p>
      <w:pPr>
        <w:spacing w:line="360" w:lineRule="auto"/>
        <w:ind w:firstLine="480" w:firstLineChars="200"/>
        <w:rPr>
          <w:rFonts w:ascii="宋体" w:hAnsi="宋体"/>
          <w:sz w:val="24"/>
        </w:rPr>
      </w:pPr>
      <w:r>
        <w:rPr>
          <w:rFonts w:hint="eastAsia" w:ascii="宋体" w:hAnsi="宋体"/>
          <w:sz w:val="24"/>
        </w:rPr>
        <w:t>13.6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pacing w:line="360" w:lineRule="auto"/>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14.1本项目的投标有效期按照招标文件第二部分“投标人须知前附表中”中第13项的规定。投标有效期自开标之日起计算，</w:t>
      </w:r>
      <w:r>
        <w:rPr>
          <w:rFonts w:hint="eastAsia" w:ascii="宋体" w:hAnsi="宋体"/>
          <w:b/>
          <w:sz w:val="24"/>
        </w:rPr>
        <w:t>短于规定期限的投标将按无效投标处理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ascii="宋体" w:hAnsi="宋体"/>
          <w:b/>
          <w:sz w:val="24"/>
        </w:rPr>
      </w:pPr>
      <w:r>
        <w:rPr>
          <w:rFonts w:hint="eastAsia" w:ascii="宋体" w:hAnsi="宋体"/>
          <w:b/>
          <w:sz w:val="24"/>
        </w:rPr>
        <w:t>15.投标内容填写说明</w:t>
      </w:r>
    </w:p>
    <w:p>
      <w:pPr>
        <w:spacing w:line="360" w:lineRule="auto"/>
        <w:ind w:firstLine="480" w:firstLineChars="200"/>
        <w:rPr>
          <w:rFonts w:ascii="宋体" w:hAnsi="宋体"/>
          <w:sz w:val="24"/>
        </w:rPr>
      </w:pPr>
      <w:r>
        <w:rPr>
          <w:rFonts w:hint="eastAsia" w:ascii="宋体" w:hAnsi="宋体"/>
          <w:sz w:val="24"/>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0" w:firstLineChars="200"/>
        <w:rPr>
          <w:rFonts w:ascii="宋体" w:hAnsi="宋体"/>
          <w:sz w:val="24"/>
        </w:rPr>
      </w:pPr>
      <w:r>
        <w:rPr>
          <w:rFonts w:hint="eastAsia" w:ascii="宋体" w:hAnsi="宋体"/>
          <w:sz w:val="24"/>
        </w:rPr>
        <w:t>15.2投标文件须严格按照招标文件第七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p>
    <w:p>
      <w:pPr>
        <w:spacing w:line="360" w:lineRule="auto"/>
        <w:ind w:firstLine="480" w:firstLineChars="200"/>
        <w:rPr>
          <w:rFonts w:ascii="宋体" w:hAnsi="宋体"/>
          <w:sz w:val="24"/>
        </w:rPr>
      </w:pPr>
      <w:r>
        <w:rPr>
          <w:rFonts w:hint="eastAsia" w:ascii="宋体" w:hAnsi="宋体"/>
          <w:sz w:val="24"/>
        </w:rPr>
        <w:t>15.3开标一览表为在开标仪式上唱标的内容，要求按格式统一填写，不得自行增减内容。</w:t>
      </w:r>
    </w:p>
    <w:p>
      <w:pPr>
        <w:spacing w:line="360" w:lineRule="auto"/>
        <w:ind w:firstLine="480" w:firstLineChars="200"/>
        <w:rPr>
          <w:rFonts w:ascii="宋体" w:hAnsi="宋体"/>
          <w:sz w:val="24"/>
        </w:rPr>
      </w:pPr>
      <w:r>
        <w:rPr>
          <w:rFonts w:hint="eastAsia" w:ascii="宋体" w:hAnsi="宋体"/>
          <w:sz w:val="24"/>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0" w:firstLineChars="200"/>
        <w:rPr>
          <w:rFonts w:ascii="宋体" w:hAnsi="宋体"/>
          <w:sz w:val="24"/>
        </w:rPr>
      </w:pPr>
      <w:r>
        <w:rPr>
          <w:rFonts w:hint="eastAsia" w:ascii="宋体" w:hAnsi="宋体"/>
          <w:sz w:val="24"/>
        </w:rPr>
        <w:t>15.5投标人必须保证投标文件所提供的全部资料真实可靠，并接受采购代理机构或评标委员会对其中任何资料进一步审查的要求。</w:t>
      </w:r>
    </w:p>
    <w:p>
      <w:pPr>
        <w:spacing w:line="360" w:lineRule="auto"/>
        <w:ind w:firstLine="480" w:firstLineChars="200"/>
        <w:rPr>
          <w:rFonts w:ascii="宋体" w:hAnsi="宋体"/>
          <w:sz w:val="24"/>
        </w:rPr>
      </w:pPr>
      <w:r>
        <w:rPr>
          <w:rFonts w:hint="eastAsia" w:ascii="宋体" w:hAnsi="宋体"/>
          <w:sz w:val="24"/>
        </w:rPr>
        <w:t>15.6</w:t>
      </w:r>
      <w:r>
        <w:rPr>
          <w:rFonts w:hint="eastAsia" w:ascii="宋体" w:hAnsi="宋体"/>
          <w:bCs/>
          <w:sz w:val="24"/>
        </w:rPr>
        <w:t xml:space="preserve">投标人在投标文件及相关文件的签订、履行、通知等事项的文件中的单位公章、印章、盖章等处均指与投标人全称相一致标准公章，不得使用其他形式（如带有“专用章”等字样的印章）。投标文件应由法定代表人或其唯一授权代理人逐页签章并加盖公章。不符合本条规定的按无效投标处理。  </w:t>
      </w:r>
    </w:p>
    <w:p>
      <w:pPr>
        <w:pStyle w:val="4"/>
        <w:numPr>
          <w:ilvl w:val="0"/>
          <w:numId w:val="0"/>
        </w:numPr>
        <w:ind w:left="240"/>
        <w:rPr>
          <w:rFonts w:ascii="宋体" w:hAnsi="宋体"/>
          <w:b w:val="0"/>
          <w:sz w:val="24"/>
        </w:rPr>
      </w:pPr>
      <w:bookmarkStart w:id="16" w:name="_Toc33212759"/>
      <w:bookmarkStart w:id="17" w:name="_Toc11569"/>
      <w:bookmarkStart w:id="18" w:name="_Toc33194705"/>
      <w:r>
        <w:rPr>
          <w:rFonts w:hint="eastAsia" w:ascii="宋体" w:hAnsi="宋体"/>
          <w:b w:val="0"/>
          <w:sz w:val="24"/>
        </w:rPr>
        <w:t>四、投标保证金</w:t>
      </w:r>
      <w:bookmarkEnd w:id="16"/>
      <w:bookmarkEnd w:id="17"/>
      <w:bookmarkEnd w:id="18"/>
    </w:p>
    <w:p>
      <w:pPr>
        <w:spacing w:line="360" w:lineRule="auto"/>
        <w:rPr>
          <w:rFonts w:ascii="宋体" w:hAnsi="宋体"/>
          <w:b/>
          <w:sz w:val="24"/>
        </w:rPr>
      </w:pPr>
      <w:r>
        <w:rPr>
          <w:rFonts w:hint="eastAsia" w:ascii="宋体" w:hAnsi="宋体"/>
          <w:b/>
          <w:sz w:val="24"/>
        </w:rPr>
        <w:t xml:space="preserve">16.投标保证金 </w:t>
      </w:r>
    </w:p>
    <w:p>
      <w:pPr>
        <w:spacing w:line="360" w:lineRule="auto"/>
        <w:ind w:firstLine="480" w:firstLineChars="200"/>
        <w:rPr>
          <w:rFonts w:ascii="宋体" w:hAnsi="宋体"/>
          <w:sz w:val="24"/>
        </w:rPr>
      </w:pPr>
      <w:r>
        <w:rPr>
          <w:rFonts w:hint="eastAsia" w:ascii="宋体" w:hAnsi="宋体"/>
          <w:sz w:val="24"/>
        </w:rPr>
        <w:t>16.1投标人必须按照招标文件第二部分“投标人须知前附表”中第16项的规定交纳投标保证金。投标保证金须于到账截止时间前到帐，并经收款方确认。收款方不接收以现金或汇票等其他形式递交的投标保证金。</w:t>
      </w:r>
    </w:p>
    <w:p>
      <w:pPr>
        <w:spacing w:line="360" w:lineRule="auto"/>
        <w:ind w:firstLine="480" w:firstLineChars="200"/>
        <w:rPr>
          <w:rFonts w:ascii="宋体" w:hAnsi="宋体"/>
          <w:sz w:val="24"/>
        </w:rPr>
      </w:pPr>
      <w:r>
        <w:rPr>
          <w:rFonts w:hint="eastAsia" w:ascii="宋体" w:hAnsi="宋体"/>
          <w:sz w:val="24"/>
        </w:rPr>
        <w:t>16.2未中标的投标人的投标保证金在中标通知书发出之日起5个工作日内退还；中标人的投标保证金将在交纳履约保证金并于合同生效后5个工作日内退还。</w:t>
      </w:r>
    </w:p>
    <w:p>
      <w:pPr>
        <w:spacing w:line="360" w:lineRule="auto"/>
        <w:ind w:firstLine="480" w:firstLineChars="200"/>
        <w:rPr>
          <w:rFonts w:ascii="宋体" w:hAnsi="宋体"/>
          <w:sz w:val="24"/>
        </w:rPr>
      </w:pPr>
      <w:r>
        <w:rPr>
          <w:rFonts w:hint="eastAsia" w:ascii="宋体" w:hAnsi="宋体"/>
          <w:sz w:val="24"/>
        </w:rPr>
        <w:t>16.3投标保证金退还一律采用网上银行转帐方式退还至投标人的汇款帐户，资金原路返回。</w:t>
      </w:r>
    </w:p>
    <w:p>
      <w:pPr>
        <w:spacing w:line="360" w:lineRule="auto"/>
        <w:ind w:firstLine="480" w:firstLineChars="200"/>
        <w:rPr>
          <w:rFonts w:ascii="宋体" w:hAnsi="宋体"/>
          <w:sz w:val="24"/>
        </w:rPr>
      </w:pPr>
      <w:r>
        <w:rPr>
          <w:rFonts w:hint="eastAsia" w:ascii="宋体" w:hAnsi="宋体"/>
          <w:sz w:val="24"/>
        </w:rPr>
        <w:t>以上资料须单独密封，于开标时当场提交。未按要求提交的，将影响投标人保证金退付且采购代理机构不承担任何责任。</w:t>
      </w:r>
    </w:p>
    <w:p>
      <w:pPr>
        <w:pStyle w:val="4"/>
        <w:numPr>
          <w:ilvl w:val="0"/>
          <w:numId w:val="0"/>
        </w:numPr>
        <w:ind w:left="240"/>
        <w:rPr>
          <w:rFonts w:ascii="宋体" w:hAnsi="宋体"/>
          <w:b w:val="0"/>
          <w:sz w:val="24"/>
        </w:rPr>
      </w:pPr>
      <w:bookmarkStart w:id="19" w:name="_Toc33212760"/>
      <w:bookmarkStart w:id="20" w:name="_Toc33194706"/>
      <w:bookmarkStart w:id="21" w:name="_Toc1403"/>
      <w:r>
        <w:rPr>
          <w:rFonts w:hint="eastAsia" w:ascii="宋体" w:hAnsi="宋体"/>
          <w:b w:val="0"/>
          <w:sz w:val="24"/>
        </w:rPr>
        <w:t>五、投标文件的递交</w:t>
      </w:r>
      <w:bookmarkEnd w:id="19"/>
      <w:bookmarkEnd w:id="20"/>
      <w:bookmarkEnd w:id="21"/>
    </w:p>
    <w:p>
      <w:pPr>
        <w:spacing w:line="360" w:lineRule="auto"/>
        <w:rPr>
          <w:rFonts w:ascii="宋体" w:hAnsi="宋体"/>
          <w:b/>
          <w:sz w:val="24"/>
        </w:rPr>
      </w:pPr>
      <w:r>
        <w:rPr>
          <w:rFonts w:hint="eastAsia" w:ascii="宋体" w:hAnsi="宋体"/>
          <w:b/>
          <w:sz w:val="24"/>
        </w:rPr>
        <w:t>17.投标文件的密封和标记</w:t>
      </w:r>
    </w:p>
    <w:p>
      <w:pPr>
        <w:spacing w:line="360" w:lineRule="auto"/>
        <w:ind w:firstLine="480" w:firstLineChars="200"/>
        <w:rPr>
          <w:rFonts w:ascii="宋体" w:hAnsi="宋体"/>
          <w:sz w:val="24"/>
        </w:rPr>
      </w:pPr>
      <w:r>
        <w:rPr>
          <w:rFonts w:hint="eastAsia" w:ascii="宋体" w:hAnsi="宋体"/>
          <w:sz w:val="24"/>
        </w:rPr>
        <w:t>17.1电子投标文件做好标示并封装在信封中。封口处加盖投标人公章，封皮上注明项目编号、项目名称、投标人名称，并注明“电子投标文件”字样。</w:t>
      </w:r>
    </w:p>
    <w:p>
      <w:pPr>
        <w:spacing w:line="360" w:lineRule="auto"/>
        <w:ind w:firstLine="480" w:firstLineChars="200"/>
        <w:rPr>
          <w:rFonts w:ascii="宋体" w:hAnsi="宋体"/>
          <w:sz w:val="24"/>
        </w:rPr>
      </w:pPr>
      <w:r>
        <w:rPr>
          <w:rFonts w:hint="eastAsia" w:ascii="宋体" w:hAnsi="宋体"/>
          <w:sz w:val="24"/>
        </w:rPr>
        <w:t>17.2如果投标人未按上述要求密封及加写标记，采购代理机构对投标文件的误投和提前启封概不负责。对由此造成提前开封的投标文件，采购代理机构有权予以拒绝，并退回投标人。</w:t>
      </w:r>
    </w:p>
    <w:p>
      <w:pPr>
        <w:spacing w:line="360" w:lineRule="auto"/>
        <w:ind w:firstLine="480" w:firstLineChars="200"/>
        <w:rPr>
          <w:rFonts w:ascii="宋体" w:hAnsi="宋体"/>
          <w:sz w:val="24"/>
        </w:rPr>
      </w:pPr>
      <w:r>
        <w:rPr>
          <w:rFonts w:hint="eastAsia" w:ascii="宋体" w:hAnsi="宋体"/>
          <w:sz w:val="24"/>
        </w:rPr>
        <w:t>17.3投标人投标所需资料原件以及认为有必要提交的其他材料应单独放于档案袋中并于投标截止时间前一并提交。未按招标文件要求提供资料原件及有关材料的，因此造成的不利后果由投标人自行承担。</w:t>
      </w:r>
    </w:p>
    <w:p>
      <w:pPr>
        <w:spacing w:line="360" w:lineRule="auto"/>
        <w:rPr>
          <w:rFonts w:ascii="宋体" w:hAnsi="宋体"/>
          <w:b/>
          <w:sz w:val="24"/>
        </w:rPr>
      </w:pPr>
      <w:r>
        <w:rPr>
          <w:rFonts w:hint="eastAsia" w:ascii="宋体" w:hAnsi="宋体"/>
          <w:b/>
          <w:sz w:val="24"/>
        </w:rPr>
        <w:t>18.投标文件的递交</w:t>
      </w:r>
    </w:p>
    <w:p>
      <w:pPr>
        <w:spacing w:line="360" w:lineRule="auto"/>
        <w:ind w:firstLine="480" w:firstLineChars="200"/>
        <w:rPr>
          <w:rFonts w:ascii="宋体" w:hAnsi="宋体"/>
          <w:sz w:val="24"/>
        </w:rPr>
      </w:pPr>
      <w:r>
        <w:rPr>
          <w:rFonts w:hint="eastAsia" w:ascii="宋体" w:hAnsi="宋体"/>
          <w:sz w:val="24"/>
        </w:rPr>
        <w:t>18.1投标人应当在投标截止时间前将投标文件送达指定开标地点。招标文件要求的和投标人认为有必要提交的其他材料请于投标截止时间前一并提交。逾期未送达提交的，采购代理机构将拒绝接收，因此造成的不利后果由投标人自行承担。</w:t>
      </w:r>
    </w:p>
    <w:p>
      <w:pPr>
        <w:spacing w:line="360" w:lineRule="auto"/>
        <w:ind w:firstLine="480" w:firstLineChars="200"/>
        <w:rPr>
          <w:rFonts w:ascii="宋体" w:hAnsi="宋体"/>
          <w:sz w:val="24"/>
        </w:rPr>
      </w:pPr>
      <w:r>
        <w:rPr>
          <w:rFonts w:hint="eastAsia" w:ascii="宋体" w:hAnsi="宋体"/>
          <w:sz w:val="24"/>
        </w:rPr>
        <w:t>18.2本项目</w:t>
      </w:r>
      <w:r>
        <w:rPr>
          <w:rFonts w:hint="eastAsia" w:ascii="宋体" w:hAnsi="宋体"/>
          <w:kern w:val="0"/>
          <w:sz w:val="24"/>
        </w:rPr>
        <w:t>是否需要提交样品</w:t>
      </w:r>
      <w:r>
        <w:rPr>
          <w:rFonts w:hint="eastAsia" w:ascii="宋体" w:hAnsi="宋体"/>
          <w:sz w:val="24"/>
        </w:rPr>
        <w:t>按照招标文件第二部分“投标人须知前附表”中第33项的规定。如须提供，还需要遵守以下规定：</w:t>
      </w:r>
    </w:p>
    <w:p>
      <w:pPr>
        <w:spacing w:line="360" w:lineRule="auto"/>
        <w:ind w:firstLine="480" w:firstLineChars="200"/>
        <w:rPr>
          <w:rFonts w:ascii="宋体" w:hAnsi="宋体"/>
          <w:sz w:val="24"/>
        </w:rPr>
      </w:pPr>
      <w:r>
        <w:rPr>
          <w:rFonts w:hint="eastAsia" w:ascii="宋体" w:hAnsi="宋体"/>
          <w:sz w:val="24"/>
        </w:rPr>
        <w:t>1）投标人应当在送样截止时间前将所有样品送达送样地点并登记，逾期未送达的部分将拒绝接收。样品递交时间以投标人持样品到达送样地点并完成登记的时间为准。登记后，送达的样品可以进行组装，组装时间不受限制。</w:t>
      </w:r>
    </w:p>
    <w:p>
      <w:pPr>
        <w:spacing w:line="360" w:lineRule="auto"/>
        <w:ind w:firstLine="480" w:firstLineChars="200"/>
        <w:rPr>
          <w:rFonts w:ascii="宋体" w:hAnsi="宋体"/>
          <w:sz w:val="24"/>
        </w:rPr>
      </w:pPr>
      <w:r>
        <w:rPr>
          <w:rFonts w:hint="eastAsia" w:ascii="宋体" w:hAnsi="宋体"/>
          <w:sz w:val="24"/>
        </w:rPr>
        <w:t>2）送样截止时间前投标人可以对其递交的样品进行更换，但重新递交的样品必须在送样截止时间前送达并重新进行登记，否则将拒绝接收。</w:t>
      </w:r>
    </w:p>
    <w:p>
      <w:pPr>
        <w:spacing w:line="360" w:lineRule="auto"/>
        <w:ind w:firstLine="480" w:firstLineChars="200"/>
        <w:rPr>
          <w:rFonts w:ascii="宋体" w:hAnsi="宋体"/>
          <w:sz w:val="24"/>
        </w:rPr>
      </w:pPr>
      <w:r>
        <w:rPr>
          <w:rFonts w:hint="eastAsia" w:ascii="宋体" w:hAnsi="宋体"/>
          <w:sz w:val="24"/>
        </w:rPr>
        <w:t>3）评审过程中，投标人应听从工作人员安排，不得接近样品存放区域，不得干扰评审秩序。如有上述行为且不听从劝阻者，将导致其投标被拒绝。</w:t>
      </w:r>
    </w:p>
    <w:p>
      <w:pPr>
        <w:spacing w:line="360" w:lineRule="auto"/>
        <w:ind w:firstLine="480" w:firstLineChars="200"/>
        <w:rPr>
          <w:rFonts w:ascii="宋体" w:hAnsi="宋体"/>
          <w:sz w:val="24"/>
        </w:rPr>
      </w:pPr>
      <w:r>
        <w:rPr>
          <w:rFonts w:hint="eastAsia" w:ascii="宋体" w:hAnsi="宋体" w:cs="仿宋"/>
          <w:sz w:val="24"/>
        </w:rPr>
        <w:t>4）</w:t>
      </w:r>
      <w:r>
        <w:rPr>
          <w:rFonts w:hint="eastAsia" w:ascii="宋体" w:hAnsi="宋体"/>
          <w:sz w:val="24"/>
        </w:rPr>
        <w:t>中标人</w:t>
      </w:r>
      <w:r>
        <w:rPr>
          <w:rFonts w:hint="eastAsia" w:ascii="宋体" w:hAnsi="宋体" w:cs="宋体"/>
          <w:kern w:val="0"/>
          <w:sz w:val="24"/>
        </w:rPr>
        <w:t>的样品由采购人封存</w:t>
      </w:r>
      <w:r>
        <w:rPr>
          <w:rFonts w:hint="eastAsia" w:ascii="宋体" w:hAnsi="宋体"/>
          <w:sz w:val="24"/>
        </w:rPr>
        <w:t>作为履约验收的标准，所供货物不得低于样品质量；未中标的样品，在评标结束后请自行取回，当天未取回的，自行承担损坏、遗失等损失和责任。</w:t>
      </w:r>
    </w:p>
    <w:p>
      <w:pPr>
        <w:spacing w:line="360" w:lineRule="auto"/>
        <w:rPr>
          <w:rFonts w:ascii="宋体" w:hAnsi="宋体"/>
          <w:b/>
          <w:sz w:val="24"/>
        </w:rPr>
      </w:pPr>
      <w:r>
        <w:rPr>
          <w:rFonts w:hint="eastAsia" w:ascii="宋体" w:hAnsi="宋体"/>
          <w:b/>
          <w:sz w:val="24"/>
        </w:rPr>
        <w:t>19.投标文件的修改和撤回</w:t>
      </w:r>
    </w:p>
    <w:p>
      <w:pPr>
        <w:spacing w:line="360" w:lineRule="auto"/>
        <w:ind w:firstLine="480" w:firstLineChars="200"/>
        <w:rPr>
          <w:rFonts w:ascii="宋体" w:hAnsi="宋体"/>
          <w:sz w:val="24"/>
        </w:rPr>
      </w:pPr>
      <w:r>
        <w:rPr>
          <w:rFonts w:hint="eastAsia" w:ascii="宋体" w:hAnsi="宋体"/>
          <w:sz w:val="24"/>
        </w:rPr>
        <w:t>19.1 投标人在递交投标文件后，可以修改或撤回其投标，但这种修改和撤回，必须在规定的投标截止时间前。在投标截止时间后，投标人不得要求修改或撤回其投标文件。</w:t>
      </w:r>
    </w:p>
    <w:p>
      <w:pPr>
        <w:pStyle w:val="4"/>
        <w:numPr>
          <w:ilvl w:val="0"/>
          <w:numId w:val="0"/>
        </w:numPr>
        <w:ind w:left="240"/>
        <w:rPr>
          <w:rFonts w:ascii="宋体" w:hAnsi="宋体"/>
          <w:b w:val="0"/>
          <w:sz w:val="24"/>
        </w:rPr>
      </w:pPr>
      <w:bookmarkStart w:id="22" w:name="_Toc33194707"/>
      <w:bookmarkStart w:id="23" w:name="_Toc3932"/>
      <w:bookmarkStart w:id="24" w:name="_Toc33212761"/>
      <w:r>
        <w:rPr>
          <w:rFonts w:hint="eastAsia" w:ascii="宋体" w:hAnsi="宋体"/>
          <w:b w:val="0"/>
          <w:sz w:val="24"/>
        </w:rPr>
        <w:t>六、开标</w:t>
      </w:r>
      <w:bookmarkEnd w:id="22"/>
      <w:bookmarkEnd w:id="23"/>
      <w:bookmarkEnd w:id="24"/>
    </w:p>
    <w:p>
      <w:pPr>
        <w:spacing w:line="360" w:lineRule="auto"/>
        <w:rPr>
          <w:rFonts w:ascii="宋体" w:hAnsi="宋体"/>
          <w:b/>
          <w:sz w:val="24"/>
        </w:rPr>
      </w:pPr>
      <w:r>
        <w:rPr>
          <w:rFonts w:hint="eastAsia" w:ascii="宋体" w:hAnsi="宋体"/>
          <w:b/>
          <w:sz w:val="24"/>
        </w:rPr>
        <w:t>20.开标</w:t>
      </w:r>
    </w:p>
    <w:p>
      <w:pPr>
        <w:spacing w:line="360" w:lineRule="auto"/>
        <w:ind w:firstLine="480" w:firstLineChars="200"/>
        <w:rPr>
          <w:rFonts w:ascii="宋体" w:hAnsi="宋体"/>
          <w:sz w:val="24"/>
        </w:rPr>
      </w:pPr>
      <w:r>
        <w:rPr>
          <w:rFonts w:hint="eastAsia" w:ascii="宋体" w:hAnsi="宋体"/>
          <w:sz w:val="24"/>
        </w:rPr>
        <w:t>20.1采购代理机构按照招标文件规定的时间、地点主持开标。投标人法定代表人或授权代理人应携带身份证及授权委托书参加开标并签到。</w:t>
      </w:r>
    </w:p>
    <w:p>
      <w:pPr>
        <w:spacing w:line="360" w:lineRule="auto"/>
        <w:ind w:firstLine="480" w:firstLineChars="200"/>
        <w:rPr>
          <w:rFonts w:ascii="宋体" w:hAnsi="宋体"/>
          <w:sz w:val="24"/>
        </w:rPr>
      </w:pPr>
      <w:r>
        <w:rPr>
          <w:rFonts w:hint="eastAsia" w:ascii="宋体" w:hAnsi="宋体"/>
          <w:sz w:val="24"/>
        </w:rPr>
        <w:t>20.2开标前，采购代理机构将会同监督人员或公证人员进行验标（检查电子投标文件和投标文件密封情况，检查投标人报名及保证金交纳情况），确认无误后开标。</w:t>
      </w:r>
    </w:p>
    <w:p>
      <w:pPr>
        <w:spacing w:line="360" w:lineRule="auto"/>
        <w:ind w:firstLine="480" w:firstLineChars="200"/>
        <w:rPr>
          <w:rFonts w:ascii="宋体" w:hAnsi="宋体"/>
          <w:sz w:val="24"/>
        </w:rPr>
      </w:pPr>
      <w:r>
        <w:rPr>
          <w:rFonts w:hint="eastAsia" w:ascii="宋体" w:hAnsi="宋体"/>
          <w:sz w:val="24"/>
        </w:rPr>
        <w:t>20.3开标时，采购代理机构将公布投标人名称、投标价格，以及采购代理机构认为合适的其它内容。投标人若有报价和优惠未被唱出，应在开标时及时声明或提请注意，否则采购代理机构对此不承担任何责任。</w:t>
      </w:r>
    </w:p>
    <w:p>
      <w:pPr>
        <w:spacing w:line="360" w:lineRule="auto"/>
        <w:ind w:firstLine="480" w:firstLineChars="200"/>
        <w:rPr>
          <w:rFonts w:ascii="宋体" w:hAnsi="宋体"/>
          <w:sz w:val="24"/>
        </w:rPr>
      </w:pPr>
      <w:r>
        <w:rPr>
          <w:rFonts w:hint="eastAsia" w:ascii="宋体" w:hAnsi="宋体"/>
          <w:sz w:val="24"/>
        </w:rPr>
        <w:t>20.4在评审结束前，未得到采购代理机构允许，投标人法定代表人或授权代理人不得离开开标现场。</w:t>
      </w:r>
    </w:p>
    <w:p>
      <w:pPr>
        <w:spacing w:line="360" w:lineRule="auto"/>
        <w:ind w:firstLine="480" w:firstLineChars="200"/>
        <w:rPr>
          <w:rFonts w:ascii="宋体" w:hAnsi="宋体"/>
          <w:sz w:val="24"/>
        </w:rPr>
      </w:pPr>
      <w:r>
        <w:rPr>
          <w:rFonts w:hint="eastAsia" w:ascii="宋体" w:hAnsi="宋体"/>
          <w:sz w:val="24"/>
        </w:rPr>
        <w:t>20.5监督员对开标过程进行全程公证。</w:t>
      </w:r>
    </w:p>
    <w:p>
      <w:pPr>
        <w:pStyle w:val="4"/>
        <w:numPr>
          <w:ilvl w:val="0"/>
          <w:numId w:val="0"/>
        </w:numPr>
        <w:ind w:left="240"/>
        <w:rPr>
          <w:rFonts w:ascii="宋体" w:hAnsi="宋体"/>
          <w:b w:val="0"/>
          <w:sz w:val="24"/>
        </w:rPr>
      </w:pPr>
      <w:bookmarkStart w:id="25" w:name="_Toc33194708"/>
      <w:bookmarkStart w:id="26" w:name="_Toc17388"/>
      <w:bookmarkStart w:id="27" w:name="_Toc33212762"/>
      <w:r>
        <w:rPr>
          <w:rFonts w:hint="eastAsia" w:ascii="宋体" w:hAnsi="宋体"/>
          <w:b w:val="0"/>
          <w:sz w:val="24"/>
        </w:rPr>
        <w:t>七、评标步骤和要求</w:t>
      </w:r>
      <w:bookmarkEnd w:id="25"/>
      <w:bookmarkEnd w:id="26"/>
      <w:bookmarkEnd w:id="27"/>
    </w:p>
    <w:p>
      <w:pPr>
        <w:spacing w:line="360" w:lineRule="auto"/>
        <w:rPr>
          <w:rFonts w:ascii="宋体" w:hAnsi="宋体"/>
          <w:b/>
          <w:sz w:val="24"/>
        </w:rPr>
      </w:pPr>
      <w:r>
        <w:rPr>
          <w:rFonts w:hint="eastAsia" w:ascii="宋体" w:hAnsi="宋体"/>
          <w:b/>
          <w:sz w:val="24"/>
        </w:rPr>
        <w:t>21.组建评标委员会</w:t>
      </w:r>
    </w:p>
    <w:p>
      <w:pPr>
        <w:spacing w:line="360" w:lineRule="auto"/>
        <w:ind w:firstLine="480" w:firstLineChars="200"/>
        <w:rPr>
          <w:rFonts w:ascii="宋体" w:hAnsi="宋体"/>
          <w:sz w:val="24"/>
        </w:rPr>
      </w:pPr>
      <w:r>
        <w:rPr>
          <w:rFonts w:hint="eastAsia" w:ascii="宋体" w:hAnsi="宋体"/>
          <w:sz w:val="24"/>
        </w:rPr>
        <w:t>21.1采购代理机构根据有关法律法规和本招标文件的规定，结合项目特点组建评标委员会，对投标文件进行评估和比较。评标委员会由五人以上单数组成，其中经济、技术等方面的专家不少于三分之二。</w:t>
      </w:r>
    </w:p>
    <w:p>
      <w:pPr>
        <w:spacing w:line="360" w:lineRule="auto"/>
        <w:ind w:firstLine="480" w:firstLineChars="200"/>
        <w:rPr>
          <w:rFonts w:ascii="宋体" w:hAnsi="宋体"/>
          <w:sz w:val="24"/>
        </w:rPr>
      </w:pPr>
      <w:r>
        <w:rPr>
          <w:rFonts w:hint="eastAsia" w:ascii="宋体" w:hAnsi="宋体"/>
          <w:sz w:val="24"/>
        </w:rPr>
        <w:t>21.2参与过本项目的论证专家不得作为评标专家参加评标，采购人不得以专家身份参与评标。</w:t>
      </w:r>
    </w:p>
    <w:p>
      <w:pPr>
        <w:spacing w:line="360" w:lineRule="auto"/>
        <w:ind w:firstLine="480" w:firstLineChars="200"/>
        <w:rPr>
          <w:rFonts w:ascii="宋体" w:hAnsi="宋体"/>
          <w:sz w:val="24"/>
        </w:rPr>
      </w:pPr>
      <w:r>
        <w:rPr>
          <w:rFonts w:hint="eastAsia" w:ascii="宋体" w:hAnsi="宋体"/>
          <w:sz w:val="24"/>
        </w:rPr>
        <w:t>21.3评标委员会应当执行连续评标的原则完成全部评标工作。发生评标暂停情况时，评标委员会应当封存全部投标文件和评标记录，待具备继续评标的条件时，由原评标委员会继续评标。</w:t>
      </w:r>
    </w:p>
    <w:p>
      <w:pPr>
        <w:spacing w:line="360" w:lineRule="auto"/>
        <w:rPr>
          <w:rFonts w:ascii="宋体" w:hAnsi="宋体" w:cs="宋体"/>
          <w:b/>
          <w:bCs/>
          <w:color w:val="000000"/>
          <w:sz w:val="24"/>
        </w:rPr>
      </w:pPr>
      <w:r>
        <w:rPr>
          <w:rFonts w:hint="eastAsia" w:ascii="宋体" w:hAnsi="宋体" w:cs="宋体"/>
          <w:b/>
          <w:bCs/>
          <w:color w:val="000000"/>
          <w:sz w:val="24"/>
        </w:rPr>
        <w:t>22、资格审查</w:t>
      </w:r>
    </w:p>
    <w:p>
      <w:pPr>
        <w:spacing w:line="360" w:lineRule="auto"/>
        <w:ind w:firstLine="480" w:firstLineChars="200"/>
        <w:rPr>
          <w:rFonts w:ascii="宋体" w:hAnsi="宋体"/>
          <w:sz w:val="24"/>
        </w:rPr>
      </w:pPr>
      <w:r>
        <w:rPr>
          <w:rFonts w:hint="eastAsia" w:ascii="宋体" w:hAnsi="宋体" w:cs="宋体"/>
          <w:color w:val="000000"/>
          <w:sz w:val="24"/>
        </w:rPr>
        <w:t>22.1公开招标采购项目开标结束后，采购人或者采购代理机构应当依法对投标人的资格进行审查。合格投标人不足3家的，不得评标。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23.初步评审</w:t>
      </w:r>
    </w:p>
    <w:p>
      <w:pPr>
        <w:spacing w:line="360" w:lineRule="auto"/>
        <w:ind w:firstLine="480" w:firstLineChars="200"/>
        <w:rPr>
          <w:rFonts w:ascii="宋体" w:hAnsi="宋体"/>
          <w:sz w:val="24"/>
        </w:rPr>
      </w:pPr>
      <w:r>
        <w:rPr>
          <w:rFonts w:hint="eastAsia" w:ascii="宋体" w:hAnsi="宋体"/>
          <w:sz w:val="24"/>
        </w:rPr>
        <w:t>23.1评标委员会审查投标文件是否满足招标文件全部实质性要求，有无重大偏离或保留。投标文件如有下列任意一款情形的，将按无效投标处理。</w:t>
      </w:r>
    </w:p>
    <w:p>
      <w:pPr>
        <w:spacing w:line="360" w:lineRule="auto"/>
        <w:ind w:firstLine="472" w:firstLineChars="196"/>
        <w:rPr>
          <w:rFonts w:ascii="宋体" w:hAnsi="宋体"/>
          <w:b/>
          <w:sz w:val="24"/>
        </w:rPr>
      </w:pPr>
      <w:r>
        <w:rPr>
          <w:rFonts w:hint="eastAsia" w:ascii="宋体" w:hAnsi="宋体"/>
          <w:b/>
          <w:sz w:val="24"/>
        </w:rPr>
        <w:t>A、投标人与营业执照名称不相符的；</w:t>
      </w:r>
    </w:p>
    <w:p>
      <w:pPr>
        <w:spacing w:line="360" w:lineRule="auto"/>
        <w:ind w:firstLine="472" w:firstLineChars="196"/>
        <w:rPr>
          <w:rFonts w:ascii="宋体" w:hAnsi="宋体"/>
          <w:b/>
          <w:sz w:val="24"/>
        </w:rPr>
      </w:pPr>
      <w:r>
        <w:rPr>
          <w:rFonts w:hint="eastAsia" w:ascii="宋体" w:hAnsi="宋体"/>
          <w:b/>
          <w:sz w:val="24"/>
        </w:rPr>
        <w:t>B、投标文件未按招标文件的规定签章的；</w:t>
      </w:r>
    </w:p>
    <w:p>
      <w:pPr>
        <w:spacing w:line="360" w:lineRule="auto"/>
        <w:ind w:firstLine="472" w:firstLineChars="196"/>
        <w:rPr>
          <w:rFonts w:ascii="宋体" w:hAnsi="宋体"/>
          <w:b/>
          <w:sz w:val="24"/>
        </w:rPr>
      </w:pPr>
      <w:r>
        <w:rPr>
          <w:rFonts w:hint="eastAsia" w:ascii="宋体" w:hAnsi="宋体"/>
          <w:b/>
          <w:sz w:val="24"/>
        </w:rPr>
        <w:t>C、未按投标文件份数要求提交投标文件的；</w:t>
      </w:r>
    </w:p>
    <w:p>
      <w:pPr>
        <w:spacing w:line="360" w:lineRule="auto"/>
        <w:ind w:firstLine="472" w:firstLineChars="196"/>
        <w:rPr>
          <w:rFonts w:ascii="宋体" w:hAnsi="宋体"/>
          <w:b/>
          <w:sz w:val="24"/>
        </w:rPr>
      </w:pPr>
      <w:r>
        <w:rPr>
          <w:rFonts w:hint="eastAsia" w:ascii="宋体" w:hAnsi="宋体"/>
          <w:b/>
          <w:sz w:val="24"/>
        </w:rPr>
        <w:t>D、报价超过项目预算或经评标委员会认定低于成本的；</w:t>
      </w:r>
    </w:p>
    <w:p>
      <w:pPr>
        <w:spacing w:line="360" w:lineRule="auto"/>
        <w:ind w:firstLine="472" w:firstLineChars="196"/>
        <w:rPr>
          <w:rFonts w:ascii="宋体" w:hAnsi="宋体"/>
          <w:b/>
          <w:sz w:val="24"/>
        </w:rPr>
      </w:pPr>
      <w:r>
        <w:rPr>
          <w:rFonts w:hint="eastAsia" w:ascii="宋体" w:hAnsi="宋体"/>
          <w:b/>
          <w:sz w:val="24"/>
        </w:rPr>
        <w:t>E、投标有效期不足的；</w:t>
      </w:r>
    </w:p>
    <w:p>
      <w:pPr>
        <w:spacing w:line="360" w:lineRule="auto"/>
        <w:ind w:firstLine="472" w:firstLineChars="196"/>
        <w:rPr>
          <w:rFonts w:ascii="宋体" w:hAnsi="宋体"/>
          <w:b/>
          <w:sz w:val="24"/>
        </w:rPr>
      </w:pPr>
      <w:r>
        <w:rPr>
          <w:rFonts w:hint="eastAsia" w:ascii="宋体" w:hAnsi="宋体"/>
          <w:b/>
          <w:sz w:val="24"/>
        </w:rPr>
        <w:t>F、投标人递交的电子投标文件（未加密电子投标文件）均无法满足正常开标、评标使用功能的；</w:t>
      </w:r>
    </w:p>
    <w:p>
      <w:pPr>
        <w:spacing w:line="360" w:lineRule="auto"/>
        <w:ind w:firstLine="472" w:firstLineChars="196"/>
        <w:rPr>
          <w:rFonts w:ascii="宋体" w:hAnsi="宋体"/>
          <w:b/>
          <w:sz w:val="24"/>
        </w:rPr>
      </w:pPr>
      <w:r>
        <w:rPr>
          <w:rFonts w:hint="eastAsia" w:ascii="宋体" w:hAnsi="宋体"/>
          <w:b/>
          <w:sz w:val="24"/>
        </w:rPr>
        <w:t>G、有串通投标或弄虚作假或其他违法行为的，其中在采购活动中存在串通投标行为的供应商，不得参加该项目重新开展的采购活动；</w:t>
      </w:r>
    </w:p>
    <w:p>
      <w:pPr>
        <w:spacing w:line="360" w:lineRule="auto"/>
        <w:ind w:firstLine="472" w:firstLineChars="196"/>
        <w:rPr>
          <w:rFonts w:ascii="宋体" w:hAnsi="宋体"/>
          <w:b/>
          <w:sz w:val="24"/>
        </w:rPr>
      </w:pPr>
      <w:r>
        <w:rPr>
          <w:rFonts w:hint="eastAsia" w:ascii="宋体" w:hAnsi="宋体"/>
          <w:b/>
          <w:sz w:val="24"/>
        </w:rPr>
        <w:t>H、不符合招标文件中有关分包规定的；</w:t>
      </w:r>
    </w:p>
    <w:p>
      <w:pPr>
        <w:spacing w:line="360" w:lineRule="auto"/>
        <w:ind w:firstLine="472" w:firstLineChars="196"/>
        <w:rPr>
          <w:rFonts w:ascii="宋体" w:hAnsi="宋体"/>
          <w:sz w:val="24"/>
        </w:rPr>
      </w:pPr>
      <w:r>
        <w:rPr>
          <w:rFonts w:hint="eastAsia" w:ascii="宋体" w:hAnsi="宋体"/>
          <w:b/>
          <w:sz w:val="24"/>
        </w:rPr>
        <w:t>J、不符合法律、法规规定的其他情形或招标文件中规定的其他实质性要求。</w:t>
      </w:r>
    </w:p>
    <w:p>
      <w:pPr>
        <w:spacing w:line="360" w:lineRule="auto"/>
        <w:ind w:firstLine="480" w:firstLineChars="200"/>
        <w:rPr>
          <w:rFonts w:ascii="宋体" w:hAnsi="宋体"/>
          <w:sz w:val="24"/>
        </w:rPr>
      </w:pPr>
      <w:r>
        <w:rPr>
          <w:rFonts w:hint="eastAsia" w:ascii="宋体" w:hAnsi="宋体"/>
          <w:sz w:val="24"/>
        </w:rPr>
        <w:t>23.2投标文件的细微偏差是指投标文件满足招标文件全部实质性要求，但在其他要求方面存在漏项或者提供了不完整的技术信息和数据等情况，并且补正这些遗漏或者不完整，不会对其他投标人造成不公正的结果。细微偏差不影响投标文件的有效性。</w:t>
      </w:r>
    </w:p>
    <w:p>
      <w:pPr>
        <w:spacing w:line="360" w:lineRule="auto"/>
        <w:ind w:firstLine="480" w:firstLineChars="200"/>
        <w:rPr>
          <w:rFonts w:ascii="宋体" w:hAnsi="宋体"/>
          <w:sz w:val="24"/>
        </w:rPr>
      </w:pPr>
      <w:r>
        <w:rPr>
          <w:rFonts w:hint="eastAsia" w:ascii="宋体" w:hAnsi="宋体"/>
          <w:sz w:val="24"/>
        </w:rPr>
        <w:t>23.3初步评审中，对明显的文字和计算错误按下述原则处理，若出现相互矛盾之处，应以排列在先的原则为准优先处理：</w:t>
      </w:r>
    </w:p>
    <w:p>
      <w:pPr>
        <w:spacing w:line="360" w:lineRule="auto"/>
        <w:ind w:firstLine="470" w:firstLineChars="196"/>
        <w:rPr>
          <w:rFonts w:ascii="宋体" w:hAnsi="宋体"/>
          <w:sz w:val="24"/>
        </w:rPr>
      </w:pPr>
      <w:r>
        <w:rPr>
          <w:rFonts w:hint="eastAsia" w:ascii="宋体" w:hAnsi="宋体"/>
          <w:sz w:val="24"/>
        </w:rPr>
        <w:t>1）投标文件中的开标一览表与报价分析表内容不一致的，以开标一览表为准。</w:t>
      </w:r>
    </w:p>
    <w:p>
      <w:pPr>
        <w:spacing w:line="360" w:lineRule="auto"/>
        <w:ind w:firstLine="480" w:firstLineChars="200"/>
        <w:rPr>
          <w:rFonts w:ascii="宋体" w:hAnsi="宋体"/>
          <w:sz w:val="24"/>
        </w:rPr>
      </w:pPr>
      <w:r>
        <w:rPr>
          <w:rFonts w:hint="eastAsia" w:ascii="宋体" w:hAnsi="宋体"/>
          <w:sz w:val="24"/>
        </w:rPr>
        <w:t>2）如果以文字表示的数据与数字表示的有差别，以文字为准修正数字。如果大写金额和小写金额不一致，以大写金额为准。</w:t>
      </w:r>
    </w:p>
    <w:p>
      <w:pPr>
        <w:spacing w:line="360" w:lineRule="auto"/>
        <w:ind w:firstLine="480" w:firstLineChars="200"/>
        <w:rPr>
          <w:rFonts w:ascii="宋体" w:hAnsi="宋体"/>
          <w:sz w:val="24"/>
        </w:rPr>
      </w:pPr>
      <w:r>
        <w:rPr>
          <w:rFonts w:hint="eastAsia" w:ascii="宋体" w:hAnsi="宋体"/>
          <w:sz w:val="24"/>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0" w:firstLineChars="200"/>
        <w:rPr>
          <w:rFonts w:ascii="宋体" w:hAnsi="宋体"/>
          <w:sz w:val="24"/>
        </w:rPr>
      </w:pPr>
      <w:r>
        <w:rPr>
          <w:rFonts w:hint="eastAsia" w:ascii="宋体" w:hAnsi="宋体"/>
          <w:sz w:val="24"/>
        </w:rPr>
        <w:t>4）调整后的数据对投标人具有约束力，投标人不同意以上修正，其投标将被拒绝。</w:t>
      </w:r>
    </w:p>
    <w:p>
      <w:pPr>
        <w:spacing w:line="360" w:lineRule="auto"/>
        <w:ind w:firstLine="480" w:firstLineChars="200"/>
        <w:rPr>
          <w:rFonts w:ascii="宋体" w:hAnsi="宋体"/>
          <w:sz w:val="24"/>
        </w:rPr>
      </w:pPr>
      <w:r>
        <w:rPr>
          <w:rFonts w:hint="eastAsia" w:ascii="宋体" w:hAnsi="宋体"/>
          <w:sz w:val="24"/>
        </w:rPr>
        <w:t>23.4评标委员会对投标文件的判定，只依据投标文件内容本身，不依据其他外来证明。</w:t>
      </w:r>
    </w:p>
    <w:p>
      <w:pPr>
        <w:spacing w:line="360" w:lineRule="auto"/>
        <w:rPr>
          <w:rFonts w:ascii="宋体" w:hAnsi="宋体"/>
          <w:b/>
          <w:sz w:val="24"/>
        </w:rPr>
      </w:pPr>
      <w:r>
        <w:rPr>
          <w:rFonts w:hint="eastAsia" w:ascii="宋体" w:hAnsi="宋体"/>
          <w:b/>
          <w:sz w:val="24"/>
        </w:rPr>
        <w:t>24.投标的澄清</w:t>
      </w:r>
    </w:p>
    <w:p>
      <w:pPr>
        <w:spacing w:line="360" w:lineRule="auto"/>
        <w:ind w:firstLine="480" w:firstLineChars="200"/>
        <w:rPr>
          <w:rFonts w:ascii="宋体" w:hAnsi="宋体"/>
          <w:sz w:val="24"/>
        </w:rPr>
      </w:pPr>
      <w:r>
        <w:rPr>
          <w:rFonts w:hint="eastAsia" w:ascii="宋体" w:hAnsi="宋体"/>
          <w:sz w:val="24"/>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0" w:firstLineChars="200"/>
        <w:rPr>
          <w:rFonts w:ascii="宋体" w:hAnsi="宋体"/>
          <w:sz w:val="24"/>
        </w:rPr>
      </w:pPr>
      <w:r>
        <w:rPr>
          <w:rFonts w:hint="eastAsia" w:ascii="宋体" w:hAnsi="宋体"/>
          <w:sz w:val="24"/>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0" w:firstLineChars="200"/>
        <w:rPr>
          <w:rFonts w:ascii="宋体" w:hAnsi="宋体"/>
          <w:sz w:val="24"/>
        </w:rPr>
      </w:pPr>
      <w:r>
        <w:rPr>
          <w:rFonts w:hint="eastAsia" w:ascii="宋体" w:hAnsi="宋体"/>
          <w:sz w:val="24"/>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ascii="宋体" w:hAnsi="宋体"/>
          <w:sz w:val="24"/>
        </w:rPr>
      </w:pPr>
      <w:r>
        <w:rPr>
          <w:rFonts w:hint="eastAsia" w:ascii="宋体" w:hAnsi="宋体"/>
          <w:sz w:val="24"/>
        </w:rPr>
        <w:t>24.4 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25.详细评审</w:t>
      </w:r>
    </w:p>
    <w:p>
      <w:pPr>
        <w:spacing w:line="360" w:lineRule="auto"/>
        <w:ind w:firstLine="480" w:firstLineChars="200"/>
        <w:rPr>
          <w:rFonts w:ascii="宋体" w:hAnsi="宋体"/>
          <w:sz w:val="24"/>
        </w:rPr>
      </w:pPr>
      <w:r>
        <w:rPr>
          <w:rFonts w:hint="eastAsia" w:ascii="宋体" w:hAnsi="宋体"/>
          <w:sz w:val="24"/>
        </w:rPr>
        <w:t>25.1评标委员会只对满足招标文件全部实质性要求的投标进行评价和比较；评审将严格按照招标文件第二部分“投标人须知前附表”中第19项规定以及招标文件第五部分“评审方法”的要求进行。</w:t>
      </w:r>
    </w:p>
    <w:p>
      <w:pPr>
        <w:spacing w:line="360" w:lineRule="auto"/>
        <w:ind w:firstLine="480" w:firstLineChars="200"/>
        <w:rPr>
          <w:rFonts w:ascii="宋体" w:hAnsi="宋体"/>
          <w:sz w:val="24"/>
        </w:rPr>
      </w:pPr>
      <w:r>
        <w:rPr>
          <w:rFonts w:hint="eastAsia" w:ascii="宋体" w:hAnsi="宋体"/>
          <w:sz w:val="24"/>
        </w:rPr>
        <w:t>25.2评标委员会依法独立评审，严格遵守评审工作纪律。对需要共同认定的事项存在争议的，由评标委员会全体成员按照少数服从多数的原则，以记名投票方式表决并作出评审结论。持不同意见的评标委员会成员应当在评标报告上签署不同意见并说明理由，不签署不同意见的视为同意。</w:t>
      </w:r>
    </w:p>
    <w:p>
      <w:pPr>
        <w:spacing w:line="360" w:lineRule="auto"/>
        <w:ind w:firstLine="480" w:firstLineChars="200"/>
        <w:rPr>
          <w:rFonts w:ascii="宋体" w:hAnsi="宋体"/>
          <w:sz w:val="24"/>
        </w:rPr>
      </w:pPr>
      <w:r>
        <w:rPr>
          <w:rFonts w:hint="eastAsia" w:ascii="宋体" w:hAnsi="宋体"/>
          <w:sz w:val="24"/>
        </w:rPr>
        <w:t>25.3</w:t>
      </w:r>
      <w:r>
        <w:rPr>
          <w:rFonts w:hint="eastAsia" w:ascii="宋体" w:hAnsi="宋体"/>
          <w:kern w:val="0"/>
          <w:sz w:val="24"/>
        </w:rPr>
        <w:t>节能、环保政策执行</w:t>
      </w:r>
      <w:r>
        <w:rPr>
          <w:rFonts w:hint="eastAsia" w:ascii="宋体" w:hAnsi="宋体"/>
          <w:sz w:val="24"/>
        </w:rPr>
        <w:t>以及中小微型企业有关政策分别按照招标文件第二部分“投标人须知前附表”中第17项、第18项规定。评标委员会认定环保产品、节能产品和小、微型企业、监狱企业及相应产品报价后，投标人相应产品政策计算公式如下：</w:t>
      </w:r>
    </w:p>
    <w:p>
      <w:pPr>
        <w:spacing w:line="360" w:lineRule="auto"/>
        <w:ind w:firstLine="480" w:firstLineChars="200"/>
        <w:rPr>
          <w:rFonts w:ascii="宋体" w:hAnsi="宋体"/>
          <w:sz w:val="24"/>
        </w:rPr>
      </w:pPr>
      <w:r>
        <w:rPr>
          <w:rFonts w:hint="eastAsia" w:ascii="宋体" w:hAnsi="宋体"/>
          <w:sz w:val="24"/>
        </w:rPr>
        <w:t>1）产品价格扣除（以价格扣除后的投标人报价作为评审依据）</w:t>
      </w:r>
    </w:p>
    <w:p>
      <w:pPr>
        <w:spacing w:line="360" w:lineRule="auto"/>
        <w:ind w:firstLine="480" w:firstLineChars="200"/>
        <w:rPr>
          <w:rFonts w:ascii="宋体" w:hAnsi="宋体"/>
          <w:sz w:val="24"/>
        </w:rPr>
      </w:pPr>
      <w:r>
        <w:rPr>
          <w:rFonts w:hint="eastAsia" w:ascii="宋体" w:hAnsi="宋体"/>
          <w:sz w:val="24"/>
        </w:rPr>
        <w:t>小、微型企业产品和监狱企业产品价格扣除后的投标人报价=投标人总报价-小、微型企业产品报价*扣除幅度-监狱企业产品报价*扣除幅度。</w:t>
      </w:r>
    </w:p>
    <w:p>
      <w:pPr>
        <w:spacing w:line="360" w:lineRule="auto"/>
        <w:rPr>
          <w:rFonts w:ascii="宋体" w:hAnsi="宋体"/>
          <w:b/>
          <w:sz w:val="24"/>
        </w:rPr>
      </w:pPr>
      <w:r>
        <w:rPr>
          <w:rFonts w:hint="eastAsia" w:ascii="宋体" w:hAnsi="宋体"/>
          <w:b/>
          <w:sz w:val="24"/>
        </w:rPr>
        <w:t>26.确定中标人</w:t>
      </w:r>
    </w:p>
    <w:p>
      <w:pPr>
        <w:spacing w:line="360" w:lineRule="auto"/>
        <w:ind w:firstLine="480" w:firstLineChars="200"/>
        <w:rPr>
          <w:rFonts w:ascii="宋体" w:hAnsi="宋体"/>
          <w:sz w:val="24"/>
        </w:rPr>
      </w:pPr>
      <w:r>
        <w:rPr>
          <w:rFonts w:hint="eastAsia" w:ascii="宋体" w:hAnsi="宋体"/>
          <w:sz w:val="24"/>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rPr>
          <w:rFonts w:ascii="宋体" w:hAnsi="宋体"/>
          <w:sz w:val="24"/>
        </w:rPr>
      </w:pPr>
      <w:r>
        <w:rPr>
          <w:rFonts w:hint="eastAsia" w:ascii="宋体" w:hAnsi="宋体"/>
          <w:sz w:val="24"/>
        </w:rPr>
        <w:t>26.2评标委员会根据评审结果及招标文件的规定推荐中标候选人、确定中标人。</w:t>
      </w:r>
    </w:p>
    <w:p>
      <w:pPr>
        <w:spacing w:line="360" w:lineRule="auto"/>
        <w:rPr>
          <w:rFonts w:ascii="宋体" w:hAnsi="宋体"/>
          <w:b/>
          <w:sz w:val="24"/>
        </w:rPr>
      </w:pPr>
      <w:r>
        <w:rPr>
          <w:rFonts w:hint="eastAsia" w:ascii="宋体" w:hAnsi="宋体"/>
          <w:b/>
          <w:sz w:val="24"/>
        </w:rPr>
        <w:t>27.评标过程要求</w:t>
      </w:r>
    </w:p>
    <w:p>
      <w:pPr>
        <w:spacing w:line="360" w:lineRule="auto"/>
        <w:rPr>
          <w:rFonts w:ascii="宋体" w:hAnsi="宋体"/>
          <w:b/>
          <w:sz w:val="24"/>
        </w:rPr>
      </w:pPr>
      <w:r>
        <w:rPr>
          <w:rFonts w:hint="eastAsia" w:ascii="宋体" w:hAnsi="宋体"/>
          <w:sz w:val="24"/>
        </w:rPr>
        <w:t>27.1开标之后，直到签订合同止，凡是属于审查、澄清、评价和比较投标的有关资料以及定标意向等，均不向投标人或者其他与评标无关的人员透露。</w:t>
      </w:r>
    </w:p>
    <w:p>
      <w:pPr>
        <w:spacing w:line="360" w:lineRule="auto"/>
        <w:ind w:firstLine="480" w:firstLineChars="200"/>
        <w:rPr>
          <w:rFonts w:ascii="宋体" w:hAnsi="宋体"/>
          <w:sz w:val="24"/>
        </w:rPr>
      </w:pPr>
      <w:r>
        <w:rPr>
          <w:rFonts w:hint="eastAsia" w:ascii="宋体" w:hAnsi="宋体"/>
          <w:sz w:val="24"/>
        </w:rPr>
        <w:t>27.2在确定中标人之前，投标人试图在投标文件审查、澄清、比较和评标时对评标委员会、采购人和采购代理机构施加任何影响都可能导致其投标无效。</w:t>
      </w:r>
    </w:p>
    <w:p>
      <w:pPr>
        <w:spacing w:line="360" w:lineRule="auto"/>
        <w:rPr>
          <w:rFonts w:ascii="宋体" w:hAnsi="宋体"/>
          <w:b/>
          <w:sz w:val="24"/>
        </w:rPr>
      </w:pPr>
      <w:r>
        <w:rPr>
          <w:rFonts w:hint="eastAsia" w:ascii="宋体" w:hAnsi="宋体"/>
          <w:b/>
          <w:sz w:val="24"/>
        </w:rPr>
        <w:t>28.投标人瑕疵滞后发现的处理规则</w:t>
      </w:r>
    </w:p>
    <w:p>
      <w:pPr>
        <w:spacing w:line="360" w:lineRule="auto"/>
        <w:ind w:firstLine="480" w:firstLineChars="200"/>
        <w:rPr>
          <w:rFonts w:ascii="宋体" w:hAnsi="宋体"/>
          <w:sz w:val="24"/>
        </w:rPr>
      </w:pPr>
      <w:r>
        <w:rPr>
          <w:rFonts w:hint="eastAsia" w:ascii="宋体" w:hAnsi="宋体"/>
          <w:sz w:val="24"/>
        </w:rPr>
        <w:t>28.1无论基于何种原因，各项本应作拒绝或无效投标处理的情形即便未被及时发现而使该投标人进入初审、综合评审或其他后续程序，包括已经签订合同的情形，一旦该投标人被拒绝或此前评议结果被取消，其现有的位置将被其他投标人依序替代，相关的一切损失均由该投标人承担。</w:t>
      </w:r>
    </w:p>
    <w:p>
      <w:pPr>
        <w:spacing w:line="360" w:lineRule="auto"/>
        <w:rPr>
          <w:rFonts w:ascii="宋体" w:hAnsi="宋体"/>
          <w:b/>
          <w:sz w:val="24"/>
        </w:rPr>
      </w:pPr>
      <w:r>
        <w:rPr>
          <w:rFonts w:hint="eastAsia" w:ascii="宋体" w:hAnsi="宋体"/>
          <w:b/>
          <w:sz w:val="24"/>
        </w:rPr>
        <w:t>29.采购项目废标</w:t>
      </w:r>
    </w:p>
    <w:p>
      <w:pPr>
        <w:spacing w:line="360" w:lineRule="auto"/>
        <w:ind w:firstLine="480" w:firstLineChars="200"/>
        <w:rPr>
          <w:rFonts w:ascii="宋体" w:hAnsi="宋体"/>
          <w:sz w:val="24"/>
        </w:rPr>
      </w:pPr>
      <w:r>
        <w:rPr>
          <w:rFonts w:hint="eastAsia" w:ascii="宋体" w:hAnsi="宋体"/>
          <w:sz w:val="24"/>
        </w:rPr>
        <w:t>29.1在评标过程中，评标委员会发现有下列情形之一的，应对采购项目予以废标：</w:t>
      </w:r>
    </w:p>
    <w:p>
      <w:pPr>
        <w:spacing w:line="360" w:lineRule="auto"/>
        <w:ind w:firstLine="480" w:firstLineChars="200"/>
        <w:rPr>
          <w:rFonts w:ascii="宋体" w:hAnsi="宋体"/>
          <w:sz w:val="24"/>
        </w:rPr>
      </w:pPr>
      <w:r>
        <w:rPr>
          <w:rFonts w:hint="eastAsia" w:ascii="宋体" w:hAnsi="宋体"/>
          <w:sz w:val="24"/>
        </w:rPr>
        <w:t xml:space="preserve">1）符合专业条件的供应商或者对招标文件作实质响应的供应商不足三家的； </w:t>
      </w:r>
    </w:p>
    <w:p>
      <w:pPr>
        <w:spacing w:line="360" w:lineRule="auto"/>
        <w:ind w:left="479" w:leftChars="228"/>
        <w:rPr>
          <w:rFonts w:ascii="宋体" w:hAnsi="宋体"/>
          <w:sz w:val="24"/>
        </w:rPr>
      </w:pPr>
      <w:r>
        <w:rPr>
          <w:rFonts w:hint="eastAsia" w:ascii="宋体" w:hAnsi="宋体"/>
          <w:sz w:val="24"/>
        </w:rPr>
        <w:t xml:space="preserve">2）出现影响采购公正的违法、违规行为的； </w:t>
      </w:r>
      <w:r>
        <w:rPr>
          <w:rFonts w:hint="eastAsia" w:ascii="宋体" w:hAnsi="宋体"/>
          <w:sz w:val="24"/>
        </w:rPr>
        <w:br w:type="textWrapping"/>
      </w:r>
      <w:r>
        <w:rPr>
          <w:rFonts w:hint="eastAsia" w:ascii="宋体" w:hAnsi="宋体"/>
          <w:sz w:val="24"/>
        </w:rPr>
        <w:t>3）投标人的报价均超过了采购预算，采购人不能支付的；</w:t>
      </w:r>
      <w:r>
        <w:rPr>
          <w:rFonts w:hint="eastAsia" w:ascii="宋体" w:hAnsi="宋体"/>
          <w:sz w:val="24"/>
        </w:rPr>
        <w:br w:type="textWrapping"/>
      </w:r>
      <w:r>
        <w:rPr>
          <w:rFonts w:hint="eastAsia" w:ascii="宋体" w:hAnsi="宋体"/>
          <w:sz w:val="24"/>
        </w:rPr>
        <w:t>4）因重大变故，采购任务取消的。</w:t>
      </w:r>
    </w:p>
    <w:p>
      <w:pPr>
        <w:spacing w:line="360" w:lineRule="auto"/>
        <w:ind w:firstLine="480" w:firstLineChars="200"/>
        <w:rPr>
          <w:rFonts w:ascii="宋体" w:hAnsi="宋体"/>
          <w:sz w:val="24"/>
        </w:rPr>
      </w:pPr>
      <w:r>
        <w:rPr>
          <w:rFonts w:hint="eastAsia" w:ascii="宋体" w:hAnsi="宋体"/>
          <w:sz w:val="24"/>
        </w:rPr>
        <w:t>废标后，除采购任务取消情形外，将重新组织招标或采取其他方式采购。</w:t>
      </w:r>
    </w:p>
    <w:p>
      <w:pPr>
        <w:pStyle w:val="4"/>
        <w:numPr>
          <w:ilvl w:val="0"/>
          <w:numId w:val="0"/>
        </w:numPr>
        <w:ind w:left="240"/>
        <w:rPr>
          <w:rFonts w:ascii="宋体" w:hAnsi="宋体"/>
          <w:b w:val="0"/>
          <w:sz w:val="24"/>
        </w:rPr>
      </w:pPr>
      <w:bookmarkStart w:id="28" w:name="_Toc20570"/>
      <w:bookmarkStart w:id="29" w:name="_Toc33194709"/>
      <w:bookmarkStart w:id="30" w:name="_Toc33212763"/>
      <w:r>
        <w:rPr>
          <w:rFonts w:hint="eastAsia" w:ascii="宋体" w:hAnsi="宋体"/>
          <w:b w:val="0"/>
          <w:sz w:val="24"/>
        </w:rPr>
        <w:t>八、履约保证金</w:t>
      </w:r>
      <w:bookmarkEnd w:id="28"/>
      <w:bookmarkEnd w:id="29"/>
      <w:bookmarkEnd w:id="30"/>
    </w:p>
    <w:p>
      <w:pPr>
        <w:spacing w:line="360" w:lineRule="auto"/>
        <w:rPr>
          <w:rFonts w:ascii="宋体" w:hAnsi="宋体"/>
          <w:b/>
          <w:sz w:val="24"/>
        </w:rPr>
      </w:pPr>
      <w:r>
        <w:rPr>
          <w:rFonts w:hint="eastAsia" w:ascii="宋体" w:hAnsi="宋体"/>
          <w:b/>
          <w:sz w:val="24"/>
        </w:rPr>
        <w:t>30.履约保证金</w:t>
      </w:r>
    </w:p>
    <w:p>
      <w:pPr>
        <w:spacing w:line="360" w:lineRule="auto"/>
        <w:ind w:firstLine="480" w:firstLineChars="200"/>
        <w:rPr>
          <w:rFonts w:ascii="宋体" w:hAnsi="宋体"/>
          <w:sz w:val="24"/>
        </w:rPr>
      </w:pPr>
      <w:r>
        <w:rPr>
          <w:rFonts w:hint="eastAsia" w:ascii="宋体" w:hAnsi="宋体"/>
          <w:sz w:val="24"/>
        </w:rPr>
        <w:t>30.1中标人应在中标公告发布后，按照招标文件第二部分“投标人须知前附表”中第23项规定及时足额交纳履约保证金。</w:t>
      </w:r>
    </w:p>
    <w:p>
      <w:pPr>
        <w:spacing w:line="360" w:lineRule="auto"/>
        <w:ind w:firstLine="480" w:firstLineChars="200"/>
        <w:rPr>
          <w:rFonts w:ascii="宋体" w:hAnsi="宋体"/>
          <w:sz w:val="24"/>
        </w:rPr>
      </w:pPr>
      <w:r>
        <w:rPr>
          <w:rFonts w:hint="eastAsia" w:ascii="宋体" w:hAnsi="宋体"/>
          <w:sz w:val="24"/>
        </w:rPr>
        <w:t>30.2履约保证金在项目完成且验收合格无质量问题后原路返还。</w:t>
      </w:r>
    </w:p>
    <w:p>
      <w:pPr>
        <w:pStyle w:val="4"/>
        <w:numPr>
          <w:ilvl w:val="0"/>
          <w:numId w:val="0"/>
        </w:numPr>
        <w:ind w:left="240"/>
        <w:rPr>
          <w:rFonts w:ascii="宋体" w:hAnsi="宋体"/>
          <w:b w:val="0"/>
          <w:sz w:val="24"/>
        </w:rPr>
      </w:pPr>
      <w:bookmarkStart w:id="31" w:name="_Toc2723"/>
      <w:bookmarkStart w:id="32" w:name="_Toc33194710"/>
      <w:bookmarkStart w:id="33" w:name="_Toc33212764"/>
      <w:r>
        <w:rPr>
          <w:rFonts w:hint="eastAsia" w:ascii="宋体" w:hAnsi="宋体"/>
          <w:b w:val="0"/>
          <w:sz w:val="24"/>
        </w:rPr>
        <w:t>九、代理服务费</w:t>
      </w:r>
      <w:bookmarkEnd w:id="31"/>
      <w:bookmarkEnd w:id="32"/>
      <w:bookmarkEnd w:id="33"/>
    </w:p>
    <w:p>
      <w:pPr>
        <w:spacing w:line="360" w:lineRule="auto"/>
        <w:rPr>
          <w:rFonts w:ascii="宋体" w:hAnsi="宋体"/>
          <w:b/>
          <w:sz w:val="24"/>
        </w:rPr>
      </w:pPr>
      <w:r>
        <w:rPr>
          <w:rFonts w:hint="eastAsia" w:ascii="宋体" w:hAnsi="宋体"/>
          <w:b/>
          <w:sz w:val="24"/>
        </w:rPr>
        <w:t>31.代理服务费</w:t>
      </w:r>
    </w:p>
    <w:p>
      <w:pPr>
        <w:spacing w:line="360" w:lineRule="auto"/>
        <w:ind w:firstLine="470" w:firstLineChars="196"/>
        <w:rPr>
          <w:rFonts w:ascii="宋体" w:hAnsi="宋体"/>
          <w:sz w:val="24"/>
        </w:rPr>
      </w:pPr>
      <w:r>
        <w:rPr>
          <w:rFonts w:hint="eastAsia" w:ascii="宋体" w:hAnsi="宋体"/>
          <w:sz w:val="24"/>
        </w:rPr>
        <w:t>31.1代理服务费按照招标文件第二部分“投标人须知前附表”中第25项的规定由中标人交纳，请投标人在测算投标报价时充分考虑这一因素。</w:t>
      </w:r>
    </w:p>
    <w:p>
      <w:pPr>
        <w:pStyle w:val="4"/>
        <w:numPr>
          <w:ilvl w:val="0"/>
          <w:numId w:val="0"/>
        </w:numPr>
        <w:ind w:left="240"/>
        <w:rPr>
          <w:rFonts w:ascii="宋体" w:hAnsi="宋体"/>
          <w:b w:val="0"/>
          <w:sz w:val="24"/>
        </w:rPr>
      </w:pPr>
      <w:bookmarkStart w:id="34" w:name="_Toc25405"/>
      <w:bookmarkStart w:id="35" w:name="_Toc33194711"/>
      <w:bookmarkStart w:id="36" w:name="_Toc33212765"/>
      <w:r>
        <w:rPr>
          <w:rFonts w:hint="eastAsia" w:ascii="宋体" w:hAnsi="宋体"/>
          <w:b w:val="0"/>
          <w:sz w:val="24"/>
        </w:rPr>
        <w:t>十、签订、备案合同</w:t>
      </w:r>
      <w:bookmarkEnd w:id="34"/>
      <w:bookmarkEnd w:id="35"/>
      <w:bookmarkEnd w:id="36"/>
    </w:p>
    <w:p>
      <w:pPr>
        <w:spacing w:line="360" w:lineRule="auto"/>
        <w:rPr>
          <w:rFonts w:ascii="宋体" w:hAnsi="宋体"/>
          <w:b/>
          <w:sz w:val="24"/>
        </w:rPr>
      </w:pPr>
      <w:r>
        <w:rPr>
          <w:rFonts w:hint="eastAsia" w:ascii="宋体" w:hAnsi="宋体"/>
          <w:b/>
          <w:sz w:val="24"/>
        </w:rPr>
        <w:t>32.中标通知</w:t>
      </w:r>
    </w:p>
    <w:p>
      <w:pPr>
        <w:spacing w:line="360" w:lineRule="auto"/>
        <w:ind w:firstLine="480" w:firstLineChars="200"/>
        <w:rPr>
          <w:rFonts w:ascii="宋体" w:hAnsi="宋体"/>
          <w:sz w:val="24"/>
        </w:rPr>
      </w:pPr>
      <w:r>
        <w:rPr>
          <w:rFonts w:hint="eastAsia" w:ascii="宋体" w:hAnsi="宋体"/>
          <w:sz w:val="24"/>
        </w:rPr>
        <w:t>32.1中标人确定后, 采购代理机构将在相关政府采购信息发布媒体上发布中标公告，并以书面形式向中标人发出中标通知书，但该中标结果的有效性不依赖于未中标的投标人是否已经收到该通知。中标人应按照上述第30、31条的规定交纳履约保证金、代理服务费并经采购代理机构确认后，委派专人持授权书和身份证件前往采购代理机构处领取中标通知书。中标通知书对采购人和中标人具有同等法律效力。中标通知书发出以后，采购人改变中标结果或者中标人放弃中标，应当承担相应的法律责任。</w:t>
      </w:r>
    </w:p>
    <w:p>
      <w:pPr>
        <w:spacing w:line="360" w:lineRule="auto"/>
        <w:ind w:firstLine="480" w:firstLineChars="200"/>
        <w:rPr>
          <w:rFonts w:ascii="宋体" w:hAnsi="宋体"/>
          <w:sz w:val="24"/>
        </w:rPr>
      </w:pPr>
      <w:r>
        <w:rPr>
          <w:rFonts w:hint="eastAsia" w:ascii="宋体" w:hAnsi="宋体"/>
          <w:sz w:val="24"/>
        </w:rPr>
        <w:t>32.2采购代理机构对未中标的投标人不作未中标原因的解释，但中标结果的有效性不以未中标的投标人是否收到相应的通知为前提。</w:t>
      </w:r>
    </w:p>
    <w:p>
      <w:pPr>
        <w:spacing w:line="360" w:lineRule="auto"/>
        <w:ind w:firstLine="480" w:firstLineChars="200"/>
        <w:rPr>
          <w:rFonts w:ascii="宋体" w:hAnsi="宋体"/>
          <w:sz w:val="24"/>
        </w:rPr>
      </w:pPr>
      <w:r>
        <w:rPr>
          <w:rFonts w:hint="eastAsia" w:ascii="宋体" w:hAnsi="宋体"/>
          <w:sz w:val="24"/>
        </w:rPr>
        <w:t>32.3中标通知书是合同的组成部分。</w:t>
      </w:r>
    </w:p>
    <w:p>
      <w:pPr>
        <w:spacing w:line="360" w:lineRule="auto"/>
        <w:rPr>
          <w:rFonts w:ascii="宋体" w:hAnsi="宋体"/>
          <w:b/>
          <w:sz w:val="24"/>
        </w:rPr>
      </w:pPr>
      <w:r>
        <w:rPr>
          <w:rFonts w:hint="eastAsia" w:ascii="宋体" w:hAnsi="宋体"/>
          <w:b/>
          <w:sz w:val="24"/>
        </w:rPr>
        <w:t>33.签订合同</w:t>
      </w:r>
    </w:p>
    <w:p>
      <w:pPr>
        <w:spacing w:line="360" w:lineRule="auto"/>
        <w:ind w:firstLine="480" w:firstLineChars="200"/>
        <w:rPr>
          <w:rFonts w:ascii="宋体" w:hAnsi="宋体"/>
          <w:sz w:val="24"/>
        </w:rPr>
      </w:pPr>
      <w:r>
        <w:rPr>
          <w:rFonts w:hint="eastAsia" w:ascii="宋体" w:hAnsi="宋体"/>
          <w:sz w:val="24"/>
        </w:rPr>
        <w:t>33.1采购人与中标人须在中标通知书发出之日起15日内，按照招标文件、投标文件及评标过程中的有关澄清、说明或者补正文件的内容签订政府采购合同。中标人不得再与采购人签订背离合同实质性内容的其他协议或声明。</w:t>
      </w:r>
    </w:p>
    <w:p>
      <w:pPr>
        <w:spacing w:line="360" w:lineRule="auto"/>
        <w:ind w:firstLine="480" w:firstLineChars="200"/>
        <w:rPr>
          <w:rFonts w:ascii="宋体" w:hAnsi="宋体"/>
          <w:sz w:val="24"/>
        </w:rPr>
      </w:pPr>
      <w:r>
        <w:rPr>
          <w:rFonts w:hint="eastAsia" w:ascii="宋体" w:hAnsi="宋体"/>
          <w:sz w:val="24"/>
        </w:rPr>
        <w:t>33.2中标人一旦中标及签订合同后，不得转包，亦不得将合同全部及任何权利、义务向第三方转让。</w:t>
      </w:r>
    </w:p>
    <w:p>
      <w:pPr>
        <w:spacing w:line="360" w:lineRule="auto"/>
        <w:ind w:firstLine="480" w:firstLineChars="200"/>
        <w:rPr>
          <w:rFonts w:ascii="宋体" w:hAnsi="宋体"/>
          <w:sz w:val="24"/>
        </w:rPr>
      </w:pPr>
      <w:r>
        <w:rPr>
          <w:rFonts w:hint="eastAsia" w:ascii="宋体" w:hAnsi="宋体"/>
          <w:sz w:val="24"/>
        </w:rPr>
        <w:t>33.3中标人拒绝与采购人签订合同或不履行合同的，采购人可以重新开展政府采购活动，也可以在报经同级人民政府财政部门核准后，按照评审报告推荐的中标候选人名单排序，确定下一候选人为中标人并与该中标人签订合同。</w:t>
      </w:r>
    </w:p>
    <w:p>
      <w:pPr>
        <w:spacing w:line="360" w:lineRule="auto"/>
        <w:ind w:firstLine="480" w:firstLineChars="200"/>
        <w:rPr>
          <w:rFonts w:ascii="宋体" w:hAnsi="宋体"/>
          <w:sz w:val="24"/>
        </w:rPr>
      </w:pPr>
      <w:r>
        <w:rPr>
          <w:rFonts w:hint="eastAsia" w:ascii="宋体" w:hAnsi="宋体"/>
          <w:sz w:val="24"/>
        </w:rPr>
        <w:t>33.4政府采购合同履行中，采购人需追加与合同标的相同的货物、工程或者服务的，在不改变合同其他条款的前提下，可以与中标人签订补充合同并报同级财政部门、采购代理机构备案，但所有补充合同的采购金额不得超过原合同金额的百分之十。</w:t>
      </w:r>
    </w:p>
    <w:p>
      <w:pPr>
        <w:spacing w:line="360" w:lineRule="auto"/>
        <w:ind w:firstLine="480" w:firstLineChars="200"/>
        <w:rPr>
          <w:rFonts w:ascii="宋体" w:hAnsi="宋体"/>
          <w:sz w:val="24"/>
        </w:rPr>
      </w:pPr>
      <w:r>
        <w:rPr>
          <w:rFonts w:hint="eastAsia" w:ascii="宋体" w:hAnsi="宋体"/>
          <w:sz w:val="24"/>
        </w:rPr>
        <w:t>33.5政府采购合同适用合同法，因违反有关约定给对方造成损失的，应承担赔偿责任。</w:t>
      </w:r>
    </w:p>
    <w:p>
      <w:pPr>
        <w:spacing w:line="360" w:lineRule="auto"/>
        <w:ind w:firstLine="480" w:firstLineChars="200"/>
        <w:rPr>
          <w:rFonts w:ascii="宋体" w:hAnsi="宋体"/>
          <w:sz w:val="24"/>
        </w:rPr>
      </w:pPr>
      <w:r>
        <w:rPr>
          <w:rFonts w:hint="eastAsia" w:ascii="宋体" w:hAnsi="宋体"/>
          <w:sz w:val="24"/>
        </w:rPr>
        <w:t>33.6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pacing w:line="360" w:lineRule="auto"/>
        <w:rPr>
          <w:rFonts w:ascii="宋体" w:hAnsi="宋体"/>
          <w:b/>
          <w:sz w:val="24"/>
        </w:rPr>
      </w:pPr>
      <w:r>
        <w:rPr>
          <w:rFonts w:hint="eastAsia" w:ascii="宋体" w:hAnsi="宋体"/>
          <w:b/>
          <w:sz w:val="24"/>
        </w:rPr>
        <w:t>34.合同备案</w:t>
      </w:r>
    </w:p>
    <w:p>
      <w:pPr>
        <w:spacing w:line="360" w:lineRule="auto"/>
        <w:ind w:firstLine="480" w:firstLineChars="200"/>
        <w:rPr>
          <w:rFonts w:ascii="宋体" w:hAnsi="宋体"/>
          <w:sz w:val="24"/>
        </w:rPr>
      </w:pPr>
      <w:r>
        <w:rPr>
          <w:rFonts w:hint="eastAsia" w:ascii="宋体" w:hAnsi="宋体"/>
          <w:sz w:val="24"/>
        </w:rPr>
        <w:t>34.1中标人持政府采购合同于签订合同之日起2个工作日内到采购代理机构处进行备案留存。</w:t>
      </w:r>
    </w:p>
    <w:p>
      <w:pPr>
        <w:pStyle w:val="4"/>
        <w:numPr>
          <w:ilvl w:val="0"/>
          <w:numId w:val="0"/>
        </w:numPr>
        <w:ind w:left="240"/>
        <w:rPr>
          <w:rFonts w:ascii="宋体" w:hAnsi="宋体"/>
          <w:b w:val="0"/>
          <w:sz w:val="24"/>
        </w:rPr>
      </w:pPr>
      <w:bookmarkStart w:id="37" w:name="_Toc4224"/>
      <w:bookmarkStart w:id="38" w:name="_Toc33212766"/>
      <w:bookmarkStart w:id="39" w:name="_Toc33194712"/>
      <w:r>
        <w:rPr>
          <w:rFonts w:hint="eastAsia" w:ascii="宋体" w:hAnsi="宋体"/>
          <w:b w:val="0"/>
          <w:sz w:val="24"/>
        </w:rPr>
        <w:t>十一、处罚、询问和质疑</w:t>
      </w:r>
      <w:bookmarkEnd w:id="37"/>
      <w:bookmarkEnd w:id="38"/>
      <w:bookmarkEnd w:id="39"/>
      <w:r>
        <w:rPr>
          <w:rFonts w:hint="eastAsia" w:ascii="宋体" w:hAnsi="宋体"/>
          <w:b w:val="0"/>
          <w:sz w:val="24"/>
        </w:rPr>
        <w:t xml:space="preserve"> </w:t>
      </w:r>
    </w:p>
    <w:p>
      <w:pPr>
        <w:spacing w:line="360" w:lineRule="auto"/>
        <w:rPr>
          <w:rFonts w:ascii="宋体" w:hAnsi="宋体"/>
          <w:b/>
          <w:sz w:val="24"/>
        </w:rPr>
      </w:pPr>
      <w:r>
        <w:rPr>
          <w:rFonts w:hint="eastAsia" w:ascii="宋体" w:hAnsi="宋体"/>
          <w:b/>
          <w:sz w:val="24"/>
        </w:rPr>
        <w:t>35.处罚</w:t>
      </w:r>
    </w:p>
    <w:p>
      <w:pPr>
        <w:spacing w:line="360" w:lineRule="auto"/>
        <w:ind w:firstLine="480" w:firstLineChars="200"/>
        <w:rPr>
          <w:rFonts w:ascii="宋体" w:hAnsi="宋体"/>
          <w:sz w:val="24"/>
        </w:rPr>
      </w:pPr>
      <w:r>
        <w:rPr>
          <w:rFonts w:hint="eastAsia" w:ascii="宋体" w:hAnsi="宋体"/>
          <w:sz w:val="24"/>
        </w:rPr>
        <w:t>35.1投标人有下列情形之一的，投标保证金或履约保证金不予退还并上交财政，并对其违法、违规行为移交有关部门依据《中华人民共和国政府采购法》和《中华人民共和国政府采购法实施条例》进行处理。</w:t>
      </w:r>
    </w:p>
    <w:p>
      <w:pPr>
        <w:spacing w:line="360" w:lineRule="auto"/>
        <w:ind w:firstLine="480" w:firstLineChars="200"/>
        <w:rPr>
          <w:rFonts w:ascii="宋体" w:hAnsi="宋体"/>
          <w:sz w:val="24"/>
        </w:rPr>
      </w:pPr>
      <w:r>
        <w:rPr>
          <w:rFonts w:hint="eastAsia" w:ascii="宋体" w:hAnsi="宋体"/>
          <w:sz w:val="24"/>
        </w:rPr>
        <w:t>1）开标后在投标有效期内撤回其投标；</w:t>
      </w:r>
    </w:p>
    <w:p>
      <w:pPr>
        <w:spacing w:line="360" w:lineRule="auto"/>
        <w:ind w:firstLine="480" w:firstLineChars="200"/>
        <w:rPr>
          <w:rFonts w:ascii="宋体" w:hAnsi="宋体"/>
          <w:sz w:val="24"/>
        </w:rPr>
      </w:pPr>
      <w:r>
        <w:rPr>
          <w:rFonts w:hint="eastAsia" w:ascii="宋体" w:hAnsi="宋体"/>
          <w:sz w:val="24"/>
        </w:rPr>
        <w:t>2）提供虚假材料谋取中标；</w:t>
      </w:r>
    </w:p>
    <w:p>
      <w:pPr>
        <w:spacing w:line="360" w:lineRule="auto"/>
        <w:ind w:firstLine="480" w:firstLineChars="200"/>
        <w:rPr>
          <w:rFonts w:ascii="宋体" w:hAnsi="宋体"/>
          <w:sz w:val="24"/>
        </w:rPr>
      </w:pPr>
      <w:r>
        <w:rPr>
          <w:rFonts w:hint="eastAsia" w:ascii="宋体" w:hAnsi="宋体"/>
          <w:sz w:val="24"/>
        </w:rPr>
        <w:t>3）采取不正当手段诋毁、排挤其他投标人；</w:t>
      </w:r>
    </w:p>
    <w:p>
      <w:pPr>
        <w:spacing w:line="360" w:lineRule="auto"/>
        <w:ind w:firstLine="480" w:firstLineChars="200"/>
        <w:rPr>
          <w:rFonts w:ascii="宋体" w:hAnsi="宋体"/>
          <w:sz w:val="24"/>
        </w:rPr>
      </w:pPr>
      <w:r>
        <w:rPr>
          <w:rFonts w:hint="eastAsia" w:ascii="宋体" w:hAnsi="宋体"/>
          <w:sz w:val="24"/>
        </w:rPr>
        <w:t>4）与采购人、其他投标人或者采购代理机构串通投标的；</w:t>
      </w:r>
    </w:p>
    <w:p>
      <w:pPr>
        <w:spacing w:line="360" w:lineRule="auto"/>
        <w:ind w:firstLine="480" w:firstLineChars="200"/>
        <w:rPr>
          <w:rFonts w:ascii="宋体" w:hAnsi="宋体"/>
          <w:sz w:val="24"/>
        </w:rPr>
      </w:pPr>
      <w:r>
        <w:rPr>
          <w:rFonts w:hint="eastAsia" w:ascii="宋体" w:hAnsi="宋体"/>
          <w:sz w:val="24"/>
        </w:rPr>
        <w:t>5）向评标委员会、采购人、采购代理机构行贿或者提供其他不正当利益的；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6）在招标采购过程中与采购人进行协商谈判；</w:t>
      </w:r>
    </w:p>
    <w:p>
      <w:pPr>
        <w:spacing w:line="360" w:lineRule="auto"/>
        <w:ind w:firstLine="480" w:firstLineChars="200"/>
        <w:rPr>
          <w:rFonts w:ascii="宋体" w:hAnsi="宋体"/>
          <w:sz w:val="24"/>
        </w:rPr>
      </w:pPr>
      <w:r>
        <w:rPr>
          <w:rFonts w:hint="eastAsia" w:ascii="宋体" w:hAnsi="宋体"/>
          <w:sz w:val="24"/>
        </w:rPr>
        <w:t>7）中标后无正当理由拒不与采购人签订政府采购合同；</w:t>
      </w:r>
    </w:p>
    <w:p>
      <w:pPr>
        <w:spacing w:line="360" w:lineRule="auto"/>
        <w:ind w:firstLine="480" w:firstLineChars="200"/>
        <w:rPr>
          <w:rFonts w:ascii="宋体" w:hAnsi="宋体"/>
          <w:sz w:val="24"/>
        </w:rPr>
      </w:pPr>
      <w:r>
        <w:rPr>
          <w:rFonts w:hint="eastAsia" w:ascii="宋体" w:hAnsi="宋体"/>
          <w:sz w:val="24"/>
        </w:rPr>
        <w:t>8）未按照采购文件确定的事项签订政府采购合同，或与采购人订立背离合同实质性内容的其他协议；</w:t>
      </w:r>
    </w:p>
    <w:p>
      <w:pPr>
        <w:spacing w:line="360" w:lineRule="auto"/>
        <w:ind w:firstLine="480" w:firstLineChars="200"/>
        <w:rPr>
          <w:rFonts w:ascii="宋体" w:hAnsi="宋体"/>
          <w:sz w:val="24"/>
        </w:rPr>
      </w:pPr>
      <w:r>
        <w:rPr>
          <w:rFonts w:hint="eastAsia" w:ascii="宋体" w:hAnsi="宋体"/>
          <w:sz w:val="24"/>
        </w:rPr>
        <w:t>9）将政府采购合同转包，或者在投标文件中未说明，且未经采购人、采购代理机构同意，将中标项目分包给他人；</w:t>
      </w:r>
    </w:p>
    <w:p>
      <w:pPr>
        <w:spacing w:line="360" w:lineRule="auto"/>
        <w:ind w:firstLine="480" w:firstLineChars="200"/>
        <w:rPr>
          <w:rFonts w:ascii="宋体" w:hAnsi="宋体"/>
          <w:sz w:val="24"/>
        </w:rPr>
      </w:pPr>
      <w:r>
        <w:rPr>
          <w:rFonts w:hint="eastAsia" w:ascii="宋体" w:hAnsi="宋体"/>
          <w:sz w:val="24"/>
        </w:rPr>
        <w:t>10）提供假冒伪劣产品；</w:t>
      </w:r>
    </w:p>
    <w:p>
      <w:pPr>
        <w:spacing w:line="360" w:lineRule="auto"/>
        <w:ind w:firstLine="480" w:firstLineChars="200"/>
        <w:rPr>
          <w:rFonts w:ascii="宋体" w:hAnsi="宋体"/>
          <w:sz w:val="24"/>
        </w:rPr>
      </w:pPr>
      <w:r>
        <w:rPr>
          <w:rFonts w:hint="eastAsia" w:ascii="宋体" w:hAnsi="宋体"/>
          <w:sz w:val="24"/>
        </w:rPr>
        <w:t>11）擅自变更、中止或者终止政府采购合同；</w:t>
      </w:r>
    </w:p>
    <w:p>
      <w:pPr>
        <w:spacing w:line="360" w:lineRule="auto"/>
        <w:ind w:firstLine="480" w:firstLineChars="200"/>
        <w:rPr>
          <w:rFonts w:ascii="宋体" w:hAnsi="宋体"/>
          <w:sz w:val="24"/>
        </w:rPr>
      </w:pPr>
      <w:r>
        <w:rPr>
          <w:rFonts w:hint="eastAsia" w:ascii="宋体" w:hAnsi="宋体"/>
          <w:sz w:val="24"/>
        </w:rPr>
        <w:t>12）捏造事实进行虚假质疑、投诉的；</w:t>
      </w:r>
    </w:p>
    <w:p>
      <w:pPr>
        <w:spacing w:line="360" w:lineRule="auto"/>
        <w:ind w:firstLine="480" w:firstLineChars="200"/>
        <w:rPr>
          <w:rFonts w:ascii="宋体" w:hAnsi="宋体"/>
          <w:sz w:val="24"/>
        </w:rPr>
      </w:pPr>
      <w:r>
        <w:rPr>
          <w:rFonts w:hint="eastAsia" w:ascii="宋体" w:hAnsi="宋体"/>
          <w:sz w:val="24"/>
        </w:rPr>
        <w:t>13）拒绝有关部门监督检查或者提供虚假情况；</w:t>
      </w:r>
    </w:p>
    <w:p>
      <w:pPr>
        <w:spacing w:line="360" w:lineRule="auto"/>
        <w:ind w:firstLine="480" w:firstLineChars="200"/>
        <w:rPr>
          <w:rFonts w:ascii="宋体" w:hAnsi="宋体" w:cs="宋体"/>
          <w:kern w:val="0"/>
          <w:szCs w:val="21"/>
        </w:rPr>
      </w:pPr>
      <w:r>
        <w:rPr>
          <w:rFonts w:hint="eastAsia" w:ascii="宋体" w:hAnsi="宋体"/>
          <w:sz w:val="24"/>
        </w:rPr>
        <w:t>14）违法法律、法规规定的其他行为。</w:t>
      </w:r>
    </w:p>
    <w:p>
      <w:pPr>
        <w:spacing w:line="360" w:lineRule="auto"/>
        <w:rPr>
          <w:rFonts w:ascii="宋体" w:hAnsi="宋体"/>
          <w:b/>
          <w:sz w:val="24"/>
        </w:rPr>
      </w:pPr>
      <w:r>
        <w:rPr>
          <w:rFonts w:hint="eastAsia" w:ascii="宋体" w:hAnsi="宋体"/>
          <w:b/>
          <w:sz w:val="24"/>
        </w:rPr>
        <w:t>36．询问</w:t>
      </w:r>
    </w:p>
    <w:p>
      <w:pPr>
        <w:spacing w:line="360" w:lineRule="auto"/>
        <w:ind w:firstLine="480" w:firstLineChars="200"/>
        <w:rPr>
          <w:rFonts w:ascii="宋体" w:hAnsi="宋体"/>
          <w:sz w:val="24"/>
        </w:rPr>
      </w:pPr>
      <w:r>
        <w:rPr>
          <w:rFonts w:hint="eastAsia" w:ascii="宋体" w:hAnsi="宋体"/>
          <w:sz w:val="24"/>
        </w:rPr>
        <w:t>36.1投标人对采购事项有疑问的，可以向采购人或采购代理机构提出询问。</w:t>
      </w:r>
    </w:p>
    <w:p>
      <w:pPr>
        <w:spacing w:line="360" w:lineRule="auto"/>
        <w:rPr>
          <w:rFonts w:ascii="宋体" w:hAnsi="宋体"/>
          <w:b/>
          <w:sz w:val="24"/>
        </w:rPr>
      </w:pPr>
      <w:r>
        <w:rPr>
          <w:rFonts w:hint="eastAsia" w:ascii="宋体" w:hAnsi="宋体"/>
          <w:b/>
          <w:sz w:val="24"/>
        </w:rPr>
        <w:t>37.投标人有权就招标事宜提出质疑</w:t>
      </w:r>
    </w:p>
    <w:p>
      <w:pPr>
        <w:spacing w:line="360" w:lineRule="auto"/>
        <w:ind w:firstLine="480" w:firstLineChars="200"/>
        <w:rPr>
          <w:rFonts w:ascii="宋体" w:hAnsi="宋体"/>
          <w:sz w:val="24"/>
        </w:rPr>
      </w:pPr>
      <w:r>
        <w:rPr>
          <w:rFonts w:hint="eastAsia" w:ascii="宋体" w:hAnsi="宋体"/>
          <w:sz w:val="24"/>
        </w:rPr>
        <w:t>37.1投标人认为招标文件、采购过程和中标结果使自已的权益受到损害的，可以在知道或者应知其权益受到损害之日起7个工作日内，以书面形式向采购人或采购代理机构提出质疑。质疑的提出应当符合《中华人民共和国政府采购法》、《中华人民共和国政府采购法实施条例》的相关规定。</w:t>
      </w:r>
    </w:p>
    <w:p>
      <w:pPr>
        <w:spacing w:line="360" w:lineRule="auto"/>
        <w:ind w:firstLine="480" w:firstLineChars="200"/>
        <w:rPr>
          <w:rFonts w:ascii="宋体" w:hAnsi="宋体"/>
          <w:sz w:val="24"/>
        </w:rPr>
      </w:pPr>
      <w:r>
        <w:rPr>
          <w:rFonts w:hint="eastAsia" w:ascii="宋体" w:hAnsi="宋体"/>
          <w:sz w:val="24"/>
        </w:rPr>
        <w:t>37.2投标人质疑应当有明确的请求和必要的证明材料，否则质疑将被予以驳回，并不得以上述理由要求延长质疑有效期。未递交投标文件的供应商，其未参加后续采购活动，不得对递交投标文件截止后的采购过程、采购结果提出质疑。</w:t>
      </w:r>
    </w:p>
    <w:p>
      <w:pPr>
        <w:spacing w:line="360" w:lineRule="auto"/>
        <w:ind w:firstLine="480" w:firstLineChars="200"/>
        <w:rPr>
          <w:rFonts w:ascii="宋体" w:hAnsi="宋体"/>
          <w:sz w:val="24"/>
        </w:rPr>
      </w:pPr>
      <w:r>
        <w:rPr>
          <w:rFonts w:hint="eastAsia" w:ascii="宋体" w:hAnsi="宋体"/>
          <w:sz w:val="24"/>
        </w:rPr>
        <w:t>37.3质疑人可以采取直接送达或者邮寄方式提交质疑书。采购代理机构收到质疑书后，对质疑书进行审查，对符合质疑条件的将办理签收手续，自签收质疑书之日起即为受理。</w:t>
      </w:r>
    </w:p>
    <w:p>
      <w:pPr>
        <w:spacing w:line="360" w:lineRule="auto"/>
        <w:ind w:firstLine="480" w:firstLineChars="200"/>
        <w:rPr>
          <w:rFonts w:ascii="宋体" w:hAnsi="宋体"/>
          <w:sz w:val="24"/>
        </w:rPr>
      </w:pPr>
      <w:r>
        <w:rPr>
          <w:rFonts w:hint="eastAsia" w:ascii="宋体" w:hAnsi="宋体"/>
          <w:sz w:val="24"/>
        </w:rPr>
        <w:t>37.4采购代理机构将在受理书面质疑后7个工作日内审查质疑事项，作出答复或相关处理决定，并以书面形式通知质疑人和其他相关供应商，但答复的内容不涉及商业秘密。</w:t>
      </w:r>
    </w:p>
    <w:p>
      <w:pPr>
        <w:spacing w:line="360" w:lineRule="auto"/>
        <w:ind w:firstLine="480" w:firstLineChars="200"/>
        <w:rPr>
          <w:rFonts w:ascii="宋体" w:hAnsi="宋体"/>
          <w:sz w:val="24"/>
        </w:rPr>
      </w:pPr>
      <w:r>
        <w:rPr>
          <w:rFonts w:hint="eastAsia" w:ascii="宋体" w:hAnsi="宋体"/>
          <w:sz w:val="24"/>
        </w:rPr>
        <w:t>37.5投标人进行虚假和恶意质疑的，采购代理机构将提请有关部门将其列入不良记录名单，在一至三年内禁止参加政府采购活动，并将处理决定在相关政府采购媒体上公布。</w:t>
      </w:r>
    </w:p>
    <w:p>
      <w:pPr>
        <w:spacing w:line="360" w:lineRule="auto"/>
        <w:ind w:firstLine="480" w:firstLineChars="200"/>
        <w:rPr>
          <w:rFonts w:ascii="宋体" w:hAnsi="宋体"/>
          <w:sz w:val="24"/>
        </w:rPr>
      </w:pPr>
      <w:r>
        <w:rPr>
          <w:rFonts w:hint="eastAsia" w:ascii="宋体" w:hAnsi="宋体"/>
          <w:sz w:val="24"/>
        </w:rPr>
        <w:t>37.6质疑人对答复不满意以及采购代理机构未在规定的时间内作出答复的，可以在答复期满后15个工作日内向行业主管部门投拆。</w:t>
      </w:r>
    </w:p>
    <w:p>
      <w:pPr>
        <w:pStyle w:val="4"/>
        <w:numPr>
          <w:ilvl w:val="0"/>
          <w:numId w:val="0"/>
        </w:numPr>
        <w:ind w:left="240"/>
        <w:rPr>
          <w:rFonts w:ascii="宋体" w:hAnsi="宋体"/>
          <w:b w:val="0"/>
          <w:sz w:val="24"/>
        </w:rPr>
      </w:pPr>
      <w:bookmarkStart w:id="40" w:name="_Toc33194713"/>
      <w:bookmarkStart w:id="41" w:name="_Toc33212767"/>
      <w:bookmarkStart w:id="42" w:name="_Toc15153"/>
      <w:r>
        <w:rPr>
          <w:rFonts w:hint="eastAsia" w:ascii="宋体" w:hAnsi="宋体"/>
          <w:b w:val="0"/>
          <w:sz w:val="24"/>
        </w:rPr>
        <w:t>十二、保密和披露</w:t>
      </w:r>
      <w:bookmarkEnd w:id="40"/>
      <w:bookmarkEnd w:id="41"/>
      <w:bookmarkEnd w:id="42"/>
    </w:p>
    <w:p>
      <w:pPr>
        <w:spacing w:line="360" w:lineRule="auto"/>
        <w:rPr>
          <w:rFonts w:ascii="宋体" w:hAnsi="宋体"/>
          <w:b/>
          <w:sz w:val="24"/>
        </w:rPr>
      </w:pPr>
      <w:r>
        <w:rPr>
          <w:rFonts w:hint="eastAsia" w:ascii="宋体" w:hAnsi="宋体"/>
          <w:b/>
          <w:sz w:val="24"/>
        </w:rPr>
        <w:t>38.保密和披露</w:t>
      </w:r>
    </w:p>
    <w:p>
      <w:pPr>
        <w:spacing w:line="360" w:lineRule="auto"/>
        <w:ind w:firstLine="480" w:firstLineChars="200"/>
        <w:rPr>
          <w:rFonts w:ascii="宋体" w:hAnsi="宋体"/>
          <w:sz w:val="24"/>
        </w:rPr>
      </w:pPr>
      <w:r>
        <w:rPr>
          <w:rFonts w:hint="eastAsia" w:ascii="宋体" w:hAnsi="宋体"/>
          <w:sz w:val="24"/>
        </w:rPr>
        <w:t>38.1投标人自领取招标文件之日起，须承担本招标项目保密义务，不得将因本次招标获得的信息向第三人外传。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ascii="宋体" w:hAnsi="宋体"/>
          <w:sz w:val="24"/>
        </w:rPr>
      </w:pPr>
      <w:r>
        <w:rPr>
          <w:rFonts w:hint="eastAsia" w:ascii="宋体" w:hAnsi="宋体"/>
          <w:sz w:val="24"/>
        </w:rPr>
        <w:t>38.2采购代理机构有权将投标人提供的所有资料向有关政府部门或评审标书的有关人员披露。</w:t>
      </w:r>
    </w:p>
    <w:p>
      <w:pPr>
        <w:spacing w:line="360" w:lineRule="auto"/>
        <w:ind w:firstLine="480" w:firstLineChars="200"/>
        <w:rPr>
          <w:rFonts w:ascii="宋体" w:hAnsi="宋体"/>
          <w:sz w:val="24"/>
        </w:rPr>
      </w:pPr>
      <w:r>
        <w:rPr>
          <w:rFonts w:hint="eastAsia" w:ascii="宋体" w:hAnsi="宋体"/>
          <w:sz w:val="24"/>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rPr>
          <w:rFonts w:eastAsia="黑体"/>
          <w:b/>
          <w:sz w:val="36"/>
        </w:rPr>
      </w:pPr>
      <w:bookmarkStart w:id="43" w:name="_Toc33212768"/>
      <w:bookmarkStart w:id="44" w:name="_Toc23714"/>
      <w:bookmarkStart w:id="45" w:name="_Toc33194714"/>
      <w:r>
        <w:rPr>
          <w:rFonts w:hint="eastAsia" w:eastAsia="黑体"/>
          <w:b/>
          <w:sz w:val="36"/>
        </w:rPr>
        <w:br w:type="page"/>
      </w:r>
    </w:p>
    <w:p>
      <w:pPr>
        <w:pStyle w:val="19"/>
        <w:tabs>
          <w:tab w:val="left" w:pos="0"/>
        </w:tabs>
        <w:spacing w:line="240" w:lineRule="auto"/>
        <w:ind w:left="0" w:leftChars="0" w:firstLine="2530" w:firstLineChars="700"/>
        <w:outlineLvl w:val="0"/>
        <w:rPr>
          <w:rFonts w:eastAsia="黑体"/>
          <w:b/>
          <w:color w:val="FF0000"/>
          <w:sz w:val="36"/>
        </w:rPr>
      </w:pPr>
      <w:r>
        <w:rPr>
          <w:rFonts w:hint="eastAsia" w:eastAsia="黑体"/>
          <w:b/>
          <w:color w:val="FF0000"/>
          <w:sz w:val="36"/>
        </w:rPr>
        <w:t>第四部分   采购清单</w:t>
      </w:r>
      <w:bookmarkEnd w:id="43"/>
      <w:bookmarkEnd w:id="44"/>
      <w:bookmarkEnd w:id="45"/>
    </w:p>
    <w:tbl>
      <w:tblPr>
        <w:tblStyle w:val="37"/>
        <w:tblW w:w="8711" w:type="dxa"/>
        <w:tblInd w:w="0" w:type="dxa"/>
        <w:tblLayout w:type="fixed"/>
        <w:tblCellMar>
          <w:top w:w="0" w:type="dxa"/>
          <w:left w:w="0" w:type="dxa"/>
          <w:bottom w:w="0" w:type="dxa"/>
          <w:right w:w="0" w:type="dxa"/>
        </w:tblCellMar>
      </w:tblPr>
      <w:tblGrid>
        <w:gridCol w:w="478"/>
        <w:gridCol w:w="965"/>
        <w:gridCol w:w="6254"/>
        <w:gridCol w:w="545"/>
        <w:gridCol w:w="469"/>
      </w:tblGrid>
      <w:tr>
        <w:tblPrEx>
          <w:tblCellMar>
            <w:top w:w="0" w:type="dxa"/>
            <w:left w:w="0" w:type="dxa"/>
            <w:bottom w:w="0" w:type="dxa"/>
            <w:right w:w="0" w:type="dxa"/>
          </w:tblCellMar>
        </w:tblPrEx>
        <w:trPr>
          <w:trHeight w:val="36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lang w:bidi="ar"/>
              </w:rPr>
              <w:t>序号</w:t>
            </w:r>
          </w:p>
        </w:tc>
        <w:tc>
          <w:tcPr>
            <w:tcW w:w="965"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lang w:bidi="ar"/>
              </w:rPr>
              <w:t>名称</w:t>
            </w:r>
          </w:p>
        </w:tc>
        <w:tc>
          <w:tcPr>
            <w:tcW w:w="6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lang w:bidi="ar"/>
              </w:rPr>
              <w:t>规格型号</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lang w:bidi="ar"/>
              </w:rPr>
              <w:t>计量单位</w:t>
            </w:r>
          </w:p>
        </w:tc>
        <w:tc>
          <w:tcPr>
            <w:tcW w:w="46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20"/>
                <w:szCs w:val="20"/>
              </w:rPr>
            </w:pPr>
            <w:r>
              <w:rPr>
                <w:rFonts w:hint="eastAsia" w:ascii="宋体" w:hAnsi="宋体" w:cs="宋体"/>
                <w:bCs/>
                <w:kern w:val="0"/>
                <w:sz w:val="20"/>
                <w:szCs w:val="20"/>
                <w:lang w:bidi="ar"/>
              </w:rPr>
              <w:t>数量</w:t>
            </w:r>
          </w:p>
        </w:tc>
      </w:tr>
      <w:tr>
        <w:tblPrEx>
          <w:tblCellMar>
            <w:top w:w="0" w:type="dxa"/>
            <w:left w:w="0" w:type="dxa"/>
            <w:bottom w:w="0" w:type="dxa"/>
            <w:right w:w="0" w:type="dxa"/>
          </w:tblCellMar>
        </w:tblPrEx>
        <w:trPr>
          <w:trHeight w:val="36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20"/>
                <w:szCs w:val="20"/>
              </w:rPr>
            </w:pPr>
          </w:p>
        </w:tc>
        <w:tc>
          <w:tcPr>
            <w:tcW w:w="965"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宋体" w:hAnsi="宋体" w:cs="宋体"/>
                <w:bCs/>
                <w:sz w:val="20"/>
                <w:szCs w:val="20"/>
              </w:rPr>
            </w:pPr>
          </w:p>
        </w:tc>
        <w:tc>
          <w:tcPr>
            <w:tcW w:w="6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20"/>
                <w:szCs w:val="20"/>
              </w:rPr>
            </w:pPr>
          </w:p>
        </w:tc>
        <w:tc>
          <w:tcPr>
            <w:tcW w:w="46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宋体" w:hAnsi="宋体" w:cs="宋体"/>
                <w:bCs/>
                <w:sz w:val="20"/>
                <w:szCs w:val="20"/>
              </w:rPr>
            </w:pPr>
          </w:p>
        </w:tc>
      </w:tr>
      <w:tr>
        <w:tblPrEx>
          <w:tblCellMar>
            <w:top w:w="0" w:type="dxa"/>
            <w:left w:w="0" w:type="dxa"/>
            <w:bottom w:w="0" w:type="dxa"/>
            <w:right w:w="0" w:type="dxa"/>
          </w:tblCellMar>
        </w:tblPrEx>
        <w:trPr>
          <w:trHeight w:val="420" w:hRule="atLeast"/>
        </w:trPr>
        <w:tc>
          <w:tcPr>
            <w:tcW w:w="871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6"/>
                <w:szCs w:val="16"/>
              </w:rPr>
            </w:pPr>
            <w:r>
              <w:rPr>
                <w:rFonts w:hint="eastAsia" w:ascii="宋体" w:hAnsi="宋体" w:cs="宋体"/>
                <w:bCs/>
                <w:kern w:val="0"/>
                <w:sz w:val="16"/>
                <w:szCs w:val="16"/>
                <w:lang w:bidi="ar"/>
              </w:rPr>
              <w:t>一、6#车间速冻库、冷藏库设备</w:t>
            </w:r>
          </w:p>
        </w:tc>
      </w:tr>
      <w:tr>
        <w:tblPrEx>
          <w:tblCellMar>
            <w:top w:w="0" w:type="dxa"/>
            <w:left w:w="0" w:type="dxa"/>
            <w:bottom w:w="0" w:type="dxa"/>
            <w:right w:w="0" w:type="dxa"/>
          </w:tblCellMar>
        </w:tblPrEx>
        <w:trPr>
          <w:trHeight w:val="23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★风冷压缩冷凝机组</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螺杆式低温制冷机组，在-4</w:t>
            </w:r>
            <w:r>
              <w:rPr>
                <w:rFonts w:ascii="宋体" w:hAnsi="宋体" w:cs="宋体"/>
                <w:bCs/>
                <w:kern w:val="0"/>
                <w:sz w:val="18"/>
                <w:szCs w:val="18"/>
                <w:lang w:bidi="ar"/>
              </w:rPr>
              <w:t>2</w:t>
            </w:r>
            <w:r>
              <w:rPr>
                <w:rFonts w:hint="eastAsia" w:ascii="宋体" w:hAnsi="宋体" w:cs="宋体"/>
                <w:bCs/>
                <w:kern w:val="0"/>
                <w:sz w:val="18"/>
                <w:szCs w:val="18"/>
                <w:lang w:bidi="ar"/>
              </w:rPr>
              <w:t>℃/45℃工况下运行制冷量</w:t>
            </w:r>
            <w:r>
              <w:rPr>
                <w:rFonts w:ascii="宋体" w:hAnsi="宋体" w:cs="宋体"/>
                <w:bCs/>
                <w:color w:val="auto"/>
                <w:kern w:val="0"/>
                <w:sz w:val="18"/>
                <w:szCs w:val="18"/>
                <w:lang w:bidi="ar"/>
              </w:rPr>
              <w:t>25</w:t>
            </w:r>
            <w:r>
              <w:rPr>
                <w:rFonts w:hint="eastAsia" w:ascii="宋体" w:hAnsi="宋体" w:cs="宋体"/>
                <w:bCs/>
                <w:color w:val="auto"/>
                <w:kern w:val="0"/>
                <w:sz w:val="18"/>
                <w:szCs w:val="18"/>
                <w:lang w:bidi="ar"/>
              </w:rPr>
              <w:t>KW</w:t>
            </w:r>
            <w:r>
              <w:rPr>
                <w:rFonts w:hint="eastAsia" w:ascii="宋体" w:hAnsi="宋体" w:cs="宋体"/>
                <w:bCs/>
                <w:kern w:val="0"/>
                <w:sz w:val="18"/>
                <w:szCs w:val="18"/>
                <w:lang w:bidi="ar"/>
              </w:rPr>
              <w:t>（需提供压缩机选型软件计算结果截图）；功率：</w:t>
            </w:r>
            <w:r>
              <w:rPr>
                <w:rFonts w:ascii="宋体" w:hAnsi="宋体" w:cs="宋体"/>
                <w:bCs/>
                <w:kern w:val="0"/>
                <w:sz w:val="18"/>
                <w:szCs w:val="18"/>
                <w:lang w:bidi="ar"/>
              </w:rPr>
              <w:t>40</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229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★风冷压缩冷凝机组</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活塞式低温制冷机组，在-25℃/45℃工况下运行制冷量</w:t>
            </w:r>
            <w:r>
              <w:rPr>
                <w:rFonts w:ascii="宋体" w:hAnsi="宋体" w:cs="宋体"/>
                <w:bCs/>
                <w:kern w:val="0"/>
                <w:sz w:val="18"/>
                <w:szCs w:val="18"/>
                <w:lang w:bidi="ar"/>
              </w:rPr>
              <w:t>15</w:t>
            </w:r>
            <w:r>
              <w:rPr>
                <w:rFonts w:hint="eastAsia" w:ascii="宋体" w:hAnsi="宋体" w:cs="宋体"/>
                <w:bCs/>
                <w:kern w:val="0"/>
                <w:sz w:val="18"/>
                <w:szCs w:val="18"/>
                <w:lang w:bidi="ar"/>
              </w:rPr>
              <w:t>KW（需提供压缩机选型软件计算结果截图）；功率：</w:t>
            </w:r>
            <w:r>
              <w:rPr>
                <w:rFonts w:ascii="宋体" w:hAnsi="宋体" w:cs="宋体"/>
                <w:bCs/>
                <w:kern w:val="0"/>
                <w:sz w:val="18"/>
                <w:szCs w:val="18"/>
                <w:lang w:bidi="ar"/>
              </w:rPr>
              <w:t>11</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229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kern w:val="0"/>
                <w:sz w:val="18"/>
                <w:szCs w:val="18"/>
                <w:lang w:bidi="ar"/>
              </w:rPr>
            </w:pPr>
            <w:r>
              <w:rPr>
                <w:rFonts w:hint="eastAsia" w:ascii="宋体" w:hAnsi="宋体" w:cs="宋体"/>
                <w:bCs/>
                <w:kern w:val="0"/>
                <w:sz w:val="18"/>
                <w:szCs w:val="18"/>
                <w:lang w:bidi="ar"/>
              </w:rPr>
              <w:t>★风冷压缩冷凝机组</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kern w:val="0"/>
                <w:sz w:val="18"/>
                <w:szCs w:val="18"/>
                <w:lang w:bidi="ar"/>
              </w:rPr>
            </w:pPr>
            <w:r>
              <w:rPr>
                <w:rFonts w:hint="eastAsia" w:ascii="宋体" w:hAnsi="宋体" w:cs="宋体"/>
                <w:bCs/>
                <w:kern w:val="0"/>
                <w:sz w:val="18"/>
                <w:szCs w:val="18"/>
                <w:lang w:bidi="ar"/>
              </w:rPr>
              <w:t>活塞式低温制冷机组，在-25℃/45℃工况下运行制冷量</w:t>
            </w:r>
            <w:r>
              <w:rPr>
                <w:rFonts w:ascii="宋体" w:hAnsi="宋体" w:cs="宋体"/>
                <w:bCs/>
                <w:kern w:val="0"/>
                <w:sz w:val="18"/>
                <w:szCs w:val="18"/>
                <w:lang w:bidi="ar"/>
              </w:rPr>
              <w:t>21</w:t>
            </w:r>
            <w:r>
              <w:rPr>
                <w:rFonts w:hint="eastAsia" w:ascii="宋体" w:hAnsi="宋体" w:cs="宋体"/>
                <w:bCs/>
                <w:kern w:val="0"/>
                <w:sz w:val="18"/>
                <w:szCs w:val="18"/>
                <w:lang w:bidi="ar"/>
              </w:rPr>
              <w:t>KW（需提供压缩机选型软件计算结果截图）；功率：</w:t>
            </w:r>
            <w:r>
              <w:rPr>
                <w:rFonts w:ascii="宋体" w:hAnsi="宋体" w:cs="宋体"/>
                <w:bCs/>
                <w:kern w:val="0"/>
                <w:sz w:val="18"/>
                <w:szCs w:val="18"/>
                <w:lang w:bidi="ar"/>
              </w:rPr>
              <w:t>15</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116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ascii="宋体" w:hAnsi="宋体" w:cs="宋体"/>
                <w:bCs/>
                <w:kern w:val="0"/>
                <w:sz w:val="18"/>
                <w:szCs w:val="18"/>
                <w:lang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设计工况-40℃/45℃，制冷量</w:t>
            </w:r>
            <w:r>
              <w:rPr>
                <w:rFonts w:ascii="宋体" w:hAnsi="宋体" w:cs="宋体"/>
                <w:bCs/>
                <w:kern w:val="0"/>
                <w:sz w:val="18"/>
                <w:szCs w:val="18"/>
                <w:lang w:bidi="ar"/>
              </w:rPr>
              <w:t>30</w:t>
            </w:r>
            <w:r>
              <w:rPr>
                <w:rFonts w:hint="eastAsia" w:ascii="宋体" w:hAnsi="宋体" w:cs="宋体"/>
                <w:bCs/>
                <w:kern w:val="0"/>
                <w:sz w:val="18"/>
                <w:szCs w:val="18"/>
                <w:lang w:bidi="ar"/>
              </w:rPr>
              <w:t>kw，风机功率</w:t>
            </w:r>
            <w:r>
              <w:rPr>
                <w:rFonts w:ascii="宋体" w:hAnsi="宋体" w:cs="宋体"/>
                <w:bCs/>
                <w:kern w:val="0"/>
                <w:sz w:val="18"/>
                <w:szCs w:val="18"/>
                <w:lang w:bidi="ar"/>
              </w:rPr>
              <w:t>2</w:t>
            </w:r>
            <w:r>
              <w:rPr>
                <w:rFonts w:hint="eastAsia" w:ascii="宋体" w:hAnsi="宋体" w:cs="宋体"/>
                <w:bCs/>
                <w:kern w:val="0"/>
                <w:sz w:val="18"/>
                <w:szCs w:val="18"/>
                <w:lang w:bidi="ar"/>
              </w:rPr>
              <w:t>*</w:t>
            </w:r>
            <w:r>
              <w:rPr>
                <w:rFonts w:ascii="宋体" w:hAnsi="宋体" w:cs="宋体"/>
                <w:bCs/>
                <w:kern w:val="0"/>
                <w:sz w:val="18"/>
                <w:szCs w:val="18"/>
                <w:lang w:bidi="ar"/>
              </w:rPr>
              <w:t>1900</w:t>
            </w:r>
            <w:r>
              <w:rPr>
                <w:rFonts w:hint="eastAsia" w:ascii="宋体" w:hAnsi="宋体" w:cs="宋体"/>
                <w:bCs/>
                <w:kern w:val="0"/>
                <w:sz w:val="18"/>
                <w:szCs w:val="18"/>
                <w:lang w:bidi="ar"/>
              </w:rPr>
              <w:t>w，面板采用不锈钢面板，铜管铝翅片冷风机，射程不小于</w:t>
            </w:r>
            <w:r>
              <w:rPr>
                <w:rFonts w:ascii="宋体" w:hAnsi="宋体" w:cs="宋体"/>
                <w:bCs/>
                <w:kern w:val="0"/>
                <w:sz w:val="18"/>
                <w:szCs w:val="18"/>
                <w:lang w:bidi="ar"/>
              </w:rPr>
              <w:t>25</w:t>
            </w:r>
            <w:r>
              <w:rPr>
                <w:rFonts w:hint="eastAsia" w:ascii="宋体" w:hAnsi="宋体" w:cs="宋体"/>
                <w:bCs/>
                <w:kern w:val="0"/>
                <w:sz w:val="18"/>
                <w:szCs w:val="18"/>
                <w:lang w:bidi="ar"/>
              </w:rPr>
              <w:t>米，冷风机冷量大于</w:t>
            </w:r>
            <w:r>
              <w:rPr>
                <w:rFonts w:ascii="宋体" w:hAnsi="宋体" w:cs="宋体"/>
                <w:bCs/>
                <w:kern w:val="0"/>
                <w:sz w:val="18"/>
                <w:szCs w:val="18"/>
                <w:lang w:bidi="ar"/>
              </w:rPr>
              <w:t>30000</w:t>
            </w:r>
            <w:r>
              <w:rPr>
                <w:rFonts w:hint="eastAsia" w:ascii="宋体" w:hAnsi="宋体" w:cs="宋体"/>
                <w:bCs/>
                <w:kern w:val="0"/>
                <w:sz w:val="18"/>
                <w:szCs w:val="18"/>
                <w:lang w:bidi="ar"/>
              </w:rPr>
              <w:t>m3/H，翅片间距不小于8mm，铜管选用内螺纹管材，化霜方式采用电化霜方式。冷却器在名义工况下的噪声值应≤65DB(A);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1359"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ascii="宋体" w:hAnsi="宋体" w:cs="宋体"/>
                <w:bCs/>
                <w:kern w:val="0"/>
                <w:sz w:val="18"/>
                <w:szCs w:val="18"/>
                <w:lang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设计工况-25℃/45℃，制冷量</w:t>
            </w:r>
            <w:r>
              <w:rPr>
                <w:rFonts w:ascii="宋体" w:hAnsi="宋体" w:cs="宋体"/>
                <w:bCs/>
                <w:kern w:val="0"/>
                <w:sz w:val="18"/>
                <w:szCs w:val="18"/>
                <w:lang w:bidi="ar"/>
              </w:rPr>
              <w:t>16</w:t>
            </w:r>
            <w:r>
              <w:rPr>
                <w:rFonts w:hint="eastAsia" w:ascii="宋体" w:hAnsi="宋体" w:cs="宋体"/>
                <w:bCs/>
                <w:kern w:val="0"/>
                <w:sz w:val="18"/>
                <w:szCs w:val="18"/>
                <w:lang w:bidi="ar"/>
              </w:rPr>
              <w:t>kw，风机功率</w:t>
            </w:r>
            <w:r>
              <w:rPr>
                <w:rFonts w:ascii="宋体" w:hAnsi="宋体" w:cs="宋体"/>
                <w:bCs/>
                <w:kern w:val="0"/>
                <w:sz w:val="18"/>
                <w:szCs w:val="18"/>
                <w:lang w:bidi="ar"/>
              </w:rPr>
              <w:t>3</w:t>
            </w:r>
            <w:r>
              <w:rPr>
                <w:rFonts w:hint="eastAsia" w:ascii="宋体" w:hAnsi="宋体" w:cs="宋体"/>
                <w:bCs/>
                <w:kern w:val="0"/>
                <w:sz w:val="18"/>
                <w:szCs w:val="18"/>
                <w:lang w:bidi="ar"/>
              </w:rPr>
              <w:t>*600w，面板采用不锈钢面板，铜管铝翅片冷风机，射程不小于16米，冷风机冷量大于</w:t>
            </w:r>
            <w:r>
              <w:rPr>
                <w:rFonts w:ascii="宋体" w:hAnsi="宋体" w:cs="宋体"/>
                <w:bCs/>
                <w:kern w:val="0"/>
                <w:sz w:val="18"/>
                <w:szCs w:val="18"/>
                <w:lang w:bidi="ar"/>
              </w:rPr>
              <w:t>20000</w:t>
            </w:r>
            <w:r>
              <w:rPr>
                <w:rFonts w:hint="eastAsia" w:ascii="宋体" w:hAnsi="宋体" w:cs="宋体"/>
                <w:bCs/>
                <w:kern w:val="0"/>
                <w:sz w:val="18"/>
                <w:szCs w:val="18"/>
                <w:lang w:bidi="ar"/>
              </w:rPr>
              <w:t>m3/H，翅片间距不小于8mm，铜管选用内螺纹管材，化霜方式采用电化霜方式。冷却器在名义工况下的噪声值应≤65DB(A)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13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ascii="宋体" w:hAnsi="宋体" w:cs="宋体"/>
                <w:bCs/>
                <w:kern w:val="0"/>
                <w:sz w:val="18"/>
                <w:szCs w:val="18"/>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设计工况-25℃/45℃，制冷量</w:t>
            </w:r>
            <w:r>
              <w:rPr>
                <w:rFonts w:ascii="宋体" w:hAnsi="宋体" w:cs="宋体"/>
                <w:bCs/>
                <w:kern w:val="0"/>
                <w:sz w:val="18"/>
                <w:szCs w:val="18"/>
                <w:lang w:bidi="ar"/>
              </w:rPr>
              <w:t>19</w:t>
            </w:r>
            <w:r>
              <w:rPr>
                <w:rFonts w:hint="eastAsia" w:ascii="宋体" w:hAnsi="宋体" w:cs="宋体"/>
                <w:bCs/>
                <w:kern w:val="0"/>
                <w:sz w:val="18"/>
                <w:szCs w:val="18"/>
                <w:lang w:bidi="ar"/>
              </w:rPr>
              <w:t>kw，风机功率</w:t>
            </w:r>
            <w:r>
              <w:rPr>
                <w:rFonts w:ascii="宋体" w:hAnsi="宋体" w:cs="宋体"/>
                <w:bCs/>
                <w:kern w:val="0"/>
                <w:sz w:val="18"/>
                <w:szCs w:val="18"/>
                <w:lang w:bidi="ar"/>
              </w:rPr>
              <w:t>3</w:t>
            </w:r>
            <w:r>
              <w:rPr>
                <w:rFonts w:hint="eastAsia" w:ascii="宋体" w:hAnsi="宋体" w:cs="宋体"/>
                <w:bCs/>
                <w:kern w:val="0"/>
                <w:sz w:val="18"/>
                <w:szCs w:val="18"/>
                <w:lang w:bidi="ar"/>
              </w:rPr>
              <w:t>*600w，面板采用不锈钢面板，铜管铝翅片冷风机，射程不小于16米，冷风机冷量大于1</w:t>
            </w:r>
            <w:r>
              <w:rPr>
                <w:rFonts w:ascii="宋体" w:hAnsi="宋体" w:cs="宋体"/>
                <w:bCs/>
                <w:kern w:val="0"/>
                <w:sz w:val="18"/>
                <w:szCs w:val="18"/>
                <w:lang w:bidi="ar"/>
              </w:rPr>
              <w:t>80</w:t>
            </w:r>
            <w:r>
              <w:rPr>
                <w:rFonts w:hint="eastAsia" w:ascii="宋体" w:hAnsi="宋体" w:cs="宋体"/>
                <w:bCs/>
                <w:kern w:val="0"/>
                <w:sz w:val="18"/>
                <w:szCs w:val="18"/>
                <w:lang w:bidi="ar"/>
              </w:rPr>
              <w:t>00m3/H，翅片间距不小于8mm，铜管选用内螺纹管材，化霜方式采用电化霜方式。冷却器在名义工况下的噪声值应≤65DB(A)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4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制冷系统阀门阀件</w:t>
            </w:r>
          </w:p>
        </w:tc>
        <w:tc>
          <w:tcPr>
            <w:tcW w:w="6254"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热力膨胀阀、电磁阀、截止阀、过滤器等部件</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4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制冷剂</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R507（满足运行实际需要）</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公斤</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400</w:t>
            </w:r>
          </w:p>
        </w:tc>
      </w:tr>
      <w:tr>
        <w:tblPrEx>
          <w:tblCellMar>
            <w:top w:w="0" w:type="dxa"/>
            <w:left w:w="0" w:type="dxa"/>
            <w:bottom w:w="0" w:type="dxa"/>
            <w:right w:w="0" w:type="dxa"/>
          </w:tblCellMar>
        </w:tblPrEx>
        <w:trPr>
          <w:trHeight w:val="34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冷冻油</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SK100（满足运行实际需要）</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桶</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3</w:t>
            </w:r>
          </w:p>
        </w:tc>
      </w:tr>
      <w:tr>
        <w:tblPrEx>
          <w:tblCellMar>
            <w:top w:w="0" w:type="dxa"/>
            <w:left w:w="0" w:type="dxa"/>
            <w:bottom w:w="0" w:type="dxa"/>
            <w:right w:w="0" w:type="dxa"/>
          </w:tblCellMar>
        </w:tblPrEx>
        <w:trPr>
          <w:trHeight w:val="73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冷库末端控制箱</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PLC可编程控制，全自动控制冷库制冷、化霜，故障自动检测集中显示。（定做）</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电气线缆及辅料</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国标（达到设备运行要求和实际需要）</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项</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制冷管路及附件</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酸洗钝化国标无缝钢管、紫铜管、弯头、变径、管路支架、安装辅料等</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项</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保温棉及铝板外护</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管道保温 B1 级（达到设备运行要求和实际需要）</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项</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融霜水管</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镀锌钢管 材质：Q235B  热镀锌处理</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项</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电线管及线槽、桥架</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国标主电缆桥架及照明线管（达到设备运行要求和实际需要）</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项</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 xml:space="preserve"> 制冷系统安装及运输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16" w:hRule="atLeast"/>
        </w:trPr>
        <w:tc>
          <w:tcPr>
            <w:tcW w:w="871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二、7#车间冷藏、保鲜冷库设备 </w:t>
            </w:r>
          </w:p>
        </w:tc>
      </w:tr>
      <w:tr>
        <w:tblPrEx>
          <w:tblCellMar>
            <w:top w:w="0" w:type="dxa"/>
            <w:left w:w="0" w:type="dxa"/>
            <w:bottom w:w="0" w:type="dxa"/>
            <w:right w:w="0" w:type="dxa"/>
          </w:tblCellMar>
        </w:tblPrEx>
        <w:trPr>
          <w:trHeight w:val="214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★风冷压缩冷凝机组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风冷活塞式高温制冷机组，在-10℃/45℃工况下运行制冷量</w:t>
            </w:r>
            <w:r>
              <w:rPr>
                <w:rFonts w:ascii="宋体" w:hAnsi="宋体" w:cs="宋体"/>
                <w:bCs/>
                <w:kern w:val="0"/>
                <w:sz w:val="18"/>
                <w:szCs w:val="18"/>
                <w:lang w:bidi="ar"/>
              </w:rPr>
              <w:t>17</w:t>
            </w:r>
            <w:r>
              <w:rPr>
                <w:rFonts w:hint="eastAsia" w:ascii="宋体" w:hAnsi="宋体" w:cs="宋体"/>
                <w:bCs/>
                <w:kern w:val="0"/>
                <w:sz w:val="18"/>
                <w:szCs w:val="18"/>
                <w:lang w:bidi="ar"/>
              </w:rPr>
              <w:t>KW（需提供压缩机选型软件计算结果截图）；功率：</w:t>
            </w:r>
            <w:r>
              <w:rPr>
                <w:rFonts w:ascii="宋体" w:hAnsi="宋体" w:cs="宋体"/>
                <w:bCs/>
                <w:kern w:val="0"/>
                <w:sz w:val="18"/>
                <w:szCs w:val="18"/>
                <w:lang w:bidi="ar"/>
              </w:rPr>
              <w:t>8</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23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★风冷压缩冷凝机组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风冷活塞式低温制冷机组，在-25℃/45℃工况下运行制冷量</w:t>
            </w:r>
            <w:r>
              <w:rPr>
                <w:rFonts w:ascii="宋体" w:hAnsi="宋体" w:cs="宋体"/>
                <w:bCs/>
                <w:kern w:val="0"/>
                <w:sz w:val="18"/>
                <w:szCs w:val="18"/>
                <w:lang w:bidi="ar"/>
              </w:rPr>
              <w:t>11</w:t>
            </w:r>
            <w:r>
              <w:rPr>
                <w:rFonts w:hint="eastAsia" w:ascii="宋体" w:hAnsi="宋体" w:cs="宋体"/>
                <w:bCs/>
                <w:kern w:val="0"/>
                <w:sz w:val="18"/>
                <w:szCs w:val="18"/>
                <w:lang w:bidi="ar"/>
              </w:rPr>
              <w:t>KW（需提供压缩机选型软件计算结果截图）；功率：</w:t>
            </w:r>
            <w:r>
              <w:rPr>
                <w:rFonts w:ascii="宋体" w:hAnsi="宋体" w:cs="宋体"/>
                <w:bCs/>
                <w:kern w:val="0"/>
                <w:sz w:val="18"/>
                <w:szCs w:val="18"/>
                <w:lang w:bidi="ar"/>
              </w:rPr>
              <w:t>9</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13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-10℃/45℃，制冷量29.6kw，风机功率3*600w，面板采用不锈钢面板，铜管铝翅片冷风机，射程不小于17米，冷风机冷量大于18500m3/H，翅片间距不小于5mm，铜管选用内螺纹管材，化霜方式采用电化霜方式。冷却器在名义工况下的噪声值应≤65DB(A)冷风机品牌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13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设计工况-25℃/45℃，制冷量</w:t>
            </w:r>
            <w:r>
              <w:rPr>
                <w:rFonts w:ascii="宋体" w:hAnsi="宋体" w:cs="宋体"/>
                <w:bCs/>
                <w:kern w:val="0"/>
                <w:sz w:val="18"/>
                <w:szCs w:val="18"/>
                <w:lang w:bidi="ar"/>
              </w:rPr>
              <w:t>20</w:t>
            </w:r>
            <w:r>
              <w:rPr>
                <w:rFonts w:hint="eastAsia" w:ascii="宋体" w:hAnsi="宋体" w:cs="宋体"/>
                <w:bCs/>
                <w:kern w:val="0"/>
                <w:sz w:val="18"/>
                <w:szCs w:val="18"/>
                <w:lang w:bidi="ar"/>
              </w:rPr>
              <w:t>kw，风机功率3*600w，面板采用不锈钢面板，铜管铝翅片冷风机，射程不小于16米，冷风机冷量大于</w:t>
            </w:r>
            <w:r>
              <w:rPr>
                <w:rFonts w:ascii="宋体" w:hAnsi="宋体" w:cs="宋体"/>
                <w:bCs/>
                <w:kern w:val="0"/>
                <w:sz w:val="18"/>
                <w:szCs w:val="18"/>
                <w:lang w:bidi="ar"/>
              </w:rPr>
              <w:t>20</w:t>
            </w:r>
            <w:r>
              <w:rPr>
                <w:rFonts w:hint="eastAsia" w:ascii="宋体" w:hAnsi="宋体" w:cs="宋体"/>
                <w:bCs/>
                <w:kern w:val="0"/>
                <w:sz w:val="18"/>
                <w:szCs w:val="18"/>
                <w:lang w:bidi="ar"/>
              </w:rPr>
              <w:t>000m3/H，翅片间距不小于8mm，铜管选用内螺纹管材，化霜方式采用电化霜方式。冷却器在名义工况下的噪声值应≤65DB(A)冷风机品牌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34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制冷系统阀门阀件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热力膨胀阀、电磁阀、截止阀、过滤器等部件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套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33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制冷剂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R507（满足运行实际需要）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公斤</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200</w:t>
            </w:r>
          </w:p>
        </w:tc>
      </w:tr>
      <w:tr>
        <w:tblPrEx>
          <w:tblCellMar>
            <w:top w:w="0" w:type="dxa"/>
            <w:left w:w="0" w:type="dxa"/>
            <w:bottom w:w="0" w:type="dxa"/>
            <w:right w:w="0" w:type="dxa"/>
          </w:tblCellMar>
        </w:tblPrEx>
        <w:trPr>
          <w:trHeight w:val="33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冷冻油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活塞机油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桶</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10</w:t>
            </w:r>
          </w:p>
        </w:tc>
      </w:tr>
      <w:tr>
        <w:tblPrEx>
          <w:tblCellMar>
            <w:top w:w="0" w:type="dxa"/>
            <w:left w:w="0" w:type="dxa"/>
            <w:bottom w:w="0" w:type="dxa"/>
            <w:right w:w="0" w:type="dxa"/>
          </w:tblCellMar>
        </w:tblPrEx>
        <w:trPr>
          <w:trHeight w:val="70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冷库末端控制箱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PLC可编程控制，全自动控制冷库制冷、化霜，故障自动检测集中显示。（定做）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套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40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电线电缆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制冷管路及附件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酸洗钝化国标无缝钢管、紫铜管、弯头、变径、管路支架、安装辅料等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保温棉及铝板外护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管道保温 B1 级（达到设备运行要求和实际需要）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3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融霜水管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国标冷风机融霜水管及防冻处理（达到设备运行要求和实际需要）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3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电线管及线槽、桥架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国标主电缆桥架及照明线管（达到设备运行要求和实际需要）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制冷系统及安装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18"/>
                <w:szCs w:val="18"/>
              </w:rPr>
            </w:pPr>
          </w:p>
        </w:tc>
        <w:tc>
          <w:tcPr>
            <w:tcW w:w="823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三、急冻间-35° </w:t>
            </w:r>
          </w:p>
        </w:tc>
      </w:tr>
      <w:tr>
        <w:tblPrEx>
          <w:tblCellMar>
            <w:top w:w="0" w:type="dxa"/>
            <w:left w:w="0" w:type="dxa"/>
            <w:bottom w:w="0" w:type="dxa"/>
            <w:right w:w="0" w:type="dxa"/>
          </w:tblCellMar>
        </w:tblPrEx>
        <w:trPr>
          <w:trHeight w:val="196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★风冷压缩冷凝机组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螺杆式低温制冷机组，在-</w:t>
            </w:r>
            <w:r>
              <w:rPr>
                <w:rFonts w:ascii="宋体" w:hAnsi="宋体" w:cs="宋体"/>
                <w:bCs/>
                <w:kern w:val="0"/>
                <w:sz w:val="18"/>
                <w:szCs w:val="18"/>
                <w:lang w:bidi="ar"/>
              </w:rPr>
              <w:t>32</w:t>
            </w:r>
            <w:r>
              <w:rPr>
                <w:rFonts w:hint="eastAsia" w:ascii="宋体" w:hAnsi="宋体" w:cs="宋体"/>
                <w:bCs/>
                <w:kern w:val="0"/>
                <w:sz w:val="18"/>
                <w:szCs w:val="18"/>
                <w:lang w:bidi="ar"/>
              </w:rPr>
              <w:t>℃/45℃工况下运行制冷量</w:t>
            </w:r>
            <w:r>
              <w:rPr>
                <w:rFonts w:ascii="宋体" w:hAnsi="宋体" w:cs="宋体"/>
                <w:bCs/>
                <w:kern w:val="0"/>
                <w:sz w:val="18"/>
                <w:szCs w:val="18"/>
                <w:lang w:bidi="ar"/>
              </w:rPr>
              <w:t>46</w:t>
            </w:r>
            <w:r>
              <w:rPr>
                <w:rFonts w:hint="eastAsia" w:ascii="宋体" w:hAnsi="宋体" w:cs="宋体"/>
                <w:bCs/>
                <w:kern w:val="0"/>
                <w:sz w:val="18"/>
                <w:szCs w:val="18"/>
                <w:lang w:bidi="ar"/>
              </w:rPr>
              <w:t>KW（需提供压缩机选型软件计算结果截图）；功率：</w:t>
            </w:r>
            <w:r>
              <w:rPr>
                <w:rFonts w:ascii="宋体" w:hAnsi="宋体" w:cs="宋体"/>
                <w:bCs/>
                <w:kern w:val="0"/>
                <w:sz w:val="18"/>
                <w:szCs w:val="18"/>
                <w:lang w:bidi="ar"/>
              </w:rPr>
              <w:t>40</w:t>
            </w:r>
            <w:r>
              <w:rPr>
                <w:rFonts w:hint="eastAsia" w:ascii="宋体" w:hAnsi="宋体" w:cs="宋体"/>
                <w:bCs/>
                <w:kern w:val="0"/>
                <w:sz w:val="18"/>
                <w:szCs w:val="18"/>
                <w:lang w:bidi="ar"/>
              </w:rPr>
              <w:t xml:space="preserve">KW；压缩机机头需选用知名品牌产品，需提供通过正规渠道采购压缩机的有效的证明材料（压缩机生产厂家授权书）。制冷系统密封性能检测应小于3g/a，淋水绝缘测试检验时，机组带电部位与非带电部位之间施加规定的试验电压时，应无击穿和闪络；机组含油分、含气分、含储液器，含恒压阀，含PLC ，主要电气控制元件采用知名品牌产品。需提供由国家压缩机制冷设备质量监督检验中心出具的有效的压缩机检验报告。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116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★空气冷却器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设计工况-</w:t>
            </w:r>
            <w:r>
              <w:rPr>
                <w:rFonts w:ascii="宋体" w:hAnsi="宋体" w:cs="宋体"/>
                <w:bCs/>
                <w:kern w:val="0"/>
                <w:sz w:val="18"/>
                <w:szCs w:val="18"/>
                <w:lang w:bidi="ar"/>
              </w:rPr>
              <w:t>32</w:t>
            </w:r>
            <w:r>
              <w:rPr>
                <w:rFonts w:hint="eastAsia" w:ascii="宋体" w:hAnsi="宋体" w:cs="宋体"/>
                <w:bCs/>
                <w:kern w:val="0"/>
                <w:sz w:val="18"/>
                <w:szCs w:val="18"/>
                <w:lang w:bidi="ar"/>
              </w:rPr>
              <w:t>℃/45℃，制冷量</w:t>
            </w:r>
            <w:r>
              <w:rPr>
                <w:rFonts w:ascii="宋体" w:hAnsi="宋体" w:cs="宋体"/>
                <w:bCs/>
                <w:kern w:val="0"/>
                <w:sz w:val="18"/>
                <w:szCs w:val="18"/>
                <w:lang w:bidi="ar"/>
              </w:rPr>
              <w:t>36</w:t>
            </w:r>
            <w:r>
              <w:rPr>
                <w:rFonts w:hint="eastAsia" w:ascii="宋体" w:hAnsi="宋体" w:cs="宋体"/>
                <w:bCs/>
                <w:kern w:val="0"/>
                <w:sz w:val="18"/>
                <w:szCs w:val="18"/>
                <w:lang w:bidi="ar"/>
              </w:rPr>
              <w:t>kw，风机功率3*1900w，面板采用不锈钢面板，铜管铝翅片冷风机，射程不小于25米，冷风机冷量大于</w:t>
            </w:r>
            <w:r>
              <w:rPr>
                <w:rFonts w:ascii="宋体" w:hAnsi="宋体" w:cs="宋体"/>
                <w:bCs/>
                <w:kern w:val="0"/>
                <w:sz w:val="18"/>
                <w:szCs w:val="18"/>
                <w:lang w:bidi="ar"/>
              </w:rPr>
              <w:t>45</w:t>
            </w:r>
            <w:r>
              <w:rPr>
                <w:rFonts w:hint="eastAsia" w:ascii="宋体" w:hAnsi="宋体" w:cs="宋体"/>
                <w:bCs/>
                <w:kern w:val="0"/>
                <w:sz w:val="18"/>
                <w:szCs w:val="18"/>
                <w:lang w:bidi="ar"/>
              </w:rPr>
              <w:t>000m3/H，翅片采用变片距设计，片距为9~18mm，铜管选用内螺纹管材，化霜方式采用电化霜方式。冷却器在名义工况下的噪声值应≤65DB(A),选用知名品牌，需提供由国家压缩机制冷设备质量监督检验中心出具的有效的空气冷却器检验报告。</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台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制冷系统阀门阀件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热力膨胀阀、电磁阀、截止阀、过滤器等部件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套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制冷剂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R507（达到设备运行要求和实际需要）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冷冻油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SK100（达到设备运行要求和实际需要）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冷库末端控制箱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PLC可编程控制，全自动控制冷库制冷、化霜，故障自动检测集中显示。（定做）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套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电线电缆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国标且满足设备运行需要（满足实际需要）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制冷管路及附件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酸洗钝化国标无缝钢管、紫铜管、弯头、变径、管路支架、安装辅料等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2.00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保温棉及铝板外护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管道保温 B1 级（满足实际需要）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融霜水管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国标冷风机融霜水管及防冻处理（满足实际需要）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电线管及线槽、桥架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国标主电缆桥架及照明线管（满足实际需要）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制冷系统安装及运输 </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项 </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480" w:hRule="atLeast"/>
        </w:trPr>
        <w:tc>
          <w:tcPr>
            <w:tcW w:w="8711" w:type="dxa"/>
            <w:gridSpan w:val="5"/>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四、速冻隧道部分</w:t>
            </w:r>
          </w:p>
        </w:tc>
      </w:tr>
      <w:tr>
        <w:tblPrEx>
          <w:tblCellMar>
            <w:top w:w="0" w:type="dxa"/>
            <w:left w:w="0" w:type="dxa"/>
            <w:bottom w:w="0" w:type="dxa"/>
            <w:right w:w="0" w:type="dxa"/>
          </w:tblCellMar>
        </w:tblPrEx>
        <w:trPr>
          <w:trHeight w:val="344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★双螺旋速冻隧道</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实际冻结能力：1000Kg/h，冻结产品为烤馕、饺子、包子，进料温度≤25C</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出料温度：中心温度-</w:t>
            </w:r>
            <w:r>
              <w:rPr>
                <w:rFonts w:hint="default" w:ascii="宋体" w:hAnsi="宋体" w:cs="宋体"/>
                <w:bCs/>
                <w:kern w:val="0"/>
                <w:sz w:val="18"/>
                <w:szCs w:val="18"/>
                <w:lang w:bidi="ar"/>
              </w:rPr>
              <w:t xml:space="preserve"> 18C；库内温度为-35C；配电机功率42KW；耗冷量170kw ；蒸发温度-42'C；；进料口长度1600mm，出料口长度500mm;保温板材料:聚氨酯保温板，双面304不锈钢.库门自带加热装置，2个库门.采用整体底盘，内部设有排水通道和2个排水出口，底盘在两维方向上向出口倾斜，没有存水死角。整个底盘坐落在50mm高的地基上，底盘下部留有50mm左右的空气层，冻结时间20~ 60min可调;网带材制为食品级不锈钢；网带调速方式为变频器无级调节；输送滑道采用超高分子聚乙烯材料；减速机采用</w:t>
            </w:r>
            <w:bookmarkStart w:id="94" w:name="_GoBack"/>
            <w:bookmarkEnd w:id="94"/>
            <w:r>
              <w:rPr>
                <w:rFonts w:hint="default" w:ascii="宋体" w:hAnsi="宋体" w:cs="宋体"/>
                <w:bCs/>
                <w:kern w:val="0"/>
                <w:sz w:val="18"/>
                <w:szCs w:val="18"/>
                <w:lang w:bidi="ar"/>
              </w:rPr>
              <w:t>进口斜齿轮减速机；采用库内传动结构减速机、电机等均设置在速冻机内部，主传动采用欧洲先进的传动控制技术；蒸发器材制为铝管铝片，蒸发面积1800平米，带亲水膜铝片；冷风机材制为不锈钢风筒，铝叶片，风机功率及数量3Kw ×6台，融霜方式为水溶霜，16～24 h一次，水温≥15℃；采用R507制冷剂，不锈钢电控柜采用PLC自动控制；可在触摸屏上显示温度、故障原因、设备状态、时间等，并可直接在触摸屏上进行参数调整及设备操作。电源配置380V/50H，3相5线制；变频器为知名品牌</w:t>
            </w:r>
            <w:r>
              <w:rPr>
                <w:rStyle w:val="80"/>
                <w:rFonts w:hint="default" w:ascii="宋体" w:cs="宋体"/>
                <w:bCs/>
                <w:lang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17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单机双级半封闭螺杆制冷机组</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 xml:space="preserve">采用单机双级半封闭螺杆制冷压缩机组，采用电子膨胀阀供液，机组配套压缩机、电控、汽分、储液器、油分、虹吸式油冷、恒压阀、PLC控制系统，集中在一个撬块上。压缩机采用知名品牌。需提供由国家压缩机制冷设备质量监督检验中心出具的有效的压缩机检验报告。           </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蒸发温度-42度、冷凝温度35℃</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制冷量不小于215kw，输入功率不高于132kw</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制冷剂</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 xml:space="preserve"> 1.00 </w:t>
            </w:r>
          </w:p>
        </w:tc>
      </w:tr>
      <w:tr>
        <w:tblPrEx>
          <w:tblCellMar>
            <w:top w:w="0" w:type="dxa"/>
            <w:left w:w="0" w:type="dxa"/>
            <w:bottom w:w="0" w:type="dxa"/>
            <w:right w:w="0" w:type="dxa"/>
          </w:tblCellMar>
        </w:tblPrEx>
        <w:trPr>
          <w:trHeight w:val="21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★蒸发式冷凝器</w:t>
            </w:r>
          </w:p>
        </w:tc>
        <w:tc>
          <w:tcPr>
            <w:tcW w:w="62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1．排热量不小于360kw</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2. 换热管采用高效换热盘管，连续蛇形盘管（不得有人工焊接弯头，以免有安全故障），盘管壁厚不小于1.0mm,换热管整体热浸锌处理，设计压力不小于2.0mpa,使用寿命不小于十五年。</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3. 蒸发式冷凝器外板采用双面镀锌钢板，镀锌层厚度0.05mm。</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4．风扇电机采用全封闭式电机，水泵及其电机采用知名品牌。</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5. 电机皮带采用知名品牌</w:t>
            </w:r>
            <w:r>
              <w:rPr>
                <w:rFonts w:hint="eastAsia" w:ascii="宋体" w:hAnsi="宋体" w:cs="宋体"/>
                <w:bCs/>
                <w:kern w:val="0"/>
                <w:sz w:val="18"/>
                <w:szCs w:val="18"/>
                <w:lang w:bidi="ar"/>
              </w:rPr>
              <w:br w:type="textWrapping"/>
            </w:r>
            <w:r>
              <w:rPr>
                <w:rFonts w:hint="eastAsia" w:ascii="宋体" w:hAnsi="宋体" w:cs="宋体"/>
                <w:bCs/>
                <w:kern w:val="0"/>
                <w:sz w:val="18"/>
                <w:szCs w:val="18"/>
                <w:lang w:bidi="ar"/>
              </w:rPr>
              <w:t>6. 蒸发冷采用变频启动</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台</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制冷管道</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酸洗钝化国标无缝钢管、紫铜管、弯头、变径、管路支架、安装辅料等</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阀门、管件</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电线电缆、金属桥架、穿线管等</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国标</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管道橡塑保温</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B1级阻燃</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支吊架钢材</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国标</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制冷剂</w:t>
            </w:r>
          </w:p>
        </w:tc>
        <w:tc>
          <w:tcPr>
            <w:tcW w:w="62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梅兰/巨化</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10</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安装及辅料</w:t>
            </w:r>
          </w:p>
        </w:tc>
        <w:tc>
          <w:tcPr>
            <w:tcW w:w="625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rPr>
                <w:rFonts w:ascii="宋体" w:hAnsi="宋体" w:cs="宋体"/>
                <w:bCs/>
                <w:sz w:val="18"/>
                <w:szCs w:val="18"/>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1</w:t>
            </w:r>
          </w:p>
        </w:tc>
      </w:tr>
      <w:tr>
        <w:tblPrEx>
          <w:tblCellMar>
            <w:top w:w="0" w:type="dxa"/>
            <w:left w:w="0" w:type="dxa"/>
            <w:bottom w:w="0" w:type="dxa"/>
            <w:right w:w="0" w:type="dxa"/>
          </w:tblCellMar>
        </w:tblPrEx>
        <w:trPr>
          <w:trHeight w:val="519" w:hRule="atLeast"/>
        </w:trPr>
        <w:tc>
          <w:tcPr>
            <w:tcW w:w="87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kern w:val="0"/>
                <w:sz w:val="18"/>
                <w:szCs w:val="18"/>
                <w:lang w:bidi="ar"/>
              </w:rPr>
            </w:pPr>
            <w:r>
              <w:rPr>
                <w:rFonts w:hint="eastAsia" w:ascii="宋体" w:hAnsi="宋体" w:cs="宋体"/>
                <w:bCs/>
                <w:kern w:val="0"/>
                <w:sz w:val="18"/>
                <w:szCs w:val="18"/>
                <w:lang w:bidi="ar"/>
              </w:rPr>
              <w:t>五、上位机监控系统</w:t>
            </w:r>
          </w:p>
        </w:tc>
      </w:tr>
      <w:tr>
        <w:tblPrEx>
          <w:tblCellMar>
            <w:top w:w="0" w:type="dxa"/>
            <w:left w:w="0" w:type="dxa"/>
            <w:bottom w:w="0" w:type="dxa"/>
            <w:right w:w="0" w:type="dxa"/>
          </w:tblCellMar>
        </w:tblPrEx>
        <w:trPr>
          <w:trHeight w:val="1119" w:hRule="atLeast"/>
        </w:trPr>
        <w:tc>
          <w:tcPr>
            <w:tcW w:w="478"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18"/>
                <w:szCs w:val="18"/>
              </w:rPr>
            </w:pPr>
            <w:r>
              <w:rPr>
                <w:rFonts w:ascii="宋体" w:hAnsi="宋体" w:cs="宋体"/>
                <w:bCs/>
                <w:kern w:val="0"/>
                <w:sz w:val="18"/>
                <w:szCs w:val="18"/>
                <w:lang w:bidi="ar"/>
              </w:rPr>
              <w:t>1</w:t>
            </w:r>
          </w:p>
        </w:tc>
        <w:tc>
          <w:tcPr>
            <w:tcW w:w="96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left"/>
              <w:textAlignment w:val="center"/>
              <w:rPr>
                <w:rFonts w:ascii="宋体" w:hAnsi="宋体" w:cs="宋体"/>
                <w:bCs/>
                <w:sz w:val="18"/>
                <w:szCs w:val="18"/>
              </w:rPr>
            </w:pPr>
            <w:r>
              <w:rPr>
                <w:rFonts w:hint="eastAsia" w:ascii="宋体" w:hAnsi="宋体" w:cs="宋体"/>
                <w:bCs/>
                <w:kern w:val="0"/>
                <w:sz w:val="18"/>
                <w:szCs w:val="18"/>
                <w:lang w:bidi="ar"/>
              </w:rPr>
              <w:t>上位机监控系统</w:t>
            </w:r>
          </w:p>
        </w:tc>
        <w:tc>
          <w:tcPr>
            <w:tcW w:w="625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extAlignment w:val="center"/>
              <w:rPr>
                <w:rFonts w:ascii="宋体" w:hAnsi="宋体" w:cs="宋体"/>
                <w:bCs/>
                <w:sz w:val="18"/>
                <w:szCs w:val="18"/>
              </w:rPr>
            </w:pPr>
            <w:r>
              <w:rPr>
                <w:rFonts w:hint="eastAsia" w:ascii="宋体" w:hAnsi="宋体" w:cs="宋体"/>
                <w:bCs/>
                <w:kern w:val="0"/>
                <w:sz w:val="18"/>
                <w:szCs w:val="18"/>
                <w:lang w:bidi="ar"/>
              </w:rPr>
              <w:t>上位机系统，包含工控机、打印机、显示器，能够实现远程控制，具有显示功能：实时运行情况、历史信息等，设置功能：温度、冲霜次数、冲霜时间等,打印功能：温度、制冷时间、故障信息、历史记录，以及相对应的曲线及报表功能。主要电气控制元件知名品牌产品。工控机，打印机等选用知名品牌。</w:t>
            </w:r>
          </w:p>
        </w:tc>
        <w:tc>
          <w:tcPr>
            <w:tcW w:w="545"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套</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18"/>
                <w:szCs w:val="18"/>
              </w:rPr>
            </w:pPr>
            <w:r>
              <w:rPr>
                <w:rFonts w:hint="eastAsia" w:ascii="宋体" w:hAnsi="宋体" w:cs="宋体"/>
                <w:bCs/>
                <w:kern w:val="0"/>
                <w:sz w:val="18"/>
                <w:szCs w:val="18"/>
                <w:lang w:bidi="ar"/>
              </w:rPr>
              <w:t>1</w:t>
            </w:r>
          </w:p>
        </w:tc>
      </w:tr>
    </w:tbl>
    <w:p>
      <w:pPr>
        <w:rPr>
          <w:rFonts w:eastAsia="黑体"/>
          <w:b/>
          <w:sz w:val="36"/>
        </w:rPr>
      </w:pPr>
      <w:bookmarkStart w:id="46" w:name="_Toc10482"/>
      <w:bookmarkStart w:id="47" w:name="_Toc33212775"/>
      <w:r>
        <w:rPr>
          <w:rFonts w:hint="eastAsia" w:eastAsia="黑体"/>
          <w:b/>
          <w:sz w:val="36"/>
        </w:rPr>
        <w:br w:type="page"/>
      </w:r>
    </w:p>
    <w:p>
      <w:pPr>
        <w:pStyle w:val="19"/>
        <w:tabs>
          <w:tab w:val="left" w:pos="0"/>
        </w:tabs>
        <w:spacing w:line="240" w:lineRule="auto"/>
        <w:ind w:left="0" w:leftChars="0" w:firstLine="0" w:firstLineChars="0"/>
        <w:jc w:val="center"/>
        <w:outlineLvl w:val="0"/>
      </w:pPr>
      <w:r>
        <w:rPr>
          <w:rFonts w:hint="eastAsia" w:eastAsia="黑体"/>
          <w:b/>
          <w:sz w:val="36"/>
        </w:rPr>
        <w:t>第五部分   评审方法</w:t>
      </w:r>
      <w:bookmarkEnd w:id="46"/>
    </w:p>
    <w:p>
      <w:pPr>
        <w:spacing w:line="520" w:lineRule="exact"/>
        <w:ind w:right="180"/>
        <w:outlineLvl w:val="1"/>
        <w:rPr>
          <w:rFonts w:ascii="宋体" w:hAnsi="宋体"/>
          <w:b/>
          <w:bCs/>
          <w:sz w:val="24"/>
        </w:rPr>
      </w:pPr>
      <w:r>
        <w:rPr>
          <w:rFonts w:hint="eastAsia" w:ascii="宋体" w:hAnsi="宋体"/>
          <w:b/>
          <w:bCs/>
          <w:sz w:val="24"/>
        </w:rPr>
        <w:t>附表1、初步评审</w:t>
      </w:r>
    </w:p>
    <w:p>
      <w:pPr>
        <w:pStyle w:val="13"/>
        <w:jc w:val="center"/>
      </w:pPr>
      <w:r>
        <w:rPr>
          <w:rFonts w:hint="eastAsia" w:ascii="宋体" w:hAnsi="宋体"/>
          <w:b/>
          <w:bCs/>
          <w:sz w:val="24"/>
        </w:rPr>
        <w:t>资格性审查表</w:t>
      </w:r>
    </w:p>
    <w:tbl>
      <w:tblPr>
        <w:tblStyle w:val="3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535"/>
        <w:gridCol w:w="600"/>
        <w:gridCol w:w="61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1" w:type="dxa"/>
            <w:vMerge w:val="restart"/>
            <w:vAlign w:val="center"/>
          </w:tcPr>
          <w:p>
            <w:pPr>
              <w:spacing w:line="300" w:lineRule="auto"/>
              <w:jc w:val="center"/>
              <w:rPr>
                <w:rFonts w:ascii="宋体" w:hAnsi="宋体" w:cs="宋体"/>
                <w:sz w:val="22"/>
                <w:szCs w:val="22"/>
              </w:rPr>
            </w:pPr>
            <w:r>
              <w:rPr>
                <w:rFonts w:hint="eastAsia" w:ascii="宋体" w:hAnsi="宋体" w:cs="宋体"/>
                <w:sz w:val="22"/>
                <w:szCs w:val="22"/>
              </w:rPr>
              <w:t>序号</w:t>
            </w:r>
          </w:p>
        </w:tc>
        <w:tc>
          <w:tcPr>
            <w:tcW w:w="6535" w:type="dxa"/>
            <w:vMerge w:val="restart"/>
            <w:vAlign w:val="center"/>
          </w:tcPr>
          <w:p>
            <w:pPr>
              <w:spacing w:line="300" w:lineRule="auto"/>
              <w:jc w:val="center"/>
              <w:rPr>
                <w:rFonts w:ascii="宋体" w:hAnsi="宋体" w:cs="宋体"/>
                <w:sz w:val="22"/>
                <w:szCs w:val="22"/>
              </w:rPr>
            </w:pPr>
            <w:r>
              <w:rPr>
                <w:rFonts w:hint="eastAsia" w:ascii="宋体" w:hAnsi="宋体" w:cs="宋体"/>
                <w:sz w:val="22"/>
                <w:szCs w:val="22"/>
              </w:rPr>
              <w:t>评审内容</w:t>
            </w:r>
          </w:p>
        </w:tc>
        <w:tc>
          <w:tcPr>
            <w:tcW w:w="1920" w:type="dxa"/>
            <w:gridSpan w:val="3"/>
            <w:vAlign w:val="center"/>
          </w:tcPr>
          <w:p>
            <w:pPr>
              <w:spacing w:line="300" w:lineRule="auto"/>
              <w:jc w:val="center"/>
              <w:rPr>
                <w:rFonts w:ascii="宋体" w:hAnsi="宋体" w:cs="宋体"/>
                <w:sz w:val="22"/>
                <w:szCs w:val="22"/>
              </w:rPr>
            </w:pPr>
            <w:r>
              <w:rPr>
                <w:rFonts w:hint="eastAsia" w:ascii="宋体" w:hAnsi="宋体" w:cs="宋体"/>
                <w:sz w:val="22"/>
                <w:szCs w:val="22"/>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1" w:type="dxa"/>
            <w:vMerge w:val="continue"/>
            <w:vAlign w:val="center"/>
          </w:tcPr>
          <w:p>
            <w:pPr>
              <w:spacing w:line="300" w:lineRule="auto"/>
              <w:jc w:val="center"/>
              <w:rPr>
                <w:rFonts w:ascii="宋体" w:hAnsi="宋体" w:cs="宋体"/>
                <w:sz w:val="22"/>
                <w:szCs w:val="22"/>
              </w:rPr>
            </w:pPr>
          </w:p>
        </w:tc>
        <w:tc>
          <w:tcPr>
            <w:tcW w:w="6535" w:type="dxa"/>
            <w:vMerge w:val="continue"/>
            <w:vAlign w:val="center"/>
          </w:tcPr>
          <w:p>
            <w:pPr>
              <w:spacing w:line="300" w:lineRule="auto"/>
              <w:jc w:val="center"/>
              <w:rPr>
                <w:rFonts w:ascii="宋体" w:hAnsi="宋体" w:cs="宋体"/>
                <w:sz w:val="22"/>
                <w:szCs w:val="22"/>
              </w:rPr>
            </w:pPr>
          </w:p>
        </w:tc>
        <w:tc>
          <w:tcPr>
            <w:tcW w:w="600" w:type="dxa"/>
            <w:vAlign w:val="center"/>
          </w:tcPr>
          <w:p>
            <w:pPr>
              <w:spacing w:line="300" w:lineRule="auto"/>
              <w:jc w:val="center"/>
              <w:rPr>
                <w:rFonts w:ascii="宋体" w:hAnsi="宋体" w:cs="宋体"/>
                <w:sz w:val="22"/>
                <w:szCs w:val="22"/>
              </w:rPr>
            </w:pPr>
            <w:r>
              <w:rPr>
                <w:rFonts w:hint="eastAsia" w:ascii="宋体" w:hAnsi="宋体" w:cs="宋体"/>
                <w:sz w:val="22"/>
                <w:szCs w:val="22"/>
              </w:rPr>
              <w:t>1</w:t>
            </w:r>
          </w:p>
        </w:tc>
        <w:tc>
          <w:tcPr>
            <w:tcW w:w="615" w:type="dxa"/>
            <w:vAlign w:val="center"/>
          </w:tcPr>
          <w:p>
            <w:pPr>
              <w:spacing w:line="300" w:lineRule="auto"/>
              <w:jc w:val="center"/>
              <w:rPr>
                <w:rFonts w:ascii="宋体" w:hAnsi="宋体" w:cs="宋体"/>
                <w:sz w:val="22"/>
                <w:szCs w:val="22"/>
              </w:rPr>
            </w:pPr>
            <w:r>
              <w:rPr>
                <w:rFonts w:hint="eastAsia" w:ascii="宋体" w:hAnsi="宋体" w:cs="宋体"/>
                <w:sz w:val="22"/>
                <w:szCs w:val="22"/>
              </w:rPr>
              <w:t>2</w:t>
            </w:r>
          </w:p>
        </w:tc>
        <w:tc>
          <w:tcPr>
            <w:tcW w:w="705" w:type="dxa"/>
            <w:vAlign w:val="center"/>
          </w:tcPr>
          <w:p>
            <w:pPr>
              <w:spacing w:line="300" w:lineRule="auto"/>
              <w:jc w:val="center"/>
              <w:rPr>
                <w:rFonts w:ascii="宋体" w:hAnsi="宋体" w:cs="宋体"/>
                <w:sz w:val="22"/>
                <w:szCs w:val="22"/>
              </w:rPr>
            </w:pP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1</w:t>
            </w:r>
          </w:p>
        </w:tc>
        <w:tc>
          <w:tcPr>
            <w:tcW w:w="6535" w:type="dxa"/>
            <w:vAlign w:val="center"/>
          </w:tcPr>
          <w:p>
            <w:pPr>
              <w:pStyle w:val="33"/>
              <w:widowControl/>
              <w:spacing w:line="400" w:lineRule="exact"/>
              <w:jc w:val="left"/>
              <w:rPr>
                <w:rFonts w:ascii="宋体" w:hAnsi="宋体" w:cs="宋体"/>
                <w:sz w:val="22"/>
                <w:szCs w:val="22"/>
              </w:rPr>
            </w:pPr>
            <w:r>
              <w:rPr>
                <w:rFonts w:hint="eastAsia" w:ascii="宋体" w:hAnsi="宋体" w:cs="宋体"/>
                <w:color w:val="000000" w:themeColor="text1"/>
                <w:kern w:val="0"/>
                <w:sz w:val="22"/>
                <w:szCs w:val="22"/>
                <w14:textFill>
                  <w14:solidFill>
                    <w14:schemeClr w14:val="tx1"/>
                  </w14:solidFill>
                </w14:textFill>
              </w:rPr>
              <w:t>具有独立承担民事责任的能力（具备相应经营范围的企业营业执照副本）复印件；</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2</w:t>
            </w:r>
          </w:p>
        </w:tc>
        <w:tc>
          <w:tcPr>
            <w:tcW w:w="6535" w:type="dxa"/>
            <w:vAlign w:val="center"/>
          </w:tcPr>
          <w:p>
            <w:pPr>
              <w:pStyle w:val="33"/>
              <w:widowControl/>
              <w:spacing w:line="40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sz w:val="22"/>
                <w:szCs w:val="22"/>
              </w:rPr>
              <w:t>具有机电设备安装工程专业承包三级及以上资质，同时具有有效的安全生产许可证；</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3</w:t>
            </w:r>
          </w:p>
        </w:tc>
        <w:tc>
          <w:tcPr>
            <w:tcW w:w="6535" w:type="dxa"/>
            <w:vAlign w:val="center"/>
          </w:tcPr>
          <w:p>
            <w:pPr>
              <w:pStyle w:val="33"/>
              <w:widowControl/>
              <w:spacing w:line="400" w:lineRule="exact"/>
              <w:jc w:val="left"/>
              <w:rPr>
                <w:rFonts w:ascii="宋体" w:hAnsi="宋体" w:cs="宋体"/>
                <w:sz w:val="22"/>
                <w:szCs w:val="22"/>
              </w:rPr>
            </w:pPr>
            <w:r>
              <w:rPr>
                <w:rFonts w:hint="eastAsia" w:ascii="宋体" w:hAnsi="宋体" w:cs="宋体"/>
                <w:sz w:val="22"/>
                <w:szCs w:val="22"/>
              </w:rPr>
              <w:t>具有中华人民共和国特种设备生产许可证或中华人民共和国特种设备安装改造修理许可证；</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4</w:t>
            </w:r>
          </w:p>
        </w:tc>
        <w:tc>
          <w:tcPr>
            <w:tcW w:w="6535" w:type="dxa"/>
            <w:vAlign w:val="center"/>
          </w:tcPr>
          <w:p>
            <w:pPr>
              <w:pStyle w:val="33"/>
              <w:widowControl/>
              <w:spacing w:line="40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具有良好的商业信誉和健全的财务会计制度（提供近一年财务审计报告或财务报表）；</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5</w:t>
            </w:r>
          </w:p>
        </w:tc>
        <w:tc>
          <w:tcPr>
            <w:tcW w:w="6535" w:type="dxa"/>
            <w:vAlign w:val="center"/>
          </w:tcPr>
          <w:p>
            <w:pPr>
              <w:pStyle w:val="33"/>
              <w:widowControl/>
              <w:spacing w:line="400" w:lineRule="exact"/>
              <w:jc w:val="left"/>
              <w:rPr>
                <w:rFonts w:ascii="宋体" w:hAnsi="宋体" w:cs="宋体"/>
                <w:bCs/>
                <w:kern w:val="0"/>
                <w:sz w:val="22"/>
                <w:szCs w:val="22"/>
                <w:shd w:val="clear" w:color="auto" w:fill="FFFFFF"/>
              </w:rPr>
            </w:pPr>
            <w:r>
              <w:rPr>
                <w:rFonts w:hint="eastAsia" w:ascii="宋体" w:hAnsi="宋体" w:cs="宋体"/>
                <w:color w:val="000000" w:themeColor="text1"/>
                <w:kern w:val="0"/>
                <w:sz w:val="22"/>
                <w:szCs w:val="22"/>
                <w14:textFill>
                  <w14:solidFill>
                    <w14:schemeClr w14:val="tx1"/>
                  </w14:solidFill>
                </w14:textFill>
              </w:rPr>
              <w:t>具有履行合同所必需的设施设备和专业技术能力（提供售后服务相关证明资料）；</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6</w:t>
            </w:r>
          </w:p>
        </w:tc>
        <w:tc>
          <w:tcPr>
            <w:tcW w:w="6535" w:type="dxa"/>
            <w:vAlign w:val="center"/>
          </w:tcPr>
          <w:p>
            <w:pPr>
              <w:widowControl/>
              <w:spacing w:line="400" w:lineRule="exact"/>
              <w:jc w:val="left"/>
              <w:textAlignment w:val="baseline"/>
              <w:rPr>
                <w:rFonts w:ascii="宋体" w:hAnsi="宋体" w:cs="宋体"/>
                <w:sz w:val="22"/>
                <w:szCs w:val="22"/>
              </w:rPr>
            </w:pPr>
            <w:r>
              <w:rPr>
                <w:rFonts w:hint="eastAsia" w:ascii="宋体" w:hAnsi="宋体" w:cs="宋体"/>
                <w:color w:val="000000" w:themeColor="text1"/>
                <w:kern w:val="0"/>
                <w:sz w:val="22"/>
                <w:szCs w:val="22"/>
                <w14:textFill>
                  <w14:solidFill>
                    <w14:schemeClr w14:val="tx1"/>
                  </w14:solidFill>
                </w14:textFill>
              </w:rPr>
              <w:t>有依法缴纳税收和社保的良好纪录，提供近半年连续缴纳税收证明和缴纳社保证明；</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7</w:t>
            </w:r>
          </w:p>
        </w:tc>
        <w:tc>
          <w:tcPr>
            <w:tcW w:w="6535" w:type="dxa"/>
            <w:vAlign w:val="center"/>
          </w:tcPr>
          <w:p>
            <w:pPr>
              <w:pStyle w:val="2"/>
              <w:spacing w:line="300" w:lineRule="auto"/>
              <w:rPr>
                <w:rFonts w:ascii="宋体" w:hAnsi="宋体" w:cs="宋体"/>
                <w:sz w:val="22"/>
                <w:szCs w:val="22"/>
              </w:rPr>
            </w:pPr>
            <w:r>
              <w:rPr>
                <w:rFonts w:hint="eastAsia" w:ascii="宋体" w:hAnsi="宋体" w:cs="宋体"/>
                <w:color w:val="000000" w:themeColor="text1"/>
                <w:kern w:val="0"/>
                <w:sz w:val="22"/>
                <w:szCs w:val="22"/>
                <w14:textFill>
                  <w14:solidFill>
                    <w14:schemeClr w14:val="tx1"/>
                  </w14:solidFill>
                </w14:textFill>
              </w:rPr>
              <w:t>参加此项采购活动前三年内，在经营活动中没有重大违法记录(受行政主管部门的处罚不能参加投标)，包括但不限于以下：</w:t>
            </w:r>
            <w:r>
              <w:rPr>
                <w:rFonts w:ascii="宋体" w:hAnsi="宋体" w:cs="宋体"/>
                <w:color w:val="000000" w:themeColor="text1"/>
                <w:kern w:val="0"/>
                <w:sz w:val="22"/>
                <w:szCs w:val="22"/>
                <w14:textFill>
                  <w14:solidFill>
                    <w14:schemeClr w14:val="tx1"/>
                  </w14:solidFill>
                </w14:textFill>
              </w:rPr>
              <w:t>国家企业信用信息公示</w:t>
            </w:r>
            <w:r>
              <w:rPr>
                <w:rFonts w:hint="eastAsia" w:ascii="宋体" w:hAnsi="宋体" w:cs="宋体"/>
                <w:color w:val="000000" w:themeColor="text1"/>
                <w:kern w:val="0"/>
                <w:sz w:val="22"/>
                <w:szCs w:val="22"/>
                <w14:textFill>
                  <w14:solidFill>
                    <w14:schemeClr w14:val="tx1"/>
                  </w14:solidFill>
                </w14:textFill>
              </w:rPr>
              <w:t>（</w:t>
            </w:r>
            <w:r>
              <w:fldChar w:fldCharType="begin"/>
            </w:r>
            <w:r>
              <w:instrText xml:space="preserve"> HYPERLINK "http://www.gsxt.gov.cn/%EF%BC%89%E6%9F%A5%E8%AF%A2%E7%BB%93%E6%9E%9C%EF%BC%9B" </w:instrText>
            </w:r>
            <w:r>
              <w:fldChar w:fldCharType="separate"/>
            </w:r>
            <w:r>
              <w:rPr>
                <w:rFonts w:ascii="宋体" w:hAnsi="宋体" w:cs="宋体"/>
                <w:color w:val="000000" w:themeColor="text1"/>
                <w:kern w:val="0"/>
                <w:sz w:val="22"/>
                <w:szCs w:val="22"/>
                <w14:textFill>
                  <w14:solidFill>
                    <w14:schemeClr w14:val="tx1"/>
                  </w14:solidFill>
                </w14:textFill>
              </w:rPr>
              <w:t>http://www.gsxt.gov.cn/）</w:t>
            </w:r>
            <w:r>
              <w:rPr>
                <w:rFonts w:ascii="宋体" w:hAnsi="宋体" w:cs="宋体"/>
                <w:color w:val="000000" w:themeColor="text1"/>
                <w:kern w:val="0"/>
                <w:sz w:val="22"/>
                <w:szCs w:val="22"/>
                <w14:textFill>
                  <w14:solidFill>
                    <w14:schemeClr w14:val="tx1"/>
                  </w14:solidFill>
                </w14:textFill>
              </w:rPr>
              <w:fldChar w:fldCharType="end"/>
            </w:r>
            <w:r>
              <w:rPr>
                <w:rFonts w:hint="eastAsia" w:ascii="宋体" w:hAnsi="宋体" w:cs="宋体"/>
                <w:color w:val="000000" w:themeColor="text1"/>
                <w:kern w:val="0"/>
                <w:sz w:val="22"/>
                <w:szCs w:val="22"/>
                <w14:textFill>
                  <w14:solidFill>
                    <w14:schemeClr w14:val="tx1"/>
                  </w14:solidFill>
                </w14:textFill>
              </w:rPr>
              <w:t>、“中国政府采购网”（http://www.ccgp.gov.cn）及</w:t>
            </w:r>
            <w:r>
              <w:rPr>
                <w:rFonts w:ascii="宋体" w:hAnsi="宋体" w:cs="宋体"/>
                <w:color w:val="000000" w:themeColor="text1"/>
                <w:kern w:val="0"/>
                <w:sz w:val="22"/>
                <w:szCs w:val="22"/>
                <w14:textFill>
                  <w14:solidFill>
                    <w14:schemeClr w14:val="tx1"/>
                  </w14:solidFill>
                </w14:textFill>
              </w:rPr>
              <w:t>信用中国（</w:t>
            </w:r>
            <w:r>
              <w:fldChar w:fldCharType="begin"/>
            </w:r>
            <w:r>
              <w:instrText xml:space="preserve"> HYPERLINK "http://www.creditchina.gov.xn--cn);-7z1irop93kd3v/" </w:instrText>
            </w:r>
            <w:r>
              <w:fldChar w:fldCharType="separate"/>
            </w:r>
            <w:r>
              <w:rPr>
                <w:rFonts w:ascii="宋体" w:hAnsi="宋体" w:cs="宋体"/>
                <w:color w:val="000000" w:themeColor="text1"/>
                <w:kern w:val="0"/>
                <w:sz w:val="22"/>
                <w:szCs w:val="22"/>
                <w14:textFill>
                  <w14:solidFill>
                    <w14:schemeClr w14:val="tx1"/>
                  </w14:solidFill>
                </w14:textFill>
              </w:rPr>
              <w:t>www.creditchina.gov.cn）</w:t>
            </w:r>
            <w:r>
              <w:rPr>
                <w:rFonts w:ascii="宋体" w:hAnsi="宋体" w:cs="宋体"/>
                <w:color w:val="000000" w:themeColor="text1"/>
                <w:kern w:val="0"/>
                <w:sz w:val="22"/>
                <w:szCs w:val="22"/>
                <w14:textFill>
                  <w14:solidFill>
                    <w14:schemeClr w14:val="tx1"/>
                  </w14:solidFill>
                </w14:textFill>
              </w:rPr>
              <w:fldChar w:fldCharType="end"/>
            </w:r>
            <w:r>
              <w:rPr>
                <w:rFonts w:hint="eastAsia" w:ascii="宋体" w:hAnsi="宋体" w:cs="宋体"/>
                <w:color w:val="000000" w:themeColor="text1"/>
                <w:kern w:val="0"/>
                <w:sz w:val="22"/>
                <w:szCs w:val="22"/>
                <w14:textFill>
                  <w14:solidFill>
                    <w14:schemeClr w14:val="tx1"/>
                  </w14:solidFill>
                </w14:textFill>
              </w:rPr>
              <w:t>等无违法违规行为的查询</w:t>
            </w:r>
            <w:r>
              <w:rPr>
                <w:rFonts w:ascii="宋体" w:hAnsi="宋体" w:cs="宋体"/>
                <w:color w:val="000000" w:themeColor="text1"/>
                <w:kern w:val="0"/>
                <w:sz w:val="22"/>
                <w:szCs w:val="22"/>
                <w14:textFill>
                  <w14:solidFill>
                    <w14:schemeClr w14:val="tx1"/>
                  </w14:solidFill>
                </w14:textFill>
              </w:rPr>
              <w:t>结果</w:t>
            </w:r>
            <w:r>
              <w:rPr>
                <w:rFonts w:hint="eastAsia" w:ascii="宋体" w:hAnsi="宋体" w:cs="宋体"/>
                <w:color w:val="000000" w:themeColor="text1"/>
                <w:kern w:val="0"/>
                <w:sz w:val="22"/>
                <w:szCs w:val="22"/>
                <w14:textFill>
                  <w14:solidFill>
                    <w14:schemeClr w14:val="tx1"/>
                  </w14:solidFill>
                </w14:textFill>
              </w:rPr>
              <w:t>记录，查询日期为招标公告发布之后开标时间之前；</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8</w:t>
            </w:r>
          </w:p>
        </w:tc>
        <w:tc>
          <w:tcPr>
            <w:tcW w:w="6535" w:type="dxa"/>
            <w:vAlign w:val="center"/>
          </w:tcPr>
          <w:p>
            <w:pPr>
              <w:pStyle w:val="2"/>
              <w:spacing w:line="300" w:lineRule="auto"/>
              <w:rPr>
                <w:sz w:val="21"/>
              </w:rPr>
            </w:pPr>
            <w:r>
              <w:rPr>
                <w:rFonts w:hint="eastAsia" w:ascii="宋体" w:hAnsi="宋体" w:cs="宋体"/>
                <w:color w:val="000000" w:themeColor="text1"/>
                <w:kern w:val="0"/>
                <w:sz w:val="22"/>
                <w:szCs w:val="22"/>
                <w14:textFill>
                  <w14:solidFill>
                    <w14:schemeClr w14:val="tx1"/>
                  </w14:solidFill>
                </w14:textFill>
              </w:rPr>
              <w:t>法定代表人身份证明及身份证、社保证明，或法人代表授权书原件及被授权人身份证、社保证明；</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1" w:type="dxa"/>
            <w:vAlign w:val="center"/>
          </w:tcPr>
          <w:p>
            <w:pPr>
              <w:spacing w:line="300" w:lineRule="auto"/>
              <w:jc w:val="center"/>
              <w:rPr>
                <w:rFonts w:ascii="宋体" w:hAnsi="宋体" w:cs="宋体"/>
                <w:sz w:val="22"/>
                <w:szCs w:val="22"/>
              </w:rPr>
            </w:pPr>
            <w:r>
              <w:rPr>
                <w:rFonts w:hint="eastAsia" w:ascii="宋体" w:hAnsi="宋体" w:cs="宋体"/>
                <w:sz w:val="22"/>
                <w:szCs w:val="22"/>
              </w:rPr>
              <w:t>9</w:t>
            </w:r>
          </w:p>
        </w:tc>
        <w:tc>
          <w:tcPr>
            <w:tcW w:w="6535" w:type="dxa"/>
            <w:vAlign w:val="center"/>
          </w:tcPr>
          <w:p>
            <w:pPr>
              <w:pStyle w:val="33"/>
              <w:widowControl/>
              <w:spacing w:line="400" w:lineRule="exact"/>
              <w:jc w:val="left"/>
              <w:rPr>
                <w:rFonts w:ascii="宋体" w:hAnsi="宋体" w:cs="宋体"/>
                <w:sz w:val="22"/>
                <w:szCs w:val="22"/>
              </w:rPr>
            </w:pPr>
            <w:r>
              <w:rPr>
                <w:rFonts w:hint="eastAsia" w:ascii="宋体" w:hAnsi="宋体" w:cs="宋体"/>
                <w:sz w:val="22"/>
                <w:szCs w:val="22"/>
              </w:rPr>
              <w:t>投标保证金收据、打款凭证电子回单加盖公章、开户许可证或银行开户信息证明；</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06" w:type="dxa"/>
            <w:gridSpan w:val="2"/>
            <w:vAlign w:val="center"/>
          </w:tcPr>
          <w:p>
            <w:pPr>
              <w:tabs>
                <w:tab w:val="left" w:pos="2488"/>
              </w:tabs>
              <w:spacing w:line="300" w:lineRule="auto"/>
              <w:jc w:val="left"/>
              <w:rPr>
                <w:rFonts w:ascii="宋体" w:hAnsi="宋体" w:cs="宋体"/>
                <w:sz w:val="22"/>
                <w:szCs w:val="22"/>
              </w:rPr>
            </w:pPr>
            <w:r>
              <w:rPr>
                <w:rFonts w:hint="eastAsia" w:ascii="宋体" w:hAnsi="宋体" w:cs="宋体"/>
                <w:sz w:val="22"/>
                <w:szCs w:val="22"/>
              </w:rPr>
              <w:t>结论：通过评审打“√”，未通过评审打“×”并写明具体原因</w:t>
            </w:r>
          </w:p>
        </w:tc>
        <w:tc>
          <w:tcPr>
            <w:tcW w:w="600" w:type="dxa"/>
          </w:tcPr>
          <w:p>
            <w:pPr>
              <w:spacing w:line="300" w:lineRule="auto"/>
              <w:rPr>
                <w:rFonts w:ascii="宋体" w:hAnsi="宋体" w:cs="宋体"/>
                <w:sz w:val="22"/>
                <w:szCs w:val="22"/>
              </w:rPr>
            </w:pPr>
          </w:p>
        </w:tc>
        <w:tc>
          <w:tcPr>
            <w:tcW w:w="615" w:type="dxa"/>
          </w:tcPr>
          <w:p>
            <w:pPr>
              <w:spacing w:line="300" w:lineRule="auto"/>
              <w:rPr>
                <w:rFonts w:ascii="宋体" w:hAnsi="宋体" w:cs="宋体"/>
                <w:sz w:val="22"/>
                <w:szCs w:val="22"/>
              </w:rPr>
            </w:pPr>
          </w:p>
        </w:tc>
        <w:tc>
          <w:tcPr>
            <w:tcW w:w="705" w:type="dxa"/>
          </w:tcPr>
          <w:p>
            <w:pPr>
              <w:spacing w:line="300" w:lineRule="auto"/>
              <w:rPr>
                <w:rFonts w:ascii="宋体" w:hAnsi="宋体" w:cs="宋体"/>
                <w:sz w:val="22"/>
                <w:szCs w:val="22"/>
              </w:rPr>
            </w:pPr>
          </w:p>
        </w:tc>
      </w:tr>
    </w:tbl>
    <w:p>
      <w:pPr>
        <w:rPr>
          <w:rFonts w:ascii="宋体" w:hAnsi="宋体"/>
          <w:b/>
          <w:bCs/>
          <w:sz w:val="22"/>
          <w:szCs w:val="22"/>
        </w:rPr>
      </w:pPr>
      <w:r>
        <w:rPr>
          <w:rFonts w:hint="eastAsia" w:ascii="宋体" w:hAnsi="宋体"/>
          <w:b/>
          <w:bCs/>
          <w:sz w:val="22"/>
          <w:szCs w:val="22"/>
        </w:rPr>
        <w:t>说明：（1）上述各项中用“√”表示通过，“×”表示不通过；</w:t>
      </w:r>
    </w:p>
    <w:p>
      <w:pPr>
        <w:rPr>
          <w:rFonts w:ascii="宋体" w:hAnsi="宋体"/>
          <w:b/>
          <w:bCs/>
          <w:sz w:val="22"/>
          <w:szCs w:val="22"/>
        </w:rPr>
      </w:pPr>
      <w:r>
        <w:rPr>
          <w:rFonts w:hint="eastAsia" w:ascii="宋体" w:hAnsi="宋体"/>
          <w:b/>
          <w:bCs/>
          <w:sz w:val="22"/>
          <w:szCs w:val="22"/>
        </w:rPr>
        <w:t>（2）上述各项中如有一项为“×”，则结论为“×”，表示该投标文件中存在重大偏差，不能通过初步评审；评委对某一分项评审认为不合格时，必须要写明原因。</w:t>
      </w:r>
    </w:p>
    <w:p>
      <w:pPr>
        <w:rPr>
          <w:rFonts w:ascii="宋体" w:hAnsi="宋体"/>
          <w:b/>
          <w:bCs/>
          <w:sz w:val="22"/>
          <w:szCs w:val="22"/>
        </w:rPr>
      </w:pPr>
      <w:r>
        <w:rPr>
          <w:rFonts w:hint="eastAsia" w:ascii="宋体" w:hAnsi="宋体"/>
          <w:b/>
          <w:bCs/>
          <w:sz w:val="22"/>
          <w:szCs w:val="22"/>
        </w:rPr>
        <w:t>（3）投标文件最终合格与否，以所有评委的评审意见中少数服从多数为原则定论。</w:t>
      </w:r>
    </w:p>
    <w:p>
      <w:pPr>
        <w:rPr>
          <w:rFonts w:ascii="宋体" w:hAnsi="宋体"/>
          <w:b/>
          <w:bCs/>
          <w:sz w:val="24"/>
        </w:rPr>
      </w:pPr>
      <w:r>
        <w:rPr>
          <w:rFonts w:hint="eastAsia" w:ascii="宋体" w:hAnsi="宋体"/>
          <w:b/>
          <w:bCs/>
          <w:sz w:val="22"/>
          <w:szCs w:val="22"/>
        </w:rPr>
        <w:t>★备注：如果投标文件中有一项未通过上述审查标准，评标委员会将认定整个投标文件未响应招标文件而予以废标处理。</w:t>
      </w:r>
    </w:p>
    <w:p>
      <w:pPr>
        <w:rPr>
          <w:rFonts w:ascii="宋体" w:hAnsi="宋体"/>
          <w:b/>
          <w:bCs/>
          <w:sz w:val="24"/>
        </w:rPr>
      </w:pPr>
    </w:p>
    <w:p>
      <w:pPr>
        <w:rPr>
          <w:rFonts w:ascii="宋体" w:hAnsi="宋体"/>
          <w:b/>
          <w:bCs/>
          <w:sz w:val="24"/>
        </w:rPr>
      </w:pPr>
      <w:r>
        <w:rPr>
          <w:rFonts w:hint="eastAsia" w:ascii="宋体" w:hAnsi="宋体"/>
          <w:b/>
          <w:bCs/>
          <w:sz w:val="24"/>
        </w:rPr>
        <w:br w:type="page"/>
      </w:r>
    </w:p>
    <w:p>
      <w:pPr>
        <w:pStyle w:val="13"/>
        <w:jc w:val="center"/>
      </w:pPr>
      <w:r>
        <w:rPr>
          <w:rFonts w:hint="eastAsia" w:ascii="宋体" w:hAnsi="宋体"/>
          <w:b/>
          <w:bCs/>
          <w:sz w:val="24"/>
        </w:rPr>
        <w:t>符合性审查表</w:t>
      </w:r>
    </w:p>
    <w:tbl>
      <w:tblPr>
        <w:tblStyle w:val="37"/>
        <w:tblpPr w:leftFromText="180" w:rightFromText="180" w:vertAnchor="text" w:horzAnchor="page" w:tblpXSpec="center" w:tblpY="262"/>
        <w:tblOverlap w:val="never"/>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94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pPr>
              <w:spacing w:line="300" w:lineRule="auto"/>
              <w:jc w:val="center"/>
              <w:rPr>
                <w:rFonts w:ascii="宋体" w:hAnsi="宋体" w:cs="宋体"/>
                <w:spacing w:val="-2"/>
                <w:szCs w:val="21"/>
              </w:rPr>
            </w:pPr>
            <w:r>
              <w:rPr>
                <w:rFonts w:hint="eastAsia" w:ascii="宋体" w:hAnsi="宋体" w:cs="宋体"/>
                <w:b/>
                <w:sz w:val="22"/>
                <w:szCs w:val="22"/>
              </w:rPr>
              <w:t>评审内容</w:t>
            </w:r>
          </w:p>
        </w:tc>
        <w:tc>
          <w:tcPr>
            <w:tcW w:w="1969" w:type="dxa"/>
            <w:gridSpan w:val="2"/>
            <w:vAlign w:val="center"/>
          </w:tcPr>
          <w:p>
            <w:pPr>
              <w:spacing w:line="300" w:lineRule="auto"/>
              <w:jc w:val="center"/>
              <w:rPr>
                <w:rFonts w:ascii="宋体" w:hAnsi="宋体" w:cs="宋体"/>
                <w:b/>
                <w:szCs w:val="21"/>
              </w:rPr>
            </w:pPr>
            <w:r>
              <w:rPr>
                <w:rFonts w:hint="eastAsia" w:ascii="宋体" w:hAnsi="宋体" w:cs="宋体"/>
                <w:b/>
                <w:szCs w:val="21"/>
              </w:rPr>
              <w:t>投标商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pPr>
              <w:spacing w:line="300" w:lineRule="auto"/>
              <w:jc w:val="center"/>
              <w:rPr>
                <w:rFonts w:ascii="宋体" w:hAnsi="宋体" w:cs="宋体"/>
                <w:szCs w:val="21"/>
              </w:rPr>
            </w:pPr>
            <w:r>
              <w:rPr>
                <w:rFonts w:hint="eastAsia" w:ascii="宋体" w:hAnsi="宋体" w:cs="宋体"/>
                <w:szCs w:val="21"/>
              </w:rPr>
              <w:t>序号</w:t>
            </w:r>
          </w:p>
        </w:tc>
        <w:tc>
          <w:tcPr>
            <w:tcW w:w="6755" w:type="dxa"/>
            <w:vAlign w:val="center"/>
          </w:tcPr>
          <w:p>
            <w:pPr>
              <w:spacing w:line="300" w:lineRule="auto"/>
              <w:rPr>
                <w:rFonts w:ascii="宋体" w:hAnsi="宋体" w:cs="宋体"/>
                <w:spacing w:val="-2"/>
                <w:szCs w:val="21"/>
              </w:rPr>
            </w:pPr>
          </w:p>
        </w:tc>
        <w:tc>
          <w:tcPr>
            <w:tcW w:w="949" w:type="dxa"/>
            <w:vAlign w:val="center"/>
          </w:tcPr>
          <w:p>
            <w:pPr>
              <w:spacing w:line="300" w:lineRule="auto"/>
              <w:jc w:val="center"/>
              <w:rPr>
                <w:rFonts w:ascii="宋体" w:hAnsi="宋体" w:cs="宋体"/>
                <w:spacing w:val="-2"/>
                <w:szCs w:val="21"/>
              </w:rPr>
            </w:pPr>
            <w:r>
              <w:rPr>
                <w:rFonts w:hint="eastAsia" w:ascii="宋体" w:hAnsi="宋体" w:cs="宋体"/>
                <w:spacing w:val="-2"/>
                <w:szCs w:val="21"/>
              </w:rPr>
              <w:t>1</w:t>
            </w:r>
          </w:p>
        </w:tc>
        <w:tc>
          <w:tcPr>
            <w:tcW w:w="1020" w:type="dxa"/>
            <w:vAlign w:val="center"/>
          </w:tcPr>
          <w:p>
            <w:pPr>
              <w:spacing w:line="300" w:lineRule="auto"/>
              <w:jc w:val="center"/>
              <w:rPr>
                <w:rFonts w:ascii="宋体" w:hAnsi="宋体" w:cs="宋体"/>
                <w:spacing w:val="-2"/>
                <w:szCs w:val="21"/>
              </w:rPr>
            </w:pPr>
            <w:r>
              <w:rPr>
                <w:rFonts w:hint="eastAsia" w:ascii="宋体" w:hAnsi="宋体" w:cs="宋体"/>
                <w:spacing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供应商报价未高于预算金额，且仅有一个</w:t>
            </w:r>
            <w:r>
              <w:rPr>
                <w:rFonts w:hint="eastAsia" w:ascii="宋体" w:hAnsi="宋体" w:cs="宋体"/>
                <w:color w:val="000000" w:themeColor="text1"/>
                <w:szCs w:val="21"/>
                <w14:textFill>
                  <w14:solidFill>
                    <w14:schemeClr w14:val="tx1"/>
                  </w14:solidFill>
                </w14:textFill>
              </w:rPr>
              <w:t>有效报价，未提交选择性报价</w:t>
            </w:r>
            <w:r>
              <w:rPr>
                <w:rFonts w:hint="eastAsia" w:ascii="宋体" w:hAnsi="宋体" w:cs="宋体"/>
                <w:spacing w:val="-2"/>
                <w:szCs w:val="21"/>
              </w:rPr>
              <w:t>；</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评标委员会认为供应商的报价无明显低于成本价的，供应商的报价不存在异常一致并成规律性的，其报价合理；</w:t>
            </w:r>
          </w:p>
        </w:tc>
        <w:tc>
          <w:tcPr>
            <w:tcW w:w="949" w:type="dxa"/>
            <w:vAlign w:val="center"/>
          </w:tcPr>
          <w:p>
            <w:pPr>
              <w:spacing w:line="300" w:lineRule="auto"/>
              <w:rPr>
                <w:rFonts w:ascii="宋体" w:hAnsi="宋体" w:cs="宋体"/>
                <w:szCs w:val="21"/>
              </w:rPr>
            </w:pPr>
          </w:p>
        </w:tc>
        <w:tc>
          <w:tcPr>
            <w:tcW w:w="1020"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供应商</w:t>
            </w:r>
            <w:r>
              <w:rPr>
                <w:rFonts w:hint="eastAsia" w:ascii="宋体" w:hAnsi="宋体" w:cs="宋体"/>
                <w:color w:val="000000" w:themeColor="text1"/>
                <w:spacing w:val="-2"/>
                <w:szCs w:val="21"/>
                <w14:textFill>
                  <w14:solidFill>
                    <w14:schemeClr w14:val="tx1"/>
                  </w14:solidFill>
                </w14:textFill>
              </w:rPr>
              <w:t>是否按招标文件份数要求提交投标文件；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投标文件按照招标文件的规定编制、密封、标记及签署盖章的（投标文件正本的印章和签字不能为复印件）；</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投标文件没有散页、活页、未胶装的；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投标文件载明的技术参数等，达到招标文件要求的；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按招标文件规定的格式填写，内容全或关键字迹清晰、数量等齐全；</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8</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zCs w:val="21"/>
                <w14:textFill>
                  <w14:solidFill>
                    <w14:schemeClr w14:val="tx1"/>
                  </w14:solidFill>
                </w14:textFill>
              </w:rPr>
              <w:t>投标产品质保期满足招标文件要求；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9</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投标有效期满足招标文件要求；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6755" w:type="dxa"/>
            <w:vAlign w:val="center"/>
          </w:tcPr>
          <w:p>
            <w:pPr>
              <w:spacing w:line="400" w:lineRule="exac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投标人所报交货期限未超过招标文件规定期限；</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没有采购人不能接受的附加条件的；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符合招标文件中规定的其他实质性要求；</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6755" w:type="dxa"/>
            <w:vAlign w:val="bottom"/>
          </w:tcPr>
          <w:p>
            <w:pPr>
              <w:spacing w:line="300" w:lineRule="auto"/>
              <w:jc w:val="left"/>
              <w:rPr>
                <w:rFonts w:ascii="宋体" w:hAnsi="宋体" w:cs="宋体"/>
                <w:spacing w:val="-2"/>
                <w:szCs w:val="21"/>
              </w:rPr>
            </w:pPr>
            <w:r>
              <w:rPr>
                <w:rFonts w:hint="eastAsia" w:ascii="宋体" w:hAnsi="宋体" w:cs="宋体"/>
                <w:spacing w:val="-2"/>
                <w:szCs w:val="21"/>
              </w:rPr>
              <w:t>不同供应商的投标文件没有错漏一致的情况；</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6755" w:type="dxa"/>
            <w:vAlign w:val="bottom"/>
          </w:tcPr>
          <w:p>
            <w:pPr>
              <w:spacing w:line="300" w:lineRule="auto"/>
              <w:jc w:val="left"/>
              <w:rPr>
                <w:rFonts w:ascii="宋体" w:hAnsi="宋体" w:cs="宋体"/>
                <w:spacing w:val="-2"/>
                <w:szCs w:val="21"/>
              </w:rPr>
            </w:pPr>
            <w:r>
              <w:rPr>
                <w:rFonts w:hint="eastAsia" w:ascii="宋体" w:hAnsi="宋体" w:cs="宋体"/>
                <w:color w:val="000000" w:themeColor="text1"/>
                <w:spacing w:val="-2"/>
                <w:szCs w:val="21"/>
                <w14:textFill>
                  <w14:solidFill>
                    <w14:schemeClr w14:val="tx1"/>
                  </w14:solidFill>
                </w14:textFill>
              </w:rPr>
              <w:t>投标人没有违法招标投标法律法规及现场纪律的。</w:t>
            </w:r>
          </w:p>
        </w:tc>
        <w:tc>
          <w:tcPr>
            <w:tcW w:w="949" w:type="dxa"/>
            <w:vAlign w:val="center"/>
          </w:tcPr>
          <w:p>
            <w:pPr>
              <w:spacing w:line="300" w:lineRule="auto"/>
              <w:rPr>
                <w:rFonts w:ascii="宋体" w:hAnsi="宋体" w:cs="宋体"/>
                <w:spacing w:val="-2"/>
                <w:szCs w:val="21"/>
              </w:rPr>
            </w:pPr>
          </w:p>
        </w:tc>
        <w:tc>
          <w:tcPr>
            <w:tcW w:w="1020" w:type="dxa"/>
            <w:vAlign w:val="center"/>
          </w:tcPr>
          <w:p>
            <w:pPr>
              <w:spacing w:line="300" w:lineRule="auto"/>
              <w:rPr>
                <w:rFonts w:ascii="宋体" w:hAnsi="宋体"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pPr>
              <w:spacing w:line="300" w:lineRule="auto"/>
              <w:ind w:firstLine="370" w:firstLineChars="180"/>
              <w:rPr>
                <w:rFonts w:ascii="宋体" w:hAnsi="宋体" w:cs="宋体"/>
                <w:spacing w:val="-2"/>
                <w:szCs w:val="21"/>
              </w:rPr>
            </w:pPr>
            <w:r>
              <w:rPr>
                <w:rFonts w:hint="eastAsia" w:ascii="宋体" w:hAnsi="宋体" w:cs="宋体"/>
                <w:spacing w:val="-2"/>
                <w:szCs w:val="21"/>
              </w:rPr>
              <w:t>结论：通过评审打“√”，未通过评审打“×”并写明具体原因</w:t>
            </w:r>
          </w:p>
        </w:tc>
        <w:tc>
          <w:tcPr>
            <w:tcW w:w="949" w:type="dxa"/>
            <w:vAlign w:val="center"/>
          </w:tcPr>
          <w:p>
            <w:pPr>
              <w:spacing w:line="300" w:lineRule="auto"/>
              <w:ind w:firstLine="370" w:firstLineChars="180"/>
              <w:rPr>
                <w:rFonts w:ascii="宋体" w:hAnsi="宋体" w:cs="宋体"/>
                <w:spacing w:val="-2"/>
                <w:szCs w:val="21"/>
              </w:rPr>
            </w:pPr>
          </w:p>
        </w:tc>
        <w:tc>
          <w:tcPr>
            <w:tcW w:w="1020" w:type="dxa"/>
            <w:vAlign w:val="center"/>
          </w:tcPr>
          <w:p>
            <w:pPr>
              <w:spacing w:line="300" w:lineRule="auto"/>
              <w:ind w:firstLine="370" w:firstLineChars="180"/>
              <w:rPr>
                <w:rFonts w:ascii="宋体" w:hAnsi="宋体" w:cs="宋体"/>
                <w:spacing w:val="-2"/>
                <w:szCs w:val="21"/>
              </w:rPr>
            </w:pPr>
          </w:p>
        </w:tc>
      </w:tr>
    </w:tbl>
    <w:p>
      <w:pPr>
        <w:rPr>
          <w:rFonts w:ascii="宋体" w:hAnsi="宋体"/>
          <w:b/>
          <w:bCs/>
          <w:sz w:val="24"/>
        </w:rPr>
      </w:pPr>
      <w:r>
        <w:rPr>
          <w:rFonts w:hint="eastAsia" w:ascii="宋体" w:hAnsi="宋体"/>
          <w:b/>
          <w:bCs/>
          <w:sz w:val="24"/>
        </w:rPr>
        <w:t>说明：（1）上述各项中用“√”表示通过，“×”表示不通过；</w:t>
      </w:r>
    </w:p>
    <w:p>
      <w:pPr>
        <w:rPr>
          <w:rFonts w:ascii="宋体" w:hAnsi="宋体"/>
          <w:b/>
          <w:bCs/>
          <w:sz w:val="24"/>
        </w:rPr>
      </w:pPr>
      <w:r>
        <w:rPr>
          <w:rFonts w:hint="eastAsia" w:ascii="宋体" w:hAnsi="宋体"/>
          <w:b/>
          <w:bCs/>
          <w:sz w:val="24"/>
        </w:rPr>
        <w:t>（2）上述各项中如有一项为“×”，则结论为“×”，表示该投标文件中存在重大偏差，不能通过初步评审；评委对某一分项评审认为不合格时，必须要写明原因。</w:t>
      </w:r>
    </w:p>
    <w:p>
      <w:pPr>
        <w:rPr>
          <w:rFonts w:ascii="宋体" w:hAnsi="宋体"/>
          <w:b/>
          <w:bCs/>
          <w:sz w:val="24"/>
        </w:rPr>
      </w:pPr>
      <w:r>
        <w:rPr>
          <w:rFonts w:hint="eastAsia" w:ascii="宋体" w:hAnsi="宋体"/>
          <w:b/>
          <w:bCs/>
          <w:sz w:val="24"/>
        </w:rPr>
        <w:t>（3）投标文件最终合格与否，以所有评委的评审意见中少数服从多数为原则定论。</w:t>
      </w:r>
    </w:p>
    <w:p>
      <w:pPr>
        <w:rPr>
          <w:rFonts w:ascii="宋体" w:hAnsi="宋体"/>
          <w:b/>
          <w:bCs/>
          <w:sz w:val="24"/>
        </w:rPr>
      </w:pPr>
      <w:r>
        <w:rPr>
          <w:rFonts w:hint="eastAsia" w:ascii="宋体" w:hAnsi="宋体"/>
          <w:b/>
          <w:bCs/>
          <w:sz w:val="24"/>
        </w:rPr>
        <w:t>★备注：如果投标文件中有一项未通过上述审查标准，评标委员会将认定整个投标文件未响应招标文件而予以废标处理。</w:t>
      </w:r>
    </w:p>
    <w:p>
      <w:pPr>
        <w:pStyle w:val="30"/>
        <w:ind w:left="420" w:hanging="420"/>
        <w:sectPr>
          <w:footerReference r:id="rId6" w:type="default"/>
          <w:pgSz w:w="11906" w:h="16838"/>
          <w:pgMar w:top="1440" w:right="1797" w:bottom="1440" w:left="1797" w:header="851" w:footer="992" w:gutter="0"/>
          <w:cols w:space="720" w:num="1"/>
          <w:docGrid w:type="lines" w:linePitch="312" w:charSpace="0"/>
        </w:sectPr>
      </w:pPr>
    </w:p>
    <w:p>
      <w:pPr>
        <w:pageBreakBefore/>
        <w:outlineLvl w:val="0"/>
        <w:rPr>
          <w:rFonts w:ascii="宋体" w:hAnsi="宋体"/>
          <w:b/>
          <w:bCs/>
          <w:color w:val="FF0000"/>
          <w:sz w:val="24"/>
        </w:rPr>
      </w:pPr>
      <w:bookmarkStart w:id="48" w:name="_Toc2306"/>
      <w:r>
        <w:rPr>
          <w:rFonts w:hint="eastAsia" w:ascii="宋体" w:hAnsi="宋体"/>
          <w:b/>
          <w:bCs/>
          <w:color w:val="FF0000"/>
          <w:sz w:val="24"/>
        </w:rPr>
        <w:t>附表2、详细评审</w:t>
      </w:r>
      <w:bookmarkEnd w:id="48"/>
    </w:p>
    <w:tbl>
      <w:tblPr>
        <w:tblStyle w:val="37"/>
        <w:tblW w:w="1516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815"/>
        <w:gridCol w:w="140"/>
        <w:gridCol w:w="1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w:t>
            </w:r>
          </w:p>
          <w:p>
            <w:pPr>
              <w:adjustRightInd w:val="0"/>
              <w:jc w:val="center"/>
              <w:rPr>
                <w:rFonts w:ascii="宋体" w:hAnsi="宋体" w:cs="宋体"/>
                <w:color w:val="FF0000"/>
                <w:sz w:val="24"/>
              </w:rPr>
            </w:pPr>
            <w:r>
              <w:rPr>
                <w:rFonts w:hint="eastAsia" w:ascii="宋体" w:hAnsi="宋体" w:cs="宋体"/>
                <w:color w:val="FF0000"/>
                <w:sz w:val="24"/>
              </w:rPr>
              <w:t>因素</w:t>
            </w:r>
          </w:p>
        </w:tc>
        <w:tc>
          <w:tcPr>
            <w:tcW w:w="281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子项</w:t>
            </w:r>
          </w:p>
        </w:tc>
        <w:tc>
          <w:tcPr>
            <w:tcW w:w="11198" w:type="dxa"/>
            <w:gridSpan w:val="2"/>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shd w:val="clear" w:color="auto" w:fill="auto"/>
            <w:vAlign w:val="center"/>
          </w:tcPr>
          <w:p>
            <w:pPr>
              <w:adjustRightInd w:val="0"/>
              <w:jc w:val="center"/>
              <w:rPr>
                <w:rFonts w:ascii="宋体" w:hAnsi="宋体" w:cs="宋体"/>
                <w:color w:val="FF0000"/>
                <w:sz w:val="24"/>
              </w:rPr>
            </w:pPr>
            <w:r>
              <w:rPr>
                <w:rFonts w:hint="eastAsia" w:ascii="宋体" w:hAnsi="宋体" w:cs="宋体"/>
                <w:color w:val="FF0000"/>
                <w:sz w:val="24"/>
              </w:rPr>
              <w:t>价格</w:t>
            </w:r>
          </w:p>
          <w:p>
            <w:pPr>
              <w:adjustRightInd w:val="0"/>
              <w:jc w:val="center"/>
              <w:rPr>
                <w:rFonts w:ascii="宋体" w:hAnsi="宋体" w:cs="宋体"/>
                <w:color w:val="FF0000"/>
                <w:sz w:val="24"/>
              </w:rPr>
            </w:pPr>
            <w:r>
              <w:rPr>
                <w:rFonts w:hint="eastAsia" w:ascii="宋体" w:hAnsi="宋体" w:cs="宋体"/>
                <w:color w:val="FF0000"/>
                <w:sz w:val="24"/>
              </w:rPr>
              <w:t>部分</w:t>
            </w:r>
          </w:p>
          <w:p>
            <w:pPr>
              <w:adjustRightInd w:val="0"/>
              <w:jc w:val="center"/>
              <w:rPr>
                <w:rFonts w:ascii="宋体" w:hAnsi="宋体" w:cs="宋体"/>
                <w:color w:val="FF0000"/>
                <w:sz w:val="24"/>
              </w:rPr>
            </w:pPr>
            <w:r>
              <w:rPr>
                <w:rFonts w:hint="eastAsia" w:ascii="宋体" w:hAnsi="宋体" w:cs="宋体"/>
                <w:color w:val="FF0000"/>
                <w:sz w:val="24"/>
              </w:rPr>
              <w:t>（30分）</w:t>
            </w:r>
          </w:p>
        </w:tc>
        <w:tc>
          <w:tcPr>
            <w:tcW w:w="14013" w:type="dxa"/>
            <w:gridSpan w:val="3"/>
            <w:shd w:val="clear" w:color="auto" w:fill="auto"/>
            <w:vAlign w:val="center"/>
          </w:tcPr>
          <w:p>
            <w:pPr>
              <w:adjustRightInd w:val="0"/>
              <w:rPr>
                <w:rFonts w:ascii="宋体" w:hAnsi="宋体" w:cs="宋体"/>
                <w:color w:val="FF0000"/>
                <w:spacing w:val="10"/>
                <w:sz w:val="24"/>
              </w:rPr>
            </w:pPr>
            <w:r>
              <w:rPr>
                <w:rFonts w:hint="eastAsia" w:ascii="宋体" w:hAnsi="宋体" w:cs="宋体"/>
                <w:color w:val="FF0000"/>
                <w:spacing w:val="10"/>
                <w:sz w:val="24"/>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w:t>
            </w:r>
          </w:p>
          <w:p>
            <w:pPr>
              <w:adjustRightInd w:val="0"/>
              <w:rPr>
                <w:rFonts w:ascii="宋体" w:hAnsi="宋体" w:cs="宋体"/>
                <w:color w:val="FF0000"/>
                <w:sz w:val="24"/>
              </w:rPr>
            </w:pPr>
            <w:r>
              <w:rPr>
                <w:rFonts w:hint="eastAsia" w:ascii="宋体" w:hAnsi="宋体" w:cs="宋体"/>
                <w:color w:val="FF0000"/>
                <w:spacing w:val="10"/>
                <w:sz w:val="24"/>
              </w:rPr>
              <w:t>计算分数时四舍五入取小数点后两位,分数最高不超过30分。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restart"/>
            <w:shd w:val="clear" w:color="auto" w:fill="auto"/>
            <w:vAlign w:val="center"/>
          </w:tcPr>
          <w:p>
            <w:pPr>
              <w:jc w:val="center"/>
              <w:rPr>
                <w:rFonts w:ascii="宋体" w:hAnsi="宋体" w:cs="宋体"/>
                <w:color w:val="FF0000"/>
                <w:sz w:val="24"/>
              </w:rPr>
            </w:pPr>
            <w:r>
              <w:rPr>
                <w:rFonts w:hint="eastAsia" w:ascii="宋体" w:hAnsi="宋体" w:cs="宋体"/>
                <w:color w:val="FF0000"/>
                <w:sz w:val="24"/>
              </w:rPr>
              <w:t>商务</w:t>
            </w:r>
          </w:p>
          <w:p>
            <w:pPr>
              <w:jc w:val="center"/>
              <w:rPr>
                <w:rFonts w:ascii="宋体" w:hAnsi="宋体" w:cs="宋体"/>
                <w:color w:val="FF0000"/>
                <w:sz w:val="24"/>
              </w:rPr>
            </w:pPr>
            <w:r>
              <w:rPr>
                <w:rFonts w:hint="eastAsia" w:ascii="宋体" w:hAnsi="宋体" w:cs="宋体"/>
                <w:color w:val="FF0000"/>
                <w:sz w:val="24"/>
              </w:rPr>
              <w:t>服务</w:t>
            </w:r>
          </w:p>
          <w:p>
            <w:pPr>
              <w:jc w:val="center"/>
              <w:rPr>
                <w:rFonts w:ascii="宋体" w:hAnsi="宋体" w:cs="宋体"/>
                <w:color w:val="FF0000"/>
                <w:sz w:val="24"/>
              </w:rPr>
            </w:pPr>
            <w:r>
              <w:rPr>
                <w:rFonts w:hint="eastAsia" w:ascii="宋体" w:hAnsi="宋体" w:cs="宋体"/>
                <w:color w:val="FF0000"/>
                <w:sz w:val="24"/>
              </w:rPr>
              <w:t>部分</w:t>
            </w:r>
          </w:p>
          <w:p>
            <w:pPr>
              <w:rPr>
                <w:rFonts w:ascii="宋体" w:hAnsi="宋体" w:cs="宋体"/>
                <w:color w:val="FF0000"/>
                <w:sz w:val="24"/>
              </w:rPr>
            </w:pPr>
            <w:r>
              <w:rPr>
                <w:rFonts w:hint="eastAsia" w:ascii="宋体" w:hAnsi="宋体" w:cs="宋体"/>
                <w:color w:val="FF0000"/>
                <w:sz w:val="24"/>
              </w:rPr>
              <w:t>（30分）</w:t>
            </w: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投标文件规范程度（5分）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投标文件制作规范、完整、目录明晰，附件齐全；综合评价，酌情打分，范围0-5分。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售后服务方案（10分）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综合评定投标人的售后服务承诺及维保方案，根据售后服务的及时性、可行性、零配件供应能力，以及维保方案的保障措施、可操作性等综合评分，优：7-10分，良：3-6分，一般：0-2分，对不符合客观实际的承诺和方案，需提供具有说服力的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响应时间（3分）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接到故障电话后1小时内能抵达现场并解除故障得3分；1-2小时内抵达现场并解除故障得1.5分；其余情形不得分。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备品备件（5分）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对备品备件及易损零部件的配备等方面进行综合评议并打分优异得4-5分，一般2-3分，差得0-1分。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供货期（5分）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供货期满足招标文件要求的得1分，每提前一天得0.2分，满分3分；具有供货期违约处罚承诺，综合评分，范围0-2分。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5" w:type="dxa"/>
            <w:vMerge w:val="continue"/>
            <w:shd w:val="clear" w:color="auto" w:fill="auto"/>
            <w:vAlign w:val="center"/>
          </w:tcPr>
          <w:p>
            <w:pP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售后服务网点（2分）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在项目所在地有固定售后网点的（提供租赁合同）得1分；能提供驻场技术人员的得1分。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55" w:type="dxa"/>
            <w:vMerge w:val="restart"/>
            <w:shd w:val="clear" w:color="auto" w:fill="auto"/>
            <w:vAlign w:val="center"/>
          </w:tcPr>
          <w:p>
            <w:pPr>
              <w:jc w:val="center"/>
              <w:rPr>
                <w:rFonts w:ascii="宋体" w:hAnsi="宋体" w:cs="宋体"/>
                <w:color w:val="FF0000"/>
                <w:sz w:val="24"/>
              </w:rPr>
            </w:pPr>
            <w:r>
              <w:rPr>
                <w:rFonts w:hint="eastAsia" w:ascii="宋体" w:hAnsi="宋体" w:cs="宋体"/>
                <w:color w:val="FF0000"/>
                <w:sz w:val="24"/>
              </w:rPr>
              <w:t>技术</w:t>
            </w:r>
          </w:p>
          <w:p>
            <w:pPr>
              <w:jc w:val="center"/>
              <w:rPr>
                <w:rFonts w:ascii="宋体" w:hAnsi="宋体" w:cs="宋体"/>
                <w:color w:val="FF0000"/>
                <w:sz w:val="24"/>
              </w:rPr>
            </w:pPr>
            <w:r>
              <w:rPr>
                <w:rFonts w:hint="eastAsia" w:ascii="宋体" w:hAnsi="宋体" w:cs="宋体"/>
                <w:color w:val="FF0000"/>
                <w:sz w:val="24"/>
              </w:rPr>
              <w:t>部分</w:t>
            </w:r>
          </w:p>
          <w:p>
            <w:pPr>
              <w:jc w:val="center"/>
              <w:rPr>
                <w:rFonts w:ascii="宋体" w:hAnsi="宋体" w:cs="宋体"/>
                <w:color w:val="FF0000"/>
                <w:sz w:val="24"/>
              </w:rPr>
            </w:pPr>
            <w:r>
              <w:rPr>
                <w:rFonts w:hint="eastAsia" w:ascii="宋体" w:hAnsi="宋体" w:cs="宋体"/>
                <w:color w:val="FF0000"/>
                <w:sz w:val="24"/>
              </w:rPr>
              <w:t>（40分）</w:t>
            </w:r>
          </w:p>
          <w:p>
            <w:pPr>
              <w:jc w:val="cente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技术参数（20分）</w:t>
            </w:r>
          </w:p>
        </w:tc>
        <w:tc>
          <w:tcPr>
            <w:tcW w:w="11058" w:type="dxa"/>
            <w:shd w:val="clear" w:color="auto" w:fill="auto"/>
            <w:vAlign w:val="center"/>
          </w:tcPr>
          <w:p>
            <w:pPr>
              <w:rPr>
                <w:rFonts w:ascii="宋体" w:hAnsi="宋体" w:cs="宋体"/>
                <w:color w:val="FFC000"/>
                <w:sz w:val="24"/>
              </w:rPr>
            </w:pPr>
            <w:r>
              <w:rPr>
                <w:rFonts w:hint="eastAsia" w:ascii="宋体" w:hAnsi="宋体" w:cs="宋体"/>
                <w:color w:val="FF0000"/>
                <w:sz w:val="24"/>
              </w:rPr>
              <w:t>完全满足招标文件中技术参数要求的得</w:t>
            </w:r>
            <w:r>
              <w:rPr>
                <w:rFonts w:ascii="宋体" w:hAnsi="宋体" w:cs="宋体"/>
                <w:color w:val="FF0000"/>
                <w:sz w:val="24"/>
              </w:rPr>
              <w:t>15</w:t>
            </w:r>
            <w:r>
              <w:rPr>
                <w:rFonts w:hint="eastAsia" w:ascii="宋体" w:hAnsi="宋体" w:cs="宋体"/>
                <w:color w:val="FF0000"/>
                <w:sz w:val="24"/>
              </w:rPr>
              <w:t>分，技术参数一项负偏离扣3分，重大偏离招标文件中技术参数要求的，视为招标文件的不响应（是否为重大偏离以评标委员会专家评定为准），按照招标要求作无效投标处理；技术参数优于招标文件的作为正偏离项，每一项正偏离加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项目实施方案（10分）</w:t>
            </w:r>
          </w:p>
        </w:tc>
        <w:tc>
          <w:tcPr>
            <w:tcW w:w="11058" w:type="dxa"/>
            <w:shd w:val="clear" w:color="auto" w:fill="auto"/>
            <w:vAlign w:val="center"/>
          </w:tcPr>
          <w:p>
            <w:pPr>
              <w:jc w:val="left"/>
              <w:rPr>
                <w:rFonts w:ascii="宋体" w:hAnsi="宋体" w:cs="宋体"/>
                <w:color w:val="FF0000"/>
                <w:sz w:val="24"/>
              </w:rPr>
            </w:pPr>
            <w:r>
              <w:rPr>
                <w:rFonts w:hint="eastAsia" w:ascii="宋体" w:hAnsi="宋体" w:cs="宋体"/>
                <w:color w:val="FF0000"/>
                <w:sz w:val="24"/>
                <w:lang w:eastAsia="zh-CN"/>
              </w:rPr>
              <w:t>（</w:t>
            </w:r>
            <w:r>
              <w:rPr>
                <w:rFonts w:hint="eastAsia" w:ascii="宋体" w:hAnsi="宋体" w:cs="宋体"/>
                <w:color w:val="FF0000"/>
                <w:sz w:val="24"/>
                <w:lang w:val="en-US" w:eastAsia="zh-CN"/>
              </w:rPr>
              <w:t>1）</w:t>
            </w:r>
            <w:r>
              <w:rPr>
                <w:rFonts w:hint="eastAsia" w:ascii="宋体" w:hAnsi="宋体" w:cs="宋体"/>
                <w:color w:val="FF0000"/>
                <w:sz w:val="24"/>
              </w:rPr>
              <w:t>评标委员会根据投标文件对项目实施方案的完整性、技术说明情况（含货物参数叙述）等符合规定和实际等方面情况进行评议并打分；优得3-4分，一般得1-2分，差得0分。</w:t>
            </w:r>
          </w:p>
          <w:p>
            <w:pPr>
              <w:jc w:val="left"/>
              <w:rPr>
                <w:rFonts w:ascii="宋体" w:hAnsi="宋体" w:cs="宋体"/>
                <w:color w:val="FF0000"/>
                <w:sz w:val="24"/>
              </w:rPr>
            </w:pPr>
            <w:r>
              <w:rPr>
                <w:rFonts w:hint="eastAsia" w:ascii="宋体" w:hAnsi="宋体" w:cs="宋体"/>
                <w:color w:val="FF0000"/>
                <w:sz w:val="24"/>
              </w:rPr>
              <w:t>（2）根据本项目具体特点及实际要求、货物质量、各个阶段进度、紧急保障措施及善后处理方案等方面情况进行评议并打分：优秀得2-3分，可行得0-1分。</w:t>
            </w:r>
          </w:p>
          <w:p>
            <w:pPr>
              <w:jc w:val="left"/>
              <w:rPr>
                <w:rFonts w:ascii="宋体" w:hAnsi="宋体" w:cs="宋体"/>
                <w:color w:val="FF0000"/>
                <w:sz w:val="24"/>
              </w:rPr>
            </w:pPr>
            <w:r>
              <w:rPr>
                <w:rFonts w:hint="eastAsia" w:ascii="宋体" w:hAnsi="宋体" w:cs="宋体"/>
                <w:color w:val="FF0000"/>
                <w:sz w:val="24"/>
              </w:rPr>
              <w:t>（3）根据本项目的实际情况，对运输方案、货物调配、货物交接、清单安排等方面情况进行评议并打分；优秀得2-3分，可行得0-1分。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55" w:type="dxa"/>
            <w:vMerge w:val="continue"/>
            <w:shd w:val="clear" w:color="auto" w:fill="auto"/>
            <w:vAlign w:val="center"/>
          </w:tcPr>
          <w:p>
            <w:pPr>
              <w:jc w:val="center"/>
              <w:rPr>
                <w:rFonts w:ascii="宋体" w:hAnsi="宋体" w:cs="宋体"/>
                <w:color w:val="FF0000"/>
                <w:sz w:val="24"/>
              </w:rPr>
            </w:pPr>
          </w:p>
        </w:tc>
        <w:tc>
          <w:tcPr>
            <w:tcW w:w="2955" w:type="dxa"/>
            <w:gridSpan w:val="2"/>
            <w:shd w:val="clear" w:color="auto" w:fill="auto"/>
            <w:vAlign w:val="center"/>
          </w:tcPr>
          <w:p>
            <w:pPr>
              <w:jc w:val="center"/>
              <w:rPr>
                <w:rFonts w:ascii="宋体" w:hAnsi="宋体" w:cs="宋体"/>
                <w:color w:val="FF0000"/>
                <w:sz w:val="24"/>
              </w:rPr>
            </w:pPr>
            <w:r>
              <w:rPr>
                <w:rFonts w:hint="eastAsia" w:ascii="宋体" w:hAnsi="宋体" w:cs="宋体"/>
                <w:color w:val="FF0000"/>
                <w:sz w:val="24"/>
              </w:rPr>
              <w:t>质检报告（10分）</w:t>
            </w:r>
          </w:p>
        </w:tc>
        <w:tc>
          <w:tcPr>
            <w:tcW w:w="11058" w:type="dxa"/>
            <w:shd w:val="clear" w:color="auto" w:fill="auto"/>
            <w:vAlign w:val="center"/>
          </w:tcPr>
          <w:p>
            <w:pPr>
              <w:rPr>
                <w:rFonts w:ascii="宋体" w:hAnsi="宋体" w:cs="宋体"/>
                <w:color w:val="FF0000"/>
                <w:sz w:val="24"/>
              </w:rPr>
            </w:pPr>
            <w:r>
              <w:rPr>
                <w:rFonts w:hint="eastAsia" w:ascii="宋体" w:hAnsi="宋体" w:cs="宋体"/>
                <w:color w:val="FF0000"/>
                <w:sz w:val="24"/>
              </w:rPr>
              <w:t>投标企业所投核心产品（采购清单中的加★项）提供有效期内相关机构出具的产品质量检测报告，完整提供的每一份得2分，最高得10分，不提供不得分。</w:t>
            </w:r>
          </w:p>
        </w:tc>
      </w:tr>
    </w:tbl>
    <w:p>
      <w:pPr>
        <w:pStyle w:val="13"/>
        <w:rPr>
          <w:rFonts w:ascii="宋体" w:hAnsi="宋体"/>
          <w:color w:val="000000"/>
          <w:sz w:val="24"/>
        </w:rPr>
        <w:sectPr>
          <w:pgSz w:w="16838" w:h="11906" w:orient="landscape"/>
          <w:pgMar w:top="680" w:right="1418" w:bottom="680" w:left="1418" w:header="851" w:footer="992" w:gutter="0"/>
          <w:cols w:space="0" w:num="1"/>
          <w:docGrid w:type="lines" w:linePitch="312" w:charSpace="0"/>
        </w:sectPr>
      </w:pPr>
    </w:p>
    <w:p>
      <w:pPr>
        <w:pStyle w:val="19"/>
        <w:tabs>
          <w:tab w:val="left" w:pos="0"/>
        </w:tabs>
        <w:spacing w:line="360" w:lineRule="auto"/>
        <w:ind w:left="0" w:leftChars="0" w:firstLine="0" w:firstLineChars="0"/>
        <w:jc w:val="center"/>
        <w:outlineLvl w:val="0"/>
        <w:rPr>
          <w:rFonts w:eastAsia="黑体"/>
          <w:b/>
          <w:sz w:val="36"/>
        </w:rPr>
      </w:pPr>
      <w:bookmarkStart w:id="49" w:name="_Toc33194718"/>
      <w:bookmarkStart w:id="50" w:name="_Toc12259"/>
      <w:bookmarkStart w:id="51" w:name="_Toc33212776"/>
      <w:r>
        <w:rPr>
          <w:rFonts w:hint="eastAsia" w:eastAsia="黑体"/>
          <w:b/>
          <w:sz w:val="36"/>
        </w:rPr>
        <w:t>第六部分   政府采购合同</w:t>
      </w:r>
      <w:bookmarkEnd w:id="47"/>
      <w:bookmarkEnd w:id="49"/>
      <w:bookmarkEnd w:id="50"/>
      <w:bookmarkEnd w:id="51"/>
    </w:p>
    <w:p>
      <w:pPr>
        <w:spacing w:line="360" w:lineRule="auto"/>
        <w:jc w:val="center"/>
        <w:rPr>
          <w:rFonts w:ascii="宋体" w:hAnsi="宋体"/>
          <w:sz w:val="32"/>
          <w:szCs w:val="32"/>
        </w:rPr>
      </w:pPr>
    </w:p>
    <w:p>
      <w:pPr>
        <w:jc w:val="center"/>
        <w:rPr>
          <w:rFonts w:ascii="宋体" w:hAnsi="宋体"/>
          <w:b/>
          <w:sz w:val="24"/>
        </w:rPr>
      </w:pPr>
    </w:p>
    <w:p>
      <w:pPr>
        <w:jc w:val="center"/>
        <w:rPr>
          <w:rFonts w:eastAsia="黑体"/>
          <w:b/>
          <w:sz w:val="52"/>
          <w:szCs w:val="52"/>
        </w:rPr>
      </w:pPr>
    </w:p>
    <w:p>
      <w:pPr>
        <w:jc w:val="center"/>
        <w:rPr>
          <w:rFonts w:eastAsia="黑体"/>
          <w:b/>
          <w:sz w:val="72"/>
          <w:szCs w:val="72"/>
        </w:rPr>
      </w:pPr>
      <w:r>
        <w:rPr>
          <w:rFonts w:hint="eastAsia" w:eastAsia="黑体"/>
          <w:b/>
          <w:sz w:val="72"/>
          <w:szCs w:val="72"/>
        </w:rPr>
        <w:t>政府采购合同</w:t>
      </w:r>
    </w:p>
    <w:p>
      <w:pPr>
        <w:jc w:val="center"/>
        <w:rPr>
          <w:rFonts w:eastAsia="黑体"/>
          <w:b/>
          <w:sz w:val="52"/>
          <w:szCs w:val="52"/>
        </w:rPr>
      </w:pPr>
    </w:p>
    <w:p>
      <w:pPr>
        <w:jc w:val="center"/>
        <w:rPr>
          <w:rFonts w:eastAsia="黑体"/>
          <w:b/>
          <w:sz w:val="52"/>
          <w:szCs w:val="52"/>
        </w:rPr>
      </w:pPr>
    </w:p>
    <w:p>
      <w:pPr>
        <w:jc w:val="center"/>
        <w:rPr>
          <w:rFonts w:eastAsia="黑体"/>
          <w:b/>
          <w:sz w:val="52"/>
          <w:szCs w:val="52"/>
        </w:rPr>
      </w:pPr>
    </w:p>
    <w:p>
      <w:pPr>
        <w:ind w:firstLine="1597" w:firstLineChars="497"/>
        <w:rPr>
          <w:rFonts w:eastAsia="黑体"/>
          <w:b/>
          <w:sz w:val="32"/>
          <w:szCs w:val="32"/>
        </w:rPr>
      </w:pPr>
      <w:r>
        <w:rPr>
          <w:rFonts w:hint="eastAsia" w:eastAsia="黑体"/>
          <w:b/>
          <w:sz w:val="32"/>
          <w:szCs w:val="32"/>
        </w:rPr>
        <w:t>项目名称:</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eastAsia="黑体"/>
          <w:b/>
          <w:sz w:val="32"/>
          <w:szCs w:val="32"/>
        </w:rPr>
        <w:t>项目编号、包号:</w:t>
      </w:r>
      <w:r>
        <w:rPr>
          <w:rFonts w:hint="eastAsia" w:ascii="宋体" w:hAnsi="宋体" w:eastAsia="黑体"/>
          <w:b/>
          <w:sz w:val="32"/>
          <w:szCs w:val="32"/>
          <w:u w:val="single"/>
        </w:rPr>
        <w:t xml:space="preserve">                    </w:t>
      </w:r>
    </w:p>
    <w:p>
      <w:pPr>
        <w:spacing w:before="312" w:beforeLines="100"/>
        <w:ind w:firstLine="1597" w:firstLineChars="497"/>
        <w:rPr>
          <w:rFonts w:ascii="宋体" w:hAnsi="宋体" w:eastAsia="黑体"/>
          <w:b/>
          <w:sz w:val="32"/>
          <w:szCs w:val="32"/>
          <w:u w:val="single"/>
        </w:rPr>
      </w:pPr>
      <w:r>
        <w:rPr>
          <w:rFonts w:hint="eastAsia" w:ascii="黑体" w:eastAsia="黑体"/>
          <w:b/>
          <w:bCs/>
          <w:kern w:val="0"/>
          <w:sz w:val="32"/>
          <w:szCs w:val="32"/>
        </w:rPr>
        <w:t>合同编号</w:t>
      </w:r>
      <w:r>
        <w:rPr>
          <w:b/>
          <w:bCs/>
          <w:kern w:val="0"/>
          <w:sz w:val="32"/>
          <w:szCs w:val="32"/>
        </w:rPr>
        <w:t>:</w:t>
      </w:r>
      <w:r>
        <w:rPr>
          <w:rFonts w:hint="eastAsia" w:ascii="宋体" w:hAnsi="宋体" w:eastAsia="黑体"/>
          <w:b/>
          <w:sz w:val="32"/>
          <w:szCs w:val="32"/>
          <w:u w:val="single"/>
        </w:rPr>
        <w:t xml:space="preserve">                          </w:t>
      </w: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spacing w:before="312" w:beforeLines="100"/>
        <w:jc w:val="center"/>
        <w:rPr>
          <w:rFonts w:ascii="宋体" w:hAnsi="宋体" w:eastAsia="黑体"/>
          <w:b/>
          <w:sz w:val="32"/>
          <w:szCs w:val="32"/>
          <w:u w:val="single"/>
        </w:rPr>
      </w:pPr>
    </w:p>
    <w:p>
      <w:pPr>
        <w:pStyle w:val="30"/>
        <w:ind w:left="420" w:hanging="420"/>
      </w:pPr>
    </w:p>
    <w:p>
      <w:pPr>
        <w:pStyle w:val="30"/>
        <w:ind w:left="420" w:hanging="420"/>
      </w:pPr>
    </w:p>
    <w:p>
      <w:pPr>
        <w:rPr>
          <w:rFonts w:eastAsia="黑体"/>
          <w:b/>
          <w:sz w:val="32"/>
          <w:szCs w:val="32"/>
        </w:rPr>
      </w:pPr>
      <w:r>
        <w:rPr>
          <w:rFonts w:hint="eastAsia" w:eastAsia="黑体"/>
          <w:b/>
          <w:sz w:val="32"/>
          <w:szCs w:val="32"/>
        </w:rPr>
        <w:br w:type="page"/>
      </w:r>
    </w:p>
    <w:p>
      <w:pPr>
        <w:rPr>
          <w:rFonts w:eastAsia="黑体"/>
          <w:b/>
          <w:sz w:val="32"/>
          <w:szCs w:val="32"/>
        </w:rPr>
      </w:pPr>
      <w:r>
        <w:rPr>
          <w:rFonts w:hint="eastAsia" w:eastAsia="黑体"/>
          <w:b/>
          <w:sz w:val="32"/>
          <w:szCs w:val="32"/>
        </w:rPr>
        <w:t>甲    方:</w:t>
      </w:r>
      <w:r>
        <w:rPr>
          <w:rFonts w:hint="eastAsia" w:ascii="宋体" w:hAnsi="宋体" w:eastAsia="黑体"/>
          <w:b/>
          <w:sz w:val="32"/>
          <w:szCs w:val="32"/>
          <w:u w:val="single"/>
        </w:rPr>
        <w:t xml:space="preserve">                    </w:t>
      </w:r>
    </w:p>
    <w:p>
      <w:pPr>
        <w:spacing w:before="312" w:beforeLines="100"/>
        <w:rPr>
          <w:rFonts w:ascii="宋体" w:hAnsi="宋体" w:eastAsia="黑体"/>
          <w:b/>
          <w:sz w:val="32"/>
          <w:szCs w:val="32"/>
          <w:u w:val="single"/>
        </w:rPr>
      </w:pPr>
      <w:r>
        <w:rPr>
          <w:rFonts w:hint="eastAsia" w:eastAsia="黑体"/>
          <w:b/>
          <w:sz w:val="32"/>
          <w:szCs w:val="32"/>
        </w:rPr>
        <w:t>乙    方:</w:t>
      </w:r>
      <w:r>
        <w:rPr>
          <w:rFonts w:hint="eastAsia" w:ascii="宋体" w:hAnsi="宋体" w:eastAsia="黑体"/>
          <w:b/>
          <w:sz w:val="32"/>
          <w:szCs w:val="32"/>
          <w:u w:val="single"/>
        </w:rPr>
        <w:t xml:space="preserve">                    </w:t>
      </w:r>
    </w:p>
    <w:p>
      <w:pPr>
        <w:spacing w:before="312" w:beforeLines="100"/>
        <w:rPr>
          <w:sz w:val="24"/>
        </w:rPr>
      </w:pPr>
      <w:r>
        <w:rPr>
          <w:rFonts w:hint="eastAsia" w:eastAsia="黑体"/>
          <w:b/>
          <w:sz w:val="32"/>
          <w:szCs w:val="32"/>
          <w:u w:val="single"/>
        </w:rPr>
        <w:t xml:space="preserve">  </w:t>
      </w:r>
      <w:r>
        <w:rPr>
          <w:rFonts w:hint="eastAsia"/>
          <w:sz w:val="24"/>
        </w:rPr>
        <w:t>甲方所需货物及相关服务在国内以公开招标方式进行采购，经评标委员会评审，确定乙方为中标人。甲、乙双方根据《中华人民共和国政府采购法》、《中华人民共和国合同法》等相关法律以及本项目招标文件的规定，经平等协商达成合同如下：</w:t>
      </w:r>
    </w:p>
    <w:p>
      <w:pPr>
        <w:spacing w:line="360" w:lineRule="auto"/>
        <w:ind w:firstLine="472" w:firstLineChars="196"/>
        <w:rPr>
          <w:sz w:val="24"/>
        </w:rPr>
      </w:pPr>
      <w:r>
        <w:rPr>
          <w:rFonts w:hint="eastAsia" w:ascii="宋体" w:hAnsi="宋体"/>
          <w:b/>
          <w:bCs/>
          <w:sz w:val="24"/>
        </w:rPr>
        <w:t>一、合同文件</w:t>
      </w:r>
    </w:p>
    <w:p>
      <w:pPr>
        <w:spacing w:line="360" w:lineRule="auto"/>
        <w:ind w:firstLine="480" w:firstLineChars="200"/>
        <w:rPr>
          <w:sz w:val="24"/>
        </w:rPr>
      </w:pPr>
      <w:r>
        <w:rPr>
          <w:rFonts w:hint="eastAsia" w:ascii="宋体" w:hAnsi="宋体"/>
          <w:sz w:val="24"/>
        </w:rPr>
        <w:t>本合同所附下列文件是构成本合同不可分割的部分：</w:t>
      </w:r>
    </w:p>
    <w:p>
      <w:pPr>
        <w:spacing w:line="360" w:lineRule="auto"/>
        <w:ind w:firstLine="480" w:firstLineChars="200"/>
        <w:rPr>
          <w:sz w:val="24"/>
        </w:rPr>
      </w:pPr>
      <w:r>
        <w:rPr>
          <w:rFonts w:hint="eastAsia" w:ascii="宋体" w:hAnsi="宋体"/>
          <w:sz w:val="24"/>
        </w:rPr>
        <w:t>（一）本项目招标文件</w:t>
      </w:r>
    </w:p>
    <w:p>
      <w:pPr>
        <w:spacing w:line="360" w:lineRule="auto"/>
        <w:ind w:firstLine="480" w:firstLineChars="200"/>
        <w:rPr>
          <w:sz w:val="24"/>
        </w:rPr>
      </w:pPr>
      <w:r>
        <w:rPr>
          <w:rFonts w:hint="eastAsia" w:ascii="宋体" w:hAnsi="宋体"/>
          <w:sz w:val="24"/>
        </w:rPr>
        <w:t>（二）中标人投标文件</w:t>
      </w:r>
    </w:p>
    <w:p>
      <w:pPr>
        <w:spacing w:line="360" w:lineRule="auto"/>
        <w:ind w:firstLine="480" w:firstLineChars="200"/>
        <w:rPr>
          <w:sz w:val="24"/>
        </w:rPr>
      </w:pPr>
      <w:r>
        <w:rPr>
          <w:rFonts w:hint="eastAsia" w:ascii="宋体" w:hAnsi="宋体"/>
          <w:sz w:val="24"/>
        </w:rPr>
        <w:t>（三）本合同格式及有关合同条款</w:t>
      </w:r>
    </w:p>
    <w:p>
      <w:pPr>
        <w:spacing w:line="360" w:lineRule="auto"/>
        <w:ind w:firstLine="480" w:firstLineChars="200"/>
        <w:rPr>
          <w:sz w:val="24"/>
        </w:rPr>
      </w:pPr>
      <w:r>
        <w:rPr>
          <w:rFonts w:hint="eastAsia" w:ascii="宋体" w:hAnsi="宋体"/>
          <w:sz w:val="24"/>
        </w:rPr>
        <w:t>（四）中标人在评标过程中做出的有关澄清、说明或者补正文件</w:t>
      </w:r>
    </w:p>
    <w:p>
      <w:pPr>
        <w:spacing w:line="360" w:lineRule="auto"/>
        <w:ind w:firstLine="480" w:firstLineChars="200"/>
        <w:rPr>
          <w:sz w:val="24"/>
        </w:rPr>
      </w:pPr>
      <w:r>
        <w:rPr>
          <w:rFonts w:hint="eastAsia" w:ascii="宋体" w:hAnsi="宋体"/>
          <w:sz w:val="24"/>
        </w:rPr>
        <w:t>（五）中标通知书</w:t>
      </w:r>
    </w:p>
    <w:p>
      <w:pPr>
        <w:spacing w:line="360" w:lineRule="auto"/>
        <w:ind w:firstLine="480" w:firstLineChars="200"/>
        <w:rPr>
          <w:sz w:val="24"/>
        </w:rPr>
      </w:pPr>
      <w:r>
        <w:rPr>
          <w:rFonts w:hint="eastAsia" w:ascii="宋体" w:hAnsi="宋体"/>
          <w:sz w:val="24"/>
        </w:rPr>
        <w:t>（六）本合同附件</w:t>
      </w:r>
    </w:p>
    <w:p>
      <w:pPr>
        <w:spacing w:line="360" w:lineRule="auto"/>
        <w:ind w:firstLine="482" w:firstLineChars="200"/>
        <w:rPr>
          <w:sz w:val="24"/>
        </w:rPr>
      </w:pPr>
      <w:r>
        <w:rPr>
          <w:rFonts w:hint="eastAsia" w:ascii="宋体" w:hAnsi="宋体"/>
          <w:b/>
          <w:bCs/>
          <w:sz w:val="24"/>
        </w:rPr>
        <w:t>二、合同的范围和条件</w:t>
      </w:r>
    </w:p>
    <w:p>
      <w:pPr>
        <w:spacing w:line="360" w:lineRule="auto"/>
        <w:ind w:firstLine="480" w:firstLineChars="200"/>
        <w:rPr>
          <w:sz w:val="24"/>
        </w:rPr>
      </w:pPr>
      <w:r>
        <w:rPr>
          <w:rFonts w:hint="eastAsia" w:ascii="宋体" w:hAnsi="宋体"/>
          <w:sz w:val="24"/>
        </w:rPr>
        <w:t>本合同的范围和条件应与上述合同文件的规定相一致。</w:t>
      </w:r>
    </w:p>
    <w:p>
      <w:pPr>
        <w:spacing w:line="360" w:lineRule="auto"/>
        <w:ind w:firstLine="482" w:firstLineChars="200"/>
        <w:rPr>
          <w:sz w:val="24"/>
        </w:rPr>
      </w:pPr>
      <w:r>
        <w:rPr>
          <w:rFonts w:hint="eastAsia" w:ascii="宋体" w:hAnsi="宋体"/>
          <w:b/>
          <w:bCs/>
          <w:sz w:val="24"/>
        </w:rPr>
        <w:t>三、货物、数量及规格</w:t>
      </w:r>
    </w:p>
    <w:p>
      <w:pPr>
        <w:spacing w:line="360" w:lineRule="auto"/>
        <w:ind w:firstLine="480" w:firstLineChars="200"/>
        <w:rPr>
          <w:sz w:val="24"/>
        </w:rPr>
      </w:pPr>
      <w:r>
        <w:rPr>
          <w:rFonts w:hint="eastAsia" w:ascii="宋体" w:hAnsi="宋体"/>
          <w:sz w:val="24"/>
        </w:rPr>
        <w:t>本合同乙方所提供的货物、数量及规格详见合同货物清单（附件）。</w:t>
      </w:r>
    </w:p>
    <w:p>
      <w:pPr>
        <w:spacing w:line="360" w:lineRule="auto"/>
        <w:ind w:firstLine="482" w:firstLineChars="200"/>
        <w:rPr>
          <w:sz w:val="24"/>
        </w:rPr>
      </w:pPr>
      <w:r>
        <w:rPr>
          <w:rFonts w:hint="eastAsia" w:ascii="宋体" w:hAnsi="宋体"/>
          <w:b/>
          <w:bCs/>
          <w:sz w:val="24"/>
        </w:rPr>
        <w:t>四、合同金额</w:t>
      </w:r>
    </w:p>
    <w:p>
      <w:pPr>
        <w:spacing w:line="360" w:lineRule="auto"/>
        <w:ind w:firstLine="480" w:firstLineChars="200"/>
        <w:rPr>
          <w:sz w:val="24"/>
        </w:rPr>
      </w:pPr>
      <w:r>
        <w:rPr>
          <w:rFonts w:hint="eastAsia" w:ascii="宋体" w:hAnsi="宋体"/>
          <w:sz w:val="24"/>
        </w:rPr>
        <w:t>根据上述合同文件要求，合同金额为人民币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。（分项价格详见合同货物清单）。</w:t>
      </w:r>
    </w:p>
    <w:p>
      <w:pPr>
        <w:spacing w:line="360" w:lineRule="auto"/>
        <w:ind w:firstLine="480" w:firstLineChars="200"/>
        <w:rPr>
          <w:sz w:val="24"/>
        </w:rPr>
      </w:pPr>
      <w:r>
        <w:rPr>
          <w:rFonts w:hint="eastAsia" w:ascii="宋体" w:hAnsi="宋体"/>
          <w:sz w:val="24"/>
        </w:rPr>
        <w:t>乙方开户单位：</w:t>
      </w:r>
    </w:p>
    <w:p>
      <w:pPr>
        <w:spacing w:line="360" w:lineRule="auto"/>
        <w:ind w:firstLine="480" w:firstLineChars="200"/>
        <w:rPr>
          <w:rFonts w:ascii="宋体" w:hAnsi="宋体"/>
          <w:sz w:val="24"/>
        </w:rPr>
      </w:pPr>
      <w:r>
        <w:rPr>
          <w:rFonts w:hint="eastAsia" w:ascii="宋体" w:hAnsi="宋体"/>
          <w:sz w:val="24"/>
        </w:rPr>
        <w:t>开户银行：</w:t>
      </w:r>
    </w:p>
    <w:p>
      <w:pPr>
        <w:spacing w:line="360" w:lineRule="auto"/>
        <w:ind w:firstLine="480" w:firstLineChars="200"/>
        <w:rPr>
          <w:sz w:val="24"/>
        </w:rPr>
      </w:pPr>
      <w:r>
        <w:rPr>
          <w:rFonts w:hint="eastAsia" w:ascii="宋体" w:hAnsi="宋体"/>
          <w:sz w:val="24"/>
        </w:rPr>
        <w:t>帐号：</w:t>
      </w:r>
    </w:p>
    <w:p>
      <w:pPr>
        <w:spacing w:line="360" w:lineRule="auto"/>
        <w:ind w:firstLine="482" w:firstLineChars="200"/>
        <w:rPr>
          <w:sz w:val="24"/>
        </w:rPr>
      </w:pPr>
      <w:r>
        <w:rPr>
          <w:rFonts w:hint="eastAsia" w:ascii="宋体" w:hAnsi="宋体"/>
          <w:b/>
          <w:bCs/>
          <w:sz w:val="24"/>
        </w:rPr>
        <w:t>五、付款途径</w:t>
      </w:r>
    </w:p>
    <w:p>
      <w:pPr>
        <w:spacing w:line="360" w:lineRule="auto"/>
        <w:ind w:firstLine="480" w:firstLineChars="200"/>
        <w:rPr>
          <w:sz w:val="24"/>
        </w:rPr>
      </w:pPr>
      <w:r>
        <w:rPr>
          <w:rFonts w:hint="eastAsia" w:ascii="宋体" w:hAnsi="宋体"/>
          <w:sz w:val="24"/>
        </w:rPr>
        <w:t>□ 国库集中支付      □甲方支付      □ 国库与甲方共同支付</w:t>
      </w:r>
    </w:p>
    <w:p>
      <w:pPr>
        <w:spacing w:line="360" w:lineRule="auto"/>
        <w:ind w:firstLine="480" w:firstLineChars="200"/>
        <w:rPr>
          <w:sz w:val="24"/>
        </w:rPr>
      </w:pPr>
      <w:r>
        <w:rPr>
          <w:rFonts w:hint="eastAsia" w:ascii="宋体" w:hAnsi="宋体"/>
          <w:sz w:val="24"/>
        </w:rPr>
        <w:t>□ 财政性资金</w:t>
      </w:r>
      <w:r>
        <w:rPr>
          <w:rFonts w:hint="eastAsia" w:ascii="宋体" w:hAnsi="宋体"/>
          <w:sz w:val="24"/>
          <w:u w:val="single"/>
        </w:rPr>
        <w:t xml:space="preserve">       </w:t>
      </w:r>
      <w:r>
        <w:rPr>
          <w:rFonts w:hint="eastAsia" w:ascii="宋体" w:hAnsi="宋体"/>
          <w:sz w:val="24"/>
        </w:rPr>
        <w:t>元          □ 自筹性资金</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sz w:val="24"/>
        </w:rPr>
      </w:pPr>
      <w:r>
        <w:rPr>
          <w:rFonts w:hint="eastAsia" w:ascii="宋体" w:hAnsi="宋体"/>
          <w:sz w:val="24"/>
        </w:rPr>
        <w:t>属国库集中支付的财政性资金，甲方应按合同约定的付款期限，通过《政府采购管理系统》及时向财政部门报送资金支付申请，财政部门对支付申请审核无误后，将货款直接支付至乙方账户。</w:t>
      </w:r>
    </w:p>
    <w:p>
      <w:pPr>
        <w:spacing w:line="360" w:lineRule="auto"/>
        <w:ind w:firstLine="482" w:firstLineChars="200"/>
        <w:rPr>
          <w:sz w:val="24"/>
        </w:rPr>
      </w:pPr>
      <w:r>
        <w:rPr>
          <w:rFonts w:hint="eastAsia" w:ascii="宋体" w:hAnsi="宋体"/>
          <w:b/>
          <w:bCs/>
          <w:sz w:val="24"/>
        </w:rPr>
        <w:t>六、付款方式</w:t>
      </w:r>
    </w:p>
    <w:p>
      <w:pPr>
        <w:spacing w:line="360" w:lineRule="auto"/>
        <w:ind w:firstLine="480" w:firstLineChars="200"/>
        <w:rPr>
          <w:sz w:val="24"/>
        </w:rPr>
      </w:pPr>
      <w:r>
        <w:rPr>
          <w:rFonts w:hint="eastAsia" w:ascii="宋体" w:hAnsi="宋体"/>
          <w:bCs/>
          <w:sz w:val="24"/>
        </w:rPr>
        <w:t>付款方式：</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七、交付日期、地点和保修期</w:t>
      </w:r>
    </w:p>
    <w:p>
      <w:pPr>
        <w:spacing w:line="360" w:lineRule="auto"/>
        <w:ind w:firstLine="480" w:firstLineChars="200"/>
        <w:rPr>
          <w:sz w:val="24"/>
        </w:rPr>
      </w:pPr>
      <w:r>
        <w:rPr>
          <w:rFonts w:hint="eastAsia" w:ascii="宋体" w:hAnsi="宋体"/>
          <w:sz w:val="24"/>
        </w:rPr>
        <w:t>1、交付日期：合同生效之日起</w:t>
      </w:r>
      <w:r>
        <w:rPr>
          <w:rFonts w:hint="eastAsia" w:ascii="宋体" w:hAnsi="宋体"/>
          <w:sz w:val="24"/>
          <w:u w:val="single"/>
        </w:rPr>
        <w:t xml:space="preserve">        </w:t>
      </w:r>
      <w:r>
        <w:rPr>
          <w:rFonts w:hint="eastAsia" w:ascii="宋体" w:hAnsi="宋体"/>
          <w:sz w:val="24"/>
        </w:rPr>
        <w:t>日内交付。</w:t>
      </w:r>
    </w:p>
    <w:p>
      <w:pPr>
        <w:spacing w:line="360" w:lineRule="auto"/>
        <w:ind w:firstLine="480" w:firstLineChars="200"/>
        <w:rPr>
          <w:rFonts w:ascii="宋体" w:hAnsi="宋体"/>
          <w:sz w:val="24"/>
          <w:u w:val="single"/>
        </w:rPr>
      </w:pPr>
      <w:r>
        <w:rPr>
          <w:rFonts w:hint="eastAsia" w:ascii="宋体" w:hAnsi="宋体"/>
          <w:sz w:val="24"/>
        </w:rPr>
        <w:t>2、交付地点：</w:t>
      </w:r>
      <w:r>
        <w:rPr>
          <w:rFonts w:hint="eastAsia" w:ascii="宋体" w:hAnsi="宋体"/>
          <w:sz w:val="24"/>
          <w:u w:val="single"/>
        </w:rPr>
        <w:t xml:space="preserve">                                                 </w:t>
      </w:r>
    </w:p>
    <w:p>
      <w:pPr>
        <w:spacing w:line="360" w:lineRule="auto"/>
        <w:ind w:firstLine="480" w:firstLineChars="200"/>
        <w:rPr>
          <w:sz w:val="24"/>
        </w:rPr>
      </w:pPr>
      <w:r>
        <w:rPr>
          <w:rFonts w:hint="eastAsia" w:ascii="宋体" w:hAnsi="宋体"/>
          <w:sz w:val="24"/>
        </w:rPr>
        <w:t>3、保修期：</w:t>
      </w:r>
      <w:r>
        <w:rPr>
          <w:rFonts w:hint="eastAsia" w:ascii="宋体" w:hAnsi="宋体"/>
          <w:sz w:val="24"/>
          <w:u w:val="single"/>
        </w:rPr>
        <w:t xml:space="preserve">                                                   </w:t>
      </w:r>
    </w:p>
    <w:p>
      <w:pPr>
        <w:spacing w:line="360" w:lineRule="auto"/>
        <w:ind w:firstLine="482" w:firstLineChars="200"/>
        <w:rPr>
          <w:sz w:val="24"/>
        </w:rPr>
      </w:pPr>
      <w:r>
        <w:rPr>
          <w:rFonts w:hint="eastAsia" w:ascii="宋体" w:hAnsi="宋体"/>
          <w:b/>
          <w:bCs/>
          <w:sz w:val="24"/>
        </w:rPr>
        <w:t>八、合同生效</w:t>
      </w:r>
    </w:p>
    <w:p>
      <w:pPr>
        <w:spacing w:line="360" w:lineRule="auto"/>
        <w:ind w:firstLine="480" w:firstLineChars="200"/>
        <w:rPr>
          <w:sz w:val="24"/>
        </w:rPr>
      </w:pPr>
      <w:r>
        <w:rPr>
          <w:rFonts w:hint="eastAsia" w:ascii="宋体" w:hAnsi="宋体"/>
          <w:sz w:val="24"/>
        </w:rPr>
        <w:t>本合同经甲乙双方签字盖章生效。</w:t>
      </w:r>
    </w:p>
    <w:p>
      <w:pPr>
        <w:spacing w:line="360" w:lineRule="auto"/>
        <w:ind w:firstLine="482" w:firstLineChars="200"/>
        <w:rPr>
          <w:sz w:val="24"/>
        </w:rPr>
      </w:pPr>
      <w:r>
        <w:rPr>
          <w:rFonts w:hint="eastAsia" w:ascii="宋体" w:hAnsi="宋体"/>
          <w:b/>
          <w:bCs/>
          <w:sz w:val="24"/>
        </w:rPr>
        <w:t>九、合同保存</w:t>
      </w:r>
    </w:p>
    <w:p>
      <w:pPr>
        <w:spacing w:line="360" w:lineRule="auto"/>
        <w:ind w:firstLine="480" w:firstLineChars="200"/>
        <w:rPr>
          <w:rFonts w:ascii="宋体" w:hAnsi="宋体"/>
          <w:sz w:val="24"/>
        </w:rPr>
      </w:pPr>
      <w:r>
        <w:rPr>
          <w:rFonts w:hint="eastAsia" w:ascii="宋体" w:hAnsi="宋体"/>
          <w:sz w:val="24"/>
        </w:rPr>
        <w:t>本合同一式四份，甲方一份，乙方一份，采购代理机构一份，甲方同级财政部门一份。</w:t>
      </w:r>
    </w:p>
    <w:p>
      <w:pPr>
        <w:spacing w:line="360" w:lineRule="auto"/>
        <w:ind w:firstLine="482" w:firstLineChars="200"/>
        <w:rPr>
          <w:rFonts w:ascii="宋体" w:hAnsi="宋体"/>
          <w:b/>
          <w:sz w:val="24"/>
        </w:rPr>
      </w:pPr>
      <w:r>
        <w:rPr>
          <w:rFonts w:hint="eastAsia" w:ascii="宋体" w:hAnsi="宋体"/>
          <w:b/>
          <w:sz w:val="24"/>
        </w:rPr>
        <w:t>十、其他事项</w:t>
      </w:r>
    </w:p>
    <w:p>
      <w:pPr>
        <w:spacing w:line="360" w:lineRule="auto"/>
        <w:ind w:firstLine="480" w:firstLineChars="200"/>
        <w:rPr>
          <w:rFonts w:ascii="宋体" w:hAnsi="宋体"/>
          <w:sz w:val="24"/>
        </w:rPr>
      </w:pPr>
      <w:r>
        <w:rPr>
          <w:rFonts w:hint="eastAsia" w:ascii="宋体" w:hAnsi="宋体"/>
          <w:sz w:val="24"/>
        </w:rPr>
        <w:t>其他未明事项，由双方本着平等自愿、互利共赢、合法规范原则协商确定。具体内容另附附件。</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jc w:val="left"/>
        <w:rPr>
          <w:rFonts w:ascii="宋体" w:hAnsi="宋体"/>
          <w:b/>
          <w:sz w:val="24"/>
        </w:rPr>
      </w:pPr>
      <w:r>
        <w:rPr>
          <w:rFonts w:hint="eastAsia" w:ascii="宋体" w:hAnsi="宋体"/>
          <w:b/>
          <w:sz w:val="24"/>
        </w:rPr>
        <w:t>甲    方：                            乙    方：</w:t>
      </w:r>
    </w:p>
    <w:p>
      <w:pPr>
        <w:spacing w:line="360" w:lineRule="auto"/>
        <w:jc w:val="left"/>
        <w:rPr>
          <w:rFonts w:ascii="宋体" w:hAnsi="宋体"/>
          <w:sz w:val="24"/>
        </w:rPr>
      </w:pPr>
      <w:r>
        <w:rPr>
          <w:rFonts w:hint="eastAsia" w:ascii="宋体" w:hAnsi="宋体"/>
          <w:sz w:val="24"/>
        </w:rPr>
        <w:t>单位名称(公章)：                      单位名称(公章)：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法定代表人或授权代理人：（签字）       法定代表人或授权代理人：（签字）</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电    话：                            电    话：</w:t>
      </w:r>
    </w:p>
    <w:p>
      <w:pPr>
        <w:spacing w:line="360" w:lineRule="auto"/>
        <w:jc w:val="left"/>
        <w:rPr>
          <w:rFonts w:ascii="宋体" w:hAnsi="宋体"/>
          <w:sz w:val="24"/>
        </w:rPr>
      </w:pPr>
      <w:r>
        <w:rPr>
          <w:rFonts w:hint="eastAsia" w:ascii="宋体" w:hAnsi="宋体"/>
          <w:sz w:val="24"/>
        </w:rPr>
        <w:t>签订日期：                            签订日期：</w:t>
      </w:r>
    </w:p>
    <w:p>
      <w:pPr>
        <w:spacing w:line="360" w:lineRule="auto"/>
        <w:rPr>
          <w:rFonts w:ascii="宋体" w:hAnsi="宋体"/>
          <w:b/>
          <w:sz w:val="24"/>
        </w:rPr>
      </w:pPr>
    </w:p>
    <w:p>
      <w:pPr>
        <w:pStyle w:val="3"/>
        <w:jc w:val="center"/>
        <w:rPr>
          <w:rFonts w:eastAsia="黑体"/>
          <w:b w:val="0"/>
          <w:sz w:val="36"/>
        </w:rPr>
      </w:pPr>
      <w:r>
        <w:rPr>
          <w:rFonts w:ascii="宋体" w:hAnsi="宋体"/>
          <w:b w:val="0"/>
          <w:sz w:val="24"/>
        </w:rPr>
        <w:br w:type="page"/>
      </w:r>
      <w:bookmarkStart w:id="52" w:name="_Toc33194719"/>
      <w:bookmarkStart w:id="53" w:name="_Toc33212777"/>
      <w:bookmarkStart w:id="54" w:name="_Toc28755"/>
      <w:r>
        <w:rPr>
          <w:rFonts w:hint="eastAsia" w:eastAsia="黑体"/>
          <w:b w:val="0"/>
          <w:sz w:val="36"/>
        </w:rPr>
        <w:t>第七部分   投标文件格式</w:t>
      </w:r>
      <w:bookmarkEnd w:id="52"/>
      <w:bookmarkEnd w:id="53"/>
      <w:bookmarkEnd w:id="54"/>
    </w:p>
    <w:p>
      <w:pPr>
        <w:spacing w:line="360" w:lineRule="auto"/>
        <w:rPr>
          <w:rFonts w:ascii="宋体" w:hAnsi="宋体"/>
          <w:b/>
          <w:sz w:val="24"/>
        </w:rPr>
      </w:pPr>
      <w:r>
        <w:rPr>
          <w:rFonts w:hint="eastAsia" w:ascii="宋体" w:hAnsi="宋体"/>
          <w:b/>
          <w:sz w:val="24"/>
        </w:rPr>
        <w:t>一、封面</w:t>
      </w:r>
    </w:p>
    <w:p>
      <w:pPr>
        <w:spacing w:line="360" w:lineRule="auto"/>
        <w:rPr>
          <w:rFonts w:ascii="宋体" w:hAnsi="宋体"/>
          <w:b/>
          <w:sz w:val="24"/>
        </w:rPr>
      </w:pPr>
      <w:r>
        <w:rPr>
          <w:rFonts w:hint="eastAsia" w:ascii="宋体" w:hAnsi="宋体"/>
          <w:b/>
          <w:sz w:val="24"/>
        </w:rPr>
        <w:t>（一）投标文件封面</w:t>
      </w:r>
    </w:p>
    <w:p>
      <w:pPr>
        <w:spacing w:line="360" w:lineRule="auto"/>
        <w:rPr>
          <w:rFonts w:ascii="宋体" w:hAnsi="宋体"/>
          <w:b/>
          <w:sz w:val="24"/>
        </w:rPr>
      </w:pPr>
    </w:p>
    <w:p>
      <w:pPr>
        <w:spacing w:line="360" w:lineRule="auto"/>
        <w:jc w:val="center"/>
        <w:rPr>
          <w:rFonts w:ascii="宋体" w:hAnsi="宋体"/>
          <w:sz w:val="24"/>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（项目名称）</w:t>
      </w:r>
    </w:p>
    <w:p>
      <w:pPr>
        <w:spacing w:line="360" w:lineRule="auto"/>
        <w:jc w:val="center"/>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（项目编号）</w:t>
      </w:r>
    </w:p>
    <w:p>
      <w:pPr>
        <w:pStyle w:val="30"/>
        <w:ind w:left="420" w:hanging="420"/>
      </w:pPr>
    </w:p>
    <w:p>
      <w:pPr>
        <w:pStyle w:val="30"/>
        <w:ind w:left="420" w:hanging="420"/>
      </w:pPr>
    </w:p>
    <w:p>
      <w:pPr>
        <w:pStyle w:val="30"/>
        <w:ind w:left="420" w:hanging="420"/>
      </w:pPr>
    </w:p>
    <w:p>
      <w:pPr>
        <w:pStyle w:val="30"/>
        <w:ind w:left="420" w:hanging="420"/>
      </w:pPr>
    </w:p>
    <w:p>
      <w:pPr>
        <w:pStyle w:val="30"/>
        <w:ind w:left="420" w:hanging="420"/>
      </w:pPr>
    </w:p>
    <w:p>
      <w:pPr>
        <w:spacing w:line="360" w:lineRule="auto"/>
        <w:jc w:val="center"/>
        <w:rPr>
          <w:rFonts w:eastAsia="黑体"/>
          <w:b/>
          <w:sz w:val="72"/>
          <w:szCs w:val="72"/>
        </w:rPr>
      </w:pPr>
      <w:r>
        <w:rPr>
          <w:rFonts w:hint="eastAsia" w:eastAsia="黑体"/>
          <w:b/>
          <w:sz w:val="72"/>
          <w:szCs w:val="72"/>
        </w:rPr>
        <w:t>投标文件</w:t>
      </w:r>
    </w:p>
    <w:p>
      <w:pPr>
        <w:spacing w:line="360" w:lineRule="auto"/>
        <w:jc w:val="center"/>
        <w:rPr>
          <w:rFonts w:ascii="宋体" w:hAnsi="宋体"/>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（投标人盖章）</w:t>
      </w:r>
    </w:p>
    <w:p>
      <w:pPr>
        <w:spacing w:line="360" w:lineRule="auto"/>
        <w:jc w:val="center"/>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（盖章）</w:t>
      </w:r>
    </w:p>
    <w:p>
      <w:pPr>
        <w:spacing w:line="360" w:lineRule="auto"/>
        <w:jc w:val="center"/>
        <w:rPr>
          <w:rFonts w:ascii="宋体" w:hAnsi="宋体"/>
          <w:sz w:val="28"/>
          <w:szCs w:val="28"/>
          <w:u w:val="single"/>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pPr>
        <w:pStyle w:val="18"/>
        <w:tabs>
          <w:tab w:val="left" w:pos="8786"/>
        </w:tabs>
        <w:spacing w:after="0" w:line="360" w:lineRule="auto"/>
        <w:outlineLvl w:val="1"/>
        <w:rPr>
          <w:rFonts w:ascii="宋体" w:hAnsi="宋体"/>
          <w:b/>
          <w:color w:val="000000"/>
          <w:sz w:val="24"/>
        </w:rPr>
      </w:pPr>
      <w:r>
        <w:rPr>
          <w:rFonts w:ascii="宋体" w:hAnsi="宋体"/>
          <w:b/>
          <w:sz w:val="24"/>
        </w:rPr>
        <w:br w:type="page"/>
      </w:r>
      <w:bookmarkStart w:id="55" w:name="_Toc13115"/>
      <w:bookmarkStart w:id="56" w:name="_Toc33194720"/>
      <w:bookmarkStart w:id="57" w:name="_Toc33212778"/>
      <w:r>
        <w:rPr>
          <w:rFonts w:hint="eastAsia" w:ascii="宋体" w:hAnsi="宋体"/>
          <w:b/>
          <w:color w:val="000000"/>
          <w:sz w:val="24"/>
        </w:rPr>
        <w:t>一、资格审查材料</w:t>
      </w:r>
      <w:bookmarkEnd w:id="55"/>
      <w:bookmarkEnd w:id="56"/>
      <w:bookmarkEnd w:id="57"/>
    </w:p>
    <w:p>
      <w:pPr>
        <w:pStyle w:val="18"/>
        <w:tabs>
          <w:tab w:val="left" w:pos="8786"/>
        </w:tabs>
        <w:spacing w:after="0" w:line="360" w:lineRule="auto"/>
        <w:outlineLvl w:val="2"/>
        <w:rPr>
          <w:rFonts w:ascii="宋体" w:hAnsi="宋体"/>
          <w:b/>
          <w:color w:val="000000"/>
          <w:sz w:val="24"/>
        </w:rPr>
      </w:pPr>
      <w:bookmarkStart w:id="58" w:name="_Toc33194721"/>
      <w:bookmarkStart w:id="59" w:name="_Toc13190"/>
      <w:bookmarkStart w:id="60" w:name="_Toc33212779"/>
      <w:r>
        <w:rPr>
          <w:rFonts w:hint="eastAsia" w:ascii="宋体" w:hAnsi="宋体"/>
          <w:b/>
          <w:color w:val="000000"/>
          <w:sz w:val="24"/>
        </w:rPr>
        <w:t>（一）</w:t>
      </w:r>
      <w:r>
        <w:rPr>
          <w:rFonts w:hint="eastAsia" w:ascii="宋体" w:hAnsi="宋体"/>
          <w:b/>
          <w:kern w:val="0"/>
          <w:sz w:val="24"/>
        </w:rPr>
        <w:t>★</w:t>
      </w:r>
      <w:r>
        <w:rPr>
          <w:rFonts w:hint="eastAsia" w:ascii="宋体" w:hAnsi="宋体"/>
          <w:b/>
          <w:color w:val="000000"/>
          <w:sz w:val="24"/>
        </w:rPr>
        <w:t>营业执照、组织机构代码证、税务登记证</w:t>
      </w:r>
      <w:bookmarkEnd w:id="58"/>
      <w:bookmarkEnd w:id="59"/>
      <w:bookmarkEnd w:id="60"/>
    </w:p>
    <w:p>
      <w:pPr>
        <w:pStyle w:val="57"/>
        <w:ind w:firstLine="560" w:firstLineChars="200"/>
        <w:rPr>
          <w:rFonts w:ascii="宋体" w:hAnsi="宋体"/>
        </w:rPr>
      </w:pPr>
      <w:r>
        <w:rPr>
          <w:rFonts w:hint="eastAsia" w:ascii="宋体" w:hAnsi="宋体"/>
        </w:rPr>
        <w:t>说明：此处上传营业执照、组织机构代码证、税务登记证，如三证合一，只需要导入营业执照即可。</w:t>
      </w: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57"/>
        <w:rPr>
          <w:rFonts w:ascii="宋体" w:hAnsi="宋体"/>
        </w:rPr>
      </w:pPr>
    </w:p>
    <w:p>
      <w:pPr>
        <w:pStyle w:val="18"/>
        <w:tabs>
          <w:tab w:val="left" w:pos="8786"/>
        </w:tabs>
        <w:spacing w:after="0" w:line="360" w:lineRule="auto"/>
        <w:outlineLvl w:val="2"/>
        <w:rPr>
          <w:rFonts w:ascii="宋体" w:hAnsi="宋体"/>
          <w:b/>
          <w:color w:val="000000"/>
          <w:sz w:val="24"/>
        </w:rPr>
      </w:pPr>
      <w:bookmarkStart w:id="61" w:name="_Toc33194722"/>
      <w:bookmarkStart w:id="62" w:name="_Toc5773"/>
      <w:bookmarkStart w:id="63" w:name="_Toc33212780"/>
      <w:r>
        <w:rPr>
          <w:rFonts w:hint="eastAsia" w:ascii="宋体" w:hAnsi="宋体"/>
          <w:b/>
          <w:color w:val="000000"/>
          <w:sz w:val="24"/>
        </w:rPr>
        <w:t>（二）</w:t>
      </w:r>
      <w:r>
        <w:rPr>
          <w:rFonts w:hint="eastAsia" w:ascii="宋体" w:hAnsi="宋体"/>
          <w:b/>
          <w:kern w:val="0"/>
          <w:sz w:val="24"/>
        </w:rPr>
        <w:t>★</w:t>
      </w:r>
      <w:r>
        <w:rPr>
          <w:rFonts w:hint="eastAsia" w:ascii="宋体" w:hAnsi="宋体"/>
          <w:b/>
          <w:color w:val="000000"/>
          <w:sz w:val="24"/>
        </w:rPr>
        <w:t>投标保证金</w:t>
      </w:r>
      <w:bookmarkEnd w:id="61"/>
      <w:bookmarkEnd w:id="62"/>
      <w:bookmarkEnd w:id="63"/>
    </w:p>
    <w:p>
      <w:pPr>
        <w:pStyle w:val="18"/>
        <w:tabs>
          <w:tab w:val="left" w:pos="8786"/>
        </w:tabs>
        <w:spacing w:after="0" w:line="360" w:lineRule="auto"/>
        <w:rPr>
          <w:rFonts w:ascii="宋体" w:hAnsi="宋体"/>
          <w:sz w:val="24"/>
        </w:rPr>
      </w:pPr>
      <w:r>
        <w:rPr>
          <w:rFonts w:hint="eastAsia" w:ascii="宋体" w:hAnsi="宋体"/>
          <w:b/>
          <w:color w:val="000000"/>
          <w:sz w:val="24"/>
        </w:rPr>
        <w:t xml:space="preserve">   </w:t>
      </w:r>
      <w:r>
        <w:rPr>
          <w:rFonts w:hint="eastAsia" w:ascii="宋体" w:hAnsi="宋体"/>
          <w:sz w:val="24"/>
        </w:rPr>
        <w:t>说明：此处上传投标保证金缴纳凭证；</w:t>
      </w: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line="360" w:lineRule="auto"/>
        <w:rPr>
          <w:rFonts w:ascii="宋体" w:hAnsi="宋体"/>
          <w:b/>
          <w:color w:val="000000"/>
          <w:sz w:val="24"/>
        </w:rPr>
      </w:pPr>
    </w:p>
    <w:p>
      <w:pPr>
        <w:pStyle w:val="18"/>
        <w:tabs>
          <w:tab w:val="left" w:pos="8786"/>
        </w:tabs>
        <w:spacing w:after="0"/>
        <w:rPr>
          <w:rFonts w:ascii="宋体" w:hAnsi="宋体"/>
          <w:b/>
          <w:color w:val="000000"/>
          <w:sz w:val="24"/>
        </w:rPr>
      </w:pPr>
    </w:p>
    <w:p>
      <w:pPr>
        <w:pStyle w:val="18"/>
        <w:tabs>
          <w:tab w:val="left" w:pos="8786"/>
        </w:tabs>
        <w:spacing w:after="0"/>
        <w:outlineLvl w:val="2"/>
        <w:rPr>
          <w:rFonts w:ascii="宋体" w:hAnsi="宋体"/>
          <w:b/>
          <w:color w:val="000000"/>
          <w:sz w:val="24"/>
        </w:rPr>
      </w:pPr>
      <w:bookmarkStart w:id="64" w:name="_Toc17652"/>
      <w:bookmarkStart w:id="65" w:name="_Toc33212781"/>
      <w:bookmarkStart w:id="66" w:name="_Toc33194723"/>
      <w:r>
        <w:rPr>
          <w:rFonts w:hint="eastAsia" w:ascii="宋体" w:hAnsi="宋体"/>
          <w:b/>
          <w:color w:val="000000"/>
          <w:sz w:val="24"/>
        </w:rPr>
        <w:t>（三）其他声明及文件资料（分公司，业绩证明文件）</w:t>
      </w:r>
      <w:bookmarkEnd w:id="64"/>
      <w:bookmarkEnd w:id="65"/>
      <w:bookmarkEnd w:id="66"/>
    </w:p>
    <w:p>
      <w:pPr>
        <w:rPr>
          <w:rFonts w:ascii="宋体" w:hAnsi="宋体"/>
          <w:kern w:val="0"/>
          <w:sz w:val="24"/>
        </w:rPr>
      </w:pPr>
      <w:r>
        <w:rPr>
          <w:rFonts w:hint="eastAsia" w:ascii="宋体" w:hAnsi="宋体"/>
          <w:kern w:val="0"/>
          <w:sz w:val="24"/>
        </w:rPr>
        <w:t>1.供应商在疆设有分公司或售后服务机构证明文件；</w:t>
      </w:r>
    </w:p>
    <w:p>
      <w:pPr>
        <w:rPr>
          <w:rFonts w:ascii="宋体" w:hAnsi="宋体"/>
          <w:kern w:val="0"/>
          <w:sz w:val="24"/>
        </w:rPr>
      </w:pPr>
      <w:r>
        <w:rPr>
          <w:rFonts w:hint="eastAsia" w:ascii="宋体" w:hAnsi="宋体"/>
          <w:kern w:val="0"/>
          <w:sz w:val="24"/>
        </w:rPr>
        <w:t>2.类似项目业绩表；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附：类似项目业绩表</w:t>
      </w:r>
    </w:p>
    <w:p>
      <w:pPr>
        <w:pStyle w:val="57"/>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项目名称</w:t>
            </w:r>
          </w:p>
        </w:tc>
        <w:tc>
          <w:tcPr>
            <w:tcW w:w="7200" w:type="dxa"/>
          </w:tcPr>
          <w:p>
            <w:pPr>
              <w:pStyle w:val="57"/>
              <w:tabs>
                <w:tab w:val="left" w:pos="2265"/>
              </w:tabs>
              <w:rPr>
                <w:rFonts w:ascii="宋体" w:hAnsi="宋体"/>
                <w:sz w:val="24"/>
                <w:szCs w:val="24"/>
              </w:rPr>
            </w:pPr>
            <w:r>
              <w:rPr>
                <w:rFonts w:ascii="宋体" w:hAns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项目单位名称</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项目单位联系人姓名及联系方式</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合同金额</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项目负责人</w:t>
            </w:r>
          </w:p>
          <w:p>
            <w:pPr>
              <w:pStyle w:val="57"/>
              <w:jc w:val="center"/>
              <w:rPr>
                <w:rFonts w:ascii="宋体" w:hAnsi="宋体"/>
                <w:sz w:val="24"/>
                <w:szCs w:val="24"/>
              </w:rPr>
            </w:pPr>
            <w:r>
              <w:rPr>
                <w:rFonts w:hint="eastAsia" w:ascii="宋体" w:hAnsi="宋体"/>
                <w:sz w:val="24"/>
                <w:szCs w:val="24"/>
              </w:rPr>
              <w:t>姓名</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项目实施时间</w:t>
            </w:r>
          </w:p>
        </w:tc>
        <w:tc>
          <w:tcPr>
            <w:tcW w:w="7200" w:type="dxa"/>
          </w:tcPr>
          <w:p>
            <w:pPr>
              <w:pStyle w:val="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57"/>
              <w:jc w:val="center"/>
              <w:rPr>
                <w:rFonts w:ascii="宋体" w:hAnsi="宋体"/>
                <w:sz w:val="24"/>
                <w:szCs w:val="24"/>
              </w:rPr>
            </w:pPr>
            <w:r>
              <w:rPr>
                <w:rFonts w:hint="eastAsia" w:ascii="宋体" w:hAnsi="宋体"/>
                <w:sz w:val="24"/>
                <w:szCs w:val="24"/>
              </w:rPr>
              <w:t>项目内容说明</w:t>
            </w:r>
          </w:p>
        </w:tc>
        <w:tc>
          <w:tcPr>
            <w:tcW w:w="7200" w:type="dxa"/>
          </w:tcPr>
          <w:p>
            <w:pPr>
              <w:pStyle w:val="57"/>
              <w:jc w:val="center"/>
              <w:rPr>
                <w:rFonts w:ascii="宋体" w:hAnsi="宋体"/>
                <w:sz w:val="24"/>
                <w:szCs w:val="24"/>
              </w:rPr>
            </w:pPr>
          </w:p>
        </w:tc>
      </w:tr>
    </w:tbl>
    <w:p>
      <w:pPr>
        <w:pStyle w:val="57"/>
        <w:autoSpaceDE w:val="0"/>
        <w:autoSpaceDN w:val="0"/>
        <w:spacing w:line="360" w:lineRule="auto"/>
        <w:rPr>
          <w:rFonts w:ascii="宋体" w:hAnsi="宋体"/>
          <w:sz w:val="24"/>
          <w:szCs w:val="24"/>
        </w:rPr>
      </w:pPr>
      <w:r>
        <w:rPr>
          <w:rFonts w:hint="eastAsia" w:ascii="宋体" w:hAnsi="宋体"/>
          <w:sz w:val="24"/>
          <w:szCs w:val="24"/>
        </w:rPr>
        <w:t>说明：1．每个合同须单独附表，并附上相关证明材料，否则专家在评审时将不予采信；</w:t>
      </w:r>
    </w:p>
    <w:p>
      <w:pPr>
        <w:pStyle w:val="57"/>
        <w:spacing w:line="360" w:lineRule="auto"/>
        <w:ind w:firstLine="720" w:firstLineChars="300"/>
        <w:rPr>
          <w:rFonts w:ascii="宋体" w:hAnsi="宋体"/>
          <w:sz w:val="24"/>
          <w:szCs w:val="24"/>
        </w:rPr>
      </w:pPr>
      <w:r>
        <w:rPr>
          <w:rFonts w:hint="eastAsia" w:ascii="宋体" w:hAnsi="宋体"/>
          <w:sz w:val="24"/>
          <w:szCs w:val="24"/>
        </w:rPr>
        <w:t>2．项目内容请详细说明所承担的具体工作内容。</w:t>
      </w:r>
    </w:p>
    <w:p>
      <w:pPr>
        <w:pStyle w:val="57"/>
        <w:adjustRightInd w:val="0"/>
        <w:snapToGrid w:val="0"/>
        <w:spacing w:line="500" w:lineRule="exact"/>
        <w:rPr>
          <w:rFonts w:ascii="宋体" w:hAnsi="宋体"/>
          <w:sz w:val="24"/>
          <w:szCs w:val="24"/>
        </w:rPr>
      </w:pPr>
      <w:r>
        <w:rPr>
          <w:rFonts w:hint="eastAsia" w:ascii="宋体" w:hAnsi="宋体"/>
          <w:sz w:val="24"/>
          <w:szCs w:val="24"/>
        </w:rPr>
        <w:t>投标人法定代表人（签章）：</w:t>
      </w:r>
      <w:r>
        <w:rPr>
          <w:rFonts w:hint="eastAsia" w:ascii="宋体" w:hAnsi="宋体"/>
          <w:sz w:val="24"/>
          <w:szCs w:val="24"/>
          <w:u w:val="single"/>
        </w:rPr>
        <w:t xml:space="preserve">                  </w:t>
      </w:r>
    </w:p>
    <w:p>
      <w:pPr>
        <w:pStyle w:val="57"/>
        <w:adjustRightInd w:val="0"/>
        <w:snapToGrid w:val="0"/>
        <w:spacing w:line="500" w:lineRule="exact"/>
        <w:rPr>
          <w:rFonts w:ascii="宋体" w:hAnsi="宋体"/>
          <w:sz w:val="24"/>
          <w:szCs w:val="24"/>
          <w:u w:val="single"/>
        </w:rPr>
      </w:pPr>
      <w:r>
        <w:rPr>
          <w:rFonts w:hint="eastAsia" w:ascii="宋体" w:hAnsi="宋体"/>
          <w:sz w:val="24"/>
          <w:szCs w:val="24"/>
        </w:rPr>
        <w:t>投标人名称（签章）：</w:t>
      </w:r>
      <w:r>
        <w:rPr>
          <w:rFonts w:hint="eastAsia" w:ascii="宋体" w:hAnsi="宋体"/>
          <w:sz w:val="24"/>
          <w:szCs w:val="24"/>
          <w:u w:val="single"/>
        </w:rPr>
        <w:t xml:space="preserve">                       </w:t>
      </w:r>
    </w:p>
    <w:p>
      <w:pPr>
        <w:pStyle w:val="57"/>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rPr>
          <w:rFonts w:ascii="宋体" w:hAnsi="宋体"/>
          <w:b/>
          <w:sz w:val="24"/>
        </w:rPr>
      </w:pPr>
      <w:bookmarkStart w:id="67" w:name="_Toc27070"/>
      <w:bookmarkStart w:id="68" w:name="_Toc33212782"/>
      <w:bookmarkStart w:id="69" w:name="_Toc33194724"/>
      <w:r>
        <w:rPr>
          <w:rFonts w:hint="eastAsia" w:ascii="宋体" w:hAnsi="宋体"/>
          <w:b/>
          <w:sz w:val="24"/>
        </w:rPr>
        <w:br w:type="page"/>
      </w:r>
    </w:p>
    <w:p>
      <w:pPr>
        <w:pStyle w:val="18"/>
        <w:tabs>
          <w:tab w:val="left" w:pos="8786"/>
        </w:tabs>
        <w:spacing w:after="0" w:line="360" w:lineRule="auto"/>
        <w:outlineLvl w:val="1"/>
        <w:rPr>
          <w:rFonts w:ascii="宋体" w:hAnsi="宋体"/>
          <w:b/>
          <w:sz w:val="24"/>
        </w:rPr>
      </w:pPr>
      <w:r>
        <w:rPr>
          <w:rFonts w:hint="eastAsia" w:ascii="宋体" w:hAnsi="宋体"/>
          <w:b/>
          <w:sz w:val="24"/>
        </w:rPr>
        <w:t>二、商务部分</w:t>
      </w:r>
      <w:bookmarkEnd w:id="67"/>
      <w:bookmarkEnd w:id="68"/>
      <w:bookmarkEnd w:id="69"/>
    </w:p>
    <w:p>
      <w:pPr>
        <w:pStyle w:val="18"/>
        <w:tabs>
          <w:tab w:val="left" w:pos="8786"/>
        </w:tabs>
        <w:spacing w:after="0" w:line="360" w:lineRule="auto"/>
        <w:outlineLvl w:val="2"/>
        <w:rPr>
          <w:rFonts w:ascii="宋体" w:hAnsi="宋体"/>
          <w:b/>
          <w:sz w:val="24"/>
        </w:rPr>
      </w:pPr>
      <w:bookmarkStart w:id="70" w:name="_Toc33212783"/>
      <w:bookmarkStart w:id="71" w:name="_Toc33194725"/>
      <w:bookmarkStart w:id="72" w:name="_Toc2066"/>
      <w:r>
        <w:rPr>
          <w:rFonts w:hint="eastAsia" w:ascii="宋体" w:hAnsi="宋体"/>
          <w:b/>
          <w:sz w:val="24"/>
        </w:rPr>
        <w:t>（四）</w:t>
      </w:r>
      <w:r>
        <w:rPr>
          <w:rFonts w:hint="eastAsia" w:ascii="宋体" w:hAnsi="宋体"/>
          <w:b/>
          <w:kern w:val="0"/>
          <w:sz w:val="24"/>
        </w:rPr>
        <w:t>★</w:t>
      </w:r>
      <w:r>
        <w:rPr>
          <w:rFonts w:hint="eastAsia" w:ascii="宋体" w:hAnsi="宋体"/>
          <w:b/>
          <w:sz w:val="24"/>
        </w:rPr>
        <w:t>投标函</w:t>
      </w:r>
      <w:bookmarkEnd w:id="70"/>
      <w:bookmarkEnd w:id="71"/>
      <w:bookmarkEnd w:id="72"/>
    </w:p>
    <w:p>
      <w:pPr>
        <w:pStyle w:val="24"/>
        <w:widowControl/>
        <w:spacing w:line="360" w:lineRule="auto"/>
        <w:ind w:leftChars="0"/>
        <w:rPr>
          <w:rFonts w:ascii="宋体" w:hAnsi="宋体"/>
          <w:sz w:val="24"/>
        </w:rPr>
      </w:pPr>
      <w:r>
        <w:rPr>
          <w:rFonts w:hint="eastAsia" w:ascii="宋体" w:hAnsi="宋体"/>
          <w:sz w:val="24"/>
        </w:rPr>
        <w:t>{采购人或采购代理机构}：</w:t>
      </w:r>
    </w:p>
    <w:p>
      <w:pPr>
        <w:pStyle w:val="24"/>
        <w:widowControl/>
        <w:spacing w:line="360" w:lineRule="auto"/>
        <w:ind w:left="0" w:leftChars="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(投标人名称)授权</w:t>
      </w:r>
      <w:r>
        <w:rPr>
          <w:rFonts w:hint="eastAsia" w:ascii="宋体" w:hAnsi="宋体"/>
          <w:sz w:val="24"/>
          <w:u w:val="single"/>
        </w:rPr>
        <w:t xml:space="preserve">                    </w:t>
      </w:r>
      <w:r>
        <w:rPr>
          <w:rFonts w:hint="eastAsia" w:ascii="宋体" w:hAnsi="宋体"/>
          <w:sz w:val="24"/>
        </w:rPr>
        <w:t>(投标人授权代理人姓名)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 xml:space="preserve"> (项目名称、项目编号、包号)招标的有关活动，并对此项目进行投标。为此：</w:t>
      </w:r>
    </w:p>
    <w:p>
      <w:pPr>
        <w:pStyle w:val="24"/>
        <w:widowControl/>
        <w:spacing w:line="360" w:lineRule="auto"/>
        <w:ind w:left="0" w:leftChars="0" w:firstLine="480" w:firstLineChars="200"/>
        <w:rPr>
          <w:rFonts w:ascii="宋体" w:hAnsi="宋体"/>
          <w:sz w:val="24"/>
        </w:rPr>
      </w:pPr>
      <w:r>
        <w:rPr>
          <w:rFonts w:hint="eastAsia" w:ascii="宋体" w:hAnsi="宋体"/>
          <w:sz w:val="24"/>
        </w:rPr>
        <w:t>1、我方承诺：已经具备《中华人民共和国政府采购法》中规定的参加政府采购活动的供应商应当具备的条件和本招标文件中规定的条件。</w:t>
      </w:r>
    </w:p>
    <w:p>
      <w:pPr>
        <w:pStyle w:val="24"/>
        <w:widowControl/>
        <w:spacing w:line="360" w:lineRule="auto"/>
        <w:ind w:left="0" w:leftChars="0" w:firstLine="480" w:firstLineChars="200"/>
        <w:rPr>
          <w:rFonts w:ascii="宋体" w:hAnsi="宋体"/>
          <w:sz w:val="24"/>
        </w:rPr>
      </w:pPr>
      <w:r>
        <w:rPr>
          <w:rFonts w:hint="eastAsia" w:ascii="宋体" w:hAnsi="宋体"/>
          <w:sz w:val="24"/>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24"/>
        <w:widowControl/>
        <w:spacing w:line="360" w:lineRule="auto"/>
        <w:ind w:left="0" w:leftChars="0" w:firstLine="480" w:firstLineChars="200"/>
        <w:rPr>
          <w:rFonts w:ascii="宋体" w:hAnsi="宋体"/>
          <w:sz w:val="24"/>
        </w:rPr>
      </w:pPr>
      <w:r>
        <w:rPr>
          <w:rFonts w:hint="eastAsia" w:ascii="宋体" w:hAnsi="宋体"/>
          <w:sz w:val="24"/>
        </w:rPr>
        <w:t>3、按照招标文件规定提供全部投标文件，按照招标文件要求提供和交付的货物及相关服务的投标报价见开标一览表。</w:t>
      </w:r>
    </w:p>
    <w:p>
      <w:pPr>
        <w:pStyle w:val="24"/>
        <w:widowControl/>
        <w:spacing w:line="360" w:lineRule="auto"/>
        <w:ind w:left="0" w:leftChars="0" w:firstLine="480" w:firstLineChars="200"/>
        <w:rPr>
          <w:rFonts w:ascii="宋体" w:hAnsi="宋体"/>
          <w:sz w:val="24"/>
        </w:rPr>
      </w:pPr>
      <w:r>
        <w:rPr>
          <w:rFonts w:hint="eastAsia" w:ascii="宋体" w:hAnsi="宋体"/>
          <w:sz w:val="24"/>
        </w:rPr>
        <w:t>4、我方承诺：接受招标文件中的全部条款且无任何异议，保证遵守招标文件的规定。</w:t>
      </w:r>
    </w:p>
    <w:p>
      <w:pPr>
        <w:pStyle w:val="24"/>
        <w:widowControl/>
        <w:spacing w:line="360" w:lineRule="auto"/>
        <w:ind w:left="0" w:leftChars="0" w:firstLine="480" w:firstLineChars="200"/>
        <w:rPr>
          <w:rFonts w:ascii="宋体" w:hAnsi="宋体"/>
          <w:sz w:val="24"/>
        </w:rPr>
      </w:pPr>
      <w:r>
        <w:rPr>
          <w:rFonts w:hint="eastAsia" w:ascii="宋体" w:hAnsi="宋体"/>
          <w:sz w:val="24"/>
        </w:rPr>
        <w:t>5、我方承诺：完全满足和响应招标文件中的各项技术和服务要求，若有偏差，已在偏离表中予以明确特别说明。</w:t>
      </w:r>
    </w:p>
    <w:p>
      <w:pPr>
        <w:pStyle w:val="24"/>
        <w:widowControl/>
        <w:spacing w:line="360" w:lineRule="auto"/>
        <w:ind w:left="0" w:leftChars="0" w:firstLine="480" w:firstLineChars="200"/>
        <w:rPr>
          <w:rFonts w:ascii="宋体" w:hAnsi="宋体"/>
          <w:sz w:val="24"/>
        </w:rPr>
      </w:pPr>
      <w:r>
        <w:rPr>
          <w:rFonts w:hint="eastAsia" w:ascii="宋体" w:hAnsi="宋体"/>
          <w:sz w:val="24"/>
        </w:rPr>
        <w:t>6、我方完全理解贵方不一定接受最低价的投标或收到的任何投标，以及投标报价若超过项目预算时投标将被拒绝。</w:t>
      </w:r>
    </w:p>
    <w:p>
      <w:pPr>
        <w:pStyle w:val="24"/>
        <w:widowControl/>
        <w:spacing w:line="360" w:lineRule="auto"/>
        <w:ind w:left="0" w:leftChars="0" w:firstLine="480" w:firstLineChars="200"/>
        <w:rPr>
          <w:rFonts w:ascii="宋体" w:hAnsi="宋体"/>
          <w:sz w:val="24"/>
        </w:rPr>
      </w:pPr>
      <w:r>
        <w:rPr>
          <w:rFonts w:hint="eastAsia" w:ascii="宋体" w:hAnsi="宋体"/>
          <w:sz w:val="24"/>
        </w:rPr>
        <w:t>7、我方已详细审核全部投标文件，包括投标文件修改书（如有的话）、参考资料及有关附件，确认无误。</w:t>
      </w:r>
    </w:p>
    <w:p>
      <w:pPr>
        <w:pStyle w:val="24"/>
        <w:widowControl/>
        <w:spacing w:line="360" w:lineRule="auto"/>
        <w:ind w:left="0" w:leftChars="0" w:firstLine="480" w:firstLineChars="200"/>
        <w:rPr>
          <w:rFonts w:ascii="宋体" w:hAnsi="宋体"/>
          <w:sz w:val="24"/>
        </w:rPr>
      </w:pPr>
      <w:r>
        <w:rPr>
          <w:rFonts w:hint="eastAsia" w:ascii="宋体" w:hAnsi="宋体"/>
          <w:sz w:val="24"/>
        </w:rPr>
        <w:t>8、我方承诺：</w:t>
      </w:r>
      <w:r>
        <w:rPr>
          <w:rFonts w:ascii="宋体" w:hAnsi="宋体"/>
          <w:sz w:val="24"/>
        </w:rPr>
        <w:t>保证所报货物均为原厂正品，</w:t>
      </w:r>
      <w:r>
        <w:rPr>
          <w:rFonts w:hint="eastAsia" w:ascii="宋体" w:hAnsi="宋体"/>
          <w:sz w:val="24"/>
        </w:rPr>
        <w:t>如所报货物属国家强制认证产品的均已通过认证且在有效期内，否则，由此产生的一切法律责任由我方承担。</w:t>
      </w:r>
    </w:p>
    <w:p>
      <w:pPr>
        <w:pStyle w:val="24"/>
        <w:widowControl/>
        <w:spacing w:line="360" w:lineRule="auto"/>
        <w:ind w:left="0" w:leftChars="0" w:firstLine="480" w:firstLineChars="200"/>
        <w:rPr>
          <w:rFonts w:ascii="宋体" w:hAnsi="宋体"/>
          <w:sz w:val="24"/>
        </w:rPr>
      </w:pPr>
      <w:r>
        <w:rPr>
          <w:rFonts w:hint="eastAsia" w:ascii="宋体" w:hAnsi="宋体"/>
          <w:sz w:val="24"/>
        </w:rPr>
        <w:t>9、我方承诺：与在本项目中设计编制技术规格的机构及其附属机构无任何直接隶属关系和利益关联。</w:t>
      </w:r>
    </w:p>
    <w:p>
      <w:pPr>
        <w:pStyle w:val="24"/>
        <w:widowControl/>
        <w:spacing w:line="360" w:lineRule="auto"/>
        <w:ind w:left="0" w:leftChars="0" w:firstLine="480" w:firstLineChars="200"/>
        <w:rPr>
          <w:rFonts w:ascii="宋体" w:hAnsi="宋体"/>
          <w:sz w:val="24"/>
        </w:rPr>
      </w:pPr>
      <w:r>
        <w:rPr>
          <w:rFonts w:hint="eastAsia" w:ascii="宋体" w:hAnsi="宋体"/>
          <w:sz w:val="24"/>
        </w:rPr>
        <w:t>10、保证忠实地执行双方所签订的合同，并承担合同规定的责任和义务。</w:t>
      </w:r>
    </w:p>
    <w:p>
      <w:pPr>
        <w:pStyle w:val="24"/>
        <w:widowControl/>
        <w:spacing w:line="360" w:lineRule="auto"/>
        <w:ind w:left="0" w:leftChars="0" w:firstLine="480" w:firstLineChars="200"/>
        <w:rPr>
          <w:rFonts w:ascii="宋体" w:hAnsi="宋体"/>
          <w:sz w:val="24"/>
        </w:rPr>
      </w:pPr>
      <w:r>
        <w:rPr>
          <w:rFonts w:hint="eastAsia" w:ascii="宋体" w:hAnsi="宋体"/>
          <w:sz w:val="24"/>
        </w:rPr>
        <w:t>11、我方承诺：投标文件所提供的一切资料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24"/>
        <w:widowControl/>
        <w:spacing w:line="360" w:lineRule="auto"/>
        <w:ind w:left="0" w:leftChars="0" w:firstLine="480" w:firstLineChars="200"/>
        <w:rPr>
          <w:rFonts w:ascii="宋体" w:hAnsi="宋体"/>
          <w:sz w:val="24"/>
        </w:rPr>
      </w:pPr>
      <w:r>
        <w:rPr>
          <w:rFonts w:hint="eastAsia" w:ascii="宋体" w:hAnsi="宋体"/>
          <w:sz w:val="24"/>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widowControl/>
        <w:spacing w:line="360" w:lineRule="auto"/>
        <w:ind w:left="0" w:leftChars="0" w:firstLine="480" w:firstLineChars="200"/>
        <w:rPr>
          <w:rFonts w:ascii="宋体" w:hAnsi="宋体"/>
          <w:sz w:val="24"/>
        </w:rPr>
      </w:pPr>
      <w:r>
        <w:rPr>
          <w:rFonts w:hint="eastAsia" w:ascii="宋体" w:hAnsi="宋体"/>
          <w:sz w:val="24"/>
        </w:rPr>
        <w:t>1）提供虚假材料谋取中标、成交的；</w:t>
      </w:r>
    </w:p>
    <w:p>
      <w:pPr>
        <w:pStyle w:val="24"/>
        <w:widowControl/>
        <w:spacing w:line="360" w:lineRule="auto"/>
        <w:ind w:left="0" w:leftChars="0" w:firstLine="480" w:firstLineChars="200"/>
        <w:rPr>
          <w:rFonts w:ascii="宋体" w:hAnsi="宋体"/>
          <w:sz w:val="24"/>
        </w:rPr>
      </w:pPr>
      <w:r>
        <w:rPr>
          <w:rFonts w:hint="eastAsia" w:ascii="宋体" w:hAnsi="宋体"/>
          <w:sz w:val="24"/>
        </w:rPr>
        <w:t>2）采取不正当手段诋毁、排挤其他供应商的；</w:t>
      </w:r>
    </w:p>
    <w:p>
      <w:pPr>
        <w:pStyle w:val="24"/>
        <w:widowControl/>
        <w:spacing w:line="360" w:lineRule="auto"/>
        <w:ind w:left="0" w:leftChars="0" w:firstLine="480" w:firstLineChars="200"/>
        <w:rPr>
          <w:rFonts w:ascii="宋体" w:hAnsi="宋体"/>
          <w:sz w:val="24"/>
        </w:rPr>
      </w:pPr>
      <w:r>
        <w:rPr>
          <w:rFonts w:hint="eastAsia" w:ascii="宋体" w:hAnsi="宋体"/>
          <w:sz w:val="24"/>
        </w:rPr>
        <w:t>3）与采购人、其他供应商或者采购代理机构恶意串通的；</w:t>
      </w:r>
    </w:p>
    <w:p>
      <w:pPr>
        <w:pStyle w:val="24"/>
        <w:widowControl/>
        <w:spacing w:line="360" w:lineRule="auto"/>
        <w:ind w:left="0" w:leftChars="0" w:firstLine="480" w:firstLineChars="200"/>
        <w:rPr>
          <w:rFonts w:ascii="宋体" w:hAnsi="宋体"/>
          <w:sz w:val="24"/>
        </w:rPr>
      </w:pPr>
      <w:r>
        <w:rPr>
          <w:rFonts w:hint="eastAsia" w:ascii="宋体" w:hAnsi="宋体"/>
          <w:sz w:val="24"/>
        </w:rPr>
        <w:t>4）向采购人、采购代理机构行贿或者提供其他不正当利益的；</w:t>
      </w:r>
    </w:p>
    <w:p>
      <w:pPr>
        <w:pStyle w:val="24"/>
        <w:widowControl/>
        <w:spacing w:line="360" w:lineRule="auto"/>
        <w:ind w:left="0" w:leftChars="0" w:firstLine="480" w:firstLineChars="200"/>
        <w:rPr>
          <w:rFonts w:ascii="宋体" w:hAnsi="宋体"/>
          <w:sz w:val="24"/>
        </w:rPr>
      </w:pPr>
      <w:r>
        <w:rPr>
          <w:rFonts w:hint="eastAsia" w:ascii="宋体" w:hAnsi="宋体"/>
          <w:sz w:val="24"/>
        </w:rPr>
        <w:t>5）在招标采购过程中与采购人进行协商谈判的；</w:t>
      </w:r>
    </w:p>
    <w:p>
      <w:pPr>
        <w:pStyle w:val="24"/>
        <w:widowControl/>
        <w:spacing w:line="360" w:lineRule="auto"/>
        <w:ind w:left="0" w:leftChars="0" w:firstLine="480" w:firstLineChars="200"/>
        <w:rPr>
          <w:rFonts w:ascii="宋体" w:hAnsi="宋体"/>
          <w:sz w:val="24"/>
        </w:rPr>
      </w:pPr>
      <w:r>
        <w:rPr>
          <w:rFonts w:hint="eastAsia" w:ascii="宋体" w:hAnsi="宋体"/>
          <w:sz w:val="24"/>
        </w:rPr>
        <w:t>6）拒绝有关部门监督检查或提供虚假情况的。</w:t>
      </w:r>
    </w:p>
    <w:p/>
    <w:p>
      <w:pPr>
        <w:pStyle w:val="24"/>
        <w:widowControl/>
        <w:spacing w:line="360" w:lineRule="auto"/>
        <w:ind w:left="0" w:leftChars="0" w:firstLine="480" w:firstLineChars="200"/>
        <w:rPr>
          <w:rFonts w:ascii="宋体" w:hAnsi="宋体"/>
          <w:sz w:val="24"/>
        </w:rPr>
      </w:pPr>
      <w:r>
        <w:rPr>
          <w:rFonts w:hint="eastAsia" w:ascii="宋体" w:hAnsi="宋体"/>
          <w:sz w:val="24"/>
        </w:rPr>
        <w:t>与本投标有关的一切往来通讯请寄：</w:t>
      </w:r>
    </w:p>
    <w:p>
      <w:pPr>
        <w:pStyle w:val="24"/>
        <w:widowControl/>
        <w:spacing w:line="360" w:lineRule="auto"/>
        <w:ind w:left="0" w:leftChars="0" w:firstLine="480" w:firstLineChars="200"/>
        <w:rPr>
          <w:rFonts w:ascii="宋体" w:hAnsi="宋体"/>
          <w:sz w:val="24"/>
        </w:rPr>
      </w:pPr>
      <w:r>
        <w:rPr>
          <w:rFonts w:hint="eastAsia" w:ascii="宋体" w:hAnsi="宋体"/>
          <w:sz w:val="24"/>
        </w:rPr>
        <w:t>地址：____________________________________________________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邮编：____________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电话：____________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传真：____________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电子邮箱：____________</w:t>
      </w:r>
    </w:p>
    <w:p>
      <w:pPr>
        <w:pStyle w:val="24"/>
        <w:widowControl/>
        <w:spacing w:line="360" w:lineRule="auto"/>
        <w:ind w:left="0" w:leftChars="0" w:firstLine="480" w:firstLineChars="200"/>
        <w:rPr>
          <w:rFonts w:ascii="宋体" w:hAnsi="宋体"/>
          <w:sz w:val="24"/>
        </w:rPr>
      </w:pPr>
      <w:r>
        <w:rPr>
          <w:rFonts w:hint="eastAsia" w:ascii="宋体" w:hAnsi="宋体"/>
          <w:sz w:val="24"/>
        </w:rPr>
        <w:t>投标人法定代表人或授权代理人联系电话：</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4"/>
        <w:widowControl/>
        <w:spacing w:line="360" w:lineRule="auto"/>
        <w:ind w:left="0" w:leftChars="0"/>
        <w:rPr>
          <w:rFonts w:ascii="宋体" w:hAnsi="宋体"/>
          <w:b/>
          <w:sz w:val="24"/>
        </w:rPr>
      </w:pPr>
    </w:p>
    <w:p>
      <w:pPr>
        <w:pStyle w:val="24"/>
        <w:widowControl/>
        <w:spacing w:line="360" w:lineRule="auto"/>
        <w:ind w:left="0" w:leftChars="0"/>
        <w:rPr>
          <w:rFonts w:ascii="宋体" w:hAnsi="宋体"/>
          <w:b/>
          <w:sz w:val="24"/>
        </w:rPr>
      </w:pPr>
      <w:r>
        <w:rPr>
          <w:rFonts w:hint="eastAsia" w:ascii="宋体" w:hAnsi="宋体"/>
          <w:b/>
          <w:sz w:val="24"/>
        </w:rPr>
        <w:t>说明：除可填报项目外，对本投标函的任何修改将被视为非实质性响应投标，从而导致该投标被拒绝。</w:t>
      </w:r>
    </w:p>
    <w:p>
      <w:pPr>
        <w:pStyle w:val="18"/>
        <w:spacing w:after="0" w:line="360" w:lineRule="auto"/>
        <w:ind w:left="420" w:hanging="420" w:hangingChars="199"/>
        <w:outlineLvl w:val="2"/>
        <w:rPr>
          <w:rFonts w:ascii="宋体" w:hAnsi="宋体"/>
          <w:b/>
          <w:sz w:val="24"/>
        </w:rPr>
      </w:pPr>
      <w:r>
        <w:rPr>
          <w:b/>
          <w:szCs w:val="21"/>
        </w:rPr>
        <w:br w:type="page"/>
      </w:r>
      <w:bookmarkStart w:id="73" w:name="_Toc33194726"/>
      <w:bookmarkStart w:id="74" w:name="_Toc33212784"/>
      <w:bookmarkStart w:id="75" w:name="_Toc28911"/>
      <w:r>
        <w:rPr>
          <w:rFonts w:hint="eastAsia" w:ascii="宋体" w:hAnsi="宋体"/>
          <w:b/>
          <w:sz w:val="24"/>
        </w:rPr>
        <w:t>（五）</w:t>
      </w:r>
      <w:r>
        <w:rPr>
          <w:rFonts w:hint="eastAsia" w:ascii="宋体" w:hAnsi="宋体"/>
          <w:b/>
          <w:kern w:val="0"/>
          <w:sz w:val="24"/>
        </w:rPr>
        <w:t>★</w:t>
      </w:r>
      <w:r>
        <w:rPr>
          <w:rFonts w:hint="eastAsia" w:ascii="宋体" w:hAnsi="宋体"/>
          <w:b/>
          <w:sz w:val="24"/>
        </w:rPr>
        <w:t>法定代表人授权委托书</w:t>
      </w:r>
      <w:bookmarkEnd w:id="73"/>
      <w:bookmarkEnd w:id="74"/>
      <w:bookmarkEnd w:id="75"/>
    </w:p>
    <w:p>
      <w:pPr>
        <w:pStyle w:val="18"/>
        <w:spacing w:after="0" w:line="360" w:lineRule="auto"/>
        <w:ind w:firstLine="482" w:firstLineChars="200"/>
        <w:rPr>
          <w:rFonts w:ascii="宋体" w:hAnsi="宋体"/>
          <w:b/>
          <w:sz w:val="24"/>
        </w:rPr>
      </w:pPr>
    </w:p>
    <w:p>
      <w:pPr>
        <w:pStyle w:val="23"/>
        <w:tabs>
          <w:tab w:val="left" w:pos="5580"/>
        </w:tabs>
        <w:spacing w:line="360" w:lineRule="auto"/>
        <w:ind w:firstLine="480"/>
        <w:rPr>
          <w:rFonts w:hAnsi="宋体"/>
          <w:sz w:val="24"/>
          <w:szCs w:val="28"/>
        </w:rPr>
      </w:pPr>
      <w:r>
        <w:rPr>
          <w:rFonts w:hint="eastAsia" w:hAnsi="宋体"/>
          <w:sz w:val="24"/>
          <w:szCs w:val="24"/>
        </w:rPr>
        <w:t xml:space="preserve">本授权书声明：注册于 </w:t>
      </w:r>
      <w:r>
        <w:rPr>
          <w:rFonts w:hint="eastAsia" w:hAnsi="宋体"/>
          <w:sz w:val="24"/>
          <w:szCs w:val="24"/>
          <w:u w:val="single"/>
        </w:rPr>
        <w:t xml:space="preserve">              </w:t>
      </w:r>
      <w:r>
        <w:rPr>
          <w:rFonts w:hint="eastAsia" w:hAnsi="宋体"/>
          <w:sz w:val="24"/>
          <w:szCs w:val="24"/>
        </w:rPr>
        <w:t>（投标人住址）的</w:t>
      </w:r>
      <w:r>
        <w:rPr>
          <w:rFonts w:hint="eastAsia" w:hAnsi="宋体"/>
          <w:sz w:val="24"/>
          <w:szCs w:val="24"/>
          <w:u w:val="single"/>
        </w:rPr>
        <w:t xml:space="preserve">           </w:t>
      </w:r>
      <w:r>
        <w:rPr>
          <w:rFonts w:hint="eastAsia" w:hAnsi="宋体"/>
          <w:sz w:val="24"/>
          <w:szCs w:val="24"/>
        </w:rPr>
        <w:t>（投标人名称）的在下面盖章的</w:t>
      </w:r>
      <w:r>
        <w:rPr>
          <w:rFonts w:hint="eastAsia" w:hAnsi="宋体"/>
          <w:sz w:val="24"/>
          <w:szCs w:val="24"/>
          <w:u w:val="single"/>
        </w:rPr>
        <w:t xml:space="preserve">             </w:t>
      </w:r>
      <w:r>
        <w:rPr>
          <w:rFonts w:hint="eastAsia" w:hAnsi="宋体"/>
          <w:sz w:val="24"/>
          <w:szCs w:val="24"/>
        </w:rPr>
        <w:t>（法定代表人姓名、职务）代表本公司授权</w:t>
      </w:r>
      <w:r>
        <w:rPr>
          <w:rFonts w:hint="eastAsia" w:hAnsi="宋体"/>
          <w:sz w:val="24"/>
          <w:szCs w:val="24"/>
          <w:u w:val="single"/>
        </w:rPr>
        <w:t xml:space="preserve">             </w:t>
      </w:r>
      <w:r>
        <w:rPr>
          <w:rFonts w:hint="eastAsia" w:hAnsi="宋体"/>
          <w:sz w:val="24"/>
          <w:szCs w:val="24"/>
        </w:rPr>
        <w:t>（授权代理人的姓名、职务）为本公司的合法代理人，就贵方组织</w:t>
      </w:r>
      <w:r>
        <w:rPr>
          <w:rFonts w:hint="eastAsia" w:hAnsi="宋体"/>
          <w:sz w:val="24"/>
          <w:szCs w:val="24"/>
          <w:u w:val="single"/>
        </w:rPr>
        <w:t xml:space="preserve">             </w:t>
      </w:r>
      <w:r>
        <w:rPr>
          <w:rFonts w:hint="eastAsia" w:hAnsi="宋体"/>
          <w:sz w:val="24"/>
          <w:szCs w:val="24"/>
        </w:rPr>
        <w:t>（项目名称）项目（项目编号、包号：</w:t>
      </w:r>
      <w:r>
        <w:rPr>
          <w:rFonts w:hint="eastAsia" w:hAnsi="宋体"/>
          <w:sz w:val="24"/>
          <w:szCs w:val="24"/>
          <w:u w:val="single"/>
        </w:rPr>
        <w:t xml:space="preserve">           </w:t>
      </w:r>
      <w:r>
        <w:rPr>
          <w:rFonts w:hint="eastAsia" w:hAnsi="宋体"/>
          <w:sz w:val="24"/>
          <w:szCs w:val="24"/>
        </w:rPr>
        <w:t>），以本公司名义处理一切与之有关的事宜。</w:t>
      </w:r>
      <w:r>
        <w:rPr>
          <w:rFonts w:hint="eastAsia" w:hAnsi="宋体"/>
          <w:sz w:val="24"/>
          <w:szCs w:val="28"/>
        </w:rPr>
        <w:t>投标人授权代理人在投标过程中所签署的一切文件和处理与之有关的一切事务，本公司均予以认可并对此承担责任。</w:t>
      </w:r>
    </w:p>
    <w:p>
      <w:pPr>
        <w:pStyle w:val="23"/>
        <w:tabs>
          <w:tab w:val="left" w:pos="5580"/>
        </w:tabs>
        <w:spacing w:line="360" w:lineRule="auto"/>
        <w:ind w:firstLine="480"/>
        <w:rPr>
          <w:rFonts w:hAnsi="宋体"/>
          <w:sz w:val="24"/>
          <w:szCs w:val="24"/>
        </w:rPr>
      </w:pPr>
      <w:r>
        <w:rPr>
          <w:rFonts w:hint="eastAsia" w:hAnsi="宋体"/>
          <w:sz w:val="24"/>
          <w:szCs w:val="28"/>
        </w:rPr>
        <w:t>投标人授权代理人无转委托权。特此授权。</w:t>
      </w:r>
      <w:r>
        <w:rPr>
          <w:rFonts w:hint="eastAsia" w:hAnsi="宋体"/>
          <w:sz w:val="24"/>
          <w:szCs w:val="24"/>
        </w:rPr>
        <w:cr/>
      </w:r>
      <w:r>
        <w:rPr>
          <w:rFonts w:hint="eastAsia" w:hAnsi="宋体"/>
          <w:sz w:val="24"/>
          <w:szCs w:val="24"/>
        </w:rPr>
        <w:t>　　</w:t>
      </w:r>
    </w:p>
    <w:p>
      <w:pPr>
        <w:pStyle w:val="23"/>
        <w:tabs>
          <w:tab w:val="left" w:pos="5580"/>
        </w:tabs>
        <w:spacing w:line="360" w:lineRule="auto"/>
        <w:ind w:firstLine="480"/>
        <w:rPr>
          <w:rFonts w:hAnsi="宋体"/>
          <w:sz w:val="24"/>
          <w:szCs w:val="24"/>
        </w:rPr>
      </w:pPr>
      <w:r>
        <w:rPr>
          <w:rFonts w:hint="eastAsia" w:hAnsi="宋体"/>
          <w:sz w:val="24"/>
          <w:szCs w:val="24"/>
        </w:rPr>
        <w:t>本授权书于__________年_____月______日生效，特此声明。</w:t>
      </w:r>
      <w:r>
        <w:rPr>
          <w:rFonts w:hint="eastAsia" w:hAnsi="宋体"/>
          <w:sz w:val="24"/>
          <w:szCs w:val="24"/>
        </w:rPr>
        <w:cr/>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jc w:val="center"/>
        <w:rPr>
          <w:rFonts w:hAnsi="宋体"/>
          <w:b/>
          <w:sz w:val="24"/>
          <w:szCs w:val="24"/>
        </w:rPr>
      </w:pPr>
      <w:r>
        <w:rPr>
          <w:rFonts w:hint="eastAsia" w:hAnsi="宋体"/>
          <w:b/>
          <w:sz w:val="24"/>
          <w:szCs w:val="24"/>
        </w:rPr>
        <w:t>（附授权代理人身份证正反两面扫描件）</w:t>
      </w: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pStyle w:val="23"/>
        <w:tabs>
          <w:tab w:val="left" w:pos="5580"/>
        </w:tabs>
        <w:spacing w:line="360" w:lineRule="auto"/>
        <w:rPr>
          <w:rFonts w:hAnsi="宋体"/>
          <w:sz w:val="24"/>
          <w:szCs w:val="24"/>
        </w:rPr>
      </w:pPr>
    </w:p>
    <w:p>
      <w:pPr>
        <w:spacing w:line="360" w:lineRule="auto"/>
        <w:ind w:firstLine="480" w:firstLineChars="200"/>
        <w:rPr>
          <w:rFonts w:ascii="宋体" w:hAnsi="宋体"/>
          <w:sz w:val="24"/>
        </w:rPr>
      </w:pPr>
      <w:r>
        <w:rPr>
          <w:rFonts w:hint="eastAsia" w:ascii="宋体" w:hAnsi="宋体"/>
          <w:sz w:val="24"/>
        </w:rPr>
        <w:t>投标人法定代表人盖章：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Style w:val="23"/>
        <w:snapToGrid w:val="0"/>
        <w:spacing w:line="360" w:lineRule="auto"/>
        <w:jc w:val="left"/>
        <w:rPr>
          <w:rFonts w:hAnsi="宋体"/>
          <w:b/>
          <w:sz w:val="24"/>
          <w:szCs w:val="24"/>
        </w:rPr>
      </w:pPr>
    </w:p>
    <w:p>
      <w:pPr>
        <w:pStyle w:val="24"/>
        <w:widowControl/>
        <w:spacing w:line="360" w:lineRule="auto"/>
        <w:ind w:left="0" w:leftChars="0"/>
        <w:rPr>
          <w:rFonts w:ascii="宋体" w:hAnsi="宋体"/>
          <w:b/>
          <w:sz w:val="24"/>
        </w:rPr>
      </w:pPr>
      <w:r>
        <w:rPr>
          <w:rFonts w:ascii="宋体" w:hAnsi="宋体"/>
          <w:b/>
          <w:sz w:val="24"/>
        </w:rPr>
        <w:br w:type="page"/>
      </w:r>
      <w:r>
        <w:rPr>
          <w:rFonts w:hint="eastAsia" w:ascii="宋体" w:hAnsi="宋体"/>
          <w:b/>
          <w:sz w:val="24"/>
        </w:rPr>
        <w:t>附：法定代表人身份证明书</w:t>
      </w:r>
    </w:p>
    <w:p>
      <w:pPr>
        <w:spacing w:line="360" w:lineRule="auto"/>
        <w:rPr>
          <w:rFonts w:ascii="宋体" w:hAnsi="宋体"/>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单位名称：</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单位</w:t>
      </w:r>
      <w:r>
        <w:rPr>
          <w:rFonts w:hint="eastAsia" w:ascii="宋体" w:hAnsi="宋体"/>
          <w:sz w:val="24"/>
        </w:rPr>
        <w:t>类型</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住</w:t>
      </w:r>
      <w:r>
        <w:rPr>
          <w:rFonts w:ascii="宋体" w:hAnsi="宋体"/>
          <w:sz w:val="24"/>
        </w:rPr>
        <w:t xml:space="preserve">    </w:t>
      </w:r>
      <w:r>
        <w:rPr>
          <w:rFonts w:hint="eastAsia" w:ascii="宋体" w:hAnsi="宋体"/>
          <w:sz w:val="24"/>
        </w:rPr>
        <w:t>所</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成立</w:t>
      </w:r>
      <w:r>
        <w:rPr>
          <w:rFonts w:hint="eastAsia" w:ascii="宋体" w:hAnsi="宋体"/>
          <w:sz w:val="24"/>
        </w:rPr>
        <w:t>日期</w:t>
      </w:r>
      <w:r>
        <w:rPr>
          <w:rFonts w:ascii="宋体" w:hAnsi="宋体"/>
          <w:sz w:val="24"/>
        </w:rPr>
        <w:t>：</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ind w:firstLine="465"/>
        <w:rPr>
          <w:rFonts w:ascii="宋体" w:hAnsi="宋体"/>
          <w:sz w:val="24"/>
          <w:u w:val="single"/>
        </w:rPr>
      </w:pPr>
      <w:r>
        <w:rPr>
          <w:rFonts w:hint="eastAsia" w:ascii="宋体" w:hAnsi="宋体"/>
          <w:sz w:val="24"/>
        </w:rPr>
        <w:t>营业期限</w:t>
      </w:r>
      <w:r>
        <w:rPr>
          <w:rFonts w:ascii="宋体" w:hAnsi="宋体"/>
          <w:sz w:val="24"/>
        </w:rPr>
        <w:t>：</w:t>
      </w:r>
      <w:r>
        <w:rPr>
          <w:rFonts w:hint="eastAsia" w:ascii="宋体" w:hAnsi="宋体"/>
          <w:sz w:val="24"/>
          <w:u w:val="single"/>
        </w:rPr>
        <w:t xml:space="preserve">                                  </w:t>
      </w:r>
    </w:p>
    <w:p>
      <w:pPr>
        <w:spacing w:line="360" w:lineRule="auto"/>
        <w:ind w:firstLine="465"/>
        <w:rPr>
          <w:rFonts w:ascii="宋体" w:hAnsi="宋体"/>
          <w:sz w:val="24"/>
        </w:rPr>
      </w:pPr>
    </w:p>
    <w:p>
      <w:pPr>
        <w:spacing w:line="360" w:lineRule="auto"/>
        <w:ind w:firstLine="480" w:firstLineChars="200"/>
        <w:rPr>
          <w:rFonts w:ascii="宋体" w:hAnsi="宋体"/>
          <w:sz w:val="24"/>
          <w:u w:val="single"/>
        </w:rPr>
      </w:pPr>
      <w:r>
        <w:rPr>
          <w:rFonts w:ascii="宋体" w:hAnsi="宋体"/>
          <w:sz w:val="24"/>
        </w:rPr>
        <w:t>姓    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360" w:lineRule="auto"/>
        <w:ind w:firstLine="480"/>
        <w:rPr>
          <w:rFonts w:ascii="宋体" w:hAnsi="宋体"/>
          <w:sz w:val="24"/>
        </w:rPr>
      </w:pPr>
      <w:r>
        <w:rPr>
          <w:rFonts w:ascii="宋体" w:hAnsi="宋体"/>
          <w:sz w:val="24"/>
        </w:rPr>
        <w:t>系</w:t>
      </w:r>
      <w:r>
        <w:rPr>
          <w:rFonts w:hint="eastAsia" w:ascii="宋体" w:hAnsi="宋体"/>
          <w:sz w:val="24"/>
          <w:u w:val="single"/>
        </w:rPr>
        <w:t xml:space="preserve">    （投标人名称）   </w:t>
      </w:r>
      <w:r>
        <w:rPr>
          <w:rFonts w:ascii="宋体" w:hAnsi="宋体"/>
          <w:sz w:val="24"/>
        </w:rPr>
        <w:t>的法定代表人。</w:t>
      </w:r>
    </w:p>
    <w:p>
      <w:pPr>
        <w:spacing w:line="360" w:lineRule="auto"/>
        <w:ind w:firstLine="480"/>
        <w:rPr>
          <w:rFonts w:ascii="宋体" w:hAnsi="宋体"/>
          <w:sz w:val="24"/>
        </w:rPr>
      </w:pPr>
    </w:p>
    <w:p>
      <w:pPr>
        <w:spacing w:line="360" w:lineRule="auto"/>
        <w:ind w:firstLine="480"/>
        <w:rPr>
          <w:rFonts w:ascii="宋体" w:hAnsi="宋体"/>
          <w:sz w:val="24"/>
        </w:rPr>
      </w:pPr>
      <w:r>
        <w:rPr>
          <w:rFonts w:ascii="宋体" w:hAnsi="宋体"/>
          <w:sz w:val="24"/>
        </w:rPr>
        <w:t>特此证明。</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23"/>
        <w:tabs>
          <w:tab w:val="left" w:pos="5580"/>
        </w:tabs>
        <w:spacing w:line="360" w:lineRule="auto"/>
        <w:jc w:val="center"/>
        <w:rPr>
          <w:rFonts w:hAnsi="宋体"/>
          <w:sz w:val="24"/>
          <w:szCs w:val="24"/>
        </w:rPr>
      </w:pPr>
      <w:r>
        <w:rPr>
          <w:rFonts w:hint="eastAsia" w:hAnsi="宋体"/>
          <w:sz w:val="24"/>
          <w:szCs w:val="24"/>
        </w:rPr>
        <w:t>（附法定代表人身份证正反两面扫描件）</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注：1、本项目只允许有唯一的投标人授权代理人，且必须为投标人在职员工。</w:t>
      </w:r>
    </w:p>
    <w:p>
      <w:pPr>
        <w:spacing w:line="360" w:lineRule="auto"/>
        <w:ind w:firstLine="480" w:firstLineChars="200"/>
        <w:rPr>
          <w:rFonts w:ascii="宋体" w:hAnsi="宋体"/>
          <w:sz w:val="24"/>
        </w:rPr>
      </w:pPr>
      <w:r>
        <w:rPr>
          <w:rFonts w:hint="eastAsia" w:ascii="宋体" w:hAnsi="宋体"/>
          <w:sz w:val="24"/>
        </w:rPr>
        <w:t>2、投标人法定代表人参加投标的，可以不提供法定代表人授权委托书，但必须提供上述法定代表人身份证明书，否则将按无效投标处理。</w:t>
      </w:r>
    </w:p>
    <w:p>
      <w:pPr>
        <w:pStyle w:val="5"/>
        <w:numPr>
          <w:ilvl w:val="0"/>
          <w:numId w:val="0"/>
        </w:numPr>
        <w:rPr>
          <w:rFonts w:ascii="宋体" w:hAnsi="宋体"/>
          <w:b w:val="0"/>
          <w:sz w:val="24"/>
        </w:rPr>
      </w:pPr>
      <w:bookmarkStart w:id="76" w:name="_Toc33212786"/>
      <w:bookmarkStart w:id="77" w:name="_Toc3692"/>
      <w:bookmarkStart w:id="78" w:name="_Toc33194728"/>
      <w:r>
        <w:rPr>
          <w:rFonts w:hint="eastAsia" w:ascii="宋体" w:hAnsi="宋体"/>
          <w:b w:val="0"/>
          <w:sz w:val="24"/>
        </w:rPr>
        <w:t>（六）</w:t>
      </w:r>
      <w:r>
        <w:rPr>
          <w:rFonts w:hint="eastAsia" w:ascii="宋体" w:hAnsi="宋体"/>
          <w:sz w:val="24"/>
        </w:rPr>
        <w:t>★</w:t>
      </w:r>
      <w:r>
        <w:rPr>
          <w:rFonts w:hint="eastAsia" w:ascii="宋体" w:hAnsi="宋体"/>
          <w:b w:val="0"/>
          <w:sz w:val="24"/>
        </w:rPr>
        <w:t>开标一览表</w:t>
      </w:r>
      <w:bookmarkEnd w:id="76"/>
      <w:bookmarkEnd w:id="77"/>
      <w:bookmarkEnd w:id="78"/>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pPr>
              <w:tabs>
                <w:tab w:val="left" w:pos="1337"/>
              </w:tabs>
              <w:spacing w:line="360" w:lineRule="auto"/>
              <w:jc w:val="center"/>
              <w:rPr>
                <w:rFonts w:eastAsia="黑体"/>
                <w:sz w:val="24"/>
              </w:rPr>
            </w:pPr>
            <w:r>
              <w:rPr>
                <w:rFonts w:hint="eastAsia" w:ascii="黑体"/>
                <w:bCs/>
                <w:sz w:val="24"/>
              </w:rPr>
              <w:t>项目名称</w:t>
            </w:r>
          </w:p>
        </w:tc>
        <w:tc>
          <w:tcPr>
            <w:tcW w:w="6770" w:type="dxa"/>
            <w:tcBorders>
              <w:bottom w:val="single" w:color="auto" w:sz="4" w:space="0"/>
            </w:tcBorders>
            <w:vAlign w:val="center"/>
          </w:tcPr>
          <w:p>
            <w:pPr>
              <w:tabs>
                <w:tab w:val="left" w:pos="1337"/>
              </w:tabs>
              <w:spacing w:line="360" w:lineRule="auto"/>
              <w:jc w:val="center"/>
              <w:rPr>
                <w:rFonts w:ascii="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tabs>
                <w:tab w:val="left" w:pos="1337"/>
              </w:tabs>
              <w:spacing w:line="360" w:lineRule="auto"/>
              <w:jc w:val="center"/>
              <w:rPr>
                <w:sz w:val="24"/>
              </w:rPr>
            </w:pPr>
            <w:r>
              <w:rPr>
                <w:rFonts w:hint="eastAsia" w:ascii="黑体"/>
                <w:bCs/>
                <w:sz w:val="24"/>
              </w:rPr>
              <w:t>投 标 报 价</w:t>
            </w:r>
          </w:p>
        </w:tc>
        <w:tc>
          <w:tcPr>
            <w:tcW w:w="6770" w:type="dxa"/>
          </w:tcPr>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小写：</w:t>
            </w:r>
            <w:r>
              <w:rPr>
                <w:rFonts w:hint="eastAsia" w:ascii="黑体"/>
                <w:bCs/>
                <w:sz w:val="24"/>
                <w:u w:val="single"/>
              </w:rPr>
              <w:t xml:space="preserve">                               </w:t>
            </w:r>
          </w:p>
          <w:p>
            <w:pPr>
              <w:tabs>
                <w:tab w:val="left" w:pos="1337"/>
              </w:tabs>
              <w:spacing w:line="360" w:lineRule="auto"/>
              <w:rPr>
                <w:rFonts w:ascii="黑体"/>
                <w:bCs/>
                <w:sz w:val="24"/>
              </w:rPr>
            </w:pPr>
          </w:p>
          <w:p>
            <w:pPr>
              <w:tabs>
                <w:tab w:val="left" w:pos="1337"/>
              </w:tabs>
              <w:spacing w:line="360" w:lineRule="auto"/>
              <w:rPr>
                <w:rFonts w:ascii="黑体"/>
                <w:bCs/>
                <w:sz w:val="24"/>
              </w:rPr>
            </w:pPr>
            <w:r>
              <w:rPr>
                <w:rFonts w:hint="eastAsia" w:ascii="黑体"/>
                <w:bCs/>
                <w:sz w:val="24"/>
              </w:rPr>
              <w:t>大写：</w:t>
            </w:r>
            <w:r>
              <w:rPr>
                <w:rFonts w:hint="eastAsia" w:ascii="黑体"/>
                <w:bCs/>
                <w:sz w:val="24"/>
                <w:u w:val="single"/>
              </w:rPr>
              <w:t xml:space="preserve">                               </w:t>
            </w:r>
          </w:p>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rFonts w:ascii="黑体"/>
                <w:bCs/>
                <w:sz w:val="24"/>
              </w:rPr>
            </w:pPr>
            <w:r>
              <w:rPr>
                <w:rFonts w:hint="eastAsia" w:ascii="黑体"/>
                <w:bCs/>
                <w:sz w:val="24"/>
              </w:rPr>
              <w:t>报价单位</w:t>
            </w:r>
          </w:p>
        </w:tc>
        <w:tc>
          <w:tcPr>
            <w:tcW w:w="6770" w:type="dxa"/>
          </w:tcPr>
          <w:p>
            <w:pPr>
              <w:tabs>
                <w:tab w:val="left" w:pos="1337"/>
              </w:tabs>
              <w:spacing w:line="360" w:lineRule="auto"/>
              <w:rPr>
                <w:sz w:val="24"/>
              </w:rPr>
            </w:pP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tabs>
                <w:tab w:val="left" w:pos="1337"/>
              </w:tabs>
              <w:spacing w:line="360" w:lineRule="auto"/>
              <w:jc w:val="center"/>
              <w:rPr>
                <w:sz w:val="24"/>
              </w:rPr>
            </w:pPr>
            <w:r>
              <w:rPr>
                <w:rFonts w:hint="eastAsia" w:ascii="黑体"/>
                <w:bCs/>
                <w:sz w:val="24"/>
              </w:rPr>
              <w:t>交货日期</w:t>
            </w:r>
          </w:p>
        </w:tc>
        <w:tc>
          <w:tcPr>
            <w:tcW w:w="6770" w:type="dxa"/>
          </w:tcPr>
          <w:p>
            <w:pPr>
              <w:tabs>
                <w:tab w:val="left" w:pos="1337"/>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tabs>
                <w:tab w:val="left" w:pos="1337"/>
              </w:tabs>
              <w:spacing w:line="360" w:lineRule="auto"/>
              <w:rPr>
                <w:sz w:val="24"/>
              </w:rPr>
            </w:pPr>
            <w:r>
              <w:rPr>
                <w:rFonts w:hint="eastAsia" w:ascii="黑体"/>
                <w:bCs/>
                <w:sz w:val="24"/>
              </w:rPr>
              <w:t>备注：</w:t>
            </w:r>
          </w:p>
        </w:tc>
      </w:tr>
    </w:tbl>
    <w:p>
      <w:pPr>
        <w:spacing w:line="360" w:lineRule="auto"/>
        <w:rPr>
          <w:rFonts w:ascii="宋体" w:hAnsi="宋体"/>
          <w:sz w:val="24"/>
        </w:rPr>
      </w:pPr>
      <w:r>
        <w:rPr>
          <w:rFonts w:hint="eastAsia" w:ascii="宋体" w:hAnsi="宋体"/>
          <w:sz w:val="24"/>
        </w:rPr>
        <w:t>说明：1、投标人严格按照规定的格式填写。投标报价为优惠后报价，并作为评审及定标的依据。</w:t>
      </w:r>
    </w:p>
    <w:p>
      <w:pPr>
        <w:spacing w:line="360" w:lineRule="auto"/>
        <w:rPr>
          <w:rFonts w:ascii="宋体" w:hAnsi="宋体"/>
          <w:sz w:val="24"/>
        </w:rPr>
      </w:pPr>
      <w:r>
        <w:rPr>
          <w:rFonts w:hint="eastAsia" w:ascii="宋体" w:hAnsi="宋体"/>
          <w:sz w:val="24"/>
        </w:rPr>
        <w:t xml:space="preserve">      2、任何有选择或有条件的投标报价或表中某一包填写多个报价，均将导致投标被拒绝。</w:t>
      </w:r>
    </w:p>
    <w:p>
      <w:pPr>
        <w:spacing w:line="360" w:lineRule="auto"/>
        <w:ind w:firstLine="480" w:firstLineChars="200"/>
        <w:rPr>
          <w:rFonts w:ascii="宋体" w:hAnsi="宋体"/>
          <w:sz w:val="24"/>
        </w:rPr>
      </w:pPr>
    </w:p>
    <w:p>
      <w:pPr>
        <w:spacing w:line="360" w:lineRule="auto"/>
        <w:ind w:firstLine="480" w:firstLineChars="200"/>
        <w:rPr>
          <w:sz w:val="24"/>
          <w:u w:val="single"/>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sz w:val="24"/>
        </w:rPr>
      </w:pPr>
    </w:p>
    <w:p>
      <w:pPr>
        <w:pStyle w:val="5"/>
        <w:numPr>
          <w:ilvl w:val="0"/>
          <w:numId w:val="0"/>
        </w:numPr>
        <w:rPr>
          <w:rFonts w:ascii="宋体" w:hAnsi="宋体"/>
          <w:sz w:val="24"/>
        </w:rPr>
      </w:pPr>
      <w:r>
        <w:rPr>
          <w:rFonts w:ascii="宋体" w:hAnsi="宋体"/>
          <w:b w:val="0"/>
          <w:sz w:val="24"/>
        </w:rPr>
        <w:br w:type="page"/>
      </w:r>
      <w:bookmarkStart w:id="79" w:name="_Toc32015"/>
      <w:bookmarkStart w:id="80" w:name="_Toc33194729"/>
      <w:bookmarkStart w:id="81" w:name="_Toc33212787"/>
      <w:r>
        <w:rPr>
          <w:rFonts w:hint="eastAsia" w:ascii="宋体" w:hAnsi="宋体"/>
          <w:sz w:val="24"/>
        </w:rPr>
        <w:t>（七）★报价明细表</w:t>
      </w:r>
      <w:bookmarkEnd w:id="79"/>
      <w:bookmarkEnd w:id="80"/>
      <w:bookmarkEnd w:id="81"/>
    </w:p>
    <w:p>
      <w:pPr>
        <w:tabs>
          <w:tab w:val="left" w:pos="5580"/>
        </w:tabs>
        <w:spacing w:line="360" w:lineRule="auto"/>
        <w:jc w:val="left"/>
        <w:rPr>
          <w:rFonts w:ascii="宋体" w:hAnsi="宋体"/>
          <w:b/>
          <w:kern w:val="0"/>
          <w:sz w:val="24"/>
        </w:rPr>
      </w:pPr>
      <w:r>
        <w:rPr>
          <w:rFonts w:hint="eastAsia"/>
          <w:sz w:val="24"/>
        </w:rPr>
        <w:t>项目编号、包号：</w:t>
      </w:r>
      <w:r>
        <w:rPr>
          <w:rFonts w:hint="eastAsia"/>
          <w:sz w:val="24"/>
          <w:u w:val="single"/>
        </w:rPr>
        <w:t xml:space="preserve">                    </w:t>
      </w:r>
      <w:r>
        <w:rPr>
          <w:rFonts w:hint="eastAsia"/>
          <w:sz w:val="24"/>
        </w:rPr>
        <w:t xml:space="preserve">             </w:t>
      </w:r>
      <w:r>
        <w:rPr>
          <w:rFonts w:hint="eastAsia" w:ascii="宋体" w:hAnsi="宋体"/>
          <w:sz w:val="24"/>
        </w:rPr>
        <w:t>报价单位；</w:t>
      </w:r>
      <w:r>
        <w:rPr>
          <w:rFonts w:hint="eastAsia" w:ascii="宋体" w:hAnsi="宋体"/>
          <w:sz w:val="24"/>
          <w:u w:val="single"/>
        </w:rPr>
        <w:t xml:space="preserve">         </w:t>
      </w:r>
    </w:p>
    <w:tbl>
      <w:tblPr>
        <w:tblStyle w:val="37"/>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2441"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3418"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2</w:t>
            </w:r>
          </w:p>
        </w:tc>
        <w:tc>
          <w:tcPr>
            <w:tcW w:w="3056" w:type="dxa"/>
            <w:gridSpan w:val="3"/>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2441" w:type="dxa"/>
            <w:vMerge w:val="restart"/>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3418" w:type="dxa"/>
            <w:vMerge w:val="restart"/>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056" w:type="dxa"/>
            <w:gridSpan w:val="3"/>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tcBorders>
              <w:left w:val="single" w:color="auto" w:sz="12" w:space="0"/>
            </w:tcBorders>
            <w:vAlign w:val="center"/>
          </w:tcPr>
          <w:p>
            <w:pPr>
              <w:tabs>
                <w:tab w:val="left" w:pos="1337"/>
              </w:tabs>
              <w:spacing w:line="360" w:lineRule="auto"/>
              <w:ind w:left="-42" w:right="-42"/>
              <w:jc w:val="center"/>
              <w:rPr>
                <w:rFonts w:ascii="宋体" w:hAnsi="宋体"/>
                <w:sz w:val="24"/>
              </w:rPr>
            </w:pPr>
          </w:p>
        </w:tc>
        <w:tc>
          <w:tcPr>
            <w:tcW w:w="2441" w:type="dxa"/>
            <w:vMerge w:val="continue"/>
            <w:vAlign w:val="center"/>
          </w:tcPr>
          <w:p>
            <w:pPr>
              <w:tabs>
                <w:tab w:val="left" w:pos="1337"/>
              </w:tabs>
              <w:spacing w:line="360" w:lineRule="auto"/>
              <w:ind w:left="-42" w:right="-42"/>
              <w:jc w:val="center"/>
              <w:rPr>
                <w:rFonts w:ascii="宋体" w:hAnsi="宋体"/>
                <w:sz w:val="24"/>
              </w:rPr>
            </w:pPr>
          </w:p>
        </w:tc>
        <w:tc>
          <w:tcPr>
            <w:tcW w:w="3418" w:type="dxa"/>
            <w:vMerge w:val="continue"/>
            <w:vAlign w:val="center"/>
          </w:tcPr>
          <w:p>
            <w:pPr>
              <w:tabs>
                <w:tab w:val="left" w:pos="1337"/>
              </w:tabs>
              <w:spacing w:line="360" w:lineRule="auto"/>
              <w:ind w:left="-42" w:right="-42"/>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r>
              <w:rPr>
                <w:rFonts w:hint="eastAsia" w:ascii="宋体" w:hAnsi="宋体"/>
                <w:sz w:val="24"/>
              </w:rPr>
              <w:t>单价</w:t>
            </w:r>
          </w:p>
        </w:tc>
        <w:tc>
          <w:tcPr>
            <w:tcW w:w="955" w:type="dxa"/>
            <w:vAlign w:val="center"/>
          </w:tcPr>
          <w:p>
            <w:pPr>
              <w:widowControl/>
              <w:spacing w:line="360" w:lineRule="auto"/>
              <w:jc w:val="center"/>
              <w:rPr>
                <w:rFonts w:ascii="宋体" w:hAnsi="宋体"/>
                <w:sz w:val="24"/>
              </w:rPr>
            </w:pPr>
            <w:r>
              <w:rPr>
                <w:rFonts w:hint="eastAsia" w:ascii="宋体" w:hAnsi="宋体"/>
                <w:sz w:val="24"/>
              </w:rPr>
              <w:t>数量</w:t>
            </w:r>
          </w:p>
        </w:tc>
        <w:tc>
          <w:tcPr>
            <w:tcW w:w="1146" w:type="dxa"/>
            <w:tcBorders>
              <w:right w:val="single" w:color="auto" w:sz="12" w:space="0"/>
            </w:tcBorders>
            <w:vAlign w:val="center"/>
          </w:tcPr>
          <w:p>
            <w:pPr>
              <w:widowControl/>
              <w:spacing w:line="360" w:lineRule="auto"/>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2441" w:type="dxa"/>
            <w:vAlign w:val="center"/>
          </w:tcPr>
          <w:p>
            <w:pPr>
              <w:tabs>
                <w:tab w:val="left" w:pos="1337"/>
              </w:tabs>
              <w:spacing w:line="360" w:lineRule="auto"/>
              <w:jc w:val="center"/>
              <w:rPr>
                <w:rFonts w:ascii="宋体" w:hAnsi="宋体"/>
                <w:sz w:val="24"/>
              </w:rPr>
            </w:pPr>
          </w:p>
        </w:tc>
        <w:tc>
          <w:tcPr>
            <w:tcW w:w="3418"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2441" w:type="dxa"/>
            <w:vAlign w:val="center"/>
          </w:tcPr>
          <w:p>
            <w:pPr>
              <w:tabs>
                <w:tab w:val="left" w:pos="1337"/>
              </w:tabs>
              <w:spacing w:line="360" w:lineRule="auto"/>
              <w:jc w:val="center"/>
              <w:rPr>
                <w:rFonts w:ascii="宋体" w:hAnsi="宋体"/>
                <w:sz w:val="24"/>
              </w:rPr>
            </w:pP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2441" w:type="dxa"/>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3418" w:type="dxa"/>
          </w:tcPr>
          <w:p>
            <w:pPr>
              <w:tabs>
                <w:tab w:val="left" w:pos="1337"/>
              </w:tabs>
              <w:spacing w:line="360" w:lineRule="auto"/>
              <w:jc w:val="center"/>
              <w:rPr>
                <w:rFonts w:ascii="宋体" w:hAnsi="宋体"/>
                <w:sz w:val="24"/>
              </w:rPr>
            </w:pPr>
          </w:p>
        </w:tc>
        <w:tc>
          <w:tcPr>
            <w:tcW w:w="955" w:type="dxa"/>
          </w:tcPr>
          <w:p>
            <w:pPr>
              <w:tabs>
                <w:tab w:val="left" w:pos="1337"/>
              </w:tabs>
              <w:spacing w:line="360" w:lineRule="auto"/>
              <w:jc w:val="center"/>
              <w:rPr>
                <w:rFonts w:ascii="宋体" w:hAnsi="宋体"/>
                <w:sz w:val="24"/>
              </w:rPr>
            </w:pPr>
          </w:p>
        </w:tc>
        <w:tc>
          <w:tcPr>
            <w:tcW w:w="955"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产品费用小计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安装调试费用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维护与技术支持费用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培训费用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备品备件费用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运输与保险费用</w:t>
            </w:r>
          </w:p>
        </w:tc>
        <w:tc>
          <w:tcPr>
            <w:tcW w:w="3418" w:type="dxa"/>
            <w:tcBorders>
              <w:bottom w:val="single" w:color="auto" w:sz="12" w:space="0"/>
            </w:tcBorders>
          </w:tcPr>
          <w:p>
            <w:pPr>
              <w:tabs>
                <w:tab w:val="left" w:pos="1337"/>
              </w:tabs>
              <w:spacing w:line="360" w:lineRule="auto"/>
              <w:jc w:val="center"/>
              <w:rPr>
                <w:rFonts w:ascii="宋体" w:hAnsi="宋体"/>
                <w:sz w:val="24"/>
              </w:rPr>
            </w:pPr>
            <w:r>
              <w:rPr>
                <w:rFonts w:hint="eastAsia" w:ascii="宋体" w:hAnsi="宋体"/>
                <w:sz w:val="24"/>
              </w:rPr>
              <w:t>/</w:t>
            </w: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其他</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2441" w:type="dxa"/>
            <w:tcBorders>
              <w:bottom w:val="single" w:color="auto" w:sz="12" w:space="0"/>
            </w:tcBorders>
            <w:vAlign w:val="center"/>
          </w:tcPr>
          <w:p>
            <w:pPr>
              <w:tabs>
                <w:tab w:val="left" w:pos="2186"/>
              </w:tabs>
              <w:spacing w:line="360" w:lineRule="auto"/>
              <w:jc w:val="center"/>
              <w:rPr>
                <w:rFonts w:ascii="宋体" w:hAnsi="宋体"/>
                <w:sz w:val="24"/>
              </w:rPr>
            </w:pPr>
            <w:r>
              <w:rPr>
                <w:rFonts w:hint="eastAsia" w:ascii="宋体" w:hAnsi="宋体"/>
                <w:sz w:val="24"/>
              </w:rPr>
              <w:t>合计</w:t>
            </w:r>
          </w:p>
        </w:tc>
        <w:tc>
          <w:tcPr>
            <w:tcW w:w="3418"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tcPr>
          <w:p>
            <w:pPr>
              <w:tabs>
                <w:tab w:val="left" w:pos="1337"/>
              </w:tabs>
              <w:spacing w:line="360" w:lineRule="auto"/>
              <w:jc w:val="center"/>
              <w:rPr>
                <w:rFonts w:ascii="宋体" w:hAnsi="宋体"/>
                <w:sz w:val="24"/>
              </w:rPr>
            </w:pPr>
          </w:p>
        </w:tc>
        <w:tc>
          <w:tcPr>
            <w:tcW w:w="955"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说明：1、</w:t>
      </w:r>
      <w:r>
        <w:rPr>
          <w:rFonts w:hint="eastAsia" w:ascii="宋体" w:hAnsi="宋体"/>
          <w:bCs/>
          <w:sz w:val="24"/>
        </w:rPr>
        <w:t>投标人必须填写报价分析表，否则将导致投标被拒绝。</w:t>
      </w:r>
    </w:p>
    <w:p>
      <w:pPr>
        <w:spacing w:line="360" w:lineRule="auto"/>
        <w:ind w:left="720"/>
        <w:rPr>
          <w:rFonts w:ascii="宋体" w:hAnsi="宋体"/>
          <w:sz w:val="24"/>
        </w:rPr>
      </w:pPr>
      <w:r>
        <w:rPr>
          <w:rFonts w:hint="eastAsia" w:ascii="宋体" w:hAnsi="宋体"/>
          <w:sz w:val="24"/>
        </w:rPr>
        <w:t>2、报价分析表中合计价格应等于开标一览表中的投标报价。</w:t>
      </w:r>
    </w:p>
    <w:p>
      <w:pPr>
        <w:spacing w:line="360" w:lineRule="auto"/>
        <w:ind w:firstLine="480" w:firstLineChars="200"/>
        <w:rPr>
          <w:rFonts w:ascii="宋体" w:hAnsi="宋体"/>
          <w:sz w:val="24"/>
        </w:rPr>
      </w:pPr>
    </w:p>
    <w:p>
      <w:pPr>
        <w:spacing w:line="360" w:lineRule="auto"/>
        <w:ind w:firstLine="480" w:firstLineChars="200"/>
        <w:rPr>
          <w:sz w:val="24"/>
          <w:u w:val="single"/>
        </w:rPr>
      </w:pPr>
      <w:r>
        <w:rPr>
          <w:rFonts w:hint="eastAsia" w:ascii="宋体" w:hAnsi="宋体"/>
          <w:sz w:val="24"/>
        </w:rPr>
        <w:t>投标人盖章：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spacing w:line="360" w:lineRule="auto"/>
        <w:rPr>
          <w:rFonts w:ascii="宋体" w:hAnsi="宋体"/>
          <w:sz w:val="24"/>
        </w:rPr>
      </w:pPr>
    </w:p>
    <w:p>
      <w:pPr>
        <w:pStyle w:val="4"/>
        <w:numPr>
          <w:ilvl w:val="0"/>
          <w:numId w:val="0"/>
        </w:numPr>
        <w:ind w:left="240"/>
        <w:rPr>
          <w:rFonts w:ascii="宋体" w:hAnsi="宋体"/>
          <w:b w:val="0"/>
          <w:szCs w:val="21"/>
        </w:rPr>
      </w:pPr>
      <w:bookmarkStart w:id="82" w:name="_Toc33212788"/>
      <w:bookmarkStart w:id="83" w:name="_Toc15649"/>
      <w:bookmarkStart w:id="84" w:name="_Toc33194730"/>
      <w:r>
        <w:rPr>
          <w:rFonts w:hint="eastAsia" w:ascii="宋体" w:hAnsi="宋体"/>
          <w:b w:val="0"/>
          <w:sz w:val="24"/>
        </w:rPr>
        <w:t>三、技术部分</w:t>
      </w:r>
      <w:bookmarkEnd w:id="82"/>
      <w:bookmarkEnd w:id="83"/>
      <w:bookmarkEnd w:id="84"/>
    </w:p>
    <w:p>
      <w:pPr>
        <w:pStyle w:val="5"/>
        <w:numPr>
          <w:ilvl w:val="0"/>
          <w:numId w:val="0"/>
        </w:numPr>
        <w:rPr>
          <w:rFonts w:ascii="宋体" w:hAnsi="宋体"/>
          <w:b w:val="0"/>
          <w:sz w:val="24"/>
        </w:rPr>
      </w:pPr>
      <w:bookmarkStart w:id="85" w:name="_Toc33194731"/>
      <w:bookmarkStart w:id="86" w:name="_Toc2603"/>
      <w:bookmarkStart w:id="87" w:name="_Toc33212789"/>
      <w:r>
        <w:rPr>
          <w:rFonts w:hint="eastAsia" w:ascii="宋体" w:hAnsi="宋体"/>
          <w:b w:val="0"/>
          <w:sz w:val="24"/>
        </w:rPr>
        <w:t>（八）投标人自行编写的技术文件</w:t>
      </w:r>
      <w:bookmarkEnd w:id="85"/>
      <w:bookmarkEnd w:id="86"/>
      <w:bookmarkEnd w:id="87"/>
    </w:p>
    <w:p>
      <w:pPr>
        <w:spacing w:line="360" w:lineRule="auto"/>
        <w:rPr>
          <w:rFonts w:ascii="宋体" w:hAnsi="宋体"/>
          <w:kern w:val="0"/>
          <w:sz w:val="24"/>
        </w:rPr>
      </w:pPr>
      <w:r>
        <w:rPr>
          <w:rFonts w:hint="eastAsia" w:ascii="宋体" w:hAnsi="宋体"/>
          <w:kern w:val="0"/>
          <w:sz w:val="24"/>
        </w:rPr>
        <w:t>&lt;1&gt;货物主要技术指标和运行性能：</w:t>
      </w:r>
    </w:p>
    <w:p>
      <w:pPr>
        <w:spacing w:line="360" w:lineRule="auto"/>
        <w:rPr>
          <w:rFonts w:ascii="宋体" w:hAnsi="宋体"/>
          <w:kern w:val="0"/>
          <w:sz w:val="24"/>
        </w:rPr>
      </w:pPr>
      <w:r>
        <w:rPr>
          <w:rFonts w:hint="eastAsia" w:ascii="宋体" w:hAnsi="宋体"/>
          <w:kern w:val="0"/>
          <w:sz w:val="24"/>
        </w:rPr>
        <w:t>①★技术明细（详细描述货物技术指标及性能，包括采用的新工艺、新技术、新材料等）；</w:t>
      </w:r>
    </w:p>
    <w:p>
      <w:pPr>
        <w:spacing w:line="360" w:lineRule="auto"/>
        <w:rPr>
          <w:rFonts w:ascii="宋体" w:hAnsi="宋体"/>
          <w:sz w:val="24"/>
        </w:rPr>
      </w:pPr>
      <w:r>
        <w:rPr>
          <w:rFonts w:hint="eastAsia" w:ascii="宋体" w:hAnsi="宋体"/>
          <w:sz w:val="24"/>
        </w:rPr>
        <w:t>注：1.</w:t>
      </w:r>
      <w:r>
        <w:rPr>
          <w:rFonts w:hint="eastAsia" w:ascii="宋体" w:hAnsi="宋体"/>
          <w:bCs/>
          <w:sz w:val="24"/>
        </w:rPr>
        <w:t>投标人必须提报技术明细。如果所报内容无法满足招标文件中提出的要求或者与投标人在技术文件中提供的内容不一致，投标有可能被拒绝。</w:t>
      </w:r>
    </w:p>
    <w:p>
      <w:pPr>
        <w:spacing w:line="360" w:lineRule="auto"/>
        <w:ind w:firstLine="422" w:firstLineChars="176"/>
        <w:rPr>
          <w:rFonts w:ascii="宋体" w:hAnsi="宋体"/>
          <w:bCs/>
          <w:sz w:val="24"/>
        </w:rPr>
      </w:pPr>
      <w:r>
        <w:rPr>
          <w:rFonts w:hint="eastAsia" w:ascii="宋体" w:hAnsi="宋体"/>
          <w:bCs/>
          <w:sz w:val="24"/>
        </w:rPr>
        <w:t>2.技术规格不得完全复制招标文件内容，否则按无效投标处理。</w:t>
      </w:r>
    </w:p>
    <w:p>
      <w:pPr>
        <w:pStyle w:val="14"/>
        <w:spacing w:before="0" w:after="0" w:line="360" w:lineRule="auto"/>
        <w:ind w:right="960"/>
        <w:rPr>
          <w:rFonts w:eastAsia="宋体"/>
          <w:sz w:val="24"/>
          <w:szCs w:val="24"/>
        </w:rPr>
      </w:pPr>
    </w:p>
    <w:p>
      <w:pPr>
        <w:pStyle w:val="19"/>
        <w:spacing w:line="360" w:lineRule="auto"/>
        <w:ind w:left="0" w:leftChars="0" w:firstLine="0" w:firstLineChars="0"/>
      </w:pPr>
    </w:p>
    <w:p>
      <w:pPr>
        <w:spacing w:line="360" w:lineRule="auto"/>
        <w:rPr>
          <w:rFonts w:ascii="宋体" w:hAnsi="宋体"/>
          <w:kern w:val="0"/>
          <w:sz w:val="24"/>
        </w:rPr>
      </w:pPr>
      <w:r>
        <w:rPr>
          <w:rFonts w:hint="eastAsia" w:ascii="宋体" w:hAnsi="宋体"/>
          <w:kern w:val="0"/>
          <w:sz w:val="24"/>
        </w:rPr>
        <w:t>附：参考格式</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852"/>
        <w:gridCol w:w="1843"/>
        <w:gridCol w:w="379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项</w:t>
            </w:r>
          </w:p>
        </w:tc>
        <w:tc>
          <w:tcPr>
            <w:tcW w:w="1852" w:type="dxa"/>
            <w:tcBorders>
              <w:top w:val="single" w:color="auto" w:sz="12" w:space="0"/>
              <w:bottom w:val="single" w:color="auto" w:sz="4"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1</w:t>
            </w:r>
          </w:p>
        </w:tc>
        <w:tc>
          <w:tcPr>
            <w:tcW w:w="1843" w:type="dxa"/>
            <w:tcBorders>
              <w:top w:val="single" w:color="auto" w:sz="12" w:space="0"/>
              <w:bottom w:val="single" w:color="auto" w:sz="4" w:space="0"/>
            </w:tcBorders>
          </w:tcPr>
          <w:p>
            <w:pPr>
              <w:tabs>
                <w:tab w:val="left" w:pos="1337"/>
              </w:tabs>
              <w:spacing w:line="360" w:lineRule="auto"/>
              <w:ind w:right="-42"/>
              <w:jc w:val="center"/>
              <w:rPr>
                <w:rFonts w:ascii="宋体" w:hAnsi="宋体"/>
                <w:sz w:val="24"/>
              </w:rPr>
            </w:pPr>
            <w:r>
              <w:rPr>
                <w:rFonts w:hint="eastAsia" w:ascii="宋体" w:hAnsi="宋体"/>
                <w:sz w:val="24"/>
              </w:rPr>
              <w:t>2</w:t>
            </w:r>
          </w:p>
        </w:tc>
        <w:tc>
          <w:tcPr>
            <w:tcW w:w="3796" w:type="dxa"/>
            <w:tcBorders>
              <w:top w:val="single" w:color="auto" w:sz="12" w:space="0"/>
              <w:bottom w:val="single" w:color="auto" w:sz="4" w:space="0"/>
            </w:tcBorders>
            <w:vAlign w:val="center"/>
          </w:tcPr>
          <w:p>
            <w:pPr>
              <w:tabs>
                <w:tab w:val="left" w:pos="1337"/>
              </w:tabs>
              <w:spacing w:line="360" w:lineRule="auto"/>
              <w:ind w:right="-42"/>
              <w:jc w:val="center"/>
              <w:rPr>
                <w:rFonts w:ascii="宋体" w:hAnsi="宋体"/>
                <w:sz w:val="24"/>
              </w:rPr>
            </w:pPr>
            <w:r>
              <w:rPr>
                <w:rFonts w:hint="eastAsia" w:ascii="宋体" w:hAnsi="宋体"/>
                <w:sz w:val="24"/>
              </w:rPr>
              <w:t>3</w:t>
            </w:r>
          </w:p>
        </w:tc>
        <w:tc>
          <w:tcPr>
            <w:tcW w:w="1024" w:type="dxa"/>
            <w:tcBorders>
              <w:top w:val="single" w:color="auto" w:sz="12" w:space="0"/>
              <w:bottom w:val="single" w:color="auto" w:sz="4" w:space="0"/>
              <w:righ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tabs>
                <w:tab w:val="left" w:pos="1337"/>
              </w:tabs>
              <w:spacing w:line="360" w:lineRule="auto"/>
              <w:ind w:left="-42" w:right="-42"/>
              <w:jc w:val="center"/>
              <w:rPr>
                <w:rFonts w:ascii="宋体" w:hAnsi="宋体"/>
                <w:sz w:val="24"/>
              </w:rPr>
            </w:pPr>
            <w:r>
              <w:rPr>
                <w:rFonts w:hint="eastAsia" w:ascii="宋体" w:hAnsi="宋体"/>
                <w:sz w:val="24"/>
              </w:rPr>
              <w:t>序</w:t>
            </w:r>
          </w:p>
          <w:p>
            <w:pPr>
              <w:tabs>
                <w:tab w:val="left" w:pos="1337"/>
              </w:tabs>
              <w:spacing w:line="360" w:lineRule="auto"/>
              <w:ind w:left="-42" w:right="-42"/>
              <w:jc w:val="center"/>
              <w:rPr>
                <w:rFonts w:ascii="宋体" w:hAnsi="宋体"/>
                <w:sz w:val="24"/>
              </w:rPr>
            </w:pPr>
            <w:r>
              <w:rPr>
                <w:rFonts w:hint="eastAsia" w:ascii="宋体" w:hAnsi="宋体"/>
                <w:sz w:val="24"/>
              </w:rPr>
              <w:t>号</w:t>
            </w:r>
          </w:p>
        </w:tc>
        <w:tc>
          <w:tcPr>
            <w:tcW w:w="1852" w:type="dxa"/>
            <w:vAlign w:val="center"/>
          </w:tcPr>
          <w:p>
            <w:pPr>
              <w:tabs>
                <w:tab w:val="left" w:pos="1337"/>
              </w:tabs>
              <w:spacing w:line="360" w:lineRule="auto"/>
              <w:jc w:val="center"/>
              <w:rPr>
                <w:rFonts w:ascii="宋体" w:hAnsi="宋体"/>
                <w:sz w:val="24"/>
              </w:rPr>
            </w:pPr>
            <w:r>
              <w:rPr>
                <w:rFonts w:hint="eastAsia" w:ascii="宋体" w:hAnsi="宋体"/>
                <w:sz w:val="24"/>
              </w:rPr>
              <w:t>产品名称</w:t>
            </w:r>
          </w:p>
        </w:tc>
        <w:tc>
          <w:tcPr>
            <w:tcW w:w="1843"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品牌、型号</w:t>
            </w:r>
          </w:p>
        </w:tc>
        <w:tc>
          <w:tcPr>
            <w:tcW w:w="3796" w:type="dxa"/>
            <w:vAlign w:val="center"/>
          </w:tcPr>
          <w:p>
            <w:pPr>
              <w:tabs>
                <w:tab w:val="left" w:pos="1337"/>
              </w:tabs>
              <w:spacing w:line="360" w:lineRule="auto"/>
              <w:ind w:left="-42" w:right="-42"/>
              <w:jc w:val="center"/>
              <w:rPr>
                <w:rFonts w:ascii="宋体" w:hAnsi="宋体"/>
                <w:sz w:val="24"/>
              </w:rPr>
            </w:pPr>
            <w:r>
              <w:rPr>
                <w:rFonts w:hint="eastAsia" w:ascii="宋体" w:hAnsi="宋体"/>
                <w:sz w:val="24"/>
              </w:rPr>
              <w:t>技术规格</w:t>
            </w:r>
          </w:p>
        </w:tc>
        <w:tc>
          <w:tcPr>
            <w:tcW w:w="1024" w:type="dxa"/>
            <w:tcBorders>
              <w:right w:val="single" w:color="auto" w:sz="12"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1</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vAlign w:val="center"/>
          </w:tcPr>
          <w:p>
            <w:pPr>
              <w:tabs>
                <w:tab w:val="left" w:pos="1337"/>
              </w:tabs>
              <w:spacing w:line="360" w:lineRule="auto"/>
              <w:jc w:val="center"/>
              <w:rPr>
                <w:rFonts w:ascii="宋体" w:hAnsi="宋体"/>
                <w:sz w:val="24"/>
              </w:rPr>
            </w:pPr>
          </w:p>
        </w:tc>
        <w:tc>
          <w:tcPr>
            <w:tcW w:w="1024"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2</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3</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4</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5</w:t>
            </w:r>
          </w:p>
        </w:tc>
        <w:tc>
          <w:tcPr>
            <w:tcW w:w="1852" w:type="dxa"/>
            <w:vAlign w:val="center"/>
          </w:tcPr>
          <w:p>
            <w:pPr>
              <w:tabs>
                <w:tab w:val="left" w:pos="1337"/>
              </w:tabs>
              <w:spacing w:line="360" w:lineRule="auto"/>
              <w:jc w:val="center"/>
              <w:rPr>
                <w:rFonts w:ascii="宋体" w:hAnsi="宋体"/>
                <w:sz w:val="24"/>
              </w:rPr>
            </w:pPr>
          </w:p>
        </w:tc>
        <w:tc>
          <w:tcPr>
            <w:tcW w:w="1843" w:type="dxa"/>
          </w:tcPr>
          <w:p>
            <w:pPr>
              <w:tabs>
                <w:tab w:val="left" w:pos="1337"/>
              </w:tabs>
              <w:spacing w:line="360" w:lineRule="auto"/>
              <w:jc w:val="center"/>
              <w:rPr>
                <w:rFonts w:ascii="宋体" w:hAnsi="宋体"/>
                <w:sz w:val="24"/>
              </w:rPr>
            </w:pPr>
          </w:p>
        </w:tc>
        <w:tc>
          <w:tcPr>
            <w:tcW w:w="3796" w:type="dxa"/>
          </w:tcPr>
          <w:p>
            <w:pPr>
              <w:tabs>
                <w:tab w:val="left" w:pos="1337"/>
              </w:tabs>
              <w:spacing w:line="360" w:lineRule="auto"/>
              <w:jc w:val="center"/>
              <w:rPr>
                <w:rFonts w:ascii="宋体" w:hAnsi="宋体"/>
                <w:sz w:val="24"/>
              </w:rPr>
            </w:pPr>
          </w:p>
        </w:tc>
        <w:tc>
          <w:tcPr>
            <w:tcW w:w="1024" w:type="dxa"/>
            <w:tcBorders>
              <w:right w:val="single" w:color="auto" w:sz="12" w:space="0"/>
            </w:tcBorders>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6</w:t>
            </w:r>
          </w:p>
        </w:tc>
        <w:tc>
          <w:tcPr>
            <w:tcW w:w="1852" w:type="dxa"/>
            <w:tcBorders>
              <w:bottom w:val="single" w:color="auto" w:sz="12" w:space="0"/>
            </w:tcBorders>
            <w:vAlign w:val="center"/>
          </w:tcPr>
          <w:p>
            <w:pPr>
              <w:tabs>
                <w:tab w:val="left" w:pos="1337"/>
              </w:tabs>
              <w:spacing w:line="360" w:lineRule="auto"/>
              <w:jc w:val="center"/>
              <w:rPr>
                <w:rFonts w:ascii="宋体" w:hAnsi="宋体"/>
                <w:sz w:val="24"/>
              </w:rPr>
            </w:pPr>
            <w:r>
              <w:rPr>
                <w:rFonts w:hint="eastAsia" w:ascii="宋体" w:hAnsi="宋体"/>
                <w:sz w:val="24"/>
              </w:rPr>
              <w:t>…</w:t>
            </w:r>
          </w:p>
        </w:tc>
        <w:tc>
          <w:tcPr>
            <w:tcW w:w="1843" w:type="dxa"/>
            <w:tcBorders>
              <w:bottom w:val="single" w:color="auto" w:sz="12" w:space="0"/>
            </w:tcBorders>
          </w:tcPr>
          <w:p>
            <w:pPr>
              <w:tabs>
                <w:tab w:val="left" w:pos="1337"/>
              </w:tabs>
              <w:spacing w:line="360" w:lineRule="auto"/>
              <w:jc w:val="center"/>
              <w:rPr>
                <w:rFonts w:ascii="宋体" w:hAnsi="宋体"/>
                <w:sz w:val="24"/>
              </w:rPr>
            </w:pPr>
          </w:p>
        </w:tc>
        <w:tc>
          <w:tcPr>
            <w:tcW w:w="3796" w:type="dxa"/>
            <w:tcBorders>
              <w:bottom w:val="single" w:color="auto" w:sz="12" w:space="0"/>
            </w:tcBorders>
          </w:tcPr>
          <w:p>
            <w:pPr>
              <w:tabs>
                <w:tab w:val="left" w:pos="1337"/>
              </w:tabs>
              <w:spacing w:line="360" w:lineRule="auto"/>
              <w:jc w:val="center"/>
              <w:rPr>
                <w:rFonts w:ascii="宋体" w:hAnsi="宋体"/>
                <w:sz w:val="24"/>
              </w:rPr>
            </w:pPr>
          </w:p>
        </w:tc>
        <w:tc>
          <w:tcPr>
            <w:tcW w:w="1024" w:type="dxa"/>
            <w:tcBorders>
              <w:bottom w:val="single" w:color="auto" w:sz="12" w:space="0"/>
              <w:right w:val="single" w:color="auto" w:sz="12" w:space="0"/>
            </w:tcBorders>
          </w:tcPr>
          <w:p>
            <w:pPr>
              <w:tabs>
                <w:tab w:val="left" w:pos="1337"/>
              </w:tabs>
              <w:spacing w:line="360" w:lineRule="auto"/>
              <w:jc w:val="cente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kern w:val="0"/>
          <w:sz w:val="24"/>
        </w:rPr>
      </w:pPr>
      <w:r>
        <w:rPr>
          <w:rFonts w:ascii="宋体" w:hAnsi="宋体"/>
          <w:kern w:val="0"/>
          <w:sz w:val="24"/>
        </w:rPr>
        <w:br w:type="page"/>
      </w:r>
      <w:r>
        <w:rPr>
          <w:rFonts w:hint="eastAsia" w:ascii="宋体" w:hAnsi="宋体"/>
          <w:kern w:val="0"/>
          <w:sz w:val="24"/>
        </w:rPr>
        <w:t>②同货物型号一致的产品手册、彩页、说明书等技术文件（包括但不限于招标文件中要求提供的</w:t>
      </w:r>
      <w:r>
        <w:rPr>
          <w:rFonts w:hint="eastAsia"/>
          <w:sz w:val="24"/>
          <w:szCs w:val="27"/>
        </w:rPr>
        <w:t>投标产品样本、使用保养说明书、图纸以及产品检测报告和认定证书等技术资料）</w:t>
      </w:r>
      <w:r>
        <w:rPr>
          <w:rFonts w:hint="eastAsia" w:ascii="宋体" w:hAnsi="宋体"/>
          <w:kern w:val="0"/>
          <w:sz w:val="24"/>
        </w:rPr>
        <w:t>；</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③货物技术规范偏离表；</w:t>
      </w:r>
    </w:p>
    <w:p>
      <w:pPr>
        <w:spacing w:line="360" w:lineRule="auto"/>
        <w:rPr>
          <w:rFonts w:ascii="宋体" w:hAnsi="宋体"/>
          <w:kern w:val="0"/>
          <w:sz w:val="24"/>
        </w:rPr>
      </w:pPr>
      <w:r>
        <w:rPr>
          <w:rFonts w:hint="eastAsia"/>
          <w:sz w:val="24"/>
        </w:rPr>
        <w:t>项目编号、包号：</w:t>
      </w:r>
      <w:r>
        <w:rPr>
          <w:rFonts w:hint="eastAsia"/>
          <w:sz w:val="24"/>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210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货物名称及编号</w:t>
            </w:r>
          </w:p>
        </w:tc>
        <w:tc>
          <w:tcPr>
            <w:tcW w:w="1021"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数量</w:t>
            </w:r>
          </w:p>
        </w:tc>
        <w:tc>
          <w:tcPr>
            <w:tcW w:w="170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招标文件技术规范、要求</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投标文件对应规范</w:t>
            </w:r>
          </w:p>
        </w:tc>
        <w:tc>
          <w:tcPr>
            <w:tcW w:w="1337"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偏差</w:t>
            </w:r>
          </w:p>
        </w:tc>
        <w:tc>
          <w:tcPr>
            <w:tcW w:w="977"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tabs>
                <w:tab w:val="left" w:pos="1337"/>
              </w:tabs>
              <w:spacing w:line="360" w:lineRule="auto"/>
              <w:jc w:val="center"/>
              <w:rPr>
                <w:sz w:val="24"/>
              </w:rPr>
            </w:pPr>
          </w:p>
        </w:tc>
        <w:tc>
          <w:tcPr>
            <w:tcW w:w="2101" w:type="dxa"/>
            <w:vAlign w:val="center"/>
          </w:tcPr>
          <w:p>
            <w:pPr>
              <w:tabs>
                <w:tab w:val="left" w:pos="1337"/>
              </w:tabs>
              <w:spacing w:line="360" w:lineRule="auto"/>
              <w:jc w:val="center"/>
              <w:rPr>
                <w:sz w:val="24"/>
              </w:rPr>
            </w:pPr>
          </w:p>
        </w:tc>
        <w:tc>
          <w:tcPr>
            <w:tcW w:w="1021" w:type="dxa"/>
            <w:vAlign w:val="center"/>
          </w:tcPr>
          <w:p>
            <w:pPr>
              <w:tabs>
                <w:tab w:val="left" w:pos="1337"/>
              </w:tabs>
              <w:spacing w:line="360" w:lineRule="auto"/>
              <w:jc w:val="center"/>
              <w:rPr>
                <w:sz w:val="24"/>
              </w:rPr>
            </w:pPr>
          </w:p>
        </w:tc>
        <w:tc>
          <w:tcPr>
            <w:tcW w:w="170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1337" w:type="dxa"/>
            <w:vAlign w:val="center"/>
          </w:tcPr>
          <w:p>
            <w:pPr>
              <w:tabs>
                <w:tab w:val="left" w:pos="1337"/>
              </w:tabs>
              <w:spacing w:line="360" w:lineRule="auto"/>
              <w:jc w:val="center"/>
              <w:rPr>
                <w:sz w:val="24"/>
              </w:rPr>
            </w:pPr>
          </w:p>
        </w:tc>
        <w:tc>
          <w:tcPr>
            <w:tcW w:w="977" w:type="dxa"/>
            <w:tcBorders>
              <w:right w:val="single" w:color="auto" w:sz="12" w:space="0"/>
            </w:tcBorders>
            <w:vAlign w:val="center"/>
          </w:tcPr>
          <w:p>
            <w:pPr>
              <w:tabs>
                <w:tab w:val="left" w:pos="1337"/>
              </w:tabs>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tabs>
                <w:tab w:val="left" w:pos="1337"/>
              </w:tabs>
              <w:spacing w:line="360" w:lineRule="auto"/>
              <w:jc w:val="center"/>
              <w:rPr>
                <w:sz w:val="24"/>
              </w:rPr>
            </w:pPr>
          </w:p>
        </w:tc>
        <w:tc>
          <w:tcPr>
            <w:tcW w:w="2101" w:type="dxa"/>
            <w:tcBorders>
              <w:bottom w:val="single" w:color="auto" w:sz="12" w:space="0"/>
            </w:tcBorders>
            <w:vAlign w:val="center"/>
          </w:tcPr>
          <w:p>
            <w:pPr>
              <w:tabs>
                <w:tab w:val="left" w:pos="1337"/>
              </w:tabs>
              <w:spacing w:line="360" w:lineRule="auto"/>
              <w:jc w:val="center"/>
              <w:rPr>
                <w:sz w:val="24"/>
              </w:rPr>
            </w:pPr>
          </w:p>
        </w:tc>
        <w:tc>
          <w:tcPr>
            <w:tcW w:w="1021" w:type="dxa"/>
            <w:tcBorders>
              <w:bottom w:val="single" w:color="auto" w:sz="12" w:space="0"/>
            </w:tcBorders>
            <w:vAlign w:val="center"/>
          </w:tcPr>
          <w:p>
            <w:pPr>
              <w:tabs>
                <w:tab w:val="left" w:pos="1337"/>
              </w:tabs>
              <w:spacing w:line="360" w:lineRule="auto"/>
              <w:jc w:val="center"/>
              <w:rPr>
                <w:sz w:val="24"/>
              </w:rPr>
            </w:pPr>
          </w:p>
        </w:tc>
        <w:tc>
          <w:tcPr>
            <w:tcW w:w="170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1337" w:type="dxa"/>
            <w:tcBorders>
              <w:bottom w:val="single" w:color="auto" w:sz="12" w:space="0"/>
            </w:tcBorders>
            <w:vAlign w:val="center"/>
          </w:tcPr>
          <w:p>
            <w:pPr>
              <w:tabs>
                <w:tab w:val="left" w:pos="1337"/>
              </w:tabs>
              <w:spacing w:line="360" w:lineRule="auto"/>
              <w:jc w:val="center"/>
              <w:rPr>
                <w:sz w:val="24"/>
              </w:rPr>
            </w:pPr>
          </w:p>
        </w:tc>
        <w:tc>
          <w:tcPr>
            <w:tcW w:w="977" w:type="dxa"/>
            <w:tcBorders>
              <w:bottom w:val="single" w:color="auto" w:sz="12" w:space="0"/>
              <w:right w:val="single" w:color="auto" w:sz="12" w:space="0"/>
            </w:tcBorders>
            <w:vAlign w:val="center"/>
          </w:tcPr>
          <w:p>
            <w:pPr>
              <w:tabs>
                <w:tab w:val="left" w:pos="1337"/>
              </w:tabs>
              <w:spacing w:line="360" w:lineRule="auto"/>
              <w:jc w:val="center"/>
              <w:rPr>
                <w:sz w:val="24"/>
              </w:rPr>
            </w:pPr>
          </w:p>
        </w:tc>
      </w:tr>
    </w:tbl>
    <w:p>
      <w:pPr>
        <w:spacing w:line="360" w:lineRule="auto"/>
        <w:ind w:left="2"/>
        <w:rPr>
          <w:rFonts w:ascii="宋体" w:hAnsi="宋体"/>
          <w:sz w:val="24"/>
        </w:rPr>
      </w:pPr>
      <w:r>
        <w:rPr>
          <w:rFonts w:hint="eastAsia" w:ascii="宋体" w:hAnsi="宋体"/>
          <w:sz w:val="24"/>
        </w:rPr>
        <w:t>说明：如投标人提交的货物技术规范与招标文件的要求存在偏离，需逐项填写《货物技术规范偏离表》。</w:t>
      </w:r>
    </w:p>
    <w:p>
      <w:pPr>
        <w:spacing w:line="360" w:lineRule="auto"/>
        <w:ind w:left="2"/>
        <w:rPr>
          <w:rFonts w:ascii="宋体" w:hAnsi="宋体"/>
          <w:sz w:val="24"/>
        </w:rPr>
      </w:pPr>
    </w:p>
    <w:p>
      <w:pPr>
        <w:spacing w:line="360" w:lineRule="auto"/>
        <w:ind w:left="2"/>
        <w:rPr>
          <w:rFonts w:ascii="宋体" w:hAnsi="宋体"/>
          <w:sz w:val="24"/>
        </w:rPr>
      </w:pPr>
    </w:p>
    <w:p>
      <w:pPr>
        <w:spacing w:line="360" w:lineRule="auto"/>
        <w:ind w:left="2"/>
        <w:rPr>
          <w:rFonts w:ascii="宋体" w:hAnsi="宋体"/>
          <w:sz w:val="24"/>
        </w:rPr>
      </w:pPr>
    </w:p>
    <w:p>
      <w:pPr>
        <w:spacing w:line="360" w:lineRule="auto"/>
        <w:rPr>
          <w:rFonts w:ascii="宋体" w:hAnsi="宋体"/>
          <w:kern w:val="0"/>
          <w:sz w:val="24"/>
        </w:rPr>
      </w:pPr>
      <w:r>
        <w:rPr>
          <w:rFonts w:hint="eastAsia" w:ascii="宋体" w:hAnsi="宋体"/>
          <w:kern w:val="0"/>
          <w:sz w:val="24"/>
        </w:rPr>
        <w:t>&lt;2&gt;货物配件、耗材、选件表和备件及特殊工具清单；</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&lt;3&gt;货物安装方案及验收标准；</w:t>
      </w: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p>
    <w:p>
      <w:pPr>
        <w:tabs>
          <w:tab w:val="left" w:pos="5580"/>
        </w:tabs>
        <w:spacing w:line="360" w:lineRule="auto"/>
        <w:jc w:val="left"/>
        <w:rPr>
          <w:rFonts w:ascii="宋体" w:hAnsi="宋体"/>
          <w:kern w:val="0"/>
          <w:sz w:val="24"/>
        </w:rPr>
      </w:pPr>
      <w:r>
        <w:rPr>
          <w:rFonts w:hint="eastAsia" w:ascii="宋体" w:hAnsi="宋体"/>
          <w:kern w:val="0"/>
          <w:sz w:val="24"/>
        </w:rPr>
        <w:t>&lt;4&gt;质量保证措施和保证交货期措施；</w:t>
      </w:r>
    </w:p>
    <w:p>
      <w:pPr>
        <w:pStyle w:val="4"/>
        <w:numPr>
          <w:ilvl w:val="0"/>
          <w:numId w:val="0"/>
        </w:numPr>
        <w:ind w:left="240"/>
        <w:rPr>
          <w:rFonts w:ascii="宋体" w:hAnsi="宋体"/>
          <w:b w:val="0"/>
          <w:szCs w:val="21"/>
        </w:rPr>
      </w:pPr>
      <w:bookmarkStart w:id="88" w:name="_Toc33194732"/>
      <w:bookmarkStart w:id="89" w:name="_Toc10173"/>
      <w:bookmarkStart w:id="90" w:name="_Toc33212790"/>
      <w:r>
        <w:rPr>
          <w:rFonts w:hint="eastAsia" w:ascii="宋体" w:hAnsi="宋体"/>
          <w:b w:val="0"/>
          <w:sz w:val="24"/>
        </w:rPr>
        <w:t>四、服务部分</w:t>
      </w:r>
      <w:bookmarkEnd w:id="88"/>
      <w:bookmarkEnd w:id="89"/>
      <w:bookmarkEnd w:id="90"/>
    </w:p>
    <w:p>
      <w:pPr>
        <w:pStyle w:val="4"/>
        <w:numPr>
          <w:ilvl w:val="0"/>
          <w:numId w:val="0"/>
        </w:numPr>
        <w:ind w:left="240"/>
        <w:rPr>
          <w:rFonts w:ascii="宋体" w:hAnsi="宋体"/>
          <w:b w:val="0"/>
          <w:szCs w:val="21"/>
        </w:rPr>
      </w:pPr>
      <w:bookmarkStart w:id="91" w:name="_Toc33212791"/>
      <w:bookmarkStart w:id="92" w:name="_Toc31658"/>
      <w:bookmarkStart w:id="93" w:name="_Toc33194733"/>
      <w:r>
        <w:rPr>
          <w:rFonts w:hint="eastAsia" w:ascii="宋体" w:hAnsi="宋体"/>
          <w:b w:val="0"/>
          <w:sz w:val="24"/>
        </w:rPr>
        <w:t>（九）投标人自行编写的服务文件</w:t>
      </w:r>
      <w:bookmarkEnd w:id="91"/>
      <w:bookmarkEnd w:id="92"/>
      <w:bookmarkEnd w:id="93"/>
    </w:p>
    <w:p>
      <w:pPr>
        <w:spacing w:line="360" w:lineRule="auto"/>
        <w:rPr>
          <w:rFonts w:ascii="宋体" w:hAnsi="宋体"/>
          <w:kern w:val="0"/>
          <w:sz w:val="24"/>
        </w:rPr>
      </w:pPr>
      <w:r>
        <w:rPr>
          <w:rFonts w:hint="eastAsia" w:ascii="宋体" w:hAnsi="宋体"/>
          <w:kern w:val="0"/>
          <w:sz w:val="24"/>
        </w:rPr>
        <w:t>&lt;1&gt;货物的保修期和售后服务的程序、内容及措施；</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&lt;2&gt;响应时间和技术支持情况；</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&lt;3&gt;培训方案及内容；</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sz w:val="24"/>
        </w:rPr>
      </w:pPr>
      <w:r>
        <w:rPr>
          <w:rFonts w:hint="eastAsia" w:ascii="宋体" w:hAnsi="宋体"/>
          <w:kern w:val="0"/>
          <w:sz w:val="24"/>
        </w:rPr>
        <w:t>&lt;4&gt;售后服务网点明细（包括联系人、详细地址、电话、传真）及</w:t>
      </w:r>
      <w:r>
        <w:rPr>
          <w:rFonts w:hint="eastAsia"/>
          <w:sz w:val="24"/>
        </w:rPr>
        <w:t>本地化服务；</w:t>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&lt;5&gt;服务项目偏离表</w:t>
      </w:r>
    </w:p>
    <w:p>
      <w:pPr>
        <w:pStyle w:val="19"/>
        <w:spacing w:line="360" w:lineRule="auto"/>
        <w:ind w:left="0" w:leftChars="0" w:firstLine="0" w:firstLineChars="0"/>
      </w:pPr>
      <w:r>
        <w:rPr>
          <w:rFonts w:hint="eastAsia"/>
        </w:rPr>
        <w:t>项目编号、包号：</w:t>
      </w:r>
      <w:r>
        <w:rPr>
          <w:rFonts w:hint="eastAsia"/>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序号</w:t>
            </w:r>
          </w:p>
        </w:tc>
        <w:tc>
          <w:tcPr>
            <w:tcW w:w="1528"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w:t>
            </w:r>
          </w:p>
          <w:p>
            <w:pPr>
              <w:tabs>
                <w:tab w:val="left" w:pos="1337"/>
              </w:tabs>
              <w:spacing w:line="360" w:lineRule="auto"/>
              <w:jc w:val="center"/>
              <w:rPr>
                <w:rFonts w:ascii="宋体" w:hAnsi="宋体"/>
                <w:bCs/>
                <w:sz w:val="24"/>
              </w:rPr>
            </w:pPr>
            <w:r>
              <w:rPr>
                <w:rFonts w:hint="eastAsia" w:ascii="宋体" w:hAnsi="宋体"/>
                <w:bCs/>
                <w:sz w:val="24"/>
              </w:rPr>
              <w:t>条款号</w:t>
            </w:r>
          </w:p>
        </w:tc>
        <w:tc>
          <w:tcPr>
            <w:tcW w:w="2674"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招标文件的服务条款</w:t>
            </w:r>
          </w:p>
        </w:tc>
        <w:tc>
          <w:tcPr>
            <w:tcW w:w="2483" w:type="dxa"/>
            <w:tcBorders>
              <w:top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投标文件的服务条款</w:t>
            </w:r>
          </w:p>
        </w:tc>
        <w:tc>
          <w:tcPr>
            <w:tcW w:w="1146" w:type="dxa"/>
            <w:tcBorders>
              <w:top w:val="single" w:color="auto" w:sz="12" w:space="0"/>
              <w:right w:val="single" w:color="auto" w:sz="12" w:space="0"/>
            </w:tcBorders>
            <w:vAlign w:val="center"/>
          </w:tcPr>
          <w:p>
            <w:pPr>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tabs>
                <w:tab w:val="left" w:pos="1337"/>
              </w:tabs>
              <w:spacing w:line="360" w:lineRule="auto"/>
              <w:jc w:val="center"/>
              <w:rPr>
                <w:rFonts w:ascii="宋体" w:hAnsi="宋体"/>
                <w:sz w:val="24"/>
              </w:rPr>
            </w:pPr>
          </w:p>
        </w:tc>
        <w:tc>
          <w:tcPr>
            <w:tcW w:w="1528" w:type="dxa"/>
            <w:vAlign w:val="center"/>
          </w:tcPr>
          <w:p>
            <w:pPr>
              <w:tabs>
                <w:tab w:val="left" w:pos="1337"/>
              </w:tabs>
              <w:spacing w:line="360" w:lineRule="auto"/>
              <w:jc w:val="center"/>
              <w:rPr>
                <w:rFonts w:ascii="宋体" w:hAnsi="宋体"/>
                <w:sz w:val="24"/>
              </w:rPr>
            </w:pPr>
          </w:p>
        </w:tc>
        <w:tc>
          <w:tcPr>
            <w:tcW w:w="2674" w:type="dxa"/>
            <w:vAlign w:val="center"/>
          </w:tcPr>
          <w:p>
            <w:pPr>
              <w:tabs>
                <w:tab w:val="left" w:pos="1337"/>
              </w:tabs>
              <w:spacing w:line="360" w:lineRule="auto"/>
              <w:jc w:val="center"/>
              <w:rPr>
                <w:rFonts w:ascii="宋体" w:hAnsi="宋体"/>
                <w:sz w:val="24"/>
              </w:rPr>
            </w:pPr>
          </w:p>
        </w:tc>
        <w:tc>
          <w:tcPr>
            <w:tcW w:w="2483" w:type="dxa"/>
            <w:vAlign w:val="center"/>
          </w:tcPr>
          <w:p>
            <w:pPr>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tabs>
                <w:tab w:val="left" w:pos="1337"/>
              </w:tabs>
              <w:spacing w:line="360" w:lineRule="auto"/>
              <w:jc w:val="center"/>
              <w:rPr>
                <w:rFonts w:ascii="宋体" w:hAnsi="宋体"/>
                <w:sz w:val="24"/>
              </w:rPr>
            </w:pPr>
          </w:p>
        </w:tc>
        <w:tc>
          <w:tcPr>
            <w:tcW w:w="1528" w:type="dxa"/>
            <w:tcBorders>
              <w:bottom w:val="single" w:color="auto" w:sz="12" w:space="0"/>
            </w:tcBorders>
            <w:vAlign w:val="center"/>
          </w:tcPr>
          <w:p>
            <w:pPr>
              <w:tabs>
                <w:tab w:val="left" w:pos="1337"/>
              </w:tabs>
              <w:spacing w:line="360" w:lineRule="auto"/>
              <w:jc w:val="center"/>
              <w:rPr>
                <w:rFonts w:ascii="宋体" w:hAnsi="宋体"/>
                <w:sz w:val="24"/>
              </w:rPr>
            </w:pPr>
          </w:p>
        </w:tc>
        <w:tc>
          <w:tcPr>
            <w:tcW w:w="2674" w:type="dxa"/>
            <w:tcBorders>
              <w:bottom w:val="single" w:color="auto" w:sz="12" w:space="0"/>
            </w:tcBorders>
            <w:vAlign w:val="center"/>
          </w:tcPr>
          <w:p>
            <w:pPr>
              <w:tabs>
                <w:tab w:val="left" w:pos="1337"/>
              </w:tabs>
              <w:spacing w:line="360" w:lineRule="auto"/>
              <w:jc w:val="center"/>
              <w:rPr>
                <w:rFonts w:ascii="宋体" w:hAnsi="宋体"/>
                <w:sz w:val="24"/>
              </w:rPr>
            </w:pPr>
          </w:p>
        </w:tc>
        <w:tc>
          <w:tcPr>
            <w:tcW w:w="2483" w:type="dxa"/>
            <w:tcBorders>
              <w:bottom w:val="single" w:color="auto" w:sz="12" w:space="0"/>
            </w:tcBorders>
            <w:vAlign w:val="center"/>
          </w:tcPr>
          <w:p>
            <w:pPr>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tabs>
                <w:tab w:val="left" w:pos="1337"/>
              </w:tabs>
              <w:spacing w:line="360" w:lineRule="auto"/>
              <w:jc w:val="center"/>
              <w:rPr>
                <w:rFonts w:ascii="宋体" w:hAnsi="宋体"/>
                <w:sz w:val="24"/>
              </w:rPr>
            </w:pPr>
          </w:p>
        </w:tc>
      </w:tr>
    </w:tbl>
    <w:p>
      <w:pPr>
        <w:spacing w:line="360" w:lineRule="auto"/>
        <w:ind w:left="2"/>
        <w:rPr>
          <w:rFonts w:ascii="宋体" w:hAnsi="宋体"/>
          <w:sz w:val="24"/>
        </w:rPr>
      </w:pPr>
      <w:r>
        <w:rPr>
          <w:rFonts w:hint="eastAsia" w:ascii="宋体" w:hAnsi="宋体"/>
          <w:sz w:val="24"/>
        </w:rPr>
        <w:t>说明：如投标人提交的服务条款与招标文件的要求存在偏离，需逐项填写《服务项目偏离表》。</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Noto Sans Mono CJK JP Regular">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86D41"/>
    <w:multiLevelType w:val="singleLevel"/>
    <w:tmpl w:val="C4E86D41"/>
    <w:lvl w:ilvl="0" w:tentative="0">
      <w:start w:val="1"/>
      <w:numFmt w:val="decimal"/>
      <w:suff w:val="nothing"/>
      <w:lvlText w:val="%1、"/>
      <w:lvlJc w:val="left"/>
    </w:lvl>
  </w:abstractNum>
  <w:abstractNum w:abstractNumId="1">
    <w:nsid w:val="2458246C"/>
    <w:multiLevelType w:val="singleLevel"/>
    <w:tmpl w:val="2458246C"/>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71"/>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25"/>
    <w:rsid w:val="00000190"/>
    <w:rsid w:val="00000957"/>
    <w:rsid w:val="00000BEF"/>
    <w:rsid w:val="00000ED2"/>
    <w:rsid w:val="000010F1"/>
    <w:rsid w:val="0000114B"/>
    <w:rsid w:val="00001698"/>
    <w:rsid w:val="0000190B"/>
    <w:rsid w:val="00002342"/>
    <w:rsid w:val="000025A4"/>
    <w:rsid w:val="000026A6"/>
    <w:rsid w:val="00002AA1"/>
    <w:rsid w:val="00002FB0"/>
    <w:rsid w:val="00003089"/>
    <w:rsid w:val="00003815"/>
    <w:rsid w:val="00003816"/>
    <w:rsid w:val="00003BA8"/>
    <w:rsid w:val="00003F79"/>
    <w:rsid w:val="00004331"/>
    <w:rsid w:val="00004665"/>
    <w:rsid w:val="0000515F"/>
    <w:rsid w:val="0000563C"/>
    <w:rsid w:val="00005836"/>
    <w:rsid w:val="00005908"/>
    <w:rsid w:val="00005B0D"/>
    <w:rsid w:val="00005B26"/>
    <w:rsid w:val="0000656F"/>
    <w:rsid w:val="00006A6F"/>
    <w:rsid w:val="00006E41"/>
    <w:rsid w:val="00006E7E"/>
    <w:rsid w:val="000076B3"/>
    <w:rsid w:val="000100D9"/>
    <w:rsid w:val="00010411"/>
    <w:rsid w:val="00010A45"/>
    <w:rsid w:val="00010DA8"/>
    <w:rsid w:val="0001266D"/>
    <w:rsid w:val="00012ECB"/>
    <w:rsid w:val="00013287"/>
    <w:rsid w:val="00013304"/>
    <w:rsid w:val="000138A8"/>
    <w:rsid w:val="00013B4A"/>
    <w:rsid w:val="00014DC2"/>
    <w:rsid w:val="000152A0"/>
    <w:rsid w:val="00015A83"/>
    <w:rsid w:val="00015A8B"/>
    <w:rsid w:val="00015C59"/>
    <w:rsid w:val="00015CFC"/>
    <w:rsid w:val="00015EB0"/>
    <w:rsid w:val="00015FBF"/>
    <w:rsid w:val="000162AD"/>
    <w:rsid w:val="000169FA"/>
    <w:rsid w:val="0001715A"/>
    <w:rsid w:val="000174EB"/>
    <w:rsid w:val="00017B46"/>
    <w:rsid w:val="00017C4B"/>
    <w:rsid w:val="00017E59"/>
    <w:rsid w:val="00017FD7"/>
    <w:rsid w:val="0002146D"/>
    <w:rsid w:val="00021481"/>
    <w:rsid w:val="000214E0"/>
    <w:rsid w:val="00021C6E"/>
    <w:rsid w:val="00021DD5"/>
    <w:rsid w:val="00021DDD"/>
    <w:rsid w:val="00021F3C"/>
    <w:rsid w:val="00022406"/>
    <w:rsid w:val="00022B2F"/>
    <w:rsid w:val="00023204"/>
    <w:rsid w:val="000233FE"/>
    <w:rsid w:val="00024048"/>
    <w:rsid w:val="00024171"/>
    <w:rsid w:val="00024254"/>
    <w:rsid w:val="00024A7A"/>
    <w:rsid w:val="00024B49"/>
    <w:rsid w:val="00025227"/>
    <w:rsid w:val="00025342"/>
    <w:rsid w:val="00025383"/>
    <w:rsid w:val="0002551C"/>
    <w:rsid w:val="00025906"/>
    <w:rsid w:val="00025A5A"/>
    <w:rsid w:val="0002616E"/>
    <w:rsid w:val="00026256"/>
    <w:rsid w:val="000269AD"/>
    <w:rsid w:val="00026A42"/>
    <w:rsid w:val="00026B63"/>
    <w:rsid w:val="00027040"/>
    <w:rsid w:val="00027549"/>
    <w:rsid w:val="000275CF"/>
    <w:rsid w:val="000317C5"/>
    <w:rsid w:val="00031C4D"/>
    <w:rsid w:val="00031E5C"/>
    <w:rsid w:val="0003255C"/>
    <w:rsid w:val="00032839"/>
    <w:rsid w:val="0003287D"/>
    <w:rsid w:val="0003294F"/>
    <w:rsid w:val="00032A46"/>
    <w:rsid w:val="00032D5C"/>
    <w:rsid w:val="00032D94"/>
    <w:rsid w:val="000334F9"/>
    <w:rsid w:val="00033D3B"/>
    <w:rsid w:val="00034057"/>
    <w:rsid w:val="00034962"/>
    <w:rsid w:val="000349E5"/>
    <w:rsid w:val="00034A30"/>
    <w:rsid w:val="000358CB"/>
    <w:rsid w:val="000367A1"/>
    <w:rsid w:val="000367B7"/>
    <w:rsid w:val="0003685C"/>
    <w:rsid w:val="00036E9D"/>
    <w:rsid w:val="000372BC"/>
    <w:rsid w:val="00037DE8"/>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6F8"/>
    <w:rsid w:val="0005170C"/>
    <w:rsid w:val="00051759"/>
    <w:rsid w:val="00051E36"/>
    <w:rsid w:val="00052D20"/>
    <w:rsid w:val="00052E1F"/>
    <w:rsid w:val="000530F6"/>
    <w:rsid w:val="0005331E"/>
    <w:rsid w:val="00053555"/>
    <w:rsid w:val="000537CD"/>
    <w:rsid w:val="00053B63"/>
    <w:rsid w:val="00053FFC"/>
    <w:rsid w:val="000546C1"/>
    <w:rsid w:val="000547B3"/>
    <w:rsid w:val="00054EC5"/>
    <w:rsid w:val="0005653E"/>
    <w:rsid w:val="0005654F"/>
    <w:rsid w:val="00056D58"/>
    <w:rsid w:val="000572BF"/>
    <w:rsid w:val="0005752D"/>
    <w:rsid w:val="000576FC"/>
    <w:rsid w:val="0006009E"/>
    <w:rsid w:val="000602CC"/>
    <w:rsid w:val="000605C5"/>
    <w:rsid w:val="0006083A"/>
    <w:rsid w:val="00060B1D"/>
    <w:rsid w:val="00060D9F"/>
    <w:rsid w:val="00060EA8"/>
    <w:rsid w:val="00061AAB"/>
    <w:rsid w:val="00061E16"/>
    <w:rsid w:val="00062108"/>
    <w:rsid w:val="00062534"/>
    <w:rsid w:val="000626E7"/>
    <w:rsid w:val="00062DC7"/>
    <w:rsid w:val="00063340"/>
    <w:rsid w:val="000634DA"/>
    <w:rsid w:val="00063610"/>
    <w:rsid w:val="0006442D"/>
    <w:rsid w:val="000644FD"/>
    <w:rsid w:val="00064B93"/>
    <w:rsid w:val="00064BB1"/>
    <w:rsid w:val="00064CC7"/>
    <w:rsid w:val="00064CD3"/>
    <w:rsid w:val="00064E8F"/>
    <w:rsid w:val="00065245"/>
    <w:rsid w:val="00065732"/>
    <w:rsid w:val="00065B9A"/>
    <w:rsid w:val="00065E5F"/>
    <w:rsid w:val="00066261"/>
    <w:rsid w:val="00066498"/>
    <w:rsid w:val="0006678E"/>
    <w:rsid w:val="00066837"/>
    <w:rsid w:val="00066CAD"/>
    <w:rsid w:val="00067D1D"/>
    <w:rsid w:val="00070B28"/>
    <w:rsid w:val="00070E3A"/>
    <w:rsid w:val="00071333"/>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5907"/>
    <w:rsid w:val="0007694A"/>
    <w:rsid w:val="00076B0B"/>
    <w:rsid w:val="00076CBE"/>
    <w:rsid w:val="000775AE"/>
    <w:rsid w:val="000777B4"/>
    <w:rsid w:val="00077B5F"/>
    <w:rsid w:val="00080175"/>
    <w:rsid w:val="00080858"/>
    <w:rsid w:val="00080A62"/>
    <w:rsid w:val="00081A34"/>
    <w:rsid w:val="00081CDA"/>
    <w:rsid w:val="000820C8"/>
    <w:rsid w:val="000822FC"/>
    <w:rsid w:val="00082AEB"/>
    <w:rsid w:val="0008303F"/>
    <w:rsid w:val="000830F3"/>
    <w:rsid w:val="0008337D"/>
    <w:rsid w:val="00083CF6"/>
    <w:rsid w:val="00085017"/>
    <w:rsid w:val="000852A6"/>
    <w:rsid w:val="00085305"/>
    <w:rsid w:val="00085DAB"/>
    <w:rsid w:val="000860E5"/>
    <w:rsid w:val="000860EE"/>
    <w:rsid w:val="00086327"/>
    <w:rsid w:val="00086B8A"/>
    <w:rsid w:val="00086D3A"/>
    <w:rsid w:val="000872F0"/>
    <w:rsid w:val="0008757F"/>
    <w:rsid w:val="00087621"/>
    <w:rsid w:val="0008764C"/>
    <w:rsid w:val="00090910"/>
    <w:rsid w:val="00090B31"/>
    <w:rsid w:val="00090FBA"/>
    <w:rsid w:val="0009104C"/>
    <w:rsid w:val="000913BA"/>
    <w:rsid w:val="000915E6"/>
    <w:rsid w:val="000918E1"/>
    <w:rsid w:val="0009193D"/>
    <w:rsid w:val="0009270F"/>
    <w:rsid w:val="000928EE"/>
    <w:rsid w:val="00092C27"/>
    <w:rsid w:val="00092C28"/>
    <w:rsid w:val="00092C5B"/>
    <w:rsid w:val="0009307F"/>
    <w:rsid w:val="00093695"/>
    <w:rsid w:val="000936CF"/>
    <w:rsid w:val="00093B52"/>
    <w:rsid w:val="00093F2E"/>
    <w:rsid w:val="0009419F"/>
    <w:rsid w:val="0009438D"/>
    <w:rsid w:val="00094B47"/>
    <w:rsid w:val="00094E25"/>
    <w:rsid w:val="0009515D"/>
    <w:rsid w:val="00095E39"/>
    <w:rsid w:val="0009673F"/>
    <w:rsid w:val="0009677E"/>
    <w:rsid w:val="00097306"/>
    <w:rsid w:val="00097686"/>
    <w:rsid w:val="00097788"/>
    <w:rsid w:val="000979CF"/>
    <w:rsid w:val="000A03FB"/>
    <w:rsid w:val="000A0B1F"/>
    <w:rsid w:val="000A0BEB"/>
    <w:rsid w:val="000A0EAF"/>
    <w:rsid w:val="000A1AB7"/>
    <w:rsid w:val="000A2A84"/>
    <w:rsid w:val="000A2D3F"/>
    <w:rsid w:val="000A2FFA"/>
    <w:rsid w:val="000A32FD"/>
    <w:rsid w:val="000A388F"/>
    <w:rsid w:val="000A3CAD"/>
    <w:rsid w:val="000A3CD2"/>
    <w:rsid w:val="000A3EC2"/>
    <w:rsid w:val="000A401D"/>
    <w:rsid w:val="000A4785"/>
    <w:rsid w:val="000A4B9F"/>
    <w:rsid w:val="000A4CB9"/>
    <w:rsid w:val="000A537F"/>
    <w:rsid w:val="000A54AE"/>
    <w:rsid w:val="000A5591"/>
    <w:rsid w:val="000A5B66"/>
    <w:rsid w:val="000A657F"/>
    <w:rsid w:val="000A6699"/>
    <w:rsid w:val="000A66E1"/>
    <w:rsid w:val="000A6780"/>
    <w:rsid w:val="000A69F1"/>
    <w:rsid w:val="000A6CB1"/>
    <w:rsid w:val="000A6FCF"/>
    <w:rsid w:val="000A72EC"/>
    <w:rsid w:val="000A771A"/>
    <w:rsid w:val="000A787C"/>
    <w:rsid w:val="000A7A7C"/>
    <w:rsid w:val="000B0058"/>
    <w:rsid w:val="000B016C"/>
    <w:rsid w:val="000B05EB"/>
    <w:rsid w:val="000B1019"/>
    <w:rsid w:val="000B1761"/>
    <w:rsid w:val="000B17F6"/>
    <w:rsid w:val="000B1AD3"/>
    <w:rsid w:val="000B1AE6"/>
    <w:rsid w:val="000B1E80"/>
    <w:rsid w:val="000B1ED5"/>
    <w:rsid w:val="000B1F08"/>
    <w:rsid w:val="000B2353"/>
    <w:rsid w:val="000B2571"/>
    <w:rsid w:val="000B2C4B"/>
    <w:rsid w:val="000B30D6"/>
    <w:rsid w:val="000B317E"/>
    <w:rsid w:val="000B35D6"/>
    <w:rsid w:val="000B3786"/>
    <w:rsid w:val="000B4347"/>
    <w:rsid w:val="000B5972"/>
    <w:rsid w:val="000B5A29"/>
    <w:rsid w:val="000B5F84"/>
    <w:rsid w:val="000B6362"/>
    <w:rsid w:val="000B66A6"/>
    <w:rsid w:val="000B6707"/>
    <w:rsid w:val="000B7ECF"/>
    <w:rsid w:val="000C0292"/>
    <w:rsid w:val="000C092E"/>
    <w:rsid w:val="000C0AB2"/>
    <w:rsid w:val="000C0CA2"/>
    <w:rsid w:val="000C0D08"/>
    <w:rsid w:val="000C0F9E"/>
    <w:rsid w:val="000C1029"/>
    <w:rsid w:val="000C14FF"/>
    <w:rsid w:val="000C2293"/>
    <w:rsid w:val="000C3E53"/>
    <w:rsid w:val="000C417C"/>
    <w:rsid w:val="000C431F"/>
    <w:rsid w:val="000C55CA"/>
    <w:rsid w:val="000C6FBF"/>
    <w:rsid w:val="000C705A"/>
    <w:rsid w:val="000D0EDF"/>
    <w:rsid w:val="000D0EF0"/>
    <w:rsid w:val="000D0F09"/>
    <w:rsid w:val="000D0FBD"/>
    <w:rsid w:val="000D0FF3"/>
    <w:rsid w:val="000D15E3"/>
    <w:rsid w:val="000D17F3"/>
    <w:rsid w:val="000D1AAE"/>
    <w:rsid w:val="000D1C4B"/>
    <w:rsid w:val="000D1F44"/>
    <w:rsid w:val="000D2007"/>
    <w:rsid w:val="000D20CA"/>
    <w:rsid w:val="000D219D"/>
    <w:rsid w:val="000D23D3"/>
    <w:rsid w:val="000D260C"/>
    <w:rsid w:val="000D2DF6"/>
    <w:rsid w:val="000D3650"/>
    <w:rsid w:val="000D41D5"/>
    <w:rsid w:val="000D42F7"/>
    <w:rsid w:val="000D44C4"/>
    <w:rsid w:val="000D46C5"/>
    <w:rsid w:val="000D496D"/>
    <w:rsid w:val="000D4A84"/>
    <w:rsid w:val="000D4EC1"/>
    <w:rsid w:val="000D6186"/>
    <w:rsid w:val="000D6301"/>
    <w:rsid w:val="000D6B4E"/>
    <w:rsid w:val="000D70FD"/>
    <w:rsid w:val="000D7792"/>
    <w:rsid w:val="000E0387"/>
    <w:rsid w:val="000E04B8"/>
    <w:rsid w:val="000E062A"/>
    <w:rsid w:val="000E0B53"/>
    <w:rsid w:val="000E11D3"/>
    <w:rsid w:val="000E137E"/>
    <w:rsid w:val="000E1540"/>
    <w:rsid w:val="000E29C5"/>
    <w:rsid w:val="000E2F42"/>
    <w:rsid w:val="000E31C9"/>
    <w:rsid w:val="000E3553"/>
    <w:rsid w:val="000E361A"/>
    <w:rsid w:val="000E3711"/>
    <w:rsid w:val="000E37FE"/>
    <w:rsid w:val="000E3A88"/>
    <w:rsid w:val="000E4638"/>
    <w:rsid w:val="000E4C0F"/>
    <w:rsid w:val="000E4C1C"/>
    <w:rsid w:val="000E4D70"/>
    <w:rsid w:val="000E516A"/>
    <w:rsid w:val="000E51AB"/>
    <w:rsid w:val="000E6238"/>
    <w:rsid w:val="000E658F"/>
    <w:rsid w:val="000E68BF"/>
    <w:rsid w:val="000E6A2A"/>
    <w:rsid w:val="000E76B3"/>
    <w:rsid w:val="000E7AF5"/>
    <w:rsid w:val="000F00C9"/>
    <w:rsid w:val="000F02C6"/>
    <w:rsid w:val="000F16EE"/>
    <w:rsid w:val="000F2484"/>
    <w:rsid w:val="000F3487"/>
    <w:rsid w:val="000F3698"/>
    <w:rsid w:val="000F3DB8"/>
    <w:rsid w:val="000F3FFD"/>
    <w:rsid w:val="000F458C"/>
    <w:rsid w:val="000F464C"/>
    <w:rsid w:val="000F4731"/>
    <w:rsid w:val="000F48D2"/>
    <w:rsid w:val="000F4D9B"/>
    <w:rsid w:val="000F514E"/>
    <w:rsid w:val="000F5389"/>
    <w:rsid w:val="000F5625"/>
    <w:rsid w:val="000F5E2C"/>
    <w:rsid w:val="000F6E94"/>
    <w:rsid w:val="000F74A9"/>
    <w:rsid w:val="000F7546"/>
    <w:rsid w:val="000F7877"/>
    <w:rsid w:val="000F7B8A"/>
    <w:rsid w:val="000F7FF1"/>
    <w:rsid w:val="001000A0"/>
    <w:rsid w:val="0010042C"/>
    <w:rsid w:val="00100450"/>
    <w:rsid w:val="001007AD"/>
    <w:rsid w:val="001007E8"/>
    <w:rsid w:val="00100F62"/>
    <w:rsid w:val="00100FFC"/>
    <w:rsid w:val="0010119F"/>
    <w:rsid w:val="00101718"/>
    <w:rsid w:val="001020C4"/>
    <w:rsid w:val="001021B0"/>
    <w:rsid w:val="00102B46"/>
    <w:rsid w:val="00102E6D"/>
    <w:rsid w:val="001031E9"/>
    <w:rsid w:val="001037C8"/>
    <w:rsid w:val="00103D21"/>
    <w:rsid w:val="0010430C"/>
    <w:rsid w:val="00104636"/>
    <w:rsid w:val="00104B10"/>
    <w:rsid w:val="00104F2D"/>
    <w:rsid w:val="001050E4"/>
    <w:rsid w:val="0010553B"/>
    <w:rsid w:val="00105D2F"/>
    <w:rsid w:val="001073F7"/>
    <w:rsid w:val="00107B89"/>
    <w:rsid w:val="00107BCF"/>
    <w:rsid w:val="00107C72"/>
    <w:rsid w:val="00107F7C"/>
    <w:rsid w:val="001101A6"/>
    <w:rsid w:val="001101D2"/>
    <w:rsid w:val="00110690"/>
    <w:rsid w:val="001109DD"/>
    <w:rsid w:val="00111027"/>
    <w:rsid w:val="001110DF"/>
    <w:rsid w:val="00111156"/>
    <w:rsid w:val="00111345"/>
    <w:rsid w:val="00111370"/>
    <w:rsid w:val="001113BD"/>
    <w:rsid w:val="00111562"/>
    <w:rsid w:val="001119D4"/>
    <w:rsid w:val="00111CA1"/>
    <w:rsid w:val="00111CC4"/>
    <w:rsid w:val="00111E33"/>
    <w:rsid w:val="00112170"/>
    <w:rsid w:val="00112786"/>
    <w:rsid w:val="00112B5E"/>
    <w:rsid w:val="0011338B"/>
    <w:rsid w:val="00113AD6"/>
    <w:rsid w:val="001145B3"/>
    <w:rsid w:val="00115DCF"/>
    <w:rsid w:val="00115DD7"/>
    <w:rsid w:val="00116222"/>
    <w:rsid w:val="00116377"/>
    <w:rsid w:val="001165F8"/>
    <w:rsid w:val="00116EDF"/>
    <w:rsid w:val="00116F1C"/>
    <w:rsid w:val="0011731C"/>
    <w:rsid w:val="00117A65"/>
    <w:rsid w:val="00117E0A"/>
    <w:rsid w:val="00120577"/>
    <w:rsid w:val="00120D9C"/>
    <w:rsid w:val="0012145D"/>
    <w:rsid w:val="00121554"/>
    <w:rsid w:val="0012188C"/>
    <w:rsid w:val="001221A6"/>
    <w:rsid w:val="0012225E"/>
    <w:rsid w:val="00122391"/>
    <w:rsid w:val="00122536"/>
    <w:rsid w:val="001227D5"/>
    <w:rsid w:val="00122EE7"/>
    <w:rsid w:val="001230A0"/>
    <w:rsid w:val="001238EE"/>
    <w:rsid w:val="00123DB9"/>
    <w:rsid w:val="00123FC4"/>
    <w:rsid w:val="00124A67"/>
    <w:rsid w:val="00124ACF"/>
    <w:rsid w:val="0012542B"/>
    <w:rsid w:val="0012544D"/>
    <w:rsid w:val="00125DA0"/>
    <w:rsid w:val="00126368"/>
    <w:rsid w:val="00126380"/>
    <w:rsid w:val="00127066"/>
    <w:rsid w:val="001271C9"/>
    <w:rsid w:val="001271DC"/>
    <w:rsid w:val="0012767B"/>
    <w:rsid w:val="00127C66"/>
    <w:rsid w:val="001302FE"/>
    <w:rsid w:val="001306C7"/>
    <w:rsid w:val="001308B5"/>
    <w:rsid w:val="001310F1"/>
    <w:rsid w:val="0013124E"/>
    <w:rsid w:val="00131566"/>
    <w:rsid w:val="00131FE5"/>
    <w:rsid w:val="001320B4"/>
    <w:rsid w:val="00132479"/>
    <w:rsid w:val="00132932"/>
    <w:rsid w:val="00132D7D"/>
    <w:rsid w:val="00132D9D"/>
    <w:rsid w:val="00132E9B"/>
    <w:rsid w:val="00133949"/>
    <w:rsid w:val="00133BA3"/>
    <w:rsid w:val="00133BFE"/>
    <w:rsid w:val="00133E50"/>
    <w:rsid w:val="0013413B"/>
    <w:rsid w:val="001341FA"/>
    <w:rsid w:val="00134598"/>
    <w:rsid w:val="00134952"/>
    <w:rsid w:val="00135021"/>
    <w:rsid w:val="00135E46"/>
    <w:rsid w:val="001360F7"/>
    <w:rsid w:val="00136281"/>
    <w:rsid w:val="00136629"/>
    <w:rsid w:val="001366BE"/>
    <w:rsid w:val="00136773"/>
    <w:rsid w:val="0013691A"/>
    <w:rsid w:val="00136F58"/>
    <w:rsid w:val="00137647"/>
    <w:rsid w:val="00137685"/>
    <w:rsid w:val="0014006B"/>
    <w:rsid w:val="00140AA1"/>
    <w:rsid w:val="00140C79"/>
    <w:rsid w:val="00140D36"/>
    <w:rsid w:val="00141118"/>
    <w:rsid w:val="00141ED6"/>
    <w:rsid w:val="0014249C"/>
    <w:rsid w:val="00142B63"/>
    <w:rsid w:val="001430D8"/>
    <w:rsid w:val="00143494"/>
    <w:rsid w:val="0014360F"/>
    <w:rsid w:val="00143BF0"/>
    <w:rsid w:val="00143DED"/>
    <w:rsid w:val="001441C9"/>
    <w:rsid w:val="00144502"/>
    <w:rsid w:val="00145B19"/>
    <w:rsid w:val="00145C2C"/>
    <w:rsid w:val="00145C4E"/>
    <w:rsid w:val="00145F29"/>
    <w:rsid w:val="00146187"/>
    <w:rsid w:val="0014654F"/>
    <w:rsid w:val="001467E7"/>
    <w:rsid w:val="00146983"/>
    <w:rsid w:val="00147232"/>
    <w:rsid w:val="00147760"/>
    <w:rsid w:val="001477D5"/>
    <w:rsid w:val="001501E4"/>
    <w:rsid w:val="00150AC2"/>
    <w:rsid w:val="00150B31"/>
    <w:rsid w:val="00150B34"/>
    <w:rsid w:val="00150DC0"/>
    <w:rsid w:val="001513A5"/>
    <w:rsid w:val="001513DA"/>
    <w:rsid w:val="00151476"/>
    <w:rsid w:val="0015290D"/>
    <w:rsid w:val="00153CD5"/>
    <w:rsid w:val="00154485"/>
    <w:rsid w:val="0015453C"/>
    <w:rsid w:val="001553CF"/>
    <w:rsid w:val="001558E4"/>
    <w:rsid w:val="00155D5E"/>
    <w:rsid w:val="00156B70"/>
    <w:rsid w:val="00156C17"/>
    <w:rsid w:val="00156EE4"/>
    <w:rsid w:val="00160F37"/>
    <w:rsid w:val="001611A0"/>
    <w:rsid w:val="00161666"/>
    <w:rsid w:val="001618AD"/>
    <w:rsid w:val="001618CF"/>
    <w:rsid w:val="00161AD1"/>
    <w:rsid w:val="00162339"/>
    <w:rsid w:val="00162D36"/>
    <w:rsid w:val="00162E51"/>
    <w:rsid w:val="0016313E"/>
    <w:rsid w:val="0016315A"/>
    <w:rsid w:val="00163396"/>
    <w:rsid w:val="001637D3"/>
    <w:rsid w:val="00163F7E"/>
    <w:rsid w:val="00164948"/>
    <w:rsid w:val="001653DF"/>
    <w:rsid w:val="00166108"/>
    <w:rsid w:val="001662D8"/>
    <w:rsid w:val="001663F3"/>
    <w:rsid w:val="0016692D"/>
    <w:rsid w:val="00166BC6"/>
    <w:rsid w:val="00167F0C"/>
    <w:rsid w:val="0017009C"/>
    <w:rsid w:val="00170243"/>
    <w:rsid w:val="00170727"/>
    <w:rsid w:val="00170CC8"/>
    <w:rsid w:val="001710B6"/>
    <w:rsid w:val="0017174E"/>
    <w:rsid w:val="0017197C"/>
    <w:rsid w:val="001719E5"/>
    <w:rsid w:val="00171C07"/>
    <w:rsid w:val="00171C34"/>
    <w:rsid w:val="00171CDF"/>
    <w:rsid w:val="00172D28"/>
    <w:rsid w:val="00173A54"/>
    <w:rsid w:val="00173A9E"/>
    <w:rsid w:val="00173F05"/>
    <w:rsid w:val="00173FA9"/>
    <w:rsid w:val="00173FB7"/>
    <w:rsid w:val="00173FC9"/>
    <w:rsid w:val="001743F9"/>
    <w:rsid w:val="0017489B"/>
    <w:rsid w:val="00174AC6"/>
    <w:rsid w:val="00174BB2"/>
    <w:rsid w:val="0017538D"/>
    <w:rsid w:val="001758C9"/>
    <w:rsid w:val="001761AF"/>
    <w:rsid w:val="001768E4"/>
    <w:rsid w:val="0017752F"/>
    <w:rsid w:val="001806B2"/>
    <w:rsid w:val="001806D6"/>
    <w:rsid w:val="00181E97"/>
    <w:rsid w:val="001820F9"/>
    <w:rsid w:val="00182918"/>
    <w:rsid w:val="001832EB"/>
    <w:rsid w:val="001837DD"/>
    <w:rsid w:val="0018385A"/>
    <w:rsid w:val="00183C77"/>
    <w:rsid w:val="00183D3F"/>
    <w:rsid w:val="00184063"/>
    <w:rsid w:val="0018413D"/>
    <w:rsid w:val="00184294"/>
    <w:rsid w:val="0018490A"/>
    <w:rsid w:val="001851A9"/>
    <w:rsid w:val="0018587D"/>
    <w:rsid w:val="00185CA6"/>
    <w:rsid w:val="00185DD2"/>
    <w:rsid w:val="0018624A"/>
    <w:rsid w:val="001867C4"/>
    <w:rsid w:val="001871C9"/>
    <w:rsid w:val="0018729D"/>
    <w:rsid w:val="00187452"/>
    <w:rsid w:val="0018767E"/>
    <w:rsid w:val="00187FF9"/>
    <w:rsid w:val="00190379"/>
    <w:rsid w:val="00190C26"/>
    <w:rsid w:val="00190E20"/>
    <w:rsid w:val="0019175D"/>
    <w:rsid w:val="00192172"/>
    <w:rsid w:val="00192493"/>
    <w:rsid w:val="00193275"/>
    <w:rsid w:val="00193528"/>
    <w:rsid w:val="00193652"/>
    <w:rsid w:val="001938A0"/>
    <w:rsid w:val="00193DA9"/>
    <w:rsid w:val="00193F29"/>
    <w:rsid w:val="001941B1"/>
    <w:rsid w:val="00194324"/>
    <w:rsid w:val="0019458A"/>
    <w:rsid w:val="00195D14"/>
    <w:rsid w:val="00195EDB"/>
    <w:rsid w:val="0019680C"/>
    <w:rsid w:val="00196C86"/>
    <w:rsid w:val="00196D0A"/>
    <w:rsid w:val="001973B3"/>
    <w:rsid w:val="001977E5"/>
    <w:rsid w:val="001979E0"/>
    <w:rsid w:val="00197A7F"/>
    <w:rsid w:val="00197A83"/>
    <w:rsid w:val="00197AF2"/>
    <w:rsid w:val="00197C32"/>
    <w:rsid w:val="001A020D"/>
    <w:rsid w:val="001A0816"/>
    <w:rsid w:val="001A088C"/>
    <w:rsid w:val="001A0DA6"/>
    <w:rsid w:val="001A13F2"/>
    <w:rsid w:val="001A1585"/>
    <w:rsid w:val="001A1C2C"/>
    <w:rsid w:val="001A1F06"/>
    <w:rsid w:val="001A2164"/>
    <w:rsid w:val="001A268D"/>
    <w:rsid w:val="001A27F3"/>
    <w:rsid w:val="001A2C83"/>
    <w:rsid w:val="001A306A"/>
    <w:rsid w:val="001A3247"/>
    <w:rsid w:val="001A3919"/>
    <w:rsid w:val="001A3A39"/>
    <w:rsid w:val="001A3C0C"/>
    <w:rsid w:val="001A3FAC"/>
    <w:rsid w:val="001A4C97"/>
    <w:rsid w:val="001A5018"/>
    <w:rsid w:val="001A5376"/>
    <w:rsid w:val="001A5DBC"/>
    <w:rsid w:val="001A5DC5"/>
    <w:rsid w:val="001A6EFA"/>
    <w:rsid w:val="001A7BEB"/>
    <w:rsid w:val="001A7E2D"/>
    <w:rsid w:val="001B00B5"/>
    <w:rsid w:val="001B0328"/>
    <w:rsid w:val="001B04EB"/>
    <w:rsid w:val="001B0A5B"/>
    <w:rsid w:val="001B1B6F"/>
    <w:rsid w:val="001B1DB7"/>
    <w:rsid w:val="001B2830"/>
    <w:rsid w:val="001B2918"/>
    <w:rsid w:val="001B2C66"/>
    <w:rsid w:val="001B2E9C"/>
    <w:rsid w:val="001B300C"/>
    <w:rsid w:val="001B3332"/>
    <w:rsid w:val="001B3632"/>
    <w:rsid w:val="001B38D6"/>
    <w:rsid w:val="001B3B92"/>
    <w:rsid w:val="001B3C1A"/>
    <w:rsid w:val="001B45CE"/>
    <w:rsid w:val="001B4778"/>
    <w:rsid w:val="001B4805"/>
    <w:rsid w:val="001B480B"/>
    <w:rsid w:val="001B496E"/>
    <w:rsid w:val="001B4F97"/>
    <w:rsid w:val="001B50CE"/>
    <w:rsid w:val="001B5207"/>
    <w:rsid w:val="001B53E8"/>
    <w:rsid w:val="001B5AA6"/>
    <w:rsid w:val="001B5BE8"/>
    <w:rsid w:val="001B5CE7"/>
    <w:rsid w:val="001B5FA8"/>
    <w:rsid w:val="001B65B1"/>
    <w:rsid w:val="001B6941"/>
    <w:rsid w:val="001B7241"/>
    <w:rsid w:val="001B7F4A"/>
    <w:rsid w:val="001C010D"/>
    <w:rsid w:val="001C0658"/>
    <w:rsid w:val="001C0AD6"/>
    <w:rsid w:val="001C0E1F"/>
    <w:rsid w:val="001C0F98"/>
    <w:rsid w:val="001C1129"/>
    <w:rsid w:val="001C14A8"/>
    <w:rsid w:val="001C1944"/>
    <w:rsid w:val="001C1C89"/>
    <w:rsid w:val="001C21BC"/>
    <w:rsid w:val="001C27C7"/>
    <w:rsid w:val="001C28C3"/>
    <w:rsid w:val="001C2B03"/>
    <w:rsid w:val="001C2E4C"/>
    <w:rsid w:val="001C364C"/>
    <w:rsid w:val="001C3940"/>
    <w:rsid w:val="001C3CAC"/>
    <w:rsid w:val="001C468C"/>
    <w:rsid w:val="001C5038"/>
    <w:rsid w:val="001C52AE"/>
    <w:rsid w:val="001C53EB"/>
    <w:rsid w:val="001C5B95"/>
    <w:rsid w:val="001C5ECE"/>
    <w:rsid w:val="001C607E"/>
    <w:rsid w:val="001C6CE6"/>
    <w:rsid w:val="001C7F3D"/>
    <w:rsid w:val="001D024C"/>
    <w:rsid w:val="001D07AE"/>
    <w:rsid w:val="001D0B68"/>
    <w:rsid w:val="001D229F"/>
    <w:rsid w:val="001D2360"/>
    <w:rsid w:val="001D236A"/>
    <w:rsid w:val="001D25AD"/>
    <w:rsid w:val="001D2A9A"/>
    <w:rsid w:val="001D396E"/>
    <w:rsid w:val="001D3CE1"/>
    <w:rsid w:val="001D3E94"/>
    <w:rsid w:val="001D4A16"/>
    <w:rsid w:val="001D4ED9"/>
    <w:rsid w:val="001D5156"/>
    <w:rsid w:val="001D531D"/>
    <w:rsid w:val="001D56F6"/>
    <w:rsid w:val="001D5F3B"/>
    <w:rsid w:val="001D6D3A"/>
    <w:rsid w:val="001D76C9"/>
    <w:rsid w:val="001D7703"/>
    <w:rsid w:val="001E0515"/>
    <w:rsid w:val="001E0528"/>
    <w:rsid w:val="001E0C22"/>
    <w:rsid w:val="001E12D8"/>
    <w:rsid w:val="001E1DB2"/>
    <w:rsid w:val="001E1E43"/>
    <w:rsid w:val="001E2C93"/>
    <w:rsid w:val="001E3473"/>
    <w:rsid w:val="001E3C00"/>
    <w:rsid w:val="001E4412"/>
    <w:rsid w:val="001E5EBC"/>
    <w:rsid w:val="001E64DC"/>
    <w:rsid w:val="001E6DE6"/>
    <w:rsid w:val="001E7394"/>
    <w:rsid w:val="001E73BD"/>
    <w:rsid w:val="001E74BC"/>
    <w:rsid w:val="001E7647"/>
    <w:rsid w:val="001E7805"/>
    <w:rsid w:val="001F03BF"/>
    <w:rsid w:val="001F0F63"/>
    <w:rsid w:val="001F166A"/>
    <w:rsid w:val="001F17DE"/>
    <w:rsid w:val="001F2009"/>
    <w:rsid w:val="001F29CD"/>
    <w:rsid w:val="001F34B5"/>
    <w:rsid w:val="001F37EE"/>
    <w:rsid w:val="001F3B41"/>
    <w:rsid w:val="001F3C7A"/>
    <w:rsid w:val="001F3CAA"/>
    <w:rsid w:val="001F464C"/>
    <w:rsid w:val="001F50F2"/>
    <w:rsid w:val="001F56FC"/>
    <w:rsid w:val="001F5A4D"/>
    <w:rsid w:val="001F5BC2"/>
    <w:rsid w:val="001F5EF6"/>
    <w:rsid w:val="001F69BC"/>
    <w:rsid w:val="001F6DD9"/>
    <w:rsid w:val="001F6E23"/>
    <w:rsid w:val="001F77BD"/>
    <w:rsid w:val="002000A1"/>
    <w:rsid w:val="0020153B"/>
    <w:rsid w:val="002015D6"/>
    <w:rsid w:val="00201D38"/>
    <w:rsid w:val="00202056"/>
    <w:rsid w:val="00202137"/>
    <w:rsid w:val="00202574"/>
    <w:rsid w:val="002026E2"/>
    <w:rsid w:val="00202CB1"/>
    <w:rsid w:val="00202F67"/>
    <w:rsid w:val="002033B4"/>
    <w:rsid w:val="002042C6"/>
    <w:rsid w:val="00204532"/>
    <w:rsid w:val="0020486A"/>
    <w:rsid w:val="00204980"/>
    <w:rsid w:val="00204B77"/>
    <w:rsid w:val="002053D2"/>
    <w:rsid w:val="002054E8"/>
    <w:rsid w:val="00205A9F"/>
    <w:rsid w:val="00205B55"/>
    <w:rsid w:val="00205B60"/>
    <w:rsid w:val="002064A5"/>
    <w:rsid w:val="00206FB7"/>
    <w:rsid w:val="002073F1"/>
    <w:rsid w:val="00207F4F"/>
    <w:rsid w:val="00207F52"/>
    <w:rsid w:val="00210F59"/>
    <w:rsid w:val="00210FEE"/>
    <w:rsid w:val="00211202"/>
    <w:rsid w:val="0021185B"/>
    <w:rsid w:val="00211962"/>
    <w:rsid w:val="002120D5"/>
    <w:rsid w:val="00213C6E"/>
    <w:rsid w:val="00214495"/>
    <w:rsid w:val="002151C1"/>
    <w:rsid w:val="00216507"/>
    <w:rsid w:val="00216A37"/>
    <w:rsid w:val="002176B9"/>
    <w:rsid w:val="00217D57"/>
    <w:rsid w:val="002203EA"/>
    <w:rsid w:val="00220459"/>
    <w:rsid w:val="00221AA8"/>
    <w:rsid w:val="00221CB1"/>
    <w:rsid w:val="00221F70"/>
    <w:rsid w:val="00222466"/>
    <w:rsid w:val="0022300C"/>
    <w:rsid w:val="00224132"/>
    <w:rsid w:val="002241EB"/>
    <w:rsid w:val="00224223"/>
    <w:rsid w:val="00224D2A"/>
    <w:rsid w:val="00224D5E"/>
    <w:rsid w:val="00226552"/>
    <w:rsid w:val="002265DD"/>
    <w:rsid w:val="0022695E"/>
    <w:rsid w:val="00226D48"/>
    <w:rsid w:val="00226E59"/>
    <w:rsid w:val="00227AAC"/>
    <w:rsid w:val="00227F9B"/>
    <w:rsid w:val="00230620"/>
    <w:rsid w:val="002306FE"/>
    <w:rsid w:val="0023071F"/>
    <w:rsid w:val="002310E1"/>
    <w:rsid w:val="00231831"/>
    <w:rsid w:val="002318D9"/>
    <w:rsid w:val="002319CA"/>
    <w:rsid w:val="00231E59"/>
    <w:rsid w:val="002321AC"/>
    <w:rsid w:val="00232608"/>
    <w:rsid w:val="00232B05"/>
    <w:rsid w:val="002334B9"/>
    <w:rsid w:val="002336C9"/>
    <w:rsid w:val="00233E67"/>
    <w:rsid w:val="0023478A"/>
    <w:rsid w:val="002348B3"/>
    <w:rsid w:val="00235735"/>
    <w:rsid w:val="00235DB6"/>
    <w:rsid w:val="00235FE6"/>
    <w:rsid w:val="0023675E"/>
    <w:rsid w:val="00236A67"/>
    <w:rsid w:val="00237270"/>
    <w:rsid w:val="00237FFA"/>
    <w:rsid w:val="002402C0"/>
    <w:rsid w:val="0024035D"/>
    <w:rsid w:val="00240BD1"/>
    <w:rsid w:val="00240E57"/>
    <w:rsid w:val="00240EF7"/>
    <w:rsid w:val="00241D54"/>
    <w:rsid w:val="0024221E"/>
    <w:rsid w:val="0024299C"/>
    <w:rsid w:val="00242D6B"/>
    <w:rsid w:val="00242F61"/>
    <w:rsid w:val="002430BC"/>
    <w:rsid w:val="002432AA"/>
    <w:rsid w:val="00243D32"/>
    <w:rsid w:val="00243DCE"/>
    <w:rsid w:val="00244F26"/>
    <w:rsid w:val="0024548C"/>
    <w:rsid w:val="00245666"/>
    <w:rsid w:val="0024680F"/>
    <w:rsid w:val="00246D6E"/>
    <w:rsid w:val="00250028"/>
    <w:rsid w:val="002500DA"/>
    <w:rsid w:val="00250366"/>
    <w:rsid w:val="00250402"/>
    <w:rsid w:val="00250667"/>
    <w:rsid w:val="0025067F"/>
    <w:rsid w:val="002507A4"/>
    <w:rsid w:val="00250C89"/>
    <w:rsid w:val="00251850"/>
    <w:rsid w:val="0025186F"/>
    <w:rsid w:val="00252249"/>
    <w:rsid w:val="00252A78"/>
    <w:rsid w:val="00253AE9"/>
    <w:rsid w:val="00254B18"/>
    <w:rsid w:val="00254FFD"/>
    <w:rsid w:val="00255378"/>
    <w:rsid w:val="00255437"/>
    <w:rsid w:val="00255ADF"/>
    <w:rsid w:val="00255D90"/>
    <w:rsid w:val="00255F8D"/>
    <w:rsid w:val="002566D0"/>
    <w:rsid w:val="00256EC9"/>
    <w:rsid w:val="00257225"/>
    <w:rsid w:val="002572DF"/>
    <w:rsid w:val="00257469"/>
    <w:rsid w:val="0025752C"/>
    <w:rsid w:val="00257614"/>
    <w:rsid w:val="00257C19"/>
    <w:rsid w:val="002603D3"/>
    <w:rsid w:val="0026117E"/>
    <w:rsid w:val="00261FA6"/>
    <w:rsid w:val="00262B4D"/>
    <w:rsid w:val="00263D2B"/>
    <w:rsid w:val="00263DB0"/>
    <w:rsid w:val="002640FB"/>
    <w:rsid w:val="00264370"/>
    <w:rsid w:val="00264449"/>
    <w:rsid w:val="00264A9F"/>
    <w:rsid w:val="00264EF3"/>
    <w:rsid w:val="00265080"/>
    <w:rsid w:val="002655E0"/>
    <w:rsid w:val="0026590C"/>
    <w:rsid w:val="00265B19"/>
    <w:rsid w:val="00265BBF"/>
    <w:rsid w:val="00265C0B"/>
    <w:rsid w:val="00266121"/>
    <w:rsid w:val="002662B0"/>
    <w:rsid w:val="002662E4"/>
    <w:rsid w:val="002666E0"/>
    <w:rsid w:val="002669A3"/>
    <w:rsid w:val="00266D7F"/>
    <w:rsid w:val="00266F9E"/>
    <w:rsid w:val="00266FCF"/>
    <w:rsid w:val="00267A34"/>
    <w:rsid w:val="00267AFE"/>
    <w:rsid w:val="00267F60"/>
    <w:rsid w:val="00270865"/>
    <w:rsid w:val="00270BDB"/>
    <w:rsid w:val="00270EBA"/>
    <w:rsid w:val="002710EF"/>
    <w:rsid w:val="00271512"/>
    <w:rsid w:val="002718E8"/>
    <w:rsid w:val="002723DF"/>
    <w:rsid w:val="002728A9"/>
    <w:rsid w:val="00272A97"/>
    <w:rsid w:val="00272B48"/>
    <w:rsid w:val="00272DDF"/>
    <w:rsid w:val="00273572"/>
    <w:rsid w:val="002737A0"/>
    <w:rsid w:val="00273CBA"/>
    <w:rsid w:val="002741A9"/>
    <w:rsid w:val="002747E8"/>
    <w:rsid w:val="00274F09"/>
    <w:rsid w:val="002752B5"/>
    <w:rsid w:val="002757BF"/>
    <w:rsid w:val="002758DF"/>
    <w:rsid w:val="00275F4E"/>
    <w:rsid w:val="00276092"/>
    <w:rsid w:val="002762EC"/>
    <w:rsid w:val="002765E8"/>
    <w:rsid w:val="00276C89"/>
    <w:rsid w:val="00276CB8"/>
    <w:rsid w:val="0027780E"/>
    <w:rsid w:val="0028000F"/>
    <w:rsid w:val="00280262"/>
    <w:rsid w:val="00280319"/>
    <w:rsid w:val="002808F7"/>
    <w:rsid w:val="00280CA3"/>
    <w:rsid w:val="00280DB1"/>
    <w:rsid w:val="00281868"/>
    <w:rsid w:val="00281A8D"/>
    <w:rsid w:val="00282622"/>
    <w:rsid w:val="00282900"/>
    <w:rsid w:val="00282CB6"/>
    <w:rsid w:val="00282E9A"/>
    <w:rsid w:val="00283922"/>
    <w:rsid w:val="00283A1D"/>
    <w:rsid w:val="00283B63"/>
    <w:rsid w:val="00284749"/>
    <w:rsid w:val="00284A9F"/>
    <w:rsid w:val="0028587A"/>
    <w:rsid w:val="00285DD0"/>
    <w:rsid w:val="0028600D"/>
    <w:rsid w:val="00286407"/>
    <w:rsid w:val="00286A19"/>
    <w:rsid w:val="00286EE4"/>
    <w:rsid w:val="0028747F"/>
    <w:rsid w:val="00290311"/>
    <w:rsid w:val="002907BE"/>
    <w:rsid w:val="00290844"/>
    <w:rsid w:val="002914BB"/>
    <w:rsid w:val="00291650"/>
    <w:rsid w:val="00291A1B"/>
    <w:rsid w:val="00291F49"/>
    <w:rsid w:val="00292668"/>
    <w:rsid w:val="002926DE"/>
    <w:rsid w:val="00292A09"/>
    <w:rsid w:val="00292DB4"/>
    <w:rsid w:val="002938EC"/>
    <w:rsid w:val="00293CC4"/>
    <w:rsid w:val="00294121"/>
    <w:rsid w:val="00294C82"/>
    <w:rsid w:val="002950ED"/>
    <w:rsid w:val="002951E2"/>
    <w:rsid w:val="0029589E"/>
    <w:rsid w:val="002961CB"/>
    <w:rsid w:val="002964A7"/>
    <w:rsid w:val="002966B7"/>
    <w:rsid w:val="00297499"/>
    <w:rsid w:val="00297BFC"/>
    <w:rsid w:val="002A02AD"/>
    <w:rsid w:val="002A0358"/>
    <w:rsid w:val="002A0976"/>
    <w:rsid w:val="002A0B13"/>
    <w:rsid w:val="002A12D4"/>
    <w:rsid w:val="002A1537"/>
    <w:rsid w:val="002A1DE6"/>
    <w:rsid w:val="002A21D4"/>
    <w:rsid w:val="002A2D62"/>
    <w:rsid w:val="002A2EE0"/>
    <w:rsid w:val="002A3199"/>
    <w:rsid w:val="002A33BA"/>
    <w:rsid w:val="002A44A2"/>
    <w:rsid w:val="002A4587"/>
    <w:rsid w:val="002A4BF8"/>
    <w:rsid w:val="002A51B5"/>
    <w:rsid w:val="002A5860"/>
    <w:rsid w:val="002A595B"/>
    <w:rsid w:val="002A6585"/>
    <w:rsid w:val="002A6BA3"/>
    <w:rsid w:val="002A7072"/>
    <w:rsid w:val="002A7868"/>
    <w:rsid w:val="002A7DB5"/>
    <w:rsid w:val="002B0398"/>
    <w:rsid w:val="002B0439"/>
    <w:rsid w:val="002B06A2"/>
    <w:rsid w:val="002B0F43"/>
    <w:rsid w:val="002B1185"/>
    <w:rsid w:val="002B21A4"/>
    <w:rsid w:val="002B2237"/>
    <w:rsid w:val="002B22B2"/>
    <w:rsid w:val="002B2709"/>
    <w:rsid w:val="002B39CD"/>
    <w:rsid w:val="002B3CD9"/>
    <w:rsid w:val="002B3D5D"/>
    <w:rsid w:val="002B3F4E"/>
    <w:rsid w:val="002B440E"/>
    <w:rsid w:val="002B5602"/>
    <w:rsid w:val="002B6BA6"/>
    <w:rsid w:val="002B6D38"/>
    <w:rsid w:val="002B6EBC"/>
    <w:rsid w:val="002B71E8"/>
    <w:rsid w:val="002B71FF"/>
    <w:rsid w:val="002B742A"/>
    <w:rsid w:val="002C0002"/>
    <w:rsid w:val="002C03E3"/>
    <w:rsid w:val="002C0791"/>
    <w:rsid w:val="002C09B1"/>
    <w:rsid w:val="002C0E4B"/>
    <w:rsid w:val="002C1DCE"/>
    <w:rsid w:val="002C232A"/>
    <w:rsid w:val="002C23D2"/>
    <w:rsid w:val="002C2550"/>
    <w:rsid w:val="002C332E"/>
    <w:rsid w:val="002C37A9"/>
    <w:rsid w:val="002C392B"/>
    <w:rsid w:val="002C3AD0"/>
    <w:rsid w:val="002C3E8B"/>
    <w:rsid w:val="002C482F"/>
    <w:rsid w:val="002C4A70"/>
    <w:rsid w:val="002C4F2E"/>
    <w:rsid w:val="002C55C3"/>
    <w:rsid w:val="002C5CF2"/>
    <w:rsid w:val="002C62E5"/>
    <w:rsid w:val="002C63F3"/>
    <w:rsid w:val="002C6DEA"/>
    <w:rsid w:val="002C70D7"/>
    <w:rsid w:val="002C72A4"/>
    <w:rsid w:val="002C7516"/>
    <w:rsid w:val="002C7542"/>
    <w:rsid w:val="002C7B4D"/>
    <w:rsid w:val="002D0123"/>
    <w:rsid w:val="002D022B"/>
    <w:rsid w:val="002D17E5"/>
    <w:rsid w:val="002D1BCF"/>
    <w:rsid w:val="002D1CBA"/>
    <w:rsid w:val="002D2381"/>
    <w:rsid w:val="002D23F7"/>
    <w:rsid w:val="002D2730"/>
    <w:rsid w:val="002D27A6"/>
    <w:rsid w:val="002D2C35"/>
    <w:rsid w:val="002D305B"/>
    <w:rsid w:val="002D3190"/>
    <w:rsid w:val="002D3AEF"/>
    <w:rsid w:val="002D3CDA"/>
    <w:rsid w:val="002D3D11"/>
    <w:rsid w:val="002D4036"/>
    <w:rsid w:val="002D4E93"/>
    <w:rsid w:val="002D5C23"/>
    <w:rsid w:val="002D5D57"/>
    <w:rsid w:val="002D642F"/>
    <w:rsid w:val="002D685D"/>
    <w:rsid w:val="002D68A0"/>
    <w:rsid w:val="002D696E"/>
    <w:rsid w:val="002D6A8D"/>
    <w:rsid w:val="002D6FAB"/>
    <w:rsid w:val="002D7348"/>
    <w:rsid w:val="002D7DDD"/>
    <w:rsid w:val="002D7E29"/>
    <w:rsid w:val="002E00E5"/>
    <w:rsid w:val="002E023D"/>
    <w:rsid w:val="002E07BE"/>
    <w:rsid w:val="002E094E"/>
    <w:rsid w:val="002E12FD"/>
    <w:rsid w:val="002E176B"/>
    <w:rsid w:val="002E18AF"/>
    <w:rsid w:val="002E19CF"/>
    <w:rsid w:val="002E19FD"/>
    <w:rsid w:val="002E1A5D"/>
    <w:rsid w:val="002E2179"/>
    <w:rsid w:val="002E21A0"/>
    <w:rsid w:val="002E2884"/>
    <w:rsid w:val="002E2BD6"/>
    <w:rsid w:val="002E3624"/>
    <w:rsid w:val="002E3A01"/>
    <w:rsid w:val="002E3D49"/>
    <w:rsid w:val="002E4375"/>
    <w:rsid w:val="002E4F42"/>
    <w:rsid w:val="002E5151"/>
    <w:rsid w:val="002E52A3"/>
    <w:rsid w:val="002E546E"/>
    <w:rsid w:val="002E549B"/>
    <w:rsid w:val="002E55F5"/>
    <w:rsid w:val="002E5D81"/>
    <w:rsid w:val="002E600B"/>
    <w:rsid w:val="002E6793"/>
    <w:rsid w:val="002E6816"/>
    <w:rsid w:val="002E6D5F"/>
    <w:rsid w:val="002E6F7E"/>
    <w:rsid w:val="002F0399"/>
    <w:rsid w:val="002F03C7"/>
    <w:rsid w:val="002F0825"/>
    <w:rsid w:val="002F1619"/>
    <w:rsid w:val="002F1869"/>
    <w:rsid w:val="002F1DC6"/>
    <w:rsid w:val="002F259A"/>
    <w:rsid w:val="002F2A74"/>
    <w:rsid w:val="002F2BB9"/>
    <w:rsid w:val="002F334D"/>
    <w:rsid w:val="002F3A94"/>
    <w:rsid w:val="002F3D47"/>
    <w:rsid w:val="002F4321"/>
    <w:rsid w:val="002F4472"/>
    <w:rsid w:val="002F4700"/>
    <w:rsid w:val="002F471C"/>
    <w:rsid w:val="002F4997"/>
    <w:rsid w:val="002F533F"/>
    <w:rsid w:val="002F53B8"/>
    <w:rsid w:val="002F53F0"/>
    <w:rsid w:val="002F59CA"/>
    <w:rsid w:val="002F613F"/>
    <w:rsid w:val="002F629E"/>
    <w:rsid w:val="002F65D2"/>
    <w:rsid w:val="002F69F1"/>
    <w:rsid w:val="002F6CDC"/>
    <w:rsid w:val="002F72A9"/>
    <w:rsid w:val="002F77D5"/>
    <w:rsid w:val="002F7CDD"/>
    <w:rsid w:val="00300F1F"/>
    <w:rsid w:val="003011E5"/>
    <w:rsid w:val="003012A3"/>
    <w:rsid w:val="003012B9"/>
    <w:rsid w:val="00301CAF"/>
    <w:rsid w:val="0030273D"/>
    <w:rsid w:val="003030E7"/>
    <w:rsid w:val="00303362"/>
    <w:rsid w:val="00303702"/>
    <w:rsid w:val="0030422F"/>
    <w:rsid w:val="00304609"/>
    <w:rsid w:val="00304A46"/>
    <w:rsid w:val="00304F50"/>
    <w:rsid w:val="003054B2"/>
    <w:rsid w:val="00305707"/>
    <w:rsid w:val="00305A90"/>
    <w:rsid w:val="00305AAE"/>
    <w:rsid w:val="00305BC6"/>
    <w:rsid w:val="00305C47"/>
    <w:rsid w:val="00305FB6"/>
    <w:rsid w:val="0030635B"/>
    <w:rsid w:val="003068F4"/>
    <w:rsid w:val="00307A91"/>
    <w:rsid w:val="00307B14"/>
    <w:rsid w:val="00310142"/>
    <w:rsid w:val="00311132"/>
    <w:rsid w:val="0031126B"/>
    <w:rsid w:val="00311AD8"/>
    <w:rsid w:val="00311B37"/>
    <w:rsid w:val="00311E17"/>
    <w:rsid w:val="00312143"/>
    <w:rsid w:val="00312578"/>
    <w:rsid w:val="00312624"/>
    <w:rsid w:val="00313231"/>
    <w:rsid w:val="00313ACA"/>
    <w:rsid w:val="0031409C"/>
    <w:rsid w:val="00314155"/>
    <w:rsid w:val="003142A4"/>
    <w:rsid w:val="0031471F"/>
    <w:rsid w:val="00314D74"/>
    <w:rsid w:val="0031585C"/>
    <w:rsid w:val="00315FD8"/>
    <w:rsid w:val="00316516"/>
    <w:rsid w:val="00316871"/>
    <w:rsid w:val="00316AEB"/>
    <w:rsid w:val="0031775C"/>
    <w:rsid w:val="00317858"/>
    <w:rsid w:val="003178A7"/>
    <w:rsid w:val="00317DA4"/>
    <w:rsid w:val="00320BA4"/>
    <w:rsid w:val="00321040"/>
    <w:rsid w:val="003213B1"/>
    <w:rsid w:val="003215BE"/>
    <w:rsid w:val="00321BB5"/>
    <w:rsid w:val="00321BCD"/>
    <w:rsid w:val="00322DE2"/>
    <w:rsid w:val="0032379B"/>
    <w:rsid w:val="00324069"/>
    <w:rsid w:val="0032424B"/>
    <w:rsid w:val="0032429D"/>
    <w:rsid w:val="00324B67"/>
    <w:rsid w:val="00325C77"/>
    <w:rsid w:val="00325E64"/>
    <w:rsid w:val="00326DE8"/>
    <w:rsid w:val="00326E02"/>
    <w:rsid w:val="00327512"/>
    <w:rsid w:val="003300E2"/>
    <w:rsid w:val="00330138"/>
    <w:rsid w:val="0033029B"/>
    <w:rsid w:val="00330360"/>
    <w:rsid w:val="00330F36"/>
    <w:rsid w:val="003311D1"/>
    <w:rsid w:val="003316A6"/>
    <w:rsid w:val="0033187C"/>
    <w:rsid w:val="00331D1A"/>
    <w:rsid w:val="003323E7"/>
    <w:rsid w:val="00332965"/>
    <w:rsid w:val="00332EAC"/>
    <w:rsid w:val="00332F36"/>
    <w:rsid w:val="003333A4"/>
    <w:rsid w:val="003333C8"/>
    <w:rsid w:val="00334125"/>
    <w:rsid w:val="0033415A"/>
    <w:rsid w:val="00334635"/>
    <w:rsid w:val="00334AA1"/>
    <w:rsid w:val="00334AF6"/>
    <w:rsid w:val="00334B0D"/>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6ED"/>
    <w:rsid w:val="00342D80"/>
    <w:rsid w:val="00343188"/>
    <w:rsid w:val="003431D1"/>
    <w:rsid w:val="003436A4"/>
    <w:rsid w:val="00343767"/>
    <w:rsid w:val="00343A15"/>
    <w:rsid w:val="00344088"/>
    <w:rsid w:val="003445CC"/>
    <w:rsid w:val="0034476D"/>
    <w:rsid w:val="00344AF4"/>
    <w:rsid w:val="00344D39"/>
    <w:rsid w:val="00344EB9"/>
    <w:rsid w:val="003450F8"/>
    <w:rsid w:val="00345510"/>
    <w:rsid w:val="003458DE"/>
    <w:rsid w:val="003458E6"/>
    <w:rsid w:val="003459AF"/>
    <w:rsid w:val="00345C96"/>
    <w:rsid w:val="00345CC5"/>
    <w:rsid w:val="003466F2"/>
    <w:rsid w:val="003468D9"/>
    <w:rsid w:val="00346970"/>
    <w:rsid w:val="00346E85"/>
    <w:rsid w:val="00350562"/>
    <w:rsid w:val="00350C6D"/>
    <w:rsid w:val="003511F6"/>
    <w:rsid w:val="00351CF8"/>
    <w:rsid w:val="003522E0"/>
    <w:rsid w:val="00352664"/>
    <w:rsid w:val="0035267B"/>
    <w:rsid w:val="00352754"/>
    <w:rsid w:val="00352D78"/>
    <w:rsid w:val="00353487"/>
    <w:rsid w:val="0035359C"/>
    <w:rsid w:val="00353A66"/>
    <w:rsid w:val="00353DF0"/>
    <w:rsid w:val="00353F94"/>
    <w:rsid w:val="0035422C"/>
    <w:rsid w:val="003542A5"/>
    <w:rsid w:val="00355689"/>
    <w:rsid w:val="003559A9"/>
    <w:rsid w:val="00355B86"/>
    <w:rsid w:val="00356059"/>
    <w:rsid w:val="00356433"/>
    <w:rsid w:val="003564CF"/>
    <w:rsid w:val="00356F50"/>
    <w:rsid w:val="0035711C"/>
    <w:rsid w:val="00357EB3"/>
    <w:rsid w:val="0036059F"/>
    <w:rsid w:val="003614B4"/>
    <w:rsid w:val="00361E0E"/>
    <w:rsid w:val="003628EB"/>
    <w:rsid w:val="00362D58"/>
    <w:rsid w:val="00362DAD"/>
    <w:rsid w:val="00363192"/>
    <w:rsid w:val="003633CF"/>
    <w:rsid w:val="0036375A"/>
    <w:rsid w:val="00363B2A"/>
    <w:rsid w:val="00363CC9"/>
    <w:rsid w:val="00363DAD"/>
    <w:rsid w:val="00363F26"/>
    <w:rsid w:val="00364B92"/>
    <w:rsid w:val="003651CB"/>
    <w:rsid w:val="00365210"/>
    <w:rsid w:val="00366A00"/>
    <w:rsid w:val="003673D6"/>
    <w:rsid w:val="003673F5"/>
    <w:rsid w:val="003678AF"/>
    <w:rsid w:val="003701DE"/>
    <w:rsid w:val="00370BD1"/>
    <w:rsid w:val="00371979"/>
    <w:rsid w:val="00371A23"/>
    <w:rsid w:val="00371B55"/>
    <w:rsid w:val="00371DA7"/>
    <w:rsid w:val="00371E00"/>
    <w:rsid w:val="0037208A"/>
    <w:rsid w:val="00372EAA"/>
    <w:rsid w:val="003735CB"/>
    <w:rsid w:val="00373861"/>
    <w:rsid w:val="00373A23"/>
    <w:rsid w:val="00374263"/>
    <w:rsid w:val="003742BC"/>
    <w:rsid w:val="00374532"/>
    <w:rsid w:val="00374D8C"/>
    <w:rsid w:val="0037557A"/>
    <w:rsid w:val="00375832"/>
    <w:rsid w:val="00375FFA"/>
    <w:rsid w:val="00376166"/>
    <w:rsid w:val="00376309"/>
    <w:rsid w:val="00376B99"/>
    <w:rsid w:val="00376F92"/>
    <w:rsid w:val="003775BC"/>
    <w:rsid w:val="003777F0"/>
    <w:rsid w:val="00377A69"/>
    <w:rsid w:val="00377B58"/>
    <w:rsid w:val="003802D2"/>
    <w:rsid w:val="0038037C"/>
    <w:rsid w:val="003818FA"/>
    <w:rsid w:val="00381A6B"/>
    <w:rsid w:val="00381E33"/>
    <w:rsid w:val="0038205A"/>
    <w:rsid w:val="0038210D"/>
    <w:rsid w:val="003822B5"/>
    <w:rsid w:val="00382463"/>
    <w:rsid w:val="00382BA1"/>
    <w:rsid w:val="00382C2E"/>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6FFF"/>
    <w:rsid w:val="00387515"/>
    <w:rsid w:val="00387808"/>
    <w:rsid w:val="00387AE5"/>
    <w:rsid w:val="00387B78"/>
    <w:rsid w:val="003904E7"/>
    <w:rsid w:val="003905EA"/>
    <w:rsid w:val="00390807"/>
    <w:rsid w:val="003909E2"/>
    <w:rsid w:val="00391100"/>
    <w:rsid w:val="00391755"/>
    <w:rsid w:val="003919A7"/>
    <w:rsid w:val="00391C41"/>
    <w:rsid w:val="00392910"/>
    <w:rsid w:val="00392A4B"/>
    <w:rsid w:val="003931A4"/>
    <w:rsid w:val="00394062"/>
    <w:rsid w:val="00394380"/>
    <w:rsid w:val="00394443"/>
    <w:rsid w:val="003948B0"/>
    <w:rsid w:val="00395171"/>
    <w:rsid w:val="003965AF"/>
    <w:rsid w:val="003970B8"/>
    <w:rsid w:val="003971C1"/>
    <w:rsid w:val="0039799D"/>
    <w:rsid w:val="003A040C"/>
    <w:rsid w:val="003A04B2"/>
    <w:rsid w:val="003A0CA4"/>
    <w:rsid w:val="003A0FA1"/>
    <w:rsid w:val="003A1609"/>
    <w:rsid w:val="003A18DC"/>
    <w:rsid w:val="003A1B45"/>
    <w:rsid w:val="003A1C93"/>
    <w:rsid w:val="003A1CF0"/>
    <w:rsid w:val="003A212B"/>
    <w:rsid w:val="003A2931"/>
    <w:rsid w:val="003A2B7A"/>
    <w:rsid w:val="003A2C09"/>
    <w:rsid w:val="003A3704"/>
    <w:rsid w:val="003A397C"/>
    <w:rsid w:val="003A39D7"/>
    <w:rsid w:val="003A3D58"/>
    <w:rsid w:val="003A46A6"/>
    <w:rsid w:val="003A4CFB"/>
    <w:rsid w:val="003A4F8C"/>
    <w:rsid w:val="003A50F5"/>
    <w:rsid w:val="003A531E"/>
    <w:rsid w:val="003A647F"/>
    <w:rsid w:val="003A6594"/>
    <w:rsid w:val="003A6EB4"/>
    <w:rsid w:val="003A6FFB"/>
    <w:rsid w:val="003A72AD"/>
    <w:rsid w:val="003A7F77"/>
    <w:rsid w:val="003B040D"/>
    <w:rsid w:val="003B0752"/>
    <w:rsid w:val="003B0812"/>
    <w:rsid w:val="003B0C87"/>
    <w:rsid w:val="003B1AD2"/>
    <w:rsid w:val="003B1C7D"/>
    <w:rsid w:val="003B1F8F"/>
    <w:rsid w:val="003B21BE"/>
    <w:rsid w:val="003B262A"/>
    <w:rsid w:val="003B2754"/>
    <w:rsid w:val="003B295D"/>
    <w:rsid w:val="003B2C85"/>
    <w:rsid w:val="003B2D10"/>
    <w:rsid w:val="003B3D47"/>
    <w:rsid w:val="003B5123"/>
    <w:rsid w:val="003B51EE"/>
    <w:rsid w:val="003B5595"/>
    <w:rsid w:val="003B59F8"/>
    <w:rsid w:val="003B5CEA"/>
    <w:rsid w:val="003B614F"/>
    <w:rsid w:val="003B6BC1"/>
    <w:rsid w:val="003B6E07"/>
    <w:rsid w:val="003B6EE0"/>
    <w:rsid w:val="003B7379"/>
    <w:rsid w:val="003B73B5"/>
    <w:rsid w:val="003B73C3"/>
    <w:rsid w:val="003C010D"/>
    <w:rsid w:val="003C021A"/>
    <w:rsid w:val="003C075E"/>
    <w:rsid w:val="003C0B01"/>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B9"/>
    <w:rsid w:val="003C7BDE"/>
    <w:rsid w:val="003C7D4B"/>
    <w:rsid w:val="003C7DD1"/>
    <w:rsid w:val="003C7E5B"/>
    <w:rsid w:val="003D01EC"/>
    <w:rsid w:val="003D044E"/>
    <w:rsid w:val="003D07A5"/>
    <w:rsid w:val="003D09A4"/>
    <w:rsid w:val="003D0C72"/>
    <w:rsid w:val="003D16C2"/>
    <w:rsid w:val="003D1B01"/>
    <w:rsid w:val="003D1FDF"/>
    <w:rsid w:val="003D21AB"/>
    <w:rsid w:val="003D22E7"/>
    <w:rsid w:val="003D2856"/>
    <w:rsid w:val="003D28FD"/>
    <w:rsid w:val="003D35AA"/>
    <w:rsid w:val="003D3BB7"/>
    <w:rsid w:val="003D425A"/>
    <w:rsid w:val="003D45A7"/>
    <w:rsid w:val="003D4B93"/>
    <w:rsid w:val="003D589F"/>
    <w:rsid w:val="003D5ECC"/>
    <w:rsid w:val="003D62FD"/>
    <w:rsid w:val="003D65A9"/>
    <w:rsid w:val="003D6669"/>
    <w:rsid w:val="003D6937"/>
    <w:rsid w:val="003D73BF"/>
    <w:rsid w:val="003D74A4"/>
    <w:rsid w:val="003D75BA"/>
    <w:rsid w:val="003D7B51"/>
    <w:rsid w:val="003D7BFB"/>
    <w:rsid w:val="003E07F5"/>
    <w:rsid w:val="003E085B"/>
    <w:rsid w:val="003E0E08"/>
    <w:rsid w:val="003E0FD2"/>
    <w:rsid w:val="003E1A8D"/>
    <w:rsid w:val="003E1C74"/>
    <w:rsid w:val="003E2494"/>
    <w:rsid w:val="003E24E7"/>
    <w:rsid w:val="003E2EDB"/>
    <w:rsid w:val="003E3368"/>
    <w:rsid w:val="003E338D"/>
    <w:rsid w:val="003E3937"/>
    <w:rsid w:val="003E3BFD"/>
    <w:rsid w:val="003E4FDD"/>
    <w:rsid w:val="003E5257"/>
    <w:rsid w:val="003E5664"/>
    <w:rsid w:val="003E60A6"/>
    <w:rsid w:val="003E68BC"/>
    <w:rsid w:val="003E72A2"/>
    <w:rsid w:val="003E7DAC"/>
    <w:rsid w:val="003F0347"/>
    <w:rsid w:val="003F0E28"/>
    <w:rsid w:val="003F0F86"/>
    <w:rsid w:val="003F137F"/>
    <w:rsid w:val="003F1ECC"/>
    <w:rsid w:val="003F252D"/>
    <w:rsid w:val="003F48FE"/>
    <w:rsid w:val="003F4ACA"/>
    <w:rsid w:val="003F55BC"/>
    <w:rsid w:val="003F56E9"/>
    <w:rsid w:val="003F61E7"/>
    <w:rsid w:val="003F664A"/>
    <w:rsid w:val="003F6A93"/>
    <w:rsid w:val="003F6B15"/>
    <w:rsid w:val="003F6B1D"/>
    <w:rsid w:val="003F6F2D"/>
    <w:rsid w:val="003F75A7"/>
    <w:rsid w:val="003F788E"/>
    <w:rsid w:val="004005DD"/>
    <w:rsid w:val="004009EB"/>
    <w:rsid w:val="00400DC2"/>
    <w:rsid w:val="004014F7"/>
    <w:rsid w:val="00401715"/>
    <w:rsid w:val="00401763"/>
    <w:rsid w:val="00401D8B"/>
    <w:rsid w:val="0040233E"/>
    <w:rsid w:val="004025FE"/>
    <w:rsid w:val="0040349C"/>
    <w:rsid w:val="0040388C"/>
    <w:rsid w:val="0040394D"/>
    <w:rsid w:val="0040430F"/>
    <w:rsid w:val="00404B7C"/>
    <w:rsid w:val="00404D36"/>
    <w:rsid w:val="0040502B"/>
    <w:rsid w:val="004053BA"/>
    <w:rsid w:val="00405CA1"/>
    <w:rsid w:val="0040684F"/>
    <w:rsid w:val="00407003"/>
    <w:rsid w:val="004073FF"/>
    <w:rsid w:val="00407BEA"/>
    <w:rsid w:val="00407FDE"/>
    <w:rsid w:val="00410051"/>
    <w:rsid w:val="0041012B"/>
    <w:rsid w:val="004102FD"/>
    <w:rsid w:val="00410E6B"/>
    <w:rsid w:val="00410E8A"/>
    <w:rsid w:val="004113B9"/>
    <w:rsid w:val="00411958"/>
    <w:rsid w:val="00411D37"/>
    <w:rsid w:val="00412272"/>
    <w:rsid w:val="004123FD"/>
    <w:rsid w:val="00412733"/>
    <w:rsid w:val="0041283C"/>
    <w:rsid w:val="00412A9F"/>
    <w:rsid w:val="0041304C"/>
    <w:rsid w:val="004134F7"/>
    <w:rsid w:val="0041382D"/>
    <w:rsid w:val="00414393"/>
    <w:rsid w:val="004152BF"/>
    <w:rsid w:val="00415C11"/>
    <w:rsid w:val="004167AA"/>
    <w:rsid w:val="00417A44"/>
    <w:rsid w:val="00417F7F"/>
    <w:rsid w:val="004204D3"/>
    <w:rsid w:val="00420562"/>
    <w:rsid w:val="0042094D"/>
    <w:rsid w:val="0042124E"/>
    <w:rsid w:val="0042146C"/>
    <w:rsid w:val="00421F7B"/>
    <w:rsid w:val="004224A6"/>
    <w:rsid w:val="00422B8B"/>
    <w:rsid w:val="00422E05"/>
    <w:rsid w:val="00423215"/>
    <w:rsid w:val="004236F7"/>
    <w:rsid w:val="00424A1C"/>
    <w:rsid w:val="00424F89"/>
    <w:rsid w:val="0042562A"/>
    <w:rsid w:val="0042589C"/>
    <w:rsid w:val="00425ABF"/>
    <w:rsid w:val="00426455"/>
    <w:rsid w:val="00426872"/>
    <w:rsid w:val="004271A4"/>
    <w:rsid w:val="004275FA"/>
    <w:rsid w:val="00427A67"/>
    <w:rsid w:val="00427AEE"/>
    <w:rsid w:val="00427BEE"/>
    <w:rsid w:val="00427D93"/>
    <w:rsid w:val="00427F30"/>
    <w:rsid w:val="004303E0"/>
    <w:rsid w:val="004307CC"/>
    <w:rsid w:val="00430C50"/>
    <w:rsid w:val="00430F9D"/>
    <w:rsid w:val="00432134"/>
    <w:rsid w:val="004323AD"/>
    <w:rsid w:val="00432D57"/>
    <w:rsid w:val="00432D82"/>
    <w:rsid w:val="004338DB"/>
    <w:rsid w:val="00433919"/>
    <w:rsid w:val="00433C81"/>
    <w:rsid w:val="00434399"/>
    <w:rsid w:val="004344CF"/>
    <w:rsid w:val="004346FB"/>
    <w:rsid w:val="004349C6"/>
    <w:rsid w:val="00434BE6"/>
    <w:rsid w:val="00434F66"/>
    <w:rsid w:val="00435BF3"/>
    <w:rsid w:val="00435DAD"/>
    <w:rsid w:val="00435F90"/>
    <w:rsid w:val="004360DC"/>
    <w:rsid w:val="0043668B"/>
    <w:rsid w:val="00436DD1"/>
    <w:rsid w:val="0043705A"/>
    <w:rsid w:val="0043723A"/>
    <w:rsid w:val="00437264"/>
    <w:rsid w:val="00437A1D"/>
    <w:rsid w:val="00437FD9"/>
    <w:rsid w:val="00440BD0"/>
    <w:rsid w:val="00441279"/>
    <w:rsid w:val="004412F6"/>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BA9"/>
    <w:rsid w:val="00451F0A"/>
    <w:rsid w:val="00452563"/>
    <w:rsid w:val="004526C8"/>
    <w:rsid w:val="004527A5"/>
    <w:rsid w:val="004527DD"/>
    <w:rsid w:val="004529B1"/>
    <w:rsid w:val="00452B1B"/>
    <w:rsid w:val="00453650"/>
    <w:rsid w:val="0045385C"/>
    <w:rsid w:val="00453AB0"/>
    <w:rsid w:val="00453BC0"/>
    <w:rsid w:val="00454487"/>
    <w:rsid w:val="00454633"/>
    <w:rsid w:val="00454B84"/>
    <w:rsid w:val="00454EAA"/>
    <w:rsid w:val="00454F86"/>
    <w:rsid w:val="00455523"/>
    <w:rsid w:val="0045565D"/>
    <w:rsid w:val="00456350"/>
    <w:rsid w:val="004565F0"/>
    <w:rsid w:val="004566C3"/>
    <w:rsid w:val="0045693A"/>
    <w:rsid w:val="00456A27"/>
    <w:rsid w:val="00456D55"/>
    <w:rsid w:val="00456F5A"/>
    <w:rsid w:val="0045743B"/>
    <w:rsid w:val="00460623"/>
    <w:rsid w:val="00460E4C"/>
    <w:rsid w:val="00460EC8"/>
    <w:rsid w:val="004615C6"/>
    <w:rsid w:val="004627FF"/>
    <w:rsid w:val="004631F8"/>
    <w:rsid w:val="00463A11"/>
    <w:rsid w:val="00463F18"/>
    <w:rsid w:val="0046453F"/>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1D4D"/>
    <w:rsid w:val="00472538"/>
    <w:rsid w:val="004728E9"/>
    <w:rsid w:val="00473224"/>
    <w:rsid w:val="004733C0"/>
    <w:rsid w:val="0047376C"/>
    <w:rsid w:val="00473897"/>
    <w:rsid w:val="00473BB9"/>
    <w:rsid w:val="00474731"/>
    <w:rsid w:val="00474E00"/>
    <w:rsid w:val="00474FAE"/>
    <w:rsid w:val="004750F0"/>
    <w:rsid w:val="00475421"/>
    <w:rsid w:val="00475A80"/>
    <w:rsid w:val="00475ACE"/>
    <w:rsid w:val="00475CEC"/>
    <w:rsid w:val="00475EAB"/>
    <w:rsid w:val="00475FD0"/>
    <w:rsid w:val="00476C7D"/>
    <w:rsid w:val="00477344"/>
    <w:rsid w:val="004773F4"/>
    <w:rsid w:val="00477876"/>
    <w:rsid w:val="0047793F"/>
    <w:rsid w:val="004800A3"/>
    <w:rsid w:val="004804E2"/>
    <w:rsid w:val="00480786"/>
    <w:rsid w:val="004807D3"/>
    <w:rsid w:val="0048086E"/>
    <w:rsid w:val="00480B3F"/>
    <w:rsid w:val="00480BA1"/>
    <w:rsid w:val="004812F1"/>
    <w:rsid w:val="004814A1"/>
    <w:rsid w:val="00481538"/>
    <w:rsid w:val="00481A41"/>
    <w:rsid w:val="00481B75"/>
    <w:rsid w:val="004827A8"/>
    <w:rsid w:val="00482A2E"/>
    <w:rsid w:val="00482EBE"/>
    <w:rsid w:val="00483669"/>
    <w:rsid w:val="00483905"/>
    <w:rsid w:val="0048420B"/>
    <w:rsid w:val="00484592"/>
    <w:rsid w:val="00484748"/>
    <w:rsid w:val="00485A77"/>
    <w:rsid w:val="00485D8D"/>
    <w:rsid w:val="00486078"/>
    <w:rsid w:val="0048618A"/>
    <w:rsid w:val="004861B0"/>
    <w:rsid w:val="0048621F"/>
    <w:rsid w:val="0048772A"/>
    <w:rsid w:val="0049011F"/>
    <w:rsid w:val="004901E9"/>
    <w:rsid w:val="00490313"/>
    <w:rsid w:val="00490471"/>
    <w:rsid w:val="00490567"/>
    <w:rsid w:val="004907BB"/>
    <w:rsid w:val="00490A59"/>
    <w:rsid w:val="00490BDE"/>
    <w:rsid w:val="00491A98"/>
    <w:rsid w:val="004921EC"/>
    <w:rsid w:val="00492A1B"/>
    <w:rsid w:val="00492B50"/>
    <w:rsid w:val="004935A7"/>
    <w:rsid w:val="00493732"/>
    <w:rsid w:val="00494BE8"/>
    <w:rsid w:val="00494DE5"/>
    <w:rsid w:val="00495264"/>
    <w:rsid w:val="004955AC"/>
    <w:rsid w:val="004958AE"/>
    <w:rsid w:val="00495A64"/>
    <w:rsid w:val="00495DCF"/>
    <w:rsid w:val="004969BD"/>
    <w:rsid w:val="0049703D"/>
    <w:rsid w:val="00497173"/>
    <w:rsid w:val="004977F0"/>
    <w:rsid w:val="004A0165"/>
    <w:rsid w:val="004A11FE"/>
    <w:rsid w:val="004A1331"/>
    <w:rsid w:val="004A13D5"/>
    <w:rsid w:val="004A14FA"/>
    <w:rsid w:val="004A169E"/>
    <w:rsid w:val="004A2082"/>
    <w:rsid w:val="004A23D6"/>
    <w:rsid w:val="004A26E4"/>
    <w:rsid w:val="004A299B"/>
    <w:rsid w:val="004A2F3F"/>
    <w:rsid w:val="004A2F88"/>
    <w:rsid w:val="004A3068"/>
    <w:rsid w:val="004A3306"/>
    <w:rsid w:val="004A3419"/>
    <w:rsid w:val="004A348F"/>
    <w:rsid w:val="004A385D"/>
    <w:rsid w:val="004A423C"/>
    <w:rsid w:val="004A45AC"/>
    <w:rsid w:val="004A4A26"/>
    <w:rsid w:val="004A4E43"/>
    <w:rsid w:val="004A52C5"/>
    <w:rsid w:val="004A5711"/>
    <w:rsid w:val="004A5875"/>
    <w:rsid w:val="004A5A3F"/>
    <w:rsid w:val="004A5DE0"/>
    <w:rsid w:val="004A6017"/>
    <w:rsid w:val="004A6051"/>
    <w:rsid w:val="004A619A"/>
    <w:rsid w:val="004A7378"/>
    <w:rsid w:val="004A7A03"/>
    <w:rsid w:val="004A7B10"/>
    <w:rsid w:val="004A7B75"/>
    <w:rsid w:val="004B04A3"/>
    <w:rsid w:val="004B0D56"/>
    <w:rsid w:val="004B0E00"/>
    <w:rsid w:val="004B101C"/>
    <w:rsid w:val="004B1394"/>
    <w:rsid w:val="004B1C01"/>
    <w:rsid w:val="004B1F83"/>
    <w:rsid w:val="004B247C"/>
    <w:rsid w:val="004B2B84"/>
    <w:rsid w:val="004B2BA7"/>
    <w:rsid w:val="004B307D"/>
    <w:rsid w:val="004B3566"/>
    <w:rsid w:val="004B3BA1"/>
    <w:rsid w:val="004B3F36"/>
    <w:rsid w:val="004B42C1"/>
    <w:rsid w:val="004B4925"/>
    <w:rsid w:val="004B5C0B"/>
    <w:rsid w:val="004B5C82"/>
    <w:rsid w:val="004B5DB7"/>
    <w:rsid w:val="004B5E66"/>
    <w:rsid w:val="004B5F7F"/>
    <w:rsid w:val="004B5FF5"/>
    <w:rsid w:val="004B6285"/>
    <w:rsid w:val="004B6DBC"/>
    <w:rsid w:val="004B71EB"/>
    <w:rsid w:val="004B74A7"/>
    <w:rsid w:val="004B7627"/>
    <w:rsid w:val="004C04EC"/>
    <w:rsid w:val="004C06B5"/>
    <w:rsid w:val="004C0898"/>
    <w:rsid w:val="004C1514"/>
    <w:rsid w:val="004C1EC9"/>
    <w:rsid w:val="004C2076"/>
    <w:rsid w:val="004C2310"/>
    <w:rsid w:val="004C24A6"/>
    <w:rsid w:val="004C2B50"/>
    <w:rsid w:val="004C3205"/>
    <w:rsid w:val="004C3CFF"/>
    <w:rsid w:val="004C40A5"/>
    <w:rsid w:val="004C4726"/>
    <w:rsid w:val="004C47E4"/>
    <w:rsid w:val="004C4AE2"/>
    <w:rsid w:val="004C4D10"/>
    <w:rsid w:val="004C5E93"/>
    <w:rsid w:val="004C6116"/>
    <w:rsid w:val="004C617E"/>
    <w:rsid w:val="004C623E"/>
    <w:rsid w:val="004C6912"/>
    <w:rsid w:val="004C6BFE"/>
    <w:rsid w:val="004C6E4F"/>
    <w:rsid w:val="004C7230"/>
    <w:rsid w:val="004C7316"/>
    <w:rsid w:val="004C73D4"/>
    <w:rsid w:val="004C78C2"/>
    <w:rsid w:val="004C7D00"/>
    <w:rsid w:val="004C7D4B"/>
    <w:rsid w:val="004D0195"/>
    <w:rsid w:val="004D0617"/>
    <w:rsid w:val="004D0A21"/>
    <w:rsid w:val="004D0D91"/>
    <w:rsid w:val="004D0D98"/>
    <w:rsid w:val="004D113B"/>
    <w:rsid w:val="004D1D88"/>
    <w:rsid w:val="004D2DBD"/>
    <w:rsid w:val="004D34BB"/>
    <w:rsid w:val="004D34C5"/>
    <w:rsid w:val="004D35B9"/>
    <w:rsid w:val="004D38F1"/>
    <w:rsid w:val="004D3A54"/>
    <w:rsid w:val="004D4A2D"/>
    <w:rsid w:val="004D5081"/>
    <w:rsid w:val="004D5206"/>
    <w:rsid w:val="004D6EBD"/>
    <w:rsid w:val="004D714D"/>
    <w:rsid w:val="004D7670"/>
    <w:rsid w:val="004D790F"/>
    <w:rsid w:val="004D79FE"/>
    <w:rsid w:val="004D7C2B"/>
    <w:rsid w:val="004D7E89"/>
    <w:rsid w:val="004D7F68"/>
    <w:rsid w:val="004E0397"/>
    <w:rsid w:val="004E03CD"/>
    <w:rsid w:val="004E0681"/>
    <w:rsid w:val="004E1777"/>
    <w:rsid w:val="004E274B"/>
    <w:rsid w:val="004E2952"/>
    <w:rsid w:val="004E2A14"/>
    <w:rsid w:val="004E3447"/>
    <w:rsid w:val="004E3B52"/>
    <w:rsid w:val="004E46E5"/>
    <w:rsid w:val="004E4EB4"/>
    <w:rsid w:val="004E5025"/>
    <w:rsid w:val="004E672A"/>
    <w:rsid w:val="004E69A1"/>
    <w:rsid w:val="004E6F24"/>
    <w:rsid w:val="004E7028"/>
    <w:rsid w:val="004E7706"/>
    <w:rsid w:val="004E7AD6"/>
    <w:rsid w:val="004E7F04"/>
    <w:rsid w:val="004F03AD"/>
    <w:rsid w:val="004F0978"/>
    <w:rsid w:val="004F0D0C"/>
    <w:rsid w:val="004F185A"/>
    <w:rsid w:val="004F1B84"/>
    <w:rsid w:val="004F247F"/>
    <w:rsid w:val="004F25FF"/>
    <w:rsid w:val="004F262A"/>
    <w:rsid w:val="004F2DFD"/>
    <w:rsid w:val="004F372C"/>
    <w:rsid w:val="004F3BBA"/>
    <w:rsid w:val="004F49F2"/>
    <w:rsid w:val="004F54DD"/>
    <w:rsid w:val="004F553C"/>
    <w:rsid w:val="004F55B2"/>
    <w:rsid w:val="004F5707"/>
    <w:rsid w:val="004F5BC6"/>
    <w:rsid w:val="004F61AA"/>
    <w:rsid w:val="004F67AE"/>
    <w:rsid w:val="004F6F88"/>
    <w:rsid w:val="004F73B7"/>
    <w:rsid w:val="004F73C2"/>
    <w:rsid w:val="004F79EF"/>
    <w:rsid w:val="004F7A13"/>
    <w:rsid w:val="004F7AEF"/>
    <w:rsid w:val="004F7B34"/>
    <w:rsid w:val="004F7CA1"/>
    <w:rsid w:val="0050015D"/>
    <w:rsid w:val="005005BB"/>
    <w:rsid w:val="00500A35"/>
    <w:rsid w:val="00500CB7"/>
    <w:rsid w:val="00500D87"/>
    <w:rsid w:val="00502D4E"/>
    <w:rsid w:val="00503B6D"/>
    <w:rsid w:val="00504293"/>
    <w:rsid w:val="005049EB"/>
    <w:rsid w:val="00505664"/>
    <w:rsid w:val="00505D43"/>
    <w:rsid w:val="00505D4F"/>
    <w:rsid w:val="00505E73"/>
    <w:rsid w:val="005061E8"/>
    <w:rsid w:val="00506523"/>
    <w:rsid w:val="00506D00"/>
    <w:rsid w:val="00510284"/>
    <w:rsid w:val="00510533"/>
    <w:rsid w:val="00510CA5"/>
    <w:rsid w:val="0051121F"/>
    <w:rsid w:val="005118A0"/>
    <w:rsid w:val="00511919"/>
    <w:rsid w:val="00511F91"/>
    <w:rsid w:val="005124C6"/>
    <w:rsid w:val="005126C2"/>
    <w:rsid w:val="005127DF"/>
    <w:rsid w:val="005128C4"/>
    <w:rsid w:val="00512BAE"/>
    <w:rsid w:val="00513F59"/>
    <w:rsid w:val="005140D0"/>
    <w:rsid w:val="005142DE"/>
    <w:rsid w:val="005144C8"/>
    <w:rsid w:val="005144D3"/>
    <w:rsid w:val="00515E8C"/>
    <w:rsid w:val="005160DB"/>
    <w:rsid w:val="00516AF1"/>
    <w:rsid w:val="005171E3"/>
    <w:rsid w:val="005179C1"/>
    <w:rsid w:val="00517F0C"/>
    <w:rsid w:val="00517FF3"/>
    <w:rsid w:val="005202D7"/>
    <w:rsid w:val="0052043F"/>
    <w:rsid w:val="005209B9"/>
    <w:rsid w:val="005215F9"/>
    <w:rsid w:val="00521A01"/>
    <w:rsid w:val="005233CE"/>
    <w:rsid w:val="0052399A"/>
    <w:rsid w:val="00523B97"/>
    <w:rsid w:val="00523CC3"/>
    <w:rsid w:val="00523F95"/>
    <w:rsid w:val="00524172"/>
    <w:rsid w:val="00524189"/>
    <w:rsid w:val="0052544A"/>
    <w:rsid w:val="0052593D"/>
    <w:rsid w:val="005259C7"/>
    <w:rsid w:val="00527F83"/>
    <w:rsid w:val="005301FE"/>
    <w:rsid w:val="0053073D"/>
    <w:rsid w:val="005308EC"/>
    <w:rsid w:val="00530981"/>
    <w:rsid w:val="00531E0F"/>
    <w:rsid w:val="00531EF9"/>
    <w:rsid w:val="00531FFC"/>
    <w:rsid w:val="00532302"/>
    <w:rsid w:val="005324A8"/>
    <w:rsid w:val="00532725"/>
    <w:rsid w:val="0053345B"/>
    <w:rsid w:val="005336D1"/>
    <w:rsid w:val="0053386A"/>
    <w:rsid w:val="00533A4A"/>
    <w:rsid w:val="005341CD"/>
    <w:rsid w:val="00534288"/>
    <w:rsid w:val="005346F7"/>
    <w:rsid w:val="00534705"/>
    <w:rsid w:val="00534AB2"/>
    <w:rsid w:val="00534E96"/>
    <w:rsid w:val="005350BF"/>
    <w:rsid w:val="005354EE"/>
    <w:rsid w:val="00535618"/>
    <w:rsid w:val="0053653A"/>
    <w:rsid w:val="00536C76"/>
    <w:rsid w:val="00537375"/>
    <w:rsid w:val="0053749F"/>
    <w:rsid w:val="00537C63"/>
    <w:rsid w:val="00537C7D"/>
    <w:rsid w:val="00537D01"/>
    <w:rsid w:val="00537D4C"/>
    <w:rsid w:val="00537D8B"/>
    <w:rsid w:val="00537DDE"/>
    <w:rsid w:val="00540394"/>
    <w:rsid w:val="005404CE"/>
    <w:rsid w:val="0054050C"/>
    <w:rsid w:val="005406C6"/>
    <w:rsid w:val="0054088C"/>
    <w:rsid w:val="00540940"/>
    <w:rsid w:val="005411E2"/>
    <w:rsid w:val="005411ED"/>
    <w:rsid w:val="005414D7"/>
    <w:rsid w:val="00541A95"/>
    <w:rsid w:val="00542103"/>
    <w:rsid w:val="00542411"/>
    <w:rsid w:val="00542773"/>
    <w:rsid w:val="005427FD"/>
    <w:rsid w:val="00543142"/>
    <w:rsid w:val="00543181"/>
    <w:rsid w:val="0054372D"/>
    <w:rsid w:val="00544250"/>
    <w:rsid w:val="005447BF"/>
    <w:rsid w:val="00544966"/>
    <w:rsid w:val="00545CA7"/>
    <w:rsid w:val="005462AC"/>
    <w:rsid w:val="005467FD"/>
    <w:rsid w:val="005470A3"/>
    <w:rsid w:val="005475F9"/>
    <w:rsid w:val="0054767A"/>
    <w:rsid w:val="00547850"/>
    <w:rsid w:val="005503A3"/>
    <w:rsid w:val="0055050C"/>
    <w:rsid w:val="00550DD0"/>
    <w:rsid w:val="00551C23"/>
    <w:rsid w:val="0055204F"/>
    <w:rsid w:val="00552457"/>
    <w:rsid w:val="0055256E"/>
    <w:rsid w:val="00552936"/>
    <w:rsid w:val="00552CF6"/>
    <w:rsid w:val="005531E9"/>
    <w:rsid w:val="0055339B"/>
    <w:rsid w:val="00553B7A"/>
    <w:rsid w:val="00553C4F"/>
    <w:rsid w:val="00553FAF"/>
    <w:rsid w:val="00554A79"/>
    <w:rsid w:val="005553CC"/>
    <w:rsid w:val="00555520"/>
    <w:rsid w:val="00555BC1"/>
    <w:rsid w:val="0055615C"/>
    <w:rsid w:val="00556433"/>
    <w:rsid w:val="00556E64"/>
    <w:rsid w:val="005570EC"/>
    <w:rsid w:val="00557BFB"/>
    <w:rsid w:val="005603BC"/>
    <w:rsid w:val="00560581"/>
    <w:rsid w:val="0056138C"/>
    <w:rsid w:val="00561396"/>
    <w:rsid w:val="00561453"/>
    <w:rsid w:val="0056160F"/>
    <w:rsid w:val="005621E2"/>
    <w:rsid w:val="00562420"/>
    <w:rsid w:val="00562BE9"/>
    <w:rsid w:val="00562BF0"/>
    <w:rsid w:val="00562C10"/>
    <w:rsid w:val="00562C80"/>
    <w:rsid w:val="00563D09"/>
    <w:rsid w:val="005640EB"/>
    <w:rsid w:val="00564862"/>
    <w:rsid w:val="00564DC8"/>
    <w:rsid w:val="00564E1E"/>
    <w:rsid w:val="00565DF7"/>
    <w:rsid w:val="00566117"/>
    <w:rsid w:val="00566899"/>
    <w:rsid w:val="00566A03"/>
    <w:rsid w:val="005671E1"/>
    <w:rsid w:val="005675EF"/>
    <w:rsid w:val="0056776A"/>
    <w:rsid w:val="00567B95"/>
    <w:rsid w:val="00567EDA"/>
    <w:rsid w:val="005703B6"/>
    <w:rsid w:val="00570414"/>
    <w:rsid w:val="00570D4A"/>
    <w:rsid w:val="00571710"/>
    <w:rsid w:val="005717F1"/>
    <w:rsid w:val="0057192A"/>
    <w:rsid w:val="00571D78"/>
    <w:rsid w:val="005725D2"/>
    <w:rsid w:val="005726CD"/>
    <w:rsid w:val="005727F2"/>
    <w:rsid w:val="005737B4"/>
    <w:rsid w:val="00573D7F"/>
    <w:rsid w:val="00573E7B"/>
    <w:rsid w:val="0057407D"/>
    <w:rsid w:val="00574DBC"/>
    <w:rsid w:val="00574F77"/>
    <w:rsid w:val="0057503D"/>
    <w:rsid w:val="00575291"/>
    <w:rsid w:val="00575862"/>
    <w:rsid w:val="00575AFE"/>
    <w:rsid w:val="00575B97"/>
    <w:rsid w:val="00575D0C"/>
    <w:rsid w:val="0057601E"/>
    <w:rsid w:val="005761BB"/>
    <w:rsid w:val="00576247"/>
    <w:rsid w:val="005763DA"/>
    <w:rsid w:val="00576716"/>
    <w:rsid w:val="00576EDB"/>
    <w:rsid w:val="005778E3"/>
    <w:rsid w:val="00577F70"/>
    <w:rsid w:val="00580410"/>
    <w:rsid w:val="005806A3"/>
    <w:rsid w:val="00580758"/>
    <w:rsid w:val="00580FF2"/>
    <w:rsid w:val="005811DB"/>
    <w:rsid w:val="00581433"/>
    <w:rsid w:val="00581667"/>
    <w:rsid w:val="00581E3E"/>
    <w:rsid w:val="00582EC1"/>
    <w:rsid w:val="00583358"/>
    <w:rsid w:val="00584180"/>
    <w:rsid w:val="005846ED"/>
    <w:rsid w:val="00584E02"/>
    <w:rsid w:val="005851E1"/>
    <w:rsid w:val="0058582C"/>
    <w:rsid w:val="00585B5F"/>
    <w:rsid w:val="00585E8B"/>
    <w:rsid w:val="00585EF3"/>
    <w:rsid w:val="00586043"/>
    <w:rsid w:val="00586332"/>
    <w:rsid w:val="00586CB8"/>
    <w:rsid w:val="00587125"/>
    <w:rsid w:val="005876D2"/>
    <w:rsid w:val="0058778C"/>
    <w:rsid w:val="00590351"/>
    <w:rsid w:val="0059079A"/>
    <w:rsid w:val="005907A4"/>
    <w:rsid w:val="00590A7A"/>
    <w:rsid w:val="00590F45"/>
    <w:rsid w:val="005911CB"/>
    <w:rsid w:val="005914FE"/>
    <w:rsid w:val="00591847"/>
    <w:rsid w:val="00591CB6"/>
    <w:rsid w:val="005921E5"/>
    <w:rsid w:val="005925EA"/>
    <w:rsid w:val="00592813"/>
    <w:rsid w:val="005931B0"/>
    <w:rsid w:val="0059343F"/>
    <w:rsid w:val="00593AEA"/>
    <w:rsid w:val="00594523"/>
    <w:rsid w:val="00594586"/>
    <w:rsid w:val="00594A97"/>
    <w:rsid w:val="0059509E"/>
    <w:rsid w:val="005957F0"/>
    <w:rsid w:val="00595EAA"/>
    <w:rsid w:val="00596337"/>
    <w:rsid w:val="00596942"/>
    <w:rsid w:val="00596999"/>
    <w:rsid w:val="00596B19"/>
    <w:rsid w:val="005974CF"/>
    <w:rsid w:val="005976A7"/>
    <w:rsid w:val="00597D7F"/>
    <w:rsid w:val="005A0031"/>
    <w:rsid w:val="005A0FEB"/>
    <w:rsid w:val="005A16A8"/>
    <w:rsid w:val="005A1D3C"/>
    <w:rsid w:val="005A2443"/>
    <w:rsid w:val="005A25D4"/>
    <w:rsid w:val="005A2A69"/>
    <w:rsid w:val="005A36C6"/>
    <w:rsid w:val="005A3876"/>
    <w:rsid w:val="005A3FD8"/>
    <w:rsid w:val="005A4797"/>
    <w:rsid w:val="005A4AB2"/>
    <w:rsid w:val="005A4E22"/>
    <w:rsid w:val="005A5335"/>
    <w:rsid w:val="005A54A0"/>
    <w:rsid w:val="005A56A0"/>
    <w:rsid w:val="005A57F8"/>
    <w:rsid w:val="005A60CA"/>
    <w:rsid w:val="005A640D"/>
    <w:rsid w:val="005A6A32"/>
    <w:rsid w:val="005A73D8"/>
    <w:rsid w:val="005A7C47"/>
    <w:rsid w:val="005B0221"/>
    <w:rsid w:val="005B033D"/>
    <w:rsid w:val="005B08DA"/>
    <w:rsid w:val="005B1306"/>
    <w:rsid w:val="005B1576"/>
    <w:rsid w:val="005B1738"/>
    <w:rsid w:val="005B1789"/>
    <w:rsid w:val="005B1FA8"/>
    <w:rsid w:val="005B2105"/>
    <w:rsid w:val="005B21F0"/>
    <w:rsid w:val="005B2859"/>
    <w:rsid w:val="005B2B8A"/>
    <w:rsid w:val="005B2C56"/>
    <w:rsid w:val="005B2CAB"/>
    <w:rsid w:val="005B2CE9"/>
    <w:rsid w:val="005B3176"/>
    <w:rsid w:val="005B379C"/>
    <w:rsid w:val="005B381D"/>
    <w:rsid w:val="005B3D0A"/>
    <w:rsid w:val="005B3D8F"/>
    <w:rsid w:val="005B4400"/>
    <w:rsid w:val="005B4CEE"/>
    <w:rsid w:val="005B4F27"/>
    <w:rsid w:val="005B5143"/>
    <w:rsid w:val="005B52C4"/>
    <w:rsid w:val="005B5561"/>
    <w:rsid w:val="005B5F60"/>
    <w:rsid w:val="005B64A4"/>
    <w:rsid w:val="005B64B7"/>
    <w:rsid w:val="005B66B1"/>
    <w:rsid w:val="005B6F4A"/>
    <w:rsid w:val="005B73FA"/>
    <w:rsid w:val="005C19F6"/>
    <w:rsid w:val="005C1E87"/>
    <w:rsid w:val="005C1F45"/>
    <w:rsid w:val="005C2623"/>
    <w:rsid w:val="005C267B"/>
    <w:rsid w:val="005C275A"/>
    <w:rsid w:val="005C27E7"/>
    <w:rsid w:val="005C2806"/>
    <w:rsid w:val="005C2836"/>
    <w:rsid w:val="005C2DDA"/>
    <w:rsid w:val="005C32FF"/>
    <w:rsid w:val="005C3CF0"/>
    <w:rsid w:val="005C3D14"/>
    <w:rsid w:val="005C4982"/>
    <w:rsid w:val="005C4A9E"/>
    <w:rsid w:val="005C4AE4"/>
    <w:rsid w:val="005C501C"/>
    <w:rsid w:val="005C5069"/>
    <w:rsid w:val="005C51CA"/>
    <w:rsid w:val="005C5979"/>
    <w:rsid w:val="005C599F"/>
    <w:rsid w:val="005C5B42"/>
    <w:rsid w:val="005C61EF"/>
    <w:rsid w:val="005C6292"/>
    <w:rsid w:val="005C6ED9"/>
    <w:rsid w:val="005C704D"/>
    <w:rsid w:val="005C7439"/>
    <w:rsid w:val="005C7972"/>
    <w:rsid w:val="005C7D06"/>
    <w:rsid w:val="005D0A14"/>
    <w:rsid w:val="005D0CD6"/>
    <w:rsid w:val="005D1488"/>
    <w:rsid w:val="005D1670"/>
    <w:rsid w:val="005D1B3C"/>
    <w:rsid w:val="005D28F4"/>
    <w:rsid w:val="005D2D5A"/>
    <w:rsid w:val="005D2E25"/>
    <w:rsid w:val="005D2F48"/>
    <w:rsid w:val="005D3325"/>
    <w:rsid w:val="005D33D3"/>
    <w:rsid w:val="005D3597"/>
    <w:rsid w:val="005D35EB"/>
    <w:rsid w:val="005D397F"/>
    <w:rsid w:val="005D3D38"/>
    <w:rsid w:val="005D51A2"/>
    <w:rsid w:val="005D5880"/>
    <w:rsid w:val="005D5D0F"/>
    <w:rsid w:val="005D618A"/>
    <w:rsid w:val="005D625A"/>
    <w:rsid w:val="005D6296"/>
    <w:rsid w:val="005D6315"/>
    <w:rsid w:val="005D6CC7"/>
    <w:rsid w:val="005D73B3"/>
    <w:rsid w:val="005D7417"/>
    <w:rsid w:val="005D7548"/>
    <w:rsid w:val="005D7969"/>
    <w:rsid w:val="005D7EBC"/>
    <w:rsid w:val="005E0341"/>
    <w:rsid w:val="005E097E"/>
    <w:rsid w:val="005E0A60"/>
    <w:rsid w:val="005E1087"/>
    <w:rsid w:val="005E177B"/>
    <w:rsid w:val="005E17FB"/>
    <w:rsid w:val="005E1A6E"/>
    <w:rsid w:val="005E1D3A"/>
    <w:rsid w:val="005E228F"/>
    <w:rsid w:val="005E24DA"/>
    <w:rsid w:val="005E3855"/>
    <w:rsid w:val="005E3A4B"/>
    <w:rsid w:val="005E460F"/>
    <w:rsid w:val="005E49DC"/>
    <w:rsid w:val="005E52B6"/>
    <w:rsid w:val="005E5571"/>
    <w:rsid w:val="005E5D77"/>
    <w:rsid w:val="005E6245"/>
    <w:rsid w:val="005E62B0"/>
    <w:rsid w:val="005E63D6"/>
    <w:rsid w:val="005E6A8D"/>
    <w:rsid w:val="005E7030"/>
    <w:rsid w:val="005E7684"/>
    <w:rsid w:val="005E7B6F"/>
    <w:rsid w:val="005E7FBD"/>
    <w:rsid w:val="005F0078"/>
    <w:rsid w:val="005F0271"/>
    <w:rsid w:val="005F06E6"/>
    <w:rsid w:val="005F0715"/>
    <w:rsid w:val="005F0EAF"/>
    <w:rsid w:val="005F177D"/>
    <w:rsid w:val="005F19A0"/>
    <w:rsid w:val="005F21DF"/>
    <w:rsid w:val="005F22AB"/>
    <w:rsid w:val="005F2F9A"/>
    <w:rsid w:val="005F3453"/>
    <w:rsid w:val="005F35A8"/>
    <w:rsid w:val="005F35EC"/>
    <w:rsid w:val="005F4880"/>
    <w:rsid w:val="005F511E"/>
    <w:rsid w:val="005F649C"/>
    <w:rsid w:val="005F78E7"/>
    <w:rsid w:val="006013E4"/>
    <w:rsid w:val="0060147C"/>
    <w:rsid w:val="00601DFB"/>
    <w:rsid w:val="0060261E"/>
    <w:rsid w:val="00602755"/>
    <w:rsid w:val="00602C97"/>
    <w:rsid w:val="00602E20"/>
    <w:rsid w:val="006032F2"/>
    <w:rsid w:val="0060418C"/>
    <w:rsid w:val="00604252"/>
    <w:rsid w:val="00604345"/>
    <w:rsid w:val="00604446"/>
    <w:rsid w:val="0060464D"/>
    <w:rsid w:val="00604ED5"/>
    <w:rsid w:val="0060546E"/>
    <w:rsid w:val="00605A87"/>
    <w:rsid w:val="00605A97"/>
    <w:rsid w:val="00605C91"/>
    <w:rsid w:val="00605E15"/>
    <w:rsid w:val="006064D3"/>
    <w:rsid w:val="00606697"/>
    <w:rsid w:val="00606B40"/>
    <w:rsid w:val="00607A77"/>
    <w:rsid w:val="00607E54"/>
    <w:rsid w:val="006100C8"/>
    <w:rsid w:val="00610C7D"/>
    <w:rsid w:val="00610E89"/>
    <w:rsid w:val="00611315"/>
    <w:rsid w:val="00611D21"/>
    <w:rsid w:val="00612824"/>
    <w:rsid w:val="006128ED"/>
    <w:rsid w:val="00612A51"/>
    <w:rsid w:val="00612A7E"/>
    <w:rsid w:val="00613943"/>
    <w:rsid w:val="00613B53"/>
    <w:rsid w:val="00613E81"/>
    <w:rsid w:val="00614305"/>
    <w:rsid w:val="006143F9"/>
    <w:rsid w:val="00614A6D"/>
    <w:rsid w:val="00615DB4"/>
    <w:rsid w:val="00616538"/>
    <w:rsid w:val="00616F7B"/>
    <w:rsid w:val="00617989"/>
    <w:rsid w:val="00617C2B"/>
    <w:rsid w:val="00617CD5"/>
    <w:rsid w:val="00617FEA"/>
    <w:rsid w:val="00620247"/>
    <w:rsid w:val="006205FD"/>
    <w:rsid w:val="00620653"/>
    <w:rsid w:val="00620962"/>
    <w:rsid w:val="00620BA4"/>
    <w:rsid w:val="00620E60"/>
    <w:rsid w:val="006212C3"/>
    <w:rsid w:val="006221EF"/>
    <w:rsid w:val="00623201"/>
    <w:rsid w:val="0062333F"/>
    <w:rsid w:val="0062359C"/>
    <w:rsid w:val="006236CA"/>
    <w:rsid w:val="00623860"/>
    <w:rsid w:val="00624052"/>
    <w:rsid w:val="006240C9"/>
    <w:rsid w:val="00624368"/>
    <w:rsid w:val="00624784"/>
    <w:rsid w:val="006251B2"/>
    <w:rsid w:val="006254CB"/>
    <w:rsid w:val="006254EF"/>
    <w:rsid w:val="00625869"/>
    <w:rsid w:val="00625875"/>
    <w:rsid w:val="00625EF6"/>
    <w:rsid w:val="006262DA"/>
    <w:rsid w:val="006264AF"/>
    <w:rsid w:val="00626554"/>
    <w:rsid w:val="00627067"/>
    <w:rsid w:val="0062716D"/>
    <w:rsid w:val="00627692"/>
    <w:rsid w:val="0062772A"/>
    <w:rsid w:val="006279D3"/>
    <w:rsid w:val="00627B15"/>
    <w:rsid w:val="00627C25"/>
    <w:rsid w:val="00627E87"/>
    <w:rsid w:val="00630340"/>
    <w:rsid w:val="006304C2"/>
    <w:rsid w:val="0063106B"/>
    <w:rsid w:val="006310E3"/>
    <w:rsid w:val="00631209"/>
    <w:rsid w:val="00631282"/>
    <w:rsid w:val="00631427"/>
    <w:rsid w:val="006314C3"/>
    <w:rsid w:val="006317FD"/>
    <w:rsid w:val="00631E96"/>
    <w:rsid w:val="006321FA"/>
    <w:rsid w:val="006325AD"/>
    <w:rsid w:val="006328DD"/>
    <w:rsid w:val="00632D3A"/>
    <w:rsid w:val="00632D53"/>
    <w:rsid w:val="00632E21"/>
    <w:rsid w:val="00632E68"/>
    <w:rsid w:val="00632EA8"/>
    <w:rsid w:val="00633656"/>
    <w:rsid w:val="00633C31"/>
    <w:rsid w:val="00633F22"/>
    <w:rsid w:val="006340EA"/>
    <w:rsid w:val="00634612"/>
    <w:rsid w:val="006348BA"/>
    <w:rsid w:val="00634F2A"/>
    <w:rsid w:val="006350FA"/>
    <w:rsid w:val="006357D7"/>
    <w:rsid w:val="00635AC9"/>
    <w:rsid w:val="00635D5E"/>
    <w:rsid w:val="00635DD2"/>
    <w:rsid w:val="0063667E"/>
    <w:rsid w:val="006372A4"/>
    <w:rsid w:val="00637A50"/>
    <w:rsid w:val="006401A4"/>
    <w:rsid w:val="0064023C"/>
    <w:rsid w:val="00640EC8"/>
    <w:rsid w:val="0064106A"/>
    <w:rsid w:val="0064141C"/>
    <w:rsid w:val="006418B8"/>
    <w:rsid w:val="00641946"/>
    <w:rsid w:val="00641C0D"/>
    <w:rsid w:val="00641C95"/>
    <w:rsid w:val="00641F92"/>
    <w:rsid w:val="006429FA"/>
    <w:rsid w:val="00642D86"/>
    <w:rsid w:val="00643027"/>
    <w:rsid w:val="0064377A"/>
    <w:rsid w:val="00643AE0"/>
    <w:rsid w:val="006442AE"/>
    <w:rsid w:val="00644400"/>
    <w:rsid w:val="006444A3"/>
    <w:rsid w:val="00644A8A"/>
    <w:rsid w:val="00644BCE"/>
    <w:rsid w:val="00644FD7"/>
    <w:rsid w:val="006450B4"/>
    <w:rsid w:val="00645B30"/>
    <w:rsid w:val="00646F2A"/>
    <w:rsid w:val="0064738D"/>
    <w:rsid w:val="006478A2"/>
    <w:rsid w:val="00647ECE"/>
    <w:rsid w:val="006501B8"/>
    <w:rsid w:val="0065062F"/>
    <w:rsid w:val="00650981"/>
    <w:rsid w:val="00650EA5"/>
    <w:rsid w:val="006511E1"/>
    <w:rsid w:val="00651337"/>
    <w:rsid w:val="00651510"/>
    <w:rsid w:val="006516B0"/>
    <w:rsid w:val="00653178"/>
    <w:rsid w:val="0065322E"/>
    <w:rsid w:val="00653C53"/>
    <w:rsid w:val="00653E83"/>
    <w:rsid w:val="0065465E"/>
    <w:rsid w:val="00655AF9"/>
    <w:rsid w:val="00655B08"/>
    <w:rsid w:val="00655CFA"/>
    <w:rsid w:val="00655D5C"/>
    <w:rsid w:val="006560DB"/>
    <w:rsid w:val="006563FD"/>
    <w:rsid w:val="00656408"/>
    <w:rsid w:val="00656460"/>
    <w:rsid w:val="0065647C"/>
    <w:rsid w:val="006565DA"/>
    <w:rsid w:val="00657446"/>
    <w:rsid w:val="006609F3"/>
    <w:rsid w:val="00660B84"/>
    <w:rsid w:val="00660E36"/>
    <w:rsid w:val="00660F40"/>
    <w:rsid w:val="006613E4"/>
    <w:rsid w:val="0066141F"/>
    <w:rsid w:val="00661A0A"/>
    <w:rsid w:val="006621F0"/>
    <w:rsid w:val="00662D11"/>
    <w:rsid w:val="00662DAE"/>
    <w:rsid w:val="00662E4D"/>
    <w:rsid w:val="006632AF"/>
    <w:rsid w:val="00663358"/>
    <w:rsid w:val="00663594"/>
    <w:rsid w:val="006636AF"/>
    <w:rsid w:val="00663B95"/>
    <w:rsid w:val="00663CD9"/>
    <w:rsid w:val="00663D2E"/>
    <w:rsid w:val="00663ED6"/>
    <w:rsid w:val="00665084"/>
    <w:rsid w:val="006657EC"/>
    <w:rsid w:val="00665FE3"/>
    <w:rsid w:val="00665FF8"/>
    <w:rsid w:val="00666235"/>
    <w:rsid w:val="00666395"/>
    <w:rsid w:val="00666986"/>
    <w:rsid w:val="006670BB"/>
    <w:rsid w:val="0066747C"/>
    <w:rsid w:val="00667646"/>
    <w:rsid w:val="006676A7"/>
    <w:rsid w:val="00667706"/>
    <w:rsid w:val="00667779"/>
    <w:rsid w:val="00667966"/>
    <w:rsid w:val="00667EA4"/>
    <w:rsid w:val="006700B7"/>
    <w:rsid w:val="00670403"/>
    <w:rsid w:val="0067045F"/>
    <w:rsid w:val="00670463"/>
    <w:rsid w:val="00670CD5"/>
    <w:rsid w:val="0067108E"/>
    <w:rsid w:val="00671575"/>
    <w:rsid w:val="00671ED3"/>
    <w:rsid w:val="00672177"/>
    <w:rsid w:val="00672479"/>
    <w:rsid w:val="0067253D"/>
    <w:rsid w:val="00672D22"/>
    <w:rsid w:val="00672E3A"/>
    <w:rsid w:val="00672F8D"/>
    <w:rsid w:val="00673888"/>
    <w:rsid w:val="00673986"/>
    <w:rsid w:val="0067409E"/>
    <w:rsid w:val="00674212"/>
    <w:rsid w:val="006742A5"/>
    <w:rsid w:val="006746DE"/>
    <w:rsid w:val="006749D1"/>
    <w:rsid w:val="00674E21"/>
    <w:rsid w:val="00675616"/>
    <w:rsid w:val="006756BE"/>
    <w:rsid w:val="00675A47"/>
    <w:rsid w:val="00675E39"/>
    <w:rsid w:val="006769CB"/>
    <w:rsid w:val="0067740A"/>
    <w:rsid w:val="00677D87"/>
    <w:rsid w:val="00680391"/>
    <w:rsid w:val="006804F0"/>
    <w:rsid w:val="00680504"/>
    <w:rsid w:val="00680A6B"/>
    <w:rsid w:val="00680CDC"/>
    <w:rsid w:val="00680DBF"/>
    <w:rsid w:val="00680E48"/>
    <w:rsid w:val="006816E8"/>
    <w:rsid w:val="006819B6"/>
    <w:rsid w:val="00681A9F"/>
    <w:rsid w:val="006825C9"/>
    <w:rsid w:val="0068274A"/>
    <w:rsid w:val="00683039"/>
    <w:rsid w:val="006830F7"/>
    <w:rsid w:val="00683155"/>
    <w:rsid w:val="00683969"/>
    <w:rsid w:val="00683C49"/>
    <w:rsid w:val="00683DFB"/>
    <w:rsid w:val="00684711"/>
    <w:rsid w:val="00684FF6"/>
    <w:rsid w:val="00685033"/>
    <w:rsid w:val="0068576D"/>
    <w:rsid w:val="0068583D"/>
    <w:rsid w:val="006858B8"/>
    <w:rsid w:val="00685E3B"/>
    <w:rsid w:val="00685FB1"/>
    <w:rsid w:val="00686BFB"/>
    <w:rsid w:val="00686CB3"/>
    <w:rsid w:val="00686E30"/>
    <w:rsid w:val="00686E4E"/>
    <w:rsid w:val="006872FE"/>
    <w:rsid w:val="00687708"/>
    <w:rsid w:val="00687745"/>
    <w:rsid w:val="00687C3A"/>
    <w:rsid w:val="00690429"/>
    <w:rsid w:val="00690B89"/>
    <w:rsid w:val="00690CED"/>
    <w:rsid w:val="00691DD0"/>
    <w:rsid w:val="00691E15"/>
    <w:rsid w:val="00691F8E"/>
    <w:rsid w:val="00692250"/>
    <w:rsid w:val="006923A7"/>
    <w:rsid w:val="00692CC8"/>
    <w:rsid w:val="006938D8"/>
    <w:rsid w:val="00693F2B"/>
    <w:rsid w:val="006948A5"/>
    <w:rsid w:val="006948D8"/>
    <w:rsid w:val="00694A67"/>
    <w:rsid w:val="00694D7F"/>
    <w:rsid w:val="00695040"/>
    <w:rsid w:val="00695AD2"/>
    <w:rsid w:val="0069617C"/>
    <w:rsid w:val="00696D30"/>
    <w:rsid w:val="0069720D"/>
    <w:rsid w:val="0069772C"/>
    <w:rsid w:val="00697CDA"/>
    <w:rsid w:val="00697D0E"/>
    <w:rsid w:val="00697DAD"/>
    <w:rsid w:val="00697F73"/>
    <w:rsid w:val="006A0774"/>
    <w:rsid w:val="006A0BDF"/>
    <w:rsid w:val="006A1050"/>
    <w:rsid w:val="006A124B"/>
    <w:rsid w:val="006A1320"/>
    <w:rsid w:val="006A1603"/>
    <w:rsid w:val="006A1855"/>
    <w:rsid w:val="006A19DF"/>
    <w:rsid w:val="006A1C3E"/>
    <w:rsid w:val="006A1DF4"/>
    <w:rsid w:val="006A1F73"/>
    <w:rsid w:val="006A244E"/>
    <w:rsid w:val="006A322B"/>
    <w:rsid w:val="006A3AF4"/>
    <w:rsid w:val="006A4315"/>
    <w:rsid w:val="006A4501"/>
    <w:rsid w:val="006A4891"/>
    <w:rsid w:val="006A4B51"/>
    <w:rsid w:val="006A56F9"/>
    <w:rsid w:val="006A5FDB"/>
    <w:rsid w:val="006A6475"/>
    <w:rsid w:val="006A68B9"/>
    <w:rsid w:val="006A6966"/>
    <w:rsid w:val="006A6BEC"/>
    <w:rsid w:val="006A72B9"/>
    <w:rsid w:val="006A7E75"/>
    <w:rsid w:val="006B02B5"/>
    <w:rsid w:val="006B0EBE"/>
    <w:rsid w:val="006B120D"/>
    <w:rsid w:val="006B1ED2"/>
    <w:rsid w:val="006B249A"/>
    <w:rsid w:val="006B2889"/>
    <w:rsid w:val="006B3129"/>
    <w:rsid w:val="006B3258"/>
    <w:rsid w:val="006B3BB3"/>
    <w:rsid w:val="006B3BE5"/>
    <w:rsid w:val="006B43D0"/>
    <w:rsid w:val="006B483C"/>
    <w:rsid w:val="006B484B"/>
    <w:rsid w:val="006B4A13"/>
    <w:rsid w:val="006B4E65"/>
    <w:rsid w:val="006B5E9A"/>
    <w:rsid w:val="006B6AD7"/>
    <w:rsid w:val="006B7094"/>
    <w:rsid w:val="006B7228"/>
    <w:rsid w:val="006B723F"/>
    <w:rsid w:val="006B78CA"/>
    <w:rsid w:val="006B7C40"/>
    <w:rsid w:val="006B7E3C"/>
    <w:rsid w:val="006B7EB1"/>
    <w:rsid w:val="006C0334"/>
    <w:rsid w:val="006C042C"/>
    <w:rsid w:val="006C0608"/>
    <w:rsid w:val="006C0A15"/>
    <w:rsid w:val="006C0AF1"/>
    <w:rsid w:val="006C0D38"/>
    <w:rsid w:val="006C0D7D"/>
    <w:rsid w:val="006C0E4B"/>
    <w:rsid w:val="006C153E"/>
    <w:rsid w:val="006C1CA6"/>
    <w:rsid w:val="006C1E1A"/>
    <w:rsid w:val="006C2097"/>
    <w:rsid w:val="006C22C5"/>
    <w:rsid w:val="006C265C"/>
    <w:rsid w:val="006C3027"/>
    <w:rsid w:val="006C38C8"/>
    <w:rsid w:val="006C38D5"/>
    <w:rsid w:val="006C3CD0"/>
    <w:rsid w:val="006C42C6"/>
    <w:rsid w:val="006C49CB"/>
    <w:rsid w:val="006C518D"/>
    <w:rsid w:val="006C5D95"/>
    <w:rsid w:val="006C5E73"/>
    <w:rsid w:val="006C610D"/>
    <w:rsid w:val="006C6413"/>
    <w:rsid w:val="006C7B38"/>
    <w:rsid w:val="006C7C49"/>
    <w:rsid w:val="006D0431"/>
    <w:rsid w:val="006D076E"/>
    <w:rsid w:val="006D0933"/>
    <w:rsid w:val="006D09B8"/>
    <w:rsid w:val="006D0F44"/>
    <w:rsid w:val="006D1584"/>
    <w:rsid w:val="006D164B"/>
    <w:rsid w:val="006D209E"/>
    <w:rsid w:val="006D20C3"/>
    <w:rsid w:val="006D2155"/>
    <w:rsid w:val="006D2B1D"/>
    <w:rsid w:val="006D2FCE"/>
    <w:rsid w:val="006D3654"/>
    <w:rsid w:val="006D3FA9"/>
    <w:rsid w:val="006D41D4"/>
    <w:rsid w:val="006D4DDB"/>
    <w:rsid w:val="006D4F96"/>
    <w:rsid w:val="006D535E"/>
    <w:rsid w:val="006D55B7"/>
    <w:rsid w:val="006D5934"/>
    <w:rsid w:val="006D5983"/>
    <w:rsid w:val="006D6107"/>
    <w:rsid w:val="006D641B"/>
    <w:rsid w:val="006D653B"/>
    <w:rsid w:val="006D685A"/>
    <w:rsid w:val="006D6933"/>
    <w:rsid w:val="006D6F8E"/>
    <w:rsid w:val="006D77B7"/>
    <w:rsid w:val="006D7CA0"/>
    <w:rsid w:val="006E0883"/>
    <w:rsid w:val="006E16BC"/>
    <w:rsid w:val="006E1ABB"/>
    <w:rsid w:val="006E1B62"/>
    <w:rsid w:val="006E1DC1"/>
    <w:rsid w:val="006E2385"/>
    <w:rsid w:val="006E28DD"/>
    <w:rsid w:val="006E30BC"/>
    <w:rsid w:val="006E334E"/>
    <w:rsid w:val="006E342E"/>
    <w:rsid w:val="006E3626"/>
    <w:rsid w:val="006E388D"/>
    <w:rsid w:val="006E3CBA"/>
    <w:rsid w:val="006E4D2E"/>
    <w:rsid w:val="006E51C7"/>
    <w:rsid w:val="006E523F"/>
    <w:rsid w:val="006E59F1"/>
    <w:rsid w:val="006E5B97"/>
    <w:rsid w:val="006E5C8E"/>
    <w:rsid w:val="006E5F20"/>
    <w:rsid w:val="006E5FB9"/>
    <w:rsid w:val="006E67D2"/>
    <w:rsid w:val="006E686B"/>
    <w:rsid w:val="006E69CF"/>
    <w:rsid w:val="006E6C56"/>
    <w:rsid w:val="006E7327"/>
    <w:rsid w:val="006E7853"/>
    <w:rsid w:val="006E78AD"/>
    <w:rsid w:val="006E7B27"/>
    <w:rsid w:val="006E7D27"/>
    <w:rsid w:val="006F050F"/>
    <w:rsid w:val="006F1090"/>
    <w:rsid w:val="006F1D55"/>
    <w:rsid w:val="006F1F98"/>
    <w:rsid w:val="006F2C25"/>
    <w:rsid w:val="006F2E34"/>
    <w:rsid w:val="006F3301"/>
    <w:rsid w:val="006F38FE"/>
    <w:rsid w:val="006F3CAE"/>
    <w:rsid w:val="006F3E5E"/>
    <w:rsid w:val="006F465C"/>
    <w:rsid w:val="006F4B16"/>
    <w:rsid w:val="006F5588"/>
    <w:rsid w:val="006F5A48"/>
    <w:rsid w:val="006F5E81"/>
    <w:rsid w:val="006F67D7"/>
    <w:rsid w:val="006F7D31"/>
    <w:rsid w:val="006F7D55"/>
    <w:rsid w:val="006F7F40"/>
    <w:rsid w:val="00700542"/>
    <w:rsid w:val="00700C02"/>
    <w:rsid w:val="00700F84"/>
    <w:rsid w:val="00701960"/>
    <w:rsid w:val="00701969"/>
    <w:rsid w:val="00701D3B"/>
    <w:rsid w:val="00702783"/>
    <w:rsid w:val="00702897"/>
    <w:rsid w:val="00702A6B"/>
    <w:rsid w:val="00702C3D"/>
    <w:rsid w:val="00702E5A"/>
    <w:rsid w:val="00702F8D"/>
    <w:rsid w:val="007030D5"/>
    <w:rsid w:val="00704041"/>
    <w:rsid w:val="00704256"/>
    <w:rsid w:val="00704C2D"/>
    <w:rsid w:val="00704EEF"/>
    <w:rsid w:val="007052E5"/>
    <w:rsid w:val="007052EB"/>
    <w:rsid w:val="00705424"/>
    <w:rsid w:val="007059D9"/>
    <w:rsid w:val="00705D32"/>
    <w:rsid w:val="00705D74"/>
    <w:rsid w:val="007068CF"/>
    <w:rsid w:val="00707158"/>
    <w:rsid w:val="00707350"/>
    <w:rsid w:val="00707A9D"/>
    <w:rsid w:val="00707C3B"/>
    <w:rsid w:val="007102C5"/>
    <w:rsid w:val="00710AAF"/>
    <w:rsid w:val="00710C91"/>
    <w:rsid w:val="00710F09"/>
    <w:rsid w:val="007118E9"/>
    <w:rsid w:val="00711F7F"/>
    <w:rsid w:val="00711FB3"/>
    <w:rsid w:val="00712690"/>
    <w:rsid w:val="00712D94"/>
    <w:rsid w:val="00712F72"/>
    <w:rsid w:val="0071341D"/>
    <w:rsid w:val="007139DB"/>
    <w:rsid w:val="007139E4"/>
    <w:rsid w:val="00713B91"/>
    <w:rsid w:val="00713E61"/>
    <w:rsid w:val="007145FE"/>
    <w:rsid w:val="0071460F"/>
    <w:rsid w:val="0071499F"/>
    <w:rsid w:val="00714BE9"/>
    <w:rsid w:val="00714DD7"/>
    <w:rsid w:val="007150D6"/>
    <w:rsid w:val="00715449"/>
    <w:rsid w:val="0071568F"/>
    <w:rsid w:val="00715951"/>
    <w:rsid w:val="00715DDC"/>
    <w:rsid w:val="00715E45"/>
    <w:rsid w:val="007163D0"/>
    <w:rsid w:val="00716432"/>
    <w:rsid w:val="007164E6"/>
    <w:rsid w:val="0071710E"/>
    <w:rsid w:val="00717393"/>
    <w:rsid w:val="007178BA"/>
    <w:rsid w:val="00720434"/>
    <w:rsid w:val="007204C3"/>
    <w:rsid w:val="00720523"/>
    <w:rsid w:val="00720611"/>
    <w:rsid w:val="00720983"/>
    <w:rsid w:val="00720BAA"/>
    <w:rsid w:val="007214A2"/>
    <w:rsid w:val="00721FD6"/>
    <w:rsid w:val="007224FB"/>
    <w:rsid w:val="00722A9A"/>
    <w:rsid w:val="00722B78"/>
    <w:rsid w:val="0072395D"/>
    <w:rsid w:val="00723B1F"/>
    <w:rsid w:val="00723F8C"/>
    <w:rsid w:val="00724B5D"/>
    <w:rsid w:val="00724BC5"/>
    <w:rsid w:val="00725317"/>
    <w:rsid w:val="00725D56"/>
    <w:rsid w:val="00725E09"/>
    <w:rsid w:val="00725F4E"/>
    <w:rsid w:val="00727164"/>
    <w:rsid w:val="00727950"/>
    <w:rsid w:val="00727C36"/>
    <w:rsid w:val="00727D12"/>
    <w:rsid w:val="00730A25"/>
    <w:rsid w:val="00730E8D"/>
    <w:rsid w:val="00730FB7"/>
    <w:rsid w:val="007312CB"/>
    <w:rsid w:val="00731479"/>
    <w:rsid w:val="007316E4"/>
    <w:rsid w:val="00731F68"/>
    <w:rsid w:val="0073224E"/>
    <w:rsid w:val="00732D61"/>
    <w:rsid w:val="00733272"/>
    <w:rsid w:val="00734041"/>
    <w:rsid w:val="00734069"/>
    <w:rsid w:val="00735192"/>
    <w:rsid w:val="0073520E"/>
    <w:rsid w:val="00735B95"/>
    <w:rsid w:val="00735E1B"/>
    <w:rsid w:val="00735E55"/>
    <w:rsid w:val="00735FE7"/>
    <w:rsid w:val="00736E6D"/>
    <w:rsid w:val="00737383"/>
    <w:rsid w:val="00737D7C"/>
    <w:rsid w:val="0074011B"/>
    <w:rsid w:val="00740C13"/>
    <w:rsid w:val="007414B6"/>
    <w:rsid w:val="007418C4"/>
    <w:rsid w:val="007418E9"/>
    <w:rsid w:val="00741D69"/>
    <w:rsid w:val="00741E12"/>
    <w:rsid w:val="0074227D"/>
    <w:rsid w:val="00742526"/>
    <w:rsid w:val="0074306F"/>
    <w:rsid w:val="007430E8"/>
    <w:rsid w:val="00743191"/>
    <w:rsid w:val="00743534"/>
    <w:rsid w:val="00744081"/>
    <w:rsid w:val="00744381"/>
    <w:rsid w:val="00744454"/>
    <w:rsid w:val="0074480F"/>
    <w:rsid w:val="00745294"/>
    <w:rsid w:val="007452AB"/>
    <w:rsid w:val="00745470"/>
    <w:rsid w:val="007459F1"/>
    <w:rsid w:val="00745AA1"/>
    <w:rsid w:val="00745BC3"/>
    <w:rsid w:val="007462C3"/>
    <w:rsid w:val="0074642B"/>
    <w:rsid w:val="007467A4"/>
    <w:rsid w:val="00746AAC"/>
    <w:rsid w:val="00746DA8"/>
    <w:rsid w:val="007472A7"/>
    <w:rsid w:val="007478B9"/>
    <w:rsid w:val="00747AD5"/>
    <w:rsid w:val="00747E10"/>
    <w:rsid w:val="00747F8A"/>
    <w:rsid w:val="00750234"/>
    <w:rsid w:val="0075026F"/>
    <w:rsid w:val="00750944"/>
    <w:rsid w:val="00750BBD"/>
    <w:rsid w:val="00750C25"/>
    <w:rsid w:val="00751578"/>
    <w:rsid w:val="007515F4"/>
    <w:rsid w:val="0075266A"/>
    <w:rsid w:val="00753336"/>
    <w:rsid w:val="007536F7"/>
    <w:rsid w:val="00753873"/>
    <w:rsid w:val="0075399C"/>
    <w:rsid w:val="00753A3B"/>
    <w:rsid w:val="00753D94"/>
    <w:rsid w:val="00753FE8"/>
    <w:rsid w:val="0075463B"/>
    <w:rsid w:val="00754BA7"/>
    <w:rsid w:val="007550D8"/>
    <w:rsid w:val="007558F2"/>
    <w:rsid w:val="0075592A"/>
    <w:rsid w:val="00755A71"/>
    <w:rsid w:val="00755B5E"/>
    <w:rsid w:val="00756643"/>
    <w:rsid w:val="00756840"/>
    <w:rsid w:val="00756B3A"/>
    <w:rsid w:val="00756CBF"/>
    <w:rsid w:val="00756F4B"/>
    <w:rsid w:val="007576B8"/>
    <w:rsid w:val="00757A52"/>
    <w:rsid w:val="00757A92"/>
    <w:rsid w:val="00757EFB"/>
    <w:rsid w:val="0076008C"/>
    <w:rsid w:val="007600B8"/>
    <w:rsid w:val="00760388"/>
    <w:rsid w:val="00760B63"/>
    <w:rsid w:val="007612BE"/>
    <w:rsid w:val="00761846"/>
    <w:rsid w:val="007619E5"/>
    <w:rsid w:val="00761E58"/>
    <w:rsid w:val="0076252A"/>
    <w:rsid w:val="00762689"/>
    <w:rsid w:val="00762E87"/>
    <w:rsid w:val="00762FC3"/>
    <w:rsid w:val="0076314B"/>
    <w:rsid w:val="00763210"/>
    <w:rsid w:val="00763633"/>
    <w:rsid w:val="007637A1"/>
    <w:rsid w:val="007653A2"/>
    <w:rsid w:val="007655E8"/>
    <w:rsid w:val="00765765"/>
    <w:rsid w:val="00766419"/>
    <w:rsid w:val="007664EF"/>
    <w:rsid w:val="00766522"/>
    <w:rsid w:val="0076673A"/>
    <w:rsid w:val="007668C4"/>
    <w:rsid w:val="00766A02"/>
    <w:rsid w:val="00766F35"/>
    <w:rsid w:val="00767AE6"/>
    <w:rsid w:val="007701C4"/>
    <w:rsid w:val="00770514"/>
    <w:rsid w:val="00770E17"/>
    <w:rsid w:val="007713F5"/>
    <w:rsid w:val="007716C8"/>
    <w:rsid w:val="00771BC6"/>
    <w:rsid w:val="00771D0D"/>
    <w:rsid w:val="0077297F"/>
    <w:rsid w:val="00772BD0"/>
    <w:rsid w:val="00772F7D"/>
    <w:rsid w:val="00772FFA"/>
    <w:rsid w:val="007730D4"/>
    <w:rsid w:val="00773112"/>
    <w:rsid w:val="00773453"/>
    <w:rsid w:val="007734DF"/>
    <w:rsid w:val="007735BA"/>
    <w:rsid w:val="00773817"/>
    <w:rsid w:val="007739DD"/>
    <w:rsid w:val="00773AB6"/>
    <w:rsid w:val="00773B30"/>
    <w:rsid w:val="00773D43"/>
    <w:rsid w:val="00773F59"/>
    <w:rsid w:val="0077454B"/>
    <w:rsid w:val="007750AF"/>
    <w:rsid w:val="0077564C"/>
    <w:rsid w:val="0077590A"/>
    <w:rsid w:val="007759DC"/>
    <w:rsid w:val="00775BAF"/>
    <w:rsid w:val="00775C7D"/>
    <w:rsid w:val="00776120"/>
    <w:rsid w:val="00776461"/>
    <w:rsid w:val="00776B13"/>
    <w:rsid w:val="007774E2"/>
    <w:rsid w:val="0077762A"/>
    <w:rsid w:val="00777ABC"/>
    <w:rsid w:val="00780680"/>
    <w:rsid w:val="00781481"/>
    <w:rsid w:val="007816F0"/>
    <w:rsid w:val="00781ABB"/>
    <w:rsid w:val="00782265"/>
    <w:rsid w:val="00782A91"/>
    <w:rsid w:val="0078368D"/>
    <w:rsid w:val="00783A63"/>
    <w:rsid w:val="00783A8B"/>
    <w:rsid w:val="00783B99"/>
    <w:rsid w:val="0078427A"/>
    <w:rsid w:val="00784BCB"/>
    <w:rsid w:val="00784ECB"/>
    <w:rsid w:val="00785186"/>
    <w:rsid w:val="007851E2"/>
    <w:rsid w:val="00785C24"/>
    <w:rsid w:val="00786506"/>
    <w:rsid w:val="00787405"/>
    <w:rsid w:val="0078743E"/>
    <w:rsid w:val="0078795C"/>
    <w:rsid w:val="00787E48"/>
    <w:rsid w:val="00790165"/>
    <w:rsid w:val="007901F6"/>
    <w:rsid w:val="00790C93"/>
    <w:rsid w:val="00790ECF"/>
    <w:rsid w:val="00792087"/>
    <w:rsid w:val="007929D5"/>
    <w:rsid w:val="00793C8C"/>
    <w:rsid w:val="00793D63"/>
    <w:rsid w:val="00793EA2"/>
    <w:rsid w:val="007940E0"/>
    <w:rsid w:val="007942CA"/>
    <w:rsid w:val="00794611"/>
    <w:rsid w:val="00794635"/>
    <w:rsid w:val="007947C0"/>
    <w:rsid w:val="0079516B"/>
    <w:rsid w:val="00795244"/>
    <w:rsid w:val="0079537E"/>
    <w:rsid w:val="00795920"/>
    <w:rsid w:val="007959F1"/>
    <w:rsid w:val="00796076"/>
    <w:rsid w:val="00796224"/>
    <w:rsid w:val="0079645C"/>
    <w:rsid w:val="0079646C"/>
    <w:rsid w:val="0079669F"/>
    <w:rsid w:val="00797F19"/>
    <w:rsid w:val="007A02EB"/>
    <w:rsid w:val="007A0483"/>
    <w:rsid w:val="007A05B2"/>
    <w:rsid w:val="007A17AF"/>
    <w:rsid w:val="007A1AC6"/>
    <w:rsid w:val="007A1BAB"/>
    <w:rsid w:val="007A239F"/>
    <w:rsid w:val="007A398C"/>
    <w:rsid w:val="007A3E0F"/>
    <w:rsid w:val="007A40E1"/>
    <w:rsid w:val="007A4142"/>
    <w:rsid w:val="007A4483"/>
    <w:rsid w:val="007A4614"/>
    <w:rsid w:val="007A4B1C"/>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120C"/>
    <w:rsid w:val="007B154D"/>
    <w:rsid w:val="007B1BA0"/>
    <w:rsid w:val="007B2082"/>
    <w:rsid w:val="007B20EB"/>
    <w:rsid w:val="007B22D5"/>
    <w:rsid w:val="007B2466"/>
    <w:rsid w:val="007B26F1"/>
    <w:rsid w:val="007B2FD3"/>
    <w:rsid w:val="007B31AB"/>
    <w:rsid w:val="007B32AC"/>
    <w:rsid w:val="007B4023"/>
    <w:rsid w:val="007B449B"/>
    <w:rsid w:val="007B4CFC"/>
    <w:rsid w:val="007B4E46"/>
    <w:rsid w:val="007B55FB"/>
    <w:rsid w:val="007B56DE"/>
    <w:rsid w:val="007B5E88"/>
    <w:rsid w:val="007B6124"/>
    <w:rsid w:val="007B62D8"/>
    <w:rsid w:val="007B6C02"/>
    <w:rsid w:val="007B6E37"/>
    <w:rsid w:val="007B7064"/>
    <w:rsid w:val="007C06EE"/>
    <w:rsid w:val="007C0B85"/>
    <w:rsid w:val="007C2075"/>
    <w:rsid w:val="007C2879"/>
    <w:rsid w:val="007C3482"/>
    <w:rsid w:val="007C3489"/>
    <w:rsid w:val="007C3558"/>
    <w:rsid w:val="007C36E0"/>
    <w:rsid w:val="007C37EB"/>
    <w:rsid w:val="007C3963"/>
    <w:rsid w:val="007C3C23"/>
    <w:rsid w:val="007C3EDA"/>
    <w:rsid w:val="007C425D"/>
    <w:rsid w:val="007C44DF"/>
    <w:rsid w:val="007C4A5B"/>
    <w:rsid w:val="007C5416"/>
    <w:rsid w:val="007C59AE"/>
    <w:rsid w:val="007C5ED9"/>
    <w:rsid w:val="007C69E5"/>
    <w:rsid w:val="007C797D"/>
    <w:rsid w:val="007D0C44"/>
    <w:rsid w:val="007D1D20"/>
    <w:rsid w:val="007D282D"/>
    <w:rsid w:val="007D32FF"/>
    <w:rsid w:val="007D3E19"/>
    <w:rsid w:val="007D5695"/>
    <w:rsid w:val="007D5ABB"/>
    <w:rsid w:val="007D5D4D"/>
    <w:rsid w:val="007D5DDC"/>
    <w:rsid w:val="007D644C"/>
    <w:rsid w:val="007D6B09"/>
    <w:rsid w:val="007D6F90"/>
    <w:rsid w:val="007D7045"/>
    <w:rsid w:val="007D787B"/>
    <w:rsid w:val="007D7E6E"/>
    <w:rsid w:val="007E0163"/>
    <w:rsid w:val="007E0259"/>
    <w:rsid w:val="007E055F"/>
    <w:rsid w:val="007E1119"/>
    <w:rsid w:val="007E195B"/>
    <w:rsid w:val="007E2053"/>
    <w:rsid w:val="007E2302"/>
    <w:rsid w:val="007E2E4A"/>
    <w:rsid w:val="007E3097"/>
    <w:rsid w:val="007E399C"/>
    <w:rsid w:val="007E3BBA"/>
    <w:rsid w:val="007E3F3B"/>
    <w:rsid w:val="007E4A11"/>
    <w:rsid w:val="007E4F28"/>
    <w:rsid w:val="007E503B"/>
    <w:rsid w:val="007E5277"/>
    <w:rsid w:val="007E529A"/>
    <w:rsid w:val="007E530F"/>
    <w:rsid w:val="007E563F"/>
    <w:rsid w:val="007E56C6"/>
    <w:rsid w:val="007E5711"/>
    <w:rsid w:val="007E57EC"/>
    <w:rsid w:val="007E5A88"/>
    <w:rsid w:val="007E5C5E"/>
    <w:rsid w:val="007E5E8E"/>
    <w:rsid w:val="007E6871"/>
    <w:rsid w:val="007E7246"/>
    <w:rsid w:val="007E7333"/>
    <w:rsid w:val="007E73BB"/>
    <w:rsid w:val="007E76B8"/>
    <w:rsid w:val="007E7F00"/>
    <w:rsid w:val="007E7FE5"/>
    <w:rsid w:val="007F0205"/>
    <w:rsid w:val="007F04EF"/>
    <w:rsid w:val="007F0D58"/>
    <w:rsid w:val="007F0DDB"/>
    <w:rsid w:val="007F14F1"/>
    <w:rsid w:val="007F192A"/>
    <w:rsid w:val="007F19BB"/>
    <w:rsid w:val="007F1C4F"/>
    <w:rsid w:val="007F26BB"/>
    <w:rsid w:val="007F27D8"/>
    <w:rsid w:val="007F3A82"/>
    <w:rsid w:val="007F3CE0"/>
    <w:rsid w:val="007F3DD1"/>
    <w:rsid w:val="007F42AA"/>
    <w:rsid w:val="007F42E8"/>
    <w:rsid w:val="007F433D"/>
    <w:rsid w:val="007F46CB"/>
    <w:rsid w:val="007F4A15"/>
    <w:rsid w:val="007F4D6A"/>
    <w:rsid w:val="007F53DB"/>
    <w:rsid w:val="007F57EB"/>
    <w:rsid w:val="007F58D3"/>
    <w:rsid w:val="007F5CE0"/>
    <w:rsid w:val="007F6441"/>
    <w:rsid w:val="007F66B5"/>
    <w:rsid w:val="007F6865"/>
    <w:rsid w:val="007F6E87"/>
    <w:rsid w:val="007F76F7"/>
    <w:rsid w:val="008001D1"/>
    <w:rsid w:val="00800780"/>
    <w:rsid w:val="00800D99"/>
    <w:rsid w:val="008012DB"/>
    <w:rsid w:val="0080168A"/>
    <w:rsid w:val="008018D0"/>
    <w:rsid w:val="00801AA3"/>
    <w:rsid w:val="00801BFE"/>
    <w:rsid w:val="00802533"/>
    <w:rsid w:val="00802E53"/>
    <w:rsid w:val="00804057"/>
    <w:rsid w:val="00804388"/>
    <w:rsid w:val="00804746"/>
    <w:rsid w:val="00804F60"/>
    <w:rsid w:val="008054DB"/>
    <w:rsid w:val="008059D6"/>
    <w:rsid w:val="00805A49"/>
    <w:rsid w:val="00805D98"/>
    <w:rsid w:val="00805EC2"/>
    <w:rsid w:val="008063C6"/>
    <w:rsid w:val="008064DE"/>
    <w:rsid w:val="00806ABD"/>
    <w:rsid w:val="00807347"/>
    <w:rsid w:val="008077E6"/>
    <w:rsid w:val="00807882"/>
    <w:rsid w:val="008078F1"/>
    <w:rsid w:val="00807972"/>
    <w:rsid w:val="00807B4D"/>
    <w:rsid w:val="00810327"/>
    <w:rsid w:val="00811872"/>
    <w:rsid w:val="00811EAE"/>
    <w:rsid w:val="0081246C"/>
    <w:rsid w:val="00812514"/>
    <w:rsid w:val="00813573"/>
    <w:rsid w:val="00813637"/>
    <w:rsid w:val="008139A9"/>
    <w:rsid w:val="008139F8"/>
    <w:rsid w:val="00813BB3"/>
    <w:rsid w:val="00813CD2"/>
    <w:rsid w:val="0081446A"/>
    <w:rsid w:val="008144D8"/>
    <w:rsid w:val="00814F24"/>
    <w:rsid w:val="0081502F"/>
    <w:rsid w:val="008154F2"/>
    <w:rsid w:val="0081568E"/>
    <w:rsid w:val="00815ADC"/>
    <w:rsid w:val="00815B69"/>
    <w:rsid w:val="008160DB"/>
    <w:rsid w:val="00816149"/>
    <w:rsid w:val="008168DE"/>
    <w:rsid w:val="00816CF6"/>
    <w:rsid w:val="00816E8E"/>
    <w:rsid w:val="00817226"/>
    <w:rsid w:val="00817669"/>
    <w:rsid w:val="008176DF"/>
    <w:rsid w:val="00817ADD"/>
    <w:rsid w:val="00817EA3"/>
    <w:rsid w:val="00820309"/>
    <w:rsid w:val="00820B26"/>
    <w:rsid w:val="00820D8B"/>
    <w:rsid w:val="00820FC6"/>
    <w:rsid w:val="008214AD"/>
    <w:rsid w:val="00821517"/>
    <w:rsid w:val="008219C7"/>
    <w:rsid w:val="00821D5C"/>
    <w:rsid w:val="008220E5"/>
    <w:rsid w:val="008224B6"/>
    <w:rsid w:val="00822ADB"/>
    <w:rsid w:val="00822C8A"/>
    <w:rsid w:val="0082337A"/>
    <w:rsid w:val="00823514"/>
    <w:rsid w:val="00823FEC"/>
    <w:rsid w:val="00824900"/>
    <w:rsid w:val="00824A2E"/>
    <w:rsid w:val="00824EC9"/>
    <w:rsid w:val="00825D66"/>
    <w:rsid w:val="00825E1E"/>
    <w:rsid w:val="00826338"/>
    <w:rsid w:val="0082716E"/>
    <w:rsid w:val="00827564"/>
    <w:rsid w:val="00827B33"/>
    <w:rsid w:val="00827CC3"/>
    <w:rsid w:val="008310C7"/>
    <w:rsid w:val="0083195A"/>
    <w:rsid w:val="00831A06"/>
    <w:rsid w:val="00831AC5"/>
    <w:rsid w:val="008325DB"/>
    <w:rsid w:val="00832F3B"/>
    <w:rsid w:val="00834E6E"/>
    <w:rsid w:val="0083565C"/>
    <w:rsid w:val="0083586D"/>
    <w:rsid w:val="008359A6"/>
    <w:rsid w:val="00835DCD"/>
    <w:rsid w:val="00836D90"/>
    <w:rsid w:val="00837556"/>
    <w:rsid w:val="008375A3"/>
    <w:rsid w:val="00837942"/>
    <w:rsid w:val="00840327"/>
    <w:rsid w:val="0084093E"/>
    <w:rsid w:val="0084119C"/>
    <w:rsid w:val="0084185D"/>
    <w:rsid w:val="00841A91"/>
    <w:rsid w:val="00841B67"/>
    <w:rsid w:val="00842289"/>
    <w:rsid w:val="0084237E"/>
    <w:rsid w:val="008425A3"/>
    <w:rsid w:val="00842DF7"/>
    <w:rsid w:val="00842FA1"/>
    <w:rsid w:val="008435D0"/>
    <w:rsid w:val="00843BFE"/>
    <w:rsid w:val="00843D02"/>
    <w:rsid w:val="0084439F"/>
    <w:rsid w:val="008444A5"/>
    <w:rsid w:val="00844B3F"/>
    <w:rsid w:val="00845E7A"/>
    <w:rsid w:val="00845F45"/>
    <w:rsid w:val="00846001"/>
    <w:rsid w:val="008468FB"/>
    <w:rsid w:val="00846AE9"/>
    <w:rsid w:val="00847A75"/>
    <w:rsid w:val="00847CCD"/>
    <w:rsid w:val="00847E30"/>
    <w:rsid w:val="008505D7"/>
    <w:rsid w:val="00850821"/>
    <w:rsid w:val="00850867"/>
    <w:rsid w:val="0085096D"/>
    <w:rsid w:val="00850CC5"/>
    <w:rsid w:val="00851143"/>
    <w:rsid w:val="008511C1"/>
    <w:rsid w:val="00851774"/>
    <w:rsid w:val="00851DD3"/>
    <w:rsid w:val="00852351"/>
    <w:rsid w:val="008524AC"/>
    <w:rsid w:val="00852B21"/>
    <w:rsid w:val="00852E04"/>
    <w:rsid w:val="00852E26"/>
    <w:rsid w:val="00852F13"/>
    <w:rsid w:val="008536B6"/>
    <w:rsid w:val="00853A1D"/>
    <w:rsid w:val="00853A5F"/>
    <w:rsid w:val="00854C7E"/>
    <w:rsid w:val="00854F74"/>
    <w:rsid w:val="00856A95"/>
    <w:rsid w:val="00856CFF"/>
    <w:rsid w:val="00857010"/>
    <w:rsid w:val="00860305"/>
    <w:rsid w:val="0086039C"/>
    <w:rsid w:val="00860811"/>
    <w:rsid w:val="00860D67"/>
    <w:rsid w:val="00860D93"/>
    <w:rsid w:val="00861A93"/>
    <w:rsid w:val="0086229F"/>
    <w:rsid w:val="008626C8"/>
    <w:rsid w:val="008629E1"/>
    <w:rsid w:val="0086308B"/>
    <w:rsid w:val="0086323F"/>
    <w:rsid w:val="008632B8"/>
    <w:rsid w:val="00863927"/>
    <w:rsid w:val="0086398E"/>
    <w:rsid w:val="00863AEF"/>
    <w:rsid w:val="00863CE4"/>
    <w:rsid w:val="0086423F"/>
    <w:rsid w:val="008644E2"/>
    <w:rsid w:val="00865836"/>
    <w:rsid w:val="00865B9C"/>
    <w:rsid w:val="0086617A"/>
    <w:rsid w:val="008664D6"/>
    <w:rsid w:val="0086686E"/>
    <w:rsid w:val="00866B93"/>
    <w:rsid w:val="00866FC6"/>
    <w:rsid w:val="008673B7"/>
    <w:rsid w:val="00867718"/>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4DA0"/>
    <w:rsid w:val="008751C4"/>
    <w:rsid w:val="00875AEF"/>
    <w:rsid w:val="00875AF4"/>
    <w:rsid w:val="00875C71"/>
    <w:rsid w:val="00875DB2"/>
    <w:rsid w:val="008762B5"/>
    <w:rsid w:val="0087688C"/>
    <w:rsid w:val="0087695E"/>
    <w:rsid w:val="00877485"/>
    <w:rsid w:val="00877780"/>
    <w:rsid w:val="00877784"/>
    <w:rsid w:val="00877C29"/>
    <w:rsid w:val="0088084B"/>
    <w:rsid w:val="00880B73"/>
    <w:rsid w:val="00881B3D"/>
    <w:rsid w:val="00881E9A"/>
    <w:rsid w:val="00882661"/>
    <w:rsid w:val="008826AE"/>
    <w:rsid w:val="0088276D"/>
    <w:rsid w:val="00882829"/>
    <w:rsid w:val="00882BD8"/>
    <w:rsid w:val="00882D58"/>
    <w:rsid w:val="00883017"/>
    <w:rsid w:val="00883461"/>
    <w:rsid w:val="008836CD"/>
    <w:rsid w:val="008845FA"/>
    <w:rsid w:val="00884BF0"/>
    <w:rsid w:val="008851AA"/>
    <w:rsid w:val="008857A4"/>
    <w:rsid w:val="00885981"/>
    <w:rsid w:val="00885BCA"/>
    <w:rsid w:val="00885F79"/>
    <w:rsid w:val="00885F9B"/>
    <w:rsid w:val="008873F8"/>
    <w:rsid w:val="00887930"/>
    <w:rsid w:val="00887B6D"/>
    <w:rsid w:val="00887EDA"/>
    <w:rsid w:val="00890239"/>
    <w:rsid w:val="00890A41"/>
    <w:rsid w:val="0089101E"/>
    <w:rsid w:val="0089119B"/>
    <w:rsid w:val="0089129F"/>
    <w:rsid w:val="008916DE"/>
    <w:rsid w:val="00891AF2"/>
    <w:rsid w:val="00891D9E"/>
    <w:rsid w:val="00892037"/>
    <w:rsid w:val="00892A42"/>
    <w:rsid w:val="00893091"/>
    <w:rsid w:val="008935D5"/>
    <w:rsid w:val="00893761"/>
    <w:rsid w:val="00893845"/>
    <w:rsid w:val="00893AA1"/>
    <w:rsid w:val="00894670"/>
    <w:rsid w:val="0089474B"/>
    <w:rsid w:val="008948CB"/>
    <w:rsid w:val="0089520E"/>
    <w:rsid w:val="0089555D"/>
    <w:rsid w:val="00895CF3"/>
    <w:rsid w:val="00896D31"/>
    <w:rsid w:val="00896D5C"/>
    <w:rsid w:val="0089703D"/>
    <w:rsid w:val="0089710B"/>
    <w:rsid w:val="0089724A"/>
    <w:rsid w:val="00897377"/>
    <w:rsid w:val="00897687"/>
    <w:rsid w:val="008A0186"/>
    <w:rsid w:val="008A0718"/>
    <w:rsid w:val="008A08C2"/>
    <w:rsid w:val="008A0905"/>
    <w:rsid w:val="008A0C3B"/>
    <w:rsid w:val="008A0FBE"/>
    <w:rsid w:val="008A1001"/>
    <w:rsid w:val="008A1171"/>
    <w:rsid w:val="008A1618"/>
    <w:rsid w:val="008A1A2F"/>
    <w:rsid w:val="008A1B99"/>
    <w:rsid w:val="008A1E3E"/>
    <w:rsid w:val="008A1EA4"/>
    <w:rsid w:val="008A23C7"/>
    <w:rsid w:val="008A2E03"/>
    <w:rsid w:val="008A2E52"/>
    <w:rsid w:val="008A30F4"/>
    <w:rsid w:val="008A32AF"/>
    <w:rsid w:val="008A38EC"/>
    <w:rsid w:val="008A39F8"/>
    <w:rsid w:val="008A3FD3"/>
    <w:rsid w:val="008A4ED6"/>
    <w:rsid w:val="008A50F4"/>
    <w:rsid w:val="008A51E9"/>
    <w:rsid w:val="008A58E8"/>
    <w:rsid w:val="008A5BDD"/>
    <w:rsid w:val="008A6329"/>
    <w:rsid w:val="008A6644"/>
    <w:rsid w:val="008A69AB"/>
    <w:rsid w:val="008A6E87"/>
    <w:rsid w:val="008A7772"/>
    <w:rsid w:val="008A7AFC"/>
    <w:rsid w:val="008B0323"/>
    <w:rsid w:val="008B0F4F"/>
    <w:rsid w:val="008B1468"/>
    <w:rsid w:val="008B1DC9"/>
    <w:rsid w:val="008B2047"/>
    <w:rsid w:val="008B2435"/>
    <w:rsid w:val="008B293C"/>
    <w:rsid w:val="008B2D17"/>
    <w:rsid w:val="008B2D7A"/>
    <w:rsid w:val="008B34FD"/>
    <w:rsid w:val="008B3C48"/>
    <w:rsid w:val="008B3D23"/>
    <w:rsid w:val="008B3E07"/>
    <w:rsid w:val="008B435F"/>
    <w:rsid w:val="008B4936"/>
    <w:rsid w:val="008B4A0B"/>
    <w:rsid w:val="008B5821"/>
    <w:rsid w:val="008B5B7E"/>
    <w:rsid w:val="008B6220"/>
    <w:rsid w:val="008B71E9"/>
    <w:rsid w:val="008B71EB"/>
    <w:rsid w:val="008B7804"/>
    <w:rsid w:val="008B7ABF"/>
    <w:rsid w:val="008C01FA"/>
    <w:rsid w:val="008C0632"/>
    <w:rsid w:val="008C0C5F"/>
    <w:rsid w:val="008C1799"/>
    <w:rsid w:val="008C2F29"/>
    <w:rsid w:val="008C3098"/>
    <w:rsid w:val="008C33D0"/>
    <w:rsid w:val="008C388D"/>
    <w:rsid w:val="008C3F53"/>
    <w:rsid w:val="008C3FEE"/>
    <w:rsid w:val="008C4619"/>
    <w:rsid w:val="008C4C53"/>
    <w:rsid w:val="008C512B"/>
    <w:rsid w:val="008C548A"/>
    <w:rsid w:val="008C6B00"/>
    <w:rsid w:val="008C6C35"/>
    <w:rsid w:val="008C75D2"/>
    <w:rsid w:val="008D0C6D"/>
    <w:rsid w:val="008D1472"/>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5E29"/>
    <w:rsid w:val="008D62A5"/>
    <w:rsid w:val="008D6C62"/>
    <w:rsid w:val="008D7144"/>
    <w:rsid w:val="008D7574"/>
    <w:rsid w:val="008D75D2"/>
    <w:rsid w:val="008D7C83"/>
    <w:rsid w:val="008E0175"/>
    <w:rsid w:val="008E0494"/>
    <w:rsid w:val="008E062D"/>
    <w:rsid w:val="008E1447"/>
    <w:rsid w:val="008E1703"/>
    <w:rsid w:val="008E2404"/>
    <w:rsid w:val="008E3101"/>
    <w:rsid w:val="008E31DB"/>
    <w:rsid w:val="008E384F"/>
    <w:rsid w:val="008E3E4B"/>
    <w:rsid w:val="008E40CC"/>
    <w:rsid w:val="008E49B0"/>
    <w:rsid w:val="008E4C24"/>
    <w:rsid w:val="008E4C3D"/>
    <w:rsid w:val="008E4D42"/>
    <w:rsid w:val="008E5181"/>
    <w:rsid w:val="008E58D2"/>
    <w:rsid w:val="008E5AE5"/>
    <w:rsid w:val="008E5B0E"/>
    <w:rsid w:val="008E5C85"/>
    <w:rsid w:val="008E5F35"/>
    <w:rsid w:val="008E61A2"/>
    <w:rsid w:val="008E6259"/>
    <w:rsid w:val="008E6585"/>
    <w:rsid w:val="008E6DD7"/>
    <w:rsid w:val="008E6F31"/>
    <w:rsid w:val="008E7171"/>
    <w:rsid w:val="008E781E"/>
    <w:rsid w:val="008E7BBD"/>
    <w:rsid w:val="008E7DC0"/>
    <w:rsid w:val="008E7EE5"/>
    <w:rsid w:val="008F062F"/>
    <w:rsid w:val="008F089B"/>
    <w:rsid w:val="008F0A74"/>
    <w:rsid w:val="008F0B54"/>
    <w:rsid w:val="008F0D05"/>
    <w:rsid w:val="008F0D91"/>
    <w:rsid w:val="008F173D"/>
    <w:rsid w:val="008F1A4C"/>
    <w:rsid w:val="008F21B8"/>
    <w:rsid w:val="008F226A"/>
    <w:rsid w:val="008F2AE5"/>
    <w:rsid w:val="008F2D22"/>
    <w:rsid w:val="008F300E"/>
    <w:rsid w:val="008F3306"/>
    <w:rsid w:val="008F3981"/>
    <w:rsid w:val="008F39D6"/>
    <w:rsid w:val="008F3EAC"/>
    <w:rsid w:val="008F42C3"/>
    <w:rsid w:val="008F48E1"/>
    <w:rsid w:val="008F4C34"/>
    <w:rsid w:val="008F4FBF"/>
    <w:rsid w:val="008F52F9"/>
    <w:rsid w:val="008F5414"/>
    <w:rsid w:val="008F54E4"/>
    <w:rsid w:val="008F6275"/>
    <w:rsid w:val="008F636D"/>
    <w:rsid w:val="008F663E"/>
    <w:rsid w:val="008F6AB9"/>
    <w:rsid w:val="008F7850"/>
    <w:rsid w:val="00900191"/>
    <w:rsid w:val="009004B8"/>
    <w:rsid w:val="00900A02"/>
    <w:rsid w:val="00900A35"/>
    <w:rsid w:val="00900E8F"/>
    <w:rsid w:val="00901050"/>
    <w:rsid w:val="0090115A"/>
    <w:rsid w:val="0090146D"/>
    <w:rsid w:val="0090173D"/>
    <w:rsid w:val="00901E9C"/>
    <w:rsid w:val="009020BF"/>
    <w:rsid w:val="009020C8"/>
    <w:rsid w:val="00902161"/>
    <w:rsid w:val="009028C1"/>
    <w:rsid w:val="00902DA0"/>
    <w:rsid w:val="00902DDE"/>
    <w:rsid w:val="0090390B"/>
    <w:rsid w:val="00903C8A"/>
    <w:rsid w:val="0090458F"/>
    <w:rsid w:val="009048B6"/>
    <w:rsid w:val="00904923"/>
    <w:rsid w:val="00904C12"/>
    <w:rsid w:val="009052B0"/>
    <w:rsid w:val="009056C2"/>
    <w:rsid w:val="00905B25"/>
    <w:rsid w:val="00905EF1"/>
    <w:rsid w:val="00906565"/>
    <w:rsid w:val="009065C7"/>
    <w:rsid w:val="009067F2"/>
    <w:rsid w:val="00906E1C"/>
    <w:rsid w:val="00907015"/>
    <w:rsid w:val="00907081"/>
    <w:rsid w:val="00907397"/>
    <w:rsid w:val="009073DE"/>
    <w:rsid w:val="009076F6"/>
    <w:rsid w:val="00907A81"/>
    <w:rsid w:val="00907D1E"/>
    <w:rsid w:val="00907F8D"/>
    <w:rsid w:val="0091016E"/>
    <w:rsid w:val="00910510"/>
    <w:rsid w:val="0091094F"/>
    <w:rsid w:val="00910D86"/>
    <w:rsid w:val="0091123F"/>
    <w:rsid w:val="009120D0"/>
    <w:rsid w:val="00912845"/>
    <w:rsid w:val="00912D97"/>
    <w:rsid w:val="00912E55"/>
    <w:rsid w:val="00913D9F"/>
    <w:rsid w:val="00914398"/>
    <w:rsid w:val="00914BCE"/>
    <w:rsid w:val="009155A6"/>
    <w:rsid w:val="00915B37"/>
    <w:rsid w:val="00915B9C"/>
    <w:rsid w:val="0091697F"/>
    <w:rsid w:val="00916D2F"/>
    <w:rsid w:val="00917024"/>
    <w:rsid w:val="0091751D"/>
    <w:rsid w:val="009175DD"/>
    <w:rsid w:val="0091773A"/>
    <w:rsid w:val="00920608"/>
    <w:rsid w:val="00921103"/>
    <w:rsid w:val="00921142"/>
    <w:rsid w:val="009213B4"/>
    <w:rsid w:val="009217CD"/>
    <w:rsid w:val="009219C4"/>
    <w:rsid w:val="0092229D"/>
    <w:rsid w:val="009226F9"/>
    <w:rsid w:val="00922F7E"/>
    <w:rsid w:val="009232D5"/>
    <w:rsid w:val="0092346A"/>
    <w:rsid w:val="0092478B"/>
    <w:rsid w:val="009258BE"/>
    <w:rsid w:val="00925F48"/>
    <w:rsid w:val="009266CC"/>
    <w:rsid w:val="0092681D"/>
    <w:rsid w:val="00926947"/>
    <w:rsid w:val="00926989"/>
    <w:rsid w:val="00930DED"/>
    <w:rsid w:val="0093122F"/>
    <w:rsid w:val="009312D6"/>
    <w:rsid w:val="00931942"/>
    <w:rsid w:val="00931BF6"/>
    <w:rsid w:val="00931FA2"/>
    <w:rsid w:val="0093227B"/>
    <w:rsid w:val="00932670"/>
    <w:rsid w:val="00932B9C"/>
    <w:rsid w:val="00932EC8"/>
    <w:rsid w:val="00932F20"/>
    <w:rsid w:val="00933C9A"/>
    <w:rsid w:val="00933E38"/>
    <w:rsid w:val="00934C2F"/>
    <w:rsid w:val="00934FB1"/>
    <w:rsid w:val="009354C2"/>
    <w:rsid w:val="009355E5"/>
    <w:rsid w:val="009379BA"/>
    <w:rsid w:val="009405AA"/>
    <w:rsid w:val="00940EBB"/>
    <w:rsid w:val="009430F6"/>
    <w:rsid w:val="00943252"/>
    <w:rsid w:val="009441F0"/>
    <w:rsid w:val="009448C2"/>
    <w:rsid w:val="00944A4E"/>
    <w:rsid w:val="00944DF2"/>
    <w:rsid w:val="0094543D"/>
    <w:rsid w:val="009457BC"/>
    <w:rsid w:val="0094580D"/>
    <w:rsid w:val="00945C74"/>
    <w:rsid w:val="00945FBF"/>
    <w:rsid w:val="00946602"/>
    <w:rsid w:val="00946F49"/>
    <w:rsid w:val="00947306"/>
    <w:rsid w:val="009500AB"/>
    <w:rsid w:val="009506D0"/>
    <w:rsid w:val="009506E3"/>
    <w:rsid w:val="009517EA"/>
    <w:rsid w:val="00951ACE"/>
    <w:rsid w:val="00951C32"/>
    <w:rsid w:val="00951D1E"/>
    <w:rsid w:val="00952048"/>
    <w:rsid w:val="009524FD"/>
    <w:rsid w:val="00952870"/>
    <w:rsid w:val="009531EB"/>
    <w:rsid w:val="00953257"/>
    <w:rsid w:val="00953398"/>
    <w:rsid w:val="00953611"/>
    <w:rsid w:val="009539AD"/>
    <w:rsid w:val="00954F3F"/>
    <w:rsid w:val="00955275"/>
    <w:rsid w:val="00955463"/>
    <w:rsid w:val="00955726"/>
    <w:rsid w:val="009559FE"/>
    <w:rsid w:val="00956010"/>
    <w:rsid w:val="0095619F"/>
    <w:rsid w:val="009561B7"/>
    <w:rsid w:val="0095680E"/>
    <w:rsid w:val="0095684D"/>
    <w:rsid w:val="00956944"/>
    <w:rsid w:val="00956B4E"/>
    <w:rsid w:val="00956C88"/>
    <w:rsid w:val="009570D2"/>
    <w:rsid w:val="009571EC"/>
    <w:rsid w:val="00957651"/>
    <w:rsid w:val="00957D1E"/>
    <w:rsid w:val="00960932"/>
    <w:rsid w:val="009619EA"/>
    <w:rsid w:val="00961F84"/>
    <w:rsid w:val="00962308"/>
    <w:rsid w:val="0096283E"/>
    <w:rsid w:val="00962B9B"/>
    <w:rsid w:val="00962ECB"/>
    <w:rsid w:val="00963A84"/>
    <w:rsid w:val="0096465A"/>
    <w:rsid w:val="00965EFC"/>
    <w:rsid w:val="009662E5"/>
    <w:rsid w:val="009664F9"/>
    <w:rsid w:val="00966CC2"/>
    <w:rsid w:val="00966EDA"/>
    <w:rsid w:val="00967141"/>
    <w:rsid w:val="009673EF"/>
    <w:rsid w:val="00967ADC"/>
    <w:rsid w:val="00967C17"/>
    <w:rsid w:val="00967E55"/>
    <w:rsid w:val="009708C4"/>
    <w:rsid w:val="009709C9"/>
    <w:rsid w:val="00970B62"/>
    <w:rsid w:val="00970D1D"/>
    <w:rsid w:val="0097119B"/>
    <w:rsid w:val="00971D39"/>
    <w:rsid w:val="009723F7"/>
    <w:rsid w:val="0097240C"/>
    <w:rsid w:val="00972423"/>
    <w:rsid w:val="00972681"/>
    <w:rsid w:val="0097286F"/>
    <w:rsid w:val="009729EB"/>
    <w:rsid w:val="00972CC4"/>
    <w:rsid w:val="00973136"/>
    <w:rsid w:val="00973855"/>
    <w:rsid w:val="00973897"/>
    <w:rsid w:val="009739F6"/>
    <w:rsid w:val="00973B46"/>
    <w:rsid w:val="00973CAA"/>
    <w:rsid w:val="00973DEF"/>
    <w:rsid w:val="00973F19"/>
    <w:rsid w:val="009740D6"/>
    <w:rsid w:val="009748D3"/>
    <w:rsid w:val="00974A2F"/>
    <w:rsid w:val="0097598A"/>
    <w:rsid w:val="0097661D"/>
    <w:rsid w:val="00976E16"/>
    <w:rsid w:val="00976F8B"/>
    <w:rsid w:val="009773A1"/>
    <w:rsid w:val="009775D9"/>
    <w:rsid w:val="0097763E"/>
    <w:rsid w:val="00977BCC"/>
    <w:rsid w:val="00977CEA"/>
    <w:rsid w:val="00980037"/>
    <w:rsid w:val="00980551"/>
    <w:rsid w:val="0098079F"/>
    <w:rsid w:val="009807AA"/>
    <w:rsid w:val="00980F8B"/>
    <w:rsid w:val="00981796"/>
    <w:rsid w:val="00981CAB"/>
    <w:rsid w:val="0098230A"/>
    <w:rsid w:val="0098281F"/>
    <w:rsid w:val="00982820"/>
    <w:rsid w:val="00982972"/>
    <w:rsid w:val="00982A7F"/>
    <w:rsid w:val="00982C9B"/>
    <w:rsid w:val="00982E8B"/>
    <w:rsid w:val="00983B70"/>
    <w:rsid w:val="009842EC"/>
    <w:rsid w:val="009843D5"/>
    <w:rsid w:val="009850CB"/>
    <w:rsid w:val="009856F6"/>
    <w:rsid w:val="0098574A"/>
    <w:rsid w:val="009857FA"/>
    <w:rsid w:val="00985ABE"/>
    <w:rsid w:val="00985C40"/>
    <w:rsid w:val="00985F63"/>
    <w:rsid w:val="00986139"/>
    <w:rsid w:val="009861DC"/>
    <w:rsid w:val="0098634C"/>
    <w:rsid w:val="0098672E"/>
    <w:rsid w:val="00986749"/>
    <w:rsid w:val="00986D4F"/>
    <w:rsid w:val="0098735E"/>
    <w:rsid w:val="009879E4"/>
    <w:rsid w:val="00987A72"/>
    <w:rsid w:val="00987AE2"/>
    <w:rsid w:val="00990076"/>
    <w:rsid w:val="0099039E"/>
    <w:rsid w:val="00990697"/>
    <w:rsid w:val="00990791"/>
    <w:rsid w:val="0099104B"/>
    <w:rsid w:val="00991D12"/>
    <w:rsid w:val="00992C76"/>
    <w:rsid w:val="009930CC"/>
    <w:rsid w:val="0099380E"/>
    <w:rsid w:val="00993FDE"/>
    <w:rsid w:val="0099413D"/>
    <w:rsid w:val="00994713"/>
    <w:rsid w:val="00995163"/>
    <w:rsid w:val="00995348"/>
    <w:rsid w:val="0099558C"/>
    <w:rsid w:val="00995A74"/>
    <w:rsid w:val="00995E9D"/>
    <w:rsid w:val="00996789"/>
    <w:rsid w:val="00997308"/>
    <w:rsid w:val="00997464"/>
    <w:rsid w:val="009974B8"/>
    <w:rsid w:val="0099790F"/>
    <w:rsid w:val="009A01D3"/>
    <w:rsid w:val="009A0689"/>
    <w:rsid w:val="009A071A"/>
    <w:rsid w:val="009A071D"/>
    <w:rsid w:val="009A0928"/>
    <w:rsid w:val="009A09EB"/>
    <w:rsid w:val="009A0A52"/>
    <w:rsid w:val="009A114F"/>
    <w:rsid w:val="009A18D1"/>
    <w:rsid w:val="009A1905"/>
    <w:rsid w:val="009A1B90"/>
    <w:rsid w:val="009A1F2F"/>
    <w:rsid w:val="009A229E"/>
    <w:rsid w:val="009A22A3"/>
    <w:rsid w:val="009A2403"/>
    <w:rsid w:val="009A2B1E"/>
    <w:rsid w:val="009A3611"/>
    <w:rsid w:val="009A413A"/>
    <w:rsid w:val="009A4267"/>
    <w:rsid w:val="009A434A"/>
    <w:rsid w:val="009A4359"/>
    <w:rsid w:val="009A4516"/>
    <w:rsid w:val="009A47CC"/>
    <w:rsid w:val="009A4A65"/>
    <w:rsid w:val="009A4BCB"/>
    <w:rsid w:val="009A4E45"/>
    <w:rsid w:val="009A523E"/>
    <w:rsid w:val="009A54F0"/>
    <w:rsid w:val="009A5E45"/>
    <w:rsid w:val="009A6A89"/>
    <w:rsid w:val="009A6C8A"/>
    <w:rsid w:val="009A778E"/>
    <w:rsid w:val="009A7BE2"/>
    <w:rsid w:val="009A7FD7"/>
    <w:rsid w:val="009B001A"/>
    <w:rsid w:val="009B08D9"/>
    <w:rsid w:val="009B0FED"/>
    <w:rsid w:val="009B1F20"/>
    <w:rsid w:val="009B2AAA"/>
    <w:rsid w:val="009B2F7B"/>
    <w:rsid w:val="009B4041"/>
    <w:rsid w:val="009B4370"/>
    <w:rsid w:val="009B4570"/>
    <w:rsid w:val="009B45C1"/>
    <w:rsid w:val="009B46CF"/>
    <w:rsid w:val="009B5344"/>
    <w:rsid w:val="009B5821"/>
    <w:rsid w:val="009B5ADD"/>
    <w:rsid w:val="009B5D67"/>
    <w:rsid w:val="009B5E4A"/>
    <w:rsid w:val="009B603C"/>
    <w:rsid w:val="009B6113"/>
    <w:rsid w:val="009B6126"/>
    <w:rsid w:val="009B666D"/>
    <w:rsid w:val="009B6AFA"/>
    <w:rsid w:val="009B729A"/>
    <w:rsid w:val="009B7441"/>
    <w:rsid w:val="009B7BE0"/>
    <w:rsid w:val="009C006A"/>
    <w:rsid w:val="009C00C0"/>
    <w:rsid w:val="009C03C7"/>
    <w:rsid w:val="009C0497"/>
    <w:rsid w:val="009C04EF"/>
    <w:rsid w:val="009C0756"/>
    <w:rsid w:val="009C0D63"/>
    <w:rsid w:val="009C11E7"/>
    <w:rsid w:val="009C213C"/>
    <w:rsid w:val="009C2366"/>
    <w:rsid w:val="009C2632"/>
    <w:rsid w:val="009C26FE"/>
    <w:rsid w:val="009C2848"/>
    <w:rsid w:val="009C3145"/>
    <w:rsid w:val="009C31BF"/>
    <w:rsid w:val="009C3D3E"/>
    <w:rsid w:val="009C42FD"/>
    <w:rsid w:val="009C4400"/>
    <w:rsid w:val="009C4F76"/>
    <w:rsid w:val="009C5261"/>
    <w:rsid w:val="009C52D2"/>
    <w:rsid w:val="009C55E2"/>
    <w:rsid w:val="009C584A"/>
    <w:rsid w:val="009C5AD3"/>
    <w:rsid w:val="009C776B"/>
    <w:rsid w:val="009C7CF5"/>
    <w:rsid w:val="009C7DD1"/>
    <w:rsid w:val="009D0315"/>
    <w:rsid w:val="009D03A5"/>
    <w:rsid w:val="009D0B64"/>
    <w:rsid w:val="009D0EAE"/>
    <w:rsid w:val="009D107C"/>
    <w:rsid w:val="009D11D1"/>
    <w:rsid w:val="009D18B2"/>
    <w:rsid w:val="009D1A7F"/>
    <w:rsid w:val="009D2AFF"/>
    <w:rsid w:val="009D2D17"/>
    <w:rsid w:val="009D30E8"/>
    <w:rsid w:val="009D3581"/>
    <w:rsid w:val="009D368B"/>
    <w:rsid w:val="009D3706"/>
    <w:rsid w:val="009D3727"/>
    <w:rsid w:val="009D4C77"/>
    <w:rsid w:val="009D4EB3"/>
    <w:rsid w:val="009D54CB"/>
    <w:rsid w:val="009D5AD2"/>
    <w:rsid w:val="009D71EB"/>
    <w:rsid w:val="009D769B"/>
    <w:rsid w:val="009D77A3"/>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AF"/>
    <w:rsid w:val="009E3AC5"/>
    <w:rsid w:val="009E3F23"/>
    <w:rsid w:val="009E3F6A"/>
    <w:rsid w:val="009E4057"/>
    <w:rsid w:val="009E4AF0"/>
    <w:rsid w:val="009E4B26"/>
    <w:rsid w:val="009E50E4"/>
    <w:rsid w:val="009E5413"/>
    <w:rsid w:val="009E603D"/>
    <w:rsid w:val="009E6163"/>
    <w:rsid w:val="009E6193"/>
    <w:rsid w:val="009E6945"/>
    <w:rsid w:val="009E7115"/>
    <w:rsid w:val="009E7552"/>
    <w:rsid w:val="009E75BE"/>
    <w:rsid w:val="009E7829"/>
    <w:rsid w:val="009E7D39"/>
    <w:rsid w:val="009F16FB"/>
    <w:rsid w:val="009F1748"/>
    <w:rsid w:val="009F1921"/>
    <w:rsid w:val="009F207B"/>
    <w:rsid w:val="009F2756"/>
    <w:rsid w:val="009F28B7"/>
    <w:rsid w:val="009F29BA"/>
    <w:rsid w:val="009F2E46"/>
    <w:rsid w:val="009F30BB"/>
    <w:rsid w:val="009F48C7"/>
    <w:rsid w:val="009F4C82"/>
    <w:rsid w:val="009F4CF6"/>
    <w:rsid w:val="009F5490"/>
    <w:rsid w:val="009F56D4"/>
    <w:rsid w:val="009F5A2C"/>
    <w:rsid w:val="009F5D64"/>
    <w:rsid w:val="009F6153"/>
    <w:rsid w:val="009F7710"/>
    <w:rsid w:val="009F792E"/>
    <w:rsid w:val="009F7FB1"/>
    <w:rsid w:val="00A0006A"/>
    <w:rsid w:val="00A00077"/>
    <w:rsid w:val="00A008C3"/>
    <w:rsid w:val="00A012FD"/>
    <w:rsid w:val="00A01AEF"/>
    <w:rsid w:val="00A020B8"/>
    <w:rsid w:val="00A0233C"/>
    <w:rsid w:val="00A033B3"/>
    <w:rsid w:val="00A034CA"/>
    <w:rsid w:val="00A036BD"/>
    <w:rsid w:val="00A03A1E"/>
    <w:rsid w:val="00A03EC7"/>
    <w:rsid w:val="00A0409E"/>
    <w:rsid w:val="00A042B6"/>
    <w:rsid w:val="00A0449C"/>
    <w:rsid w:val="00A04A21"/>
    <w:rsid w:val="00A052E2"/>
    <w:rsid w:val="00A053FF"/>
    <w:rsid w:val="00A05519"/>
    <w:rsid w:val="00A05560"/>
    <w:rsid w:val="00A05D35"/>
    <w:rsid w:val="00A06770"/>
    <w:rsid w:val="00A06A8D"/>
    <w:rsid w:val="00A07180"/>
    <w:rsid w:val="00A07636"/>
    <w:rsid w:val="00A07D8E"/>
    <w:rsid w:val="00A104C4"/>
    <w:rsid w:val="00A10947"/>
    <w:rsid w:val="00A11070"/>
    <w:rsid w:val="00A11095"/>
    <w:rsid w:val="00A11171"/>
    <w:rsid w:val="00A1181B"/>
    <w:rsid w:val="00A11A04"/>
    <w:rsid w:val="00A11B5A"/>
    <w:rsid w:val="00A12F8E"/>
    <w:rsid w:val="00A133D6"/>
    <w:rsid w:val="00A1351A"/>
    <w:rsid w:val="00A13A87"/>
    <w:rsid w:val="00A14036"/>
    <w:rsid w:val="00A14599"/>
    <w:rsid w:val="00A14ADC"/>
    <w:rsid w:val="00A152EE"/>
    <w:rsid w:val="00A16007"/>
    <w:rsid w:val="00A168C2"/>
    <w:rsid w:val="00A169AF"/>
    <w:rsid w:val="00A171DE"/>
    <w:rsid w:val="00A17D21"/>
    <w:rsid w:val="00A17E6F"/>
    <w:rsid w:val="00A20148"/>
    <w:rsid w:val="00A2132A"/>
    <w:rsid w:val="00A21333"/>
    <w:rsid w:val="00A2140E"/>
    <w:rsid w:val="00A21C19"/>
    <w:rsid w:val="00A2257F"/>
    <w:rsid w:val="00A22621"/>
    <w:rsid w:val="00A22A3F"/>
    <w:rsid w:val="00A23038"/>
    <w:rsid w:val="00A233F6"/>
    <w:rsid w:val="00A23489"/>
    <w:rsid w:val="00A23F1E"/>
    <w:rsid w:val="00A246A0"/>
    <w:rsid w:val="00A24E3C"/>
    <w:rsid w:val="00A25253"/>
    <w:rsid w:val="00A25CC2"/>
    <w:rsid w:val="00A26C19"/>
    <w:rsid w:val="00A27B8B"/>
    <w:rsid w:val="00A27CE9"/>
    <w:rsid w:val="00A30AD0"/>
    <w:rsid w:val="00A30D05"/>
    <w:rsid w:val="00A30F30"/>
    <w:rsid w:val="00A31D87"/>
    <w:rsid w:val="00A321ED"/>
    <w:rsid w:val="00A32398"/>
    <w:rsid w:val="00A323CE"/>
    <w:rsid w:val="00A324EE"/>
    <w:rsid w:val="00A32FF5"/>
    <w:rsid w:val="00A3362B"/>
    <w:rsid w:val="00A33784"/>
    <w:rsid w:val="00A33E07"/>
    <w:rsid w:val="00A33E1B"/>
    <w:rsid w:val="00A341B3"/>
    <w:rsid w:val="00A343A6"/>
    <w:rsid w:val="00A3472C"/>
    <w:rsid w:val="00A34C7B"/>
    <w:rsid w:val="00A34C92"/>
    <w:rsid w:val="00A34DF3"/>
    <w:rsid w:val="00A35147"/>
    <w:rsid w:val="00A35A77"/>
    <w:rsid w:val="00A35E9B"/>
    <w:rsid w:val="00A3663A"/>
    <w:rsid w:val="00A36833"/>
    <w:rsid w:val="00A36B6E"/>
    <w:rsid w:val="00A376FB"/>
    <w:rsid w:val="00A37D1A"/>
    <w:rsid w:val="00A40068"/>
    <w:rsid w:val="00A405A8"/>
    <w:rsid w:val="00A40843"/>
    <w:rsid w:val="00A40887"/>
    <w:rsid w:val="00A40FA9"/>
    <w:rsid w:val="00A40FCF"/>
    <w:rsid w:val="00A415FE"/>
    <w:rsid w:val="00A417DD"/>
    <w:rsid w:val="00A41814"/>
    <w:rsid w:val="00A41A01"/>
    <w:rsid w:val="00A41A97"/>
    <w:rsid w:val="00A42749"/>
    <w:rsid w:val="00A42ABE"/>
    <w:rsid w:val="00A439BC"/>
    <w:rsid w:val="00A43C68"/>
    <w:rsid w:val="00A4400A"/>
    <w:rsid w:val="00A440E4"/>
    <w:rsid w:val="00A451D2"/>
    <w:rsid w:val="00A45E01"/>
    <w:rsid w:val="00A4608D"/>
    <w:rsid w:val="00A46D82"/>
    <w:rsid w:val="00A46FF8"/>
    <w:rsid w:val="00A4715D"/>
    <w:rsid w:val="00A47191"/>
    <w:rsid w:val="00A47F51"/>
    <w:rsid w:val="00A50049"/>
    <w:rsid w:val="00A5022D"/>
    <w:rsid w:val="00A5105A"/>
    <w:rsid w:val="00A5122C"/>
    <w:rsid w:val="00A512A4"/>
    <w:rsid w:val="00A513DE"/>
    <w:rsid w:val="00A5184E"/>
    <w:rsid w:val="00A5199C"/>
    <w:rsid w:val="00A519E7"/>
    <w:rsid w:val="00A51CA0"/>
    <w:rsid w:val="00A51F58"/>
    <w:rsid w:val="00A51FC9"/>
    <w:rsid w:val="00A522A3"/>
    <w:rsid w:val="00A52365"/>
    <w:rsid w:val="00A52595"/>
    <w:rsid w:val="00A52AFF"/>
    <w:rsid w:val="00A53472"/>
    <w:rsid w:val="00A5360D"/>
    <w:rsid w:val="00A5361D"/>
    <w:rsid w:val="00A541B4"/>
    <w:rsid w:val="00A54620"/>
    <w:rsid w:val="00A547E5"/>
    <w:rsid w:val="00A5530F"/>
    <w:rsid w:val="00A55983"/>
    <w:rsid w:val="00A562E0"/>
    <w:rsid w:val="00A5688E"/>
    <w:rsid w:val="00A56B37"/>
    <w:rsid w:val="00A56C89"/>
    <w:rsid w:val="00A56EC3"/>
    <w:rsid w:val="00A56F2C"/>
    <w:rsid w:val="00A5708A"/>
    <w:rsid w:val="00A572D3"/>
    <w:rsid w:val="00A5736A"/>
    <w:rsid w:val="00A5798C"/>
    <w:rsid w:val="00A57DB4"/>
    <w:rsid w:val="00A602FA"/>
    <w:rsid w:val="00A624EA"/>
    <w:rsid w:val="00A62775"/>
    <w:rsid w:val="00A6348A"/>
    <w:rsid w:val="00A634F9"/>
    <w:rsid w:val="00A637CA"/>
    <w:rsid w:val="00A63DFC"/>
    <w:rsid w:val="00A64A86"/>
    <w:rsid w:val="00A64D17"/>
    <w:rsid w:val="00A650AC"/>
    <w:rsid w:val="00A65347"/>
    <w:rsid w:val="00A654DF"/>
    <w:rsid w:val="00A65B7E"/>
    <w:rsid w:val="00A65CD6"/>
    <w:rsid w:val="00A65F43"/>
    <w:rsid w:val="00A65FC4"/>
    <w:rsid w:val="00A662F3"/>
    <w:rsid w:val="00A66A92"/>
    <w:rsid w:val="00A66CA9"/>
    <w:rsid w:val="00A6726B"/>
    <w:rsid w:val="00A67554"/>
    <w:rsid w:val="00A67A2A"/>
    <w:rsid w:val="00A67D5A"/>
    <w:rsid w:val="00A701BC"/>
    <w:rsid w:val="00A709C2"/>
    <w:rsid w:val="00A70CC2"/>
    <w:rsid w:val="00A70CC3"/>
    <w:rsid w:val="00A712A3"/>
    <w:rsid w:val="00A7141A"/>
    <w:rsid w:val="00A71676"/>
    <w:rsid w:val="00A71809"/>
    <w:rsid w:val="00A71A61"/>
    <w:rsid w:val="00A72304"/>
    <w:rsid w:val="00A72643"/>
    <w:rsid w:val="00A72D5E"/>
    <w:rsid w:val="00A72D62"/>
    <w:rsid w:val="00A7342B"/>
    <w:rsid w:val="00A736FF"/>
    <w:rsid w:val="00A73761"/>
    <w:rsid w:val="00A73870"/>
    <w:rsid w:val="00A73EFC"/>
    <w:rsid w:val="00A74297"/>
    <w:rsid w:val="00A74564"/>
    <w:rsid w:val="00A74674"/>
    <w:rsid w:val="00A747F7"/>
    <w:rsid w:val="00A75830"/>
    <w:rsid w:val="00A75938"/>
    <w:rsid w:val="00A77332"/>
    <w:rsid w:val="00A7749E"/>
    <w:rsid w:val="00A77A8C"/>
    <w:rsid w:val="00A77DC6"/>
    <w:rsid w:val="00A77E4E"/>
    <w:rsid w:val="00A77ECB"/>
    <w:rsid w:val="00A77F72"/>
    <w:rsid w:val="00A8004C"/>
    <w:rsid w:val="00A80751"/>
    <w:rsid w:val="00A807CD"/>
    <w:rsid w:val="00A81800"/>
    <w:rsid w:val="00A81937"/>
    <w:rsid w:val="00A82448"/>
    <w:rsid w:val="00A826FD"/>
    <w:rsid w:val="00A827E0"/>
    <w:rsid w:val="00A82904"/>
    <w:rsid w:val="00A82A33"/>
    <w:rsid w:val="00A834C6"/>
    <w:rsid w:val="00A837C2"/>
    <w:rsid w:val="00A837E2"/>
    <w:rsid w:val="00A83E0F"/>
    <w:rsid w:val="00A83E18"/>
    <w:rsid w:val="00A84024"/>
    <w:rsid w:val="00A8423C"/>
    <w:rsid w:val="00A84314"/>
    <w:rsid w:val="00A84738"/>
    <w:rsid w:val="00A8489D"/>
    <w:rsid w:val="00A850E5"/>
    <w:rsid w:val="00A851E7"/>
    <w:rsid w:val="00A8587A"/>
    <w:rsid w:val="00A858E6"/>
    <w:rsid w:val="00A85C9A"/>
    <w:rsid w:val="00A85D36"/>
    <w:rsid w:val="00A86568"/>
    <w:rsid w:val="00A869DF"/>
    <w:rsid w:val="00A86C89"/>
    <w:rsid w:val="00A9061D"/>
    <w:rsid w:val="00A90E54"/>
    <w:rsid w:val="00A911C8"/>
    <w:rsid w:val="00A91B57"/>
    <w:rsid w:val="00A91E0F"/>
    <w:rsid w:val="00A939E3"/>
    <w:rsid w:val="00A93A81"/>
    <w:rsid w:val="00A93AFC"/>
    <w:rsid w:val="00A94253"/>
    <w:rsid w:val="00A9442C"/>
    <w:rsid w:val="00A95303"/>
    <w:rsid w:val="00A959CD"/>
    <w:rsid w:val="00A96274"/>
    <w:rsid w:val="00A9672C"/>
    <w:rsid w:val="00A96A2E"/>
    <w:rsid w:val="00A97C45"/>
    <w:rsid w:val="00A97EB6"/>
    <w:rsid w:val="00A97F55"/>
    <w:rsid w:val="00A97F75"/>
    <w:rsid w:val="00AA0728"/>
    <w:rsid w:val="00AA078F"/>
    <w:rsid w:val="00AA0E74"/>
    <w:rsid w:val="00AA142D"/>
    <w:rsid w:val="00AA14AA"/>
    <w:rsid w:val="00AA2243"/>
    <w:rsid w:val="00AA2ABD"/>
    <w:rsid w:val="00AA2ADE"/>
    <w:rsid w:val="00AA3232"/>
    <w:rsid w:val="00AA35A5"/>
    <w:rsid w:val="00AA3704"/>
    <w:rsid w:val="00AA446D"/>
    <w:rsid w:val="00AA54E2"/>
    <w:rsid w:val="00AA58C6"/>
    <w:rsid w:val="00AA6105"/>
    <w:rsid w:val="00AA61A1"/>
    <w:rsid w:val="00AA63DC"/>
    <w:rsid w:val="00AA65D2"/>
    <w:rsid w:val="00AA69C9"/>
    <w:rsid w:val="00AA6B12"/>
    <w:rsid w:val="00AA6D11"/>
    <w:rsid w:val="00AA6DFC"/>
    <w:rsid w:val="00AA7205"/>
    <w:rsid w:val="00AA7762"/>
    <w:rsid w:val="00AA7928"/>
    <w:rsid w:val="00AA79B1"/>
    <w:rsid w:val="00AA7E48"/>
    <w:rsid w:val="00AB0852"/>
    <w:rsid w:val="00AB08BF"/>
    <w:rsid w:val="00AB09A7"/>
    <w:rsid w:val="00AB0A3F"/>
    <w:rsid w:val="00AB0CB7"/>
    <w:rsid w:val="00AB0DB6"/>
    <w:rsid w:val="00AB11A8"/>
    <w:rsid w:val="00AB127D"/>
    <w:rsid w:val="00AB1AED"/>
    <w:rsid w:val="00AB2CEC"/>
    <w:rsid w:val="00AB2EF3"/>
    <w:rsid w:val="00AB333F"/>
    <w:rsid w:val="00AB355D"/>
    <w:rsid w:val="00AB3CD3"/>
    <w:rsid w:val="00AB3ED7"/>
    <w:rsid w:val="00AB4B03"/>
    <w:rsid w:val="00AB4E9C"/>
    <w:rsid w:val="00AB4F9B"/>
    <w:rsid w:val="00AB5CAB"/>
    <w:rsid w:val="00AB6EC8"/>
    <w:rsid w:val="00AB733E"/>
    <w:rsid w:val="00AB7617"/>
    <w:rsid w:val="00AB76AE"/>
    <w:rsid w:val="00AB7FB3"/>
    <w:rsid w:val="00AC00DA"/>
    <w:rsid w:val="00AC01FE"/>
    <w:rsid w:val="00AC0B3E"/>
    <w:rsid w:val="00AC1A7F"/>
    <w:rsid w:val="00AC1A8B"/>
    <w:rsid w:val="00AC1EF8"/>
    <w:rsid w:val="00AC20C9"/>
    <w:rsid w:val="00AC27BF"/>
    <w:rsid w:val="00AC3899"/>
    <w:rsid w:val="00AC3AD7"/>
    <w:rsid w:val="00AC4266"/>
    <w:rsid w:val="00AC4297"/>
    <w:rsid w:val="00AC5AEC"/>
    <w:rsid w:val="00AC5E9A"/>
    <w:rsid w:val="00AC6309"/>
    <w:rsid w:val="00AC6B5D"/>
    <w:rsid w:val="00AC6D63"/>
    <w:rsid w:val="00AC7428"/>
    <w:rsid w:val="00AC7756"/>
    <w:rsid w:val="00AC78BB"/>
    <w:rsid w:val="00AC7A3B"/>
    <w:rsid w:val="00AC7EE5"/>
    <w:rsid w:val="00AD06CA"/>
    <w:rsid w:val="00AD0823"/>
    <w:rsid w:val="00AD0A11"/>
    <w:rsid w:val="00AD0CD3"/>
    <w:rsid w:val="00AD0F1C"/>
    <w:rsid w:val="00AD0F75"/>
    <w:rsid w:val="00AD1150"/>
    <w:rsid w:val="00AD1486"/>
    <w:rsid w:val="00AD15EE"/>
    <w:rsid w:val="00AD16AD"/>
    <w:rsid w:val="00AD16DA"/>
    <w:rsid w:val="00AD1D29"/>
    <w:rsid w:val="00AD1E22"/>
    <w:rsid w:val="00AD26EE"/>
    <w:rsid w:val="00AD2F23"/>
    <w:rsid w:val="00AD418A"/>
    <w:rsid w:val="00AD4995"/>
    <w:rsid w:val="00AD4B3C"/>
    <w:rsid w:val="00AD502A"/>
    <w:rsid w:val="00AD527F"/>
    <w:rsid w:val="00AD5818"/>
    <w:rsid w:val="00AD60EC"/>
    <w:rsid w:val="00AD72C4"/>
    <w:rsid w:val="00AE00AA"/>
    <w:rsid w:val="00AE0794"/>
    <w:rsid w:val="00AE0C7D"/>
    <w:rsid w:val="00AE122B"/>
    <w:rsid w:val="00AE1386"/>
    <w:rsid w:val="00AE18DC"/>
    <w:rsid w:val="00AE1D54"/>
    <w:rsid w:val="00AE1D6B"/>
    <w:rsid w:val="00AE1DD7"/>
    <w:rsid w:val="00AE21C6"/>
    <w:rsid w:val="00AE290C"/>
    <w:rsid w:val="00AE2A50"/>
    <w:rsid w:val="00AE2B06"/>
    <w:rsid w:val="00AE2D8C"/>
    <w:rsid w:val="00AE2EEB"/>
    <w:rsid w:val="00AE2F8A"/>
    <w:rsid w:val="00AE3AF0"/>
    <w:rsid w:val="00AE438F"/>
    <w:rsid w:val="00AE5050"/>
    <w:rsid w:val="00AE57D1"/>
    <w:rsid w:val="00AE59DC"/>
    <w:rsid w:val="00AE5A68"/>
    <w:rsid w:val="00AE5CB6"/>
    <w:rsid w:val="00AE5D8E"/>
    <w:rsid w:val="00AE60E5"/>
    <w:rsid w:val="00AE618F"/>
    <w:rsid w:val="00AE6258"/>
    <w:rsid w:val="00AE67B2"/>
    <w:rsid w:val="00AE76F7"/>
    <w:rsid w:val="00AF05E4"/>
    <w:rsid w:val="00AF076C"/>
    <w:rsid w:val="00AF0E36"/>
    <w:rsid w:val="00AF102B"/>
    <w:rsid w:val="00AF10B4"/>
    <w:rsid w:val="00AF15AF"/>
    <w:rsid w:val="00AF1930"/>
    <w:rsid w:val="00AF19B7"/>
    <w:rsid w:val="00AF1CBD"/>
    <w:rsid w:val="00AF23AE"/>
    <w:rsid w:val="00AF31FD"/>
    <w:rsid w:val="00AF3C62"/>
    <w:rsid w:val="00AF46FE"/>
    <w:rsid w:val="00AF4F69"/>
    <w:rsid w:val="00AF5041"/>
    <w:rsid w:val="00AF5655"/>
    <w:rsid w:val="00AF5ABE"/>
    <w:rsid w:val="00AF5C13"/>
    <w:rsid w:val="00AF5EAD"/>
    <w:rsid w:val="00AF6286"/>
    <w:rsid w:val="00AF6D76"/>
    <w:rsid w:val="00AF70D3"/>
    <w:rsid w:val="00AF751D"/>
    <w:rsid w:val="00AF7A8E"/>
    <w:rsid w:val="00B00536"/>
    <w:rsid w:val="00B009DD"/>
    <w:rsid w:val="00B00C91"/>
    <w:rsid w:val="00B00C93"/>
    <w:rsid w:val="00B00E54"/>
    <w:rsid w:val="00B0146B"/>
    <w:rsid w:val="00B0170C"/>
    <w:rsid w:val="00B017B2"/>
    <w:rsid w:val="00B01A4D"/>
    <w:rsid w:val="00B01A92"/>
    <w:rsid w:val="00B01CB9"/>
    <w:rsid w:val="00B02353"/>
    <w:rsid w:val="00B024F1"/>
    <w:rsid w:val="00B02652"/>
    <w:rsid w:val="00B02C62"/>
    <w:rsid w:val="00B036F6"/>
    <w:rsid w:val="00B039C8"/>
    <w:rsid w:val="00B03DA2"/>
    <w:rsid w:val="00B0437F"/>
    <w:rsid w:val="00B043DE"/>
    <w:rsid w:val="00B0534B"/>
    <w:rsid w:val="00B055A1"/>
    <w:rsid w:val="00B055B0"/>
    <w:rsid w:val="00B0567A"/>
    <w:rsid w:val="00B056D2"/>
    <w:rsid w:val="00B05B73"/>
    <w:rsid w:val="00B05D67"/>
    <w:rsid w:val="00B05E1F"/>
    <w:rsid w:val="00B061E3"/>
    <w:rsid w:val="00B06FCB"/>
    <w:rsid w:val="00B071F1"/>
    <w:rsid w:val="00B073E0"/>
    <w:rsid w:val="00B07A83"/>
    <w:rsid w:val="00B07C4B"/>
    <w:rsid w:val="00B10188"/>
    <w:rsid w:val="00B10BF8"/>
    <w:rsid w:val="00B10DC7"/>
    <w:rsid w:val="00B115C3"/>
    <w:rsid w:val="00B1183B"/>
    <w:rsid w:val="00B11C37"/>
    <w:rsid w:val="00B11D65"/>
    <w:rsid w:val="00B12AA6"/>
    <w:rsid w:val="00B13273"/>
    <w:rsid w:val="00B1357A"/>
    <w:rsid w:val="00B13D65"/>
    <w:rsid w:val="00B166BC"/>
    <w:rsid w:val="00B16B79"/>
    <w:rsid w:val="00B172CD"/>
    <w:rsid w:val="00B174A7"/>
    <w:rsid w:val="00B20019"/>
    <w:rsid w:val="00B207A7"/>
    <w:rsid w:val="00B20A72"/>
    <w:rsid w:val="00B20B50"/>
    <w:rsid w:val="00B20F00"/>
    <w:rsid w:val="00B21D65"/>
    <w:rsid w:val="00B22236"/>
    <w:rsid w:val="00B226E1"/>
    <w:rsid w:val="00B226F2"/>
    <w:rsid w:val="00B229B0"/>
    <w:rsid w:val="00B22EF0"/>
    <w:rsid w:val="00B235BB"/>
    <w:rsid w:val="00B23993"/>
    <w:rsid w:val="00B23EF6"/>
    <w:rsid w:val="00B23FE4"/>
    <w:rsid w:val="00B24336"/>
    <w:rsid w:val="00B24DED"/>
    <w:rsid w:val="00B25156"/>
    <w:rsid w:val="00B256B5"/>
    <w:rsid w:val="00B25C48"/>
    <w:rsid w:val="00B2659F"/>
    <w:rsid w:val="00B265F7"/>
    <w:rsid w:val="00B26B75"/>
    <w:rsid w:val="00B30240"/>
    <w:rsid w:val="00B30DB4"/>
    <w:rsid w:val="00B31459"/>
    <w:rsid w:val="00B31972"/>
    <w:rsid w:val="00B32001"/>
    <w:rsid w:val="00B32585"/>
    <w:rsid w:val="00B32F85"/>
    <w:rsid w:val="00B32FA1"/>
    <w:rsid w:val="00B32FEA"/>
    <w:rsid w:val="00B33155"/>
    <w:rsid w:val="00B333CF"/>
    <w:rsid w:val="00B35487"/>
    <w:rsid w:val="00B35B7B"/>
    <w:rsid w:val="00B35C2A"/>
    <w:rsid w:val="00B371F5"/>
    <w:rsid w:val="00B3725A"/>
    <w:rsid w:val="00B375FF"/>
    <w:rsid w:val="00B376D6"/>
    <w:rsid w:val="00B377EE"/>
    <w:rsid w:val="00B378FA"/>
    <w:rsid w:val="00B37B57"/>
    <w:rsid w:val="00B37B70"/>
    <w:rsid w:val="00B37FB5"/>
    <w:rsid w:val="00B400CB"/>
    <w:rsid w:val="00B40110"/>
    <w:rsid w:val="00B40612"/>
    <w:rsid w:val="00B40A60"/>
    <w:rsid w:val="00B40EA7"/>
    <w:rsid w:val="00B4125D"/>
    <w:rsid w:val="00B41585"/>
    <w:rsid w:val="00B41741"/>
    <w:rsid w:val="00B41B82"/>
    <w:rsid w:val="00B41C3F"/>
    <w:rsid w:val="00B41C57"/>
    <w:rsid w:val="00B41CFB"/>
    <w:rsid w:val="00B41D93"/>
    <w:rsid w:val="00B41DF1"/>
    <w:rsid w:val="00B41DFE"/>
    <w:rsid w:val="00B4216C"/>
    <w:rsid w:val="00B42285"/>
    <w:rsid w:val="00B42A14"/>
    <w:rsid w:val="00B43004"/>
    <w:rsid w:val="00B431B4"/>
    <w:rsid w:val="00B43235"/>
    <w:rsid w:val="00B433FD"/>
    <w:rsid w:val="00B437E5"/>
    <w:rsid w:val="00B4389F"/>
    <w:rsid w:val="00B43ACD"/>
    <w:rsid w:val="00B43B5D"/>
    <w:rsid w:val="00B4454D"/>
    <w:rsid w:val="00B44BAC"/>
    <w:rsid w:val="00B44FE3"/>
    <w:rsid w:val="00B4503C"/>
    <w:rsid w:val="00B45453"/>
    <w:rsid w:val="00B45DFE"/>
    <w:rsid w:val="00B460D7"/>
    <w:rsid w:val="00B46221"/>
    <w:rsid w:val="00B4644E"/>
    <w:rsid w:val="00B46B70"/>
    <w:rsid w:val="00B46C2D"/>
    <w:rsid w:val="00B46E7C"/>
    <w:rsid w:val="00B470A5"/>
    <w:rsid w:val="00B4728F"/>
    <w:rsid w:val="00B47806"/>
    <w:rsid w:val="00B47AFA"/>
    <w:rsid w:val="00B47E18"/>
    <w:rsid w:val="00B5016E"/>
    <w:rsid w:val="00B501BF"/>
    <w:rsid w:val="00B5081B"/>
    <w:rsid w:val="00B516AA"/>
    <w:rsid w:val="00B51C93"/>
    <w:rsid w:val="00B524C2"/>
    <w:rsid w:val="00B52592"/>
    <w:rsid w:val="00B52A34"/>
    <w:rsid w:val="00B52B50"/>
    <w:rsid w:val="00B52D9F"/>
    <w:rsid w:val="00B52FDE"/>
    <w:rsid w:val="00B530B2"/>
    <w:rsid w:val="00B5317A"/>
    <w:rsid w:val="00B53D5F"/>
    <w:rsid w:val="00B53DAB"/>
    <w:rsid w:val="00B54072"/>
    <w:rsid w:val="00B5458C"/>
    <w:rsid w:val="00B545CE"/>
    <w:rsid w:val="00B54B95"/>
    <w:rsid w:val="00B5516B"/>
    <w:rsid w:val="00B55571"/>
    <w:rsid w:val="00B56EF0"/>
    <w:rsid w:val="00B56F98"/>
    <w:rsid w:val="00B56FC9"/>
    <w:rsid w:val="00B575B5"/>
    <w:rsid w:val="00B57C05"/>
    <w:rsid w:val="00B57CF0"/>
    <w:rsid w:val="00B60331"/>
    <w:rsid w:val="00B603C2"/>
    <w:rsid w:val="00B60484"/>
    <w:rsid w:val="00B606E4"/>
    <w:rsid w:val="00B60A93"/>
    <w:rsid w:val="00B618F9"/>
    <w:rsid w:val="00B61A16"/>
    <w:rsid w:val="00B61AA2"/>
    <w:rsid w:val="00B61D0D"/>
    <w:rsid w:val="00B61E32"/>
    <w:rsid w:val="00B621DD"/>
    <w:rsid w:val="00B6231F"/>
    <w:rsid w:val="00B62629"/>
    <w:rsid w:val="00B6302A"/>
    <w:rsid w:val="00B63180"/>
    <w:rsid w:val="00B63810"/>
    <w:rsid w:val="00B63E6A"/>
    <w:rsid w:val="00B64600"/>
    <w:rsid w:val="00B64CAC"/>
    <w:rsid w:val="00B64DB2"/>
    <w:rsid w:val="00B64F7B"/>
    <w:rsid w:val="00B65063"/>
    <w:rsid w:val="00B6511D"/>
    <w:rsid w:val="00B65397"/>
    <w:rsid w:val="00B656D9"/>
    <w:rsid w:val="00B6580F"/>
    <w:rsid w:val="00B662FC"/>
    <w:rsid w:val="00B670C0"/>
    <w:rsid w:val="00B67DF8"/>
    <w:rsid w:val="00B70D87"/>
    <w:rsid w:val="00B70E83"/>
    <w:rsid w:val="00B722AD"/>
    <w:rsid w:val="00B734E4"/>
    <w:rsid w:val="00B7356E"/>
    <w:rsid w:val="00B73A59"/>
    <w:rsid w:val="00B741AE"/>
    <w:rsid w:val="00B74233"/>
    <w:rsid w:val="00B748AC"/>
    <w:rsid w:val="00B74C9D"/>
    <w:rsid w:val="00B751CC"/>
    <w:rsid w:val="00B75E0F"/>
    <w:rsid w:val="00B760F7"/>
    <w:rsid w:val="00B76817"/>
    <w:rsid w:val="00B76F92"/>
    <w:rsid w:val="00B7793F"/>
    <w:rsid w:val="00B77D3C"/>
    <w:rsid w:val="00B80144"/>
    <w:rsid w:val="00B8088E"/>
    <w:rsid w:val="00B8098A"/>
    <w:rsid w:val="00B80D33"/>
    <w:rsid w:val="00B81051"/>
    <w:rsid w:val="00B811A2"/>
    <w:rsid w:val="00B81AE0"/>
    <w:rsid w:val="00B81EC9"/>
    <w:rsid w:val="00B82208"/>
    <w:rsid w:val="00B82254"/>
    <w:rsid w:val="00B833C8"/>
    <w:rsid w:val="00B833FB"/>
    <w:rsid w:val="00B83604"/>
    <w:rsid w:val="00B83A68"/>
    <w:rsid w:val="00B83E60"/>
    <w:rsid w:val="00B83E83"/>
    <w:rsid w:val="00B84080"/>
    <w:rsid w:val="00B848FB"/>
    <w:rsid w:val="00B84A79"/>
    <w:rsid w:val="00B858EC"/>
    <w:rsid w:val="00B85D02"/>
    <w:rsid w:val="00B862B3"/>
    <w:rsid w:val="00B86615"/>
    <w:rsid w:val="00B86752"/>
    <w:rsid w:val="00B86E00"/>
    <w:rsid w:val="00B87757"/>
    <w:rsid w:val="00B901CD"/>
    <w:rsid w:val="00B906EB"/>
    <w:rsid w:val="00B90C02"/>
    <w:rsid w:val="00B90E23"/>
    <w:rsid w:val="00B91024"/>
    <w:rsid w:val="00B91476"/>
    <w:rsid w:val="00B914A1"/>
    <w:rsid w:val="00B91528"/>
    <w:rsid w:val="00B91718"/>
    <w:rsid w:val="00B91951"/>
    <w:rsid w:val="00B91985"/>
    <w:rsid w:val="00B91D60"/>
    <w:rsid w:val="00B926F1"/>
    <w:rsid w:val="00B928D2"/>
    <w:rsid w:val="00B9292D"/>
    <w:rsid w:val="00B92F8A"/>
    <w:rsid w:val="00B9317D"/>
    <w:rsid w:val="00B93545"/>
    <w:rsid w:val="00B9366C"/>
    <w:rsid w:val="00B94DEC"/>
    <w:rsid w:val="00B95A69"/>
    <w:rsid w:val="00B95F41"/>
    <w:rsid w:val="00B96358"/>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332"/>
    <w:rsid w:val="00BA446C"/>
    <w:rsid w:val="00BA4EA8"/>
    <w:rsid w:val="00BA508F"/>
    <w:rsid w:val="00BA51F2"/>
    <w:rsid w:val="00BA56DA"/>
    <w:rsid w:val="00BA5848"/>
    <w:rsid w:val="00BA5B83"/>
    <w:rsid w:val="00BA623E"/>
    <w:rsid w:val="00BA64BD"/>
    <w:rsid w:val="00BA6E71"/>
    <w:rsid w:val="00BA7108"/>
    <w:rsid w:val="00BA72AC"/>
    <w:rsid w:val="00BA7687"/>
    <w:rsid w:val="00BA7826"/>
    <w:rsid w:val="00BA7877"/>
    <w:rsid w:val="00BA7D8F"/>
    <w:rsid w:val="00BB15DC"/>
    <w:rsid w:val="00BB2AFB"/>
    <w:rsid w:val="00BB2B35"/>
    <w:rsid w:val="00BB2D6F"/>
    <w:rsid w:val="00BB305B"/>
    <w:rsid w:val="00BB36DF"/>
    <w:rsid w:val="00BB37E4"/>
    <w:rsid w:val="00BB40D9"/>
    <w:rsid w:val="00BB40E4"/>
    <w:rsid w:val="00BB5E86"/>
    <w:rsid w:val="00BB5E94"/>
    <w:rsid w:val="00BB5F6C"/>
    <w:rsid w:val="00BB6207"/>
    <w:rsid w:val="00BB62D2"/>
    <w:rsid w:val="00BB6A3D"/>
    <w:rsid w:val="00BB6B10"/>
    <w:rsid w:val="00BB6DDE"/>
    <w:rsid w:val="00BB76D9"/>
    <w:rsid w:val="00BB7AA6"/>
    <w:rsid w:val="00BC042C"/>
    <w:rsid w:val="00BC0683"/>
    <w:rsid w:val="00BC06DD"/>
    <w:rsid w:val="00BC25A6"/>
    <w:rsid w:val="00BC2E36"/>
    <w:rsid w:val="00BC2E6D"/>
    <w:rsid w:val="00BC2EA1"/>
    <w:rsid w:val="00BC32D8"/>
    <w:rsid w:val="00BC3B71"/>
    <w:rsid w:val="00BC3C58"/>
    <w:rsid w:val="00BC3E5B"/>
    <w:rsid w:val="00BC3E5D"/>
    <w:rsid w:val="00BC421C"/>
    <w:rsid w:val="00BC4616"/>
    <w:rsid w:val="00BC46D3"/>
    <w:rsid w:val="00BC4FA8"/>
    <w:rsid w:val="00BC5A01"/>
    <w:rsid w:val="00BC5B0A"/>
    <w:rsid w:val="00BC5C6D"/>
    <w:rsid w:val="00BC5D3F"/>
    <w:rsid w:val="00BC5FF8"/>
    <w:rsid w:val="00BC65AC"/>
    <w:rsid w:val="00BC660B"/>
    <w:rsid w:val="00BC66E7"/>
    <w:rsid w:val="00BC7BFB"/>
    <w:rsid w:val="00BC7F45"/>
    <w:rsid w:val="00BD0B0B"/>
    <w:rsid w:val="00BD0B1A"/>
    <w:rsid w:val="00BD0CEC"/>
    <w:rsid w:val="00BD16E1"/>
    <w:rsid w:val="00BD1D86"/>
    <w:rsid w:val="00BD1FFA"/>
    <w:rsid w:val="00BD2097"/>
    <w:rsid w:val="00BD281B"/>
    <w:rsid w:val="00BD28C8"/>
    <w:rsid w:val="00BD2B91"/>
    <w:rsid w:val="00BD2C08"/>
    <w:rsid w:val="00BD2E2F"/>
    <w:rsid w:val="00BD2FD8"/>
    <w:rsid w:val="00BD3966"/>
    <w:rsid w:val="00BD3DC4"/>
    <w:rsid w:val="00BD3F7D"/>
    <w:rsid w:val="00BD4407"/>
    <w:rsid w:val="00BD44E6"/>
    <w:rsid w:val="00BD4CD6"/>
    <w:rsid w:val="00BD5185"/>
    <w:rsid w:val="00BD524B"/>
    <w:rsid w:val="00BD550C"/>
    <w:rsid w:val="00BD575F"/>
    <w:rsid w:val="00BD5881"/>
    <w:rsid w:val="00BD5A33"/>
    <w:rsid w:val="00BD5C96"/>
    <w:rsid w:val="00BD635D"/>
    <w:rsid w:val="00BD6455"/>
    <w:rsid w:val="00BD6654"/>
    <w:rsid w:val="00BD6A1E"/>
    <w:rsid w:val="00BD70BC"/>
    <w:rsid w:val="00BD71B3"/>
    <w:rsid w:val="00BD72B8"/>
    <w:rsid w:val="00BD7739"/>
    <w:rsid w:val="00BE073C"/>
    <w:rsid w:val="00BE1929"/>
    <w:rsid w:val="00BE19BB"/>
    <w:rsid w:val="00BE1C3D"/>
    <w:rsid w:val="00BE1DCD"/>
    <w:rsid w:val="00BE2AEB"/>
    <w:rsid w:val="00BE3072"/>
    <w:rsid w:val="00BE4419"/>
    <w:rsid w:val="00BE548C"/>
    <w:rsid w:val="00BE595A"/>
    <w:rsid w:val="00BE5ACD"/>
    <w:rsid w:val="00BE5F33"/>
    <w:rsid w:val="00BE6190"/>
    <w:rsid w:val="00BE668E"/>
    <w:rsid w:val="00BE67BE"/>
    <w:rsid w:val="00BE6B56"/>
    <w:rsid w:val="00BE6F76"/>
    <w:rsid w:val="00BE73F8"/>
    <w:rsid w:val="00BE741F"/>
    <w:rsid w:val="00BE7588"/>
    <w:rsid w:val="00BE764B"/>
    <w:rsid w:val="00BE77E3"/>
    <w:rsid w:val="00BE794A"/>
    <w:rsid w:val="00BE7D87"/>
    <w:rsid w:val="00BE7E73"/>
    <w:rsid w:val="00BF028B"/>
    <w:rsid w:val="00BF0776"/>
    <w:rsid w:val="00BF0AD1"/>
    <w:rsid w:val="00BF0DF3"/>
    <w:rsid w:val="00BF0F56"/>
    <w:rsid w:val="00BF0FC3"/>
    <w:rsid w:val="00BF1021"/>
    <w:rsid w:val="00BF1398"/>
    <w:rsid w:val="00BF1696"/>
    <w:rsid w:val="00BF1A00"/>
    <w:rsid w:val="00BF235D"/>
    <w:rsid w:val="00BF25A6"/>
    <w:rsid w:val="00BF43A0"/>
    <w:rsid w:val="00BF5550"/>
    <w:rsid w:val="00BF6235"/>
    <w:rsid w:val="00BF6AE8"/>
    <w:rsid w:val="00BF6ED9"/>
    <w:rsid w:val="00BF74BB"/>
    <w:rsid w:val="00BF763E"/>
    <w:rsid w:val="00C008B3"/>
    <w:rsid w:val="00C00A35"/>
    <w:rsid w:val="00C00DC7"/>
    <w:rsid w:val="00C0142B"/>
    <w:rsid w:val="00C01856"/>
    <w:rsid w:val="00C01E1E"/>
    <w:rsid w:val="00C01F9C"/>
    <w:rsid w:val="00C01FE7"/>
    <w:rsid w:val="00C023B9"/>
    <w:rsid w:val="00C035B3"/>
    <w:rsid w:val="00C03DC2"/>
    <w:rsid w:val="00C0437F"/>
    <w:rsid w:val="00C049CF"/>
    <w:rsid w:val="00C04CEB"/>
    <w:rsid w:val="00C050D4"/>
    <w:rsid w:val="00C063B3"/>
    <w:rsid w:val="00C0677F"/>
    <w:rsid w:val="00C06AFE"/>
    <w:rsid w:val="00C07639"/>
    <w:rsid w:val="00C078CF"/>
    <w:rsid w:val="00C07A72"/>
    <w:rsid w:val="00C07B60"/>
    <w:rsid w:val="00C07E83"/>
    <w:rsid w:val="00C10373"/>
    <w:rsid w:val="00C10659"/>
    <w:rsid w:val="00C106C0"/>
    <w:rsid w:val="00C1071C"/>
    <w:rsid w:val="00C10959"/>
    <w:rsid w:val="00C11203"/>
    <w:rsid w:val="00C11C08"/>
    <w:rsid w:val="00C1259B"/>
    <w:rsid w:val="00C12D0E"/>
    <w:rsid w:val="00C1334F"/>
    <w:rsid w:val="00C135B4"/>
    <w:rsid w:val="00C13A1A"/>
    <w:rsid w:val="00C13C71"/>
    <w:rsid w:val="00C13D20"/>
    <w:rsid w:val="00C13DE4"/>
    <w:rsid w:val="00C13E62"/>
    <w:rsid w:val="00C142BD"/>
    <w:rsid w:val="00C14E6E"/>
    <w:rsid w:val="00C15344"/>
    <w:rsid w:val="00C15AF0"/>
    <w:rsid w:val="00C15B1C"/>
    <w:rsid w:val="00C15B5F"/>
    <w:rsid w:val="00C15E4E"/>
    <w:rsid w:val="00C15F2E"/>
    <w:rsid w:val="00C1605E"/>
    <w:rsid w:val="00C160F9"/>
    <w:rsid w:val="00C16183"/>
    <w:rsid w:val="00C16455"/>
    <w:rsid w:val="00C16615"/>
    <w:rsid w:val="00C16B92"/>
    <w:rsid w:val="00C1723B"/>
    <w:rsid w:val="00C1765B"/>
    <w:rsid w:val="00C17A48"/>
    <w:rsid w:val="00C203C6"/>
    <w:rsid w:val="00C203D5"/>
    <w:rsid w:val="00C20AE6"/>
    <w:rsid w:val="00C211E5"/>
    <w:rsid w:val="00C21995"/>
    <w:rsid w:val="00C22329"/>
    <w:rsid w:val="00C22ACB"/>
    <w:rsid w:val="00C22CB7"/>
    <w:rsid w:val="00C2360F"/>
    <w:rsid w:val="00C238DA"/>
    <w:rsid w:val="00C23BD6"/>
    <w:rsid w:val="00C23DC8"/>
    <w:rsid w:val="00C23E22"/>
    <w:rsid w:val="00C23E52"/>
    <w:rsid w:val="00C23E5E"/>
    <w:rsid w:val="00C2411A"/>
    <w:rsid w:val="00C24729"/>
    <w:rsid w:val="00C253C7"/>
    <w:rsid w:val="00C254AF"/>
    <w:rsid w:val="00C258CE"/>
    <w:rsid w:val="00C25978"/>
    <w:rsid w:val="00C25CB9"/>
    <w:rsid w:val="00C25E0D"/>
    <w:rsid w:val="00C264BA"/>
    <w:rsid w:val="00C2785E"/>
    <w:rsid w:val="00C300C3"/>
    <w:rsid w:val="00C3024B"/>
    <w:rsid w:val="00C3028C"/>
    <w:rsid w:val="00C30788"/>
    <w:rsid w:val="00C308B2"/>
    <w:rsid w:val="00C309B9"/>
    <w:rsid w:val="00C30EBB"/>
    <w:rsid w:val="00C31057"/>
    <w:rsid w:val="00C31C0A"/>
    <w:rsid w:val="00C31CB0"/>
    <w:rsid w:val="00C32374"/>
    <w:rsid w:val="00C3283C"/>
    <w:rsid w:val="00C3323B"/>
    <w:rsid w:val="00C3326F"/>
    <w:rsid w:val="00C333D0"/>
    <w:rsid w:val="00C335EE"/>
    <w:rsid w:val="00C34F40"/>
    <w:rsid w:val="00C350CA"/>
    <w:rsid w:val="00C35261"/>
    <w:rsid w:val="00C359A4"/>
    <w:rsid w:val="00C359C4"/>
    <w:rsid w:val="00C35E05"/>
    <w:rsid w:val="00C36C98"/>
    <w:rsid w:val="00C37273"/>
    <w:rsid w:val="00C3758D"/>
    <w:rsid w:val="00C40508"/>
    <w:rsid w:val="00C40923"/>
    <w:rsid w:val="00C41D02"/>
    <w:rsid w:val="00C41D72"/>
    <w:rsid w:val="00C41EA5"/>
    <w:rsid w:val="00C42587"/>
    <w:rsid w:val="00C4295D"/>
    <w:rsid w:val="00C42A08"/>
    <w:rsid w:val="00C42A3D"/>
    <w:rsid w:val="00C42D31"/>
    <w:rsid w:val="00C431ED"/>
    <w:rsid w:val="00C4377C"/>
    <w:rsid w:val="00C43BF5"/>
    <w:rsid w:val="00C43EA2"/>
    <w:rsid w:val="00C4428A"/>
    <w:rsid w:val="00C444EC"/>
    <w:rsid w:val="00C44D1D"/>
    <w:rsid w:val="00C4511B"/>
    <w:rsid w:val="00C457B4"/>
    <w:rsid w:val="00C4598F"/>
    <w:rsid w:val="00C45B24"/>
    <w:rsid w:val="00C45B64"/>
    <w:rsid w:val="00C45D29"/>
    <w:rsid w:val="00C45DC5"/>
    <w:rsid w:val="00C461FD"/>
    <w:rsid w:val="00C46538"/>
    <w:rsid w:val="00C469A6"/>
    <w:rsid w:val="00C47099"/>
    <w:rsid w:val="00C47809"/>
    <w:rsid w:val="00C478F3"/>
    <w:rsid w:val="00C47E1B"/>
    <w:rsid w:val="00C50356"/>
    <w:rsid w:val="00C51E06"/>
    <w:rsid w:val="00C5221D"/>
    <w:rsid w:val="00C522F9"/>
    <w:rsid w:val="00C52FFC"/>
    <w:rsid w:val="00C53744"/>
    <w:rsid w:val="00C54744"/>
    <w:rsid w:val="00C54843"/>
    <w:rsid w:val="00C54B4F"/>
    <w:rsid w:val="00C54DB6"/>
    <w:rsid w:val="00C5576F"/>
    <w:rsid w:val="00C55DDA"/>
    <w:rsid w:val="00C56116"/>
    <w:rsid w:val="00C5634C"/>
    <w:rsid w:val="00C576A2"/>
    <w:rsid w:val="00C57902"/>
    <w:rsid w:val="00C57DAA"/>
    <w:rsid w:val="00C60287"/>
    <w:rsid w:val="00C606AE"/>
    <w:rsid w:val="00C60781"/>
    <w:rsid w:val="00C6097D"/>
    <w:rsid w:val="00C60CB5"/>
    <w:rsid w:val="00C60F17"/>
    <w:rsid w:val="00C61641"/>
    <w:rsid w:val="00C618FB"/>
    <w:rsid w:val="00C61BAF"/>
    <w:rsid w:val="00C620F0"/>
    <w:rsid w:val="00C62EF2"/>
    <w:rsid w:val="00C6310A"/>
    <w:rsid w:val="00C635C9"/>
    <w:rsid w:val="00C63A63"/>
    <w:rsid w:val="00C64296"/>
    <w:rsid w:val="00C64CA0"/>
    <w:rsid w:val="00C65880"/>
    <w:rsid w:val="00C65E4E"/>
    <w:rsid w:val="00C6653A"/>
    <w:rsid w:val="00C67F56"/>
    <w:rsid w:val="00C70E4A"/>
    <w:rsid w:val="00C714ED"/>
    <w:rsid w:val="00C71A39"/>
    <w:rsid w:val="00C71C78"/>
    <w:rsid w:val="00C71D5A"/>
    <w:rsid w:val="00C72B80"/>
    <w:rsid w:val="00C72DD1"/>
    <w:rsid w:val="00C73010"/>
    <w:rsid w:val="00C7324E"/>
    <w:rsid w:val="00C73DA1"/>
    <w:rsid w:val="00C73E9C"/>
    <w:rsid w:val="00C7615D"/>
    <w:rsid w:val="00C762E2"/>
    <w:rsid w:val="00C769E2"/>
    <w:rsid w:val="00C76C53"/>
    <w:rsid w:val="00C76E0D"/>
    <w:rsid w:val="00C77EF9"/>
    <w:rsid w:val="00C8092A"/>
    <w:rsid w:val="00C80DA1"/>
    <w:rsid w:val="00C80E1E"/>
    <w:rsid w:val="00C80FC0"/>
    <w:rsid w:val="00C80FDC"/>
    <w:rsid w:val="00C8168E"/>
    <w:rsid w:val="00C820A8"/>
    <w:rsid w:val="00C82700"/>
    <w:rsid w:val="00C8290F"/>
    <w:rsid w:val="00C82C52"/>
    <w:rsid w:val="00C82D46"/>
    <w:rsid w:val="00C82E47"/>
    <w:rsid w:val="00C83B85"/>
    <w:rsid w:val="00C83CBE"/>
    <w:rsid w:val="00C84ACF"/>
    <w:rsid w:val="00C84B12"/>
    <w:rsid w:val="00C84BB6"/>
    <w:rsid w:val="00C84BEF"/>
    <w:rsid w:val="00C853CA"/>
    <w:rsid w:val="00C85CDC"/>
    <w:rsid w:val="00C860A2"/>
    <w:rsid w:val="00C867A6"/>
    <w:rsid w:val="00C86922"/>
    <w:rsid w:val="00C86925"/>
    <w:rsid w:val="00C87EFE"/>
    <w:rsid w:val="00C87FB1"/>
    <w:rsid w:val="00C9014B"/>
    <w:rsid w:val="00C91ACB"/>
    <w:rsid w:val="00C91BE2"/>
    <w:rsid w:val="00C9218C"/>
    <w:rsid w:val="00C92671"/>
    <w:rsid w:val="00C92777"/>
    <w:rsid w:val="00C92F2C"/>
    <w:rsid w:val="00C934B0"/>
    <w:rsid w:val="00C935CF"/>
    <w:rsid w:val="00C9384C"/>
    <w:rsid w:val="00C938F4"/>
    <w:rsid w:val="00C93D45"/>
    <w:rsid w:val="00C93F11"/>
    <w:rsid w:val="00C94483"/>
    <w:rsid w:val="00C94821"/>
    <w:rsid w:val="00C9499B"/>
    <w:rsid w:val="00C94E0F"/>
    <w:rsid w:val="00C94E71"/>
    <w:rsid w:val="00C9570D"/>
    <w:rsid w:val="00C957F4"/>
    <w:rsid w:val="00C9585B"/>
    <w:rsid w:val="00C95EF8"/>
    <w:rsid w:val="00C96E24"/>
    <w:rsid w:val="00C97140"/>
    <w:rsid w:val="00C97545"/>
    <w:rsid w:val="00C97C1A"/>
    <w:rsid w:val="00CA002D"/>
    <w:rsid w:val="00CA075A"/>
    <w:rsid w:val="00CA09EC"/>
    <w:rsid w:val="00CA1469"/>
    <w:rsid w:val="00CA18C0"/>
    <w:rsid w:val="00CA2097"/>
    <w:rsid w:val="00CA2121"/>
    <w:rsid w:val="00CA2B95"/>
    <w:rsid w:val="00CA2D92"/>
    <w:rsid w:val="00CA31B2"/>
    <w:rsid w:val="00CA32C0"/>
    <w:rsid w:val="00CA3848"/>
    <w:rsid w:val="00CA3D3A"/>
    <w:rsid w:val="00CA3E8E"/>
    <w:rsid w:val="00CA3F92"/>
    <w:rsid w:val="00CA4135"/>
    <w:rsid w:val="00CA42EB"/>
    <w:rsid w:val="00CA4F0E"/>
    <w:rsid w:val="00CA4F49"/>
    <w:rsid w:val="00CA525A"/>
    <w:rsid w:val="00CA53BD"/>
    <w:rsid w:val="00CA55DD"/>
    <w:rsid w:val="00CA6573"/>
    <w:rsid w:val="00CA70D9"/>
    <w:rsid w:val="00CA75EE"/>
    <w:rsid w:val="00CA76D2"/>
    <w:rsid w:val="00CA781A"/>
    <w:rsid w:val="00CB0315"/>
    <w:rsid w:val="00CB160F"/>
    <w:rsid w:val="00CB1D0B"/>
    <w:rsid w:val="00CB25D4"/>
    <w:rsid w:val="00CB2A82"/>
    <w:rsid w:val="00CB2ADA"/>
    <w:rsid w:val="00CB2C45"/>
    <w:rsid w:val="00CB2C49"/>
    <w:rsid w:val="00CB30AF"/>
    <w:rsid w:val="00CB39F6"/>
    <w:rsid w:val="00CB43DA"/>
    <w:rsid w:val="00CB53C4"/>
    <w:rsid w:val="00CB5441"/>
    <w:rsid w:val="00CB5732"/>
    <w:rsid w:val="00CB590E"/>
    <w:rsid w:val="00CB59D2"/>
    <w:rsid w:val="00CB5F1A"/>
    <w:rsid w:val="00CB65A1"/>
    <w:rsid w:val="00CB6DD8"/>
    <w:rsid w:val="00CB7091"/>
    <w:rsid w:val="00CB7AAA"/>
    <w:rsid w:val="00CB7D1B"/>
    <w:rsid w:val="00CB7D9C"/>
    <w:rsid w:val="00CC0DE3"/>
    <w:rsid w:val="00CC10B8"/>
    <w:rsid w:val="00CC1B07"/>
    <w:rsid w:val="00CC1F22"/>
    <w:rsid w:val="00CC26A2"/>
    <w:rsid w:val="00CC30A9"/>
    <w:rsid w:val="00CC31D4"/>
    <w:rsid w:val="00CC340A"/>
    <w:rsid w:val="00CC3755"/>
    <w:rsid w:val="00CC3C87"/>
    <w:rsid w:val="00CC4915"/>
    <w:rsid w:val="00CC4B30"/>
    <w:rsid w:val="00CC4C0B"/>
    <w:rsid w:val="00CC55FE"/>
    <w:rsid w:val="00CC571F"/>
    <w:rsid w:val="00CC573D"/>
    <w:rsid w:val="00CC58EB"/>
    <w:rsid w:val="00CC5D52"/>
    <w:rsid w:val="00CC6223"/>
    <w:rsid w:val="00CC6291"/>
    <w:rsid w:val="00CC6422"/>
    <w:rsid w:val="00CC6501"/>
    <w:rsid w:val="00CC6762"/>
    <w:rsid w:val="00CC6FF3"/>
    <w:rsid w:val="00CC7053"/>
    <w:rsid w:val="00CC7516"/>
    <w:rsid w:val="00CC7521"/>
    <w:rsid w:val="00CC78E8"/>
    <w:rsid w:val="00CC7CDA"/>
    <w:rsid w:val="00CD04DB"/>
    <w:rsid w:val="00CD06C4"/>
    <w:rsid w:val="00CD1833"/>
    <w:rsid w:val="00CD1B20"/>
    <w:rsid w:val="00CD20E3"/>
    <w:rsid w:val="00CD2E74"/>
    <w:rsid w:val="00CD3043"/>
    <w:rsid w:val="00CD3C90"/>
    <w:rsid w:val="00CD4DD3"/>
    <w:rsid w:val="00CD51BC"/>
    <w:rsid w:val="00CD58AE"/>
    <w:rsid w:val="00CD675A"/>
    <w:rsid w:val="00CD712A"/>
    <w:rsid w:val="00CD79B4"/>
    <w:rsid w:val="00CD7F4E"/>
    <w:rsid w:val="00CE010B"/>
    <w:rsid w:val="00CE0326"/>
    <w:rsid w:val="00CE0B85"/>
    <w:rsid w:val="00CE0FF0"/>
    <w:rsid w:val="00CE1518"/>
    <w:rsid w:val="00CE1850"/>
    <w:rsid w:val="00CE1F2D"/>
    <w:rsid w:val="00CE268A"/>
    <w:rsid w:val="00CE2FDE"/>
    <w:rsid w:val="00CE3822"/>
    <w:rsid w:val="00CE3D45"/>
    <w:rsid w:val="00CE41ED"/>
    <w:rsid w:val="00CE4E42"/>
    <w:rsid w:val="00CE4EB2"/>
    <w:rsid w:val="00CE5E06"/>
    <w:rsid w:val="00CE5F42"/>
    <w:rsid w:val="00CE60FE"/>
    <w:rsid w:val="00CE693A"/>
    <w:rsid w:val="00CE6EE4"/>
    <w:rsid w:val="00CE6F50"/>
    <w:rsid w:val="00CE73DB"/>
    <w:rsid w:val="00CE73FC"/>
    <w:rsid w:val="00CE7A54"/>
    <w:rsid w:val="00CE7AA3"/>
    <w:rsid w:val="00CF009E"/>
    <w:rsid w:val="00CF0587"/>
    <w:rsid w:val="00CF0AA4"/>
    <w:rsid w:val="00CF0EBF"/>
    <w:rsid w:val="00CF1239"/>
    <w:rsid w:val="00CF1255"/>
    <w:rsid w:val="00CF12F2"/>
    <w:rsid w:val="00CF1311"/>
    <w:rsid w:val="00CF13A1"/>
    <w:rsid w:val="00CF14E6"/>
    <w:rsid w:val="00CF1CE7"/>
    <w:rsid w:val="00CF1E47"/>
    <w:rsid w:val="00CF2A4F"/>
    <w:rsid w:val="00CF2D32"/>
    <w:rsid w:val="00CF3C93"/>
    <w:rsid w:val="00CF41AF"/>
    <w:rsid w:val="00CF49CF"/>
    <w:rsid w:val="00CF4D64"/>
    <w:rsid w:val="00CF5488"/>
    <w:rsid w:val="00CF57A9"/>
    <w:rsid w:val="00CF669D"/>
    <w:rsid w:val="00CF6B9B"/>
    <w:rsid w:val="00CF717F"/>
    <w:rsid w:val="00CF7238"/>
    <w:rsid w:val="00CF7A2F"/>
    <w:rsid w:val="00D014B7"/>
    <w:rsid w:val="00D019AF"/>
    <w:rsid w:val="00D02875"/>
    <w:rsid w:val="00D02E1C"/>
    <w:rsid w:val="00D03A82"/>
    <w:rsid w:val="00D03ACE"/>
    <w:rsid w:val="00D03BE2"/>
    <w:rsid w:val="00D03EF1"/>
    <w:rsid w:val="00D0453C"/>
    <w:rsid w:val="00D04E5B"/>
    <w:rsid w:val="00D04EC1"/>
    <w:rsid w:val="00D06119"/>
    <w:rsid w:val="00D07F5C"/>
    <w:rsid w:val="00D07FCA"/>
    <w:rsid w:val="00D10442"/>
    <w:rsid w:val="00D10B21"/>
    <w:rsid w:val="00D11320"/>
    <w:rsid w:val="00D12B7A"/>
    <w:rsid w:val="00D137F2"/>
    <w:rsid w:val="00D13A08"/>
    <w:rsid w:val="00D13FA9"/>
    <w:rsid w:val="00D14A5F"/>
    <w:rsid w:val="00D14B1C"/>
    <w:rsid w:val="00D14CA9"/>
    <w:rsid w:val="00D14D85"/>
    <w:rsid w:val="00D14E0D"/>
    <w:rsid w:val="00D14ECA"/>
    <w:rsid w:val="00D1539E"/>
    <w:rsid w:val="00D155B2"/>
    <w:rsid w:val="00D168AA"/>
    <w:rsid w:val="00D16ACE"/>
    <w:rsid w:val="00D16ED1"/>
    <w:rsid w:val="00D17446"/>
    <w:rsid w:val="00D17D03"/>
    <w:rsid w:val="00D21410"/>
    <w:rsid w:val="00D2155B"/>
    <w:rsid w:val="00D2189B"/>
    <w:rsid w:val="00D21EEC"/>
    <w:rsid w:val="00D21F07"/>
    <w:rsid w:val="00D223C6"/>
    <w:rsid w:val="00D22427"/>
    <w:rsid w:val="00D22BAC"/>
    <w:rsid w:val="00D22C83"/>
    <w:rsid w:val="00D235E4"/>
    <w:rsid w:val="00D236F0"/>
    <w:rsid w:val="00D2409C"/>
    <w:rsid w:val="00D24354"/>
    <w:rsid w:val="00D24549"/>
    <w:rsid w:val="00D2489D"/>
    <w:rsid w:val="00D24AFC"/>
    <w:rsid w:val="00D258FE"/>
    <w:rsid w:val="00D26057"/>
    <w:rsid w:val="00D263EA"/>
    <w:rsid w:val="00D26D69"/>
    <w:rsid w:val="00D2745A"/>
    <w:rsid w:val="00D2747F"/>
    <w:rsid w:val="00D2761F"/>
    <w:rsid w:val="00D277A4"/>
    <w:rsid w:val="00D2795C"/>
    <w:rsid w:val="00D27F20"/>
    <w:rsid w:val="00D27FE4"/>
    <w:rsid w:val="00D3005F"/>
    <w:rsid w:val="00D301FA"/>
    <w:rsid w:val="00D3034D"/>
    <w:rsid w:val="00D3062E"/>
    <w:rsid w:val="00D309A8"/>
    <w:rsid w:val="00D30B1A"/>
    <w:rsid w:val="00D31AEB"/>
    <w:rsid w:val="00D323BF"/>
    <w:rsid w:val="00D32A5A"/>
    <w:rsid w:val="00D32CB0"/>
    <w:rsid w:val="00D33152"/>
    <w:rsid w:val="00D33461"/>
    <w:rsid w:val="00D33828"/>
    <w:rsid w:val="00D349E5"/>
    <w:rsid w:val="00D34D8D"/>
    <w:rsid w:val="00D34F23"/>
    <w:rsid w:val="00D35039"/>
    <w:rsid w:val="00D36493"/>
    <w:rsid w:val="00D367B0"/>
    <w:rsid w:val="00D370A2"/>
    <w:rsid w:val="00D40221"/>
    <w:rsid w:val="00D41B6B"/>
    <w:rsid w:val="00D41D3B"/>
    <w:rsid w:val="00D41F24"/>
    <w:rsid w:val="00D42CAC"/>
    <w:rsid w:val="00D42EC5"/>
    <w:rsid w:val="00D42F80"/>
    <w:rsid w:val="00D43F16"/>
    <w:rsid w:val="00D44626"/>
    <w:rsid w:val="00D44E72"/>
    <w:rsid w:val="00D44EAA"/>
    <w:rsid w:val="00D453DF"/>
    <w:rsid w:val="00D454E2"/>
    <w:rsid w:val="00D457E6"/>
    <w:rsid w:val="00D45C2C"/>
    <w:rsid w:val="00D45EFF"/>
    <w:rsid w:val="00D45F31"/>
    <w:rsid w:val="00D462B1"/>
    <w:rsid w:val="00D462D3"/>
    <w:rsid w:val="00D46612"/>
    <w:rsid w:val="00D46B9F"/>
    <w:rsid w:val="00D46CBB"/>
    <w:rsid w:val="00D47574"/>
    <w:rsid w:val="00D52005"/>
    <w:rsid w:val="00D521FD"/>
    <w:rsid w:val="00D52564"/>
    <w:rsid w:val="00D52A44"/>
    <w:rsid w:val="00D5326F"/>
    <w:rsid w:val="00D532CC"/>
    <w:rsid w:val="00D53421"/>
    <w:rsid w:val="00D53D2A"/>
    <w:rsid w:val="00D53ED7"/>
    <w:rsid w:val="00D541BD"/>
    <w:rsid w:val="00D5489F"/>
    <w:rsid w:val="00D54A48"/>
    <w:rsid w:val="00D54BF2"/>
    <w:rsid w:val="00D55058"/>
    <w:rsid w:val="00D554B6"/>
    <w:rsid w:val="00D5570A"/>
    <w:rsid w:val="00D557DB"/>
    <w:rsid w:val="00D55926"/>
    <w:rsid w:val="00D55A8B"/>
    <w:rsid w:val="00D55B4F"/>
    <w:rsid w:val="00D55C81"/>
    <w:rsid w:val="00D56050"/>
    <w:rsid w:val="00D56065"/>
    <w:rsid w:val="00D56480"/>
    <w:rsid w:val="00D56A26"/>
    <w:rsid w:val="00D56C2E"/>
    <w:rsid w:val="00D5720D"/>
    <w:rsid w:val="00D577CA"/>
    <w:rsid w:val="00D577EB"/>
    <w:rsid w:val="00D57CDF"/>
    <w:rsid w:val="00D602E3"/>
    <w:rsid w:val="00D6049A"/>
    <w:rsid w:val="00D60A7F"/>
    <w:rsid w:val="00D61150"/>
    <w:rsid w:val="00D61351"/>
    <w:rsid w:val="00D6167D"/>
    <w:rsid w:val="00D61758"/>
    <w:rsid w:val="00D61917"/>
    <w:rsid w:val="00D61CD4"/>
    <w:rsid w:val="00D61D7A"/>
    <w:rsid w:val="00D61E10"/>
    <w:rsid w:val="00D61EB7"/>
    <w:rsid w:val="00D6223A"/>
    <w:rsid w:val="00D6260F"/>
    <w:rsid w:val="00D62921"/>
    <w:rsid w:val="00D62BEE"/>
    <w:rsid w:val="00D62FFE"/>
    <w:rsid w:val="00D63192"/>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5B4"/>
    <w:rsid w:val="00D706B1"/>
    <w:rsid w:val="00D716C8"/>
    <w:rsid w:val="00D71B55"/>
    <w:rsid w:val="00D71E92"/>
    <w:rsid w:val="00D7207C"/>
    <w:rsid w:val="00D72A98"/>
    <w:rsid w:val="00D72DA3"/>
    <w:rsid w:val="00D73260"/>
    <w:rsid w:val="00D735F7"/>
    <w:rsid w:val="00D73655"/>
    <w:rsid w:val="00D73A0C"/>
    <w:rsid w:val="00D745F2"/>
    <w:rsid w:val="00D74789"/>
    <w:rsid w:val="00D74DD7"/>
    <w:rsid w:val="00D751DA"/>
    <w:rsid w:val="00D75277"/>
    <w:rsid w:val="00D75384"/>
    <w:rsid w:val="00D753F3"/>
    <w:rsid w:val="00D75733"/>
    <w:rsid w:val="00D75818"/>
    <w:rsid w:val="00D76150"/>
    <w:rsid w:val="00D763FB"/>
    <w:rsid w:val="00D77804"/>
    <w:rsid w:val="00D77C94"/>
    <w:rsid w:val="00D80457"/>
    <w:rsid w:val="00D80634"/>
    <w:rsid w:val="00D80636"/>
    <w:rsid w:val="00D808B3"/>
    <w:rsid w:val="00D80D71"/>
    <w:rsid w:val="00D82006"/>
    <w:rsid w:val="00D8221A"/>
    <w:rsid w:val="00D823D5"/>
    <w:rsid w:val="00D82888"/>
    <w:rsid w:val="00D82AC9"/>
    <w:rsid w:val="00D82C53"/>
    <w:rsid w:val="00D82CD3"/>
    <w:rsid w:val="00D83069"/>
    <w:rsid w:val="00D837DF"/>
    <w:rsid w:val="00D83DF9"/>
    <w:rsid w:val="00D83E68"/>
    <w:rsid w:val="00D83FA7"/>
    <w:rsid w:val="00D8410A"/>
    <w:rsid w:val="00D84FFA"/>
    <w:rsid w:val="00D85102"/>
    <w:rsid w:val="00D853BF"/>
    <w:rsid w:val="00D85580"/>
    <w:rsid w:val="00D8580D"/>
    <w:rsid w:val="00D85C3E"/>
    <w:rsid w:val="00D8631A"/>
    <w:rsid w:val="00D867FE"/>
    <w:rsid w:val="00D86830"/>
    <w:rsid w:val="00D869BD"/>
    <w:rsid w:val="00D871DF"/>
    <w:rsid w:val="00D8734D"/>
    <w:rsid w:val="00D8735F"/>
    <w:rsid w:val="00D87451"/>
    <w:rsid w:val="00D91036"/>
    <w:rsid w:val="00D91DF7"/>
    <w:rsid w:val="00D92E91"/>
    <w:rsid w:val="00D9301F"/>
    <w:rsid w:val="00D93198"/>
    <w:rsid w:val="00D93846"/>
    <w:rsid w:val="00D939CF"/>
    <w:rsid w:val="00D9434F"/>
    <w:rsid w:val="00D959DC"/>
    <w:rsid w:val="00D95B97"/>
    <w:rsid w:val="00D95DAB"/>
    <w:rsid w:val="00D96071"/>
    <w:rsid w:val="00D9633E"/>
    <w:rsid w:val="00DA02B7"/>
    <w:rsid w:val="00DA0310"/>
    <w:rsid w:val="00DA0488"/>
    <w:rsid w:val="00DA063A"/>
    <w:rsid w:val="00DA0ECF"/>
    <w:rsid w:val="00DA18CE"/>
    <w:rsid w:val="00DA1BC3"/>
    <w:rsid w:val="00DA1D1B"/>
    <w:rsid w:val="00DA1FC8"/>
    <w:rsid w:val="00DA3113"/>
    <w:rsid w:val="00DA315D"/>
    <w:rsid w:val="00DA334F"/>
    <w:rsid w:val="00DA3A08"/>
    <w:rsid w:val="00DA52D7"/>
    <w:rsid w:val="00DA566C"/>
    <w:rsid w:val="00DA5F31"/>
    <w:rsid w:val="00DA638A"/>
    <w:rsid w:val="00DA63E9"/>
    <w:rsid w:val="00DA681D"/>
    <w:rsid w:val="00DA6EC4"/>
    <w:rsid w:val="00DA6EF0"/>
    <w:rsid w:val="00DA7057"/>
    <w:rsid w:val="00DA7646"/>
    <w:rsid w:val="00DB07E2"/>
    <w:rsid w:val="00DB09DB"/>
    <w:rsid w:val="00DB09FE"/>
    <w:rsid w:val="00DB0F91"/>
    <w:rsid w:val="00DB1C6F"/>
    <w:rsid w:val="00DB20FA"/>
    <w:rsid w:val="00DB218E"/>
    <w:rsid w:val="00DB2584"/>
    <w:rsid w:val="00DB2798"/>
    <w:rsid w:val="00DB308C"/>
    <w:rsid w:val="00DB3280"/>
    <w:rsid w:val="00DB3723"/>
    <w:rsid w:val="00DB38BD"/>
    <w:rsid w:val="00DB3B09"/>
    <w:rsid w:val="00DB3D00"/>
    <w:rsid w:val="00DB4496"/>
    <w:rsid w:val="00DB4723"/>
    <w:rsid w:val="00DB4732"/>
    <w:rsid w:val="00DB4888"/>
    <w:rsid w:val="00DB5484"/>
    <w:rsid w:val="00DB55D5"/>
    <w:rsid w:val="00DB56A3"/>
    <w:rsid w:val="00DB574E"/>
    <w:rsid w:val="00DB5FC1"/>
    <w:rsid w:val="00DB65FD"/>
    <w:rsid w:val="00DB6974"/>
    <w:rsid w:val="00DB6F94"/>
    <w:rsid w:val="00DB7616"/>
    <w:rsid w:val="00DB76EA"/>
    <w:rsid w:val="00DB7A80"/>
    <w:rsid w:val="00DC06E5"/>
    <w:rsid w:val="00DC07EE"/>
    <w:rsid w:val="00DC0CBB"/>
    <w:rsid w:val="00DC118B"/>
    <w:rsid w:val="00DC1287"/>
    <w:rsid w:val="00DC13E1"/>
    <w:rsid w:val="00DC17A0"/>
    <w:rsid w:val="00DC1A6E"/>
    <w:rsid w:val="00DC1C6F"/>
    <w:rsid w:val="00DC1FB9"/>
    <w:rsid w:val="00DC37B4"/>
    <w:rsid w:val="00DC3A12"/>
    <w:rsid w:val="00DC3FF9"/>
    <w:rsid w:val="00DC412A"/>
    <w:rsid w:val="00DC4678"/>
    <w:rsid w:val="00DC4896"/>
    <w:rsid w:val="00DC4B19"/>
    <w:rsid w:val="00DC4C47"/>
    <w:rsid w:val="00DC5CB2"/>
    <w:rsid w:val="00DC662D"/>
    <w:rsid w:val="00DC7450"/>
    <w:rsid w:val="00DC7652"/>
    <w:rsid w:val="00DC795F"/>
    <w:rsid w:val="00DC7B90"/>
    <w:rsid w:val="00DC7DF7"/>
    <w:rsid w:val="00DD018A"/>
    <w:rsid w:val="00DD01B2"/>
    <w:rsid w:val="00DD08A2"/>
    <w:rsid w:val="00DD0968"/>
    <w:rsid w:val="00DD0DE5"/>
    <w:rsid w:val="00DD0F24"/>
    <w:rsid w:val="00DD165A"/>
    <w:rsid w:val="00DD24B6"/>
    <w:rsid w:val="00DD2A1B"/>
    <w:rsid w:val="00DD3517"/>
    <w:rsid w:val="00DD3C96"/>
    <w:rsid w:val="00DD4B67"/>
    <w:rsid w:val="00DD4EFC"/>
    <w:rsid w:val="00DD4F3C"/>
    <w:rsid w:val="00DD65C0"/>
    <w:rsid w:val="00DD6D20"/>
    <w:rsid w:val="00DD6D4A"/>
    <w:rsid w:val="00DD75F0"/>
    <w:rsid w:val="00DD7FE4"/>
    <w:rsid w:val="00DE0855"/>
    <w:rsid w:val="00DE0EF7"/>
    <w:rsid w:val="00DE22A1"/>
    <w:rsid w:val="00DE2DFB"/>
    <w:rsid w:val="00DE3616"/>
    <w:rsid w:val="00DE3915"/>
    <w:rsid w:val="00DE3C08"/>
    <w:rsid w:val="00DE425C"/>
    <w:rsid w:val="00DE44AA"/>
    <w:rsid w:val="00DE4A18"/>
    <w:rsid w:val="00DE4F58"/>
    <w:rsid w:val="00DE5168"/>
    <w:rsid w:val="00DE5330"/>
    <w:rsid w:val="00DE59BE"/>
    <w:rsid w:val="00DE5BDE"/>
    <w:rsid w:val="00DE5E8B"/>
    <w:rsid w:val="00DE60CD"/>
    <w:rsid w:val="00DE620F"/>
    <w:rsid w:val="00DE63AD"/>
    <w:rsid w:val="00DE64F2"/>
    <w:rsid w:val="00DE6704"/>
    <w:rsid w:val="00DE6724"/>
    <w:rsid w:val="00DE6E33"/>
    <w:rsid w:val="00DE7549"/>
    <w:rsid w:val="00DE7C08"/>
    <w:rsid w:val="00DE7E7A"/>
    <w:rsid w:val="00DF0300"/>
    <w:rsid w:val="00DF03BA"/>
    <w:rsid w:val="00DF0768"/>
    <w:rsid w:val="00DF09AE"/>
    <w:rsid w:val="00DF0B73"/>
    <w:rsid w:val="00DF0D11"/>
    <w:rsid w:val="00DF1DCE"/>
    <w:rsid w:val="00DF20D4"/>
    <w:rsid w:val="00DF2238"/>
    <w:rsid w:val="00DF2C73"/>
    <w:rsid w:val="00DF2F4D"/>
    <w:rsid w:val="00DF30B2"/>
    <w:rsid w:val="00DF3E0C"/>
    <w:rsid w:val="00DF3E9E"/>
    <w:rsid w:val="00DF40D2"/>
    <w:rsid w:val="00DF40FF"/>
    <w:rsid w:val="00DF515A"/>
    <w:rsid w:val="00DF60C4"/>
    <w:rsid w:val="00DF69F7"/>
    <w:rsid w:val="00DF6D27"/>
    <w:rsid w:val="00DF722F"/>
    <w:rsid w:val="00DF7D7E"/>
    <w:rsid w:val="00DF7DCD"/>
    <w:rsid w:val="00E00763"/>
    <w:rsid w:val="00E007B9"/>
    <w:rsid w:val="00E009F9"/>
    <w:rsid w:val="00E00BBC"/>
    <w:rsid w:val="00E010C3"/>
    <w:rsid w:val="00E01200"/>
    <w:rsid w:val="00E01664"/>
    <w:rsid w:val="00E017E6"/>
    <w:rsid w:val="00E01957"/>
    <w:rsid w:val="00E022C1"/>
    <w:rsid w:val="00E02F40"/>
    <w:rsid w:val="00E038B4"/>
    <w:rsid w:val="00E0409B"/>
    <w:rsid w:val="00E04154"/>
    <w:rsid w:val="00E042B7"/>
    <w:rsid w:val="00E04361"/>
    <w:rsid w:val="00E0443E"/>
    <w:rsid w:val="00E044FD"/>
    <w:rsid w:val="00E04A61"/>
    <w:rsid w:val="00E04CB2"/>
    <w:rsid w:val="00E05342"/>
    <w:rsid w:val="00E0560E"/>
    <w:rsid w:val="00E0571E"/>
    <w:rsid w:val="00E057EA"/>
    <w:rsid w:val="00E057F4"/>
    <w:rsid w:val="00E05F00"/>
    <w:rsid w:val="00E06619"/>
    <w:rsid w:val="00E06963"/>
    <w:rsid w:val="00E06DD7"/>
    <w:rsid w:val="00E06F64"/>
    <w:rsid w:val="00E06FDD"/>
    <w:rsid w:val="00E07197"/>
    <w:rsid w:val="00E07887"/>
    <w:rsid w:val="00E07966"/>
    <w:rsid w:val="00E07F5A"/>
    <w:rsid w:val="00E10DC3"/>
    <w:rsid w:val="00E10E63"/>
    <w:rsid w:val="00E10F7A"/>
    <w:rsid w:val="00E116B9"/>
    <w:rsid w:val="00E117F1"/>
    <w:rsid w:val="00E11B77"/>
    <w:rsid w:val="00E11E07"/>
    <w:rsid w:val="00E12001"/>
    <w:rsid w:val="00E12467"/>
    <w:rsid w:val="00E12794"/>
    <w:rsid w:val="00E127BC"/>
    <w:rsid w:val="00E12943"/>
    <w:rsid w:val="00E12E6B"/>
    <w:rsid w:val="00E141E9"/>
    <w:rsid w:val="00E14200"/>
    <w:rsid w:val="00E14226"/>
    <w:rsid w:val="00E146FD"/>
    <w:rsid w:val="00E14915"/>
    <w:rsid w:val="00E14A33"/>
    <w:rsid w:val="00E153E3"/>
    <w:rsid w:val="00E15593"/>
    <w:rsid w:val="00E155B0"/>
    <w:rsid w:val="00E1585E"/>
    <w:rsid w:val="00E163B8"/>
    <w:rsid w:val="00E168EA"/>
    <w:rsid w:val="00E16945"/>
    <w:rsid w:val="00E1704C"/>
    <w:rsid w:val="00E17A1E"/>
    <w:rsid w:val="00E20E5D"/>
    <w:rsid w:val="00E22531"/>
    <w:rsid w:val="00E22581"/>
    <w:rsid w:val="00E22587"/>
    <w:rsid w:val="00E22915"/>
    <w:rsid w:val="00E22E56"/>
    <w:rsid w:val="00E2360D"/>
    <w:rsid w:val="00E23867"/>
    <w:rsid w:val="00E23BB9"/>
    <w:rsid w:val="00E23DBA"/>
    <w:rsid w:val="00E240BC"/>
    <w:rsid w:val="00E24AFB"/>
    <w:rsid w:val="00E25615"/>
    <w:rsid w:val="00E25653"/>
    <w:rsid w:val="00E258A6"/>
    <w:rsid w:val="00E25A53"/>
    <w:rsid w:val="00E2616A"/>
    <w:rsid w:val="00E26249"/>
    <w:rsid w:val="00E266AD"/>
    <w:rsid w:val="00E26BDD"/>
    <w:rsid w:val="00E2786F"/>
    <w:rsid w:val="00E307D7"/>
    <w:rsid w:val="00E309EE"/>
    <w:rsid w:val="00E30A02"/>
    <w:rsid w:val="00E30C81"/>
    <w:rsid w:val="00E30CA5"/>
    <w:rsid w:val="00E310F4"/>
    <w:rsid w:val="00E31A14"/>
    <w:rsid w:val="00E31A41"/>
    <w:rsid w:val="00E31BBF"/>
    <w:rsid w:val="00E329C1"/>
    <w:rsid w:val="00E32D6B"/>
    <w:rsid w:val="00E33309"/>
    <w:rsid w:val="00E334B1"/>
    <w:rsid w:val="00E336F1"/>
    <w:rsid w:val="00E338E9"/>
    <w:rsid w:val="00E34344"/>
    <w:rsid w:val="00E34926"/>
    <w:rsid w:val="00E349E8"/>
    <w:rsid w:val="00E34A79"/>
    <w:rsid w:val="00E34EFF"/>
    <w:rsid w:val="00E355D5"/>
    <w:rsid w:val="00E3575C"/>
    <w:rsid w:val="00E35AB0"/>
    <w:rsid w:val="00E35AC8"/>
    <w:rsid w:val="00E35C5A"/>
    <w:rsid w:val="00E35DA8"/>
    <w:rsid w:val="00E35EDF"/>
    <w:rsid w:val="00E35FF9"/>
    <w:rsid w:val="00E3620E"/>
    <w:rsid w:val="00E36318"/>
    <w:rsid w:val="00E363A3"/>
    <w:rsid w:val="00E36C4C"/>
    <w:rsid w:val="00E37245"/>
    <w:rsid w:val="00E372E3"/>
    <w:rsid w:val="00E373A9"/>
    <w:rsid w:val="00E3748D"/>
    <w:rsid w:val="00E37C5F"/>
    <w:rsid w:val="00E37CFD"/>
    <w:rsid w:val="00E402EF"/>
    <w:rsid w:val="00E4034F"/>
    <w:rsid w:val="00E404C7"/>
    <w:rsid w:val="00E4061E"/>
    <w:rsid w:val="00E4103A"/>
    <w:rsid w:val="00E41583"/>
    <w:rsid w:val="00E42831"/>
    <w:rsid w:val="00E4294E"/>
    <w:rsid w:val="00E43051"/>
    <w:rsid w:val="00E43839"/>
    <w:rsid w:val="00E43F33"/>
    <w:rsid w:val="00E43F65"/>
    <w:rsid w:val="00E444AE"/>
    <w:rsid w:val="00E44CED"/>
    <w:rsid w:val="00E44E64"/>
    <w:rsid w:val="00E458CF"/>
    <w:rsid w:val="00E45B8E"/>
    <w:rsid w:val="00E4655E"/>
    <w:rsid w:val="00E4687C"/>
    <w:rsid w:val="00E47727"/>
    <w:rsid w:val="00E47C58"/>
    <w:rsid w:val="00E503B0"/>
    <w:rsid w:val="00E50429"/>
    <w:rsid w:val="00E50D24"/>
    <w:rsid w:val="00E50DE9"/>
    <w:rsid w:val="00E50F81"/>
    <w:rsid w:val="00E51426"/>
    <w:rsid w:val="00E51A84"/>
    <w:rsid w:val="00E536B2"/>
    <w:rsid w:val="00E53C20"/>
    <w:rsid w:val="00E543D0"/>
    <w:rsid w:val="00E54D04"/>
    <w:rsid w:val="00E54DEB"/>
    <w:rsid w:val="00E55E91"/>
    <w:rsid w:val="00E56917"/>
    <w:rsid w:val="00E56939"/>
    <w:rsid w:val="00E57206"/>
    <w:rsid w:val="00E57266"/>
    <w:rsid w:val="00E57970"/>
    <w:rsid w:val="00E60402"/>
    <w:rsid w:val="00E60A41"/>
    <w:rsid w:val="00E60D7C"/>
    <w:rsid w:val="00E61175"/>
    <w:rsid w:val="00E61555"/>
    <w:rsid w:val="00E621D5"/>
    <w:rsid w:val="00E62844"/>
    <w:rsid w:val="00E628B4"/>
    <w:rsid w:val="00E629DD"/>
    <w:rsid w:val="00E62B13"/>
    <w:rsid w:val="00E62C51"/>
    <w:rsid w:val="00E62FED"/>
    <w:rsid w:val="00E6363B"/>
    <w:rsid w:val="00E63B23"/>
    <w:rsid w:val="00E63B25"/>
    <w:rsid w:val="00E640F7"/>
    <w:rsid w:val="00E64262"/>
    <w:rsid w:val="00E64492"/>
    <w:rsid w:val="00E648F1"/>
    <w:rsid w:val="00E6491A"/>
    <w:rsid w:val="00E65305"/>
    <w:rsid w:val="00E65DE7"/>
    <w:rsid w:val="00E7066E"/>
    <w:rsid w:val="00E70E15"/>
    <w:rsid w:val="00E7104D"/>
    <w:rsid w:val="00E728B8"/>
    <w:rsid w:val="00E72F2A"/>
    <w:rsid w:val="00E73206"/>
    <w:rsid w:val="00E7331E"/>
    <w:rsid w:val="00E733B1"/>
    <w:rsid w:val="00E734A3"/>
    <w:rsid w:val="00E736D1"/>
    <w:rsid w:val="00E73759"/>
    <w:rsid w:val="00E73994"/>
    <w:rsid w:val="00E73C3A"/>
    <w:rsid w:val="00E741C5"/>
    <w:rsid w:val="00E74DF9"/>
    <w:rsid w:val="00E7514F"/>
    <w:rsid w:val="00E75773"/>
    <w:rsid w:val="00E75913"/>
    <w:rsid w:val="00E75E02"/>
    <w:rsid w:val="00E7652F"/>
    <w:rsid w:val="00E769F1"/>
    <w:rsid w:val="00E773CB"/>
    <w:rsid w:val="00E7741C"/>
    <w:rsid w:val="00E80439"/>
    <w:rsid w:val="00E80482"/>
    <w:rsid w:val="00E80912"/>
    <w:rsid w:val="00E80FAA"/>
    <w:rsid w:val="00E8121B"/>
    <w:rsid w:val="00E8145C"/>
    <w:rsid w:val="00E81579"/>
    <w:rsid w:val="00E82ABE"/>
    <w:rsid w:val="00E8320B"/>
    <w:rsid w:val="00E83481"/>
    <w:rsid w:val="00E848FE"/>
    <w:rsid w:val="00E84EB2"/>
    <w:rsid w:val="00E8500B"/>
    <w:rsid w:val="00E85536"/>
    <w:rsid w:val="00E8589A"/>
    <w:rsid w:val="00E85FAF"/>
    <w:rsid w:val="00E8600D"/>
    <w:rsid w:val="00E861BF"/>
    <w:rsid w:val="00E86501"/>
    <w:rsid w:val="00E871F1"/>
    <w:rsid w:val="00E877E3"/>
    <w:rsid w:val="00E905F1"/>
    <w:rsid w:val="00E90BA3"/>
    <w:rsid w:val="00E90FDA"/>
    <w:rsid w:val="00E914F5"/>
    <w:rsid w:val="00E91975"/>
    <w:rsid w:val="00E91A1D"/>
    <w:rsid w:val="00E91DB1"/>
    <w:rsid w:val="00E92993"/>
    <w:rsid w:val="00E92FA0"/>
    <w:rsid w:val="00E9364B"/>
    <w:rsid w:val="00E93EE5"/>
    <w:rsid w:val="00E94AA8"/>
    <w:rsid w:val="00E94CCF"/>
    <w:rsid w:val="00E95B44"/>
    <w:rsid w:val="00E95F6E"/>
    <w:rsid w:val="00E96110"/>
    <w:rsid w:val="00E972A7"/>
    <w:rsid w:val="00E97470"/>
    <w:rsid w:val="00E978B5"/>
    <w:rsid w:val="00E97F7F"/>
    <w:rsid w:val="00EA04EF"/>
    <w:rsid w:val="00EA063E"/>
    <w:rsid w:val="00EA0715"/>
    <w:rsid w:val="00EA0923"/>
    <w:rsid w:val="00EA0D62"/>
    <w:rsid w:val="00EA112B"/>
    <w:rsid w:val="00EA1478"/>
    <w:rsid w:val="00EA152B"/>
    <w:rsid w:val="00EA2B93"/>
    <w:rsid w:val="00EA36FB"/>
    <w:rsid w:val="00EA37D1"/>
    <w:rsid w:val="00EA3A9D"/>
    <w:rsid w:val="00EA4210"/>
    <w:rsid w:val="00EA425B"/>
    <w:rsid w:val="00EA575C"/>
    <w:rsid w:val="00EA59B0"/>
    <w:rsid w:val="00EA6BC8"/>
    <w:rsid w:val="00EA6FEC"/>
    <w:rsid w:val="00EA729E"/>
    <w:rsid w:val="00EA7869"/>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523A"/>
    <w:rsid w:val="00EB5257"/>
    <w:rsid w:val="00EB53F8"/>
    <w:rsid w:val="00EB5613"/>
    <w:rsid w:val="00EB62F4"/>
    <w:rsid w:val="00EB6320"/>
    <w:rsid w:val="00EB6B0C"/>
    <w:rsid w:val="00EB6B66"/>
    <w:rsid w:val="00EB7138"/>
    <w:rsid w:val="00EB751A"/>
    <w:rsid w:val="00EB7C33"/>
    <w:rsid w:val="00EB7F1D"/>
    <w:rsid w:val="00EC038E"/>
    <w:rsid w:val="00EC06AB"/>
    <w:rsid w:val="00EC0EEB"/>
    <w:rsid w:val="00EC16BC"/>
    <w:rsid w:val="00EC197E"/>
    <w:rsid w:val="00EC1CC3"/>
    <w:rsid w:val="00EC273E"/>
    <w:rsid w:val="00EC284B"/>
    <w:rsid w:val="00EC2EFA"/>
    <w:rsid w:val="00EC2FB1"/>
    <w:rsid w:val="00EC3235"/>
    <w:rsid w:val="00EC3C0B"/>
    <w:rsid w:val="00EC3F14"/>
    <w:rsid w:val="00EC4534"/>
    <w:rsid w:val="00EC4E42"/>
    <w:rsid w:val="00EC4EBE"/>
    <w:rsid w:val="00EC505B"/>
    <w:rsid w:val="00EC5068"/>
    <w:rsid w:val="00EC5297"/>
    <w:rsid w:val="00EC52B1"/>
    <w:rsid w:val="00EC5451"/>
    <w:rsid w:val="00EC5479"/>
    <w:rsid w:val="00EC57DA"/>
    <w:rsid w:val="00EC59BD"/>
    <w:rsid w:val="00EC5D23"/>
    <w:rsid w:val="00EC79FC"/>
    <w:rsid w:val="00EC7E0B"/>
    <w:rsid w:val="00EC7F6B"/>
    <w:rsid w:val="00ED09C1"/>
    <w:rsid w:val="00ED0B24"/>
    <w:rsid w:val="00ED0C4F"/>
    <w:rsid w:val="00ED0DCC"/>
    <w:rsid w:val="00ED0F12"/>
    <w:rsid w:val="00ED134E"/>
    <w:rsid w:val="00ED1359"/>
    <w:rsid w:val="00ED156B"/>
    <w:rsid w:val="00ED18F6"/>
    <w:rsid w:val="00ED1922"/>
    <w:rsid w:val="00ED1B67"/>
    <w:rsid w:val="00ED1D24"/>
    <w:rsid w:val="00ED1EB1"/>
    <w:rsid w:val="00ED24EE"/>
    <w:rsid w:val="00ED264F"/>
    <w:rsid w:val="00ED27EE"/>
    <w:rsid w:val="00ED3864"/>
    <w:rsid w:val="00ED38CD"/>
    <w:rsid w:val="00ED406D"/>
    <w:rsid w:val="00ED512A"/>
    <w:rsid w:val="00ED669C"/>
    <w:rsid w:val="00ED674C"/>
    <w:rsid w:val="00ED713F"/>
    <w:rsid w:val="00ED7492"/>
    <w:rsid w:val="00ED7A6C"/>
    <w:rsid w:val="00EE096E"/>
    <w:rsid w:val="00EE2097"/>
    <w:rsid w:val="00EE28B0"/>
    <w:rsid w:val="00EE3125"/>
    <w:rsid w:val="00EE4863"/>
    <w:rsid w:val="00EE4EE3"/>
    <w:rsid w:val="00EE554A"/>
    <w:rsid w:val="00EE5E4D"/>
    <w:rsid w:val="00EE61D6"/>
    <w:rsid w:val="00EE6E27"/>
    <w:rsid w:val="00EE7EDA"/>
    <w:rsid w:val="00EF0740"/>
    <w:rsid w:val="00EF0CC9"/>
    <w:rsid w:val="00EF0EA3"/>
    <w:rsid w:val="00EF14BC"/>
    <w:rsid w:val="00EF1683"/>
    <w:rsid w:val="00EF1C02"/>
    <w:rsid w:val="00EF1C2C"/>
    <w:rsid w:val="00EF21A4"/>
    <w:rsid w:val="00EF25F2"/>
    <w:rsid w:val="00EF2923"/>
    <w:rsid w:val="00EF2AAB"/>
    <w:rsid w:val="00EF2DC0"/>
    <w:rsid w:val="00EF3424"/>
    <w:rsid w:val="00EF34F7"/>
    <w:rsid w:val="00EF357D"/>
    <w:rsid w:val="00EF49B7"/>
    <w:rsid w:val="00EF4FE1"/>
    <w:rsid w:val="00EF559B"/>
    <w:rsid w:val="00EF5A77"/>
    <w:rsid w:val="00EF62DE"/>
    <w:rsid w:val="00EF63BE"/>
    <w:rsid w:val="00EF681F"/>
    <w:rsid w:val="00EF6AEB"/>
    <w:rsid w:val="00EF7351"/>
    <w:rsid w:val="00EF7476"/>
    <w:rsid w:val="00EF76D9"/>
    <w:rsid w:val="00EF7986"/>
    <w:rsid w:val="00F005FA"/>
    <w:rsid w:val="00F00647"/>
    <w:rsid w:val="00F0185C"/>
    <w:rsid w:val="00F018C1"/>
    <w:rsid w:val="00F01B48"/>
    <w:rsid w:val="00F023A5"/>
    <w:rsid w:val="00F024ED"/>
    <w:rsid w:val="00F02F58"/>
    <w:rsid w:val="00F03208"/>
    <w:rsid w:val="00F03B1A"/>
    <w:rsid w:val="00F03CA9"/>
    <w:rsid w:val="00F03DAB"/>
    <w:rsid w:val="00F046C3"/>
    <w:rsid w:val="00F04D70"/>
    <w:rsid w:val="00F04E08"/>
    <w:rsid w:val="00F050A8"/>
    <w:rsid w:val="00F05508"/>
    <w:rsid w:val="00F05704"/>
    <w:rsid w:val="00F0571F"/>
    <w:rsid w:val="00F05B5C"/>
    <w:rsid w:val="00F05BD7"/>
    <w:rsid w:val="00F06009"/>
    <w:rsid w:val="00F069E3"/>
    <w:rsid w:val="00F07301"/>
    <w:rsid w:val="00F105CE"/>
    <w:rsid w:val="00F10662"/>
    <w:rsid w:val="00F106D8"/>
    <w:rsid w:val="00F10C19"/>
    <w:rsid w:val="00F10E3D"/>
    <w:rsid w:val="00F112DD"/>
    <w:rsid w:val="00F116B7"/>
    <w:rsid w:val="00F11864"/>
    <w:rsid w:val="00F12199"/>
    <w:rsid w:val="00F122CE"/>
    <w:rsid w:val="00F12E81"/>
    <w:rsid w:val="00F12F00"/>
    <w:rsid w:val="00F1310C"/>
    <w:rsid w:val="00F13A1D"/>
    <w:rsid w:val="00F13D25"/>
    <w:rsid w:val="00F147ED"/>
    <w:rsid w:val="00F1562B"/>
    <w:rsid w:val="00F156B8"/>
    <w:rsid w:val="00F157A3"/>
    <w:rsid w:val="00F15EFB"/>
    <w:rsid w:val="00F16470"/>
    <w:rsid w:val="00F16A2D"/>
    <w:rsid w:val="00F178CC"/>
    <w:rsid w:val="00F179FB"/>
    <w:rsid w:val="00F2046B"/>
    <w:rsid w:val="00F20D5B"/>
    <w:rsid w:val="00F20E6E"/>
    <w:rsid w:val="00F22572"/>
    <w:rsid w:val="00F23220"/>
    <w:rsid w:val="00F234F0"/>
    <w:rsid w:val="00F2400E"/>
    <w:rsid w:val="00F25218"/>
    <w:rsid w:val="00F25263"/>
    <w:rsid w:val="00F255A0"/>
    <w:rsid w:val="00F25ACF"/>
    <w:rsid w:val="00F26370"/>
    <w:rsid w:val="00F274E8"/>
    <w:rsid w:val="00F275E5"/>
    <w:rsid w:val="00F2768B"/>
    <w:rsid w:val="00F2789D"/>
    <w:rsid w:val="00F30242"/>
    <w:rsid w:val="00F30D6C"/>
    <w:rsid w:val="00F3123A"/>
    <w:rsid w:val="00F314BB"/>
    <w:rsid w:val="00F31676"/>
    <w:rsid w:val="00F31CC1"/>
    <w:rsid w:val="00F31FAD"/>
    <w:rsid w:val="00F320E4"/>
    <w:rsid w:val="00F32284"/>
    <w:rsid w:val="00F325EB"/>
    <w:rsid w:val="00F32EAF"/>
    <w:rsid w:val="00F334CA"/>
    <w:rsid w:val="00F33555"/>
    <w:rsid w:val="00F3385F"/>
    <w:rsid w:val="00F33984"/>
    <w:rsid w:val="00F33CB5"/>
    <w:rsid w:val="00F3420B"/>
    <w:rsid w:val="00F35157"/>
    <w:rsid w:val="00F351B9"/>
    <w:rsid w:val="00F35F12"/>
    <w:rsid w:val="00F36095"/>
    <w:rsid w:val="00F3624C"/>
    <w:rsid w:val="00F37AD9"/>
    <w:rsid w:val="00F37D45"/>
    <w:rsid w:val="00F37E3A"/>
    <w:rsid w:val="00F37FDE"/>
    <w:rsid w:val="00F405AB"/>
    <w:rsid w:val="00F4189F"/>
    <w:rsid w:val="00F41B20"/>
    <w:rsid w:val="00F42261"/>
    <w:rsid w:val="00F42865"/>
    <w:rsid w:val="00F42A4A"/>
    <w:rsid w:val="00F44245"/>
    <w:rsid w:val="00F44680"/>
    <w:rsid w:val="00F4507B"/>
    <w:rsid w:val="00F4519F"/>
    <w:rsid w:val="00F4539A"/>
    <w:rsid w:val="00F465B1"/>
    <w:rsid w:val="00F46A55"/>
    <w:rsid w:val="00F46CFA"/>
    <w:rsid w:val="00F47BEA"/>
    <w:rsid w:val="00F501E6"/>
    <w:rsid w:val="00F50615"/>
    <w:rsid w:val="00F506BB"/>
    <w:rsid w:val="00F5074D"/>
    <w:rsid w:val="00F5094E"/>
    <w:rsid w:val="00F509E2"/>
    <w:rsid w:val="00F50D08"/>
    <w:rsid w:val="00F50FC9"/>
    <w:rsid w:val="00F513CB"/>
    <w:rsid w:val="00F5148D"/>
    <w:rsid w:val="00F51931"/>
    <w:rsid w:val="00F51B05"/>
    <w:rsid w:val="00F51DE7"/>
    <w:rsid w:val="00F51F6F"/>
    <w:rsid w:val="00F51FD9"/>
    <w:rsid w:val="00F523E5"/>
    <w:rsid w:val="00F52D67"/>
    <w:rsid w:val="00F5341A"/>
    <w:rsid w:val="00F537D9"/>
    <w:rsid w:val="00F53860"/>
    <w:rsid w:val="00F543FB"/>
    <w:rsid w:val="00F54621"/>
    <w:rsid w:val="00F54A44"/>
    <w:rsid w:val="00F54B68"/>
    <w:rsid w:val="00F54EC9"/>
    <w:rsid w:val="00F54F92"/>
    <w:rsid w:val="00F552EF"/>
    <w:rsid w:val="00F5543C"/>
    <w:rsid w:val="00F55CE8"/>
    <w:rsid w:val="00F561D9"/>
    <w:rsid w:val="00F565A8"/>
    <w:rsid w:val="00F56A7F"/>
    <w:rsid w:val="00F5726C"/>
    <w:rsid w:val="00F57A88"/>
    <w:rsid w:val="00F603B9"/>
    <w:rsid w:val="00F604E5"/>
    <w:rsid w:val="00F605AF"/>
    <w:rsid w:val="00F6085B"/>
    <w:rsid w:val="00F60CF6"/>
    <w:rsid w:val="00F613C0"/>
    <w:rsid w:val="00F61B43"/>
    <w:rsid w:val="00F61DFC"/>
    <w:rsid w:val="00F623F7"/>
    <w:rsid w:val="00F628E0"/>
    <w:rsid w:val="00F62B02"/>
    <w:rsid w:val="00F63C57"/>
    <w:rsid w:val="00F63C98"/>
    <w:rsid w:val="00F6466C"/>
    <w:rsid w:val="00F64809"/>
    <w:rsid w:val="00F6528C"/>
    <w:rsid w:val="00F65650"/>
    <w:rsid w:val="00F6571D"/>
    <w:rsid w:val="00F65DC4"/>
    <w:rsid w:val="00F66022"/>
    <w:rsid w:val="00F661E4"/>
    <w:rsid w:val="00F66645"/>
    <w:rsid w:val="00F66724"/>
    <w:rsid w:val="00F66E16"/>
    <w:rsid w:val="00F66EB0"/>
    <w:rsid w:val="00F67150"/>
    <w:rsid w:val="00F67B10"/>
    <w:rsid w:val="00F70360"/>
    <w:rsid w:val="00F7053F"/>
    <w:rsid w:val="00F7061E"/>
    <w:rsid w:val="00F706D3"/>
    <w:rsid w:val="00F71D11"/>
    <w:rsid w:val="00F72040"/>
    <w:rsid w:val="00F73889"/>
    <w:rsid w:val="00F73A11"/>
    <w:rsid w:val="00F73B7A"/>
    <w:rsid w:val="00F73FEA"/>
    <w:rsid w:val="00F745CB"/>
    <w:rsid w:val="00F746F0"/>
    <w:rsid w:val="00F748C9"/>
    <w:rsid w:val="00F74AB5"/>
    <w:rsid w:val="00F7526A"/>
    <w:rsid w:val="00F7552E"/>
    <w:rsid w:val="00F75F90"/>
    <w:rsid w:val="00F761D6"/>
    <w:rsid w:val="00F76674"/>
    <w:rsid w:val="00F76BA4"/>
    <w:rsid w:val="00F76FE8"/>
    <w:rsid w:val="00F7727A"/>
    <w:rsid w:val="00F77A38"/>
    <w:rsid w:val="00F77C37"/>
    <w:rsid w:val="00F77EA5"/>
    <w:rsid w:val="00F77EEF"/>
    <w:rsid w:val="00F8080B"/>
    <w:rsid w:val="00F809C6"/>
    <w:rsid w:val="00F80C52"/>
    <w:rsid w:val="00F81E91"/>
    <w:rsid w:val="00F81F68"/>
    <w:rsid w:val="00F830FD"/>
    <w:rsid w:val="00F8345B"/>
    <w:rsid w:val="00F83ADC"/>
    <w:rsid w:val="00F83CD3"/>
    <w:rsid w:val="00F84E38"/>
    <w:rsid w:val="00F85060"/>
    <w:rsid w:val="00F85604"/>
    <w:rsid w:val="00F856BE"/>
    <w:rsid w:val="00F85D77"/>
    <w:rsid w:val="00F85E27"/>
    <w:rsid w:val="00F86E67"/>
    <w:rsid w:val="00F871E9"/>
    <w:rsid w:val="00F87273"/>
    <w:rsid w:val="00F90E59"/>
    <w:rsid w:val="00F9149F"/>
    <w:rsid w:val="00F91767"/>
    <w:rsid w:val="00F91F72"/>
    <w:rsid w:val="00F920A4"/>
    <w:rsid w:val="00F92304"/>
    <w:rsid w:val="00F9298B"/>
    <w:rsid w:val="00F948DF"/>
    <w:rsid w:val="00F94A82"/>
    <w:rsid w:val="00F95310"/>
    <w:rsid w:val="00F95995"/>
    <w:rsid w:val="00F95FC6"/>
    <w:rsid w:val="00F9643D"/>
    <w:rsid w:val="00F96635"/>
    <w:rsid w:val="00F96853"/>
    <w:rsid w:val="00F96BFB"/>
    <w:rsid w:val="00F96D8F"/>
    <w:rsid w:val="00F9708B"/>
    <w:rsid w:val="00FA0016"/>
    <w:rsid w:val="00FA032E"/>
    <w:rsid w:val="00FA07B6"/>
    <w:rsid w:val="00FA134A"/>
    <w:rsid w:val="00FA1C91"/>
    <w:rsid w:val="00FA2978"/>
    <w:rsid w:val="00FA2A14"/>
    <w:rsid w:val="00FA2E03"/>
    <w:rsid w:val="00FA2F85"/>
    <w:rsid w:val="00FA364E"/>
    <w:rsid w:val="00FA40FC"/>
    <w:rsid w:val="00FA41C6"/>
    <w:rsid w:val="00FA4342"/>
    <w:rsid w:val="00FA526F"/>
    <w:rsid w:val="00FA55BA"/>
    <w:rsid w:val="00FA59D7"/>
    <w:rsid w:val="00FA69B1"/>
    <w:rsid w:val="00FA70AF"/>
    <w:rsid w:val="00FA72DD"/>
    <w:rsid w:val="00FA7666"/>
    <w:rsid w:val="00FA7688"/>
    <w:rsid w:val="00FA773C"/>
    <w:rsid w:val="00FA7D10"/>
    <w:rsid w:val="00FA7E24"/>
    <w:rsid w:val="00FA7F78"/>
    <w:rsid w:val="00FB06FE"/>
    <w:rsid w:val="00FB11B9"/>
    <w:rsid w:val="00FB1379"/>
    <w:rsid w:val="00FB1563"/>
    <w:rsid w:val="00FB1E5C"/>
    <w:rsid w:val="00FB1F60"/>
    <w:rsid w:val="00FB2331"/>
    <w:rsid w:val="00FB2359"/>
    <w:rsid w:val="00FB23FF"/>
    <w:rsid w:val="00FB2880"/>
    <w:rsid w:val="00FB2A74"/>
    <w:rsid w:val="00FB2C4F"/>
    <w:rsid w:val="00FB2CAC"/>
    <w:rsid w:val="00FB3308"/>
    <w:rsid w:val="00FB3DB1"/>
    <w:rsid w:val="00FB3F6B"/>
    <w:rsid w:val="00FB415A"/>
    <w:rsid w:val="00FB42BC"/>
    <w:rsid w:val="00FB4498"/>
    <w:rsid w:val="00FB4515"/>
    <w:rsid w:val="00FB4804"/>
    <w:rsid w:val="00FB4D48"/>
    <w:rsid w:val="00FB5364"/>
    <w:rsid w:val="00FB5856"/>
    <w:rsid w:val="00FB58FF"/>
    <w:rsid w:val="00FB60D1"/>
    <w:rsid w:val="00FB6BE7"/>
    <w:rsid w:val="00FB7096"/>
    <w:rsid w:val="00FB71E6"/>
    <w:rsid w:val="00FB72FB"/>
    <w:rsid w:val="00FB742C"/>
    <w:rsid w:val="00FB7927"/>
    <w:rsid w:val="00FC0415"/>
    <w:rsid w:val="00FC051D"/>
    <w:rsid w:val="00FC086E"/>
    <w:rsid w:val="00FC0D93"/>
    <w:rsid w:val="00FC12F0"/>
    <w:rsid w:val="00FC1B03"/>
    <w:rsid w:val="00FC24E6"/>
    <w:rsid w:val="00FC2E81"/>
    <w:rsid w:val="00FC2E90"/>
    <w:rsid w:val="00FC37DB"/>
    <w:rsid w:val="00FC38B4"/>
    <w:rsid w:val="00FC3C18"/>
    <w:rsid w:val="00FC4780"/>
    <w:rsid w:val="00FC4901"/>
    <w:rsid w:val="00FC4EC0"/>
    <w:rsid w:val="00FC5167"/>
    <w:rsid w:val="00FC5900"/>
    <w:rsid w:val="00FC643F"/>
    <w:rsid w:val="00FC6D5C"/>
    <w:rsid w:val="00FC7F41"/>
    <w:rsid w:val="00FD0A67"/>
    <w:rsid w:val="00FD107A"/>
    <w:rsid w:val="00FD13E0"/>
    <w:rsid w:val="00FD1543"/>
    <w:rsid w:val="00FD168F"/>
    <w:rsid w:val="00FD1E93"/>
    <w:rsid w:val="00FD24D3"/>
    <w:rsid w:val="00FD29E6"/>
    <w:rsid w:val="00FD307D"/>
    <w:rsid w:val="00FD4847"/>
    <w:rsid w:val="00FD4932"/>
    <w:rsid w:val="00FD51A5"/>
    <w:rsid w:val="00FD5511"/>
    <w:rsid w:val="00FD5D93"/>
    <w:rsid w:val="00FD6416"/>
    <w:rsid w:val="00FD6769"/>
    <w:rsid w:val="00FD6B56"/>
    <w:rsid w:val="00FD6EBD"/>
    <w:rsid w:val="00FD73D2"/>
    <w:rsid w:val="00FD7D07"/>
    <w:rsid w:val="00FD7E71"/>
    <w:rsid w:val="00FD7FE6"/>
    <w:rsid w:val="00FE07A9"/>
    <w:rsid w:val="00FE0E00"/>
    <w:rsid w:val="00FE1312"/>
    <w:rsid w:val="00FE14A1"/>
    <w:rsid w:val="00FE2073"/>
    <w:rsid w:val="00FE2082"/>
    <w:rsid w:val="00FE22DE"/>
    <w:rsid w:val="00FE259B"/>
    <w:rsid w:val="00FE29FA"/>
    <w:rsid w:val="00FE2D8B"/>
    <w:rsid w:val="00FE3706"/>
    <w:rsid w:val="00FE3C2F"/>
    <w:rsid w:val="00FE5997"/>
    <w:rsid w:val="00FE5B8F"/>
    <w:rsid w:val="00FE5C07"/>
    <w:rsid w:val="00FE6DE4"/>
    <w:rsid w:val="00FE7071"/>
    <w:rsid w:val="00FE78E6"/>
    <w:rsid w:val="00FE78F5"/>
    <w:rsid w:val="00FF037F"/>
    <w:rsid w:val="00FF0B48"/>
    <w:rsid w:val="00FF0D32"/>
    <w:rsid w:val="00FF0DDA"/>
    <w:rsid w:val="00FF1011"/>
    <w:rsid w:val="00FF1809"/>
    <w:rsid w:val="00FF206F"/>
    <w:rsid w:val="00FF208E"/>
    <w:rsid w:val="00FF28A8"/>
    <w:rsid w:val="00FF2FFB"/>
    <w:rsid w:val="00FF31C0"/>
    <w:rsid w:val="00FF479C"/>
    <w:rsid w:val="00FF4D9A"/>
    <w:rsid w:val="00FF508D"/>
    <w:rsid w:val="00FF596E"/>
    <w:rsid w:val="00FF59FB"/>
    <w:rsid w:val="00FF640A"/>
    <w:rsid w:val="00FF65B7"/>
    <w:rsid w:val="00FF692F"/>
    <w:rsid w:val="00FF6A10"/>
    <w:rsid w:val="00FF6F11"/>
    <w:rsid w:val="00FF7E56"/>
    <w:rsid w:val="0154359C"/>
    <w:rsid w:val="022E433D"/>
    <w:rsid w:val="02A20FCE"/>
    <w:rsid w:val="078834D8"/>
    <w:rsid w:val="081103FF"/>
    <w:rsid w:val="08A4472D"/>
    <w:rsid w:val="08F15245"/>
    <w:rsid w:val="0C871F62"/>
    <w:rsid w:val="0EC63C35"/>
    <w:rsid w:val="10614C90"/>
    <w:rsid w:val="11FC7949"/>
    <w:rsid w:val="133C0996"/>
    <w:rsid w:val="1359623E"/>
    <w:rsid w:val="13A24189"/>
    <w:rsid w:val="13DE3E72"/>
    <w:rsid w:val="163B002B"/>
    <w:rsid w:val="16F6759F"/>
    <w:rsid w:val="17020770"/>
    <w:rsid w:val="17B9148A"/>
    <w:rsid w:val="17E10289"/>
    <w:rsid w:val="18CE30EF"/>
    <w:rsid w:val="19637C89"/>
    <w:rsid w:val="1B207D7C"/>
    <w:rsid w:val="1C845DE9"/>
    <w:rsid w:val="1E297A6B"/>
    <w:rsid w:val="1EE24C12"/>
    <w:rsid w:val="1FC22AFA"/>
    <w:rsid w:val="21337181"/>
    <w:rsid w:val="21865C0F"/>
    <w:rsid w:val="21D427DA"/>
    <w:rsid w:val="22883514"/>
    <w:rsid w:val="24652402"/>
    <w:rsid w:val="25A00D77"/>
    <w:rsid w:val="2622589E"/>
    <w:rsid w:val="26EF3F66"/>
    <w:rsid w:val="2877409B"/>
    <w:rsid w:val="2AB03A8A"/>
    <w:rsid w:val="2B551C7C"/>
    <w:rsid w:val="2B8C1B5E"/>
    <w:rsid w:val="2C336E29"/>
    <w:rsid w:val="2CFB0C7A"/>
    <w:rsid w:val="2E4D41EE"/>
    <w:rsid w:val="2E6B7C59"/>
    <w:rsid w:val="2FA018C6"/>
    <w:rsid w:val="31A66334"/>
    <w:rsid w:val="331570A1"/>
    <w:rsid w:val="342803F3"/>
    <w:rsid w:val="36306D3E"/>
    <w:rsid w:val="38577E8E"/>
    <w:rsid w:val="390A6AA5"/>
    <w:rsid w:val="39B6253C"/>
    <w:rsid w:val="3A3250F2"/>
    <w:rsid w:val="3A513F5B"/>
    <w:rsid w:val="3AE20B25"/>
    <w:rsid w:val="3B1342BC"/>
    <w:rsid w:val="3B3216C6"/>
    <w:rsid w:val="3B440002"/>
    <w:rsid w:val="3C6356E8"/>
    <w:rsid w:val="3EB907A9"/>
    <w:rsid w:val="3F1206D1"/>
    <w:rsid w:val="3F937058"/>
    <w:rsid w:val="3FA93110"/>
    <w:rsid w:val="41E76D0D"/>
    <w:rsid w:val="428400D7"/>
    <w:rsid w:val="42A322CE"/>
    <w:rsid w:val="43464277"/>
    <w:rsid w:val="43F347B7"/>
    <w:rsid w:val="452A5FF8"/>
    <w:rsid w:val="46167232"/>
    <w:rsid w:val="46573FC4"/>
    <w:rsid w:val="473C29E8"/>
    <w:rsid w:val="474F3876"/>
    <w:rsid w:val="4805682A"/>
    <w:rsid w:val="480B7EE0"/>
    <w:rsid w:val="4AD87845"/>
    <w:rsid w:val="4B0C7FE5"/>
    <w:rsid w:val="4D77398D"/>
    <w:rsid w:val="4DB72011"/>
    <w:rsid w:val="4EDF7925"/>
    <w:rsid w:val="51D73D18"/>
    <w:rsid w:val="5256011F"/>
    <w:rsid w:val="5267320F"/>
    <w:rsid w:val="52B83CFA"/>
    <w:rsid w:val="5399776E"/>
    <w:rsid w:val="53CB08FB"/>
    <w:rsid w:val="54E1126F"/>
    <w:rsid w:val="550913D4"/>
    <w:rsid w:val="56996EF3"/>
    <w:rsid w:val="56ED5D87"/>
    <w:rsid w:val="57355AE1"/>
    <w:rsid w:val="580840DE"/>
    <w:rsid w:val="58391C0B"/>
    <w:rsid w:val="585D323A"/>
    <w:rsid w:val="588D62C7"/>
    <w:rsid w:val="59C67CA1"/>
    <w:rsid w:val="59D638AA"/>
    <w:rsid w:val="5AD02341"/>
    <w:rsid w:val="5F741BA9"/>
    <w:rsid w:val="62340259"/>
    <w:rsid w:val="63AC3E86"/>
    <w:rsid w:val="64581735"/>
    <w:rsid w:val="65380484"/>
    <w:rsid w:val="665113B8"/>
    <w:rsid w:val="673204B4"/>
    <w:rsid w:val="69FB4E77"/>
    <w:rsid w:val="6C4E3754"/>
    <w:rsid w:val="6CEA23B7"/>
    <w:rsid w:val="6D974077"/>
    <w:rsid w:val="6E1B74EA"/>
    <w:rsid w:val="6FDD4DB0"/>
    <w:rsid w:val="702E3669"/>
    <w:rsid w:val="70636407"/>
    <w:rsid w:val="70FF167F"/>
    <w:rsid w:val="71B73B28"/>
    <w:rsid w:val="72735CE9"/>
    <w:rsid w:val="74BA0338"/>
    <w:rsid w:val="74FD7DAA"/>
    <w:rsid w:val="75534EB1"/>
    <w:rsid w:val="7790207C"/>
    <w:rsid w:val="7B056B6B"/>
    <w:rsid w:val="7B795D31"/>
    <w:rsid w:val="7BD10287"/>
    <w:rsid w:val="7C6436AD"/>
    <w:rsid w:val="7CFF0812"/>
    <w:rsid w:val="7D8E7F71"/>
    <w:rsid w:val="7D8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List 3"/>
    <w:basedOn w:val="1"/>
    <w:qFormat/>
    <w:uiPriority w:val="0"/>
    <w:pPr>
      <w:ind w:left="100" w:leftChars="400" w:hanging="200" w:hangingChars="200"/>
    </w:p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47"/>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link w:val="49"/>
    <w:qFormat/>
    <w:uiPriority w:val="0"/>
    <w:pPr>
      <w:spacing w:after="120"/>
    </w:pPr>
  </w:style>
  <w:style w:type="paragraph" w:styleId="19">
    <w:name w:val="Body Text Indent"/>
    <w:basedOn w:val="1"/>
    <w:next w:val="20"/>
    <w:link w:val="50"/>
    <w:qFormat/>
    <w:uiPriority w:val="0"/>
    <w:pPr>
      <w:spacing w:line="500" w:lineRule="exact"/>
      <w:ind w:left="1588" w:leftChars="832" w:firstLine="433" w:firstLineChars="196"/>
    </w:pPr>
    <w:rPr>
      <w:sz w:val="24"/>
    </w:rPr>
  </w:style>
  <w:style w:type="paragraph" w:styleId="20">
    <w:name w:val="envelope return"/>
    <w:basedOn w:val="1"/>
    <w:qFormat/>
    <w:uiPriority w:val="0"/>
    <w:pPr>
      <w:snapToGrid w:val="0"/>
    </w:pPr>
    <w:rPr>
      <w:rFonts w:ascii="Arial" w:hAnsi="Arial"/>
    </w:rPr>
  </w:style>
  <w:style w:type="paragraph" w:styleId="21">
    <w:name w:val="List 2"/>
    <w:basedOn w:val="1"/>
    <w:qFormat/>
    <w:uiPriority w:val="0"/>
    <w:pPr>
      <w:ind w:left="100" w:leftChars="200" w:hanging="200" w:hangingChars="200"/>
    </w:pPr>
  </w:style>
  <w:style w:type="paragraph" w:styleId="2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3">
    <w:name w:val="Plain Text"/>
    <w:basedOn w:val="1"/>
    <w:link w:val="52"/>
    <w:qFormat/>
    <w:uiPriority w:val="0"/>
    <w:rPr>
      <w:rFonts w:ascii="宋体" w:hAnsi="Courier New"/>
      <w:szCs w:val="21"/>
    </w:rPr>
  </w:style>
  <w:style w:type="paragraph" w:styleId="24">
    <w:name w:val="Date"/>
    <w:basedOn w:val="1"/>
    <w:next w:val="1"/>
    <w:link w:val="48"/>
    <w:qFormat/>
    <w:uiPriority w:val="0"/>
    <w:pPr>
      <w:ind w:left="100" w:leftChars="2500"/>
    </w:pPr>
  </w:style>
  <w:style w:type="paragraph" w:styleId="25">
    <w:name w:val="Body Text Indent 2"/>
    <w:basedOn w:val="1"/>
    <w:qFormat/>
    <w:uiPriority w:val="0"/>
    <w:pPr>
      <w:spacing w:after="120" w:line="480" w:lineRule="auto"/>
      <w:ind w:left="420" w:leftChars="200"/>
    </w:pPr>
  </w:style>
  <w:style w:type="paragraph" w:styleId="26">
    <w:name w:val="Balloon Text"/>
    <w:basedOn w:val="1"/>
    <w:semiHidden/>
    <w:qFormat/>
    <w:uiPriority w:val="0"/>
    <w:rPr>
      <w:sz w:val="18"/>
      <w:szCs w:val="18"/>
    </w:rPr>
  </w:style>
  <w:style w:type="paragraph" w:styleId="27">
    <w:name w:val="footer"/>
    <w:basedOn w:val="1"/>
    <w:link w:val="54"/>
    <w:qFormat/>
    <w:uiPriority w:val="99"/>
    <w:pPr>
      <w:tabs>
        <w:tab w:val="center" w:pos="4153"/>
        <w:tab w:val="right" w:pos="8306"/>
      </w:tabs>
      <w:snapToGrid w:val="0"/>
      <w:jc w:val="left"/>
    </w:pPr>
    <w:rPr>
      <w:sz w:val="18"/>
      <w:szCs w:val="18"/>
    </w:rPr>
  </w:style>
  <w:style w:type="paragraph" w:styleId="28">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Cs w:val="20"/>
    </w:rPr>
  </w:style>
  <w:style w:type="paragraph" w:styleId="31">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3">
    <w:name w:val="Normal (Web)"/>
    <w:basedOn w:val="1"/>
    <w:qFormat/>
    <w:uiPriority w:val="0"/>
    <w:rPr>
      <w:sz w:val="24"/>
    </w:rPr>
  </w:style>
  <w:style w:type="paragraph" w:styleId="34">
    <w:name w:val="Title"/>
    <w:basedOn w:val="1"/>
    <w:next w:val="1"/>
    <w:link w:val="76"/>
    <w:qFormat/>
    <w:uiPriority w:val="10"/>
    <w:pPr>
      <w:spacing w:before="240" w:after="60"/>
      <w:jc w:val="left"/>
      <w:outlineLvl w:val="0"/>
    </w:pPr>
    <w:rPr>
      <w:rFonts w:asciiTheme="majorHAnsi" w:hAnsiTheme="majorHAnsi" w:cstheme="majorBidi"/>
      <w:b/>
      <w:bCs/>
      <w:sz w:val="24"/>
      <w:szCs w:val="32"/>
    </w:rPr>
  </w:style>
  <w:style w:type="paragraph" w:styleId="35">
    <w:name w:val="annotation subject"/>
    <w:basedOn w:val="16"/>
    <w:next w:val="16"/>
    <w:semiHidden/>
    <w:qFormat/>
    <w:uiPriority w:val="0"/>
    <w:rPr>
      <w:b/>
      <w:bCs/>
    </w:rPr>
  </w:style>
  <w:style w:type="paragraph" w:styleId="36">
    <w:name w:val="Body Text First Indent 2"/>
    <w:basedOn w:val="19"/>
    <w:qFormat/>
    <w:uiPriority w:val="0"/>
    <w:pPr>
      <w:spacing w:line="360" w:lineRule="auto"/>
      <w:ind w:firstLine="200" w:firstLineChars="200"/>
    </w:pPr>
    <w:rPr>
      <w:rFonts w:ascii="宋体"/>
      <w:szCs w:val="20"/>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character" w:styleId="45">
    <w:name w:val="HTML Sample"/>
    <w:basedOn w:val="39"/>
    <w:qFormat/>
    <w:uiPriority w:val="0"/>
    <w:rPr>
      <w:rFonts w:ascii="Courier New" w:hAnsi="Courier New"/>
    </w:rPr>
  </w:style>
  <w:style w:type="character" w:customStyle="1" w:styleId="46">
    <w:name w:val="font21"/>
    <w:basedOn w:val="39"/>
    <w:qFormat/>
    <w:uiPriority w:val="0"/>
    <w:rPr>
      <w:rFonts w:hint="eastAsia" w:ascii="宋体" w:hAnsi="宋体" w:eastAsia="宋体" w:cs="宋体"/>
      <w:color w:val="000000"/>
      <w:sz w:val="21"/>
      <w:szCs w:val="21"/>
      <w:u w:val="none"/>
    </w:rPr>
  </w:style>
  <w:style w:type="character" w:customStyle="1" w:styleId="47">
    <w:name w:val="批注文字 字符"/>
    <w:link w:val="16"/>
    <w:qFormat/>
    <w:uiPriority w:val="0"/>
    <w:rPr>
      <w:rFonts w:eastAsia="宋体"/>
      <w:kern w:val="2"/>
      <w:sz w:val="21"/>
      <w:szCs w:val="24"/>
      <w:lang w:val="en-US" w:eastAsia="zh-CN" w:bidi="ar-SA"/>
    </w:rPr>
  </w:style>
  <w:style w:type="character" w:customStyle="1" w:styleId="48">
    <w:name w:val="日期 字符"/>
    <w:link w:val="24"/>
    <w:qFormat/>
    <w:uiPriority w:val="0"/>
    <w:rPr>
      <w:kern w:val="2"/>
      <w:sz w:val="21"/>
      <w:szCs w:val="24"/>
    </w:rPr>
  </w:style>
  <w:style w:type="character" w:customStyle="1" w:styleId="49">
    <w:name w:val="正文文本 字符"/>
    <w:link w:val="18"/>
    <w:qFormat/>
    <w:uiPriority w:val="0"/>
    <w:rPr>
      <w:rFonts w:eastAsia="宋体"/>
      <w:kern w:val="2"/>
      <w:sz w:val="21"/>
      <w:szCs w:val="24"/>
      <w:lang w:val="en-US" w:eastAsia="zh-CN" w:bidi="ar-SA"/>
    </w:rPr>
  </w:style>
  <w:style w:type="character" w:customStyle="1" w:styleId="50">
    <w:name w:val="正文文本缩进 字符"/>
    <w:link w:val="19"/>
    <w:qFormat/>
    <w:uiPriority w:val="0"/>
    <w:rPr>
      <w:rFonts w:eastAsia="宋体"/>
      <w:kern w:val="2"/>
      <w:sz w:val="24"/>
      <w:szCs w:val="24"/>
      <w:lang w:val="en-US" w:eastAsia="zh-CN" w:bidi="ar-SA"/>
    </w:rPr>
  </w:style>
  <w:style w:type="character" w:customStyle="1" w:styleId="51">
    <w:name w:val="Char Char6"/>
    <w:qFormat/>
    <w:uiPriority w:val="0"/>
    <w:rPr>
      <w:rFonts w:eastAsia="宋体"/>
      <w:kern w:val="2"/>
      <w:sz w:val="21"/>
      <w:szCs w:val="24"/>
      <w:lang w:val="en-US" w:eastAsia="zh-CN" w:bidi="ar-SA"/>
    </w:rPr>
  </w:style>
  <w:style w:type="character" w:customStyle="1" w:styleId="52">
    <w:name w:val="纯文本 字符"/>
    <w:link w:val="23"/>
    <w:qFormat/>
    <w:uiPriority w:val="0"/>
    <w:rPr>
      <w:rFonts w:ascii="宋体" w:hAnsi="Courier New" w:eastAsia="宋体"/>
      <w:kern w:val="2"/>
      <w:sz w:val="21"/>
      <w:szCs w:val="21"/>
      <w:lang w:val="en-US" w:eastAsia="zh-CN" w:bidi="ar-SA"/>
    </w:rPr>
  </w:style>
  <w:style w:type="character" w:customStyle="1" w:styleId="53">
    <w:name w:val="Char Char3"/>
    <w:qFormat/>
    <w:uiPriority w:val="0"/>
    <w:rPr>
      <w:rFonts w:eastAsia="宋体"/>
      <w:kern w:val="2"/>
      <w:sz w:val="21"/>
      <w:szCs w:val="24"/>
      <w:lang w:val="en-US" w:eastAsia="zh-CN" w:bidi="ar-SA"/>
    </w:rPr>
  </w:style>
  <w:style w:type="character" w:customStyle="1" w:styleId="54">
    <w:name w:val="页脚 字符"/>
    <w:link w:val="27"/>
    <w:qFormat/>
    <w:uiPriority w:val="99"/>
    <w:rPr>
      <w:kern w:val="2"/>
      <w:sz w:val="18"/>
      <w:szCs w:val="18"/>
    </w:rPr>
  </w:style>
  <w:style w:type="character" w:customStyle="1" w:styleId="55">
    <w:name w:val="标题 3 Char_0"/>
    <w:link w:val="56"/>
    <w:qFormat/>
    <w:uiPriority w:val="0"/>
    <w:rPr>
      <w:rFonts w:ascii="宋体" w:hAnsi="宋体"/>
      <w:b/>
      <w:kern w:val="2"/>
      <w:sz w:val="28"/>
      <w:szCs w:val="28"/>
      <w:lang w:val="en-US" w:eastAsia="zh-CN"/>
    </w:rPr>
  </w:style>
  <w:style w:type="paragraph" w:customStyle="1" w:styleId="56">
    <w:name w:val="标题 3_0"/>
    <w:basedOn w:val="57"/>
    <w:next w:val="57"/>
    <w:link w:val="55"/>
    <w:qFormat/>
    <w:uiPriority w:val="0"/>
    <w:pPr>
      <w:autoSpaceDE w:val="0"/>
      <w:autoSpaceDN w:val="0"/>
      <w:adjustRightInd w:val="0"/>
      <w:spacing w:line="500" w:lineRule="exact"/>
      <w:jc w:val="center"/>
      <w:outlineLvl w:val="2"/>
    </w:pPr>
    <w:rPr>
      <w:rFonts w:ascii="宋体" w:hAnsi="宋体"/>
      <w:b/>
      <w:szCs w:val="28"/>
    </w:rPr>
  </w:style>
  <w:style w:type="paragraph" w:customStyle="1" w:styleId="5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58">
    <w:name w:val="font01"/>
    <w:basedOn w:val="39"/>
    <w:qFormat/>
    <w:uiPriority w:val="0"/>
    <w:rPr>
      <w:rFonts w:hint="default" w:ascii="Times New Roman" w:hAnsi="Times New Roman" w:cs="Times New Roman"/>
      <w:color w:val="000000"/>
      <w:sz w:val="21"/>
      <w:szCs w:val="21"/>
      <w:u w:val="none"/>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默认段落字体 Para Char Char Char Char Char Char Char Char Char Char Char Char Char Char Char Char"/>
    <w:basedOn w:val="1"/>
    <w:qFormat/>
    <w:uiPriority w:val="0"/>
    <w:rPr>
      <w:rFonts w:ascii="Tahoma" w:hAnsi="Tahoma"/>
      <w:sz w:val="2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Char Char Char"/>
    <w:basedOn w:val="1"/>
    <w:qFormat/>
    <w:uiPriority w:val="0"/>
    <w:pPr>
      <w:widowControl/>
      <w:spacing w:after="160" w:line="240" w:lineRule="exact"/>
      <w:jc w:val="left"/>
    </w:pPr>
  </w:style>
  <w:style w:type="paragraph" w:customStyle="1" w:styleId="63">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4">
    <w:name w:val="Char Char Char Char Char Char"/>
    <w:basedOn w:val="15"/>
    <w:qFormat/>
    <w:uiPriority w:val="0"/>
    <w:rPr>
      <w:rFonts w:ascii="Tahoma" w:hAnsi="Tahoma"/>
      <w:sz w:val="24"/>
    </w:rPr>
  </w:style>
  <w:style w:type="paragraph" w:customStyle="1" w:styleId="65">
    <w:name w:val="样式 标题 4 + 段前: 5 磅 段后: 5 磅 行距: 单倍行距"/>
    <w:basedOn w:val="6"/>
    <w:qFormat/>
    <w:uiPriority w:val="0"/>
    <w:pPr>
      <w:spacing w:before="100" w:after="100" w:line="240" w:lineRule="auto"/>
    </w:pPr>
    <w:rPr>
      <w:rFonts w:cs="宋体"/>
      <w:szCs w:val="20"/>
    </w:rPr>
  </w:style>
  <w:style w:type="paragraph" w:customStyle="1" w:styleId="66">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67">
    <w:name w:val="样式 标题 2 + 宋体 五号 非加粗 黑色"/>
    <w:basedOn w:val="4"/>
    <w:qFormat/>
    <w:uiPriority w:val="0"/>
    <w:rPr>
      <w:rFonts w:ascii="宋体" w:hAnsi="宋体" w:eastAsia="宋体"/>
      <w:b w:val="0"/>
      <w:bCs w:val="0"/>
      <w:color w:val="000000"/>
      <w:sz w:val="21"/>
    </w:rPr>
  </w:style>
  <w:style w:type="paragraph" w:customStyle="1" w:styleId="68">
    <w:name w:val="附件正文"/>
    <w:basedOn w:val="1"/>
    <w:qFormat/>
    <w:uiPriority w:val="0"/>
    <w:pPr>
      <w:snapToGrid w:val="0"/>
      <w:spacing w:line="500" w:lineRule="exact"/>
      <w:ind w:firstLine="540" w:firstLineChars="225"/>
    </w:pPr>
    <w:rPr>
      <w:kern w:val="0"/>
      <w:sz w:val="24"/>
    </w:rPr>
  </w:style>
  <w:style w:type="paragraph" w:customStyle="1" w:styleId="69">
    <w:name w:val="Char1"/>
    <w:basedOn w:val="1"/>
    <w:qFormat/>
    <w:uiPriority w:val="0"/>
    <w:pPr>
      <w:tabs>
        <w:tab w:val="left" w:pos="432"/>
      </w:tabs>
      <w:spacing w:beforeLines="50" w:afterLines="50"/>
      <w:ind w:left="432" w:hanging="432"/>
    </w:pPr>
  </w:style>
  <w:style w:type="paragraph" w:customStyle="1" w:styleId="70">
    <w:name w:val="TOC 标题1"/>
    <w:basedOn w:val="3"/>
    <w:next w:val="1"/>
    <w:qFormat/>
    <w:uiPriority w:val="3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71">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2">
    <w:name w:val="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73">
    <w:name w:val="页眉 字符"/>
    <w:link w:val="28"/>
    <w:qFormat/>
    <w:uiPriority w:val="99"/>
    <w:rPr>
      <w:kern w:val="2"/>
      <w:sz w:val="18"/>
      <w:szCs w:val="18"/>
    </w:rPr>
  </w:style>
  <w:style w:type="paragraph" w:customStyle="1" w:styleId="74">
    <w:name w:val="_Style 2"/>
    <w:basedOn w:val="3"/>
    <w:next w:val="1"/>
    <w:qFormat/>
    <w:uiPriority w:val="39"/>
    <w:pPr>
      <w:autoSpaceDE w:val="0"/>
      <w:autoSpaceDN w:val="0"/>
      <w:adjustRightInd/>
      <w:spacing w:before="480" w:after="0" w:line="276" w:lineRule="auto"/>
      <w:ind w:firstLine="0"/>
      <w:textAlignment w:val="auto"/>
      <w:outlineLvl w:val="9"/>
    </w:pPr>
    <w:rPr>
      <w:rFonts w:ascii="仿宋" w:hAnsi="仿宋" w:eastAsia="仿宋" w:cs="Noto Sans Mono CJK JP Regular"/>
      <w:b w:val="0"/>
      <w:bCs w:val="0"/>
      <w:color w:val="000000"/>
      <w:kern w:val="0"/>
      <w:sz w:val="32"/>
      <w:szCs w:val="32"/>
      <w:lang w:bidi="zh-CN"/>
    </w:rPr>
  </w:style>
  <w:style w:type="character" w:customStyle="1" w:styleId="75">
    <w:name w:val="fontstyle01"/>
    <w:qFormat/>
    <w:uiPriority w:val="0"/>
    <w:rPr>
      <w:rFonts w:hint="eastAsia" w:ascii="宋体" w:hAnsi="宋体" w:eastAsia="宋体"/>
      <w:color w:val="000000"/>
      <w:sz w:val="24"/>
      <w:szCs w:val="24"/>
    </w:rPr>
  </w:style>
  <w:style w:type="character" w:customStyle="1" w:styleId="76">
    <w:name w:val="标题 字符"/>
    <w:basedOn w:val="39"/>
    <w:link w:val="34"/>
    <w:qFormat/>
    <w:uiPriority w:val="10"/>
    <w:rPr>
      <w:rFonts w:asciiTheme="majorHAnsi" w:hAnsiTheme="majorHAnsi" w:cstheme="majorBidi"/>
      <w:b/>
      <w:bCs/>
      <w:kern w:val="2"/>
      <w:sz w:val="24"/>
      <w:szCs w:val="32"/>
    </w:rPr>
  </w:style>
  <w:style w:type="character" w:customStyle="1" w:styleId="77">
    <w:name w:val="标题 字符1"/>
    <w:basedOn w:val="39"/>
    <w:qFormat/>
    <w:uiPriority w:val="0"/>
    <w:rPr>
      <w:rFonts w:asciiTheme="majorHAnsi" w:hAnsiTheme="majorHAnsi" w:eastAsiaTheme="majorEastAsia" w:cstheme="majorBidi"/>
      <w:b/>
      <w:bCs/>
      <w:kern w:val="2"/>
      <w:sz w:val="32"/>
      <w:szCs w:val="32"/>
    </w:rPr>
  </w:style>
  <w:style w:type="paragraph" w:customStyle="1" w:styleId="78">
    <w:name w:val="1"/>
    <w:next w:val="79"/>
    <w:qFormat/>
    <w:uiPriority w:val="0"/>
    <w:rPr>
      <w:rFonts w:ascii="宋体" w:hAnsi="宋体" w:eastAsia="宋体" w:cs="宋体"/>
      <w:b/>
      <w:bCs/>
      <w:color w:val="000000" w:themeColor="text1"/>
      <w:kern w:val="2"/>
      <w:sz w:val="21"/>
      <w:szCs w:val="24"/>
      <w:lang w:val="en-US" w:eastAsia="zh-CN" w:bidi="ar-SA"/>
      <w14:textFill>
        <w14:solidFill>
          <w14:schemeClr w14:val="tx1"/>
        </w14:solidFill>
      </w14:textFill>
    </w:rPr>
  </w:style>
  <w:style w:type="paragraph" w:customStyle="1" w:styleId="79">
    <w:name w:val="a 正文"/>
    <w:basedOn w:val="1"/>
    <w:qFormat/>
    <w:uiPriority w:val="0"/>
    <w:pPr>
      <w:widowControl/>
      <w:tabs>
        <w:tab w:val="left" w:pos="6237"/>
        <w:tab w:val="left" w:pos="6804"/>
      </w:tabs>
      <w:adjustRightInd w:val="0"/>
      <w:spacing w:line="360" w:lineRule="atLeast"/>
    </w:pPr>
    <w:rPr>
      <w:kern w:val="0"/>
      <w:sz w:val="24"/>
      <w:szCs w:val="20"/>
    </w:rPr>
  </w:style>
  <w:style w:type="character" w:customStyle="1" w:styleId="80">
    <w:name w:val="font81"/>
    <w:basedOn w:val="39"/>
    <w:qFormat/>
    <w:uiPriority w:val="0"/>
    <w:rPr>
      <w:rFonts w:hint="eastAsia" w:ascii="黑体" w:hAnsi="宋体" w:eastAsia="黑体" w:cs="黑体"/>
      <w:color w:val="666699"/>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88593-8E2E-4F8F-A198-E4E2B6A5AF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5020</Words>
  <Characters>28617</Characters>
  <Lines>238</Lines>
  <Paragraphs>67</Paragraphs>
  <TotalTime>0</TotalTime>
  <ScaleCrop>false</ScaleCrop>
  <LinksUpToDate>false</LinksUpToDate>
  <CharactersWithSpaces>33570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2020-02-25T16:07:00Z</dcterms:created>
  <dc:creator>王峰</dc:creator>
  <cp:lastModifiedBy>Mundo</cp:lastModifiedBy>
  <cp:lastPrinted>2017-11-16T08:01:00Z</cp:lastPrinted>
  <dcterms:modified xsi:type="dcterms:W3CDTF">2020-09-28T06:06:24Z</dcterms:modified>
  <dc:title>滨州市政府采购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