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line="500" w:lineRule="exact"/>
        <w:ind w:firstLine="1446" w:firstLineChars="400"/>
        <w:jc w:val="left"/>
        <w:textAlignment w:val="auto"/>
        <w:rPr>
          <w:rFonts w:hint="eastAsia"/>
          <w:b/>
          <w:bCs/>
          <w:sz w:val="36"/>
          <w:szCs w:val="36"/>
        </w:rPr>
      </w:pPr>
      <w:r>
        <w:rPr>
          <w:rFonts w:hint="eastAsia"/>
          <w:b/>
          <w:bCs/>
          <w:sz w:val="36"/>
          <w:szCs w:val="36"/>
          <w:lang w:val="en-US" w:eastAsia="zh-CN"/>
        </w:rPr>
        <w:t>喀什地区叶城县医疗垃圾无害化处理站项目环境影响评价报告书编制、环保验收服务</w:t>
      </w:r>
      <w:r>
        <w:rPr>
          <w:rFonts w:hint="eastAsia"/>
          <w:b/>
          <w:bCs/>
          <w:sz w:val="36"/>
          <w:szCs w:val="36"/>
        </w:rPr>
        <w:t>竞争性</w:t>
      </w:r>
      <w:r>
        <w:rPr>
          <w:rFonts w:hint="eastAsia"/>
          <w:b/>
          <w:bCs/>
          <w:sz w:val="36"/>
          <w:szCs w:val="36"/>
          <w:lang w:eastAsia="zh-CN"/>
        </w:rPr>
        <w:t>磋商</w:t>
      </w:r>
      <w:r>
        <w:rPr>
          <w:rFonts w:hint="eastAsia"/>
          <w:b/>
          <w:bCs/>
          <w:sz w:val="36"/>
          <w:szCs w:val="36"/>
        </w:rPr>
        <w:t>公告</w:t>
      </w:r>
    </w:p>
    <w:p>
      <w:pPr>
        <w:pStyle w:val="3"/>
        <w:rPr>
          <w:rFonts w:hint="eastAsia"/>
        </w:rPr>
      </w:pPr>
      <w:r>
        <w:rPr>
          <w:rFonts w:hint="eastAsia"/>
        </w:rPr>
        <w:t>一、项目基本情况</w:t>
      </w:r>
    </w:p>
    <w:p>
      <w:pPr>
        <w:spacing w:line="360" w:lineRule="exact"/>
        <w:jc w:val="left"/>
        <w:rPr>
          <w:rFonts w:hint="eastAsia"/>
          <w:szCs w:val="21"/>
          <w:lang w:eastAsia="zh-CN"/>
        </w:rPr>
      </w:pPr>
      <w:r>
        <w:rPr>
          <w:rFonts w:hint="eastAsia"/>
          <w:szCs w:val="21"/>
        </w:rPr>
        <w:t>1.采购项目编号：</w:t>
      </w:r>
      <w:r>
        <w:rPr>
          <w:rFonts w:hint="eastAsia"/>
          <w:szCs w:val="21"/>
          <w:lang w:val="en-US" w:eastAsia="zh-CN"/>
        </w:rPr>
        <w:t>XJAMJ(CG)2020-031</w:t>
      </w:r>
      <w:r>
        <w:rPr>
          <w:rFonts w:hint="eastAsia"/>
          <w:szCs w:val="21"/>
          <w:lang w:eastAsia="zh-CN"/>
        </w:rPr>
        <w:t>号</w:t>
      </w:r>
    </w:p>
    <w:p>
      <w:pPr>
        <w:spacing w:line="360" w:lineRule="exact"/>
        <w:jc w:val="left"/>
        <w:rPr>
          <w:rFonts w:hint="eastAsia"/>
          <w:szCs w:val="21"/>
        </w:rPr>
      </w:pPr>
      <w:r>
        <w:rPr>
          <w:rFonts w:hint="eastAsia"/>
          <w:szCs w:val="21"/>
        </w:rPr>
        <w:t>2.采购项目名称：</w:t>
      </w:r>
      <w:r>
        <w:rPr>
          <w:rFonts w:hint="eastAsia"/>
          <w:szCs w:val="21"/>
          <w:lang w:eastAsia="zh-CN"/>
        </w:rPr>
        <w:t>喀什地区叶城县医疗垃圾无害化处理站项目环境影响评价报告书编制、环保验收服务</w:t>
      </w:r>
    </w:p>
    <w:p>
      <w:pPr>
        <w:spacing w:line="360" w:lineRule="exact"/>
        <w:jc w:val="left"/>
        <w:rPr>
          <w:rFonts w:hint="eastAsia"/>
          <w:szCs w:val="21"/>
        </w:rPr>
      </w:pPr>
      <w:r>
        <w:rPr>
          <w:rFonts w:hint="eastAsia"/>
          <w:szCs w:val="21"/>
        </w:rPr>
        <w:t xml:space="preserve">3.采购单位名称：叶城县卫生健康委员会 </w:t>
      </w:r>
    </w:p>
    <w:p>
      <w:pPr>
        <w:spacing w:line="360" w:lineRule="exact"/>
        <w:jc w:val="left"/>
        <w:rPr>
          <w:rFonts w:hint="eastAsia"/>
          <w:szCs w:val="21"/>
          <w:lang w:eastAsia="zh-CN"/>
        </w:rPr>
      </w:pPr>
      <w:r>
        <w:rPr>
          <w:rFonts w:hint="eastAsia"/>
          <w:szCs w:val="21"/>
        </w:rPr>
        <w:t>4.采购代理机构：</w:t>
      </w:r>
      <w:r>
        <w:rPr>
          <w:rFonts w:hint="eastAsia"/>
          <w:szCs w:val="21"/>
          <w:lang w:val="en-US" w:eastAsia="zh-CN"/>
        </w:rPr>
        <w:t>新疆爱满疆工程咨询有限公司</w:t>
      </w:r>
    </w:p>
    <w:p>
      <w:pPr>
        <w:spacing w:line="360" w:lineRule="exact"/>
        <w:jc w:val="left"/>
        <w:rPr>
          <w:szCs w:val="21"/>
        </w:rPr>
      </w:pPr>
      <w:r>
        <w:rPr>
          <w:rFonts w:hint="eastAsia"/>
          <w:szCs w:val="21"/>
        </w:rPr>
        <w:t>5.招标控制价：</w:t>
      </w:r>
      <w:r>
        <w:rPr>
          <w:rFonts w:hint="eastAsia" w:ascii="仿宋" w:hAnsi="仿宋" w:eastAsia="仿宋"/>
          <w:sz w:val="28"/>
          <w:szCs w:val="28"/>
          <w:lang w:val="en-US" w:eastAsia="zh-CN"/>
        </w:rPr>
        <w:t>700000</w:t>
      </w:r>
      <w:r>
        <w:rPr>
          <w:rFonts w:hint="eastAsia" w:ascii="宋体" w:hAnsi="宋体" w:cs="宋体"/>
          <w:szCs w:val="21"/>
        </w:rPr>
        <w:t>元，此报价为最高限价，超过此报价为无效报价</w:t>
      </w:r>
    </w:p>
    <w:p>
      <w:pPr>
        <w:spacing w:line="360" w:lineRule="exact"/>
        <w:jc w:val="left"/>
        <w:rPr>
          <w:szCs w:val="21"/>
        </w:rPr>
      </w:pPr>
      <w:r>
        <w:rPr>
          <w:rFonts w:hint="eastAsia"/>
          <w:szCs w:val="21"/>
        </w:rPr>
        <w:t>6.采购项目概况：</w:t>
      </w:r>
    </w:p>
    <w:tbl>
      <w:tblPr>
        <w:tblStyle w:val="7"/>
        <w:tblW w:w="95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7"/>
        <w:gridCol w:w="1479"/>
        <w:gridCol w:w="753"/>
        <w:gridCol w:w="1512"/>
        <w:gridCol w:w="924"/>
        <w:gridCol w:w="2364"/>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97" w:type="dxa"/>
            <w:vMerge w:val="restart"/>
            <w:tcBorders>
              <w:top w:val="single" w:color="auto" w:sz="4" w:space="0"/>
              <w:left w:val="single" w:color="auto" w:sz="4" w:space="0"/>
              <w:bottom w:val="nil"/>
              <w:right w:val="single" w:color="auto" w:sz="4" w:space="0"/>
            </w:tcBorders>
            <w:vAlign w:val="center"/>
          </w:tcPr>
          <w:p>
            <w:pPr>
              <w:spacing w:line="360" w:lineRule="exact"/>
              <w:jc w:val="center"/>
              <w:rPr>
                <w:szCs w:val="21"/>
              </w:rPr>
            </w:pPr>
            <w:r>
              <w:rPr>
                <w:rFonts w:hint="eastAsia"/>
                <w:szCs w:val="21"/>
              </w:rPr>
              <w:t>标项 序号</w:t>
            </w:r>
          </w:p>
        </w:tc>
        <w:tc>
          <w:tcPr>
            <w:tcW w:w="1479" w:type="dxa"/>
            <w:vMerge w:val="restart"/>
            <w:tcBorders>
              <w:top w:val="single" w:color="auto" w:sz="4" w:space="0"/>
              <w:left w:val="single" w:color="auto" w:sz="4" w:space="0"/>
              <w:bottom w:val="nil"/>
              <w:right w:val="single" w:color="auto" w:sz="4" w:space="0"/>
            </w:tcBorders>
            <w:vAlign w:val="center"/>
          </w:tcPr>
          <w:p>
            <w:pPr>
              <w:spacing w:line="360" w:lineRule="exact"/>
              <w:jc w:val="center"/>
              <w:rPr>
                <w:rFonts w:hint="eastAsia"/>
                <w:szCs w:val="21"/>
              </w:rPr>
            </w:pPr>
            <w:r>
              <w:rPr>
                <w:rFonts w:hint="eastAsia"/>
                <w:szCs w:val="21"/>
              </w:rPr>
              <w:t>标项名称</w:t>
            </w:r>
          </w:p>
        </w:tc>
        <w:tc>
          <w:tcPr>
            <w:tcW w:w="753" w:type="dxa"/>
            <w:vMerge w:val="restart"/>
            <w:tcBorders>
              <w:top w:val="single" w:color="auto" w:sz="4" w:space="0"/>
              <w:left w:val="single" w:color="auto" w:sz="4" w:space="0"/>
              <w:bottom w:val="nil"/>
              <w:right w:val="single" w:color="auto" w:sz="4" w:space="0"/>
            </w:tcBorders>
            <w:vAlign w:val="center"/>
          </w:tcPr>
          <w:p>
            <w:pPr>
              <w:spacing w:line="360" w:lineRule="exact"/>
              <w:jc w:val="center"/>
              <w:rPr>
                <w:rFonts w:hint="eastAsia"/>
                <w:szCs w:val="21"/>
              </w:rPr>
            </w:pPr>
            <w:r>
              <w:rPr>
                <w:rFonts w:hint="eastAsia"/>
                <w:szCs w:val="21"/>
              </w:rPr>
              <w:t>数量</w:t>
            </w:r>
          </w:p>
        </w:tc>
        <w:tc>
          <w:tcPr>
            <w:tcW w:w="1512" w:type="dxa"/>
            <w:vMerge w:val="restart"/>
            <w:tcBorders>
              <w:top w:val="single" w:color="auto" w:sz="4" w:space="0"/>
              <w:left w:val="single" w:color="auto" w:sz="4" w:space="0"/>
              <w:bottom w:val="nil"/>
              <w:right w:val="single" w:color="auto" w:sz="4" w:space="0"/>
            </w:tcBorders>
            <w:vAlign w:val="center"/>
          </w:tcPr>
          <w:p>
            <w:pPr>
              <w:spacing w:line="360" w:lineRule="exact"/>
              <w:jc w:val="center"/>
              <w:rPr>
                <w:rFonts w:hint="eastAsia"/>
                <w:szCs w:val="21"/>
              </w:rPr>
            </w:pPr>
            <w:r>
              <w:rPr>
                <w:rFonts w:hint="eastAsia"/>
                <w:szCs w:val="21"/>
              </w:rPr>
              <w:t>预算金额   （元）</w:t>
            </w:r>
          </w:p>
        </w:tc>
        <w:tc>
          <w:tcPr>
            <w:tcW w:w="924"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szCs w:val="21"/>
              </w:rPr>
            </w:pPr>
            <w:r>
              <w:rPr>
                <w:rFonts w:hint="eastAsia"/>
                <w:szCs w:val="21"/>
              </w:rPr>
              <w:t>单位</w:t>
            </w:r>
          </w:p>
        </w:tc>
        <w:tc>
          <w:tcPr>
            <w:tcW w:w="2364" w:type="dxa"/>
            <w:vMerge w:val="restart"/>
            <w:tcBorders>
              <w:top w:val="single" w:color="auto" w:sz="4" w:space="0"/>
              <w:left w:val="single" w:color="auto" w:sz="4" w:space="0"/>
              <w:right w:val="single" w:color="auto" w:sz="4" w:space="0"/>
            </w:tcBorders>
            <w:vAlign w:val="center"/>
          </w:tcPr>
          <w:p>
            <w:pPr>
              <w:spacing w:line="360" w:lineRule="exact"/>
              <w:jc w:val="center"/>
              <w:rPr>
                <w:szCs w:val="21"/>
              </w:rPr>
            </w:pPr>
            <w:r>
              <w:rPr>
                <w:rFonts w:hint="eastAsia"/>
                <w:szCs w:val="21"/>
              </w:rPr>
              <w:t>简要规格描述</w:t>
            </w:r>
          </w:p>
        </w:tc>
        <w:tc>
          <w:tcPr>
            <w:tcW w:w="1644" w:type="dxa"/>
            <w:vMerge w:val="restart"/>
            <w:tcBorders>
              <w:top w:val="single" w:color="auto" w:sz="4" w:space="0"/>
              <w:left w:val="single" w:color="auto" w:sz="4" w:space="0"/>
              <w:right w:val="single" w:color="auto" w:sz="4" w:space="0"/>
            </w:tcBorders>
            <w:vAlign w:val="center"/>
          </w:tcPr>
          <w:p>
            <w:pPr>
              <w:spacing w:line="360" w:lineRule="exact"/>
              <w:jc w:val="center"/>
              <w:rPr>
                <w:szCs w:val="21"/>
              </w:rPr>
            </w:pPr>
            <w:r>
              <w:rPr>
                <w:rFonts w:hint="eastAsia"/>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Cs w:val="21"/>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Cs w:val="21"/>
              </w:rPr>
            </w:pPr>
          </w:p>
        </w:tc>
        <w:tc>
          <w:tcPr>
            <w:tcW w:w="75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Cs w:val="21"/>
              </w:rPr>
            </w:pPr>
          </w:p>
        </w:tc>
        <w:tc>
          <w:tcPr>
            <w:tcW w:w="151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Cs w:val="21"/>
              </w:rPr>
            </w:pPr>
          </w:p>
        </w:tc>
        <w:tc>
          <w:tcPr>
            <w:tcW w:w="924"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szCs w:val="21"/>
              </w:rPr>
            </w:pPr>
          </w:p>
        </w:tc>
        <w:tc>
          <w:tcPr>
            <w:tcW w:w="2364"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szCs w:val="21"/>
              </w:rPr>
            </w:pPr>
          </w:p>
        </w:tc>
        <w:tc>
          <w:tcPr>
            <w:tcW w:w="1644" w:type="dxa"/>
            <w:vMerge w:val="continue"/>
            <w:tcBorders>
              <w:left w:val="single" w:color="auto" w:sz="4" w:space="0"/>
              <w:bottom w:val="single" w:color="auto" w:sz="4" w:space="0"/>
              <w:right w:val="single" w:color="auto" w:sz="4" w:space="0"/>
            </w:tcBorders>
            <w:vAlign w:val="center"/>
          </w:tcPr>
          <w:p>
            <w:pPr>
              <w:spacing w:line="360" w:lineRule="exact"/>
              <w:jc w:val="left"/>
              <w:rPr>
                <w:rFonts w:hint="eastAsia"/>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szCs w:val="21"/>
              </w:rPr>
            </w:pPr>
            <w:r>
              <w:rPr>
                <w:rFonts w:hint="eastAsia"/>
                <w:szCs w:val="21"/>
              </w:rPr>
              <w:t>1</w:t>
            </w:r>
          </w:p>
        </w:tc>
        <w:tc>
          <w:tcPr>
            <w:tcW w:w="1479"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szCs w:val="21"/>
              </w:rPr>
            </w:pPr>
            <w:r>
              <w:rPr>
                <w:rFonts w:hint="eastAsia"/>
                <w:szCs w:val="21"/>
                <w:lang w:eastAsia="zh-CN"/>
              </w:rPr>
              <w:t>喀什地区叶城县医疗垃圾无害化处理站项目环境影响评价报告书编制、环保验收服务</w:t>
            </w:r>
          </w:p>
        </w:tc>
        <w:tc>
          <w:tcPr>
            <w:tcW w:w="75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szCs w:val="21"/>
              </w:rPr>
            </w:pPr>
            <w:r>
              <w:rPr>
                <w:rFonts w:hint="eastAsia"/>
                <w:szCs w:val="21"/>
              </w:rPr>
              <w:t>1</w:t>
            </w:r>
          </w:p>
        </w:tc>
        <w:tc>
          <w:tcPr>
            <w:tcW w:w="1512" w:type="dxa"/>
            <w:tcBorders>
              <w:top w:val="single" w:color="auto" w:sz="4" w:space="0"/>
              <w:left w:val="nil"/>
              <w:bottom w:val="single" w:color="auto" w:sz="4" w:space="0"/>
              <w:right w:val="single" w:color="auto" w:sz="4" w:space="0"/>
            </w:tcBorders>
            <w:vAlign w:val="center"/>
          </w:tcPr>
          <w:p>
            <w:pPr>
              <w:spacing w:line="360" w:lineRule="exact"/>
              <w:jc w:val="center"/>
              <w:rPr>
                <w:rFonts w:hint="default" w:eastAsia="宋体"/>
                <w:szCs w:val="21"/>
                <w:lang w:val="en-US" w:eastAsia="zh-CN"/>
              </w:rPr>
            </w:pPr>
            <w:r>
              <w:rPr>
                <w:rFonts w:hint="default" w:eastAsia="宋体"/>
                <w:szCs w:val="21"/>
                <w:lang w:val="en-US" w:eastAsia="zh-CN"/>
              </w:rPr>
              <w:t>700000</w:t>
            </w:r>
          </w:p>
        </w:tc>
        <w:tc>
          <w:tcPr>
            <w:tcW w:w="92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szCs w:val="21"/>
              </w:rPr>
            </w:pPr>
            <w:r>
              <w:rPr>
                <w:rFonts w:hint="eastAsia"/>
                <w:szCs w:val="21"/>
              </w:rPr>
              <w:t>批</w:t>
            </w:r>
          </w:p>
        </w:tc>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szCs w:val="21"/>
                <w:lang w:eastAsia="zh-CN"/>
              </w:rPr>
            </w:pPr>
            <w:r>
              <w:rPr>
                <w:rFonts w:hint="eastAsia"/>
                <w:szCs w:val="21"/>
                <w:lang w:eastAsia="zh-CN"/>
              </w:rPr>
              <w:t>喀什地区叶城县医疗垃圾无害化处理站项目环境影响评价报告书编制、批复，环保验收服务。</w:t>
            </w:r>
          </w:p>
          <w:p>
            <w:pPr>
              <w:spacing w:line="360" w:lineRule="exact"/>
              <w:jc w:val="left"/>
              <w:rPr>
                <w:rFonts w:hint="eastAsia"/>
                <w:szCs w:val="21"/>
              </w:rPr>
            </w:pPr>
          </w:p>
        </w:tc>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szCs w:val="21"/>
              </w:rPr>
            </w:pPr>
          </w:p>
        </w:tc>
      </w:tr>
    </w:tbl>
    <w:p>
      <w:pPr>
        <w:pStyle w:val="3"/>
      </w:pPr>
      <w:r>
        <w:rPr>
          <w:rFonts w:hint="eastAsia"/>
        </w:rPr>
        <w:t>二、</w:t>
      </w:r>
      <w:r>
        <w:rPr>
          <w:rFonts w:hint="eastAsia"/>
          <w:lang w:eastAsia="zh-CN"/>
        </w:rPr>
        <w:t>磋商</w:t>
      </w:r>
      <w:r>
        <w:rPr>
          <w:rFonts w:hint="eastAsia"/>
        </w:rPr>
        <w:t>供应商资格要求</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spacing w:line="44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w:t>
      </w:r>
    </w:p>
    <w:p>
      <w:pPr>
        <w:ind w:firstLine="560" w:firstLineChars="200"/>
        <w:rPr>
          <w:rFonts w:hint="eastAsia" w:ascii="仿宋" w:hAnsi="仿宋" w:eastAsia="仿宋"/>
          <w:sz w:val="28"/>
          <w:szCs w:val="28"/>
        </w:rPr>
      </w:pPr>
      <w:r>
        <w:rPr>
          <w:rFonts w:hint="eastAsia" w:ascii="仿宋" w:hAnsi="仿宋" w:eastAsia="仿宋"/>
          <w:sz w:val="28"/>
          <w:szCs w:val="28"/>
        </w:rPr>
        <w:t>3.本项目的特定资格要求：</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1、投标人必须符合《中华人民共和国政府采购法》第二十二条的相关规定；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2、具有相应经营范围的企业法人营业执照、税务登记证、或三证合一的企业法人营业执照原件；</w:t>
      </w:r>
    </w:p>
    <w:p>
      <w:pPr>
        <w:spacing w:line="44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3、需提供本单位环境影响评价信用平台基本信息和信用记录截图</w:t>
      </w:r>
    </w:p>
    <w:p>
      <w:pPr>
        <w:pStyle w:val="2"/>
        <w:rPr>
          <w:rFonts w:hint="default" w:ascii="仿宋" w:hAnsi="仿宋" w:eastAsia="仿宋" w:cs="Times New Roman"/>
          <w:kern w:val="2"/>
          <w:sz w:val="28"/>
          <w:szCs w:val="28"/>
          <w:lang w:val="en-US" w:eastAsia="zh-CN" w:bidi="ar-SA"/>
        </w:rPr>
      </w:pPr>
      <w:r>
        <w:rPr>
          <w:rFonts w:hint="eastAsia"/>
          <w:lang w:val="en-US" w:eastAsia="zh-CN"/>
        </w:rPr>
        <w:t xml:space="preserve"> </w:t>
      </w:r>
      <w:r>
        <w:rPr>
          <w:rFonts w:hint="eastAsia" w:ascii="仿宋" w:hAnsi="仿宋" w:eastAsia="仿宋" w:cs="Times New Roman"/>
          <w:kern w:val="2"/>
          <w:sz w:val="28"/>
          <w:szCs w:val="28"/>
          <w:lang w:val="en-US" w:eastAsia="zh-CN" w:bidi="ar-SA"/>
        </w:rPr>
        <w:t>4、提供本单位中华人民共和国环境影响评价工程师职业资格证书</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 xml:space="preserve">、授权人投标需提供：法人授权委托书原件、法人身份证复印件盖公章及授权委托人身份证原件；法人投标需提供身份证原件；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 xml:space="preserve">、法定代表人需提供社保部门出具的投标单位缴纳的社保证明（近三个月的社保缴费凭证原件）；被委托人必须是投标单位正式员工，需提供社保部门出具的投标单位缴纳的社保证明（近三个月的社保缴费凭证）；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 xml:space="preserve">、2018年度或2019年度财务审计报告（新成立公司提供有效的银行资信证明）；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 xml:space="preserve">具有依法缴纳近半年任意三个月税收证明的良好记录；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 xml:space="preserve">在“信用中国”网站（http://www.creditchina.gov.cn）、中国政府采购网（http://www.ccgp.gov.cn）上的无不良行为记录网上截图复印件加盖公章；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 xml:space="preserve">投标单位（供应商）提供本单位在参加政府采购活动中前三年内无重大违法记录的承诺书。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sz w:val="28"/>
          <w:szCs w:val="28"/>
        </w:rPr>
        <w:t xml:space="preserve">投标单位（供应商）提供针对本次采购项目《反商业贿赂承诺书》的书面声明；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2</w:t>
      </w:r>
      <w:r>
        <w:rPr>
          <w:rFonts w:hint="eastAsia" w:ascii="仿宋" w:hAnsi="仿宋" w:eastAsia="仿宋"/>
          <w:sz w:val="28"/>
          <w:szCs w:val="28"/>
        </w:rPr>
        <w:t>、本项目不接受联合体；</w:t>
      </w:r>
      <w:bookmarkStart w:id="4" w:name="_GoBack"/>
      <w:bookmarkEnd w:id="4"/>
    </w:p>
    <w:p>
      <w:pPr>
        <w:pStyle w:val="3"/>
      </w:pPr>
      <w:r>
        <w:rPr>
          <w:rFonts w:hint="eastAsia"/>
        </w:rPr>
        <w:t>三、</w:t>
      </w:r>
      <w:r>
        <w:t> </w:t>
      </w:r>
      <w:r>
        <w:rPr>
          <w:rFonts w:hint="eastAsia"/>
          <w:lang w:eastAsia="zh-CN"/>
        </w:rPr>
        <w:t>磋商</w:t>
      </w:r>
      <w:r>
        <w:t>文件发售时间、地址、售价:</w:t>
      </w:r>
    </w:p>
    <w:p>
      <w:pPr>
        <w:spacing w:line="360" w:lineRule="exact"/>
        <w:rPr>
          <w:szCs w:val="21"/>
        </w:rPr>
      </w:pPr>
      <w:r>
        <w:rPr>
          <w:szCs w:val="21"/>
        </w:rPr>
        <w:t>1.发售时间：  </w:t>
      </w:r>
      <w:r>
        <w:rPr>
          <w:rFonts w:hint="eastAsia"/>
          <w:szCs w:val="21"/>
        </w:rPr>
        <w:t>2020年</w:t>
      </w:r>
      <w:r>
        <w:rPr>
          <w:rFonts w:hint="eastAsia"/>
          <w:szCs w:val="21"/>
          <w:lang w:val="en-US" w:eastAsia="zh-CN"/>
        </w:rPr>
        <w:t>10</w:t>
      </w:r>
      <w:r>
        <w:rPr>
          <w:rFonts w:hint="eastAsia"/>
          <w:szCs w:val="21"/>
        </w:rPr>
        <w:t>月</w:t>
      </w:r>
      <w:r>
        <w:rPr>
          <w:rFonts w:hint="eastAsia"/>
          <w:szCs w:val="21"/>
          <w:lang w:val="en-US" w:eastAsia="zh-CN"/>
        </w:rPr>
        <w:t>16</w:t>
      </w:r>
      <w:r>
        <w:rPr>
          <w:rFonts w:hint="eastAsia"/>
          <w:szCs w:val="21"/>
        </w:rPr>
        <w:t>日至2020年</w:t>
      </w:r>
      <w:r>
        <w:rPr>
          <w:rFonts w:hint="eastAsia"/>
          <w:szCs w:val="21"/>
          <w:lang w:val="en-US" w:eastAsia="zh-CN"/>
        </w:rPr>
        <w:t>10</w:t>
      </w:r>
      <w:r>
        <w:rPr>
          <w:rFonts w:hint="eastAsia"/>
          <w:szCs w:val="21"/>
        </w:rPr>
        <w:t>月</w:t>
      </w:r>
      <w:r>
        <w:rPr>
          <w:rFonts w:hint="eastAsia"/>
          <w:szCs w:val="21"/>
          <w:lang w:val="en-US" w:eastAsia="zh-CN"/>
        </w:rPr>
        <w:t>23</w:t>
      </w:r>
      <w:r>
        <w:rPr>
          <w:rFonts w:hint="eastAsia"/>
          <w:szCs w:val="21"/>
        </w:rPr>
        <w:t>日（北京时间），每天上午00:00至12:00，下午12:00至23:59（北京时间）</w:t>
      </w:r>
    </w:p>
    <w:p>
      <w:pPr>
        <w:spacing w:line="360" w:lineRule="exact"/>
        <w:rPr>
          <w:rFonts w:hint="default"/>
          <w:szCs w:val="21"/>
          <w:lang w:val="en-US" w:eastAsia="zh-CN"/>
        </w:rPr>
      </w:pPr>
      <w:r>
        <w:rPr>
          <w:szCs w:val="21"/>
        </w:rPr>
        <w:t>2.获取竞争性</w:t>
      </w:r>
      <w:r>
        <w:rPr>
          <w:rFonts w:hint="eastAsia"/>
          <w:szCs w:val="21"/>
          <w:lang w:eastAsia="zh-CN"/>
        </w:rPr>
        <w:t>磋商</w:t>
      </w:r>
      <w:r>
        <w:rPr>
          <w:szCs w:val="21"/>
        </w:rPr>
        <w:t>文件地址：</w:t>
      </w:r>
      <w:r>
        <w:rPr>
          <w:rFonts w:hint="eastAsia"/>
          <w:szCs w:val="21"/>
          <w:lang w:val="en-US" w:eastAsia="zh-CN"/>
        </w:rPr>
        <w:t>网上获取，添加微信 18799528713</w:t>
      </w:r>
    </w:p>
    <w:p>
      <w:pPr>
        <w:spacing w:line="360" w:lineRule="exact"/>
        <w:rPr>
          <w:rFonts w:hint="default" w:eastAsia="宋体"/>
          <w:szCs w:val="21"/>
          <w:lang w:val="en-US" w:eastAsia="zh-CN"/>
        </w:rPr>
      </w:pPr>
      <w:r>
        <w:rPr>
          <w:szCs w:val="21"/>
        </w:rPr>
        <w:t>3.获取竞争性</w:t>
      </w:r>
      <w:r>
        <w:rPr>
          <w:rFonts w:hint="eastAsia"/>
          <w:szCs w:val="21"/>
          <w:lang w:eastAsia="zh-CN"/>
        </w:rPr>
        <w:t>磋商</w:t>
      </w:r>
      <w:r>
        <w:rPr>
          <w:szCs w:val="21"/>
        </w:rPr>
        <w:t>文件方式：</w:t>
      </w:r>
      <w:r>
        <w:rPr>
          <w:rFonts w:hint="eastAsia"/>
          <w:szCs w:val="21"/>
          <w:lang w:val="en-US" w:eastAsia="zh-CN"/>
        </w:rPr>
        <w:t>网上转账</w:t>
      </w:r>
    </w:p>
    <w:p>
      <w:pPr>
        <w:spacing w:line="360" w:lineRule="exact"/>
        <w:rPr>
          <w:rFonts w:hint="default" w:eastAsia="宋体"/>
          <w:szCs w:val="21"/>
          <w:lang w:val="en-US" w:eastAsia="zh-CN"/>
        </w:rPr>
      </w:pPr>
      <w:r>
        <w:rPr>
          <w:szCs w:val="21"/>
        </w:rPr>
        <w:t>4.竞争性</w:t>
      </w:r>
      <w:r>
        <w:rPr>
          <w:rFonts w:hint="eastAsia"/>
          <w:szCs w:val="21"/>
          <w:lang w:eastAsia="zh-CN"/>
        </w:rPr>
        <w:t>磋商</w:t>
      </w:r>
      <w:r>
        <w:rPr>
          <w:szCs w:val="21"/>
        </w:rPr>
        <w:t>文件售价(元)：</w:t>
      </w:r>
      <w:r>
        <w:rPr>
          <w:rFonts w:hint="eastAsia"/>
          <w:szCs w:val="21"/>
          <w:lang w:val="en-US" w:eastAsia="zh-CN"/>
        </w:rPr>
        <w:t>100</w:t>
      </w:r>
    </w:p>
    <w:p>
      <w:pPr>
        <w:spacing w:line="360" w:lineRule="exact"/>
        <w:rPr>
          <w:szCs w:val="21"/>
        </w:rPr>
      </w:pPr>
      <w:r>
        <w:rPr>
          <w:rFonts w:hint="eastAsia"/>
          <w:szCs w:val="21"/>
        </w:rPr>
        <w:t>四、</w:t>
      </w:r>
      <w:r>
        <w:rPr>
          <w:szCs w:val="21"/>
        </w:rPr>
        <w:t> </w:t>
      </w:r>
      <w:r>
        <w:rPr>
          <w:rFonts w:hint="eastAsia"/>
          <w:szCs w:val="21"/>
          <w:lang w:eastAsia="zh-CN"/>
        </w:rPr>
        <w:t>磋商</w:t>
      </w:r>
      <w:r>
        <w:rPr>
          <w:szCs w:val="21"/>
        </w:rPr>
        <w:t>响应文件提交截止时间：20</w:t>
      </w:r>
      <w:r>
        <w:rPr>
          <w:rFonts w:hint="eastAsia"/>
          <w:szCs w:val="21"/>
          <w:lang w:val="en-US" w:eastAsia="zh-CN"/>
        </w:rPr>
        <w:t>20年10月26日</w:t>
      </w:r>
      <w:r>
        <w:rPr>
          <w:szCs w:val="21"/>
        </w:rPr>
        <w:t xml:space="preserve"> </w:t>
      </w:r>
      <w:r>
        <w:rPr>
          <w:rFonts w:hint="eastAsia"/>
          <w:szCs w:val="21"/>
          <w:lang w:val="en-US" w:eastAsia="zh-CN"/>
        </w:rPr>
        <w:t>11</w:t>
      </w:r>
      <w:r>
        <w:rPr>
          <w:szCs w:val="21"/>
        </w:rPr>
        <w:t>:30</w:t>
      </w:r>
      <w:r>
        <w:rPr>
          <w:rFonts w:hint="eastAsia"/>
          <w:szCs w:val="21"/>
          <w:lang w:val="en-US" w:eastAsia="zh-CN"/>
        </w:rPr>
        <w:t>时</w:t>
      </w:r>
      <w:r>
        <w:rPr>
          <w:szCs w:val="21"/>
        </w:rPr>
        <w:t> </w:t>
      </w:r>
    </w:p>
    <w:p>
      <w:pPr>
        <w:spacing w:line="360" w:lineRule="exact"/>
        <w:rPr>
          <w:rFonts w:hint="eastAsia"/>
          <w:szCs w:val="21"/>
          <w:lang w:val="en-US" w:eastAsia="zh-CN"/>
        </w:rPr>
      </w:pPr>
      <w:r>
        <w:rPr>
          <w:rFonts w:hint="eastAsia"/>
          <w:szCs w:val="21"/>
        </w:rPr>
        <w:t>五、</w:t>
      </w:r>
      <w:r>
        <w:rPr>
          <w:rFonts w:hint="eastAsia"/>
          <w:szCs w:val="21"/>
          <w:lang w:eastAsia="zh-CN"/>
        </w:rPr>
        <w:t>磋商</w:t>
      </w:r>
      <w:r>
        <w:rPr>
          <w:szCs w:val="21"/>
        </w:rPr>
        <w:t>响应文件提交地址：</w:t>
      </w:r>
      <w:r>
        <w:rPr>
          <w:rFonts w:hint="eastAsia"/>
          <w:szCs w:val="21"/>
        </w:rPr>
        <w:t>叶城县</w:t>
      </w:r>
      <w:r>
        <w:rPr>
          <w:rFonts w:hint="eastAsia"/>
          <w:szCs w:val="21"/>
          <w:lang w:val="en-US" w:eastAsia="zh-CN"/>
        </w:rPr>
        <w:t>公共资源交易中心</w:t>
      </w:r>
    </w:p>
    <w:p>
      <w:pPr>
        <w:spacing w:line="360" w:lineRule="exact"/>
        <w:rPr>
          <w:szCs w:val="21"/>
        </w:rPr>
      </w:pPr>
      <w:r>
        <w:rPr>
          <w:rFonts w:hint="eastAsia"/>
          <w:szCs w:val="21"/>
        </w:rPr>
        <w:t>六、</w:t>
      </w:r>
      <w:r>
        <w:rPr>
          <w:rFonts w:hint="eastAsia"/>
          <w:szCs w:val="21"/>
          <w:lang w:eastAsia="zh-CN"/>
        </w:rPr>
        <w:t>磋商</w:t>
      </w:r>
      <w:r>
        <w:rPr>
          <w:szCs w:val="21"/>
        </w:rPr>
        <w:t>响应文件开启时间：20</w:t>
      </w:r>
      <w:r>
        <w:rPr>
          <w:rFonts w:hint="eastAsia"/>
          <w:szCs w:val="21"/>
          <w:lang w:val="en-US" w:eastAsia="zh-CN"/>
        </w:rPr>
        <w:t>20年10月26日</w:t>
      </w:r>
      <w:r>
        <w:rPr>
          <w:szCs w:val="21"/>
        </w:rPr>
        <w:t xml:space="preserve"> </w:t>
      </w:r>
      <w:r>
        <w:rPr>
          <w:rFonts w:hint="eastAsia"/>
          <w:szCs w:val="21"/>
          <w:lang w:val="en-US" w:eastAsia="zh-CN"/>
        </w:rPr>
        <w:t>11</w:t>
      </w:r>
      <w:r>
        <w:rPr>
          <w:szCs w:val="21"/>
        </w:rPr>
        <w:t>:30</w:t>
      </w:r>
      <w:r>
        <w:rPr>
          <w:rFonts w:hint="eastAsia"/>
          <w:szCs w:val="21"/>
          <w:lang w:val="en-US" w:eastAsia="zh-CN"/>
        </w:rPr>
        <w:t>时</w:t>
      </w:r>
      <w:r>
        <w:rPr>
          <w:szCs w:val="21"/>
        </w:rPr>
        <w:t> </w:t>
      </w:r>
    </w:p>
    <w:p>
      <w:pPr>
        <w:spacing w:line="360" w:lineRule="exact"/>
        <w:rPr>
          <w:szCs w:val="21"/>
        </w:rPr>
      </w:pPr>
      <w:r>
        <w:rPr>
          <w:rFonts w:hint="eastAsia"/>
          <w:szCs w:val="21"/>
        </w:rPr>
        <w:t>七、</w:t>
      </w:r>
      <w:r>
        <w:rPr>
          <w:rFonts w:hint="eastAsia"/>
          <w:szCs w:val="21"/>
          <w:lang w:eastAsia="zh-CN"/>
        </w:rPr>
        <w:t>磋商</w:t>
      </w:r>
      <w:r>
        <w:rPr>
          <w:szCs w:val="21"/>
        </w:rPr>
        <w:t>地址：</w:t>
      </w:r>
      <w:r>
        <w:rPr>
          <w:rFonts w:hint="eastAsia"/>
          <w:szCs w:val="21"/>
        </w:rPr>
        <w:t>叶城县</w:t>
      </w:r>
      <w:r>
        <w:rPr>
          <w:rFonts w:hint="eastAsia"/>
          <w:szCs w:val="21"/>
          <w:lang w:val="en-US" w:eastAsia="zh-CN"/>
        </w:rPr>
        <w:t>公共资源交易中心</w:t>
      </w:r>
    </w:p>
    <w:p>
      <w:pPr>
        <w:spacing w:line="360" w:lineRule="exact"/>
        <w:rPr>
          <w:szCs w:val="21"/>
        </w:rPr>
      </w:pPr>
      <w:r>
        <w:rPr>
          <w:rFonts w:hint="eastAsia"/>
          <w:szCs w:val="21"/>
        </w:rPr>
        <w:t>八、</w:t>
      </w:r>
      <w:r>
        <w:rPr>
          <w:rFonts w:hint="eastAsia"/>
          <w:szCs w:val="21"/>
          <w:lang w:eastAsia="zh-CN"/>
        </w:rPr>
        <w:t>磋商</w:t>
      </w:r>
      <w:r>
        <w:rPr>
          <w:szCs w:val="21"/>
        </w:rPr>
        <w:t xml:space="preserve">保证金及交付方式：         </w:t>
      </w:r>
    </w:p>
    <w:tbl>
      <w:tblPr>
        <w:tblStyle w:val="7"/>
        <w:tblW w:w="95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6"/>
        <w:gridCol w:w="1572"/>
        <w:gridCol w:w="1044"/>
        <w:gridCol w:w="2088"/>
        <w:gridCol w:w="1835"/>
        <w:gridCol w:w="1503"/>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8" w:hRule="atLeast"/>
        </w:trPr>
        <w:tc>
          <w:tcPr>
            <w:tcW w:w="516"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序号</w:t>
            </w:r>
          </w:p>
        </w:tc>
        <w:tc>
          <w:tcPr>
            <w:tcW w:w="1572"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标项名称</w:t>
            </w:r>
          </w:p>
        </w:tc>
        <w:tc>
          <w:tcPr>
            <w:tcW w:w="1044"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投标保证金金额（元）</w:t>
            </w:r>
          </w:p>
        </w:tc>
        <w:tc>
          <w:tcPr>
            <w:tcW w:w="2088"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开户银行</w:t>
            </w:r>
          </w:p>
        </w:tc>
        <w:tc>
          <w:tcPr>
            <w:tcW w:w="1835"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收款账号</w:t>
            </w:r>
          </w:p>
        </w:tc>
        <w:tc>
          <w:tcPr>
            <w:tcW w:w="1503"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交付方式</w:t>
            </w:r>
          </w:p>
        </w:tc>
        <w:tc>
          <w:tcPr>
            <w:tcW w:w="995"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516"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1</w:t>
            </w:r>
          </w:p>
        </w:tc>
        <w:tc>
          <w:tcPr>
            <w:tcW w:w="1572"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rFonts w:hint="eastAsia"/>
                <w:szCs w:val="21"/>
                <w:lang w:eastAsia="zh-CN"/>
              </w:rPr>
              <w:t>喀什地区叶城县医疗垃圾无害化处理站项目环境影响评价报告书编制、环保验收服务</w:t>
            </w:r>
          </w:p>
        </w:tc>
        <w:tc>
          <w:tcPr>
            <w:tcW w:w="1044"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rFonts w:hint="default" w:eastAsia="宋体"/>
                <w:szCs w:val="21"/>
                <w:lang w:val="en-US" w:eastAsia="zh-CN"/>
              </w:rPr>
            </w:pPr>
            <w:r>
              <w:rPr>
                <w:rFonts w:hint="eastAsia"/>
                <w:szCs w:val="21"/>
                <w:lang w:val="en-US" w:eastAsia="zh-CN"/>
              </w:rPr>
              <w:t>10000</w:t>
            </w:r>
          </w:p>
        </w:tc>
        <w:tc>
          <w:tcPr>
            <w:tcW w:w="2088"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rFonts w:hint="eastAsia"/>
                <w:szCs w:val="21"/>
              </w:rPr>
            </w:pPr>
            <w:r>
              <w:rPr>
                <w:rFonts w:hint="eastAsia"/>
                <w:szCs w:val="21"/>
              </w:rPr>
              <w:t>中国工商银行股份有限公司喀什人民西路支行</w:t>
            </w:r>
          </w:p>
          <w:p>
            <w:pPr>
              <w:spacing w:line="360" w:lineRule="exact"/>
              <w:rPr>
                <w:szCs w:val="21"/>
              </w:rPr>
            </w:pPr>
          </w:p>
        </w:tc>
        <w:tc>
          <w:tcPr>
            <w:tcW w:w="1835"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ind w:left="210" w:hanging="210" w:hangingChars="100"/>
              <w:rPr>
                <w:rFonts w:hint="eastAsia"/>
                <w:szCs w:val="21"/>
              </w:rPr>
            </w:pPr>
            <w:r>
              <w:rPr>
                <w:rFonts w:hint="eastAsia"/>
                <w:szCs w:val="21"/>
              </w:rPr>
              <w:t>3012342909000008301</w:t>
            </w:r>
          </w:p>
          <w:p>
            <w:pPr>
              <w:spacing w:line="360" w:lineRule="exact"/>
              <w:ind w:left="210" w:hanging="210" w:hangingChars="100"/>
              <w:rPr>
                <w:szCs w:val="21"/>
              </w:rPr>
            </w:pPr>
          </w:p>
        </w:tc>
        <w:tc>
          <w:tcPr>
            <w:tcW w:w="1503"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szCs w:val="21"/>
              </w:rPr>
              <w:t>电子汇款或转账</w:t>
            </w:r>
          </w:p>
        </w:tc>
        <w:tc>
          <w:tcPr>
            <w:tcW w:w="995" w:type="dxa"/>
            <w:tcBorders>
              <w:top w:val="single" w:color="auto" w:sz="4" w:space="0"/>
              <w:left w:val="single" w:color="auto" w:sz="4" w:space="0"/>
              <w:bottom w:val="single" w:color="auto" w:sz="4" w:space="0"/>
              <w:right w:val="single" w:color="auto" w:sz="4" w:space="0"/>
            </w:tcBorders>
            <w:tcMar>
              <w:top w:w="60" w:type="dxa"/>
              <w:left w:w="120" w:type="dxa"/>
              <w:bottom w:w="60" w:type="dxa"/>
              <w:right w:w="120" w:type="dxa"/>
            </w:tcMar>
            <w:vAlign w:val="center"/>
          </w:tcPr>
          <w:p>
            <w:pPr>
              <w:spacing w:line="360" w:lineRule="exact"/>
              <w:rPr>
                <w:szCs w:val="21"/>
              </w:rPr>
            </w:pPr>
            <w:r>
              <w:rPr>
                <w:rFonts w:hint="eastAsia"/>
                <w:szCs w:val="21"/>
              </w:rPr>
              <w:t>从</w:t>
            </w:r>
            <w:r>
              <w:rPr>
                <w:szCs w:val="21"/>
              </w:rPr>
              <w:t>基本账户转出</w:t>
            </w:r>
          </w:p>
        </w:tc>
      </w:tr>
    </w:tbl>
    <w:p>
      <w:pPr>
        <w:spacing w:line="360" w:lineRule="exact"/>
        <w:rPr>
          <w:szCs w:val="21"/>
        </w:rPr>
      </w:pPr>
      <w:r>
        <w:rPr>
          <w:rStyle w:val="16"/>
          <w:rFonts w:hint="eastAsia"/>
        </w:rPr>
        <w:t>九、</w:t>
      </w:r>
      <w:r>
        <w:rPr>
          <w:rStyle w:val="16"/>
        </w:rPr>
        <w:t>其他事项</w:t>
      </w:r>
      <w:r>
        <w:rPr>
          <w:szCs w:val="21"/>
        </w:rPr>
        <w:t>：</w:t>
      </w:r>
    </w:p>
    <w:p>
      <w:pPr>
        <w:spacing w:line="360" w:lineRule="exact"/>
        <w:rPr>
          <w:szCs w:val="21"/>
        </w:rPr>
      </w:pPr>
      <w:r>
        <w:rPr>
          <w:szCs w:val="21"/>
        </w:rPr>
        <w:t>1、本项目公告期限为3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exact"/>
        <w:rPr>
          <w:szCs w:val="21"/>
        </w:rPr>
      </w:pPr>
      <w:r>
        <w:rPr>
          <w:szCs w:val="21"/>
        </w:rPr>
        <w:t>2、购买竞争性</w:t>
      </w:r>
      <w:r>
        <w:rPr>
          <w:rFonts w:hint="eastAsia"/>
          <w:szCs w:val="21"/>
          <w:lang w:eastAsia="zh-CN"/>
        </w:rPr>
        <w:t>磋商</w:t>
      </w:r>
      <w:r>
        <w:rPr>
          <w:szCs w:val="21"/>
        </w:rPr>
        <w:t>文件时须提交的文件资料</w:t>
      </w:r>
    </w:p>
    <w:p>
      <w:pPr>
        <w:pStyle w:val="3"/>
      </w:pPr>
      <w:r>
        <w:t> </w:t>
      </w:r>
      <w:r>
        <w:rPr>
          <w:rFonts w:hint="eastAsia"/>
        </w:rPr>
        <w:t>十、</w:t>
      </w:r>
      <w:r>
        <w:t>联系方式</w:t>
      </w:r>
    </w:p>
    <w:p>
      <w:pPr>
        <w:autoSpaceDE w:val="0"/>
        <w:autoSpaceDN w:val="0"/>
        <w:adjustRightInd w:val="0"/>
        <w:snapToGrid w:val="0"/>
        <w:spacing w:line="400" w:lineRule="exact"/>
        <w:rPr>
          <w:rFonts w:hint="eastAsia" w:ascii="宋体" w:hAnsi="宋体" w:cs="宋体"/>
          <w:sz w:val="32"/>
          <w:szCs w:val="32"/>
        </w:rPr>
      </w:pPr>
      <w:r>
        <w:rPr>
          <w:rFonts w:hint="eastAsia" w:ascii="宋体" w:hAnsi="宋体" w:cs="宋体"/>
          <w:sz w:val="32"/>
          <w:szCs w:val="32"/>
        </w:rPr>
        <w:t xml:space="preserve">名    称：叶城县卫生健康委员会 </w:t>
      </w:r>
    </w:p>
    <w:p>
      <w:pPr>
        <w:autoSpaceDE w:val="0"/>
        <w:autoSpaceDN w:val="0"/>
        <w:adjustRightInd w:val="0"/>
        <w:snapToGrid w:val="0"/>
        <w:spacing w:line="400" w:lineRule="exact"/>
        <w:rPr>
          <w:rFonts w:hint="eastAsia" w:ascii="宋体" w:hAnsi="宋体" w:cs="宋体"/>
          <w:sz w:val="32"/>
          <w:szCs w:val="32"/>
        </w:rPr>
      </w:pPr>
      <w:r>
        <w:rPr>
          <w:rFonts w:hint="eastAsia" w:ascii="宋体" w:hAnsi="宋体" w:cs="宋体"/>
          <w:sz w:val="32"/>
          <w:szCs w:val="32"/>
        </w:rPr>
        <w:t xml:space="preserve">地    址：叶城县卫生健康委员会 </w:t>
      </w:r>
    </w:p>
    <w:p>
      <w:pPr>
        <w:autoSpaceDE w:val="0"/>
        <w:autoSpaceDN w:val="0"/>
        <w:adjustRightInd w:val="0"/>
        <w:snapToGrid w:val="0"/>
        <w:spacing w:line="400" w:lineRule="exact"/>
        <w:rPr>
          <w:rFonts w:hint="eastAsia" w:ascii="宋体" w:hAnsi="宋体" w:cs="宋体"/>
          <w:sz w:val="32"/>
          <w:szCs w:val="32"/>
          <w:lang w:val="en-US"/>
        </w:rPr>
      </w:pPr>
      <w:r>
        <w:rPr>
          <w:rFonts w:hint="eastAsia" w:ascii="宋体" w:hAnsi="宋体" w:cs="宋体"/>
          <w:sz w:val="32"/>
          <w:szCs w:val="32"/>
        </w:rPr>
        <w:t>项目联系人：</w:t>
      </w:r>
      <w:r>
        <w:rPr>
          <w:rFonts w:hint="eastAsia" w:ascii="宋体" w:hAnsi="宋体" w:cs="宋体"/>
          <w:sz w:val="32"/>
          <w:szCs w:val="32"/>
          <w:lang w:val="en-US" w:eastAsia="zh-CN"/>
        </w:rPr>
        <w:t>王力军</w:t>
      </w:r>
    </w:p>
    <w:p>
      <w:pPr>
        <w:autoSpaceDE w:val="0"/>
        <w:autoSpaceDN w:val="0"/>
        <w:adjustRightInd w:val="0"/>
        <w:snapToGrid w:val="0"/>
        <w:spacing w:line="400" w:lineRule="exact"/>
        <w:rPr>
          <w:rFonts w:hint="eastAsia" w:ascii="宋体" w:hAnsi="宋体" w:cs="宋体"/>
          <w:sz w:val="32"/>
          <w:szCs w:val="32"/>
          <w:lang w:val="en-US"/>
        </w:rPr>
      </w:pPr>
      <w:r>
        <w:rPr>
          <w:rFonts w:hint="eastAsia" w:ascii="宋体" w:hAnsi="宋体" w:cs="宋体"/>
          <w:sz w:val="32"/>
          <w:szCs w:val="32"/>
        </w:rPr>
        <w:t>联系方式：</w:t>
      </w:r>
      <w:r>
        <w:rPr>
          <w:rFonts w:hint="eastAsia" w:ascii="宋体" w:hAnsi="宋体" w:cs="宋体"/>
          <w:sz w:val="32"/>
          <w:szCs w:val="32"/>
          <w:lang w:val="en-US" w:eastAsia="zh-CN"/>
        </w:rPr>
        <w:t>13379740746</w:t>
      </w:r>
    </w:p>
    <w:p>
      <w:pPr>
        <w:autoSpaceDE w:val="0"/>
        <w:autoSpaceDN w:val="0"/>
        <w:adjustRightInd w:val="0"/>
        <w:snapToGrid w:val="0"/>
        <w:spacing w:line="400" w:lineRule="exact"/>
        <w:rPr>
          <w:rFonts w:hint="eastAsia" w:ascii="宋体" w:hAnsi="宋体" w:cs="宋体"/>
          <w:sz w:val="32"/>
          <w:szCs w:val="32"/>
        </w:rPr>
      </w:pPr>
      <w:bookmarkStart w:id="0" w:name="_Toc28359020"/>
      <w:bookmarkStart w:id="1" w:name="_Toc28359097"/>
      <w:bookmarkStart w:id="2" w:name="_Toc35393638"/>
      <w:bookmarkStart w:id="3" w:name="_Toc35393807"/>
      <w:r>
        <w:rPr>
          <w:rFonts w:hint="eastAsia" w:ascii="宋体" w:hAnsi="宋体" w:cs="宋体"/>
          <w:sz w:val="32"/>
          <w:szCs w:val="32"/>
        </w:rPr>
        <w:t>2.采购代理机构信息</w:t>
      </w:r>
      <w:bookmarkEnd w:id="0"/>
      <w:bookmarkEnd w:id="1"/>
      <w:bookmarkEnd w:id="2"/>
      <w:bookmarkEnd w:id="3"/>
    </w:p>
    <w:p>
      <w:pPr>
        <w:autoSpaceDE w:val="0"/>
        <w:autoSpaceDN w:val="0"/>
        <w:adjustRightInd w:val="0"/>
        <w:snapToGrid w:val="0"/>
        <w:spacing w:line="400" w:lineRule="exact"/>
        <w:rPr>
          <w:rFonts w:hint="eastAsia" w:ascii="宋体" w:hAnsi="宋体" w:cs="宋体"/>
          <w:sz w:val="32"/>
          <w:szCs w:val="32"/>
          <w:lang w:eastAsia="zh-CN"/>
        </w:rPr>
      </w:pPr>
      <w:r>
        <w:rPr>
          <w:rFonts w:hint="eastAsia" w:ascii="宋体" w:hAnsi="宋体" w:cs="宋体"/>
          <w:sz w:val="32"/>
          <w:szCs w:val="32"/>
        </w:rPr>
        <w:t>名    称：</w:t>
      </w:r>
      <w:r>
        <w:rPr>
          <w:rFonts w:hint="eastAsia" w:ascii="宋体" w:hAnsi="宋体" w:cs="宋体"/>
          <w:sz w:val="32"/>
          <w:szCs w:val="32"/>
          <w:lang w:val="en-US" w:eastAsia="zh-CN"/>
        </w:rPr>
        <w:t>新疆爱满疆工程咨询有限公司</w:t>
      </w:r>
    </w:p>
    <w:p>
      <w:pPr>
        <w:autoSpaceDE w:val="0"/>
        <w:autoSpaceDN w:val="0"/>
        <w:adjustRightInd w:val="0"/>
        <w:snapToGrid w:val="0"/>
        <w:spacing w:line="400" w:lineRule="exact"/>
        <w:rPr>
          <w:rFonts w:hint="eastAsia" w:ascii="宋体" w:hAnsi="宋体" w:cs="宋体"/>
          <w:sz w:val="32"/>
          <w:szCs w:val="32"/>
          <w:lang w:val="en-US" w:eastAsia="zh-CN"/>
        </w:rPr>
      </w:pPr>
      <w:r>
        <w:rPr>
          <w:rFonts w:hint="eastAsia" w:ascii="宋体" w:hAnsi="宋体" w:cs="宋体"/>
          <w:sz w:val="32"/>
          <w:szCs w:val="32"/>
        </w:rPr>
        <w:t>地　　址：</w:t>
      </w:r>
      <w:r>
        <w:rPr>
          <w:rFonts w:hint="eastAsia" w:ascii="宋体" w:hAnsi="宋体" w:cs="宋体"/>
          <w:sz w:val="32"/>
          <w:szCs w:val="32"/>
          <w:lang w:val="en-US" w:eastAsia="zh-CN"/>
        </w:rPr>
        <w:t>喀什市深喀大道丝路人才大厦7004室</w:t>
      </w:r>
    </w:p>
    <w:p>
      <w:pPr>
        <w:autoSpaceDE w:val="0"/>
        <w:autoSpaceDN w:val="0"/>
        <w:adjustRightInd w:val="0"/>
        <w:snapToGrid w:val="0"/>
        <w:spacing w:line="400" w:lineRule="exact"/>
        <w:rPr>
          <w:rFonts w:hint="eastAsia" w:ascii="宋体" w:hAnsi="宋体" w:cs="宋体"/>
          <w:sz w:val="32"/>
          <w:szCs w:val="32"/>
          <w:lang w:val="en-US" w:eastAsia="zh-CN"/>
        </w:rPr>
      </w:pPr>
      <w:r>
        <w:rPr>
          <w:rFonts w:hint="eastAsia" w:ascii="宋体" w:hAnsi="宋体" w:cs="宋体"/>
          <w:sz w:val="32"/>
          <w:szCs w:val="32"/>
        </w:rPr>
        <w:t>项目联系人（询问）：</w:t>
      </w:r>
      <w:r>
        <w:rPr>
          <w:rFonts w:hint="eastAsia" w:ascii="宋体" w:hAnsi="宋体" w:cs="宋体"/>
          <w:sz w:val="32"/>
          <w:szCs w:val="32"/>
          <w:lang w:val="en-US" w:eastAsia="zh-CN"/>
        </w:rPr>
        <w:t>李洋</w:t>
      </w:r>
    </w:p>
    <w:p>
      <w:pPr>
        <w:autoSpaceDE w:val="0"/>
        <w:autoSpaceDN w:val="0"/>
        <w:adjustRightInd w:val="0"/>
        <w:snapToGrid w:val="0"/>
        <w:spacing w:line="400" w:lineRule="exact"/>
        <w:rPr>
          <w:rFonts w:hint="eastAsia" w:ascii="宋体" w:hAnsi="宋体" w:cs="宋体"/>
          <w:sz w:val="32"/>
          <w:szCs w:val="32"/>
        </w:rPr>
      </w:pPr>
      <w:r>
        <w:rPr>
          <w:rFonts w:hint="eastAsia" w:ascii="宋体" w:hAnsi="宋体" w:cs="宋体"/>
          <w:sz w:val="32"/>
          <w:szCs w:val="32"/>
        </w:rPr>
        <w:t>联系方式：</w:t>
      </w:r>
      <w:r>
        <w:rPr>
          <w:rFonts w:hint="eastAsia" w:ascii="宋体" w:hAnsi="宋体" w:cs="宋体"/>
          <w:sz w:val="32"/>
          <w:szCs w:val="32"/>
          <w:lang w:val="en-US" w:eastAsia="zh-CN"/>
        </w:rPr>
        <w:t>13139988073</w:t>
      </w:r>
    </w:p>
    <w:p>
      <w:pPr>
        <w:autoSpaceDE w:val="0"/>
        <w:autoSpaceDN w:val="0"/>
        <w:adjustRightInd w:val="0"/>
        <w:snapToGrid w:val="0"/>
        <w:spacing w:line="400" w:lineRule="exact"/>
        <w:rPr>
          <w:rFonts w:hint="eastAsia" w:ascii="宋体" w:hAnsi="宋体" w:cs="宋体"/>
          <w:sz w:val="32"/>
          <w:szCs w:val="32"/>
        </w:rPr>
      </w:pPr>
    </w:p>
    <w:p>
      <w:pPr>
        <w:autoSpaceDE w:val="0"/>
        <w:autoSpaceDN w:val="0"/>
        <w:adjustRightInd w:val="0"/>
        <w:snapToGrid w:val="0"/>
        <w:spacing w:line="560" w:lineRule="exact"/>
        <w:ind w:firstLine="3313" w:firstLineChars="1100"/>
        <w:rPr>
          <w:rFonts w:hint="eastAsia" w:ascii="宋体" w:hAnsi="宋体" w:cs="宋体"/>
          <w:b/>
          <w:bCs/>
          <w:sz w:val="30"/>
          <w:szCs w:val="30"/>
        </w:rPr>
      </w:pPr>
    </w:p>
    <w:p>
      <w:pPr>
        <w:widowControl w:val="0"/>
        <w:wordWrap/>
        <w:adjustRightInd/>
        <w:snapToGrid/>
        <w:spacing w:line="360" w:lineRule="exact"/>
        <w:textAlignment w:val="auto"/>
        <w:rPr>
          <w:rFonts w:hint="eastAsia"/>
          <w:sz w:val="21"/>
          <w:szCs w:val="21"/>
          <w:lang w:val="en-US" w:eastAsia="zh-CN"/>
        </w:rPr>
      </w:pPr>
    </w:p>
    <w:sectPr>
      <w:headerReference r:id="rId3" w:type="default"/>
      <w:footerReference r:id="rId4" w:type="default"/>
      <w:pgSz w:w="11906" w:h="16838"/>
      <w:pgMar w:top="1020" w:right="1274" w:bottom="1020"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rFonts w:ascii="Calibri" w:hAnsi="Calibri" w:eastAsia="宋体" w:cs="Times New Roman"/>
        <w:kern w:val="2"/>
        <w:sz w:val="18"/>
        <w:szCs w:val="18"/>
        <w:lang w:val="en-US" w:eastAsia="zh-CN" w:bidi="ar-SA"/>
      </w:rPr>
      <w:pict>
        <v:shape id="Quad Arrow 3073"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81DF4"/>
    <w:rsid w:val="023870EA"/>
    <w:rsid w:val="029D4B87"/>
    <w:rsid w:val="0BC75266"/>
    <w:rsid w:val="20AC28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0"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6"/>
    <w:qFormat/>
    <w:locked/>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qFormat/>
    <w:locked/>
    <w:uiPriority w:val="0"/>
    <w:pPr>
      <w:autoSpaceDE w:val="0"/>
      <w:autoSpaceDN w:val="0"/>
      <w:adjustRightInd w:val="0"/>
      <w:ind w:firstLine="420"/>
      <w:jc w:val="left"/>
    </w:pPr>
    <w:rPr>
      <w:rFonts w:ascii="宋体"/>
      <w:kern w:val="0"/>
      <w:sz w:val="24"/>
      <w:szCs w:val="20"/>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locked/>
    <w:uiPriority w:val="22"/>
    <w:rPr>
      <w:b/>
    </w:rPr>
  </w:style>
  <w:style w:type="character" w:styleId="10">
    <w:name w:val="FollowedHyperlink"/>
    <w:basedOn w:val="8"/>
    <w:qFormat/>
    <w:uiPriority w:val="99"/>
    <w:rPr>
      <w:rFonts w:cs="Times New Roman"/>
      <w:color w:val="000000"/>
      <w:u w:val="none"/>
    </w:rPr>
  </w:style>
  <w:style w:type="character" w:styleId="11">
    <w:name w:val="Emphasis"/>
    <w:basedOn w:val="8"/>
    <w:qFormat/>
    <w:locked/>
    <w:uiPriority w:val="20"/>
    <w:rPr>
      <w:i/>
    </w:rPr>
  </w:style>
  <w:style w:type="character" w:styleId="12">
    <w:name w:val="Hyperlink"/>
    <w:basedOn w:val="8"/>
    <w:qFormat/>
    <w:uiPriority w:val="99"/>
    <w:rPr>
      <w:rFonts w:cs="Times New Roman"/>
      <w:color w:val="000000"/>
      <w:u w:val="none"/>
    </w:rPr>
  </w:style>
  <w:style w:type="character" w:customStyle="1" w:styleId="13">
    <w:name w:val="overfont"/>
    <w:basedOn w:val="8"/>
    <w:qFormat/>
    <w:uiPriority w:val="99"/>
    <w:rPr>
      <w:rFonts w:cs="Times New Roman"/>
    </w:rPr>
  </w:style>
  <w:style w:type="character" w:customStyle="1" w:styleId="14">
    <w:name w:val="页眉 Char"/>
    <w:basedOn w:val="8"/>
    <w:link w:val="5"/>
    <w:semiHidden/>
    <w:qFormat/>
    <w:locked/>
    <w:uiPriority w:val="99"/>
    <w:rPr>
      <w:rFonts w:ascii="Calibri" w:hAnsi="Calibri" w:cs="Times New Roman"/>
      <w:sz w:val="18"/>
      <w:szCs w:val="18"/>
    </w:rPr>
  </w:style>
  <w:style w:type="character" w:customStyle="1" w:styleId="15">
    <w:name w:val="页脚 Char"/>
    <w:basedOn w:val="8"/>
    <w:link w:val="4"/>
    <w:semiHidden/>
    <w:qFormat/>
    <w:locked/>
    <w:uiPriority w:val="99"/>
    <w:rPr>
      <w:rFonts w:ascii="Calibri" w:hAnsi="Calibri" w:cs="Times New Roman"/>
      <w:sz w:val="18"/>
      <w:szCs w:val="18"/>
    </w:rPr>
  </w:style>
  <w:style w:type="character" w:customStyle="1" w:styleId="16">
    <w:name w:val="标题 2 Char"/>
    <w:link w:val="3"/>
    <w:uiPriority w:val="0"/>
    <w:rPr>
      <w:rFonts w:ascii="Arial" w:hAnsi="Arial" w:eastAsia="黑体" w:cs="Arial"/>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197</Words>
  <Characters>1128</Characters>
  <Lines>9</Lines>
  <Paragraphs>2</Paragraphs>
  <TotalTime>46</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2017-12-07T10:29:00Z</dcterms:created>
  <dc:creator>T18160608828</dc:creator>
  <cp:lastModifiedBy>起点小许18690253508</cp:lastModifiedBy>
  <cp:lastPrinted>2018-01-29T02:36:00Z</cp:lastPrinted>
  <dcterms:modified xsi:type="dcterms:W3CDTF">2020-10-16T10:38:47Z</dcterms:modified>
  <dc:title>喀什地区叶城县医疗垃圾无害化处理站项目环境影响评价报告书编制、环保验收服务竞争性磋商公告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