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00" w:beforeAutospacing="1" w:after="100" w:afterAutospacing="1" w:line="400" w:lineRule="exact"/>
        <w:jc w:val="center"/>
        <w:rPr>
          <w:rFonts w:hint="eastAsia" w:ascii="楷体" w:hAnsi="楷体" w:eastAsia="楷体" w:cs="宋体"/>
          <w:b/>
          <w:bCs/>
          <w:kern w:val="2"/>
          <w:sz w:val="32"/>
          <w:szCs w:val="32"/>
        </w:rPr>
      </w:pPr>
      <w:r>
        <w:rPr>
          <w:rFonts w:hint="eastAsia" w:ascii="楷体" w:hAnsi="楷体" w:eastAsia="楷体" w:cs="宋体"/>
          <w:b/>
          <w:bCs/>
          <w:kern w:val="2"/>
          <w:sz w:val="32"/>
          <w:szCs w:val="32"/>
          <w:lang w:eastAsia="zh-CN"/>
        </w:rPr>
        <w:t>喀什综保区跨境电商监管查验系统采购及安装项目公开招标</w:t>
      </w:r>
      <w:r>
        <w:rPr>
          <w:rFonts w:hint="eastAsia" w:ascii="楷体" w:hAnsi="楷体" w:eastAsia="楷体" w:cs="宋体"/>
          <w:b/>
          <w:bCs/>
          <w:kern w:val="2"/>
          <w:sz w:val="32"/>
          <w:szCs w:val="32"/>
        </w:rPr>
        <w:t>公告</w:t>
      </w:r>
    </w:p>
    <w:p>
      <w:pPr>
        <w:adjustRightInd/>
        <w:snapToGrid/>
        <w:spacing w:before="75" w:after="75"/>
        <w:rPr>
          <w:rFonts w:ascii="宋体" w:hAnsi="宋体" w:eastAsia="宋体" w:cs="宋体"/>
          <w:sz w:val="21"/>
          <w:szCs w:val="21"/>
        </w:rPr>
      </w:pPr>
      <w:r>
        <w:rPr>
          <w:rFonts w:ascii="宋体" w:hAnsi="宋体" w:eastAsia="宋体" w:cs="宋体"/>
          <w:b/>
          <w:bCs/>
          <w:sz w:val="21"/>
          <w:szCs w:val="21"/>
        </w:rPr>
        <w:t>一、    项目编号：</w:t>
      </w:r>
      <w:r>
        <w:rPr>
          <w:rFonts w:ascii="宋体" w:hAnsi="宋体" w:eastAsia="宋体" w:cs="宋体"/>
          <w:sz w:val="21"/>
          <w:szCs w:val="21"/>
        </w:rPr>
        <w:t> </w:t>
      </w:r>
      <w:r>
        <w:rPr>
          <w:rFonts w:hint="eastAsia" w:ascii="宋体" w:hAnsi="宋体" w:eastAsia="宋体" w:cs="宋体"/>
          <w:sz w:val="21"/>
          <w:szCs w:val="21"/>
          <w:lang w:eastAsia="zh-CN"/>
        </w:rPr>
        <w:t>KSJJKFQZFCG(GK)2020-0</w:t>
      </w:r>
      <w:r>
        <w:rPr>
          <w:rFonts w:hint="eastAsia" w:ascii="宋体" w:hAnsi="宋体" w:eastAsia="宋体" w:cs="宋体"/>
          <w:sz w:val="21"/>
          <w:szCs w:val="21"/>
          <w:lang w:val="en-US" w:eastAsia="zh-CN"/>
        </w:rPr>
        <w:t>05</w:t>
      </w:r>
      <w:r>
        <w:rPr>
          <w:rFonts w:ascii="宋体" w:hAnsi="宋体" w:eastAsia="宋体" w:cs="宋体"/>
          <w:sz w:val="21"/>
          <w:szCs w:val="21"/>
        </w:rPr>
        <w:t>号</w:t>
      </w:r>
    </w:p>
    <w:p>
      <w:pPr>
        <w:adjustRightInd/>
        <w:snapToGrid/>
        <w:spacing w:before="75" w:after="75"/>
        <w:rPr>
          <w:rFonts w:ascii="宋体" w:hAnsi="宋体" w:eastAsia="宋体" w:cs="宋体"/>
          <w:sz w:val="21"/>
          <w:szCs w:val="21"/>
        </w:rPr>
      </w:pPr>
      <w:r>
        <w:rPr>
          <w:rFonts w:ascii="宋体" w:hAnsi="宋体" w:eastAsia="宋体" w:cs="宋体"/>
          <w:b/>
          <w:bCs/>
          <w:sz w:val="21"/>
          <w:szCs w:val="21"/>
        </w:rPr>
        <w:t>二、    采购组织类型：</w:t>
      </w:r>
      <w:r>
        <w:rPr>
          <w:rFonts w:ascii="宋体" w:hAnsi="宋体" w:eastAsia="宋体" w:cs="宋体"/>
          <w:sz w:val="21"/>
          <w:szCs w:val="21"/>
        </w:rPr>
        <w:t> 分散采购-分散委托中介</w:t>
      </w:r>
    </w:p>
    <w:p>
      <w:pPr>
        <w:adjustRightInd/>
        <w:snapToGrid/>
        <w:spacing w:before="75" w:after="75"/>
        <w:rPr>
          <w:rFonts w:ascii="宋体" w:hAnsi="宋体" w:eastAsia="宋体" w:cs="宋体"/>
          <w:sz w:val="21"/>
          <w:szCs w:val="21"/>
        </w:rPr>
      </w:pPr>
      <w:r>
        <w:rPr>
          <w:rFonts w:ascii="宋体" w:hAnsi="宋体" w:eastAsia="宋体" w:cs="宋体"/>
          <w:b/>
          <w:bCs/>
          <w:sz w:val="21"/>
          <w:szCs w:val="21"/>
        </w:rPr>
        <w:t>三、    项目概况：</w:t>
      </w:r>
    </w:p>
    <w:tbl>
      <w:tblPr>
        <w:tblStyle w:val="8"/>
        <w:tblW w:w="5000" w:type="pct"/>
        <w:tblInd w:w="0" w:type="dxa"/>
        <w:tblLayout w:type="fixed"/>
        <w:tblCellMar>
          <w:top w:w="15" w:type="dxa"/>
          <w:left w:w="15" w:type="dxa"/>
          <w:bottom w:w="15" w:type="dxa"/>
          <w:right w:w="15" w:type="dxa"/>
        </w:tblCellMar>
      </w:tblPr>
      <w:tblGrid>
        <w:gridCol w:w="1231"/>
        <w:gridCol w:w="1232"/>
        <w:gridCol w:w="505"/>
        <w:gridCol w:w="1151"/>
        <w:gridCol w:w="708"/>
        <w:gridCol w:w="2270"/>
        <w:gridCol w:w="1509"/>
      </w:tblGrid>
      <w:tr>
        <w:tblPrEx>
          <w:tblCellMar>
            <w:top w:w="15" w:type="dxa"/>
            <w:left w:w="15" w:type="dxa"/>
            <w:bottom w:w="15" w:type="dxa"/>
            <w:right w:w="15" w:type="dxa"/>
          </w:tblCellMar>
        </w:tblPrEx>
        <w:trPr>
          <w:trHeight w:val="620" w:hRule="atLeast"/>
        </w:trPr>
        <w:tc>
          <w:tcPr>
            <w:tcW w:w="715"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标项序号</w:t>
            </w:r>
          </w:p>
        </w:tc>
        <w:tc>
          <w:tcPr>
            <w:tcW w:w="715"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标项名称</w:t>
            </w:r>
          </w:p>
        </w:tc>
        <w:tc>
          <w:tcPr>
            <w:tcW w:w="29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数量</w:t>
            </w:r>
          </w:p>
        </w:tc>
        <w:tc>
          <w:tcPr>
            <w:tcW w:w="668"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预算金额(元)</w:t>
            </w:r>
          </w:p>
        </w:tc>
        <w:tc>
          <w:tcPr>
            <w:tcW w:w="411"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单位</w:t>
            </w:r>
          </w:p>
        </w:tc>
        <w:tc>
          <w:tcPr>
            <w:tcW w:w="1318"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简要规格描述</w:t>
            </w:r>
          </w:p>
        </w:tc>
        <w:tc>
          <w:tcPr>
            <w:tcW w:w="876"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备注</w:t>
            </w:r>
          </w:p>
        </w:tc>
      </w:tr>
      <w:tr>
        <w:tblPrEx>
          <w:tblCellMar>
            <w:top w:w="15" w:type="dxa"/>
            <w:left w:w="15" w:type="dxa"/>
            <w:bottom w:w="15" w:type="dxa"/>
            <w:right w:w="15" w:type="dxa"/>
          </w:tblCellMar>
        </w:tblPrEx>
        <w:tc>
          <w:tcPr>
            <w:tcW w:w="715"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1</w:t>
            </w:r>
          </w:p>
        </w:tc>
        <w:tc>
          <w:tcPr>
            <w:tcW w:w="715"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hint="eastAsia" w:ascii="宋体" w:hAnsi="宋体" w:eastAsia="宋体" w:cs="宋体"/>
                <w:sz w:val="21"/>
                <w:szCs w:val="21"/>
                <w:lang w:eastAsia="zh-CN"/>
              </w:rPr>
              <w:t>喀什综保区跨境电商监管查验系统采购及安装项目</w:t>
            </w:r>
          </w:p>
        </w:tc>
        <w:tc>
          <w:tcPr>
            <w:tcW w:w="29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1</w:t>
            </w:r>
          </w:p>
        </w:tc>
        <w:tc>
          <w:tcPr>
            <w:tcW w:w="668"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7430000</w:t>
            </w:r>
          </w:p>
        </w:tc>
        <w:tc>
          <w:tcPr>
            <w:tcW w:w="411"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批</w:t>
            </w:r>
          </w:p>
        </w:tc>
        <w:tc>
          <w:tcPr>
            <w:tcW w:w="1318"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hint="eastAsia" w:ascii="宋体" w:hAnsi="宋体" w:eastAsia="宋体" w:cs="宋体"/>
                <w:sz w:val="21"/>
                <w:szCs w:val="21"/>
                <w:lang w:val="en-US" w:eastAsia="zh-CN"/>
              </w:rPr>
              <w:t>对海关查验仓库包裹的自动称重、复测、分拣功能，提升海关查验仓库包裹的分拣准确性,采购分拣线系统、视频监控系统、无线AP系统、跨境电商平台等。（具体采购内容详见预算通知书清单）</w:t>
            </w:r>
          </w:p>
        </w:tc>
        <w:tc>
          <w:tcPr>
            <w:tcW w:w="876"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注：为说明产品质量，不可避免的出现品牌、型号、产地等信息，但仅限于说明产品质量信息，各供应商需提供等于或高于本参数所规定的产品。</w:t>
            </w:r>
          </w:p>
        </w:tc>
      </w:tr>
    </w:tbl>
    <w:p>
      <w:pPr>
        <w:adjustRightInd/>
        <w:snapToGrid/>
        <w:spacing w:before="75" w:after="75"/>
        <w:rPr>
          <w:rFonts w:ascii="宋体" w:hAnsi="宋体" w:eastAsia="宋体" w:cs="宋体"/>
          <w:sz w:val="21"/>
          <w:szCs w:val="21"/>
        </w:rPr>
      </w:pPr>
    </w:p>
    <w:p>
      <w:pPr>
        <w:adjustRightInd/>
        <w:snapToGrid/>
        <w:spacing w:before="75" w:after="75"/>
        <w:rPr>
          <w:rFonts w:ascii="宋体" w:hAnsi="宋体" w:eastAsia="宋体" w:cs="宋体"/>
          <w:b/>
          <w:bCs/>
          <w:sz w:val="21"/>
          <w:szCs w:val="21"/>
        </w:rPr>
      </w:pPr>
      <w:r>
        <w:rPr>
          <w:rFonts w:hint="default" w:ascii="宋体" w:hAnsi="宋体" w:eastAsia="宋体" w:cs="宋体"/>
          <w:b/>
          <w:bCs/>
          <w:sz w:val="21"/>
          <w:szCs w:val="21"/>
        </w:rPr>
        <w:t>四、   投标供应商资格要求:</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b/>
          <w:bCs/>
          <w:sz w:val="21"/>
          <w:szCs w:val="21"/>
        </w:rPr>
        <w:t> </w:t>
      </w:r>
      <w:r>
        <w:rPr>
          <w:rFonts w:hint="eastAsia" w:ascii="宋体" w:hAnsi="宋体" w:eastAsia="宋体" w:cs="宋体"/>
          <w:b/>
          <w:bCs/>
          <w:sz w:val="21"/>
          <w:szCs w:val="21"/>
          <w:lang w:val="en-US" w:eastAsia="zh-CN"/>
        </w:rPr>
        <w:t xml:space="preserve"> </w:t>
      </w:r>
      <w:r>
        <w:rPr>
          <w:rFonts w:hint="default" w:ascii="宋体" w:hAnsi="宋体" w:eastAsia="宋体" w:cs="宋体"/>
          <w:sz w:val="21"/>
          <w:szCs w:val="21"/>
          <w:lang w:val="en-US" w:eastAsia="zh-CN"/>
        </w:rPr>
        <w:t>本项目不分包，无进口产品。投标商报价时须按明细物品的品名、厂家、产地、数量、单价、总价及交货期的格式制作报价单。所有费用（搬运费、安装调试费、质检费、税费等）均含在报价中。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1、三证合一营业执照（具有所投项目的经营范围）；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2、法定代表人授权委托书及被委托人身份证复印件（法定代表人投标提供法定代表人身份证明及身份证复印件）；</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3、具有良好的商业信誉和健全的财务会计制度，提供2019年度财务审计报告（新成 立公司需提供银行资信证明）；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4、有依法缴纳税收和社会保障资金的良好记录，提供2020第一季度完税证明、被委托人3-5月份社保缴纳记录；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5、投标单位（供应商）提供针对本次项目《反商业贿赂承诺书》；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参加政府采购活动前三年内，在经营活动中没有重大违法记录的书面声明，有不良行为记录的（尚在处罚期内的），将拒绝其参加本次政府采购活动，提供在“信用中国”网站（网址：http://www.creditchina.gov.cn）截屏打印件（加盖公章）；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7、具有履行合同所必需的设备和专业技术能力；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8、本项目不接受联合体投标； </w:t>
      </w:r>
    </w:p>
    <w:p>
      <w:pPr>
        <w:adjustRightInd/>
        <w:snapToGrid/>
        <w:spacing w:before="75" w:after="75"/>
        <w:rPr>
          <w:rFonts w:hint="default" w:ascii="宋体" w:hAnsi="宋体" w:eastAsia="宋体" w:cs="宋体"/>
          <w:sz w:val="21"/>
          <w:szCs w:val="21"/>
        </w:rPr>
      </w:pPr>
      <w:r>
        <w:rPr>
          <w:rFonts w:hint="default" w:ascii="宋体" w:hAnsi="宋体" w:eastAsia="宋体" w:cs="宋体"/>
          <w:sz w:val="21"/>
          <w:szCs w:val="21"/>
          <w:lang w:val="en-US" w:eastAsia="zh-CN"/>
        </w:rPr>
        <w:t>9、以上资料携带原件并准备一套加盖公章的复印件</w:t>
      </w:r>
      <w:r>
        <w:rPr>
          <w:rFonts w:hint="default" w:ascii="宋体" w:hAnsi="宋体" w:eastAsia="宋体" w:cs="宋体"/>
          <w:sz w:val="21"/>
          <w:szCs w:val="21"/>
        </w:rPr>
        <w:t>； </w:t>
      </w:r>
    </w:p>
    <w:p>
      <w:pPr>
        <w:adjustRightInd/>
        <w:snapToGrid/>
        <w:spacing w:before="75" w:after="75"/>
        <w:rPr>
          <w:rFonts w:hint="default" w:ascii="宋体" w:hAnsi="宋体" w:eastAsia="宋体" w:cs="宋体"/>
          <w:b/>
          <w:bCs/>
          <w:sz w:val="21"/>
          <w:szCs w:val="21"/>
        </w:rPr>
      </w:pPr>
      <w:r>
        <w:rPr>
          <w:rFonts w:hint="default" w:ascii="宋体" w:hAnsi="宋体" w:eastAsia="宋体" w:cs="宋体"/>
          <w:b/>
          <w:bCs/>
          <w:sz w:val="21"/>
          <w:szCs w:val="21"/>
        </w:rPr>
        <w:t>五、  招标文件的报名/发售时间、地址、售价:</w:t>
      </w:r>
    </w:p>
    <w:p>
      <w:pPr>
        <w:adjustRightInd/>
        <w:snapToGrid/>
        <w:spacing w:before="75" w:after="75"/>
        <w:rPr>
          <w:rFonts w:hint="default" w:ascii="宋体" w:hAnsi="宋体" w:eastAsia="宋体" w:cs="宋体"/>
          <w:b/>
          <w:bCs/>
          <w:sz w:val="21"/>
          <w:szCs w:val="21"/>
        </w:rPr>
      </w:pPr>
      <w:r>
        <w:rPr>
          <w:rFonts w:hint="default" w:ascii="宋体" w:hAnsi="宋体" w:eastAsia="宋体" w:cs="宋体"/>
          <w:b/>
          <w:bCs/>
          <w:sz w:val="21"/>
          <w:szCs w:val="21"/>
        </w:rPr>
        <w:t>1．报名（发售／获取）时间：</w:t>
      </w:r>
      <w:r>
        <w:rPr>
          <w:rFonts w:hint="default" w:ascii="宋体" w:hAnsi="宋体" w:eastAsia="宋体" w:cs="宋体"/>
          <w:sz w:val="21"/>
          <w:szCs w:val="21"/>
          <w:lang w:val="en-US" w:eastAsia="zh-CN"/>
        </w:rPr>
        <w:t>2020-07-01 至 2020-07-07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上午： 10:00-14:00 </w:t>
      </w:r>
    </w:p>
    <w:p>
      <w:pPr>
        <w:adjustRightInd/>
        <w:snapToGrid/>
        <w:spacing w:before="75" w:after="75"/>
        <w:rPr>
          <w:rFonts w:hint="default" w:ascii="宋体" w:hAnsi="宋体" w:eastAsia="宋体" w:cs="宋体"/>
          <w:b/>
          <w:bCs/>
          <w:sz w:val="21"/>
          <w:szCs w:val="21"/>
        </w:rPr>
      </w:pPr>
      <w:r>
        <w:rPr>
          <w:rFonts w:hint="default" w:ascii="宋体" w:hAnsi="宋体" w:eastAsia="宋体" w:cs="宋体"/>
          <w:sz w:val="21"/>
          <w:szCs w:val="21"/>
          <w:lang w:val="en-US" w:eastAsia="zh-CN"/>
        </w:rPr>
        <w:t>下午： 16:00-20:00 </w:t>
      </w:r>
    </w:p>
    <w:p>
      <w:pPr>
        <w:adjustRightInd/>
        <w:snapToGrid/>
        <w:spacing w:before="75" w:after="75"/>
        <w:rPr>
          <w:rFonts w:hint="default" w:ascii="宋体" w:hAnsi="宋体" w:eastAsia="宋体" w:cs="宋体"/>
          <w:b/>
          <w:bCs/>
          <w:sz w:val="21"/>
          <w:szCs w:val="21"/>
        </w:rPr>
      </w:pPr>
      <w:r>
        <w:rPr>
          <w:rFonts w:hint="default" w:ascii="宋体" w:hAnsi="宋体" w:eastAsia="宋体" w:cs="宋体"/>
          <w:b/>
          <w:bCs/>
          <w:sz w:val="21"/>
          <w:szCs w:val="21"/>
        </w:rPr>
        <w:t>2．报名（发售／获取）地址：</w:t>
      </w:r>
      <w:r>
        <w:rPr>
          <w:rFonts w:hint="default" w:ascii="宋体" w:hAnsi="宋体" w:eastAsia="宋体" w:cs="宋体"/>
          <w:sz w:val="21"/>
          <w:szCs w:val="21"/>
          <w:lang w:val="en-US" w:eastAsia="zh-CN"/>
        </w:rPr>
        <w:t>喀什市吐曼路1号（财富大厦）601室 </w:t>
      </w:r>
    </w:p>
    <w:p>
      <w:pPr>
        <w:adjustRightInd/>
        <w:snapToGrid/>
        <w:spacing w:before="75" w:after="75"/>
        <w:rPr>
          <w:rFonts w:hint="default" w:ascii="宋体" w:hAnsi="宋体" w:eastAsia="宋体" w:cs="宋体"/>
          <w:b/>
          <w:bCs/>
          <w:sz w:val="21"/>
          <w:szCs w:val="21"/>
        </w:rPr>
      </w:pPr>
      <w:r>
        <w:rPr>
          <w:rFonts w:hint="default" w:ascii="宋体" w:hAnsi="宋体" w:eastAsia="宋体" w:cs="宋体"/>
          <w:b/>
          <w:bCs/>
          <w:sz w:val="21"/>
          <w:szCs w:val="21"/>
        </w:rPr>
        <w:t>3．标书售价(元)： </w:t>
      </w:r>
      <w:r>
        <w:rPr>
          <w:rFonts w:hint="default" w:ascii="宋体" w:hAnsi="宋体" w:eastAsia="宋体" w:cs="宋体"/>
          <w:sz w:val="21"/>
          <w:szCs w:val="21"/>
          <w:lang w:val="en-US" w:eastAsia="zh-CN"/>
        </w:rPr>
        <w:t>200 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b/>
          <w:bCs/>
          <w:sz w:val="21"/>
          <w:szCs w:val="21"/>
        </w:rPr>
        <w:t>4．投标人购买标书时应提交的资料：</w:t>
      </w:r>
      <w:r>
        <w:rPr>
          <w:rFonts w:hint="default" w:ascii="宋体" w:hAnsi="宋体" w:eastAsia="宋体" w:cs="宋体"/>
          <w:sz w:val="21"/>
          <w:szCs w:val="21"/>
          <w:lang w:val="en-US" w:eastAsia="zh-CN"/>
        </w:rPr>
        <w:t>本项目不分包，无进口产品。投标商报价时须按明细物品的品名、厂家、产地、数量、单价、总价及交货期的格式制作报价单。所有费用（搬运费、安装调试费、质检费、税费等）均含在报价中。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1、三证合一营业执照（具有所投项目的经营范围）；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2、法定代表人授权委托书及被委托人身份证复印件（法定代表人投标提供法定代表人 身份证明及身份证复印件）；</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3、具有良好的商业信誉和健全的财务会计制度，提供2019年度财务审计报告（新成 立公司需提供银行资信证明）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4、有依法缴纳税收和社会保障资金的良好记录，提供2020第一季度完税证明、被委 托人3-5月份社保缴纳记录；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5、投标单位（供应商）提供针对本次项目《反商业贿赂承诺书》；</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6、参加政府采购活动前三年内，在经营活动中没有重大违法记录的书面声明，有不良 行为记录的（尚在处罚期内的），将拒绝其参加本次政府采购活动，提供在“信用中国”网站（网址：http://www.creditchina.gov.cn）截屏打印件（加盖公章）；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7、具有履行合同所必需的设备和专业技术能力；</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8、本项目不接受联合体投标。</w:t>
      </w:r>
    </w:p>
    <w:p>
      <w:pPr>
        <w:adjustRightInd/>
        <w:snapToGrid/>
        <w:spacing w:before="75" w:after="75"/>
        <w:rPr>
          <w:rFonts w:hint="default" w:ascii="宋体" w:hAnsi="宋体" w:eastAsia="宋体" w:cs="宋体"/>
          <w:b/>
          <w:bCs/>
          <w:sz w:val="21"/>
          <w:szCs w:val="21"/>
        </w:rPr>
      </w:pPr>
      <w:r>
        <w:rPr>
          <w:rFonts w:hint="default" w:ascii="宋体" w:hAnsi="宋体" w:eastAsia="宋体" w:cs="宋体"/>
          <w:sz w:val="21"/>
          <w:szCs w:val="21"/>
          <w:lang w:val="en-US" w:eastAsia="zh-CN"/>
        </w:rPr>
        <w:t>9、以上资料携带原件并准备一套加盖公章的复印件。</w:t>
      </w:r>
      <w:r>
        <w:rPr>
          <w:rFonts w:hint="default" w:ascii="宋体" w:hAnsi="宋体" w:eastAsia="宋体" w:cs="宋体"/>
          <w:b/>
          <w:bCs/>
          <w:sz w:val="21"/>
          <w:szCs w:val="21"/>
        </w:rPr>
        <w:t> </w:t>
      </w:r>
    </w:p>
    <w:p>
      <w:pPr>
        <w:adjustRightInd/>
        <w:snapToGrid/>
        <w:spacing w:before="75" w:after="75"/>
        <w:rPr>
          <w:rFonts w:hint="default" w:ascii="宋体" w:hAnsi="宋体" w:eastAsia="宋体" w:cs="宋体"/>
          <w:b/>
          <w:bCs/>
          <w:sz w:val="21"/>
          <w:szCs w:val="21"/>
        </w:rPr>
      </w:pPr>
      <w:r>
        <w:rPr>
          <w:rFonts w:hint="default" w:ascii="宋体" w:hAnsi="宋体" w:eastAsia="宋体" w:cs="宋体"/>
          <w:b/>
          <w:bCs/>
          <w:sz w:val="21"/>
          <w:szCs w:val="21"/>
        </w:rPr>
        <w:t>六、投标截止时间： </w:t>
      </w:r>
      <w:r>
        <w:rPr>
          <w:rFonts w:hint="default" w:ascii="宋体" w:hAnsi="宋体" w:eastAsia="宋体" w:cs="宋体"/>
          <w:sz w:val="21"/>
          <w:szCs w:val="21"/>
          <w:lang w:val="en-US" w:eastAsia="zh-CN"/>
        </w:rPr>
        <w:t>2020-07-21 11:00:00 </w:t>
      </w:r>
    </w:p>
    <w:p>
      <w:pPr>
        <w:adjustRightInd/>
        <w:snapToGrid/>
        <w:spacing w:before="75" w:after="75"/>
        <w:rPr>
          <w:rFonts w:hint="default" w:ascii="宋体" w:hAnsi="宋体" w:eastAsia="宋体" w:cs="宋体"/>
          <w:b/>
          <w:bCs/>
          <w:sz w:val="21"/>
          <w:szCs w:val="21"/>
        </w:rPr>
      </w:pPr>
      <w:r>
        <w:rPr>
          <w:rFonts w:hint="default" w:ascii="宋体" w:hAnsi="宋体" w:eastAsia="宋体" w:cs="宋体"/>
          <w:b/>
          <w:bCs/>
          <w:sz w:val="21"/>
          <w:szCs w:val="21"/>
        </w:rPr>
        <w:t>七、投标地址： </w:t>
      </w:r>
      <w:r>
        <w:rPr>
          <w:rFonts w:hint="default" w:ascii="宋体" w:hAnsi="宋体" w:eastAsia="宋体" w:cs="宋体"/>
          <w:sz w:val="21"/>
          <w:szCs w:val="21"/>
          <w:lang w:val="en-US" w:eastAsia="zh-CN"/>
        </w:rPr>
        <w:t>喀什市吐曼路1号（财富大厦）601室</w:t>
      </w:r>
      <w:r>
        <w:rPr>
          <w:rFonts w:hint="default" w:ascii="宋体" w:hAnsi="宋体" w:eastAsia="宋体" w:cs="宋体"/>
          <w:b/>
          <w:bCs/>
          <w:sz w:val="21"/>
          <w:szCs w:val="21"/>
        </w:rPr>
        <w:t>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b/>
          <w:bCs/>
          <w:sz w:val="21"/>
          <w:szCs w:val="21"/>
        </w:rPr>
        <w:t>八、开标时间：</w:t>
      </w:r>
      <w:r>
        <w:rPr>
          <w:rFonts w:hint="default" w:ascii="宋体" w:hAnsi="宋体" w:eastAsia="宋体" w:cs="宋体"/>
          <w:sz w:val="21"/>
          <w:szCs w:val="21"/>
          <w:lang w:val="en-US" w:eastAsia="zh-CN"/>
        </w:rPr>
        <w:t> 2020-07-21 11:00:00 </w:t>
      </w:r>
    </w:p>
    <w:p>
      <w:pPr>
        <w:adjustRightInd/>
        <w:snapToGrid/>
        <w:spacing w:before="75" w:after="75"/>
        <w:rPr>
          <w:rFonts w:hint="default" w:ascii="宋体" w:hAnsi="宋体" w:eastAsia="宋体" w:cs="宋体"/>
          <w:sz w:val="21"/>
          <w:szCs w:val="21"/>
          <w:lang w:val="en-US" w:eastAsia="zh-CN"/>
        </w:rPr>
      </w:pPr>
      <w:r>
        <w:rPr>
          <w:rFonts w:hint="default" w:ascii="宋体" w:hAnsi="宋体" w:eastAsia="宋体" w:cs="宋体"/>
          <w:b/>
          <w:bCs/>
          <w:sz w:val="21"/>
          <w:szCs w:val="21"/>
        </w:rPr>
        <w:t>九、开标地址： </w:t>
      </w:r>
      <w:r>
        <w:rPr>
          <w:rFonts w:hint="default" w:ascii="宋体" w:hAnsi="宋体" w:eastAsia="宋体" w:cs="宋体"/>
          <w:sz w:val="21"/>
          <w:szCs w:val="21"/>
          <w:lang w:val="en-US" w:eastAsia="zh-CN"/>
        </w:rPr>
        <w:t>喀什市吐曼路1号（财富大厦）601室 </w:t>
      </w:r>
    </w:p>
    <w:p>
      <w:pPr>
        <w:adjustRightInd/>
        <w:snapToGrid/>
        <w:spacing w:before="75" w:after="75"/>
        <w:rPr>
          <w:rFonts w:hint="eastAsia" w:ascii="宋体" w:hAnsi="宋体" w:eastAsia="宋体" w:cs="宋体"/>
          <w:sz w:val="21"/>
          <w:szCs w:val="21"/>
        </w:rPr>
      </w:pPr>
      <w:r>
        <w:rPr>
          <w:rFonts w:ascii="宋体" w:hAnsi="宋体" w:eastAsia="宋体" w:cs="宋体"/>
          <w:b/>
          <w:bCs/>
          <w:sz w:val="21"/>
          <w:szCs w:val="21"/>
        </w:rPr>
        <w:t>十、保证金及交付方式：</w:t>
      </w:r>
    </w:p>
    <w:tbl>
      <w:tblPr>
        <w:tblStyle w:val="8"/>
        <w:tblW w:w="5000" w:type="pct"/>
        <w:tblInd w:w="0" w:type="dxa"/>
        <w:tblLayout w:type="autofit"/>
        <w:tblCellMar>
          <w:top w:w="15" w:type="dxa"/>
          <w:left w:w="15" w:type="dxa"/>
          <w:bottom w:w="15" w:type="dxa"/>
          <w:right w:w="15" w:type="dxa"/>
        </w:tblCellMar>
      </w:tblPr>
      <w:tblGrid>
        <w:gridCol w:w="574"/>
        <w:gridCol w:w="1870"/>
        <w:gridCol w:w="1384"/>
        <w:gridCol w:w="1288"/>
        <w:gridCol w:w="834"/>
        <w:gridCol w:w="1044"/>
        <w:gridCol w:w="1612"/>
      </w:tblGrid>
      <w:tr>
        <w:tblPrEx>
          <w:tblCellMar>
            <w:top w:w="15" w:type="dxa"/>
            <w:left w:w="15" w:type="dxa"/>
            <w:bottom w:w="15" w:type="dxa"/>
            <w:right w:w="15" w:type="dxa"/>
          </w:tblCellMar>
        </w:tblPrEx>
        <w:tc>
          <w:tcPr>
            <w:tcW w:w="0" w:type="auto"/>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序号</w:t>
            </w:r>
          </w:p>
        </w:tc>
        <w:tc>
          <w:tcPr>
            <w:tcW w:w="0" w:type="auto"/>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标项名称</w:t>
            </w:r>
          </w:p>
        </w:tc>
        <w:tc>
          <w:tcPr>
            <w:tcW w:w="0" w:type="auto"/>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投标保证金金额（元）</w:t>
            </w:r>
          </w:p>
        </w:tc>
        <w:tc>
          <w:tcPr>
            <w:tcW w:w="0" w:type="auto"/>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开户银行</w:t>
            </w:r>
          </w:p>
        </w:tc>
        <w:tc>
          <w:tcPr>
            <w:tcW w:w="0" w:type="auto"/>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收款账号</w:t>
            </w:r>
          </w:p>
        </w:tc>
        <w:tc>
          <w:tcPr>
            <w:tcW w:w="0" w:type="auto"/>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交付方式</w:t>
            </w:r>
          </w:p>
        </w:tc>
        <w:tc>
          <w:tcPr>
            <w:tcW w:w="0" w:type="auto"/>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ascii="宋体" w:hAnsi="宋体" w:eastAsia="宋体" w:cs="宋体"/>
                <w:sz w:val="21"/>
                <w:szCs w:val="21"/>
              </w:rPr>
              <w:t>备注</w:t>
            </w:r>
          </w:p>
        </w:tc>
      </w:tr>
      <w:tr>
        <w:tblPrEx>
          <w:tblCellMar>
            <w:top w:w="15" w:type="dxa"/>
            <w:left w:w="15" w:type="dxa"/>
            <w:bottom w:w="15" w:type="dxa"/>
            <w:right w:w="15" w:type="dxa"/>
          </w:tblCellMar>
        </w:tblPrEx>
        <w:tc>
          <w:tcPr>
            <w:tcW w:w="0" w:type="auto"/>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0" w:type="auto"/>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hint="eastAsia" w:ascii="宋体" w:hAnsi="宋体" w:eastAsia="宋体" w:cs="宋体"/>
                <w:sz w:val="21"/>
                <w:szCs w:val="21"/>
                <w:lang w:eastAsia="zh-CN"/>
              </w:rPr>
              <w:t>喀什综保区跨境电商监管查验系统采购及安装项目</w:t>
            </w:r>
          </w:p>
        </w:tc>
        <w:tc>
          <w:tcPr>
            <w:tcW w:w="0" w:type="auto"/>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50000</w:t>
            </w:r>
          </w:p>
        </w:tc>
        <w:tc>
          <w:tcPr>
            <w:tcW w:w="0" w:type="auto"/>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hint="eastAsia" w:ascii="宋体" w:hAnsi="宋体" w:eastAsia="宋体" w:cs="宋体"/>
                <w:sz w:val="21"/>
                <w:szCs w:val="21"/>
              </w:rPr>
              <w:t>中国银行喀什经济开发区支行</w:t>
            </w:r>
          </w:p>
        </w:tc>
        <w:tc>
          <w:tcPr>
            <w:tcW w:w="0" w:type="auto"/>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hint="eastAsia" w:ascii="宋体" w:hAnsi="宋体" w:eastAsia="宋体" w:cs="宋体"/>
                <w:sz w:val="21"/>
                <w:szCs w:val="21"/>
              </w:rPr>
              <w:t>108223581619</w:t>
            </w:r>
          </w:p>
        </w:tc>
        <w:tc>
          <w:tcPr>
            <w:tcW w:w="0" w:type="auto"/>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hint="eastAsia" w:ascii="宋体" w:hAnsi="宋体" w:eastAsia="宋体" w:cs="宋体"/>
                <w:sz w:val="21"/>
                <w:szCs w:val="21"/>
                <w:lang w:eastAsia="zh-CN"/>
              </w:rPr>
            </w:pPr>
            <w:r>
              <w:rPr>
                <w:rFonts w:hint="eastAsia" w:ascii="宋体" w:hAnsi="宋体" w:eastAsia="宋体" w:cs="宋体"/>
                <w:sz w:val="21"/>
                <w:szCs w:val="21"/>
                <w:lang w:eastAsia="zh-CN"/>
              </w:rPr>
              <w:t>电汇、网银转账</w:t>
            </w:r>
          </w:p>
        </w:tc>
        <w:tc>
          <w:tcPr>
            <w:tcW w:w="0" w:type="auto"/>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ordWrap w:val="0"/>
              <w:adjustRightInd/>
              <w:snapToGrid/>
              <w:spacing w:after="150"/>
              <w:rPr>
                <w:rFonts w:ascii="宋体" w:hAnsi="宋体" w:eastAsia="宋体" w:cs="宋体"/>
                <w:sz w:val="21"/>
                <w:szCs w:val="21"/>
              </w:rPr>
            </w:pPr>
            <w:r>
              <w:rPr>
                <w:rFonts w:hint="eastAsia" w:ascii="宋体" w:hAnsi="宋体" w:eastAsia="宋体" w:cs="宋体"/>
                <w:sz w:val="21"/>
                <w:szCs w:val="21"/>
              </w:rPr>
              <w:t>汇保证金款项时必须注明项目名称及编号</w:t>
            </w:r>
          </w:p>
        </w:tc>
      </w:tr>
    </w:tbl>
    <w:p>
      <w:pPr>
        <w:adjustRightInd/>
        <w:snapToGrid/>
        <w:spacing w:before="75" w:after="75"/>
        <w:rPr>
          <w:rFonts w:hint="eastAsia" w:ascii="宋体" w:hAnsi="宋体" w:eastAsia="宋体" w:cs="宋体"/>
          <w:sz w:val="21"/>
          <w:szCs w:val="21"/>
        </w:rPr>
      </w:pPr>
    </w:p>
    <w:p>
      <w:pPr>
        <w:adjustRightInd/>
        <w:snapToGrid/>
        <w:spacing w:before="75" w:after="75"/>
        <w:rPr>
          <w:rFonts w:ascii="宋体" w:hAnsi="宋体" w:eastAsia="宋体" w:cs="宋体"/>
          <w:sz w:val="21"/>
          <w:szCs w:val="21"/>
        </w:rPr>
      </w:pPr>
      <w:r>
        <w:rPr>
          <w:rFonts w:ascii="宋体" w:hAnsi="宋体" w:eastAsia="宋体" w:cs="宋体"/>
          <w:b/>
          <w:bCs/>
          <w:sz w:val="21"/>
          <w:szCs w:val="21"/>
        </w:rPr>
        <w:t>十一、 其他事项：</w:t>
      </w:r>
    </w:p>
    <w:p>
      <w:pPr>
        <w:adjustRightInd/>
        <w:snapToGrid/>
        <w:spacing w:before="75" w:after="75"/>
        <w:rPr>
          <w:rFonts w:ascii="宋体" w:hAnsi="宋体" w:eastAsia="宋体" w:cs="宋体"/>
          <w:sz w:val="21"/>
          <w:szCs w:val="21"/>
        </w:rPr>
      </w:pPr>
      <w:r>
        <w:rPr>
          <w:rFonts w:ascii="宋体" w:hAnsi="宋体" w:eastAsia="宋体" w:cs="宋体"/>
          <w:sz w:val="21"/>
          <w:szCs w:val="21"/>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adjustRightInd/>
        <w:snapToGrid/>
        <w:spacing w:before="75" w:after="75"/>
        <w:rPr>
          <w:rFonts w:ascii="宋体" w:hAnsi="宋体" w:eastAsia="宋体" w:cs="宋体"/>
          <w:b/>
          <w:bCs/>
          <w:sz w:val="21"/>
          <w:szCs w:val="21"/>
        </w:rPr>
      </w:pPr>
      <w:r>
        <w:rPr>
          <w:rFonts w:ascii="宋体" w:hAnsi="宋体" w:eastAsia="宋体" w:cs="宋体"/>
          <w:b/>
          <w:bCs/>
          <w:sz w:val="21"/>
          <w:szCs w:val="21"/>
        </w:rPr>
        <w:t>2、采购项目需要落实的政府采购政策</w:t>
      </w:r>
    </w:p>
    <w:p>
      <w:pPr>
        <w:adjustRightInd/>
        <w:snapToGrid/>
        <w:spacing w:before="75" w:after="75"/>
        <w:rPr>
          <w:rFonts w:ascii="宋体" w:hAnsi="宋体" w:eastAsia="宋体" w:cs="宋体"/>
          <w:sz w:val="21"/>
          <w:szCs w:val="21"/>
        </w:rPr>
      </w:pPr>
      <w:r>
        <w:rPr>
          <w:rFonts w:ascii="宋体" w:hAnsi="宋体" w:eastAsia="宋体" w:cs="宋体"/>
          <w:sz w:val="21"/>
          <w:szCs w:val="21"/>
        </w:rPr>
        <w:t> 满足《中华人民共和国政府采购法》第二十二条要求 </w:t>
      </w:r>
    </w:p>
    <w:p>
      <w:pPr>
        <w:adjustRightInd/>
        <w:snapToGrid/>
        <w:spacing w:before="75" w:after="75"/>
        <w:rPr>
          <w:rFonts w:ascii="宋体" w:hAnsi="宋体" w:eastAsia="宋体" w:cs="宋体"/>
          <w:b/>
          <w:bCs/>
          <w:sz w:val="21"/>
          <w:szCs w:val="21"/>
        </w:rPr>
      </w:pPr>
      <w:r>
        <w:rPr>
          <w:rFonts w:ascii="宋体" w:hAnsi="宋体" w:eastAsia="宋体" w:cs="宋体"/>
          <w:b/>
          <w:bCs/>
          <w:sz w:val="21"/>
          <w:szCs w:val="21"/>
        </w:rPr>
        <w:t>十二、联系方式</w:t>
      </w:r>
    </w:p>
    <w:p>
      <w:pPr>
        <w:adjustRightInd/>
        <w:snapToGrid/>
        <w:spacing w:before="75" w:after="75"/>
        <w:rPr>
          <w:rFonts w:ascii="宋体" w:hAnsi="宋体" w:eastAsia="宋体" w:cs="宋体"/>
          <w:sz w:val="21"/>
          <w:szCs w:val="21"/>
        </w:rPr>
      </w:pPr>
      <w:r>
        <w:rPr>
          <w:rFonts w:ascii="宋体" w:hAnsi="宋体" w:eastAsia="宋体" w:cs="宋体"/>
          <w:b/>
          <w:bCs/>
          <w:sz w:val="21"/>
          <w:szCs w:val="21"/>
        </w:rPr>
        <w:t>1、采购代理机构名称：</w:t>
      </w:r>
      <w:r>
        <w:rPr>
          <w:rFonts w:ascii="宋体" w:hAnsi="宋体" w:eastAsia="宋体" w:cs="宋体"/>
          <w:sz w:val="21"/>
          <w:szCs w:val="21"/>
        </w:rPr>
        <w:t> </w:t>
      </w:r>
      <w:bookmarkStart w:id="0" w:name="_GoBack"/>
      <w:bookmarkEnd w:id="0"/>
      <w:r>
        <w:rPr>
          <w:rFonts w:ascii="宋体" w:hAnsi="宋体" w:eastAsia="宋体" w:cs="宋体"/>
          <w:sz w:val="21"/>
          <w:szCs w:val="21"/>
        </w:rPr>
        <w:t>喀什昊天工程项目管理咨询有限公司 </w:t>
      </w:r>
    </w:p>
    <w:p>
      <w:pPr>
        <w:adjustRightInd/>
        <w:snapToGrid/>
        <w:spacing w:before="75" w:after="75"/>
        <w:rPr>
          <w:rFonts w:ascii="宋体" w:hAnsi="宋体" w:eastAsia="宋体" w:cs="宋体"/>
          <w:sz w:val="21"/>
          <w:szCs w:val="21"/>
        </w:rPr>
      </w:pPr>
      <w:r>
        <w:rPr>
          <w:rFonts w:ascii="宋体" w:hAnsi="宋体" w:eastAsia="宋体" w:cs="宋体"/>
          <w:sz w:val="21"/>
          <w:szCs w:val="21"/>
        </w:rPr>
        <w:t>联系人： 张智川 </w:t>
      </w:r>
    </w:p>
    <w:p>
      <w:pPr>
        <w:adjustRightInd/>
        <w:snapToGrid/>
        <w:spacing w:before="75" w:after="75"/>
        <w:rPr>
          <w:rFonts w:ascii="宋体" w:hAnsi="宋体" w:eastAsia="宋体" w:cs="宋体"/>
          <w:sz w:val="21"/>
          <w:szCs w:val="21"/>
        </w:rPr>
      </w:pPr>
      <w:r>
        <w:rPr>
          <w:rFonts w:ascii="宋体" w:hAnsi="宋体" w:eastAsia="宋体" w:cs="宋体"/>
          <w:sz w:val="21"/>
          <w:szCs w:val="21"/>
        </w:rPr>
        <w:t>联系电话： 15026314123 </w:t>
      </w:r>
    </w:p>
    <w:p>
      <w:pPr>
        <w:adjustRightInd/>
        <w:snapToGrid/>
        <w:spacing w:before="75" w:after="75"/>
        <w:rPr>
          <w:rFonts w:ascii="宋体" w:hAnsi="宋体" w:eastAsia="宋体" w:cs="宋体"/>
          <w:sz w:val="21"/>
          <w:szCs w:val="21"/>
        </w:rPr>
      </w:pPr>
      <w:r>
        <w:rPr>
          <w:rFonts w:ascii="宋体" w:hAnsi="宋体" w:eastAsia="宋体" w:cs="宋体"/>
          <w:sz w:val="21"/>
          <w:szCs w:val="21"/>
        </w:rPr>
        <w:t>地址：  新疆维吾尔自治区喀什地区喀什市吐曼路1号（财富大厦1栋6层01室） </w:t>
      </w:r>
    </w:p>
    <w:p>
      <w:pPr>
        <w:adjustRightInd/>
        <w:snapToGrid/>
        <w:spacing w:before="75" w:after="75"/>
        <w:rPr>
          <w:rFonts w:ascii="宋体" w:hAnsi="宋体" w:eastAsia="宋体" w:cs="宋体"/>
          <w:sz w:val="21"/>
          <w:szCs w:val="21"/>
        </w:rPr>
      </w:pPr>
      <w:r>
        <w:rPr>
          <w:rFonts w:ascii="宋体" w:hAnsi="宋体" w:eastAsia="宋体" w:cs="宋体"/>
          <w:b/>
          <w:bCs/>
          <w:sz w:val="21"/>
          <w:szCs w:val="21"/>
        </w:rPr>
        <w:t>2、采购人名称：</w:t>
      </w:r>
      <w:r>
        <w:rPr>
          <w:rFonts w:ascii="宋体" w:hAnsi="宋体" w:eastAsia="宋体" w:cs="宋体"/>
          <w:sz w:val="21"/>
          <w:szCs w:val="21"/>
        </w:rPr>
        <w:t> 喀什综合保税区管理委员会 </w:t>
      </w:r>
    </w:p>
    <w:p>
      <w:pPr>
        <w:adjustRightInd/>
        <w:snapToGrid/>
        <w:spacing w:before="75" w:after="75"/>
        <w:rPr>
          <w:rFonts w:ascii="宋体" w:hAnsi="宋体" w:eastAsia="宋体" w:cs="宋体"/>
          <w:sz w:val="21"/>
          <w:szCs w:val="21"/>
        </w:rPr>
      </w:pPr>
      <w:r>
        <w:rPr>
          <w:rFonts w:ascii="宋体" w:hAnsi="宋体" w:eastAsia="宋体" w:cs="宋体"/>
          <w:sz w:val="21"/>
          <w:szCs w:val="21"/>
        </w:rPr>
        <w:t>联系人： 李飞强 </w:t>
      </w:r>
    </w:p>
    <w:p>
      <w:pPr>
        <w:adjustRightInd/>
        <w:snapToGrid/>
        <w:spacing w:before="75" w:after="75"/>
        <w:rPr>
          <w:rFonts w:ascii="宋体" w:hAnsi="宋体" w:eastAsia="宋体" w:cs="宋体"/>
          <w:sz w:val="21"/>
          <w:szCs w:val="21"/>
        </w:rPr>
      </w:pPr>
      <w:r>
        <w:rPr>
          <w:rFonts w:ascii="宋体" w:hAnsi="宋体" w:eastAsia="宋体" w:cs="宋体"/>
          <w:sz w:val="21"/>
          <w:szCs w:val="21"/>
        </w:rPr>
        <w:t>联系电话： 0998-5818550 </w:t>
      </w:r>
    </w:p>
    <w:p>
      <w:pPr>
        <w:adjustRightInd/>
        <w:snapToGrid/>
        <w:spacing w:before="75" w:after="75"/>
        <w:rPr>
          <w:rFonts w:ascii="宋体" w:hAnsi="宋体" w:eastAsia="宋体" w:cs="宋体"/>
          <w:sz w:val="21"/>
          <w:szCs w:val="21"/>
        </w:rPr>
      </w:pPr>
      <w:r>
        <w:rPr>
          <w:rFonts w:ascii="宋体" w:hAnsi="宋体" w:eastAsia="宋体" w:cs="宋体"/>
          <w:sz w:val="21"/>
          <w:szCs w:val="21"/>
        </w:rPr>
        <w:t>地址： 喀什综合保税区 </w:t>
      </w:r>
    </w:p>
    <w:p>
      <w:pPr>
        <w:adjustRightInd/>
        <w:snapToGrid/>
        <w:spacing w:before="75" w:after="75"/>
        <w:rPr>
          <w:rFonts w:ascii="宋体" w:hAnsi="宋体" w:eastAsia="宋体" w:cs="宋体"/>
          <w:sz w:val="21"/>
          <w:szCs w:val="21"/>
        </w:rPr>
      </w:pPr>
      <w:r>
        <w:rPr>
          <w:rFonts w:ascii="宋体" w:hAnsi="宋体" w:eastAsia="宋体" w:cs="宋体"/>
          <w:b/>
          <w:bCs/>
          <w:sz w:val="21"/>
          <w:szCs w:val="21"/>
        </w:rPr>
        <w:t>3、同级政府采购监督管理部门名称：</w:t>
      </w:r>
      <w:r>
        <w:rPr>
          <w:rFonts w:ascii="宋体" w:hAnsi="宋体" w:eastAsia="宋体" w:cs="宋体"/>
          <w:sz w:val="21"/>
          <w:szCs w:val="21"/>
        </w:rPr>
        <w:t> 喀什经济开发区财政局采购办 </w:t>
      </w:r>
    </w:p>
    <w:p>
      <w:pPr>
        <w:adjustRightInd/>
        <w:snapToGrid/>
        <w:spacing w:before="75" w:after="75"/>
        <w:rPr>
          <w:rFonts w:ascii="宋体" w:hAnsi="宋体" w:eastAsia="宋体" w:cs="宋体"/>
          <w:sz w:val="21"/>
          <w:szCs w:val="21"/>
        </w:rPr>
      </w:pPr>
      <w:r>
        <w:rPr>
          <w:rFonts w:ascii="宋体" w:hAnsi="宋体" w:eastAsia="宋体" w:cs="宋体"/>
          <w:sz w:val="21"/>
          <w:szCs w:val="21"/>
        </w:rPr>
        <w:t>联系人： 张爱梅 </w:t>
      </w:r>
    </w:p>
    <w:p>
      <w:pPr>
        <w:adjustRightInd/>
        <w:snapToGrid/>
        <w:spacing w:before="75" w:after="75"/>
        <w:rPr>
          <w:rFonts w:ascii="宋体" w:hAnsi="宋体" w:eastAsia="宋体" w:cs="宋体"/>
          <w:sz w:val="21"/>
          <w:szCs w:val="21"/>
        </w:rPr>
      </w:pPr>
      <w:r>
        <w:rPr>
          <w:rFonts w:ascii="宋体" w:hAnsi="宋体" w:eastAsia="宋体" w:cs="宋体"/>
          <w:sz w:val="21"/>
          <w:szCs w:val="21"/>
        </w:rPr>
        <w:t>监督投诉电话： 0998-2575878 </w:t>
      </w:r>
    </w:p>
    <w:p>
      <w:pPr>
        <w:adjustRightInd/>
        <w:snapToGrid/>
        <w:spacing w:before="75" w:after="75"/>
        <w:rPr>
          <w:rFonts w:ascii="宋体" w:hAnsi="宋体" w:eastAsia="宋体" w:cs="宋体"/>
          <w:sz w:val="21"/>
          <w:szCs w:val="21"/>
        </w:rPr>
      </w:pPr>
      <w:r>
        <w:rPr>
          <w:rFonts w:ascii="宋体" w:hAnsi="宋体" w:eastAsia="宋体" w:cs="宋体"/>
          <w:sz w:val="21"/>
          <w:szCs w:val="21"/>
        </w:rPr>
        <w:t>​</w:t>
      </w:r>
    </w:p>
    <w:p>
      <w:pPr>
        <w:adjustRightInd/>
        <w:snapToGrid/>
        <w:spacing w:before="75" w:after="75"/>
        <w:rPr>
          <w:rFonts w:ascii="宋体" w:hAnsi="宋体" w:eastAsia="宋体" w:cs="宋体"/>
          <w:sz w:val="21"/>
          <w:szCs w:val="21"/>
        </w:rPr>
      </w:pPr>
    </w:p>
    <w:p>
      <w:pPr>
        <w:adjustRightInd/>
        <w:snapToGrid/>
        <w:spacing w:before="75" w:after="75"/>
        <w:rPr>
          <w:rFonts w:ascii="宋体" w:hAnsi="宋体" w:eastAsia="宋体" w:cs="宋体"/>
          <w:sz w:val="21"/>
          <w:szCs w:val="21"/>
        </w:rPr>
      </w:pPr>
    </w:p>
    <w:p>
      <w:pPr>
        <w:wordWrap w:val="0"/>
        <w:adjustRightInd/>
        <w:snapToGrid/>
        <w:spacing w:after="0" w:line="320" w:lineRule="exact"/>
        <w:ind w:right="1120"/>
        <w:rPr>
          <w:rFonts w:ascii="Calibri" w:hAnsi="Calibri" w:eastAsia="楷体" w:cs="宋体"/>
          <w:kern w:val="2"/>
          <w:sz w:val="21"/>
          <w:szCs w:val="21"/>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1325"/>
    <w:rsid w:val="000011E6"/>
    <w:rsid w:val="00007964"/>
    <w:rsid w:val="0001078E"/>
    <w:rsid w:val="00010A58"/>
    <w:rsid w:val="00023D06"/>
    <w:rsid w:val="00031A31"/>
    <w:rsid w:val="000459BA"/>
    <w:rsid w:val="00047C42"/>
    <w:rsid w:val="00062C72"/>
    <w:rsid w:val="00063D1C"/>
    <w:rsid w:val="00087079"/>
    <w:rsid w:val="000B09EB"/>
    <w:rsid w:val="000B7A8D"/>
    <w:rsid w:val="000C1329"/>
    <w:rsid w:val="000F3B8F"/>
    <w:rsid w:val="000F7F7E"/>
    <w:rsid w:val="00112EC5"/>
    <w:rsid w:val="001157C1"/>
    <w:rsid w:val="00121611"/>
    <w:rsid w:val="00121E43"/>
    <w:rsid w:val="00132AB2"/>
    <w:rsid w:val="001605BD"/>
    <w:rsid w:val="0018543B"/>
    <w:rsid w:val="001B729B"/>
    <w:rsid w:val="001B7D9E"/>
    <w:rsid w:val="001C1A80"/>
    <w:rsid w:val="001E07E6"/>
    <w:rsid w:val="001E5F17"/>
    <w:rsid w:val="0020041C"/>
    <w:rsid w:val="00213CA0"/>
    <w:rsid w:val="00252003"/>
    <w:rsid w:val="00267E8B"/>
    <w:rsid w:val="00275D2E"/>
    <w:rsid w:val="0028265D"/>
    <w:rsid w:val="002A2D37"/>
    <w:rsid w:val="002B391C"/>
    <w:rsid w:val="002F21D8"/>
    <w:rsid w:val="00315B8B"/>
    <w:rsid w:val="0033016C"/>
    <w:rsid w:val="00331CFC"/>
    <w:rsid w:val="003337DF"/>
    <w:rsid w:val="003666BD"/>
    <w:rsid w:val="00367920"/>
    <w:rsid w:val="003721BE"/>
    <w:rsid w:val="0039199F"/>
    <w:rsid w:val="003A3203"/>
    <w:rsid w:val="003A7A72"/>
    <w:rsid w:val="003B55BC"/>
    <w:rsid w:val="003D4A0C"/>
    <w:rsid w:val="00407893"/>
    <w:rsid w:val="00421BF9"/>
    <w:rsid w:val="0045248E"/>
    <w:rsid w:val="00472CEE"/>
    <w:rsid w:val="004829E5"/>
    <w:rsid w:val="004A3A9A"/>
    <w:rsid w:val="004A5985"/>
    <w:rsid w:val="004A70CF"/>
    <w:rsid w:val="004B6C4A"/>
    <w:rsid w:val="004D7132"/>
    <w:rsid w:val="004E306A"/>
    <w:rsid w:val="004E6BC9"/>
    <w:rsid w:val="004F6756"/>
    <w:rsid w:val="00527555"/>
    <w:rsid w:val="00554EE3"/>
    <w:rsid w:val="0058713D"/>
    <w:rsid w:val="00587F02"/>
    <w:rsid w:val="00596404"/>
    <w:rsid w:val="0059719F"/>
    <w:rsid w:val="005C58EA"/>
    <w:rsid w:val="005D1AC5"/>
    <w:rsid w:val="006102CF"/>
    <w:rsid w:val="0062323E"/>
    <w:rsid w:val="0064787E"/>
    <w:rsid w:val="00671884"/>
    <w:rsid w:val="00690228"/>
    <w:rsid w:val="006A4F61"/>
    <w:rsid w:val="006A6EFA"/>
    <w:rsid w:val="006C5063"/>
    <w:rsid w:val="006D3E00"/>
    <w:rsid w:val="006E5872"/>
    <w:rsid w:val="00714F08"/>
    <w:rsid w:val="007158CA"/>
    <w:rsid w:val="00736475"/>
    <w:rsid w:val="00746DDF"/>
    <w:rsid w:val="00751325"/>
    <w:rsid w:val="00765546"/>
    <w:rsid w:val="00785A2A"/>
    <w:rsid w:val="007C0853"/>
    <w:rsid w:val="007D608A"/>
    <w:rsid w:val="007D732D"/>
    <w:rsid w:val="007E5AA6"/>
    <w:rsid w:val="007E72AF"/>
    <w:rsid w:val="007F1F83"/>
    <w:rsid w:val="00805A62"/>
    <w:rsid w:val="00853125"/>
    <w:rsid w:val="008751F8"/>
    <w:rsid w:val="008754DC"/>
    <w:rsid w:val="00885E9C"/>
    <w:rsid w:val="00891BCA"/>
    <w:rsid w:val="0089360B"/>
    <w:rsid w:val="00897225"/>
    <w:rsid w:val="008C28A0"/>
    <w:rsid w:val="008D5EF3"/>
    <w:rsid w:val="009009A5"/>
    <w:rsid w:val="00925CF1"/>
    <w:rsid w:val="00931864"/>
    <w:rsid w:val="00941463"/>
    <w:rsid w:val="00944504"/>
    <w:rsid w:val="009514AF"/>
    <w:rsid w:val="0095490A"/>
    <w:rsid w:val="00960908"/>
    <w:rsid w:val="00972A5A"/>
    <w:rsid w:val="00974256"/>
    <w:rsid w:val="009A3CAE"/>
    <w:rsid w:val="009A5BBC"/>
    <w:rsid w:val="009F5DBA"/>
    <w:rsid w:val="00A12B9F"/>
    <w:rsid w:val="00A2000E"/>
    <w:rsid w:val="00A2511C"/>
    <w:rsid w:val="00A26468"/>
    <w:rsid w:val="00A44645"/>
    <w:rsid w:val="00A72B2A"/>
    <w:rsid w:val="00A86804"/>
    <w:rsid w:val="00AA2451"/>
    <w:rsid w:val="00AD6681"/>
    <w:rsid w:val="00AE1CFE"/>
    <w:rsid w:val="00B03259"/>
    <w:rsid w:val="00B21DCA"/>
    <w:rsid w:val="00B274D0"/>
    <w:rsid w:val="00B3691D"/>
    <w:rsid w:val="00B37DC4"/>
    <w:rsid w:val="00B475AE"/>
    <w:rsid w:val="00BA2FB8"/>
    <w:rsid w:val="00BA44EF"/>
    <w:rsid w:val="00BB0439"/>
    <w:rsid w:val="00BC1874"/>
    <w:rsid w:val="00BE0732"/>
    <w:rsid w:val="00BE641F"/>
    <w:rsid w:val="00BF24AD"/>
    <w:rsid w:val="00BF39EB"/>
    <w:rsid w:val="00C06A50"/>
    <w:rsid w:val="00C16C59"/>
    <w:rsid w:val="00C274C7"/>
    <w:rsid w:val="00C76AC2"/>
    <w:rsid w:val="00C76E7B"/>
    <w:rsid w:val="00C8414B"/>
    <w:rsid w:val="00C87D04"/>
    <w:rsid w:val="00C9137B"/>
    <w:rsid w:val="00C93289"/>
    <w:rsid w:val="00C9472B"/>
    <w:rsid w:val="00C9478F"/>
    <w:rsid w:val="00CB7FBD"/>
    <w:rsid w:val="00CE196E"/>
    <w:rsid w:val="00CE523B"/>
    <w:rsid w:val="00CF351B"/>
    <w:rsid w:val="00D0164D"/>
    <w:rsid w:val="00D2766F"/>
    <w:rsid w:val="00D50416"/>
    <w:rsid w:val="00D84E16"/>
    <w:rsid w:val="00DA310C"/>
    <w:rsid w:val="00DB6126"/>
    <w:rsid w:val="00DC0EEC"/>
    <w:rsid w:val="00DC77E6"/>
    <w:rsid w:val="00DD1819"/>
    <w:rsid w:val="00DD4CB9"/>
    <w:rsid w:val="00DE5EC5"/>
    <w:rsid w:val="00E106FC"/>
    <w:rsid w:val="00E1195C"/>
    <w:rsid w:val="00E24614"/>
    <w:rsid w:val="00E37346"/>
    <w:rsid w:val="00E638F6"/>
    <w:rsid w:val="00E655ED"/>
    <w:rsid w:val="00E72FA5"/>
    <w:rsid w:val="00E76B19"/>
    <w:rsid w:val="00EA084E"/>
    <w:rsid w:val="00ED49FA"/>
    <w:rsid w:val="00EE388C"/>
    <w:rsid w:val="00EE4F08"/>
    <w:rsid w:val="00EE6CBB"/>
    <w:rsid w:val="00EF3897"/>
    <w:rsid w:val="00F20846"/>
    <w:rsid w:val="00F22552"/>
    <w:rsid w:val="00F30389"/>
    <w:rsid w:val="00F31A34"/>
    <w:rsid w:val="00F321F2"/>
    <w:rsid w:val="00F46424"/>
    <w:rsid w:val="00F60092"/>
    <w:rsid w:val="00F658DA"/>
    <w:rsid w:val="00F66426"/>
    <w:rsid w:val="00F704A0"/>
    <w:rsid w:val="00F80425"/>
    <w:rsid w:val="00F977FF"/>
    <w:rsid w:val="00FA1B6C"/>
    <w:rsid w:val="00FB17A7"/>
    <w:rsid w:val="00FE534F"/>
    <w:rsid w:val="022F3A5B"/>
    <w:rsid w:val="023176A2"/>
    <w:rsid w:val="024E6E39"/>
    <w:rsid w:val="029B60A4"/>
    <w:rsid w:val="02D91735"/>
    <w:rsid w:val="036D6791"/>
    <w:rsid w:val="03DE0479"/>
    <w:rsid w:val="05412751"/>
    <w:rsid w:val="054A33C8"/>
    <w:rsid w:val="05627CB7"/>
    <w:rsid w:val="05A464D1"/>
    <w:rsid w:val="05D838CB"/>
    <w:rsid w:val="06323885"/>
    <w:rsid w:val="065953A7"/>
    <w:rsid w:val="06AE06CC"/>
    <w:rsid w:val="07A84487"/>
    <w:rsid w:val="07B44AE4"/>
    <w:rsid w:val="07B86F69"/>
    <w:rsid w:val="07E321FD"/>
    <w:rsid w:val="08675FB5"/>
    <w:rsid w:val="08C05187"/>
    <w:rsid w:val="090A7C64"/>
    <w:rsid w:val="0957538E"/>
    <w:rsid w:val="096C4C7E"/>
    <w:rsid w:val="098A5FD9"/>
    <w:rsid w:val="09AF027F"/>
    <w:rsid w:val="09C701B3"/>
    <w:rsid w:val="09CD1550"/>
    <w:rsid w:val="0A5F706D"/>
    <w:rsid w:val="0A923C40"/>
    <w:rsid w:val="0AA05A2F"/>
    <w:rsid w:val="0AE45357"/>
    <w:rsid w:val="0AE85A84"/>
    <w:rsid w:val="0AF914D0"/>
    <w:rsid w:val="0B0377F1"/>
    <w:rsid w:val="0B733D2A"/>
    <w:rsid w:val="0BD9521B"/>
    <w:rsid w:val="0C945419"/>
    <w:rsid w:val="0D2A1BCF"/>
    <w:rsid w:val="0D9E6544"/>
    <w:rsid w:val="0DFE67E9"/>
    <w:rsid w:val="0E0F5C5C"/>
    <w:rsid w:val="0E3C6F91"/>
    <w:rsid w:val="0E75725B"/>
    <w:rsid w:val="0EBD0457"/>
    <w:rsid w:val="0EF916DE"/>
    <w:rsid w:val="0FFE745F"/>
    <w:rsid w:val="100760BE"/>
    <w:rsid w:val="1041321E"/>
    <w:rsid w:val="11CB17FD"/>
    <w:rsid w:val="12961914"/>
    <w:rsid w:val="141330F9"/>
    <w:rsid w:val="14C035EA"/>
    <w:rsid w:val="151425DC"/>
    <w:rsid w:val="16236EE5"/>
    <w:rsid w:val="167B0B53"/>
    <w:rsid w:val="17C33523"/>
    <w:rsid w:val="18017EAE"/>
    <w:rsid w:val="182A15DC"/>
    <w:rsid w:val="18370493"/>
    <w:rsid w:val="18777413"/>
    <w:rsid w:val="18B83168"/>
    <w:rsid w:val="18E300E1"/>
    <w:rsid w:val="19425E4D"/>
    <w:rsid w:val="1A0135ED"/>
    <w:rsid w:val="1AE10E3B"/>
    <w:rsid w:val="1B1327DA"/>
    <w:rsid w:val="1B5465C1"/>
    <w:rsid w:val="1CAB25CE"/>
    <w:rsid w:val="1D572740"/>
    <w:rsid w:val="1D645E0F"/>
    <w:rsid w:val="1D943884"/>
    <w:rsid w:val="1EDD12DB"/>
    <w:rsid w:val="1FEB543F"/>
    <w:rsid w:val="20F23567"/>
    <w:rsid w:val="21514E11"/>
    <w:rsid w:val="222B06DB"/>
    <w:rsid w:val="22405A7A"/>
    <w:rsid w:val="224D62D7"/>
    <w:rsid w:val="228A416C"/>
    <w:rsid w:val="22E664B0"/>
    <w:rsid w:val="23EF322A"/>
    <w:rsid w:val="253017C1"/>
    <w:rsid w:val="27886D4C"/>
    <w:rsid w:val="27A315CD"/>
    <w:rsid w:val="27E344B4"/>
    <w:rsid w:val="28095991"/>
    <w:rsid w:val="288843E6"/>
    <w:rsid w:val="28A14E8E"/>
    <w:rsid w:val="28FF54C0"/>
    <w:rsid w:val="2A8E3EA3"/>
    <w:rsid w:val="2B5B1812"/>
    <w:rsid w:val="2BA251D7"/>
    <w:rsid w:val="2BB6579C"/>
    <w:rsid w:val="2BEF1EE9"/>
    <w:rsid w:val="2C222B1F"/>
    <w:rsid w:val="2CB03697"/>
    <w:rsid w:val="2CDD337F"/>
    <w:rsid w:val="2D10070F"/>
    <w:rsid w:val="2D6B0AED"/>
    <w:rsid w:val="2E1E19F9"/>
    <w:rsid w:val="2E53645F"/>
    <w:rsid w:val="2ED27AD5"/>
    <w:rsid w:val="30B360D1"/>
    <w:rsid w:val="310A085D"/>
    <w:rsid w:val="311F58BA"/>
    <w:rsid w:val="316246B2"/>
    <w:rsid w:val="32036839"/>
    <w:rsid w:val="32144FC9"/>
    <w:rsid w:val="3248382A"/>
    <w:rsid w:val="329819DE"/>
    <w:rsid w:val="32F55BAE"/>
    <w:rsid w:val="33E022A4"/>
    <w:rsid w:val="34544307"/>
    <w:rsid w:val="34A4159F"/>
    <w:rsid w:val="34F121D2"/>
    <w:rsid w:val="36051B92"/>
    <w:rsid w:val="36B6562D"/>
    <w:rsid w:val="36F2391D"/>
    <w:rsid w:val="37414C97"/>
    <w:rsid w:val="37590E29"/>
    <w:rsid w:val="378B0677"/>
    <w:rsid w:val="37AF335E"/>
    <w:rsid w:val="38154920"/>
    <w:rsid w:val="38515060"/>
    <w:rsid w:val="38A81550"/>
    <w:rsid w:val="3B6C049A"/>
    <w:rsid w:val="3BF80B63"/>
    <w:rsid w:val="3D041934"/>
    <w:rsid w:val="3D1C64CF"/>
    <w:rsid w:val="3D325D8C"/>
    <w:rsid w:val="3D8814C1"/>
    <w:rsid w:val="3D9D125B"/>
    <w:rsid w:val="3E045AE5"/>
    <w:rsid w:val="3E1B73A9"/>
    <w:rsid w:val="3E397F27"/>
    <w:rsid w:val="3EC802A5"/>
    <w:rsid w:val="3EE909F6"/>
    <w:rsid w:val="3F132922"/>
    <w:rsid w:val="3F5214A8"/>
    <w:rsid w:val="3FEE00A4"/>
    <w:rsid w:val="404B6D07"/>
    <w:rsid w:val="40FF5703"/>
    <w:rsid w:val="41050ABD"/>
    <w:rsid w:val="41C7325A"/>
    <w:rsid w:val="42570897"/>
    <w:rsid w:val="42F94B20"/>
    <w:rsid w:val="45041208"/>
    <w:rsid w:val="463A78D8"/>
    <w:rsid w:val="464C0872"/>
    <w:rsid w:val="476A1804"/>
    <w:rsid w:val="47EC2174"/>
    <w:rsid w:val="480B2E04"/>
    <w:rsid w:val="489B4C65"/>
    <w:rsid w:val="48AB0912"/>
    <w:rsid w:val="48BF14DF"/>
    <w:rsid w:val="4AB94277"/>
    <w:rsid w:val="4ACC55F6"/>
    <w:rsid w:val="4B363D1F"/>
    <w:rsid w:val="4CF22E65"/>
    <w:rsid w:val="4D7B549C"/>
    <w:rsid w:val="4DBF4382"/>
    <w:rsid w:val="4DCE18B4"/>
    <w:rsid w:val="4E357419"/>
    <w:rsid w:val="4EFA085D"/>
    <w:rsid w:val="4F2656C0"/>
    <w:rsid w:val="4FB66598"/>
    <w:rsid w:val="4FDA3EFA"/>
    <w:rsid w:val="522E6874"/>
    <w:rsid w:val="538F7B0A"/>
    <w:rsid w:val="53DD7A5A"/>
    <w:rsid w:val="54510252"/>
    <w:rsid w:val="54521C02"/>
    <w:rsid w:val="55080A3E"/>
    <w:rsid w:val="55196A49"/>
    <w:rsid w:val="55401D5B"/>
    <w:rsid w:val="559342C5"/>
    <w:rsid w:val="56840E37"/>
    <w:rsid w:val="56B11091"/>
    <w:rsid w:val="5759599B"/>
    <w:rsid w:val="58171E7E"/>
    <w:rsid w:val="58A04FC4"/>
    <w:rsid w:val="58AE6BC4"/>
    <w:rsid w:val="58BA027D"/>
    <w:rsid w:val="58BF04AE"/>
    <w:rsid w:val="58C5521C"/>
    <w:rsid w:val="5A043A48"/>
    <w:rsid w:val="5A2E6F79"/>
    <w:rsid w:val="5A7B3F90"/>
    <w:rsid w:val="5B026333"/>
    <w:rsid w:val="5B616B67"/>
    <w:rsid w:val="5C6338A3"/>
    <w:rsid w:val="5DBC439A"/>
    <w:rsid w:val="5DFF7AC2"/>
    <w:rsid w:val="5E0F0A20"/>
    <w:rsid w:val="5E3A7AF7"/>
    <w:rsid w:val="5EE95705"/>
    <w:rsid w:val="5F3F5CF2"/>
    <w:rsid w:val="602A1FB6"/>
    <w:rsid w:val="60436372"/>
    <w:rsid w:val="606143FE"/>
    <w:rsid w:val="619878CC"/>
    <w:rsid w:val="61C44EA2"/>
    <w:rsid w:val="62CE29BE"/>
    <w:rsid w:val="63503B8B"/>
    <w:rsid w:val="63560FAC"/>
    <w:rsid w:val="636554EE"/>
    <w:rsid w:val="63AE57B4"/>
    <w:rsid w:val="64B6125C"/>
    <w:rsid w:val="653E243A"/>
    <w:rsid w:val="656E1FB6"/>
    <w:rsid w:val="659B53B7"/>
    <w:rsid w:val="6647152E"/>
    <w:rsid w:val="67316280"/>
    <w:rsid w:val="6793551C"/>
    <w:rsid w:val="6861239B"/>
    <w:rsid w:val="6A4453FB"/>
    <w:rsid w:val="6A5F6612"/>
    <w:rsid w:val="6B07542F"/>
    <w:rsid w:val="6B540B7B"/>
    <w:rsid w:val="6BBC55AB"/>
    <w:rsid w:val="6C052088"/>
    <w:rsid w:val="6C0D7E65"/>
    <w:rsid w:val="6C923BB8"/>
    <w:rsid w:val="6D7E727E"/>
    <w:rsid w:val="6DB20525"/>
    <w:rsid w:val="6DDA0454"/>
    <w:rsid w:val="6E002E80"/>
    <w:rsid w:val="6EA718A1"/>
    <w:rsid w:val="6EB22592"/>
    <w:rsid w:val="6F0B6C0D"/>
    <w:rsid w:val="70181FB8"/>
    <w:rsid w:val="708B7D43"/>
    <w:rsid w:val="70F92F7E"/>
    <w:rsid w:val="71EE44F9"/>
    <w:rsid w:val="71F02A5A"/>
    <w:rsid w:val="72657B02"/>
    <w:rsid w:val="735303D1"/>
    <w:rsid w:val="73580868"/>
    <w:rsid w:val="739F5BDE"/>
    <w:rsid w:val="73EC63DA"/>
    <w:rsid w:val="751C32F5"/>
    <w:rsid w:val="754A7EBB"/>
    <w:rsid w:val="759A6404"/>
    <w:rsid w:val="773C7F48"/>
    <w:rsid w:val="77ED1671"/>
    <w:rsid w:val="781F34A7"/>
    <w:rsid w:val="78C34440"/>
    <w:rsid w:val="79167C88"/>
    <w:rsid w:val="79215B7A"/>
    <w:rsid w:val="795478B9"/>
    <w:rsid w:val="795B1E39"/>
    <w:rsid w:val="795B480F"/>
    <w:rsid w:val="79732663"/>
    <w:rsid w:val="79A81FE8"/>
    <w:rsid w:val="7A051CB1"/>
    <w:rsid w:val="7A0C03AE"/>
    <w:rsid w:val="7A702B5E"/>
    <w:rsid w:val="7ADE0845"/>
    <w:rsid w:val="7AEA5D1D"/>
    <w:rsid w:val="7AF63A8E"/>
    <w:rsid w:val="7CC82E89"/>
    <w:rsid w:val="7CCE7B63"/>
    <w:rsid w:val="7CDB6835"/>
    <w:rsid w:val="7CDF2DA2"/>
    <w:rsid w:val="7CE61AB1"/>
    <w:rsid w:val="7DE56769"/>
    <w:rsid w:val="7F882A56"/>
    <w:rsid w:val="7FF96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6"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ind w:firstLine="420"/>
    </w:pPr>
    <w:rPr>
      <w:rFonts w:ascii="宋体"/>
      <w:sz w:val="24"/>
      <w:szCs w:val="20"/>
    </w:rPr>
  </w:style>
  <w:style w:type="paragraph" w:styleId="3">
    <w:name w:val="annotation text"/>
    <w:basedOn w:val="1"/>
    <w:uiPriority w:val="6"/>
    <w:pPr>
      <w:jc w:val="left"/>
    </w:pPr>
    <w:rPr>
      <w:kern w:val="1"/>
    </w:rPr>
  </w:style>
  <w:style w:type="paragraph" w:styleId="4">
    <w:name w:val="Date"/>
    <w:basedOn w:val="1"/>
    <w:next w:val="1"/>
    <w:link w:val="14"/>
    <w:unhideWhenUsed/>
    <w:qFormat/>
    <w:uiPriority w:val="99"/>
    <w:pPr>
      <w:ind w:left="100" w:leftChars="2500"/>
    </w:pPr>
  </w:style>
  <w:style w:type="paragraph" w:styleId="5">
    <w:name w:val="footer"/>
    <w:basedOn w:val="1"/>
    <w:link w:val="13"/>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6">
    <w:name w:val="header"/>
    <w:basedOn w:val="1"/>
    <w:link w:val="12"/>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paragraph" w:styleId="7">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semiHidden/>
    <w:qFormat/>
    <w:uiPriority w:val="99"/>
    <w:rPr>
      <w:sz w:val="18"/>
      <w:szCs w:val="18"/>
    </w:rPr>
  </w:style>
  <w:style w:type="character" w:customStyle="1" w:styleId="13">
    <w:name w:val="页脚 字符"/>
    <w:basedOn w:val="10"/>
    <w:link w:val="5"/>
    <w:semiHidden/>
    <w:qFormat/>
    <w:uiPriority w:val="99"/>
    <w:rPr>
      <w:sz w:val="18"/>
      <w:szCs w:val="18"/>
    </w:rPr>
  </w:style>
  <w:style w:type="character" w:customStyle="1" w:styleId="14">
    <w:name w:val="日期 字符"/>
    <w:basedOn w:val="10"/>
    <w:link w:val="4"/>
    <w:semiHidden/>
    <w:qFormat/>
    <w:uiPriority w:val="99"/>
    <w:rPr>
      <w:rFonts w:ascii="Tahoma" w:hAnsi="Tahoma" w:eastAsia="微软雅黑"/>
      <w:kern w:val="0"/>
      <w:sz w:val="22"/>
    </w:rPr>
  </w:style>
  <w:style w:type="character" w:customStyle="1" w:styleId="15">
    <w:name w:val="bookmark-item"/>
    <w:basedOn w:val="10"/>
    <w:qFormat/>
    <w:uiPriority w:val="0"/>
  </w:style>
  <w:style w:type="character" w:customStyle="1" w:styleId="16">
    <w:name w:val="sub"/>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408</Words>
  <Characters>2330</Characters>
  <Lines>19</Lines>
  <Paragraphs>5</Paragraphs>
  <TotalTime>12</TotalTime>
  <ScaleCrop>false</ScaleCrop>
  <LinksUpToDate>false</LinksUpToDate>
  <CharactersWithSpaces>2733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2017-05-15T05:04:00Z</dcterms:created>
  <dc:creator>USER</dc:creator>
  <cp:lastModifiedBy>Administrator</cp:lastModifiedBy>
  <cp:lastPrinted>2020-06-30T02:30:00Z</cp:lastPrinted>
  <dcterms:modified xsi:type="dcterms:W3CDTF">2020-06-30T05:26:31Z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