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喀什市2020年果树定植追肥项目</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lang w:val="en-US" w:eastAsia="zh-CN"/>
        </w:rPr>
      </w:pPr>
      <w:r>
        <w:rPr>
          <w:rFonts w:hint="eastAsia" w:ascii="仿宋" w:hAnsi="仿宋" w:eastAsia="仿宋" w:cs="仿宋"/>
          <w:b/>
          <w:bCs/>
          <w:color w:val="auto"/>
          <w:sz w:val="28"/>
          <w:szCs w:val="28"/>
          <w:highlight w:val="none"/>
          <w:lang w:val="en-US" w:eastAsia="zh-CN"/>
        </w:rPr>
        <w:t>公开招标公告</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rightChars="0" w:firstLine="420" w:firstLineChars="200"/>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新疆文嘉浩工程项目管理有限公司受喀什市自然资源局的委托就“喀什市2020年果树定植追肥项目”以公开招标的方式进行采购，现邀请合格投标人前来投标。</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exact"/>
        <w:ind w:right="0" w:rightChars="0"/>
        <w:textAlignment w:val="auto"/>
        <w:outlineLvl w:val="9"/>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一、项目基本情况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right="0" w:rightChars="0" w:firstLine="420" w:firstLineChars="20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1、采购项目编号：XJWJH(</w:t>
      </w:r>
      <w:r>
        <w:rPr>
          <w:rFonts w:hint="eastAsia" w:ascii="宋体" w:hAnsi="宋体" w:cs="宋体"/>
          <w:kern w:val="2"/>
          <w:sz w:val="21"/>
          <w:szCs w:val="21"/>
          <w:lang w:val="en-US" w:eastAsia="zh-CN" w:bidi="ar-SA"/>
        </w:rPr>
        <w:t>GK</w:t>
      </w:r>
      <w:r>
        <w:rPr>
          <w:rFonts w:hint="eastAsia" w:ascii="宋体" w:hAnsi="宋体" w:eastAsia="宋体" w:cs="宋体"/>
          <w:kern w:val="2"/>
          <w:sz w:val="21"/>
          <w:szCs w:val="21"/>
          <w:lang w:val="en-US" w:eastAsia="zh-CN" w:bidi="ar-SA"/>
        </w:rPr>
        <w:t>)-2020-00</w:t>
      </w:r>
      <w:r>
        <w:rPr>
          <w:rFonts w:hint="eastAsia" w:ascii="宋体" w:hAnsi="宋体" w:cs="宋体"/>
          <w:kern w:val="2"/>
          <w:sz w:val="21"/>
          <w:szCs w:val="21"/>
          <w:lang w:val="en-US" w:eastAsia="zh-CN" w:bidi="ar-SA"/>
        </w:rPr>
        <w:t>2号</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right="0" w:rightChars="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2、采购项目名称：喀什市2020年果树定植追肥项目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right="0" w:rightChars="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3、采购单位：</w:t>
      </w:r>
      <w:r>
        <w:rPr>
          <w:rFonts w:hint="eastAsia" w:ascii="宋体" w:hAnsi="宋体" w:eastAsia="宋体" w:cs="宋体"/>
          <w:color w:val="auto"/>
          <w:kern w:val="0"/>
          <w:sz w:val="21"/>
          <w:szCs w:val="21"/>
          <w:highlight w:val="none"/>
          <w:lang w:val="en-US" w:eastAsia="zh-CN" w:bidi="ar-SA"/>
        </w:rPr>
        <w:t>喀什市自然资源局</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right="0" w:rightChars="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4、代理机构：</w:t>
      </w:r>
      <w:r>
        <w:rPr>
          <w:rFonts w:hint="eastAsia" w:ascii="宋体" w:hAnsi="宋体" w:eastAsia="宋体" w:cs="宋体"/>
          <w:color w:val="auto"/>
          <w:kern w:val="0"/>
          <w:sz w:val="21"/>
          <w:szCs w:val="21"/>
          <w:highlight w:val="none"/>
          <w:lang w:val="en-US" w:eastAsia="zh-CN" w:bidi="ar-SA"/>
        </w:rPr>
        <w:t>新疆文嘉浩工程项目管理有限公司</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right="0" w:rightChars="0" w:firstLine="420" w:firstLineChars="200"/>
        <w:jc w:val="left"/>
        <w:textAlignment w:val="auto"/>
        <w:rPr>
          <w:rFonts w:hint="eastAsia" w:ascii="宋体" w:hAnsi="宋体" w:cs="宋体"/>
          <w:kern w:val="2"/>
          <w:sz w:val="21"/>
          <w:szCs w:val="21"/>
          <w:lang w:val="en-US" w:eastAsia="zh-CN" w:bidi="ar-SA"/>
        </w:rPr>
      </w:pPr>
      <w:r>
        <w:rPr>
          <w:rFonts w:hint="eastAsia" w:ascii="宋体" w:hAnsi="宋体" w:eastAsia="宋体" w:cs="宋体"/>
          <w:kern w:val="2"/>
          <w:sz w:val="21"/>
          <w:szCs w:val="21"/>
          <w:lang w:val="en-US" w:eastAsia="zh-CN" w:bidi="ar-SA"/>
        </w:rPr>
        <w:t>5、采购预算金额</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6087000.00元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630" w:leftChars="200" w:right="0" w:rightChars="0" w:hanging="210" w:hangingChars="100"/>
        <w:jc w:val="left"/>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6、</w:t>
      </w:r>
      <w:r>
        <w:rPr>
          <w:rFonts w:hint="eastAsia" w:ascii="宋体" w:hAnsi="宋体" w:eastAsia="宋体" w:cs="宋体"/>
          <w:kern w:val="2"/>
          <w:sz w:val="21"/>
          <w:szCs w:val="21"/>
          <w:lang w:val="en-US" w:eastAsia="zh-CN" w:bidi="ar-SA"/>
        </w:rPr>
        <w:t>采购内容</w:t>
      </w:r>
      <w:r>
        <w:rPr>
          <w:rFonts w:hint="eastAsia" w:ascii="宋体" w:hAnsi="宋体" w:cs="宋体"/>
          <w:kern w:val="2"/>
          <w:sz w:val="21"/>
          <w:szCs w:val="21"/>
          <w:lang w:val="en-US" w:eastAsia="zh-CN" w:bidi="ar-SA"/>
        </w:rPr>
        <w:t>：采购复合肥1690.8吨</w:t>
      </w:r>
      <w:r>
        <w:rPr>
          <w:rFonts w:hint="eastAsia" w:ascii="宋体" w:hAnsi="宋体" w:eastAsia="宋体" w:cs="宋体"/>
          <w:kern w:val="2"/>
          <w:sz w:val="21"/>
          <w:szCs w:val="21"/>
          <w:lang w:val="en-US" w:eastAsia="zh-CN" w:bidi="ar-SA"/>
        </w:rPr>
        <w:t>（</w:t>
      </w:r>
      <w:r>
        <w:rPr>
          <w:rFonts w:hint="eastAsia" w:ascii="宋体" w:hAnsi="宋体" w:eastAsia="宋体" w:cs="宋体"/>
          <w:b/>
          <w:bCs/>
          <w:kern w:val="2"/>
          <w:sz w:val="21"/>
          <w:szCs w:val="21"/>
          <w:lang w:val="en-US" w:eastAsia="zh-CN" w:bidi="ar-SA"/>
        </w:rPr>
        <w:t>详见招标文件</w:t>
      </w:r>
      <w:r>
        <w:rPr>
          <w:rFonts w:hint="eastAsia" w:ascii="宋体" w:hAnsi="宋体" w:eastAsia="宋体" w:cs="宋体"/>
          <w:kern w:val="2"/>
          <w:sz w:val="21"/>
          <w:szCs w:val="21"/>
          <w:lang w:val="en-US" w:eastAsia="zh-CN" w:bidi="ar-SA"/>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leftChars="200" w:right="0" w:rightChars="0"/>
        <w:jc w:val="left"/>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7、</w:t>
      </w:r>
      <w:r>
        <w:rPr>
          <w:rFonts w:hint="eastAsia" w:ascii="宋体" w:hAnsi="宋体" w:eastAsia="宋体" w:cs="宋体"/>
          <w:kern w:val="2"/>
          <w:sz w:val="21"/>
          <w:szCs w:val="21"/>
          <w:lang w:val="en-US" w:eastAsia="zh-CN" w:bidi="ar-SA"/>
        </w:rPr>
        <w:t>项目实施地点：</w:t>
      </w:r>
      <w:r>
        <w:rPr>
          <w:rFonts w:hint="eastAsia" w:ascii="宋体" w:hAnsi="宋体" w:cs="宋体"/>
          <w:kern w:val="2"/>
          <w:sz w:val="21"/>
          <w:szCs w:val="21"/>
          <w:lang w:val="en-US" w:eastAsia="zh-CN" w:bidi="ar-SA"/>
        </w:rPr>
        <w:t>喀什市</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rPr>
        <w:t>二、投标人资格要求</w:t>
      </w:r>
      <w:r>
        <w:rPr>
          <w:rFonts w:hint="eastAsia" w:ascii="宋体" w:hAnsi="宋体" w:cs="宋体"/>
          <w:b/>
          <w:color w:val="auto"/>
          <w:kern w:val="0"/>
          <w:sz w:val="21"/>
          <w:szCs w:val="21"/>
          <w:highlight w:val="none"/>
          <w:lang w:eastAsia="zh-CN"/>
        </w:rPr>
        <w:t>：</w:t>
      </w:r>
    </w:p>
    <w:p>
      <w:pPr>
        <w:pStyle w:val="11"/>
        <w:keepNext w:val="0"/>
        <w:keepLines w:val="0"/>
        <w:pageBreakBefore w:val="0"/>
        <w:numPr>
          <w:ilvl w:val="0"/>
          <w:numId w:val="1"/>
        </w:numPr>
        <w:kinsoku/>
        <w:wordWrap/>
        <w:overflowPunct/>
        <w:topLinePunct w:val="0"/>
        <w:autoSpaceDE/>
        <w:autoSpaceDN/>
        <w:bidi w:val="0"/>
        <w:adjustRightInd/>
        <w:snapToGrid/>
        <w:spacing w:line="240" w:lineRule="auto"/>
        <w:ind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投标人必须满足《中华人民共和国政府采购法》第二十二条要求；</w:t>
      </w:r>
    </w:p>
    <w:p>
      <w:pPr>
        <w:pStyle w:val="11"/>
        <w:keepNext w:val="0"/>
        <w:keepLines w:val="0"/>
        <w:pageBreakBefore w:val="0"/>
        <w:numPr>
          <w:ilvl w:val="0"/>
          <w:numId w:val="1"/>
        </w:numPr>
        <w:kinsoku/>
        <w:wordWrap/>
        <w:overflowPunct/>
        <w:topLinePunct w:val="0"/>
        <w:autoSpaceDE/>
        <w:autoSpaceDN/>
        <w:bidi w:val="0"/>
        <w:adjustRightInd/>
        <w:snapToGrid/>
        <w:spacing w:line="240" w:lineRule="auto"/>
        <w:ind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三证合一的营业执照(投标供应商经营范围必须包含相应商品）</w:t>
      </w:r>
    </w:p>
    <w:p>
      <w:pPr>
        <w:widowControl/>
        <w:numPr>
          <w:ilvl w:val="0"/>
          <w:numId w:val="1"/>
        </w:numPr>
        <w:ind w:left="425" w:leftChars="0" w:hanging="425"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法定代表人授权委托书及被委托人身份证,法人身份证原件（法定代表人投标提供法</w:t>
      </w:r>
      <w:r>
        <w:rPr>
          <w:rFonts w:hint="eastAsia" w:ascii="宋体" w:hAnsi="宋体" w:cs="宋体"/>
          <w:kern w:val="2"/>
          <w:sz w:val="21"/>
          <w:szCs w:val="21"/>
          <w:lang w:val="en-US" w:eastAsia="zh-CN" w:bidi="ar-SA"/>
        </w:rPr>
        <w:t>人</w:t>
      </w:r>
      <w:r>
        <w:rPr>
          <w:rFonts w:hint="eastAsia" w:ascii="宋体" w:hAnsi="宋体" w:eastAsia="宋体" w:cs="宋体"/>
          <w:kern w:val="2"/>
          <w:sz w:val="21"/>
          <w:szCs w:val="21"/>
          <w:lang w:val="en-US" w:eastAsia="zh-CN" w:bidi="ar-SA"/>
        </w:rPr>
        <w:t>身份证）；</w:t>
      </w:r>
    </w:p>
    <w:p>
      <w:pPr>
        <w:pStyle w:val="11"/>
        <w:keepNext w:val="0"/>
        <w:keepLines w:val="0"/>
        <w:pageBreakBefore w:val="0"/>
        <w:numPr>
          <w:ilvl w:val="0"/>
          <w:numId w:val="1"/>
        </w:numPr>
        <w:kinsoku/>
        <w:wordWrap/>
        <w:overflowPunct/>
        <w:topLinePunct w:val="0"/>
        <w:autoSpaceDE/>
        <w:autoSpaceDN/>
        <w:bidi w:val="0"/>
        <w:adjustRightInd/>
        <w:snapToGrid/>
        <w:spacing w:line="240" w:lineRule="auto"/>
        <w:ind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在本公告发出至投标截止间内在“信用中国”网站（http://www.creditchina.gov.cn）、中国政府采购网（http://www.ccgp.gov.cn）、国家企业信用信息公示系统(http://www.gsxt.gov.cn)无尚在处罚期内的不良行为记录网上截图复印件加盖公章；</w:t>
      </w:r>
    </w:p>
    <w:p>
      <w:pPr>
        <w:pStyle w:val="11"/>
        <w:keepNext w:val="0"/>
        <w:keepLines w:val="0"/>
        <w:pageBreakBefore w:val="0"/>
        <w:numPr>
          <w:ilvl w:val="0"/>
          <w:numId w:val="1"/>
        </w:numPr>
        <w:kinsoku/>
        <w:wordWrap/>
        <w:overflowPunct/>
        <w:topLinePunct w:val="0"/>
        <w:autoSpaceDE/>
        <w:autoSpaceDN/>
        <w:bidi w:val="0"/>
        <w:adjustRightInd/>
        <w:snapToGrid/>
        <w:spacing w:line="240" w:lineRule="auto"/>
        <w:ind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参加政府采购活动前三年内，在经营活动中没有重大违法记录声明；</w:t>
      </w:r>
    </w:p>
    <w:p>
      <w:pPr>
        <w:keepNext w:val="0"/>
        <w:keepLines w:val="0"/>
        <w:pageBreakBefore w:val="0"/>
        <w:numPr>
          <w:ilvl w:val="0"/>
          <w:numId w:val="1"/>
        </w:numPr>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具有良好的商业信誉和健全的财务会计制度；（2018年审计报告原件；新成立公司须提供银行开具的资信证明原件。） </w:t>
      </w:r>
    </w:p>
    <w:p>
      <w:pPr>
        <w:keepNext w:val="0"/>
        <w:keepLines w:val="0"/>
        <w:pageBreakBefore w:val="0"/>
        <w:numPr>
          <w:ilvl w:val="0"/>
          <w:numId w:val="1"/>
        </w:numPr>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被委托人必须是投标单位法人或正式员工，需提供社保部门出具的投标单位上一季度的缴纳社保证明（社保缴费凭证和个人明细表）原件；</w:t>
      </w:r>
    </w:p>
    <w:p>
      <w:pPr>
        <w:keepNext w:val="0"/>
        <w:keepLines w:val="0"/>
        <w:pageBreakBefore w:val="0"/>
        <w:numPr>
          <w:ilvl w:val="0"/>
          <w:numId w:val="1"/>
        </w:numPr>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投标单位（供应商）针对本项目的</w:t>
      </w:r>
      <w:r>
        <w:rPr>
          <w:rFonts w:hint="eastAsia" w:ascii="宋体" w:hAnsi="宋体" w:eastAsia="宋体" w:cs="宋体"/>
          <w:kern w:val="2"/>
          <w:sz w:val="21"/>
          <w:szCs w:val="21"/>
          <w:lang w:val="en-US" w:eastAsia="zh-CN" w:bidi="ar-SA"/>
        </w:rPr>
        <w:t>反商业行贿承诺书（加盖公章）原件；</w:t>
      </w:r>
    </w:p>
    <w:p>
      <w:pPr>
        <w:widowControl/>
        <w:numPr>
          <w:ilvl w:val="0"/>
          <w:numId w:val="1"/>
        </w:numPr>
        <w:ind w:left="425" w:leftChars="0" w:hanging="425"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本项目不接受联合体投标；</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422" w:firstLineChars="20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根据目前疫情防控工作要求，考虑到各投标单位出行情况，我公司接受以邮箱形式报名。报名时按以下内容发送至邮箱：1、项目名称；2、项目编号；3、公司名称；</w:t>
      </w:r>
      <w:r>
        <w:rPr>
          <w:rFonts w:hint="eastAsia" w:ascii="宋体" w:hAnsi="宋体" w:cs="宋体"/>
          <w:b/>
          <w:bCs/>
          <w:kern w:val="2"/>
          <w:sz w:val="21"/>
          <w:szCs w:val="21"/>
          <w:lang w:val="en-US" w:eastAsia="zh-CN" w:bidi="ar-SA"/>
        </w:rPr>
        <w:t>4</w:t>
      </w:r>
      <w:r>
        <w:rPr>
          <w:rFonts w:hint="eastAsia" w:ascii="宋体" w:hAnsi="宋体" w:eastAsia="宋体" w:cs="宋体"/>
          <w:b/>
          <w:bCs/>
          <w:kern w:val="2"/>
          <w:sz w:val="21"/>
          <w:szCs w:val="21"/>
          <w:lang w:val="en-US" w:eastAsia="zh-CN" w:bidi="ar-SA"/>
        </w:rPr>
        <w:t>、联系人；</w:t>
      </w:r>
      <w:r>
        <w:rPr>
          <w:rFonts w:hint="eastAsia" w:ascii="宋体" w:hAnsi="宋体" w:cs="宋体"/>
          <w:b/>
          <w:bCs/>
          <w:kern w:val="2"/>
          <w:sz w:val="21"/>
          <w:szCs w:val="21"/>
          <w:lang w:val="en-US" w:eastAsia="zh-CN" w:bidi="ar-SA"/>
        </w:rPr>
        <w:t>5</w:t>
      </w:r>
      <w:r>
        <w:rPr>
          <w:rFonts w:hint="eastAsia" w:ascii="宋体" w:hAnsi="宋体" w:eastAsia="宋体" w:cs="宋体"/>
          <w:b/>
          <w:bCs/>
          <w:kern w:val="2"/>
          <w:sz w:val="21"/>
          <w:szCs w:val="21"/>
          <w:lang w:val="en-US" w:eastAsia="zh-CN" w:bidi="ar-SA"/>
        </w:rPr>
        <w:t>、联系电话；</w:t>
      </w:r>
      <w:r>
        <w:rPr>
          <w:rFonts w:hint="eastAsia" w:ascii="宋体" w:hAnsi="宋体" w:cs="宋体"/>
          <w:b/>
          <w:bCs/>
          <w:kern w:val="2"/>
          <w:sz w:val="21"/>
          <w:szCs w:val="21"/>
          <w:lang w:val="en-US" w:eastAsia="zh-CN" w:bidi="ar-SA"/>
        </w:rPr>
        <w:t>6</w:t>
      </w:r>
      <w:r>
        <w:rPr>
          <w:rFonts w:hint="eastAsia" w:ascii="宋体" w:hAnsi="宋体" w:eastAsia="宋体" w:cs="宋体"/>
          <w:b/>
          <w:bCs/>
          <w:kern w:val="2"/>
          <w:sz w:val="21"/>
          <w:szCs w:val="21"/>
          <w:lang w:val="en-US" w:eastAsia="zh-CN" w:bidi="ar-SA"/>
        </w:rPr>
        <w:t xml:space="preserve">、邮箱号； </w:t>
      </w:r>
      <w:r>
        <w:rPr>
          <w:rFonts w:hint="eastAsia" w:ascii="宋体" w:hAnsi="宋体" w:cs="宋体"/>
          <w:b/>
          <w:bCs/>
          <w:kern w:val="2"/>
          <w:sz w:val="21"/>
          <w:szCs w:val="21"/>
          <w:lang w:val="en-US" w:eastAsia="zh-CN" w:bidi="ar-SA"/>
        </w:rPr>
        <w:t>7</w:t>
      </w:r>
      <w:r>
        <w:rPr>
          <w:rFonts w:hint="eastAsia" w:ascii="宋体" w:hAnsi="宋体" w:eastAsia="宋体" w:cs="宋体"/>
          <w:b/>
          <w:bCs/>
          <w:kern w:val="2"/>
          <w:sz w:val="21"/>
          <w:szCs w:val="21"/>
          <w:lang w:val="en-US" w:eastAsia="zh-CN" w:bidi="ar-SA"/>
        </w:rPr>
        <w:t>、以上资格证明材料可以</w:t>
      </w:r>
      <w:r>
        <w:rPr>
          <w:rFonts w:hint="eastAsia" w:ascii="宋体" w:hAnsi="宋体" w:cs="宋体"/>
          <w:b/>
          <w:bCs/>
          <w:kern w:val="2"/>
          <w:sz w:val="21"/>
          <w:szCs w:val="21"/>
          <w:lang w:val="en-US" w:eastAsia="zh-CN" w:bidi="ar-SA"/>
        </w:rPr>
        <w:t>以</w:t>
      </w:r>
      <w:r>
        <w:rPr>
          <w:rFonts w:hint="eastAsia" w:ascii="宋体" w:hAnsi="宋体" w:eastAsia="宋体" w:cs="宋体"/>
          <w:b/>
          <w:bCs/>
          <w:kern w:val="2"/>
          <w:sz w:val="21"/>
          <w:szCs w:val="21"/>
          <w:lang w:val="en-US" w:eastAsia="zh-CN" w:bidi="ar-SA"/>
        </w:rPr>
        <w:t>扫描件的形式整理成一个PDF格式的文件</w:t>
      </w:r>
      <w:r>
        <w:rPr>
          <w:rFonts w:hint="eastAsia" w:ascii="宋体" w:hAnsi="宋体" w:cs="宋体"/>
          <w:b/>
          <w:bCs/>
          <w:kern w:val="2"/>
          <w:sz w:val="21"/>
          <w:szCs w:val="21"/>
          <w:lang w:val="en-US" w:eastAsia="zh-CN" w:bidi="ar-SA"/>
        </w:rPr>
        <w:t>发送至</w:t>
      </w:r>
      <w:r>
        <w:rPr>
          <w:rFonts w:hint="eastAsia" w:ascii="宋体" w:hAnsi="宋体" w:eastAsia="宋体" w:cs="宋体"/>
          <w:b/>
          <w:bCs/>
          <w:kern w:val="2"/>
          <w:sz w:val="21"/>
          <w:szCs w:val="21"/>
          <w:lang w:val="en-US" w:eastAsia="zh-CN" w:bidi="ar-SA"/>
        </w:rPr>
        <w:t>邮箱</w:t>
      </w:r>
      <w:r>
        <w:rPr>
          <w:rFonts w:hint="eastAsia" w:ascii="宋体" w:hAnsi="宋体" w:cs="宋体"/>
          <w:b/>
          <w:bCs/>
          <w:kern w:val="2"/>
          <w:sz w:val="21"/>
          <w:szCs w:val="21"/>
          <w:lang w:val="en-US" w:eastAsia="zh-CN" w:bidi="ar-SA"/>
        </w:rPr>
        <w:t>：798992804</w:t>
      </w:r>
      <w:r>
        <w:rPr>
          <w:rFonts w:hint="eastAsia" w:ascii="宋体" w:hAnsi="宋体" w:eastAsia="宋体" w:cs="宋体"/>
          <w:b/>
          <w:bCs/>
          <w:kern w:val="2"/>
          <w:sz w:val="21"/>
          <w:szCs w:val="21"/>
          <w:lang w:val="en-US" w:eastAsia="zh-CN" w:bidi="ar-SA"/>
        </w:rPr>
        <w:t>@qq.com；（要求扫描件内容字迹清晰、逐页加盖公章）未严格按照上述要求提供的，报名不予接受。</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kern w:val="2"/>
          <w:sz w:val="21"/>
          <w:szCs w:val="21"/>
          <w:lang w:val="en-US" w:eastAsia="zh-CN" w:bidi="ar-SA"/>
        </w:rPr>
        <w:t>三</w:t>
      </w:r>
      <w:r>
        <w:rPr>
          <w:rFonts w:hint="eastAsia" w:ascii="宋体" w:hAnsi="宋体" w:cs="宋体"/>
          <w:b/>
          <w:bCs/>
          <w:kern w:val="2"/>
          <w:sz w:val="21"/>
          <w:szCs w:val="21"/>
          <w:lang w:val="en-US" w:eastAsia="zh-CN" w:bidi="ar-SA"/>
        </w:rPr>
        <w:t>、</w:t>
      </w:r>
      <w:r>
        <w:rPr>
          <w:rFonts w:hint="eastAsia" w:ascii="宋体" w:hAnsi="宋体" w:eastAsia="宋体" w:cs="宋体"/>
          <w:b/>
          <w:bCs/>
          <w:color w:val="auto"/>
          <w:kern w:val="0"/>
          <w:sz w:val="21"/>
          <w:szCs w:val="21"/>
          <w:highlight w:val="none"/>
        </w:rPr>
        <w:t>投标报名时间及地点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right="0" w:rightChars="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1、招标文件取得时间：20</w:t>
      </w:r>
      <w:r>
        <w:rPr>
          <w:rFonts w:hint="eastAsia" w:ascii="宋体" w:hAnsi="宋体" w:cs="宋体"/>
          <w:kern w:val="2"/>
          <w:sz w:val="21"/>
          <w:szCs w:val="21"/>
          <w:lang w:val="en-US" w:eastAsia="zh-CN" w:bidi="ar-SA"/>
        </w:rPr>
        <w:t>20</w:t>
      </w:r>
      <w:r>
        <w:rPr>
          <w:rFonts w:hint="eastAsia" w:ascii="宋体" w:hAnsi="宋体" w:eastAsia="宋体" w:cs="宋体"/>
          <w:kern w:val="2"/>
          <w:sz w:val="21"/>
          <w:szCs w:val="21"/>
          <w:lang w:val="en-US" w:eastAsia="zh-CN" w:bidi="ar-SA"/>
        </w:rPr>
        <w:t>年</w:t>
      </w: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月</w:t>
      </w:r>
      <w:r>
        <w:rPr>
          <w:rFonts w:hint="eastAsia" w:ascii="宋体" w:hAnsi="宋体" w:cs="宋体"/>
          <w:kern w:val="2"/>
          <w:sz w:val="21"/>
          <w:szCs w:val="21"/>
          <w:lang w:val="en-US" w:eastAsia="zh-CN" w:bidi="ar-SA"/>
        </w:rPr>
        <w:t>11</w:t>
      </w:r>
      <w:r>
        <w:rPr>
          <w:rFonts w:hint="eastAsia" w:ascii="宋体" w:hAnsi="宋体" w:eastAsia="宋体" w:cs="宋体"/>
          <w:kern w:val="2"/>
          <w:sz w:val="21"/>
          <w:szCs w:val="21"/>
          <w:lang w:val="en-US" w:eastAsia="zh-CN" w:bidi="ar-SA"/>
        </w:rPr>
        <w:t>日起至20</w:t>
      </w:r>
      <w:r>
        <w:rPr>
          <w:rFonts w:hint="eastAsia" w:ascii="宋体" w:hAnsi="宋体" w:cs="宋体"/>
          <w:kern w:val="2"/>
          <w:sz w:val="21"/>
          <w:szCs w:val="21"/>
          <w:lang w:val="en-US" w:eastAsia="zh-CN" w:bidi="ar-SA"/>
        </w:rPr>
        <w:t>20</w:t>
      </w:r>
      <w:r>
        <w:rPr>
          <w:rFonts w:hint="eastAsia" w:ascii="宋体" w:hAnsi="宋体" w:eastAsia="宋体" w:cs="宋体"/>
          <w:kern w:val="2"/>
          <w:sz w:val="21"/>
          <w:szCs w:val="21"/>
          <w:lang w:val="en-US" w:eastAsia="zh-CN" w:bidi="ar-SA"/>
        </w:rPr>
        <w:t>年</w:t>
      </w: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月</w:t>
      </w:r>
      <w:r>
        <w:rPr>
          <w:rFonts w:hint="eastAsia" w:ascii="宋体" w:hAnsi="宋体" w:cs="宋体"/>
          <w:kern w:val="2"/>
          <w:sz w:val="21"/>
          <w:szCs w:val="21"/>
          <w:lang w:val="en-US" w:eastAsia="zh-CN" w:bidi="ar-SA"/>
        </w:rPr>
        <w:t>17</w:t>
      </w:r>
      <w:r>
        <w:rPr>
          <w:rFonts w:hint="eastAsia" w:ascii="宋体" w:hAnsi="宋体" w:eastAsia="宋体" w:cs="宋体"/>
          <w:kern w:val="2"/>
          <w:sz w:val="21"/>
          <w:szCs w:val="21"/>
          <w:lang w:val="en-US" w:eastAsia="zh-CN" w:bidi="ar-SA"/>
        </w:rPr>
        <w:t>日【上午10:30-14:00时及下午16:00-19:30时（北京时间)】；</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right="0" w:rightChars="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2、报名及购买招标文件地点：新疆文嘉浩工程项目管理有限公司</w:t>
      </w:r>
      <w:r>
        <w:rPr>
          <w:rFonts w:hint="eastAsia" w:ascii="宋体" w:hAnsi="宋体" w:eastAsia="宋体" w:cs="宋体"/>
          <w:color w:val="auto"/>
          <w:kern w:val="0"/>
          <w:sz w:val="21"/>
          <w:szCs w:val="21"/>
          <w:highlight w:val="none"/>
          <w:lang w:val="en-US" w:eastAsia="zh-CN" w:bidi="ar-SA"/>
        </w:rPr>
        <w:t>（</w:t>
      </w:r>
      <w:r>
        <w:rPr>
          <w:rFonts w:hint="eastAsia" w:ascii="宋体" w:hAnsi="宋体" w:cs="宋体"/>
          <w:kern w:val="2"/>
          <w:sz w:val="21"/>
          <w:szCs w:val="21"/>
          <w:lang w:val="en-US" w:eastAsia="zh-CN" w:bidi="ar-SA"/>
        </w:rPr>
        <w:t>喀什市团结路168号辰丰楼3楼</w:t>
      </w:r>
      <w:r>
        <w:rPr>
          <w:rFonts w:hint="eastAsia" w:ascii="宋体" w:hAnsi="宋体" w:eastAsia="宋体" w:cs="宋体"/>
          <w:color w:val="auto"/>
          <w:kern w:val="0"/>
          <w:sz w:val="21"/>
          <w:szCs w:val="21"/>
          <w:highlight w:val="none"/>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right="0" w:rightChars="0" w:firstLine="420" w:firstLineChars="20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3、招标文件售价：</w:t>
      </w:r>
      <w:r>
        <w:rPr>
          <w:rFonts w:hint="eastAsia" w:ascii="宋体" w:hAnsi="宋体" w:cs="宋体"/>
          <w:kern w:val="2"/>
          <w:sz w:val="21"/>
          <w:szCs w:val="21"/>
          <w:lang w:val="en-US" w:eastAsia="zh-CN" w:bidi="ar-SA"/>
        </w:rPr>
        <w:t>200.00元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right="0" w:rightChars="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4、投标截止时间及开标时间：20</w:t>
      </w:r>
      <w:r>
        <w:rPr>
          <w:rFonts w:hint="eastAsia" w:ascii="宋体" w:hAnsi="宋体" w:cs="宋体"/>
          <w:kern w:val="2"/>
          <w:sz w:val="21"/>
          <w:szCs w:val="21"/>
          <w:lang w:val="en-US" w:eastAsia="zh-CN" w:bidi="ar-SA"/>
        </w:rPr>
        <w:t>20</w:t>
      </w:r>
      <w:r>
        <w:rPr>
          <w:rFonts w:hint="eastAsia" w:ascii="宋体" w:hAnsi="宋体" w:eastAsia="宋体" w:cs="宋体"/>
          <w:kern w:val="2"/>
          <w:sz w:val="21"/>
          <w:szCs w:val="21"/>
          <w:lang w:val="en-US" w:eastAsia="zh-CN" w:bidi="ar-SA"/>
        </w:rPr>
        <w:t>年</w:t>
      </w: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月</w:t>
      </w:r>
      <w:r>
        <w:rPr>
          <w:rFonts w:hint="eastAsia" w:ascii="宋体" w:hAnsi="宋体" w:cs="宋体"/>
          <w:kern w:val="2"/>
          <w:sz w:val="21"/>
          <w:szCs w:val="21"/>
          <w:lang w:val="en-US" w:eastAsia="zh-CN" w:bidi="ar-SA"/>
        </w:rPr>
        <w:t>4</w:t>
      </w:r>
      <w:r>
        <w:rPr>
          <w:rFonts w:hint="eastAsia" w:ascii="宋体" w:hAnsi="宋体" w:eastAsia="宋体" w:cs="宋体"/>
          <w:kern w:val="2"/>
          <w:sz w:val="21"/>
          <w:szCs w:val="21"/>
          <w:lang w:val="en-US" w:eastAsia="zh-CN" w:bidi="ar-SA"/>
        </w:rPr>
        <w:t>日</w:t>
      </w:r>
      <w:r>
        <w:rPr>
          <w:rFonts w:hint="eastAsia" w:ascii="宋体" w:hAnsi="宋体" w:cs="宋体"/>
          <w:kern w:val="2"/>
          <w:sz w:val="21"/>
          <w:szCs w:val="21"/>
          <w:lang w:val="en-US" w:eastAsia="zh-CN" w:bidi="ar-SA"/>
        </w:rPr>
        <w:t>上</w:t>
      </w:r>
      <w:r>
        <w:rPr>
          <w:rFonts w:hint="eastAsia" w:ascii="宋体" w:hAnsi="宋体" w:eastAsia="宋体" w:cs="宋体"/>
          <w:kern w:val="2"/>
          <w:sz w:val="21"/>
          <w:szCs w:val="21"/>
          <w:lang w:val="en-US" w:eastAsia="zh-CN" w:bidi="ar-SA"/>
        </w:rPr>
        <w:t>午1</w:t>
      </w:r>
      <w:r>
        <w:rPr>
          <w:rFonts w:hint="eastAsia" w:ascii="宋体" w:hAnsi="宋体" w:cs="宋体"/>
          <w:kern w:val="2"/>
          <w:sz w:val="21"/>
          <w:szCs w:val="21"/>
          <w:lang w:val="en-US" w:eastAsia="zh-CN" w:bidi="ar-SA"/>
        </w:rPr>
        <w:t>6</w:t>
      </w:r>
      <w:r>
        <w:rPr>
          <w:rFonts w:hint="eastAsia"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0</w:t>
      </w:r>
      <w:r>
        <w:rPr>
          <w:rFonts w:hint="eastAsia" w:ascii="宋体" w:hAnsi="宋体" w:eastAsia="宋体" w:cs="宋体"/>
          <w:kern w:val="2"/>
          <w:sz w:val="21"/>
          <w:szCs w:val="21"/>
          <w:lang w:val="en-US" w:eastAsia="zh-CN" w:bidi="ar-SA"/>
        </w:rPr>
        <w:t>0(北京时间)；</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right="0" w:rightChars="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5、开标地点：新疆文嘉浩工程项目管理有限公司</w:t>
      </w:r>
      <w:r>
        <w:rPr>
          <w:rFonts w:hint="eastAsia" w:ascii="宋体" w:hAnsi="宋体" w:eastAsia="宋体" w:cs="宋体"/>
          <w:color w:val="auto"/>
          <w:kern w:val="0"/>
          <w:sz w:val="21"/>
          <w:szCs w:val="21"/>
          <w:highlight w:val="none"/>
          <w:lang w:val="en-US" w:eastAsia="zh-CN" w:bidi="ar-SA"/>
        </w:rPr>
        <w:t>（</w:t>
      </w:r>
      <w:r>
        <w:rPr>
          <w:rFonts w:hint="eastAsia" w:ascii="宋体" w:hAnsi="宋体" w:cs="宋体"/>
          <w:kern w:val="2"/>
          <w:sz w:val="21"/>
          <w:szCs w:val="21"/>
          <w:lang w:val="en-US" w:eastAsia="zh-CN" w:bidi="ar-SA"/>
        </w:rPr>
        <w:t>喀什市团结路168号辰丰楼3楼会议室</w:t>
      </w:r>
      <w:r>
        <w:rPr>
          <w:rFonts w:hint="eastAsia" w:ascii="宋体" w:hAnsi="宋体" w:eastAsia="宋体" w:cs="宋体"/>
          <w:color w:val="auto"/>
          <w:kern w:val="0"/>
          <w:sz w:val="21"/>
          <w:szCs w:val="21"/>
          <w:highlight w:val="none"/>
          <w:lang w:val="en-US" w:eastAsia="zh-CN" w:bidi="ar-SA"/>
        </w:rPr>
        <w:t>）</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210" w:leftChars="100" w:firstLine="0" w:firstLineChars="0"/>
        <w:jc w:val="left"/>
        <w:textAlignment w:val="auto"/>
        <w:rPr>
          <w:rFonts w:hint="eastAsia" w:ascii="宋体" w:hAnsi="宋体" w:cs="宋体"/>
          <w:kern w:val="2"/>
          <w:sz w:val="21"/>
          <w:szCs w:val="21"/>
          <w:lang w:val="en-US" w:eastAsia="zh-CN" w:bidi="ar-SA"/>
        </w:rPr>
      </w:pPr>
      <w:r>
        <w:rPr>
          <w:rFonts w:hint="eastAsia" w:ascii="宋体" w:hAnsi="宋体" w:eastAsia="宋体" w:cs="宋体"/>
          <w:kern w:val="2"/>
          <w:sz w:val="21"/>
          <w:szCs w:val="21"/>
          <w:lang w:val="en-US" w:eastAsia="zh-CN" w:bidi="ar-SA"/>
        </w:rPr>
        <w:t>凡对本次招标提出询问，请与新疆文嘉浩工程项目管理有限公司联系。</w:t>
      </w:r>
      <w:r>
        <w:rPr>
          <w:rFonts w:hint="eastAsia" w:ascii="宋体" w:hAnsi="宋体" w:cs="宋体"/>
          <w:kern w:val="2"/>
          <w:sz w:val="21"/>
          <w:szCs w:val="21"/>
          <w:lang w:val="en-US" w:eastAsia="zh-CN" w:bidi="ar-SA"/>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100"/>
        <w:jc w:val="left"/>
        <w:textAlignment w:val="auto"/>
        <w:rPr>
          <w:rFonts w:hint="eastAsia" w:asciiTheme="majorEastAsia" w:hAnsiTheme="majorEastAsia" w:eastAsiaTheme="majorEastAsia" w:cstheme="majorEastAsia"/>
          <w:b/>
          <w:bCs/>
          <w:kern w:val="0"/>
          <w:sz w:val="24"/>
          <w:lang w:val="en-US" w:eastAsia="zh-CN"/>
        </w:rPr>
      </w:pPr>
      <w:r>
        <w:rPr>
          <w:rFonts w:hint="eastAsia" w:ascii="宋体" w:hAnsi="宋体" w:cs="宋体"/>
          <w:kern w:val="2"/>
          <w:sz w:val="21"/>
          <w:szCs w:val="21"/>
          <w:lang w:val="en-US" w:eastAsia="zh-CN" w:bidi="ar-SA"/>
        </w:rPr>
        <w:t xml:space="preserve"> </w:t>
      </w:r>
      <w:r>
        <w:rPr>
          <w:rFonts w:hint="eastAsia" w:asciiTheme="majorEastAsia" w:hAnsiTheme="majorEastAsia" w:eastAsiaTheme="majorEastAsia" w:cstheme="majorEastAsia"/>
          <w:b/>
          <w:bCs/>
          <w:kern w:val="0"/>
          <w:sz w:val="24"/>
          <w:lang w:eastAsia="zh-CN"/>
        </w:rPr>
        <w:t>四、投标保证金：</w:t>
      </w:r>
    </w:p>
    <w:tbl>
      <w:tblPr>
        <w:tblStyle w:val="6"/>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001"/>
        <w:gridCol w:w="1365"/>
        <w:gridCol w:w="2145"/>
        <w:gridCol w:w="1380"/>
        <w:gridCol w:w="1275"/>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vAlign w:val="center"/>
          </w:tcPr>
          <w:p>
            <w:pPr>
              <w:pStyle w:val="4"/>
              <w:keepNext w:val="0"/>
              <w:keepLines w:val="0"/>
              <w:pageBreakBefore w:val="0"/>
              <w:widowControl/>
              <w:kinsoku/>
              <w:wordWrap/>
              <w:overflowPunct/>
              <w:topLinePunct w:val="0"/>
              <w:autoSpaceDE/>
              <w:autoSpaceDN/>
              <w:bidi w:val="0"/>
              <w:adjustRightInd/>
              <w:snapToGrid/>
              <w:spacing w:after="0" w:afterAutospacing="0" w:line="240" w:lineRule="auto"/>
              <w:ind w:right="-86" w:rightChars="-41"/>
              <w:jc w:val="center"/>
              <w:textAlignment w:val="auto"/>
              <w:rPr>
                <w:rFonts w:hint="eastAsia" w:asciiTheme="majorEastAsia" w:hAnsiTheme="majorEastAsia" w:eastAsiaTheme="majorEastAsia" w:cstheme="majorEastAsia"/>
                <w:highlight w:val="none"/>
                <w:vertAlign w:val="baseline"/>
                <w:lang w:val="en-US" w:eastAsia="zh-CN"/>
              </w:rPr>
            </w:pPr>
            <w:r>
              <w:rPr>
                <w:rFonts w:hint="eastAsia" w:asciiTheme="majorEastAsia" w:hAnsiTheme="majorEastAsia" w:eastAsiaTheme="majorEastAsia" w:cstheme="majorEastAsia"/>
                <w:highlight w:val="none"/>
                <w:vertAlign w:val="baseline"/>
                <w:lang w:val="en-US" w:eastAsia="zh-CN"/>
              </w:rPr>
              <w:t>序号</w:t>
            </w:r>
          </w:p>
        </w:tc>
        <w:tc>
          <w:tcPr>
            <w:tcW w:w="1001" w:type="dxa"/>
            <w:vAlign w:val="center"/>
          </w:tcPr>
          <w:p>
            <w:pPr>
              <w:pStyle w:val="4"/>
              <w:keepNext w:val="0"/>
              <w:keepLines w:val="0"/>
              <w:pageBreakBefore w:val="0"/>
              <w:widowControl/>
              <w:kinsoku/>
              <w:wordWrap/>
              <w:overflowPunct/>
              <w:topLinePunct w:val="0"/>
              <w:autoSpaceDE/>
              <w:autoSpaceDN/>
              <w:bidi w:val="0"/>
              <w:adjustRightInd/>
              <w:snapToGrid/>
              <w:spacing w:after="0" w:afterAutospacing="0" w:line="240" w:lineRule="auto"/>
              <w:ind w:right="-86" w:rightChars="-41"/>
              <w:jc w:val="center"/>
              <w:textAlignment w:val="auto"/>
              <w:rPr>
                <w:rFonts w:hint="eastAsia" w:asciiTheme="majorEastAsia" w:hAnsiTheme="majorEastAsia" w:eastAsiaTheme="majorEastAsia" w:cstheme="majorEastAsia"/>
                <w:highlight w:val="none"/>
                <w:vertAlign w:val="baseline"/>
                <w:lang w:val="en-US" w:eastAsia="zh-CN"/>
              </w:rPr>
            </w:pPr>
            <w:r>
              <w:rPr>
                <w:rFonts w:hint="eastAsia" w:asciiTheme="majorEastAsia" w:hAnsiTheme="majorEastAsia" w:eastAsiaTheme="majorEastAsia" w:cstheme="majorEastAsia"/>
                <w:highlight w:val="none"/>
                <w:vertAlign w:val="baseline"/>
                <w:lang w:val="en-US" w:eastAsia="zh-CN"/>
              </w:rPr>
              <w:t>标项</w:t>
            </w:r>
          </w:p>
          <w:p>
            <w:pPr>
              <w:pStyle w:val="4"/>
              <w:keepNext w:val="0"/>
              <w:keepLines w:val="0"/>
              <w:pageBreakBefore w:val="0"/>
              <w:widowControl/>
              <w:kinsoku/>
              <w:wordWrap/>
              <w:overflowPunct/>
              <w:topLinePunct w:val="0"/>
              <w:autoSpaceDE/>
              <w:autoSpaceDN/>
              <w:bidi w:val="0"/>
              <w:adjustRightInd/>
              <w:snapToGrid/>
              <w:spacing w:after="0" w:afterAutospacing="0" w:line="240" w:lineRule="auto"/>
              <w:ind w:right="-86" w:rightChars="-41"/>
              <w:jc w:val="center"/>
              <w:textAlignment w:val="auto"/>
              <w:rPr>
                <w:rFonts w:hint="eastAsia" w:asciiTheme="majorEastAsia" w:hAnsiTheme="majorEastAsia" w:eastAsiaTheme="majorEastAsia" w:cstheme="majorEastAsia"/>
                <w:highlight w:val="none"/>
                <w:vertAlign w:val="baseline"/>
                <w:lang w:val="en-US" w:eastAsia="zh-CN"/>
              </w:rPr>
            </w:pPr>
            <w:r>
              <w:rPr>
                <w:rFonts w:hint="eastAsia" w:asciiTheme="majorEastAsia" w:hAnsiTheme="majorEastAsia" w:eastAsiaTheme="majorEastAsia" w:cstheme="majorEastAsia"/>
                <w:highlight w:val="none"/>
                <w:vertAlign w:val="baseline"/>
                <w:lang w:val="en-US" w:eastAsia="zh-CN"/>
              </w:rPr>
              <w:t>名称</w:t>
            </w:r>
          </w:p>
        </w:tc>
        <w:tc>
          <w:tcPr>
            <w:tcW w:w="1365" w:type="dxa"/>
            <w:vAlign w:val="center"/>
          </w:tcPr>
          <w:p>
            <w:pPr>
              <w:pStyle w:val="4"/>
              <w:keepNext w:val="0"/>
              <w:keepLines w:val="0"/>
              <w:pageBreakBefore w:val="0"/>
              <w:widowControl/>
              <w:kinsoku/>
              <w:wordWrap/>
              <w:overflowPunct/>
              <w:topLinePunct w:val="0"/>
              <w:autoSpaceDE/>
              <w:autoSpaceDN/>
              <w:bidi w:val="0"/>
              <w:adjustRightInd/>
              <w:snapToGrid/>
              <w:spacing w:after="0" w:afterAutospacing="0" w:line="240" w:lineRule="auto"/>
              <w:ind w:right="-86" w:rightChars="-41"/>
              <w:jc w:val="center"/>
              <w:textAlignment w:val="auto"/>
              <w:rPr>
                <w:rFonts w:hint="eastAsia" w:asciiTheme="majorEastAsia" w:hAnsiTheme="majorEastAsia" w:eastAsiaTheme="majorEastAsia" w:cstheme="majorEastAsia"/>
                <w:highlight w:val="none"/>
                <w:vertAlign w:val="baseline"/>
                <w:lang w:val="en-US" w:eastAsia="zh-CN"/>
              </w:rPr>
            </w:pPr>
            <w:r>
              <w:rPr>
                <w:rFonts w:hint="eastAsia" w:asciiTheme="majorEastAsia" w:hAnsiTheme="majorEastAsia" w:eastAsiaTheme="majorEastAsia" w:cstheme="majorEastAsia"/>
                <w:highlight w:val="none"/>
                <w:vertAlign w:val="baseline"/>
                <w:lang w:val="en-US" w:eastAsia="zh-CN"/>
              </w:rPr>
              <w:t>投标保证金金额（元）</w:t>
            </w:r>
          </w:p>
        </w:tc>
        <w:tc>
          <w:tcPr>
            <w:tcW w:w="2145" w:type="dxa"/>
            <w:vAlign w:val="center"/>
          </w:tcPr>
          <w:p>
            <w:pPr>
              <w:pStyle w:val="4"/>
              <w:keepNext w:val="0"/>
              <w:keepLines w:val="0"/>
              <w:pageBreakBefore w:val="0"/>
              <w:widowControl/>
              <w:kinsoku/>
              <w:wordWrap/>
              <w:overflowPunct/>
              <w:topLinePunct w:val="0"/>
              <w:autoSpaceDE/>
              <w:autoSpaceDN/>
              <w:bidi w:val="0"/>
              <w:adjustRightInd/>
              <w:snapToGrid/>
              <w:spacing w:after="0" w:afterAutospacing="0" w:line="240" w:lineRule="auto"/>
              <w:ind w:right="-86" w:rightChars="-41"/>
              <w:jc w:val="center"/>
              <w:textAlignment w:val="auto"/>
              <w:rPr>
                <w:rFonts w:hint="eastAsia" w:asciiTheme="majorEastAsia" w:hAnsiTheme="majorEastAsia" w:eastAsiaTheme="majorEastAsia" w:cstheme="majorEastAsia"/>
                <w:highlight w:val="none"/>
                <w:vertAlign w:val="baseline"/>
                <w:lang w:val="en-US" w:eastAsia="zh-CN"/>
              </w:rPr>
            </w:pPr>
            <w:r>
              <w:rPr>
                <w:rFonts w:hint="eastAsia" w:asciiTheme="majorEastAsia" w:hAnsiTheme="majorEastAsia" w:eastAsiaTheme="majorEastAsia" w:cstheme="majorEastAsia"/>
                <w:highlight w:val="none"/>
                <w:vertAlign w:val="baseline"/>
                <w:lang w:val="en-US" w:eastAsia="zh-CN"/>
              </w:rPr>
              <w:t>开户银行</w:t>
            </w:r>
          </w:p>
        </w:tc>
        <w:tc>
          <w:tcPr>
            <w:tcW w:w="1380" w:type="dxa"/>
            <w:vAlign w:val="center"/>
          </w:tcPr>
          <w:p>
            <w:pPr>
              <w:pStyle w:val="4"/>
              <w:keepNext w:val="0"/>
              <w:keepLines w:val="0"/>
              <w:pageBreakBefore w:val="0"/>
              <w:widowControl/>
              <w:kinsoku/>
              <w:wordWrap/>
              <w:overflowPunct/>
              <w:topLinePunct w:val="0"/>
              <w:autoSpaceDE/>
              <w:autoSpaceDN/>
              <w:bidi w:val="0"/>
              <w:adjustRightInd/>
              <w:snapToGrid/>
              <w:spacing w:after="0" w:afterAutospacing="0" w:line="240" w:lineRule="auto"/>
              <w:ind w:right="-86" w:rightChars="-41"/>
              <w:jc w:val="center"/>
              <w:textAlignment w:val="auto"/>
              <w:rPr>
                <w:rFonts w:hint="eastAsia" w:asciiTheme="majorEastAsia" w:hAnsiTheme="majorEastAsia" w:eastAsiaTheme="majorEastAsia" w:cstheme="majorEastAsia"/>
                <w:highlight w:val="none"/>
                <w:vertAlign w:val="baseline"/>
                <w:lang w:val="en-US" w:eastAsia="zh-CN"/>
              </w:rPr>
            </w:pPr>
            <w:r>
              <w:rPr>
                <w:rFonts w:hint="eastAsia" w:asciiTheme="majorEastAsia" w:hAnsiTheme="majorEastAsia" w:eastAsiaTheme="majorEastAsia" w:cstheme="majorEastAsia"/>
                <w:highlight w:val="none"/>
                <w:vertAlign w:val="baseline"/>
                <w:lang w:val="en-US" w:eastAsia="zh-CN"/>
              </w:rPr>
              <w:t>收款账号</w:t>
            </w:r>
          </w:p>
        </w:tc>
        <w:tc>
          <w:tcPr>
            <w:tcW w:w="1275" w:type="dxa"/>
            <w:vAlign w:val="center"/>
          </w:tcPr>
          <w:p>
            <w:pPr>
              <w:pStyle w:val="4"/>
              <w:keepNext w:val="0"/>
              <w:keepLines w:val="0"/>
              <w:pageBreakBefore w:val="0"/>
              <w:widowControl/>
              <w:kinsoku/>
              <w:wordWrap/>
              <w:overflowPunct/>
              <w:topLinePunct w:val="0"/>
              <w:autoSpaceDE/>
              <w:autoSpaceDN/>
              <w:bidi w:val="0"/>
              <w:adjustRightInd/>
              <w:snapToGrid/>
              <w:spacing w:after="0" w:afterAutospacing="0" w:line="240" w:lineRule="auto"/>
              <w:ind w:right="-86" w:rightChars="-41"/>
              <w:jc w:val="center"/>
              <w:textAlignment w:val="auto"/>
              <w:rPr>
                <w:rFonts w:hint="eastAsia" w:asciiTheme="majorEastAsia" w:hAnsiTheme="majorEastAsia" w:eastAsiaTheme="majorEastAsia" w:cstheme="majorEastAsia"/>
                <w:highlight w:val="none"/>
                <w:vertAlign w:val="baseline"/>
                <w:lang w:val="en-US" w:eastAsia="zh-CN"/>
              </w:rPr>
            </w:pPr>
            <w:r>
              <w:rPr>
                <w:rFonts w:hint="eastAsia" w:asciiTheme="majorEastAsia" w:hAnsiTheme="majorEastAsia" w:eastAsiaTheme="majorEastAsia" w:cstheme="majorEastAsia"/>
                <w:highlight w:val="none"/>
                <w:vertAlign w:val="baseline"/>
                <w:lang w:val="en-US" w:eastAsia="zh-CN"/>
              </w:rPr>
              <w:t>交付方式</w:t>
            </w:r>
          </w:p>
        </w:tc>
        <w:tc>
          <w:tcPr>
            <w:tcW w:w="1577" w:type="dxa"/>
            <w:vAlign w:val="center"/>
          </w:tcPr>
          <w:p>
            <w:pPr>
              <w:pStyle w:val="4"/>
              <w:keepNext w:val="0"/>
              <w:keepLines w:val="0"/>
              <w:pageBreakBefore w:val="0"/>
              <w:widowControl/>
              <w:kinsoku/>
              <w:wordWrap/>
              <w:overflowPunct/>
              <w:topLinePunct w:val="0"/>
              <w:autoSpaceDE/>
              <w:autoSpaceDN/>
              <w:bidi w:val="0"/>
              <w:adjustRightInd/>
              <w:snapToGrid/>
              <w:spacing w:after="0" w:afterAutospacing="0" w:line="240" w:lineRule="auto"/>
              <w:ind w:right="-86" w:rightChars="-41"/>
              <w:jc w:val="center"/>
              <w:textAlignment w:val="auto"/>
              <w:rPr>
                <w:rFonts w:hint="eastAsia" w:asciiTheme="majorEastAsia" w:hAnsiTheme="majorEastAsia" w:eastAsiaTheme="majorEastAsia" w:cstheme="majorEastAsia"/>
                <w:highlight w:val="none"/>
                <w:vertAlign w:val="baseline"/>
                <w:lang w:val="en-US" w:eastAsia="zh-CN"/>
              </w:rPr>
            </w:pPr>
            <w:r>
              <w:rPr>
                <w:rFonts w:hint="eastAsia" w:asciiTheme="majorEastAsia" w:hAnsiTheme="majorEastAsia" w:eastAsiaTheme="majorEastAsia" w:cstheme="majorEastAsia"/>
                <w:highlight w:val="none"/>
                <w:vertAlign w:val="baseline"/>
                <w:lang w:val="en-US" w:eastAsia="zh-CN"/>
              </w:rPr>
              <w:t>账户名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448" w:type="dxa"/>
            <w:vAlign w:val="center"/>
          </w:tcPr>
          <w:p>
            <w:pPr>
              <w:pStyle w:val="4"/>
              <w:keepNext w:val="0"/>
              <w:keepLines w:val="0"/>
              <w:pageBreakBefore w:val="0"/>
              <w:widowControl/>
              <w:kinsoku/>
              <w:wordWrap/>
              <w:overflowPunct/>
              <w:topLinePunct w:val="0"/>
              <w:autoSpaceDE/>
              <w:autoSpaceDN/>
              <w:bidi w:val="0"/>
              <w:adjustRightInd/>
              <w:snapToGrid/>
              <w:spacing w:after="0" w:afterAutospacing="0" w:line="240" w:lineRule="auto"/>
              <w:ind w:right="-86" w:rightChars="-41"/>
              <w:jc w:val="center"/>
              <w:textAlignment w:val="auto"/>
              <w:rPr>
                <w:rFonts w:hint="eastAsia" w:asciiTheme="majorEastAsia" w:hAnsiTheme="majorEastAsia" w:eastAsiaTheme="majorEastAsia" w:cstheme="majorEastAsia"/>
                <w:highlight w:val="none"/>
                <w:vertAlign w:val="baseline"/>
                <w:lang w:val="en-US" w:eastAsia="zh-CN"/>
              </w:rPr>
            </w:pPr>
            <w:r>
              <w:rPr>
                <w:rFonts w:hint="eastAsia" w:asciiTheme="majorEastAsia" w:hAnsiTheme="majorEastAsia" w:eastAsiaTheme="majorEastAsia" w:cstheme="majorEastAsia"/>
                <w:highlight w:val="none"/>
                <w:vertAlign w:val="baseline"/>
                <w:lang w:val="en-US" w:eastAsia="zh-CN"/>
              </w:rPr>
              <w:t>1</w:t>
            </w:r>
          </w:p>
        </w:tc>
        <w:tc>
          <w:tcPr>
            <w:tcW w:w="1001" w:type="dxa"/>
            <w:vAlign w:val="center"/>
          </w:tcPr>
          <w:p>
            <w:pPr>
              <w:pStyle w:val="3"/>
              <w:spacing w:line="240" w:lineRule="auto"/>
              <w:ind w:left="0" w:leftChars="0" w:firstLine="0" w:firstLineChars="0"/>
              <w:jc w:val="center"/>
              <w:rPr>
                <w:rFonts w:hint="eastAsia" w:asciiTheme="majorEastAsia" w:hAnsiTheme="majorEastAsia" w:eastAsiaTheme="majorEastAsia" w:cstheme="majorEastAsia"/>
                <w:highlight w:val="none"/>
                <w:vertAlign w:val="baseline"/>
                <w:lang w:val="en-US" w:eastAsia="zh-CN"/>
              </w:rPr>
            </w:pPr>
            <w:r>
              <w:rPr>
                <w:rFonts w:hint="eastAsia" w:asciiTheme="majorEastAsia" w:hAnsiTheme="majorEastAsia" w:eastAsiaTheme="majorEastAsia" w:cstheme="majorEastAsia"/>
                <w:highlight w:val="none"/>
                <w:vertAlign w:val="baseline"/>
                <w:lang w:val="en-US" w:eastAsia="zh-CN"/>
              </w:rPr>
              <w:t>喀什市2020年果树定植追肥项目</w:t>
            </w:r>
          </w:p>
        </w:tc>
        <w:tc>
          <w:tcPr>
            <w:tcW w:w="1365" w:type="dxa"/>
            <w:vAlign w:val="center"/>
          </w:tcPr>
          <w:p>
            <w:pPr>
              <w:pStyle w:val="4"/>
              <w:keepNext w:val="0"/>
              <w:keepLines w:val="0"/>
              <w:pageBreakBefore w:val="0"/>
              <w:widowControl/>
              <w:kinsoku/>
              <w:wordWrap/>
              <w:overflowPunct/>
              <w:topLinePunct w:val="0"/>
              <w:autoSpaceDE/>
              <w:autoSpaceDN/>
              <w:bidi w:val="0"/>
              <w:adjustRightInd/>
              <w:snapToGrid/>
              <w:spacing w:after="0" w:afterAutospacing="0" w:line="240" w:lineRule="auto"/>
              <w:ind w:right="-86" w:rightChars="-41"/>
              <w:jc w:val="center"/>
              <w:textAlignment w:val="auto"/>
              <w:rPr>
                <w:rFonts w:hint="default" w:asciiTheme="majorEastAsia" w:hAnsiTheme="majorEastAsia" w:eastAsiaTheme="majorEastAsia" w:cstheme="majorEastAsia"/>
                <w:highlight w:val="none"/>
                <w:vertAlign w:val="baseline"/>
                <w:lang w:val="en-US" w:eastAsia="zh-CN"/>
              </w:rPr>
            </w:pPr>
            <w:r>
              <w:rPr>
                <w:rFonts w:hint="eastAsia" w:asciiTheme="majorEastAsia" w:hAnsiTheme="majorEastAsia" w:eastAsiaTheme="majorEastAsia" w:cstheme="majorEastAsia"/>
                <w:highlight w:val="none"/>
                <w:vertAlign w:val="baseline"/>
                <w:lang w:val="en-US" w:eastAsia="zh-CN"/>
              </w:rPr>
              <w:t>120000.00</w:t>
            </w:r>
          </w:p>
        </w:tc>
        <w:tc>
          <w:tcPr>
            <w:tcW w:w="2145" w:type="dxa"/>
            <w:vAlign w:val="center"/>
          </w:tcPr>
          <w:p>
            <w:pPr>
              <w:pStyle w:val="4"/>
              <w:keepNext w:val="0"/>
              <w:keepLines w:val="0"/>
              <w:pageBreakBefore w:val="0"/>
              <w:widowControl/>
              <w:kinsoku/>
              <w:wordWrap/>
              <w:overflowPunct/>
              <w:topLinePunct w:val="0"/>
              <w:autoSpaceDE/>
              <w:autoSpaceDN/>
              <w:bidi w:val="0"/>
              <w:adjustRightInd/>
              <w:snapToGrid/>
              <w:spacing w:after="0" w:afterAutospacing="0" w:line="240" w:lineRule="auto"/>
              <w:ind w:right="-86" w:rightChars="-41"/>
              <w:jc w:val="center"/>
              <w:textAlignment w:val="auto"/>
              <w:rPr>
                <w:rFonts w:hint="eastAsia" w:asciiTheme="majorEastAsia" w:hAnsiTheme="majorEastAsia" w:eastAsiaTheme="majorEastAsia" w:cstheme="majorEastAsia"/>
                <w:highlight w:val="none"/>
                <w:vertAlign w:val="baseline"/>
                <w:lang w:val="en-US" w:eastAsia="zh-CN"/>
              </w:rPr>
            </w:pPr>
            <w:r>
              <w:rPr>
                <w:rFonts w:ascii="宋体" w:hAnsi="宋体" w:eastAsia="宋体" w:cs="宋体"/>
                <w:color w:val="auto"/>
                <w:sz w:val="24"/>
                <w:szCs w:val="24"/>
              </w:rPr>
              <w:t>中国农业银行股份有限公司喀什兵团分行营业室 </w:t>
            </w:r>
          </w:p>
        </w:tc>
        <w:tc>
          <w:tcPr>
            <w:tcW w:w="1380" w:type="dxa"/>
            <w:vAlign w:val="center"/>
          </w:tcPr>
          <w:p>
            <w:pPr>
              <w:pStyle w:val="4"/>
              <w:keepNext w:val="0"/>
              <w:keepLines w:val="0"/>
              <w:pageBreakBefore w:val="0"/>
              <w:widowControl/>
              <w:kinsoku/>
              <w:wordWrap/>
              <w:overflowPunct/>
              <w:topLinePunct w:val="0"/>
              <w:autoSpaceDE/>
              <w:autoSpaceDN/>
              <w:bidi w:val="0"/>
              <w:adjustRightInd/>
              <w:snapToGrid/>
              <w:spacing w:after="0" w:afterAutospacing="0" w:line="240" w:lineRule="auto"/>
              <w:ind w:right="-86" w:rightChars="-41"/>
              <w:jc w:val="center"/>
              <w:textAlignment w:val="auto"/>
              <w:rPr>
                <w:rFonts w:hint="eastAsia" w:asciiTheme="majorEastAsia" w:hAnsiTheme="majorEastAsia" w:eastAsiaTheme="majorEastAsia" w:cstheme="majorEastAsia"/>
                <w:highlight w:val="none"/>
                <w:vertAlign w:val="baseline"/>
                <w:lang w:val="en-US" w:eastAsia="zh-CN"/>
              </w:rPr>
            </w:pPr>
            <w:r>
              <w:rPr>
                <w:rFonts w:ascii="宋体" w:hAnsi="宋体" w:eastAsia="宋体" w:cs="宋体"/>
                <w:color w:val="auto"/>
                <w:sz w:val="24"/>
                <w:szCs w:val="24"/>
              </w:rPr>
              <w:t>30783201040007954 </w:t>
            </w:r>
          </w:p>
        </w:tc>
        <w:tc>
          <w:tcPr>
            <w:tcW w:w="1275" w:type="dxa"/>
            <w:vAlign w:val="center"/>
          </w:tcPr>
          <w:p>
            <w:pPr>
              <w:pStyle w:val="4"/>
              <w:keepNext w:val="0"/>
              <w:keepLines w:val="0"/>
              <w:pageBreakBefore w:val="0"/>
              <w:widowControl/>
              <w:kinsoku/>
              <w:wordWrap/>
              <w:overflowPunct/>
              <w:topLinePunct w:val="0"/>
              <w:autoSpaceDE/>
              <w:autoSpaceDN/>
              <w:bidi w:val="0"/>
              <w:adjustRightInd/>
              <w:snapToGrid/>
              <w:spacing w:after="0" w:afterAutospacing="0" w:line="240" w:lineRule="auto"/>
              <w:ind w:right="-86" w:rightChars="-41"/>
              <w:jc w:val="center"/>
              <w:textAlignment w:val="auto"/>
              <w:rPr>
                <w:rFonts w:hint="eastAsia" w:asciiTheme="majorEastAsia" w:hAnsiTheme="majorEastAsia" w:eastAsiaTheme="majorEastAsia" w:cstheme="majorEastAsia"/>
                <w:highlight w:val="none"/>
                <w:vertAlign w:val="baseline"/>
                <w:lang w:val="en-US" w:eastAsia="zh-CN"/>
              </w:rPr>
            </w:pPr>
            <w:r>
              <w:rPr>
                <w:rFonts w:hint="eastAsia" w:ascii="宋体" w:hAnsi="宋体" w:eastAsia="宋体" w:cs="宋体"/>
                <w:color w:val="auto"/>
                <w:highlight w:val="none"/>
                <w:vertAlign w:val="baseline"/>
                <w:lang w:val="en-US" w:eastAsia="zh-CN"/>
              </w:rPr>
              <w:t>企业账户公对公转账、电汇</w:t>
            </w:r>
          </w:p>
        </w:tc>
        <w:tc>
          <w:tcPr>
            <w:tcW w:w="1577" w:type="dxa"/>
            <w:vAlign w:val="center"/>
          </w:tcPr>
          <w:p>
            <w:pPr>
              <w:pStyle w:val="4"/>
              <w:keepNext w:val="0"/>
              <w:keepLines w:val="0"/>
              <w:pageBreakBefore w:val="0"/>
              <w:widowControl/>
              <w:kinsoku/>
              <w:wordWrap/>
              <w:overflowPunct/>
              <w:topLinePunct w:val="0"/>
              <w:autoSpaceDE/>
              <w:autoSpaceDN/>
              <w:bidi w:val="0"/>
              <w:adjustRightInd/>
              <w:snapToGrid/>
              <w:spacing w:after="0" w:afterAutospacing="0" w:line="240" w:lineRule="auto"/>
              <w:ind w:right="-86" w:rightChars="-41"/>
              <w:jc w:val="center"/>
              <w:textAlignment w:val="auto"/>
              <w:rPr>
                <w:rFonts w:hint="eastAsia" w:asciiTheme="majorEastAsia" w:hAnsiTheme="majorEastAsia" w:eastAsiaTheme="majorEastAsia" w:cstheme="majorEastAsia"/>
                <w:highlight w:val="none"/>
                <w:vertAlign w:val="baseline"/>
                <w:lang w:val="en-US" w:eastAsia="zh-CN"/>
              </w:rPr>
            </w:pPr>
            <w:r>
              <w:rPr>
                <w:rFonts w:ascii="宋体" w:hAnsi="宋体" w:eastAsia="宋体" w:cs="宋体"/>
                <w:color w:val="auto"/>
                <w:sz w:val="24"/>
                <w:szCs w:val="24"/>
              </w:rPr>
              <w:t>新疆文嘉浩工程项目管理有限公司 </w:t>
            </w:r>
          </w:p>
        </w:tc>
      </w:tr>
    </w:tbl>
    <w:p>
      <w:pPr>
        <w:widowControl/>
        <w:ind w:firstLine="420" w:firstLineChars="200"/>
        <w:rPr>
          <w:rFonts w:hint="eastAsia" w:ascii="宋体" w:hAnsi="宋体" w:eastAsia="宋体" w:cs="宋体"/>
          <w:kern w:val="2"/>
          <w:sz w:val="21"/>
          <w:szCs w:val="21"/>
          <w:lang w:val="en-US" w:eastAsia="zh-CN" w:bidi="ar-SA"/>
        </w:rPr>
      </w:pPr>
    </w:p>
    <w:p>
      <w:pPr>
        <w:widowControl/>
        <w:rPr>
          <w:rFonts w:hint="eastAsia" w:asciiTheme="majorEastAsia" w:hAnsiTheme="majorEastAsia" w:eastAsiaTheme="majorEastAsia" w:cstheme="majorEastAsia"/>
          <w:b/>
          <w:bCs/>
          <w:color w:val="000000"/>
          <w:sz w:val="24"/>
          <w:shd w:val="clear" w:color="auto" w:fill="FFFFFF"/>
          <w:lang w:val="en-US" w:eastAsia="zh-CN"/>
        </w:rPr>
      </w:pPr>
      <w:r>
        <w:rPr>
          <w:rFonts w:hint="eastAsia" w:asciiTheme="majorEastAsia" w:hAnsiTheme="majorEastAsia" w:eastAsiaTheme="majorEastAsia" w:cstheme="majorEastAsia"/>
          <w:b/>
          <w:bCs/>
          <w:kern w:val="0"/>
          <w:sz w:val="24"/>
          <w:lang w:eastAsia="zh-CN"/>
        </w:rPr>
        <w:t>五、</w:t>
      </w:r>
      <w:r>
        <w:rPr>
          <w:rFonts w:hint="eastAsia" w:asciiTheme="majorEastAsia" w:hAnsiTheme="majorEastAsia" w:eastAsiaTheme="majorEastAsia" w:cstheme="majorEastAsia"/>
          <w:b/>
          <w:bCs/>
          <w:kern w:val="0"/>
          <w:sz w:val="24"/>
          <w:lang w:val="en-US" w:eastAsia="zh-CN"/>
        </w:rPr>
        <w:t>其他事项：</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kern w:val="2"/>
          <w:sz w:val="21"/>
          <w:szCs w:val="21"/>
          <w:lang w:val="en-US" w:eastAsia="zh-CN" w:bidi="ar-SA"/>
        </w:rPr>
      </w:pPr>
      <w:bookmarkStart w:id="0" w:name="_GoBack"/>
      <w:bookmarkEnd w:id="0"/>
      <w:r>
        <w:rPr>
          <w:rFonts w:hint="eastAsia" w:asciiTheme="majorEastAsia" w:hAnsiTheme="majorEastAsia" w:eastAsiaTheme="majorEastAsia" w:cstheme="majorEastAsia"/>
          <w:b w:val="0"/>
          <w:bCs w:val="0"/>
          <w:color w:val="000000"/>
          <w:sz w:val="24"/>
          <w:shd w:val="clear" w:color="auto" w:fill="FFFFFF"/>
          <w:lang w:val="en-US" w:eastAsia="zh-CN"/>
        </w:rPr>
        <w:t>本项目公告期限为5个工作日，供应商认为采购文件使自己的权益受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sz w:val="21"/>
          <w:szCs w:val="21"/>
        </w:rPr>
      </w:pPr>
      <w:r>
        <w:rPr>
          <w:rFonts w:hint="eastAsia" w:ascii="宋体" w:hAnsi="宋体" w:cs="宋体"/>
          <w:b/>
          <w:bCs/>
          <w:color w:val="auto"/>
          <w:kern w:val="0"/>
          <w:sz w:val="21"/>
          <w:szCs w:val="21"/>
          <w:highlight w:val="none"/>
          <w:lang w:val="en-US" w:eastAsia="zh-CN"/>
        </w:rPr>
        <w:t>六</w:t>
      </w:r>
      <w:r>
        <w:rPr>
          <w:rFonts w:hint="eastAsia" w:ascii="宋体" w:hAnsi="宋体" w:eastAsia="宋体" w:cs="宋体"/>
          <w:b/>
          <w:bCs/>
          <w:color w:val="auto"/>
          <w:kern w:val="0"/>
          <w:sz w:val="21"/>
          <w:szCs w:val="21"/>
          <w:highlight w:val="none"/>
          <w:lang w:val="en-US" w:eastAsia="zh-CN"/>
        </w:rPr>
        <w:t>、联系方式</w:t>
      </w:r>
      <w:r>
        <w:rPr>
          <w:rFonts w:hint="eastAsia" w:ascii="宋体" w:hAnsi="宋体" w:eastAsia="宋体" w:cs="宋体"/>
          <w:sz w:val="21"/>
          <w:szCs w:val="21"/>
        </w:rPr>
        <w:t xml:space="preserve">　 </w:t>
      </w:r>
    </w:p>
    <w:p>
      <w:pPr>
        <w:keepNext w:val="0"/>
        <w:keepLines w:val="0"/>
        <w:pageBreakBefore w:val="0"/>
        <w:tabs>
          <w:tab w:val="left" w:pos="436"/>
        </w:tabs>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采购单位</w:t>
      </w:r>
      <w:r>
        <w:rPr>
          <w:rFonts w:hint="eastAsia" w:ascii="宋体" w:hAnsi="宋体" w:eastAsia="宋体" w:cs="宋体"/>
          <w:kern w:val="2"/>
          <w:sz w:val="21"/>
          <w:szCs w:val="21"/>
          <w:lang w:val="en-US" w:eastAsia="zh-CN" w:bidi="ar-SA"/>
        </w:rPr>
        <w:t>：</w:t>
      </w:r>
      <w:r>
        <w:rPr>
          <w:rFonts w:hint="eastAsia" w:ascii="宋体" w:hAnsi="宋体" w:eastAsia="宋体" w:cs="宋体"/>
          <w:color w:val="auto"/>
          <w:kern w:val="0"/>
          <w:sz w:val="21"/>
          <w:szCs w:val="21"/>
          <w:highlight w:val="none"/>
          <w:lang w:val="en-US" w:eastAsia="zh-CN" w:bidi="ar-SA"/>
        </w:rPr>
        <w:t>喀什市自然资源局</w:t>
      </w:r>
    </w:p>
    <w:p>
      <w:pPr>
        <w:keepNext w:val="0"/>
        <w:keepLines w:val="0"/>
        <w:pageBreakBefore w:val="0"/>
        <w:tabs>
          <w:tab w:val="left" w:pos="436"/>
        </w:tabs>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联系人：王淑荣</w:t>
      </w:r>
    </w:p>
    <w:p>
      <w:pPr>
        <w:keepNext w:val="0"/>
        <w:keepLines w:val="0"/>
        <w:pageBreakBefore w:val="0"/>
        <w:tabs>
          <w:tab w:val="left" w:pos="436"/>
        </w:tabs>
        <w:kinsoku/>
        <w:wordWrap/>
        <w:overflowPunct/>
        <w:topLinePunct w:val="0"/>
        <w:autoSpaceDE/>
        <w:autoSpaceDN/>
        <w:bidi w:val="0"/>
        <w:adjustRightInd/>
        <w:snapToGrid/>
        <w:spacing w:line="320" w:lineRule="exact"/>
        <w:ind w:firstLine="420" w:firstLineChars="200"/>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联系电话：13899159627</w:t>
      </w:r>
    </w:p>
    <w:p>
      <w:pPr>
        <w:keepNext w:val="0"/>
        <w:keepLines w:val="0"/>
        <w:pageBreakBefore w:val="0"/>
        <w:tabs>
          <w:tab w:val="left" w:pos="436"/>
        </w:tabs>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代理机构：新疆文嘉浩工程项目管理有限公司</w:t>
      </w:r>
    </w:p>
    <w:p>
      <w:pPr>
        <w:keepNext w:val="0"/>
        <w:keepLines w:val="0"/>
        <w:pageBreakBefore w:val="0"/>
        <w:tabs>
          <w:tab w:val="left" w:pos="436"/>
        </w:tabs>
        <w:kinsoku/>
        <w:wordWrap/>
        <w:overflowPunct/>
        <w:topLinePunct w:val="0"/>
        <w:autoSpaceDE/>
        <w:autoSpaceDN/>
        <w:bidi w:val="0"/>
        <w:adjustRightInd/>
        <w:snapToGrid/>
        <w:spacing w:line="320" w:lineRule="exact"/>
        <w:ind w:firstLine="420" w:firstLineChars="200"/>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地址：喀什市团结路168号辰丰楼3楼</w:t>
      </w:r>
    </w:p>
    <w:p>
      <w:pPr>
        <w:keepNext w:val="0"/>
        <w:keepLines w:val="0"/>
        <w:pageBreakBefore w:val="0"/>
        <w:tabs>
          <w:tab w:val="left" w:pos="436"/>
        </w:tabs>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联系人：王乐 </w:t>
      </w:r>
    </w:p>
    <w:p>
      <w:pPr>
        <w:keepNext w:val="0"/>
        <w:keepLines w:val="0"/>
        <w:pageBreakBefore w:val="0"/>
        <w:tabs>
          <w:tab w:val="left" w:pos="436"/>
        </w:tabs>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联系电话：18690827314                                         </w:t>
      </w:r>
    </w:p>
    <w:p>
      <w:pPr>
        <w:keepNext w:val="0"/>
        <w:keepLines w:val="0"/>
        <w:pageBreakBefore w:val="0"/>
        <w:tabs>
          <w:tab w:val="left" w:pos="436"/>
        </w:tabs>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监督单位：喀什市财政局政府采购管理办公室 </w:t>
      </w:r>
    </w:p>
    <w:p>
      <w:pPr>
        <w:keepNext w:val="0"/>
        <w:keepLines w:val="0"/>
        <w:pageBreakBefore w:val="0"/>
        <w:tabs>
          <w:tab w:val="left" w:pos="436"/>
        </w:tabs>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联 系 人：</w:t>
      </w:r>
      <w:r>
        <w:rPr>
          <w:rFonts w:hint="eastAsia" w:ascii="宋体" w:hAnsi="宋体" w:cs="宋体"/>
          <w:kern w:val="2"/>
          <w:sz w:val="21"/>
          <w:szCs w:val="21"/>
          <w:lang w:val="en-US" w:eastAsia="zh-CN" w:bidi="ar-SA"/>
        </w:rPr>
        <w:t>孙涛</w:t>
      </w:r>
      <w:r>
        <w:rPr>
          <w:rFonts w:hint="eastAsia" w:ascii="宋体" w:hAnsi="宋体" w:eastAsia="宋体" w:cs="宋体"/>
          <w:kern w:val="2"/>
          <w:sz w:val="21"/>
          <w:szCs w:val="21"/>
          <w:lang w:val="en-US" w:eastAsia="zh-CN" w:bidi="ar-SA"/>
        </w:rPr>
        <w:t>  </w:t>
      </w:r>
    </w:p>
    <w:p>
      <w:pPr>
        <w:keepNext w:val="0"/>
        <w:keepLines w:val="0"/>
        <w:pageBreakBefore w:val="0"/>
        <w:tabs>
          <w:tab w:val="left" w:pos="436"/>
        </w:tabs>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监督投诉电话：0998-2597000 </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righ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新疆文嘉浩工程项目管理有限公司</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20</w:t>
      </w:r>
      <w:r>
        <w:rPr>
          <w:rFonts w:hint="eastAsia" w:ascii="宋体" w:hAnsi="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7A"/>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28405"/>
    <w:multiLevelType w:val="singleLevel"/>
    <w:tmpl w:val="4AF28405"/>
    <w:lvl w:ilvl="0" w:tentative="0">
      <w:start w:val="6"/>
      <w:numFmt w:val="decimal"/>
      <w:suff w:val="nothing"/>
      <w:lvlText w:val="%1、"/>
      <w:lvlJc w:val="left"/>
    </w:lvl>
  </w:abstractNum>
  <w:abstractNum w:abstractNumId="1">
    <w:nsid w:val="7E63B6DC"/>
    <w:multiLevelType w:val="singleLevel"/>
    <w:tmpl w:val="7E63B6DC"/>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9B426D"/>
    <w:rsid w:val="00365F3B"/>
    <w:rsid w:val="00B7040B"/>
    <w:rsid w:val="02B41530"/>
    <w:rsid w:val="098B72E3"/>
    <w:rsid w:val="0A761ED0"/>
    <w:rsid w:val="0CBB2239"/>
    <w:rsid w:val="0D3C7AB4"/>
    <w:rsid w:val="0FB40173"/>
    <w:rsid w:val="106F12A8"/>
    <w:rsid w:val="11C91150"/>
    <w:rsid w:val="12B23140"/>
    <w:rsid w:val="12DA71B8"/>
    <w:rsid w:val="12EB0829"/>
    <w:rsid w:val="13B90FDF"/>
    <w:rsid w:val="151C11BE"/>
    <w:rsid w:val="153B7FFF"/>
    <w:rsid w:val="183C783F"/>
    <w:rsid w:val="19F6035A"/>
    <w:rsid w:val="1B0D133C"/>
    <w:rsid w:val="1C8E3371"/>
    <w:rsid w:val="1DE75B7B"/>
    <w:rsid w:val="22C21713"/>
    <w:rsid w:val="23790234"/>
    <w:rsid w:val="261C68DF"/>
    <w:rsid w:val="272E404E"/>
    <w:rsid w:val="28A81E68"/>
    <w:rsid w:val="2DFE253D"/>
    <w:rsid w:val="2F8351D2"/>
    <w:rsid w:val="3701659E"/>
    <w:rsid w:val="396D02B3"/>
    <w:rsid w:val="41A24318"/>
    <w:rsid w:val="42061D0B"/>
    <w:rsid w:val="467452CE"/>
    <w:rsid w:val="489B287C"/>
    <w:rsid w:val="49D05257"/>
    <w:rsid w:val="4B4B7AE4"/>
    <w:rsid w:val="4B871F1F"/>
    <w:rsid w:val="50687ED2"/>
    <w:rsid w:val="520D1DAB"/>
    <w:rsid w:val="53CB7546"/>
    <w:rsid w:val="59454AD2"/>
    <w:rsid w:val="5CE779F4"/>
    <w:rsid w:val="610108ED"/>
    <w:rsid w:val="62763F04"/>
    <w:rsid w:val="63270F01"/>
    <w:rsid w:val="65ED12F7"/>
    <w:rsid w:val="661F005D"/>
    <w:rsid w:val="68307ED8"/>
    <w:rsid w:val="689B426D"/>
    <w:rsid w:val="68B50E95"/>
    <w:rsid w:val="696170B7"/>
    <w:rsid w:val="69C806FC"/>
    <w:rsid w:val="6D554761"/>
    <w:rsid w:val="6E9701D0"/>
    <w:rsid w:val="74451AB3"/>
    <w:rsid w:val="74983446"/>
    <w:rsid w:val="75423DCD"/>
    <w:rsid w:val="75956967"/>
    <w:rsid w:val="79891086"/>
    <w:rsid w:val="79EF4FE7"/>
    <w:rsid w:val="7CF35F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Normal Indent"/>
    <w:basedOn w:val="1"/>
    <w:qFormat/>
    <w:uiPriority w:val="0"/>
    <w:pPr>
      <w:ind w:firstLine="420" w:firstLineChars="200"/>
    </w:pPr>
  </w:style>
  <w:style w:type="paragraph" w:styleId="4">
    <w:name w:val="Normal (Web)"/>
    <w:basedOn w:val="1"/>
    <w:unhideWhenUsed/>
    <w:qFormat/>
    <w:uiPriority w:val="99"/>
    <w:rPr>
      <w:sz w:val="24"/>
      <w:szCs w:val="24"/>
    </w:rPr>
  </w:style>
  <w:style w:type="table" w:styleId="6">
    <w:name w:val="Table Grid"/>
    <w:basedOn w:val="5"/>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List Paragraph"/>
    <w:basedOn w:val="1"/>
    <w:qFormat/>
    <w:uiPriority w:val="99"/>
    <w:pPr>
      <w:ind w:firstLine="420" w:firstLineChars="200"/>
    </w:pPr>
  </w:style>
  <w:style w:type="paragraph" w:customStyle="1" w:styleId="11">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2019-06-30T13:42:00Z</dcterms:created>
  <dc:creator>老太婆</dc:creator>
  <cp:lastModifiedBy>Administrator</cp:lastModifiedBy>
  <cp:lastPrinted>2019-12-31T03:59:00Z</cp:lastPrinted>
  <dcterms:modified xsi:type="dcterms:W3CDTF">2020-02-11T04:52:32Z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