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center"/>
        <w:rPr>
          <w:rFonts w:hint="eastAsia" w:ascii="宋体" w:hAnsi="宋体" w:cs="宋体"/>
          <w:b/>
          <w:bCs/>
          <w:sz w:val="32"/>
          <w:szCs w:val="32"/>
          <w:vertAlign w:val="baseline"/>
          <w:lang w:val="en-US" w:eastAsia="zh-CN"/>
        </w:rPr>
      </w:pPr>
      <w:r>
        <w:rPr>
          <w:rFonts w:hint="eastAsia" w:ascii="宋体" w:hAnsi="宋体" w:cs="宋体"/>
          <w:b/>
          <w:bCs/>
          <w:sz w:val="36"/>
          <w:szCs w:val="36"/>
          <w:vertAlign w:val="baseline"/>
          <w:lang w:val="en-US" w:eastAsia="zh-CN"/>
        </w:rPr>
        <w:t>乌恰县人民医院OA系统办公自动化采购软硬件清单</w:t>
      </w:r>
    </w:p>
    <w:tbl>
      <w:tblPr>
        <w:tblStyle w:val="6"/>
        <w:tblW w:w="9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9"/>
        <w:gridCol w:w="333"/>
        <w:gridCol w:w="1704"/>
        <w:gridCol w:w="2757"/>
        <w:gridCol w:w="3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00" w:type="dxa"/>
            <w:gridSpan w:val="5"/>
            <w:shd w:val="clear" w:color="auto" w:fill="0099FF"/>
            <w:noWrap w:val="0"/>
            <w:vAlign w:val="top"/>
          </w:tcPr>
          <w:p>
            <w:pPr>
              <w:jc w:val="left"/>
              <w:rPr>
                <w:rFonts w:hint="eastAsia" w:asciiTheme="majorEastAsia" w:hAnsiTheme="majorEastAsia" w:eastAsiaTheme="majorEastAsia" w:cstheme="majorEastAsia"/>
                <w:color w:val="FFFFFF"/>
                <w:sz w:val="21"/>
                <w:szCs w:val="21"/>
              </w:rPr>
            </w:pPr>
            <w:bookmarkStart w:id="2" w:name="_GoBack"/>
            <w:r>
              <w:rPr>
                <w:rFonts w:hint="eastAsia" w:asciiTheme="majorEastAsia" w:hAnsiTheme="majorEastAsia" w:eastAsiaTheme="majorEastAsia" w:cstheme="majorEastAsia"/>
                <w:b/>
                <w:color w:val="FFFFFF"/>
                <w:sz w:val="21"/>
                <w:szCs w:val="21"/>
              </w:rPr>
              <w:t>个人事务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电子邮件</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主要用于内部、外部用户邮件的收发。（支持pop3邮件收发，支持和内部邮箱的集成。可以从内部邮箱直接发送到外部邮箱。）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消息管理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主要起通知、提醒和交流作用。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公告通知</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主要具有通知公告的发布、管理和查询等功能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新    闻</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主要新闻发布、新闻评论、管理和查询功能。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投    票</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主要用于意见收集、民主决策、结果测试等。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个人考勤</w:t>
            </w:r>
          </w:p>
        </w:tc>
        <w:tc>
          <w:tcPr>
            <w:tcW w:w="7528" w:type="dxa"/>
            <w:gridSpan w:val="3"/>
            <w:noWrap w:val="0"/>
            <w:vAlign w:val="center"/>
          </w:tcPr>
          <w:p>
            <w:pP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rPr>
              <w:t>主要用于对单位内部员工考勤的管理。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日程安排</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主要是对未来要做的事务进行安排。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工作日志</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主要是对已经做的工作进行记录。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通 讯 薄</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主要是对联系人信息提供分组、按姓氏索引，导入导出等功能。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个人文件柜</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主要用来存放用户自有文件。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控制面板</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主要是对包括界面主题、快捷菜单组、个人资料等11个组块进行适合单位或个人的个性化设定。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00" w:type="dxa"/>
            <w:gridSpan w:val="5"/>
            <w:shd w:val="clear" w:color="auto" w:fill="3399FF"/>
            <w:noWrap w:val="0"/>
            <w:vAlign w:val="center"/>
          </w:tcPr>
          <w:p>
            <w:pPr>
              <w:jc w:val="left"/>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b/>
                <w:color w:val="FFFFFF"/>
                <w:sz w:val="21"/>
                <w:szCs w:val="21"/>
              </w:rPr>
              <w:t>工作流程审批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新建工作</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主要是对用户有新建权限的所有工作流程以及相应的分类工作的开展。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我的工作</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主要是未接收、待办理、办理中、已完结、挂起的工作状态的体现、提醒。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工作查询</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主要有按制定的条件进行工作查询与按流程等工作字段进行查询；查询后可导出word文档、html文件。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工作监控</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主要对某个流程的工作办理情况的监控、管理（工作进行转交、委托等操作）。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数据报表</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主要是可根据管理员自主设计，主动生成数据报表，助用户单位进行合理化数据分析的作用。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超时统计分析</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主要是对工作中出现的超时进行查询及备案，并可对超时工作进行统计（html列表显示，导出CSV进行柱状图分析）。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工作委托</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主要对工作进行委托，可设置委托内容及时间段，并可查看个人的委托与被委托记录。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工作销毁</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主要是一个回收站的作用，对已删除的工作可进行恢复，和彻底销毁。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流程日志</w:t>
            </w:r>
          </w:p>
          <w:p>
            <w:pPr>
              <w:ind w:firstLine="620" w:firstLineChars="294"/>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查询</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主要是对指定条件下的工作所有办理流程进行查询（包括办理、转交及回退的操作），可以了解流程个步骤的办理情况。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2"/>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数据归档</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主要是对选择日期前的数据进行归档，方便对数据的查询，同时优化系统性能，提高速度。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00" w:type="dxa"/>
            <w:gridSpan w:val="5"/>
            <w:shd w:val="clear" w:color="auto" w:fill="3399FF"/>
            <w:noWrap w:val="0"/>
            <w:vAlign w:val="center"/>
          </w:tcPr>
          <w:p>
            <w:pPr>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b/>
                <w:color w:val="FFFFFF"/>
                <w:sz w:val="21"/>
                <w:szCs w:val="21"/>
              </w:rPr>
              <w:t>行政办公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公告通知管理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具有通知公告的发布、管理和查询等功能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公告通知审批</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当发布公告通知设置为需要审批时，公告通知的发布就需要经过审批程序。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新闻管理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新闻发布、新闻评论、管理和查询功能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投票管理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主要用于意见收集、民主决策、结果测试等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日程安排查询</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主要是对未来要做的事务进行安排查询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工作日志查询</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主要是对已经做的工作进行查询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工作计划</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多人参与，参与人随时可以看到任务进度，相关人可以批示。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办公用品管理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用于单位办公用品、低值易耗品的日常管理。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固定资产管理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实现固定资产的录入，生成资产卡片，生成相应的查询报表。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图书管理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实现图书的管理录入、借阅、查询、管理。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资源管理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对单位可以借出设备的管理，比如笔记本电脑、投仪影等。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会议管理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对单位的会议室、设备、会议的申请与批准等进行全面管理。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车辆管理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主要实现对单位的车辆信息、维护等进行全面管理。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00" w:type="dxa"/>
            <w:gridSpan w:val="5"/>
            <w:shd w:val="clear" w:color="auto" w:fill="3399FF"/>
            <w:noWrap w:val="0"/>
            <w:vAlign w:val="center"/>
          </w:tcPr>
          <w:p>
            <w:pPr>
              <w:rPr>
                <w:rFonts w:hint="eastAsia" w:asciiTheme="majorEastAsia" w:hAnsiTheme="majorEastAsia" w:eastAsiaTheme="majorEastAsia" w:cstheme="majorEastAsia"/>
                <w:b/>
                <w:color w:val="FFFFFF"/>
                <w:sz w:val="21"/>
                <w:szCs w:val="21"/>
              </w:rPr>
            </w:pPr>
            <w:r>
              <w:rPr>
                <w:rFonts w:hint="eastAsia" w:asciiTheme="majorEastAsia" w:hAnsiTheme="majorEastAsia" w:eastAsiaTheme="majorEastAsia" w:cstheme="majorEastAsia"/>
                <w:b/>
                <w:color w:val="FFFFFF"/>
                <w:sz w:val="21"/>
                <w:szCs w:val="21"/>
              </w:rPr>
              <w:t>知识管理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公共文件柜</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主要用来管理部门或单位的文件。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网络硬盘</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存放资源文件、管理资源文件，比如杀毒软件、驱动等。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图片浏览</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主要用于放JPG、GIF等图片格式文件，可以直接播放。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OA知道</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先建立好词条，在知道的首页上，可以直接在搜索栏输入问题，点击搜索，就会出现多条已解决的相关问题与答案。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维基百科</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维基知识库所提供的，是一个企业内部所有用户均能平等的浏览、创造、完善内容的平台。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numPr>
                <w:ilvl w:val="0"/>
                <w:numId w:val="3"/>
              </w:num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文档检索中心</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全文检索系统需要具有建立索引。处理查询返回结果集，增加索引，优化索引结构等功能。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00" w:type="dxa"/>
            <w:gridSpan w:val="5"/>
            <w:shd w:val="clear" w:color="auto" w:fill="3399FF"/>
            <w:noWrap w:val="0"/>
            <w:vAlign w:val="top"/>
          </w:tcPr>
          <w:p>
            <w:pPr>
              <w:jc w:val="left"/>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b/>
                <w:color w:val="FFFFFF"/>
                <w:sz w:val="21"/>
                <w:szCs w:val="21"/>
              </w:rPr>
              <w:t>人力资源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restart"/>
            <w:noWrap w:val="0"/>
            <w:vAlign w:val="center"/>
          </w:tcPr>
          <w:p>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人事管理</w:t>
            </w: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人事档案</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实现在职人员和离职人员基本信息的管理、查询，包含三个菜单项：人事档案管理、人事档案查询和统计分析。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档案查询</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可以查看管理范围内的用户的档案信息。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合同管理</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针对与员工相关的合同进行管理，如试用期合同、劳动合同、保密合同等。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奖惩管理</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针对员工的日常工作表现，根据单位制度所作出的对员工的奖励、惩罚。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证照管理</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用于管理员工的一些职业证照信息、归于某人管理的单位证照信息、证照的电子副本。并且可以设置提醒日期，到时自动提醒。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学习经历</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用于管理员工学习经历情况，同时可以记录在学习过程中的表现，如获奖情况、证书情况。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工作经历</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用于管理员工以前的、现在的工作单位，在该单位的表现情况等信息。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劳动技能</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用于管理员工的特长、所掌握的技术、所拥有的技能。并且记录下发证机关、技能证书单子副本等信息。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社会关系</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用于管理员工的亲友信息，包括职业及联系方式等。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人事调动</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人事调动用于管理员工调动情况，包括职务、单位、部门的变动情况。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离职管理</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用于管理员工的离职情况，记录离职时间，去向及离职前的工作交接情况。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复职管理</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用于记录以前离职员工的复职情况，复职操作后，自动恢复到复职的部门中。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职称评定</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用于管理员工的职称评定信息。包括所获职称、评定时间等。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员工关怀</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用于对员工的关怀记录，关怀内容可以是生日礼物、节日礼品、员工活动等，带有关怀提醒功能，自动显示当月过生日的员工。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人事分析</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用于对人事管理下各个模块，进行统计分析，以辅助人力资源管理员及单位领导进行人事决策与人事调整。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restart"/>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招聘管理</w:t>
            </w: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招聘需求</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用于单位各部门主管向人力资源管理员提交用人需求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center"/>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招聘计划</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各部门提交来的人才需求，制定一段时期单位的招聘计划，主管领导同意后，实施招聘。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center"/>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人才库</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收集整理合适的招聘人选，将其简历录入人才库。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center"/>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招聘筛选</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针对收集的简历信息，选出需要进行面试或笔试的简历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center"/>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招聘录用</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对招聘通过的应聘人员进行录用，并设置好正式入职时间和起薪时间。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center"/>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人才分析</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对人才库中的简历信息，人才分析模块可以按照多种统计条件对信息进行图形化统计分析。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restart"/>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培训管理</w:t>
            </w: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培训计划</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可以针对单位的业务发展情况，制定相应的培训计划。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center"/>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培训记录</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针对培训结果，给予参与培训的员工，进行培训记录，包含培训评估和培训</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restart"/>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考勤管理</w:t>
            </w: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考勤审批</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可以对单位的外出，请假，加班情况进行审批处理。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考勤记录</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可以查看单位某人的考勤记录。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考勤统计</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可以查看某一部门或所有部门一段时间内的考勤情况，并且可以统计出excel等格式的文档。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值班排版管理</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用于管理单位值班的安排，值班日志、值班记录查询和导出。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jc w:val="cente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查岗质询登记</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用于管理单位的值班缺岗情况进行记录和说明。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绩效管理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可以实现对单位员工的各种简单考核如季考核、月考核等。考核完毕之后，可以看到考核结果，也可以将结果导出为EXCEL文件和汇总文件。并且员工可以参与考核自评。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积分管理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通过积分管理来全面反映员工的工作表现，OA中工作办理情况，员工个人素质。如果积分与员工待遇挂钩，有助于调动员工工作积极性、主动性，也有助于单位管理。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薪酬管理</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主要实现工资的录入、上报管理及工资审核管理工作。工资流程管理、财务工资录入和部门工资上报。利用工资管理模块，财务人员可以定义工资项目，新建工资上报流程查看各部门工资上报的报表等。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在线考试</w:t>
            </w:r>
          </w:p>
        </w:tc>
        <w:tc>
          <w:tcPr>
            <w:tcW w:w="7528" w:type="dxa"/>
            <w:gridSpan w:val="3"/>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可以设置题库、设置试题，进行灵活的试题抽取，组织各种网络在线考试、竞赛等。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00" w:type="dxa"/>
            <w:gridSpan w:val="5"/>
            <w:shd w:val="clear" w:color="auto" w:fill="3399FF"/>
            <w:noWrap w:val="0"/>
            <w:vAlign w:val="top"/>
          </w:tcPr>
          <w:p>
            <w:pPr>
              <w:jc w:val="left"/>
              <w:rPr>
                <w:rFonts w:hint="eastAsia" w:asciiTheme="majorEastAsia" w:hAnsiTheme="majorEastAsia" w:eastAsiaTheme="majorEastAsia" w:cstheme="majorEastAsia"/>
                <w:b/>
                <w:color w:val="FFFFFF"/>
                <w:sz w:val="21"/>
                <w:szCs w:val="21"/>
              </w:rPr>
            </w:pPr>
            <w:r>
              <w:rPr>
                <w:rFonts w:hint="eastAsia" w:asciiTheme="majorEastAsia" w:hAnsiTheme="majorEastAsia" w:eastAsiaTheme="majorEastAsia" w:cstheme="majorEastAsia"/>
                <w:b/>
                <w:color w:val="FFFFFF"/>
                <w:sz w:val="21"/>
                <w:szCs w:val="21"/>
              </w:rPr>
              <w:t>档案管理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restart"/>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档案管理</w:t>
            </w: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卷库管理</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针对企业文件档案管理需求而设计。可以指定卷库所属部门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案卷管理</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填上案卷的相应属性，选择所建案卷所属卷库。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文件管理</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可以建立具体档案文件，并且将文件归入相应的案卷中，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案卷借阅</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包含借阅申请和借阅审批两个模块，在借阅申请中查看相应案卷中的文件，可以申请借阅。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档案统计</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包含借阅统计和案卷统计两个模块，借阅统计是对文件的借阅次数进行统计；案卷统计是对案卷中的文件个数进行统计。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rPr>
                <w:rFonts w:hint="eastAsia" w:asciiTheme="majorEastAsia" w:hAnsiTheme="majorEastAsia" w:eastAsiaTheme="majorEastAsia" w:cstheme="majorEastAsia"/>
                <w:sz w:val="21"/>
                <w:szCs w:val="21"/>
              </w:rPr>
            </w:pPr>
          </w:p>
        </w:tc>
        <w:tc>
          <w:tcPr>
            <w:tcW w:w="1704" w:type="dxa"/>
            <w:noWrap w:val="0"/>
            <w:vAlign w:val="center"/>
          </w:tcPr>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档案销毁。</w:t>
            </w:r>
          </w:p>
          <w:p>
            <w:pPr>
              <w:jc w:val="center"/>
              <w:rPr>
                <w:rFonts w:hint="eastAsia" w:asciiTheme="majorEastAsia" w:hAnsiTheme="majorEastAsia" w:eastAsiaTheme="majorEastAsia" w:cstheme="majorEastAsia"/>
                <w:sz w:val="21"/>
                <w:szCs w:val="21"/>
              </w:rPr>
            </w:pP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档案销毁是对文件管理中销毁的文件彻底删除。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00" w:type="dxa"/>
            <w:gridSpan w:val="5"/>
            <w:shd w:val="clear" w:color="auto" w:fill="3399FF"/>
            <w:noWrap w:val="0"/>
            <w:vAlign w:val="top"/>
          </w:tcPr>
          <w:p>
            <w:pPr>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b/>
                <w:color w:val="FFFFFF"/>
                <w:sz w:val="21"/>
                <w:szCs w:val="21"/>
              </w:rPr>
              <w:t>项目管理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restart"/>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项目管理</w:t>
            </w: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我的项目</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新建项目，可以根据类型和时间进行查询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我的任务</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显示近期工作的信息、描述、任务周期和工时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项目审批</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领导对项目可以进行审批，并可以查看审批记录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672" w:type="dxa"/>
            <w:gridSpan w:val="2"/>
            <w:vMerge w:val="continue"/>
            <w:noWrap w:val="0"/>
            <w:vAlign w:val="top"/>
          </w:tcPr>
          <w:p>
            <w:pPr>
              <w:rPr>
                <w:rFonts w:hint="eastAsia" w:asciiTheme="majorEastAsia" w:hAnsiTheme="majorEastAsia" w:eastAsiaTheme="majorEastAsia" w:cstheme="majorEastAsia"/>
                <w:sz w:val="21"/>
                <w:szCs w:val="21"/>
              </w:rPr>
            </w:pPr>
          </w:p>
        </w:tc>
        <w:tc>
          <w:tcPr>
            <w:tcW w:w="1704" w:type="dxa"/>
            <w:noWrap w:val="0"/>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项目文档</w:t>
            </w:r>
          </w:p>
        </w:tc>
        <w:tc>
          <w:tcPr>
            <w:tcW w:w="5824" w:type="dxa"/>
            <w:gridSpan w:val="2"/>
            <w:noWrap w:val="0"/>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对项目中的文件进行管理，可以设置不用的权限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00" w:type="dxa"/>
            <w:gridSpan w:val="5"/>
            <w:shd w:val="clear" w:color="auto" w:fill="FBD4B4"/>
            <w:noWrap w:val="0"/>
            <w:vAlign w:val="top"/>
          </w:tcPr>
          <w:p>
            <w:pP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智能报表系统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00" w:type="dxa"/>
            <w:gridSpan w:val="5"/>
            <w:noWrap w:val="0"/>
            <w:vAlign w:val="top"/>
          </w:tcPr>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智能报表是一款以管理表格为模型构建企业数据管理及统计分析的工具型软件，它融合电子表格和数据库软件的优势，有类似电子表格展示形式灵活多样和操作简洁高效的特点，同时又有数据库软件便于大规模存储和统计分析的特性。</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智能报表集系统设计和系统运行于一体，用户无需掌握编程语言即可轻松构建适宜单位自身需要的个性化管理信息系统，比如费用报销系统等涉及管理的各个方面。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00" w:type="dxa"/>
            <w:gridSpan w:val="5"/>
            <w:noWrap w:val="0"/>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rPr>
              <w:t>系统集成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00" w:type="dxa"/>
            <w:gridSpan w:val="5"/>
            <w:noWrap w:val="0"/>
            <w:vAlign w:val="top"/>
          </w:tcPr>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1、数据：</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集成协同办公平台待办事项，组织自动同步更新，通过</w:t>
            </w:r>
            <w:r>
              <w:rPr>
                <w:rFonts w:hint="eastAsia" w:asciiTheme="majorEastAsia" w:hAnsiTheme="majorEastAsia" w:eastAsiaTheme="majorEastAsia" w:cstheme="majorEastAsia"/>
                <w:sz w:val="21"/>
                <w:szCs w:val="21"/>
                <w:lang w:val="en-US" w:eastAsia="zh-CN"/>
              </w:rPr>
              <w:t>移动app</w:t>
            </w:r>
            <w:r>
              <w:rPr>
                <w:rFonts w:hint="eastAsia" w:asciiTheme="majorEastAsia" w:hAnsiTheme="majorEastAsia" w:eastAsiaTheme="majorEastAsia" w:cstheme="majorEastAsia"/>
                <w:sz w:val="21"/>
                <w:szCs w:val="21"/>
              </w:rPr>
              <w:t>登录访问办公平台，实现待办推送，即时将消息推送到桌面。</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2、HIS门诊量统计数据：</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抓取HIS系统相关数据，实现办公平台及手机移动端的查询和查看。</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3、HIS住院量统计数据</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抓取HIS系统相关数据，实现办公平台及手机移动端的查询和查看。</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4、HIS全院病人费用统计数据：</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抓取HIS系统相关数据，实现协同办公平台及手机移动端的查询和查看。</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5、其他医院要求的HIS数据：</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抓取其他医院要求HIS系统相关数据，实现协同办公平台及手机移动端的查询和查看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00" w:type="dxa"/>
            <w:gridSpan w:val="5"/>
            <w:noWrap w:val="0"/>
            <w:vAlign w:val="center"/>
          </w:tcPr>
          <w:p>
            <w:pPr>
              <w:widowControl/>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color w:val="000000"/>
                <w:sz w:val="21"/>
                <w:szCs w:val="21"/>
                <w:lang w:val="en-US" w:eastAsia="zh-CN"/>
              </w:rPr>
              <w:t>配套硬件服务器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339" w:type="dxa"/>
            <w:noWrap w:val="0"/>
            <w:vAlign w:val="center"/>
          </w:tcPr>
          <w:p>
            <w:pPr>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vertAlign w:val="baseline"/>
                <w:lang w:val="en-US" w:eastAsia="zh-CN"/>
              </w:rPr>
              <w:t>服务器</w:t>
            </w:r>
          </w:p>
        </w:tc>
        <w:tc>
          <w:tcPr>
            <w:tcW w:w="4794" w:type="dxa"/>
            <w:gridSpan w:val="3"/>
            <w:noWrap w:val="0"/>
            <w:vAlign w:val="center"/>
          </w:tcPr>
          <w:p>
            <w:pPr>
              <w:widowControl/>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8核cpu、12G内存、1T硬盘、双网卡及以上配置</w:t>
            </w:r>
          </w:p>
        </w:tc>
        <w:tc>
          <w:tcPr>
            <w:tcW w:w="3067" w:type="dxa"/>
            <w:noWrap w:val="0"/>
            <w:vAlign w:val="center"/>
          </w:tcPr>
          <w:p>
            <w:pPr>
              <w:widowControl/>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1台</w:t>
            </w:r>
          </w:p>
        </w:tc>
      </w:tr>
      <w:bookmarkEnd w:id="2"/>
    </w:tbl>
    <w:p>
      <w:pPr>
        <w:ind w:left="0" w:leftChars="0" w:firstLine="0" w:firstLineChars="0"/>
        <w:jc w:val="center"/>
        <w:rPr>
          <w:rFonts w:hint="eastAsia" w:asciiTheme="majorEastAsia" w:hAnsiTheme="majorEastAsia" w:eastAsiaTheme="majorEastAsia" w:cstheme="majorEastAsia"/>
          <w:b/>
          <w:bCs/>
          <w:sz w:val="21"/>
          <w:szCs w:val="21"/>
          <w:lang w:val="en-US" w:eastAsia="zh-CN"/>
        </w:rPr>
      </w:pPr>
    </w:p>
    <w:p>
      <w:pPr>
        <w:pStyle w:val="2"/>
        <w:numPr>
          <w:ilvl w:val="0"/>
          <w:numId w:val="0"/>
        </w:numPr>
        <w:spacing w:before="156" w:beforeLines="50" w:after="156" w:afterLines="50"/>
        <w:ind w:left="840"/>
        <w:rPr>
          <w:rFonts w:hint="eastAsia" w:asciiTheme="majorEastAsia" w:hAnsiTheme="majorEastAsia" w:eastAsiaTheme="majorEastAsia" w:cstheme="majorEastAsia"/>
          <w:color w:val="000000"/>
          <w:sz w:val="21"/>
          <w:szCs w:val="21"/>
        </w:rPr>
      </w:pPr>
      <w:bookmarkStart w:id="0" w:name="_Toc13047_WPSOffice_Level1"/>
      <w:r>
        <w:rPr>
          <w:rFonts w:hint="eastAsia" w:asciiTheme="majorEastAsia" w:hAnsiTheme="majorEastAsia" w:eastAsiaTheme="majorEastAsia" w:cstheme="majorEastAsia"/>
          <w:color w:val="000000"/>
          <w:sz w:val="21"/>
          <w:szCs w:val="21"/>
        </w:rPr>
        <w:t>第二代防火墙</w:t>
      </w:r>
      <w:bookmarkEnd w:id="0"/>
    </w:p>
    <w:tbl>
      <w:tblPr>
        <w:tblStyle w:val="6"/>
        <w:tblpPr w:leftFromText="180" w:rightFromText="180" w:vertAnchor="text" w:tblpY="1"/>
        <w:tblOverlap w:val="never"/>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474" w:type="dxa"/>
          </w:tcPr>
          <w:p>
            <w:pPr>
              <w:snapToGrid w:val="0"/>
              <w:jc w:val="center"/>
              <w:rPr>
                <w:rFonts w:hint="eastAsia" w:asciiTheme="majorEastAsia" w:hAnsiTheme="majorEastAsia" w:eastAsiaTheme="majorEastAsia" w:cstheme="majorEastAsia"/>
                <w:b/>
                <w:color w:val="000000"/>
                <w:sz w:val="21"/>
                <w:szCs w:val="21"/>
              </w:rPr>
            </w:pPr>
            <w:bookmarkStart w:id="1" w:name="_Hlk528925920"/>
            <w:r>
              <w:rPr>
                <w:rFonts w:hint="eastAsia" w:asciiTheme="majorEastAsia" w:hAnsiTheme="majorEastAsia" w:eastAsiaTheme="majorEastAsia" w:cstheme="majorEastAsia"/>
                <w:b/>
                <w:color w:val="000000"/>
                <w:sz w:val="21"/>
                <w:szCs w:val="21"/>
              </w:rPr>
              <w:t>技术指标</w:t>
            </w:r>
          </w:p>
        </w:tc>
        <w:tc>
          <w:tcPr>
            <w:tcW w:w="6917" w:type="dxa"/>
          </w:tcPr>
          <w:p>
            <w:pPr>
              <w:snapToGrid w:val="0"/>
              <w:jc w:val="center"/>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4" w:type="dxa"/>
            <w:vAlign w:val="center"/>
          </w:tcPr>
          <w:p>
            <w:pPr>
              <w:snapToGrid w:val="0"/>
              <w:jc w:val="center"/>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rPr>
              <w:t>配置要求</w:t>
            </w:r>
          </w:p>
        </w:tc>
        <w:tc>
          <w:tcPr>
            <w:tcW w:w="6917" w:type="dxa"/>
          </w:tcPr>
          <w:p>
            <w:pPr>
              <w:snapToGrid w:val="0"/>
              <w:rPr>
                <w:rFonts w:hint="eastAsia" w:asciiTheme="majorEastAsia" w:hAnsiTheme="majorEastAsia" w:eastAsiaTheme="majorEastAsia" w:cstheme="majorEastAsia"/>
                <w:color w:val="FF0000"/>
                <w:sz w:val="21"/>
                <w:szCs w:val="21"/>
                <w:lang w:eastAsia="zh-CN"/>
              </w:rPr>
            </w:pPr>
            <w:r>
              <w:rPr>
                <w:rFonts w:hint="eastAsia" w:asciiTheme="majorEastAsia" w:hAnsiTheme="majorEastAsia" w:eastAsiaTheme="majorEastAsia" w:cstheme="majorEastAsia"/>
                <w:sz w:val="21"/>
                <w:szCs w:val="21"/>
                <w:lang w:eastAsia="zh-CN"/>
              </w:rPr>
              <w:t>整机吞吐量≥6Gbps；应用层吞吐量≥800Mbps；并发连接数≥1, 800,000；每秒新建连接数≥6万；标准1U机架设备,标配4个千兆电口，2个千兆光口，并含2个高速USB2.0接口，1个RJ45串口；硬盘≥500GB；标准1U架构。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474" w:type="dxa"/>
            <w:vAlign w:val="center"/>
          </w:tcPr>
          <w:p>
            <w:pPr>
              <w:snapToGrid w:val="0"/>
              <w:jc w:val="center"/>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rPr>
              <w:t>部署方式</w:t>
            </w:r>
          </w:p>
        </w:tc>
        <w:tc>
          <w:tcPr>
            <w:tcW w:w="6917" w:type="dxa"/>
          </w:tcPr>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支持路由，网桥，单臂，旁路，虚拟网线以及混合部署方式。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474" w:type="dxa"/>
            <w:vAlign w:val="center"/>
          </w:tcPr>
          <w:p>
            <w:pPr>
              <w:snapToGrid w:val="0"/>
              <w:jc w:val="center"/>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rPr>
              <w:t>路由支持</w:t>
            </w:r>
          </w:p>
        </w:tc>
        <w:tc>
          <w:tcPr>
            <w:tcW w:w="6917" w:type="dxa"/>
          </w:tcPr>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支持静态路由，ECMP等价路由。</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支持RIPv1/v2，OSPFv2/v3，BGP等动态路由协议。</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支持多播/组播路由协议。</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支持路由异常告警功能。</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支持多链路出站负载，支持基于源/目的IP、源/目的端口、协议、ISP、应用类型以及国家地域来进行选路的策略路由选路功能。（提供产品界面截图）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474" w:type="dxa"/>
            <w:vAlign w:val="center"/>
          </w:tcPr>
          <w:p>
            <w:pPr>
              <w:snapToGrid w:val="0"/>
              <w:jc w:val="center"/>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rPr>
              <w:t>基础功能</w:t>
            </w:r>
          </w:p>
        </w:tc>
        <w:tc>
          <w:tcPr>
            <w:tcW w:w="6917" w:type="dxa"/>
          </w:tcPr>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访问控制规则支持基于源／目的IP，源端口，源／目的区域，用户（组），应用/服务类型，时间组的细化控制方式。</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支持根据国家/地区来进行地域访问控制。（提供产品界面截图）。</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能够识别管控的应用类型超过1200种，应用识别规则总数超过3000条。</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支持基于应用类型，网站类型，文件类型进行带宽分配和流量控制。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74" w:type="dxa"/>
            <w:vAlign w:val="center"/>
          </w:tcPr>
          <w:p>
            <w:pPr>
              <w:snapToGrid w:val="0"/>
              <w:jc w:val="center"/>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rPr>
              <w:t>DoS/DDoS攻击防护</w:t>
            </w:r>
          </w:p>
        </w:tc>
        <w:tc>
          <w:tcPr>
            <w:tcW w:w="6917" w:type="dxa"/>
          </w:tcPr>
          <w:p>
            <w:pPr>
              <w:snapToGrid w:val="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74" w:type="dxa"/>
            <w:vAlign w:val="center"/>
          </w:tcPr>
          <w:p>
            <w:pPr>
              <w:snapToGrid w:val="0"/>
              <w:jc w:val="center"/>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rPr>
              <w:t>入侵防护功能</w:t>
            </w:r>
          </w:p>
        </w:tc>
        <w:tc>
          <w:tcPr>
            <w:tcW w:w="6917" w:type="dxa"/>
          </w:tcPr>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设备具备独立的入侵防护漏洞规则特征库，特征总数在7000条以上。 （提供产品界面截图）</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支持对服务器和客户端的漏洞攻击防护。</w:t>
            </w:r>
          </w:p>
          <w:p>
            <w:pPr>
              <w:snapToGrid w:val="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支持对常见应用服务（HTTP、FTP、SSH、SMTP、IMAP、POP3、 RDP、Rlogin、SMB、Telnet、Weblogic、VNC）和数据库软件（MySQL、Oracle、MSSQL）的口令暴力破解防护功能。</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 xml:space="preserve">具备防护常见网络协议（SSH、FTP、RDP、VNC、Netbios）和数据库（MySQL、Oracle、MSSQL）的弱密码扫描功能。 </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可提供最新的威胁情报信息，能够对新爆发的流行高危漏洞进行预警和自动检测，发现问题后支持一键生成防护规则。（提供产品界面截图）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74" w:type="dxa"/>
            <w:vAlign w:val="center"/>
          </w:tcPr>
          <w:p>
            <w:pPr>
              <w:snapToGrid w:val="0"/>
              <w:jc w:val="center"/>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rPr>
              <w:t>Web应用安全防护</w:t>
            </w:r>
          </w:p>
        </w:tc>
        <w:tc>
          <w:tcPr>
            <w:tcW w:w="6917" w:type="dxa"/>
          </w:tcPr>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设备具备独立的WEB应用防护识别库，特征总数在3500条以上； （提供产品界面截图）</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支持抵御SQL注入、XSS攻击、网页木马、网站扫描、WEBSHELL、跨站请求伪造、系统命令注入、文件包含攻击、目录遍历攻击、信息泄露攻击、WEB整站系统漏洞等攻击；（提供产品界面截图）；</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为满足等级保护要求中漏洞管理要求，需要配套提供漏洞管理工具，能够对操作系统和Web漏洞进行检测；（提供产品界面截图）</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支持对网站黑链进行检测；</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要求配套提供10套网页防篡改软件，并能够与设备进行联动阻断篡改攻击；（提供产品界面截图）</w:t>
            </w:r>
          </w:p>
          <w:p>
            <w:pPr>
              <w:snapToGrid w:val="0"/>
              <w:rPr>
                <w:rFonts w:hint="eastAsia" w:asciiTheme="majorEastAsia" w:hAnsiTheme="majorEastAsia" w:eastAsiaTheme="majorEastAsia" w:cstheme="majorEastAsia"/>
                <w:b/>
                <w:color w:val="000000"/>
                <w:sz w:val="21"/>
                <w:szCs w:val="21"/>
                <w:lang w:eastAsia="zh-CN"/>
              </w:rPr>
            </w:pPr>
            <w:r>
              <w:rPr>
                <w:rFonts w:hint="eastAsia" w:asciiTheme="majorEastAsia" w:hAnsiTheme="majorEastAsia" w:eastAsiaTheme="majorEastAsia" w:cstheme="majorEastAsia"/>
                <w:color w:val="000000"/>
                <w:sz w:val="21"/>
                <w:szCs w:val="21"/>
                <w:lang w:eastAsia="zh-CN"/>
              </w:rPr>
              <w:t>为实现管理员对高级威胁的快速响应，要求支持高级威胁关联分析的能力，并展示热点事件详情，推送到运维管理员手机中进行快速处置；</w:t>
            </w:r>
            <w:r>
              <w:rPr>
                <w:rFonts w:hint="eastAsia" w:asciiTheme="majorEastAsia" w:hAnsiTheme="majorEastAsia" w:eastAsiaTheme="majorEastAsia" w:cstheme="majorEastAsia"/>
                <w:b/>
                <w:color w:val="000000"/>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474" w:type="dxa"/>
            <w:vAlign w:val="center"/>
          </w:tcPr>
          <w:p>
            <w:pPr>
              <w:snapToGrid w:val="0"/>
              <w:jc w:val="center"/>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rPr>
              <w:t>僵尸主机检测</w:t>
            </w:r>
          </w:p>
        </w:tc>
        <w:tc>
          <w:tcPr>
            <w:tcW w:w="6917" w:type="dxa"/>
          </w:tcPr>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设备具备独立的僵尸网络识别库，特征总数在58万条以上。（提供产品界面截图）</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支持DNS代理场景下重定向恶意域名。</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支持对终端已被种植了远控木马或者病毒等恶意软件进行检测，并且能够对检测到的恶意软件行为进行深入的分析，展示和外部命令控制服务器的交互行为和其他可疑行为。</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 xml:space="preserve">对于未知威胁具备同云端安全分析引擎进行联动的能力，上报可疑行为并在云端进行沙盒检测，并下发威胁行为分析报告。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474" w:type="dxa"/>
            <w:vAlign w:val="center"/>
          </w:tcPr>
          <w:p>
            <w:pPr>
              <w:snapToGrid w:val="0"/>
              <w:jc w:val="center"/>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lang w:eastAsia="zh-CN"/>
              </w:rPr>
              <w:t>终端联动响应</w:t>
            </w:r>
          </w:p>
        </w:tc>
        <w:tc>
          <w:tcPr>
            <w:tcW w:w="6917" w:type="dxa"/>
          </w:tcPr>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配套提供10个终端安全监测与响应组件，能够对终端安全进行病毒查杀、终端微隔离等。</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支持与终端安全管理平台的联动，实现管理员在第二代防火墙平台通过终端安全管理平台对其下属终端下发快速查杀任务、并根据查杀结果并进行处置；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474" w:type="dxa"/>
            <w:vAlign w:val="center"/>
          </w:tcPr>
          <w:p>
            <w:pPr>
              <w:snapToGrid w:val="0"/>
              <w:jc w:val="center"/>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rPr>
              <w:t>安全可视化</w:t>
            </w:r>
          </w:p>
        </w:tc>
        <w:tc>
          <w:tcPr>
            <w:tcW w:w="6917" w:type="dxa"/>
          </w:tcPr>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支持业务安全和用户安全的风险展示。</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支持资产的自动发现以及资产脆弱性和服务器开放端口的自动识别，支持包含敏感数据业务的识别。</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在同一个界面对全网所有服务器和主机的威胁进行风险评估，支持对当前所有业务的安全防护状态进行动态保护，支持对所有已被入侵和受控的设备进行风险检测与分析，针对风险可以实现快速响应与处置。上述整个流程从风险评估到动态保护，检测与分析，响应处置可提供管理员一键评估，自动化展示最终的风险（提供产品界面截图）</w:t>
            </w:r>
          </w:p>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支持自动生成安全风险报表，报表内容体现被保护对象的整体安全等级，发现漏洞情况以及遭受到攻击的漏洞统计，具备有效攻击行为次数统计和攻击举证。</w:t>
            </w:r>
          </w:p>
        </w:tc>
      </w:tr>
      <w:bookmarkEnd w:id="1"/>
    </w:tbl>
    <w:p>
      <w:pPr>
        <w:pStyle w:val="2"/>
        <w:numPr>
          <w:ilvl w:val="0"/>
          <w:numId w:val="0"/>
        </w:numPr>
        <w:spacing w:before="156" w:beforeLines="50" w:after="156" w:afterLines="50"/>
        <w:ind w:left="84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日志审计</w:t>
      </w:r>
    </w:p>
    <w:tbl>
      <w:tblPr>
        <w:tblStyle w:val="6"/>
        <w:tblpPr w:leftFromText="181" w:rightFromText="181" w:vertAnchor="text" w:horzAnchor="margin" w:tblpY="1"/>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center"/>
          </w:tcPr>
          <w:p>
            <w:pPr>
              <w:snapToGrid w:val="0"/>
              <w:jc w:val="center"/>
              <w:rPr>
                <w:rFonts w:hint="eastAsia" w:asciiTheme="majorEastAsia" w:hAnsiTheme="majorEastAsia" w:eastAsiaTheme="majorEastAsia" w:cstheme="majorEastAsia"/>
                <w:b/>
                <w:color w:val="000000"/>
                <w:sz w:val="21"/>
                <w:szCs w:val="21"/>
                <w:lang w:eastAsia="zh-CN"/>
              </w:rPr>
            </w:pPr>
            <w:r>
              <w:rPr>
                <w:rFonts w:hint="eastAsia" w:asciiTheme="majorEastAsia" w:hAnsiTheme="majorEastAsia" w:eastAsiaTheme="majorEastAsia" w:cstheme="majorEastAsia"/>
                <w:b/>
                <w:color w:val="000000"/>
                <w:sz w:val="21"/>
                <w:szCs w:val="21"/>
                <w:lang w:eastAsia="zh-CN"/>
              </w:rPr>
              <w:t>项目</w:t>
            </w:r>
          </w:p>
        </w:tc>
        <w:tc>
          <w:tcPr>
            <w:tcW w:w="6805" w:type="dxa"/>
            <w:vAlign w:val="center"/>
          </w:tcPr>
          <w:p>
            <w:pPr>
              <w:snapToGrid w:val="0"/>
              <w:jc w:val="center"/>
              <w:rPr>
                <w:rFonts w:hint="eastAsia" w:asciiTheme="majorEastAsia" w:hAnsiTheme="majorEastAsia" w:eastAsiaTheme="majorEastAsia" w:cstheme="majorEastAsia"/>
                <w:b/>
                <w:color w:val="000000"/>
                <w:sz w:val="21"/>
                <w:szCs w:val="21"/>
                <w:lang w:eastAsia="zh-CN"/>
              </w:rPr>
            </w:pPr>
            <w:r>
              <w:rPr>
                <w:rFonts w:hint="eastAsia" w:asciiTheme="majorEastAsia" w:hAnsiTheme="majorEastAsia" w:eastAsiaTheme="majorEastAsia" w:cstheme="majorEastAsia"/>
                <w:b/>
                <w:color w:val="000000"/>
                <w:sz w:val="21"/>
                <w:szCs w:val="21"/>
                <w:lang w:eastAsia="zh-CN"/>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FFFFFF"/>
            <w:vAlign w:val="center"/>
          </w:tcPr>
          <w:p>
            <w:pPr>
              <w:jc w:val="center"/>
              <w:textAlignment w:val="center"/>
              <w:rPr>
                <w:rFonts w:hint="eastAsia" w:asciiTheme="majorEastAsia" w:hAnsiTheme="majorEastAsia" w:eastAsiaTheme="majorEastAsia" w:cstheme="majorEastAsia"/>
                <w:b/>
                <w:color w:val="000000"/>
                <w:sz w:val="21"/>
                <w:szCs w:val="21"/>
                <w:lang w:eastAsia="zh-CN" w:bidi="ar"/>
              </w:rPr>
            </w:pPr>
            <w:r>
              <w:rPr>
                <w:rFonts w:hint="eastAsia" w:asciiTheme="majorEastAsia" w:hAnsiTheme="majorEastAsia" w:eastAsiaTheme="majorEastAsia" w:cstheme="majorEastAsia"/>
                <w:b/>
                <w:color w:val="000000"/>
                <w:sz w:val="21"/>
                <w:szCs w:val="21"/>
                <w:lang w:eastAsia="zh-CN" w:bidi="ar"/>
              </w:rPr>
              <w:t>基本要求</w:t>
            </w:r>
          </w:p>
        </w:tc>
        <w:tc>
          <w:tcPr>
            <w:tcW w:w="6805" w:type="dxa"/>
            <w:shd w:val="clear" w:color="auto" w:fill="FFFFFF"/>
            <w:vAlign w:val="center"/>
          </w:tcPr>
          <w:p>
            <w:pPr>
              <w:autoSpaceDE w:val="0"/>
              <w:autoSpaceDN w:val="0"/>
              <w:adjustRightInd w:val="0"/>
              <w:snapToGrid w:val="0"/>
              <w:rPr>
                <w:rFonts w:hint="eastAsia" w:asciiTheme="majorEastAsia" w:hAnsiTheme="majorEastAsia" w:eastAsiaTheme="majorEastAsia" w:cstheme="majorEastAsia"/>
                <w:color w:val="FF0000"/>
                <w:sz w:val="21"/>
                <w:szCs w:val="21"/>
                <w:lang w:eastAsia="zh-CN"/>
              </w:rPr>
            </w:pPr>
            <w:r>
              <w:rPr>
                <w:rFonts w:hint="eastAsia" w:asciiTheme="majorEastAsia" w:hAnsiTheme="majorEastAsia" w:eastAsiaTheme="majorEastAsia" w:cstheme="majorEastAsia"/>
                <w:sz w:val="21"/>
                <w:szCs w:val="21"/>
                <w:lang w:eastAsia="zh-CN"/>
              </w:rPr>
              <w:t>采用标准机架式硬件。审计主机至少提供千兆RJ45*6（一路数据传输口。一路系统管理口）。网络接口支持电口，可升级为光口。所供系统设备必须自带本地存储功能。可用物理磁盘空间&gt;=1TB。日志存储量至少十亿条。日志采集能力：3000条/秒以上。支持后期扩展外部网络存储(IP SAN、NAS、DAS、磁盘阵列等)。内置50个主机审计许可证书。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FFFFFF"/>
            <w:vAlign w:val="center"/>
          </w:tcPr>
          <w:p>
            <w:pPr>
              <w:jc w:val="center"/>
              <w:textAlignment w:val="center"/>
              <w:rPr>
                <w:rFonts w:hint="eastAsia" w:asciiTheme="majorEastAsia" w:hAnsiTheme="majorEastAsia" w:eastAsiaTheme="majorEastAsia" w:cstheme="majorEastAsia"/>
                <w:b/>
                <w:color w:val="000000"/>
                <w:sz w:val="21"/>
                <w:szCs w:val="21"/>
                <w:lang w:eastAsia="zh-CN" w:bidi="ar"/>
              </w:rPr>
            </w:pPr>
            <w:r>
              <w:rPr>
                <w:rFonts w:hint="eastAsia" w:asciiTheme="majorEastAsia" w:hAnsiTheme="majorEastAsia" w:eastAsiaTheme="majorEastAsia" w:cstheme="majorEastAsia"/>
                <w:b/>
                <w:color w:val="000000"/>
                <w:sz w:val="21"/>
                <w:szCs w:val="21"/>
                <w:lang w:eastAsia="zh-CN" w:bidi="ar"/>
              </w:rPr>
              <w:t>数据采集</w:t>
            </w:r>
          </w:p>
        </w:tc>
        <w:tc>
          <w:tcPr>
            <w:tcW w:w="6805" w:type="dxa"/>
            <w:shd w:val="clear" w:color="auto" w:fill="FFFFFF"/>
            <w:vAlign w:val="center"/>
          </w:tcPr>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通过页面直接将日志文件导入或以syslog方式接收日志信息，支持日志类型：UNIX、WINDOWS事件[2000、2003、2008、XP、VISTA、Win7及以上版本]、网络及安全设备[深信服、Cisco、Array、Juniper、H3C、神州数码、绿盟、天融信、安氏领信、网神]、AS400日志、数据库访问[Mysql]、WEB访问[Apache、IIS、Tomcat、Nginx、Weblogic、Resin、Websphere]、文件访问[VSftpd、Pureftpd、NCftpd、IISftpd、Proftpd、Glftpd、Serv-u]、数据库服务[Oracle、Mssql、Mysql、DB2、Informix、Sybase]、WEB服务[Apache、Tomcat、Nginx、Weblogic、Resin、Websphere]、FTP服务[VSftpd、NCftpd、Proftpd、Glftpd、Serv-u]。</w:t>
            </w:r>
          </w:p>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支持SNMP日志采集，支持日志类型：网络及安全设备[深信服、Cisco、Array、Juniper、H3C、神州数码、绿盟、天融信、安氏领信、网神]</w:t>
            </w:r>
          </w:p>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支持Opsec Lea日志采集。</w:t>
            </w:r>
          </w:p>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镜像数据采集，支持类型：数据库模块[Oracle、Mssql、Mysql、DB2、Informix、Sybase]、文件传输模块[FTP、SMB、HTTP]、邮件模块[SMTP、POP、HTTP]、即时通讯模块[淘宝旺旺、MSN、QQ]、远程控制模块[Telnet]、网站访问模块[网页浏览、论坛微博]、入侵检测、业务检测、流量监控。</w:t>
            </w:r>
          </w:p>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支持文本型日志文件定时采集，可自动将日志文件采集到系统中分析存储。（提供产品页面截图证明）</w:t>
            </w:r>
          </w:p>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支持文本型日志原始文件管理，可将系统作为日志服务器使用。（提供产品页面截图证明）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FFFFFF"/>
            <w:vAlign w:val="center"/>
          </w:tcPr>
          <w:p>
            <w:pPr>
              <w:jc w:val="center"/>
              <w:textAlignment w:val="center"/>
              <w:rPr>
                <w:rFonts w:hint="eastAsia" w:asciiTheme="majorEastAsia" w:hAnsiTheme="majorEastAsia" w:eastAsiaTheme="majorEastAsia" w:cstheme="majorEastAsia"/>
                <w:b/>
                <w:color w:val="000000"/>
                <w:sz w:val="21"/>
                <w:szCs w:val="21"/>
                <w:lang w:eastAsia="zh-CN" w:bidi="ar"/>
              </w:rPr>
            </w:pPr>
            <w:r>
              <w:rPr>
                <w:rFonts w:hint="eastAsia" w:asciiTheme="majorEastAsia" w:hAnsiTheme="majorEastAsia" w:eastAsiaTheme="majorEastAsia" w:cstheme="majorEastAsia"/>
                <w:b/>
                <w:color w:val="000000"/>
                <w:sz w:val="21"/>
                <w:szCs w:val="21"/>
                <w:lang w:eastAsia="zh-CN" w:bidi="ar"/>
              </w:rPr>
              <w:t>监控功能</w:t>
            </w:r>
          </w:p>
        </w:tc>
        <w:tc>
          <w:tcPr>
            <w:tcW w:w="6805" w:type="dxa"/>
            <w:shd w:val="clear" w:color="auto" w:fill="FFFFFF"/>
            <w:vAlign w:val="center"/>
          </w:tcPr>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以图表方式（饼图、柱图、曲线图）显示当日日志数据分布情况。支持自定义配置实时监控的日志类型。支持对所添加的资产进行实时监控，并能以不同图标显示发生的事件及告警。支持以图表方式（饼图、柱图、曲线图、清单列表）显示当日安全事件及告警日志数据分布情况。支持实时监控系统当前运行状态，包括系统CPU、内存、硬盘状态及管理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FFFFFF"/>
            <w:vAlign w:val="center"/>
          </w:tcPr>
          <w:p>
            <w:pPr>
              <w:jc w:val="center"/>
              <w:textAlignment w:val="center"/>
              <w:rPr>
                <w:rFonts w:hint="eastAsia" w:asciiTheme="majorEastAsia" w:hAnsiTheme="majorEastAsia" w:eastAsiaTheme="majorEastAsia" w:cstheme="majorEastAsia"/>
                <w:b/>
                <w:color w:val="000000"/>
                <w:sz w:val="21"/>
                <w:szCs w:val="21"/>
                <w:lang w:eastAsia="zh-CN" w:bidi="ar"/>
              </w:rPr>
            </w:pPr>
            <w:r>
              <w:rPr>
                <w:rFonts w:hint="eastAsia" w:asciiTheme="majorEastAsia" w:hAnsiTheme="majorEastAsia" w:eastAsiaTheme="majorEastAsia" w:cstheme="majorEastAsia"/>
                <w:b/>
                <w:color w:val="000000"/>
                <w:sz w:val="21"/>
                <w:szCs w:val="21"/>
                <w:lang w:eastAsia="zh-CN" w:bidi="ar"/>
              </w:rPr>
              <w:t>查询分析功能</w:t>
            </w:r>
          </w:p>
        </w:tc>
        <w:tc>
          <w:tcPr>
            <w:tcW w:w="6805" w:type="dxa"/>
            <w:shd w:val="clear" w:color="auto" w:fill="FFFFFF"/>
            <w:vAlign w:val="center"/>
          </w:tcPr>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支持多种方式的查询检索，包括：日志检索、事件检索、告警检索、高级检索及文件检索。（提供产品页面截图证明）</w:t>
            </w:r>
          </w:p>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支持按日志文件的名称、内容进行检索，并提供页面下载原始日志文件。支持查询模版创建、修改、删除功能。（提供产品页面截图证明）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FFFFFF"/>
            <w:vAlign w:val="center"/>
          </w:tcPr>
          <w:p>
            <w:pPr>
              <w:jc w:val="center"/>
              <w:textAlignment w:val="center"/>
              <w:rPr>
                <w:rFonts w:hint="eastAsia" w:asciiTheme="majorEastAsia" w:hAnsiTheme="majorEastAsia" w:eastAsiaTheme="majorEastAsia" w:cstheme="majorEastAsia"/>
                <w:b/>
                <w:color w:val="000000"/>
                <w:sz w:val="21"/>
                <w:szCs w:val="21"/>
                <w:lang w:eastAsia="zh-CN" w:bidi="ar"/>
              </w:rPr>
            </w:pPr>
            <w:r>
              <w:rPr>
                <w:rFonts w:hint="eastAsia" w:asciiTheme="majorEastAsia" w:hAnsiTheme="majorEastAsia" w:eastAsiaTheme="majorEastAsia" w:cstheme="majorEastAsia"/>
                <w:b/>
                <w:color w:val="000000"/>
                <w:sz w:val="21"/>
                <w:szCs w:val="21"/>
                <w:lang w:eastAsia="zh-CN" w:bidi="ar"/>
              </w:rPr>
              <w:t>策略管理功能</w:t>
            </w:r>
          </w:p>
        </w:tc>
        <w:tc>
          <w:tcPr>
            <w:tcW w:w="6805" w:type="dxa"/>
            <w:shd w:val="clear" w:color="auto" w:fill="FFFFFF"/>
            <w:vAlign w:val="center"/>
          </w:tcPr>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支持内置归并策略，对HTTP数据进行自动归并处理。（提供产品页面截图证明）支持内置关联分析策略，可设定用户在规定时间内连续多次输入错误口令产生告警或事件。</w:t>
            </w:r>
          </w:p>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支持数据策略，可设定采集多种WEB访问数据，包括：脚本访问、样式访问、图片访问及地理数据访问。</w:t>
            </w:r>
          </w:p>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支持自定义创建实时审计规则：根据日志字段为条件预设置分析策略。</w:t>
            </w:r>
          </w:p>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规则条件设定支持逻辑运算符与支持正则表达式。（提供产品页面截图证明）</w:t>
            </w:r>
          </w:p>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支持自定义三层业务策略：支持通过该策略配置，识别数据库三层架构中用户信息。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525" w:type="dxa"/>
            <w:shd w:val="clear" w:color="auto" w:fill="FFFFFF"/>
            <w:vAlign w:val="center"/>
          </w:tcPr>
          <w:p>
            <w:pPr>
              <w:jc w:val="center"/>
              <w:textAlignment w:val="center"/>
              <w:rPr>
                <w:rFonts w:hint="eastAsia" w:asciiTheme="majorEastAsia" w:hAnsiTheme="majorEastAsia" w:eastAsiaTheme="majorEastAsia" w:cstheme="majorEastAsia"/>
                <w:b/>
                <w:color w:val="000000"/>
                <w:sz w:val="21"/>
                <w:szCs w:val="21"/>
                <w:lang w:eastAsia="zh-CN" w:bidi="ar"/>
              </w:rPr>
            </w:pPr>
            <w:r>
              <w:rPr>
                <w:rFonts w:hint="eastAsia" w:asciiTheme="majorEastAsia" w:hAnsiTheme="majorEastAsia" w:eastAsiaTheme="majorEastAsia" w:cstheme="majorEastAsia"/>
                <w:b/>
                <w:color w:val="000000"/>
                <w:sz w:val="21"/>
                <w:szCs w:val="21"/>
                <w:lang w:eastAsia="zh-CN" w:bidi="ar"/>
              </w:rPr>
              <w:t>数据管理功能</w:t>
            </w:r>
          </w:p>
        </w:tc>
        <w:tc>
          <w:tcPr>
            <w:tcW w:w="6805" w:type="dxa"/>
            <w:shd w:val="clear" w:color="auto" w:fill="FFFFFF"/>
            <w:vAlign w:val="center"/>
          </w:tcPr>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支持按日志属性、日志类型、时间范围进行数据备份。。支持WEB界面备份及日志恢复导入工作。支持自动与手动两种备份归档方式。</w:t>
            </w:r>
          </w:p>
          <w:p>
            <w:pPr>
              <w:autoSpaceDE w:val="0"/>
              <w:autoSpaceDN w:val="0"/>
              <w:adjustRightInd w:val="0"/>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系统支持以FTP上传方式将归档文件存储到第三方存储系统中。（提供产品页面截图证明）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525" w:type="dxa"/>
            <w:shd w:val="clear" w:color="auto" w:fill="FFFFFF"/>
            <w:vAlign w:val="center"/>
          </w:tcPr>
          <w:p>
            <w:pPr>
              <w:jc w:val="center"/>
              <w:textAlignment w:val="center"/>
              <w:rPr>
                <w:rFonts w:hint="eastAsia" w:asciiTheme="majorEastAsia" w:hAnsiTheme="majorEastAsia" w:eastAsiaTheme="majorEastAsia" w:cstheme="majorEastAsia"/>
                <w:b/>
                <w:color w:val="000000"/>
                <w:sz w:val="21"/>
                <w:szCs w:val="21"/>
                <w:lang w:eastAsia="zh-CN" w:bidi="ar"/>
              </w:rPr>
            </w:pPr>
            <w:r>
              <w:rPr>
                <w:rFonts w:hint="eastAsia" w:asciiTheme="majorEastAsia" w:hAnsiTheme="majorEastAsia" w:eastAsiaTheme="majorEastAsia" w:cstheme="majorEastAsia"/>
                <w:b/>
                <w:color w:val="000000"/>
                <w:sz w:val="21"/>
                <w:szCs w:val="21"/>
                <w:lang w:eastAsia="zh-CN" w:bidi="ar"/>
              </w:rPr>
              <w:t>日志权限</w:t>
            </w:r>
          </w:p>
        </w:tc>
        <w:tc>
          <w:tcPr>
            <w:tcW w:w="6805" w:type="dxa"/>
            <w:shd w:val="clear" w:color="auto" w:fill="FFFFFF"/>
            <w:vAlign w:val="center"/>
          </w:tcPr>
          <w:p>
            <w:pPr>
              <w:snapToGrid w:val="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审计员只限于操作权限设置范围内的日志数据，无权限日志数据透明。（提供产品页面截图证明）支持日志类型、IP地址权限设置。支持页面功能模块权限设置。</w:t>
            </w:r>
          </w:p>
        </w:tc>
      </w:tr>
    </w:tbl>
    <w:p>
      <w:pP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防病毒系统</w:t>
      </w:r>
    </w:p>
    <w:tbl>
      <w:tblPr>
        <w:tblStyle w:val="6"/>
        <w:tblW w:w="8429" w:type="dxa"/>
        <w:tblInd w:w="93" w:type="dxa"/>
        <w:tblLayout w:type="fixed"/>
        <w:tblCellMar>
          <w:top w:w="0" w:type="dxa"/>
          <w:left w:w="108" w:type="dxa"/>
          <w:bottom w:w="0" w:type="dxa"/>
          <w:right w:w="108" w:type="dxa"/>
        </w:tblCellMar>
      </w:tblPr>
      <w:tblGrid>
        <w:gridCol w:w="477"/>
        <w:gridCol w:w="439"/>
        <w:gridCol w:w="7513"/>
      </w:tblGrid>
      <w:tr>
        <w:tblPrEx>
          <w:tblLayout w:type="fixed"/>
          <w:tblCellMar>
            <w:top w:w="0" w:type="dxa"/>
            <w:left w:w="108" w:type="dxa"/>
            <w:bottom w:w="0" w:type="dxa"/>
            <w:right w:w="108" w:type="dxa"/>
          </w:tblCellMar>
        </w:tblPrEx>
        <w:trPr>
          <w:trHeight w:val="350"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　</w:t>
            </w:r>
          </w:p>
        </w:tc>
        <w:tc>
          <w:tcPr>
            <w:tcW w:w="43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序号</w:t>
            </w:r>
          </w:p>
        </w:tc>
        <w:tc>
          <w:tcPr>
            <w:tcW w:w="751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详细参数</w:t>
            </w:r>
          </w:p>
        </w:tc>
      </w:tr>
      <w:tr>
        <w:tblPrEx>
          <w:tblLayout w:type="fixed"/>
          <w:tblCellMar>
            <w:top w:w="0" w:type="dxa"/>
            <w:left w:w="108" w:type="dxa"/>
            <w:bottom w:w="0" w:type="dxa"/>
            <w:right w:w="108" w:type="dxa"/>
          </w:tblCellMar>
        </w:tblPrEx>
        <w:trPr>
          <w:trHeight w:val="600" w:hRule="atLeast"/>
        </w:trPr>
        <w:tc>
          <w:tcPr>
            <w:tcW w:w="477" w:type="dxa"/>
            <w:vMerge w:val="restart"/>
            <w:tcBorders>
              <w:top w:val="nil"/>
              <w:left w:val="single" w:color="auto" w:sz="4" w:space="0"/>
              <w:bottom w:val="nil"/>
              <w:right w:val="single" w:color="auto" w:sz="4" w:space="0"/>
            </w:tcBorders>
            <w:shd w:val="clear" w:color="auto" w:fill="auto"/>
            <w:vAlign w:val="center"/>
          </w:tcPr>
          <w:p>
            <w:pPr>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部署</w:t>
            </w:r>
            <w:r>
              <w:rPr>
                <w:rFonts w:hint="eastAsia" w:asciiTheme="majorEastAsia" w:hAnsiTheme="majorEastAsia" w:eastAsiaTheme="majorEastAsia" w:cstheme="majorEastAsia"/>
                <w:b/>
                <w:bCs/>
                <w:sz w:val="21"/>
                <w:szCs w:val="21"/>
                <w:lang w:eastAsia="zh-CN"/>
              </w:rPr>
              <w:br w:type="textWrapping"/>
            </w:r>
            <w:r>
              <w:rPr>
                <w:rFonts w:hint="eastAsia" w:asciiTheme="majorEastAsia" w:hAnsiTheme="majorEastAsia" w:eastAsiaTheme="majorEastAsia" w:cstheme="majorEastAsia"/>
                <w:b/>
                <w:bCs/>
                <w:sz w:val="21"/>
                <w:szCs w:val="21"/>
                <w:lang w:eastAsia="zh-CN"/>
              </w:rPr>
              <w:t>管理</w:t>
            </w: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1</w:t>
            </w:r>
          </w:p>
        </w:tc>
        <w:tc>
          <w:tcPr>
            <w:tcW w:w="7513" w:type="dxa"/>
            <w:tcBorders>
              <w:top w:val="nil"/>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须提供文件特征云查询服务器，云查询服务器能够连接厂家共有安全云系统自动进行文件特征查询同步，且能够支持隔离网环境。</w:t>
            </w:r>
          </w:p>
        </w:tc>
      </w:tr>
      <w:tr>
        <w:tblPrEx>
          <w:tblLayout w:type="fixed"/>
          <w:tblCellMar>
            <w:top w:w="0" w:type="dxa"/>
            <w:left w:w="108" w:type="dxa"/>
            <w:bottom w:w="0" w:type="dxa"/>
            <w:right w:w="108" w:type="dxa"/>
          </w:tblCellMar>
        </w:tblPrEx>
        <w:trPr>
          <w:trHeight w:val="900" w:hRule="atLeast"/>
        </w:trPr>
        <w:tc>
          <w:tcPr>
            <w:tcW w:w="477" w:type="dxa"/>
            <w:vMerge w:val="continue"/>
            <w:tcBorders>
              <w:top w:val="nil"/>
              <w:left w:val="single" w:color="auto" w:sz="4" w:space="0"/>
              <w:bottom w:val="nil"/>
              <w:right w:val="single" w:color="auto" w:sz="4" w:space="0"/>
            </w:tcBorders>
            <w:vAlign w:val="center"/>
          </w:tcPr>
          <w:p>
            <w:pPr>
              <w:rPr>
                <w:rFonts w:hint="eastAsia" w:asciiTheme="majorEastAsia" w:hAnsiTheme="majorEastAsia" w:eastAsiaTheme="majorEastAsia" w:cstheme="majorEastAsia"/>
                <w:b/>
                <w:bCs/>
                <w:sz w:val="21"/>
                <w:szCs w:val="21"/>
                <w:lang w:eastAsia="zh-CN"/>
              </w:rPr>
            </w:pP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2</w:t>
            </w:r>
          </w:p>
        </w:tc>
        <w:tc>
          <w:tcPr>
            <w:tcW w:w="7513" w:type="dxa"/>
            <w:tcBorders>
              <w:top w:val="nil"/>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多样式的帐户管理设置，默认可分配三种管理员权限，普通管理员、配置管理员、审计管理员，并可以按实际需求，手动修改具体权限，可适应企业不同人员权限的划分设置，以保证灵活与安全管理规范。</w:t>
            </w:r>
          </w:p>
        </w:tc>
      </w:tr>
      <w:tr>
        <w:tblPrEx>
          <w:tblLayout w:type="fixed"/>
          <w:tblCellMar>
            <w:top w:w="0" w:type="dxa"/>
            <w:left w:w="108" w:type="dxa"/>
            <w:bottom w:w="0" w:type="dxa"/>
            <w:right w:w="108" w:type="dxa"/>
          </w:tblCellMar>
        </w:tblPrEx>
        <w:trPr>
          <w:trHeight w:val="600" w:hRule="atLeast"/>
        </w:trPr>
        <w:tc>
          <w:tcPr>
            <w:tcW w:w="477" w:type="dxa"/>
            <w:vMerge w:val="continue"/>
            <w:tcBorders>
              <w:top w:val="nil"/>
              <w:left w:val="single" w:color="auto" w:sz="4" w:space="0"/>
              <w:bottom w:val="nil"/>
              <w:right w:val="single" w:color="auto" w:sz="4" w:space="0"/>
            </w:tcBorders>
            <w:vAlign w:val="center"/>
          </w:tcPr>
          <w:p>
            <w:pPr>
              <w:rPr>
                <w:rFonts w:hint="eastAsia" w:asciiTheme="majorEastAsia" w:hAnsiTheme="majorEastAsia" w:eastAsiaTheme="majorEastAsia" w:cstheme="majorEastAsia"/>
                <w:b/>
                <w:bCs/>
                <w:sz w:val="21"/>
                <w:szCs w:val="21"/>
                <w:lang w:eastAsia="zh-CN"/>
              </w:rPr>
            </w:pP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3</w:t>
            </w:r>
          </w:p>
        </w:tc>
        <w:tc>
          <w:tcPr>
            <w:tcW w:w="7513" w:type="dxa"/>
            <w:tcBorders>
              <w:top w:val="nil"/>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自主授权分割功能，管理员可以从主系统中心分割授权客户机数量给下级系统中心，限制下级系统中心对客户机的注册数量，阻止非法客户机注册。</w:t>
            </w:r>
          </w:p>
        </w:tc>
      </w:tr>
      <w:tr>
        <w:tblPrEx>
          <w:tblLayout w:type="fixed"/>
          <w:tblCellMar>
            <w:top w:w="0" w:type="dxa"/>
            <w:left w:w="108" w:type="dxa"/>
            <w:bottom w:w="0" w:type="dxa"/>
            <w:right w:w="108" w:type="dxa"/>
          </w:tblCellMar>
        </w:tblPrEx>
        <w:trPr>
          <w:trHeight w:val="1200" w:hRule="atLeast"/>
        </w:trPr>
        <w:tc>
          <w:tcPr>
            <w:tcW w:w="477" w:type="dxa"/>
            <w:vMerge w:val="continue"/>
            <w:tcBorders>
              <w:top w:val="nil"/>
              <w:left w:val="single" w:color="auto" w:sz="4" w:space="0"/>
              <w:bottom w:val="nil"/>
              <w:right w:val="single" w:color="auto" w:sz="4" w:space="0"/>
            </w:tcBorders>
            <w:vAlign w:val="center"/>
          </w:tcPr>
          <w:p>
            <w:pPr>
              <w:rPr>
                <w:rFonts w:hint="eastAsia" w:asciiTheme="majorEastAsia" w:hAnsiTheme="majorEastAsia" w:eastAsiaTheme="majorEastAsia" w:cstheme="majorEastAsia"/>
                <w:b/>
                <w:bCs/>
                <w:sz w:val="21"/>
                <w:szCs w:val="21"/>
                <w:lang w:eastAsia="zh-CN"/>
              </w:rPr>
            </w:pP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4</w:t>
            </w:r>
          </w:p>
        </w:tc>
        <w:tc>
          <w:tcPr>
            <w:tcW w:w="7513" w:type="dxa"/>
            <w:tcBorders>
              <w:top w:val="nil"/>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须提供全网集中漏洞扫描及修复技术（包括隔离网络解决方案），提供网络内客户机存在漏洞补丁汇总报告，远程完成系统补丁程序的安装，以解决网内系统的漏洞修复问题。修补过程勿须客户机参与，客户机以非管理员权限登录，也能完成漏洞扫描和修复。</w:t>
            </w:r>
          </w:p>
        </w:tc>
      </w:tr>
      <w:tr>
        <w:tblPrEx>
          <w:tblLayout w:type="fixed"/>
          <w:tblCellMar>
            <w:top w:w="0" w:type="dxa"/>
            <w:left w:w="108" w:type="dxa"/>
            <w:bottom w:w="0" w:type="dxa"/>
            <w:right w:w="108" w:type="dxa"/>
          </w:tblCellMar>
        </w:tblPrEx>
        <w:trPr>
          <w:trHeight w:val="600" w:hRule="atLeast"/>
        </w:trPr>
        <w:tc>
          <w:tcPr>
            <w:tcW w:w="477" w:type="dxa"/>
            <w:vMerge w:val="continue"/>
            <w:tcBorders>
              <w:top w:val="nil"/>
              <w:left w:val="single" w:color="auto" w:sz="4" w:space="0"/>
              <w:bottom w:val="nil"/>
              <w:right w:val="single" w:color="auto" w:sz="4" w:space="0"/>
            </w:tcBorders>
            <w:vAlign w:val="center"/>
          </w:tcPr>
          <w:p>
            <w:pPr>
              <w:rPr>
                <w:rFonts w:hint="eastAsia" w:asciiTheme="majorEastAsia" w:hAnsiTheme="majorEastAsia" w:eastAsiaTheme="majorEastAsia" w:cstheme="majorEastAsia"/>
                <w:b/>
                <w:bCs/>
                <w:sz w:val="21"/>
                <w:szCs w:val="21"/>
                <w:lang w:eastAsia="zh-CN"/>
              </w:rPr>
            </w:pP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5</w:t>
            </w:r>
          </w:p>
        </w:tc>
        <w:tc>
          <w:tcPr>
            <w:tcW w:w="7513" w:type="dxa"/>
            <w:tcBorders>
              <w:top w:val="nil"/>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系统中心控制台具有消息推送功能，能够实现网络管理人员对全网或者指定客户机发送消息</w:t>
            </w:r>
          </w:p>
        </w:tc>
      </w:tr>
      <w:tr>
        <w:tblPrEx>
          <w:tblLayout w:type="fixed"/>
          <w:tblCellMar>
            <w:top w:w="0" w:type="dxa"/>
            <w:left w:w="108" w:type="dxa"/>
            <w:bottom w:w="0" w:type="dxa"/>
            <w:right w:w="108" w:type="dxa"/>
          </w:tblCellMar>
        </w:tblPrEx>
        <w:trPr>
          <w:trHeight w:val="1200" w:hRule="atLeast"/>
        </w:trPr>
        <w:tc>
          <w:tcPr>
            <w:tcW w:w="477" w:type="dxa"/>
            <w:vMerge w:val="continue"/>
            <w:tcBorders>
              <w:top w:val="nil"/>
              <w:left w:val="single" w:color="auto" w:sz="4" w:space="0"/>
              <w:bottom w:val="nil"/>
              <w:right w:val="single" w:color="auto" w:sz="4" w:space="0"/>
            </w:tcBorders>
            <w:vAlign w:val="center"/>
          </w:tcPr>
          <w:p>
            <w:pPr>
              <w:rPr>
                <w:rFonts w:hint="eastAsia" w:asciiTheme="majorEastAsia" w:hAnsiTheme="majorEastAsia" w:eastAsiaTheme="majorEastAsia" w:cstheme="majorEastAsia"/>
                <w:b/>
                <w:bCs/>
                <w:sz w:val="21"/>
                <w:szCs w:val="21"/>
                <w:lang w:eastAsia="zh-CN"/>
              </w:rPr>
            </w:pP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6</w:t>
            </w:r>
          </w:p>
        </w:tc>
        <w:tc>
          <w:tcPr>
            <w:tcW w:w="7513" w:type="dxa"/>
            <w:tcBorders>
              <w:top w:val="nil"/>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提供客户端边界管理功能，对通过优盘、网络共享、互联网、下载工具邮件以及QQ类通讯软件进入的文件给于安全性鉴定，能够向用户报告这些文件是否为安全文件，有助于帮助终端用户在确认为安全文件时再执行，并且具备溯源功能，对于鉴定为未知的文件则谨慎处理。（须提供产品功能截图）</w:t>
            </w:r>
          </w:p>
        </w:tc>
      </w:tr>
      <w:tr>
        <w:tblPrEx>
          <w:tblLayout w:type="fixed"/>
          <w:tblCellMar>
            <w:top w:w="0" w:type="dxa"/>
            <w:left w:w="108" w:type="dxa"/>
            <w:bottom w:w="0" w:type="dxa"/>
            <w:right w:w="108" w:type="dxa"/>
          </w:tblCellMar>
        </w:tblPrEx>
        <w:trPr>
          <w:trHeight w:val="300" w:hRule="atLeast"/>
        </w:trPr>
        <w:tc>
          <w:tcPr>
            <w:tcW w:w="477" w:type="dxa"/>
            <w:vMerge w:val="continue"/>
            <w:tcBorders>
              <w:top w:val="nil"/>
              <w:left w:val="single" w:color="auto" w:sz="4" w:space="0"/>
              <w:bottom w:val="nil"/>
              <w:right w:val="single" w:color="auto" w:sz="4" w:space="0"/>
            </w:tcBorders>
            <w:vAlign w:val="center"/>
          </w:tcPr>
          <w:p>
            <w:pPr>
              <w:rPr>
                <w:rFonts w:hint="eastAsia" w:asciiTheme="majorEastAsia" w:hAnsiTheme="majorEastAsia" w:eastAsiaTheme="majorEastAsia" w:cstheme="majorEastAsia"/>
                <w:b/>
                <w:bCs/>
                <w:sz w:val="21"/>
                <w:szCs w:val="21"/>
                <w:lang w:eastAsia="zh-CN"/>
              </w:rPr>
            </w:pP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7</w:t>
            </w:r>
          </w:p>
        </w:tc>
        <w:tc>
          <w:tcPr>
            <w:tcW w:w="7513" w:type="dxa"/>
            <w:tcBorders>
              <w:top w:val="nil"/>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支持与动态行为分析系统的联动。（须提供产品功能截图）</w:t>
            </w:r>
          </w:p>
        </w:tc>
      </w:tr>
      <w:tr>
        <w:tblPrEx>
          <w:tblLayout w:type="fixed"/>
          <w:tblCellMar>
            <w:top w:w="0" w:type="dxa"/>
            <w:left w:w="108" w:type="dxa"/>
            <w:bottom w:w="0" w:type="dxa"/>
            <w:right w:w="108" w:type="dxa"/>
          </w:tblCellMar>
        </w:tblPrEx>
        <w:trPr>
          <w:trHeight w:val="900" w:hRule="atLeast"/>
        </w:trPr>
        <w:tc>
          <w:tcPr>
            <w:tcW w:w="477" w:type="dxa"/>
            <w:vMerge w:val="continue"/>
            <w:tcBorders>
              <w:top w:val="nil"/>
              <w:left w:val="single" w:color="auto" w:sz="4" w:space="0"/>
              <w:bottom w:val="nil"/>
              <w:right w:val="single" w:color="auto" w:sz="4" w:space="0"/>
            </w:tcBorders>
            <w:vAlign w:val="center"/>
          </w:tcPr>
          <w:p>
            <w:pPr>
              <w:rPr>
                <w:rFonts w:hint="eastAsia" w:asciiTheme="majorEastAsia" w:hAnsiTheme="majorEastAsia" w:eastAsiaTheme="majorEastAsia" w:cstheme="majorEastAsia"/>
                <w:b/>
                <w:bCs/>
                <w:sz w:val="21"/>
                <w:szCs w:val="21"/>
                <w:lang w:eastAsia="zh-CN"/>
              </w:rPr>
            </w:pP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8</w:t>
            </w:r>
          </w:p>
        </w:tc>
        <w:tc>
          <w:tcPr>
            <w:tcW w:w="7513" w:type="dxa"/>
            <w:tcBorders>
              <w:top w:val="nil"/>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须实现与防毒墙等网关类安全设备联动，形成关与端的联动防御体系，并在防病毒软件控制台展示出协议层病毒和恶意通讯等防毒墙拦截数据。（须提供产品功能截图）</w:t>
            </w:r>
          </w:p>
        </w:tc>
      </w:tr>
      <w:tr>
        <w:tblPrEx>
          <w:tblLayout w:type="fixed"/>
          <w:tblCellMar>
            <w:top w:w="0" w:type="dxa"/>
            <w:left w:w="108" w:type="dxa"/>
            <w:bottom w:w="0" w:type="dxa"/>
            <w:right w:w="108" w:type="dxa"/>
          </w:tblCellMar>
        </w:tblPrEx>
        <w:trPr>
          <w:trHeight w:val="640" w:hRule="atLeast"/>
        </w:trPr>
        <w:tc>
          <w:tcPr>
            <w:tcW w:w="477" w:type="dxa"/>
            <w:vMerge w:val="restart"/>
            <w:tcBorders>
              <w:top w:val="nil"/>
              <w:left w:val="single" w:color="auto" w:sz="4" w:space="0"/>
              <w:bottom w:val="nil"/>
              <w:right w:val="single" w:color="auto" w:sz="4" w:space="0"/>
            </w:tcBorders>
            <w:shd w:val="clear" w:color="auto" w:fill="auto"/>
            <w:vAlign w:val="center"/>
          </w:tcPr>
          <w:p>
            <w:pPr>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客户端功能</w:t>
            </w: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1</w:t>
            </w:r>
          </w:p>
        </w:tc>
        <w:tc>
          <w:tcPr>
            <w:tcW w:w="7513" w:type="dxa"/>
            <w:tcBorders>
              <w:top w:val="nil"/>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要求占用系统资源低，网络版杀毒软件的客户端程序在监控状态占用系统资源CPU不高于10%，内存占用不超过30MB</w:t>
            </w:r>
          </w:p>
        </w:tc>
      </w:tr>
      <w:tr>
        <w:tblPrEx>
          <w:tblLayout w:type="fixed"/>
          <w:tblCellMar>
            <w:top w:w="0" w:type="dxa"/>
            <w:left w:w="108" w:type="dxa"/>
            <w:bottom w:w="0" w:type="dxa"/>
            <w:right w:w="108" w:type="dxa"/>
          </w:tblCellMar>
        </w:tblPrEx>
        <w:trPr>
          <w:trHeight w:val="600" w:hRule="atLeast"/>
        </w:trPr>
        <w:tc>
          <w:tcPr>
            <w:tcW w:w="477" w:type="dxa"/>
            <w:vMerge w:val="continue"/>
            <w:tcBorders>
              <w:top w:val="nil"/>
              <w:left w:val="single" w:color="auto" w:sz="4" w:space="0"/>
              <w:bottom w:val="nil"/>
              <w:right w:val="single" w:color="auto" w:sz="4" w:space="0"/>
            </w:tcBorders>
            <w:vAlign w:val="center"/>
          </w:tcPr>
          <w:p>
            <w:pPr>
              <w:rPr>
                <w:rFonts w:hint="eastAsia" w:asciiTheme="majorEastAsia" w:hAnsiTheme="majorEastAsia" w:eastAsiaTheme="majorEastAsia" w:cstheme="majorEastAsia"/>
                <w:b/>
                <w:bCs/>
                <w:sz w:val="21"/>
                <w:szCs w:val="21"/>
                <w:lang w:eastAsia="zh-CN"/>
              </w:rPr>
            </w:pP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2</w:t>
            </w:r>
          </w:p>
        </w:tc>
        <w:tc>
          <w:tcPr>
            <w:tcW w:w="7513" w:type="dxa"/>
            <w:tcBorders>
              <w:top w:val="nil"/>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产品终端程序须集成宏病毒专杀模块，并可在未安装office软件时也能对宏病毒进行查杀</w:t>
            </w:r>
          </w:p>
        </w:tc>
      </w:tr>
      <w:tr>
        <w:tblPrEx>
          <w:tblLayout w:type="fixed"/>
          <w:tblCellMar>
            <w:top w:w="0" w:type="dxa"/>
            <w:left w:w="108" w:type="dxa"/>
            <w:bottom w:w="0" w:type="dxa"/>
            <w:right w:w="108" w:type="dxa"/>
          </w:tblCellMar>
        </w:tblPrEx>
        <w:trPr>
          <w:trHeight w:val="900" w:hRule="atLeast"/>
        </w:trPr>
        <w:tc>
          <w:tcPr>
            <w:tcW w:w="477" w:type="dxa"/>
            <w:vMerge w:val="continue"/>
            <w:tcBorders>
              <w:top w:val="nil"/>
              <w:left w:val="single" w:color="auto" w:sz="4" w:space="0"/>
              <w:bottom w:val="nil"/>
              <w:right w:val="single" w:color="auto" w:sz="4" w:space="0"/>
            </w:tcBorders>
            <w:vAlign w:val="center"/>
          </w:tcPr>
          <w:p>
            <w:pPr>
              <w:rPr>
                <w:rFonts w:hint="eastAsia" w:asciiTheme="majorEastAsia" w:hAnsiTheme="majorEastAsia" w:eastAsiaTheme="majorEastAsia" w:cstheme="majorEastAsia"/>
                <w:b/>
                <w:bCs/>
                <w:sz w:val="21"/>
                <w:szCs w:val="21"/>
                <w:lang w:eastAsia="zh-CN"/>
              </w:rPr>
            </w:pP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3</w:t>
            </w:r>
          </w:p>
        </w:tc>
        <w:tc>
          <w:tcPr>
            <w:tcW w:w="7513" w:type="dxa"/>
            <w:tcBorders>
              <w:top w:val="nil"/>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具备系统优化功能，能够统计开机时间，对开机所加载的启动项进行管理，可以关闭无需开机就加载的项目，提升开机速度；能够对启动项、系统服务项、计划任务项以及应用程序的扩展加载项进行开启或关闭处理。</w:t>
            </w:r>
          </w:p>
        </w:tc>
      </w:tr>
      <w:tr>
        <w:tblPrEx>
          <w:tblLayout w:type="fixed"/>
          <w:tblCellMar>
            <w:top w:w="0" w:type="dxa"/>
            <w:left w:w="108" w:type="dxa"/>
            <w:bottom w:w="0" w:type="dxa"/>
            <w:right w:w="108" w:type="dxa"/>
          </w:tblCellMar>
        </w:tblPrEx>
        <w:trPr>
          <w:trHeight w:val="1200" w:hRule="atLeast"/>
        </w:trPr>
        <w:tc>
          <w:tcPr>
            <w:tcW w:w="477" w:type="dxa"/>
            <w:vMerge w:val="continue"/>
            <w:tcBorders>
              <w:top w:val="nil"/>
              <w:left w:val="single" w:color="auto" w:sz="4" w:space="0"/>
              <w:bottom w:val="nil"/>
              <w:right w:val="single" w:color="auto" w:sz="4" w:space="0"/>
            </w:tcBorders>
            <w:vAlign w:val="center"/>
          </w:tcPr>
          <w:p>
            <w:pPr>
              <w:rPr>
                <w:rFonts w:hint="eastAsia" w:asciiTheme="majorEastAsia" w:hAnsiTheme="majorEastAsia" w:eastAsiaTheme="majorEastAsia" w:cstheme="majorEastAsia"/>
                <w:b/>
                <w:bCs/>
                <w:sz w:val="21"/>
                <w:szCs w:val="21"/>
                <w:lang w:eastAsia="zh-CN"/>
              </w:rPr>
            </w:pP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4</w:t>
            </w:r>
          </w:p>
        </w:tc>
        <w:tc>
          <w:tcPr>
            <w:tcW w:w="7513" w:type="dxa"/>
            <w:tcBorders>
              <w:top w:val="nil"/>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客户端需支持“虚拟环境轻客户端模式”，安装在虚拟机上的“轻终端”将快速响应调度器的统一指令，使得服务器整体时时刻刻保持很低的负载，从而将其对机器性能的影响降到最低。虚拟化终端需同时支持多个虚拟化系统，如VMware、Microsoft Hyper-V和华为平台等。</w:t>
            </w:r>
          </w:p>
        </w:tc>
      </w:tr>
      <w:tr>
        <w:tblPrEx>
          <w:tblLayout w:type="fixed"/>
          <w:tblCellMar>
            <w:top w:w="0" w:type="dxa"/>
            <w:left w:w="108" w:type="dxa"/>
            <w:bottom w:w="0" w:type="dxa"/>
            <w:right w:w="108" w:type="dxa"/>
          </w:tblCellMar>
        </w:tblPrEx>
        <w:trPr>
          <w:trHeight w:val="300" w:hRule="atLeast"/>
        </w:trPr>
        <w:tc>
          <w:tcPr>
            <w:tcW w:w="477" w:type="dxa"/>
            <w:vMerge w:val="continue"/>
            <w:tcBorders>
              <w:top w:val="nil"/>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b/>
                <w:bCs/>
                <w:sz w:val="21"/>
                <w:szCs w:val="21"/>
                <w:lang w:eastAsia="zh-CN"/>
              </w:rPr>
            </w:pPr>
          </w:p>
        </w:tc>
        <w:tc>
          <w:tcPr>
            <w:tcW w:w="439" w:type="dxa"/>
            <w:tcBorders>
              <w:top w:val="nil"/>
              <w:left w:val="nil"/>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5</w:t>
            </w:r>
          </w:p>
        </w:tc>
        <w:tc>
          <w:tcPr>
            <w:tcW w:w="7513" w:type="dxa"/>
            <w:tcBorders>
              <w:top w:val="nil"/>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客户端须支持至少包括麒麟、红旗、红帽操作系统在内的国产操作系统。</w:t>
            </w:r>
          </w:p>
        </w:tc>
      </w:tr>
      <w:tr>
        <w:tblPrEx>
          <w:tblLayout w:type="fixed"/>
          <w:tblCellMar>
            <w:top w:w="0" w:type="dxa"/>
            <w:left w:w="108" w:type="dxa"/>
            <w:bottom w:w="0" w:type="dxa"/>
            <w:right w:w="108" w:type="dxa"/>
          </w:tblCellMar>
        </w:tblPrEx>
        <w:trPr>
          <w:trHeight w:val="300" w:hRule="atLeast"/>
        </w:trPr>
        <w:tc>
          <w:tcPr>
            <w:tcW w:w="47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服务器端</w:t>
            </w: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i w:val="0"/>
                <w:color w:val="000000"/>
                <w:sz w:val="21"/>
                <w:szCs w:val="21"/>
                <w:u w:val="none"/>
              </w:rPr>
              <w:t>针对Windwos Server操作系统进行病毒查杀，提供主动防御系统防护,补丁管理功能，支持对全网终端系统漏洞发现、补丁智能修复、强制修复等、蓝屏修复、补丁分发流量控制、客户端P2P补丁分发加速等功能。系统默认支持WIN2003/WIN2008/WIN2012/，含三年升级服务。</w:t>
            </w:r>
          </w:p>
        </w:tc>
      </w:tr>
    </w:tbl>
    <w:p>
      <w:pP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交换机</w:t>
      </w:r>
    </w:p>
    <w:tbl>
      <w:tblPr>
        <w:tblStyle w:val="6"/>
        <w:tblW w:w="8560" w:type="dxa"/>
        <w:jc w:val="center"/>
        <w:tblInd w:w="-8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17"/>
        <w:gridCol w:w="362"/>
        <w:gridCol w:w="5673"/>
        <w:gridCol w:w="836"/>
        <w:gridCol w:w="543"/>
        <w:gridCol w:w="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617" w:type="dxa"/>
            <w:vMerge w:val="restart"/>
            <w:tcBorders>
              <w:tl2br w:val="nil"/>
              <w:tr2bl w:val="nil"/>
            </w:tcBorders>
            <w:vAlign w:val="center"/>
          </w:tcPr>
          <w:p>
            <w:pPr>
              <w:numPr>
                <w:ilvl w:val="0"/>
                <w:numId w:val="0"/>
              </w:numPr>
              <w:ind w:left="0" w:leftChars="0" w:firstLine="0" w:firstLineChars="0"/>
              <w:jc w:val="center"/>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交</w:t>
            </w:r>
          </w:p>
          <w:p>
            <w:pPr>
              <w:numPr>
                <w:ilvl w:val="0"/>
                <w:numId w:val="0"/>
              </w:numPr>
              <w:ind w:left="0" w:leftChars="0" w:firstLine="0" w:firstLineChars="0"/>
              <w:jc w:val="center"/>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换</w:t>
            </w:r>
          </w:p>
          <w:p>
            <w:pPr>
              <w:numPr>
                <w:ilvl w:val="0"/>
                <w:numId w:val="0"/>
              </w:numPr>
              <w:ind w:left="0" w:leftChars="0" w:firstLine="0" w:firstLineChars="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机</w:t>
            </w:r>
          </w:p>
        </w:tc>
        <w:tc>
          <w:tcPr>
            <w:tcW w:w="362" w:type="dxa"/>
            <w:tcBorders>
              <w:tl2br w:val="nil"/>
              <w:tr2bl w:val="nil"/>
            </w:tcBorders>
            <w:vAlign w:val="center"/>
          </w:tcPr>
          <w:p>
            <w:pPr>
              <w:numPr>
                <w:ilvl w:val="0"/>
                <w:numId w:val="0"/>
              </w:numPr>
              <w:ind w:left="0" w:leftChars="0" w:firstLine="0" w:firstLineChars="0"/>
              <w:jc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sz w:val="21"/>
                <w:szCs w:val="21"/>
                <w:vertAlign w:val="baseline"/>
                <w:lang w:val="en-US" w:eastAsia="zh-CN"/>
              </w:rPr>
              <w:t>24口交换机</w:t>
            </w:r>
          </w:p>
        </w:tc>
        <w:tc>
          <w:tcPr>
            <w:tcW w:w="5673" w:type="dxa"/>
            <w:tcBorders>
              <w:tl2br w:val="nil"/>
              <w:tr2bl w:val="nil"/>
            </w:tcBorders>
            <w:vAlign w:val="center"/>
          </w:tcPr>
          <w:p>
            <w:pPr>
              <w:numPr>
                <w:ilvl w:val="0"/>
                <w:numId w:val="0"/>
              </w:numPr>
              <w:ind w:left="0" w:leftChars="0" w:firstLine="0" w:firstLineChars="0"/>
              <w:jc w:val="left"/>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24个10/100/1000Base-T 以太网端口，4个千兆SFP</w:t>
            </w:r>
          </w:p>
          <w:p>
            <w:pPr>
              <w:numPr>
                <w:ilvl w:val="0"/>
                <w:numId w:val="0"/>
              </w:numPr>
              <w:ind w:left="0" w:leftChars="0" w:firstLine="0" w:firstLineChars="0"/>
              <w:jc w:val="left"/>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交流供电,包转发率：51Mpps/126Mpps,交换容量：336Gbps/3.36Tbps</w:t>
            </w:r>
          </w:p>
        </w:tc>
        <w:tc>
          <w:tcPr>
            <w:tcW w:w="836" w:type="dxa"/>
            <w:tcBorders>
              <w:tl2br w:val="nil"/>
              <w:tr2bl w:val="nil"/>
            </w:tcBorders>
            <w:vAlign w:val="center"/>
          </w:tcPr>
          <w:p>
            <w:pPr>
              <w:numPr>
                <w:ilvl w:val="0"/>
                <w:numId w:val="0"/>
              </w:numPr>
              <w:ind w:left="0" w:leftChars="0" w:firstLine="0" w:firstLineChars="0"/>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vertAlign w:val="baseline"/>
                <w:lang w:val="en-US" w:eastAsia="zh-CN"/>
              </w:rPr>
              <w:t>3</w:t>
            </w:r>
          </w:p>
        </w:tc>
        <w:tc>
          <w:tcPr>
            <w:tcW w:w="543" w:type="dxa"/>
            <w:tcBorders>
              <w:tl2br w:val="nil"/>
              <w:tr2bl w:val="nil"/>
            </w:tcBorders>
            <w:vAlign w:val="center"/>
          </w:tcPr>
          <w:p>
            <w:pPr>
              <w:numPr>
                <w:ilvl w:val="0"/>
                <w:numId w:val="0"/>
              </w:numPr>
              <w:ind w:left="0" w:leftChars="0" w:firstLine="0" w:firstLineChars="0"/>
              <w:jc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台</w:t>
            </w:r>
          </w:p>
        </w:tc>
        <w:tc>
          <w:tcPr>
            <w:tcW w:w="529" w:type="dxa"/>
            <w:tcBorders>
              <w:tl2br w:val="nil"/>
              <w:tr2bl w:val="nil"/>
            </w:tcBorders>
            <w:vAlign w:val="center"/>
          </w:tcPr>
          <w:p>
            <w:pPr>
              <w:numPr>
                <w:ilvl w:val="0"/>
                <w:numId w:val="0"/>
              </w:numPr>
              <w:ind w:left="0" w:leftChars="0" w:firstLine="0" w:firstLineChars="0"/>
              <w:jc w:val="center"/>
              <w:rPr>
                <w:rFonts w:hint="eastAsia" w:asciiTheme="majorEastAsia" w:hAnsiTheme="majorEastAsia" w:eastAsiaTheme="majorEastAsia" w:cstheme="majorEastAsia"/>
                <w:i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617" w:type="dxa"/>
            <w:vMerge w:val="continue"/>
            <w:tcBorders>
              <w:tl2br w:val="nil"/>
              <w:tr2bl w:val="nil"/>
            </w:tcBorders>
            <w:vAlign w:val="center"/>
          </w:tcPr>
          <w:p>
            <w:pPr>
              <w:numPr>
                <w:ilvl w:val="0"/>
                <w:numId w:val="0"/>
              </w:numPr>
              <w:ind w:left="0" w:leftChars="0" w:firstLine="0" w:firstLineChars="0"/>
              <w:jc w:val="center"/>
              <w:rPr>
                <w:rFonts w:hint="eastAsia" w:asciiTheme="majorEastAsia" w:hAnsiTheme="majorEastAsia" w:eastAsiaTheme="majorEastAsia" w:cstheme="majorEastAsia"/>
                <w:sz w:val="21"/>
                <w:szCs w:val="21"/>
                <w:vertAlign w:val="baseline"/>
                <w:lang w:val="en-US" w:eastAsia="zh-CN"/>
              </w:rPr>
            </w:pPr>
          </w:p>
        </w:tc>
        <w:tc>
          <w:tcPr>
            <w:tcW w:w="362" w:type="dxa"/>
            <w:tcBorders>
              <w:tl2br w:val="nil"/>
              <w:tr2bl w:val="nil"/>
            </w:tcBorders>
            <w:vAlign w:val="center"/>
          </w:tcPr>
          <w:p>
            <w:pPr>
              <w:numPr>
                <w:ilvl w:val="0"/>
                <w:numId w:val="0"/>
              </w:numPr>
              <w:ind w:left="0" w:leftChars="0" w:firstLine="0" w:firstLineChars="0"/>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vertAlign w:val="baseline"/>
                <w:lang w:val="en-US" w:eastAsia="zh-CN"/>
              </w:rPr>
              <w:t>48口交换机</w:t>
            </w:r>
          </w:p>
        </w:tc>
        <w:tc>
          <w:tcPr>
            <w:tcW w:w="5673" w:type="dxa"/>
            <w:tcBorders>
              <w:tl2br w:val="nil"/>
              <w:tr2bl w:val="nil"/>
            </w:tcBorders>
            <w:vAlign w:val="center"/>
          </w:tcPr>
          <w:p>
            <w:pPr>
              <w:numPr>
                <w:ilvl w:val="0"/>
                <w:numId w:val="0"/>
              </w:numPr>
              <w:ind w:left="0" w:leftChars="0" w:firstLine="0" w:firstLineChars="0"/>
              <w:jc w:val="left"/>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48个10/100/1000Base-T 以太网端口，4个万兆SFP交流供电,包转发率：87Mpps/144Mpps,交换容量：336Gbps/3.36Tbps</w:t>
            </w:r>
          </w:p>
        </w:tc>
        <w:tc>
          <w:tcPr>
            <w:tcW w:w="836" w:type="dxa"/>
            <w:tcBorders>
              <w:tl2br w:val="nil"/>
              <w:tr2bl w:val="nil"/>
            </w:tcBorders>
            <w:vAlign w:val="center"/>
          </w:tcPr>
          <w:p>
            <w:pPr>
              <w:numPr>
                <w:ilvl w:val="0"/>
                <w:numId w:val="0"/>
              </w:numPr>
              <w:ind w:left="0" w:leftChars="0" w:firstLine="0" w:firstLineChars="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w:t>
            </w:r>
          </w:p>
        </w:tc>
        <w:tc>
          <w:tcPr>
            <w:tcW w:w="543" w:type="dxa"/>
            <w:tcBorders>
              <w:tl2br w:val="nil"/>
              <w:tr2bl w:val="nil"/>
            </w:tcBorders>
            <w:vAlign w:val="center"/>
          </w:tcPr>
          <w:p>
            <w:pPr>
              <w:numPr>
                <w:ilvl w:val="0"/>
                <w:numId w:val="0"/>
              </w:numPr>
              <w:ind w:left="0" w:leftChars="0" w:firstLine="0" w:firstLineChars="0"/>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vertAlign w:val="baseline"/>
                <w:lang w:val="en-US" w:eastAsia="zh-CN"/>
              </w:rPr>
              <w:t>台</w:t>
            </w:r>
          </w:p>
        </w:tc>
        <w:tc>
          <w:tcPr>
            <w:tcW w:w="529" w:type="dxa"/>
            <w:tcBorders>
              <w:tl2br w:val="nil"/>
              <w:tr2bl w:val="nil"/>
            </w:tcBorders>
            <w:vAlign w:val="center"/>
          </w:tcPr>
          <w:p>
            <w:pPr>
              <w:numPr>
                <w:ilvl w:val="0"/>
                <w:numId w:val="0"/>
              </w:numPr>
              <w:ind w:left="0" w:leftChars="0" w:firstLine="0" w:firstLineChars="0"/>
              <w:jc w:val="center"/>
              <w:rPr>
                <w:rFonts w:hint="eastAsia" w:asciiTheme="majorEastAsia" w:hAnsiTheme="majorEastAsia" w:eastAsiaTheme="majorEastAsia" w:cstheme="majorEastAsia"/>
                <w:sz w:val="21"/>
                <w:szCs w:val="21"/>
                <w:vertAlign w:val="baseline"/>
                <w:lang w:val="en-US" w:eastAsia="zh-CN"/>
              </w:rPr>
            </w:pPr>
          </w:p>
        </w:tc>
      </w:tr>
    </w:tbl>
    <w:p>
      <w:pPr>
        <w:rPr>
          <w:rFonts w:hint="eastAsia" w:asciiTheme="majorEastAsia" w:hAnsiTheme="majorEastAsia" w:eastAsiaTheme="majorEastAsia" w:cstheme="majorEastAsia"/>
          <w:sz w:val="21"/>
          <w:szCs w:val="21"/>
          <w:lang w:eastAsia="zh-CN"/>
        </w:rPr>
      </w:pPr>
    </w:p>
    <w:p>
      <w:pPr>
        <w:pStyle w:val="2"/>
        <w:numPr>
          <w:ilvl w:val="0"/>
          <w:numId w:val="0"/>
        </w:numPr>
        <w:spacing w:before="156" w:beforeLines="50" w:after="156" w:afterLines="50"/>
        <w:ind w:left="84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等级保护测评参数</w:t>
      </w:r>
    </w:p>
    <w:p>
      <w:pP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一、</w:t>
      </w:r>
      <w:r>
        <w:rPr>
          <w:rFonts w:hint="eastAsia" w:asciiTheme="majorEastAsia" w:hAnsiTheme="majorEastAsia" w:eastAsiaTheme="majorEastAsia" w:cstheme="majorEastAsia"/>
          <w:b/>
          <w:color w:val="000000"/>
          <w:sz w:val="21"/>
          <w:szCs w:val="21"/>
          <w:lang w:eastAsia="zh-CN"/>
        </w:rPr>
        <w:t>项目服务范围</w:t>
      </w:r>
    </w:p>
    <w:p>
      <w:pPr>
        <w:spacing w:line="480" w:lineRule="exact"/>
        <w:ind w:firstLine="420" w:firstLineChars="20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本项目将对2个</w:t>
      </w:r>
      <w:r>
        <w:rPr>
          <w:rFonts w:hint="eastAsia" w:asciiTheme="majorEastAsia" w:hAnsiTheme="majorEastAsia" w:eastAsiaTheme="majorEastAsia" w:cstheme="majorEastAsia"/>
          <w:spacing w:val="-2"/>
          <w:sz w:val="21"/>
          <w:szCs w:val="21"/>
          <w:lang w:eastAsia="zh-CN"/>
        </w:rPr>
        <w:t>信息系统进行进行测评。</w:t>
      </w:r>
    </w:p>
    <w:p>
      <w:pPr>
        <w:spacing w:line="480" w:lineRule="exact"/>
        <w:ind w:firstLine="54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重要信息系统的名称和数量如下表所示。</w:t>
      </w:r>
    </w:p>
    <w:tbl>
      <w:tblPr>
        <w:tblStyle w:val="6"/>
        <w:tblW w:w="8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4782"/>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tblHeader/>
          <w:jc w:val="center"/>
        </w:trPr>
        <w:tc>
          <w:tcPr>
            <w:tcW w:w="1705" w:type="dxa"/>
            <w:vAlign w:val="center"/>
          </w:tcPr>
          <w:p>
            <w:pPr>
              <w:spacing w:line="480" w:lineRule="exact"/>
              <w:jc w:val="center"/>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序号</w:t>
            </w:r>
          </w:p>
        </w:tc>
        <w:tc>
          <w:tcPr>
            <w:tcW w:w="4782" w:type="dxa"/>
            <w:vAlign w:val="center"/>
          </w:tcPr>
          <w:p>
            <w:pPr>
              <w:spacing w:line="480" w:lineRule="exact"/>
              <w:ind w:firstLine="558"/>
              <w:jc w:val="center"/>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信息系统项目名称</w:t>
            </w:r>
          </w:p>
        </w:tc>
        <w:tc>
          <w:tcPr>
            <w:tcW w:w="1871" w:type="dxa"/>
          </w:tcPr>
          <w:p>
            <w:pPr>
              <w:spacing w:line="480" w:lineRule="exact"/>
              <w:ind w:firstLine="558"/>
              <w:jc w:val="center"/>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系统等级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705" w:type="dxa"/>
            <w:vAlign w:val="center"/>
          </w:tcPr>
          <w:p>
            <w:pPr>
              <w:spacing w:line="480" w:lineRule="exact"/>
              <w:jc w:val="center"/>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1</w:t>
            </w:r>
          </w:p>
        </w:tc>
        <w:tc>
          <w:tcPr>
            <w:tcW w:w="4782" w:type="dxa"/>
            <w:vAlign w:val="center"/>
          </w:tcPr>
          <w:p>
            <w:pPr>
              <w:spacing w:line="480" w:lineRule="exact"/>
              <w:jc w:val="center"/>
              <w:rPr>
                <w:rFonts w:hint="eastAsia" w:asciiTheme="majorEastAsia" w:hAnsiTheme="majorEastAsia" w:eastAsiaTheme="majorEastAsia" w:cstheme="majorEastAsia"/>
                <w:spacing w:val="-2"/>
                <w:sz w:val="21"/>
                <w:szCs w:val="21"/>
                <w:lang w:eastAsia="zh-CN"/>
              </w:rPr>
            </w:pPr>
            <w:r>
              <w:rPr>
                <w:rFonts w:hint="eastAsia" w:asciiTheme="majorEastAsia" w:hAnsiTheme="majorEastAsia" w:eastAsiaTheme="majorEastAsia" w:cstheme="majorEastAsia"/>
                <w:spacing w:val="-2"/>
                <w:sz w:val="21"/>
                <w:szCs w:val="21"/>
                <w:lang w:eastAsia="zh-CN"/>
              </w:rPr>
              <w:t>乌恰县人民医院HIS系统</w:t>
            </w:r>
          </w:p>
        </w:tc>
        <w:tc>
          <w:tcPr>
            <w:tcW w:w="1871" w:type="dxa"/>
          </w:tcPr>
          <w:p>
            <w:pPr>
              <w:spacing w:line="480" w:lineRule="exact"/>
              <w:jc w:val="center"/>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705" w:type="dxa"/>
            <w:vAlign w:val="center"/>
          </w:tcPr>
          <w:p>
            <w:pPr>
              <w:spacing w:line="480" w:lineRule="exact"/>
              <w:jc w:val="center"/>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2</w:t>
            </w:r>
          </w:p>
        </w:tc>
        <w:tc>
          <w:tcPr>
            <w:tcW w:w="4782" w:type="dxa"/>
            <w:vAlign w:val="center"/>
          </w:tcPr>
          <w:p>
            <w:pPr>
              <w:spacing w:line="480" w:lineRule="exact"/>
              <w:jc w:val="center"/>
              <w:rPr>
                <w:rFonts w:hint="eastAsia" w:asciiTheme="majorEastAsia" w:hAnsiTheme="majorEastAsia" w:eastAsiaTheme="majorEastAsia" w:cstheme="majorEastAsia"/>
                <w:spacing w:val="-2"/>
                <w:sz w:val="21"/>
                <w:szCs w:val="21"/>
                <w:lang w:eastAsia="zh-CN"/>
              </w:rPr>
            </w:pPr>
            <w:r>
              <w:rPr>
                <w:rFonts w:hint="eastAsia" w:asciiTheme="majorEastAsia" w:hAnsiTheme="majorEastAsia" w:eastAsiaTheme="majorEastAsia" w:cstheme="majorEastAsia"/>
                <w:spacing w:val="-2"/>
                <w:sz w:val="21"/>
                <w:szCs w:val="21"/>
                <w:lang w:eastAsia="zh-CN"/>
              </w:rPr>
              <w:t>乌恰县人民医院电子病历系统</w:t>
            </w:r>
          </w:p>
        </w:tc>
        <w:tc>
          <w:tcPr>
            <w:tcW w:w="1871" w:type="dxa"/>
          </w:tcPr>
          <w:p>
            <w:pPr>
              <w:spacing w:line="480" w:lineRule="exact"/>
              <w:jc w:val="center"/>
              <w:rPr>
                <w:rFonts w:hint="eastAsia" w:asciiTheme="majorEastAsia" w:hAnsiTheme="majorEastAsia" w:eastAsiaTheme="majorEastAsia" w:cstheme="majorEastAsia"/>
                <w:spacing w:val="-2"/>
                <w:sz w:val="21"/>
                <w:szCs w:val="21"/>
                <w:lang w:eastAsia="zh-CN"/>
              </w:rPr>
            </w:pPr>
            <w:r>
              <w:rPr>
                <w:rFonts w:hint="eastAsia" w:asciiTheme="majorEastAsia" w:hAnsiTheme="majorEastAsia" w:eastAsiaTheme="majorEastAsia" w:cstheme="majorEastAsia"/>
                <w:spacing w:val="-2"/>
                <w:sz w:val="21"/>
                <w:szCs w:val="21"/>
                <w:lang w:eastAsia="zh-CN"/>
              </w:rPr>
              <w:t>二</w:t>
            </w:r>
          </w:p>
        </w:tc>
      </w:tr>
    </w:tbl>
    <w:p>
      <w:pPr>
        <w:spacing w:line="360" w:lineRule="auto"/>
        <w:rPr>
          <w:rFonts w:hint="eastAsia" w:asciiTheme="majorEastAsia" w:hAnsiTheme="majorEastAsia" w:eastAsiaTheme="majorEastAsia" w:cstheme="majorEastAsia"/>
          <w:b/>
          <w:color w:val="000000"/>
          <w:sz w:val="21"/>
          <w:szCs w:val="21"/>
          <w:lang w:eastAsia="zh-CN"/>
        </w:rPr>
      </w:pPr>
    </w:p>
    <w:p>
      <w:pPr>
        <w:spacing w:line="360" w:lineRule="auto"/>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lang w:eastAsia="zh-CN"/>
        </w:rPr>
        <w:t>二</w:t>
      </w:r>
      <w:r>
        <w:rPr>
          <w:rFonts w:hint="eastAsia" w:asciiTheme="majorEastAsia" w:hAnsiTheme="majorEastAsia" w:eastAsiaTheme="majorEastAsia" w:cstheme="majorEastAsia"/>
          <w:b/>
          <w:color w:val="000000"/>
          <w:sz w:val="21"/>
          <w:szCs w:val="21"/>
        </w:rPr>
        <w:t>、项目服务内容</w:t>
      </w:r>
    </w:p>
    <w:tbl>
      <w:tblPr>
        <w:tblStyle w:val="6"/>
        <w:tblW w:w="8760" w:type="dxa"/>
        <w:tblInd w:w="0" w:type="dxa"/>
        <w:tblLayout w:type="fixed"/>
        <w:tblCellMar>
          <w:top w:w="15" w:type="dxa"/>
          <w:left w:w="15" w:type="dxa"/>
          <w:bottom w:w="15" w:type="dxa"/>
          <w:right w:w="15" w:type="dxa"/>
        </w:tblCellMar>
      </w:tblPr>
      <w:tblGrid>
        <w:gridCol w:w="1242"/>
        <w:gridCol w:w="7518"/>
      </w:tblGrid>
      <w:tr>
        <w:tblPrEx>
          <w:tblLayout w:type="fixed"/>
          <w:tblCellMar>
            <w:top w:w="15" w:type="dxa"/>
            <w:left w:w="15" w:type="dxa"/>
            <w:bottom w:w="15" w:type="dxa"/>
            <w:right w:w="15" w:type="dxa"/>
          </w:tblCellMar>
        </w:tblPrEx>
        <w:trPr>
          <w:trHeight w:val="49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hint="eastAsia" w:asciiTheme="majorEastAsia" w:hAnsiTheme="majorEastAsia" w:eastAsiaTheme="majorEastAsia" w:cstheme="majorEastAsia"/>
                <w:color w:val="000000"/>
                <w:sz w:val="21"/>
                <w:szCs w:val="21"/>
                <w:lang w:bidi="ar"/>
              </w:rPr>
            </w:pPr>
            <w:r>
              <w:rPr>
                <w:rFonts w:hint="eastAsia" w:asciiTheme="majorEastAsia" w:hAnsiTheme="majorEastAsia" w:eastAsiaTheme="majorEastAsia" w:cstheme="majorEastAsia"/>
                <w:color w:val="000000"/>
                <w:sz w:val="21"/>
                <w:szCs w:val="21"/>
                <w:lang w:bidi="ar"/>
              </w:rPr>
              <w:t>工作阶段</w:t>
            </w:r>
          </w:p>
        </w:tc>
        <w:tc>
          <w:tcPr>
            <w:tcW w:w="75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hint="eastAsia" w:asciiTheme="majorEastAsia" w:hAnsiTheme="majorEastAsia" w:eastAsiaTheme="majorEastAsia" w:cstheme="majorEastAsia"/>
                <w:color w:val="000000"/>
                <w:sz w:val="21"/>
                <w:szCs w:val="21"/>
                <w:lang w:bidi="ar"/>
              </w:rPr>
            </w:pPr>
            <w:r>
              <w:rPr>
                <w:rFonts w:hint="eastAsia" w:asciiTheme="majorEastAsia" w:hAnsiTheme="majorEastAsia" w:eastAsiaTheme="majorEastAsia" w:cstheme="majorEastAsia"/>
                <w:color w:val="000000"/>
                <w:sz w:val="21"/>
                <w:szCs w:val="21"/>
                <w:lang w:bidi="ar"/>
              </w:rPr>
              <w:t>具体内容</w:t>
            </w:r>
          </w:p>
        </w:tc>
      </w:tr>
      <w:tr>
        <w:tblPrEx>
          <w:tblLayout w:type="fixed"/>
          <w:tblCellMar>
            <w:top w:w="15" w:type="dxa"/>
            <w:left w:w="15" w:type="dxa"/>
            <w:bottom w:w="15" w:type="dxa"/>
            <w:right w:w="15" w:type="dxa"/>
          </w:tblCellMar>
        </w:tblPrEx>
        <w:trPr>
          <w:trHeight w:val="48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Theme="majorEastAsia" w:hAnsiTheme="majorEastAsia" w:eastAsiaTheme="majorEastAsia" w:cstheme="majorEastAsia"/>
                <w:color w:val="000000"/>
                <w:sz w:val="21"/>
                <w:szCs w:val="21"/>
                <w:lang w:bidi="ar"/>
              </w:rPr>
            </w:pPr>
            <w:r>
              <w:rPr>
                <w:rFonts w:hint="eastAsia" w:asciiTheme="majorEastAsia" w:hAnsiTheme="majorEastAsia" w:eastAsiaTheme="majorEastAsia" w:cstheme="majorEastAsia"/>
                <w:color w:val="000000"/>
                <w:sz w:val="21"/>
                <w:szCs w:val="21"/>
                <w:lang w:bidi="ar"/>
              </w:rPr>
              <w:t>安全整改</w:t>
            </w:r>
          </w:p>
          <w:p>
            <w:pPr>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bidi="ar"/>
              </w:rPr>
              <w:t>方案设计</w:t>
            </w:r>
          </w:p>
        </w:tc>
        <w:tc>
          <w:tcPr>
            <w:tcW w:w="7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bidi="ar"/>
              </w:rPr>
              <w:t>安全管理设计：根据《信息系统等级保护测评报告》，对信息安全保障中各种制度、规章以及相关制度规章的落实，进行细致的规划设计；</w:t>
            </w:r>
            <w:r>
              <w:rPr>
                <w:rFonts w:hint="eastAsia" w:asciiTheme="majorEastAsia" w:hAnsiTheme="majorEastAsia" w:eastAsiaTheme="majorEastAsia" w:cstheme="majorEastAsia"/>
                <w:color w:val="000000"/>
                <w:sz w:val="21"/>
                <w:szCs w:val="21"/>
                <w:lang w:eastAsia="zh-CN" w:bidi="ar"/>
              </w:rPr>
              <w:br w:type="textWrapping"/>
            </w:r>
            <w:r>
              <w:rPr>
                <w:rFonts w:hint="eastAsia" w:asciiTheme="majorEastAsia" w:hAnsiTheme="majorEastAsia" w:eastAsiaTheme="majorEastAsia" w:cstheme="majorEastAsia"/>
                <w:color w:val="000000"/>
                <w:sz w:val="21"/>
                <w:szCs w:val="21"/>
                <w:lang w:eastAsia="zh-CN" w:bidi="ar"/>
              </w:rPr>
              <w:t>安全技术设计：根据《信息系统等级保护测评报告》，从物理安全、网络安全、主机安全、应用安全、数据安全五个方面，对机房物理环境、网络结构、策略配置、工具评估结果等详细分析，根据分析结果设计安全技术方案，通过对现状的设计规划，完成《信息系统安全整改建设方案》。</w:t>
            </w:r>
          </w:p>
        </w:tc>
      </w:tr>
      <w:tr>
        <w:tblPrEx>
          <w:tblLayout w:type="fixed"/>
          <w:tblCellMar>
            <w:top w:w="15" w:type="dxa"/>
            <w:left w:w="15" w:type="dxa"/>
            <w:bottom w:w="15" w:type="dxa"/>
            <w:right w:w="15" w:type="dxa"/>
          </w:tblCellMar>
        </w:tblPrEx>
        <w:trPr>
          <w:trHeight w:val="480"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bidi="ar"/>
              </w:rPr>
              <w:t>等级测评</w:t>
            </w:r>
          </w:p>
        </w:tc>
        <w:tc>
          <w:tcPr>
            <w:tcW w:w="7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bidi="ar"/>
              </w:rPr>
              <w:t>由测评机构开展等级测评工作。包含现场正式测评工作、渗透测试、配置审计、远程扫描等，并出具《信息系统安全等级测评报告》。</w:t>
            </w:r>
          </w:p>
        </w:tc>
      </w:tr>
      <w:tr>
        <w:tblPrEx>
          <w:tblLayout w:type="fixed"/>
          <w:tblCellMar>
            <w:top w:w="15" w:type="dxa"/>
            <w:left w:w="15" w:type="dxa"/>
            <w:bottom w:w="15" w:type="dxa"/>
            <w:right w:w="15"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1"/>
                <w:szCs w:val="21"/>
                <w:lang w:eastAsia="zh-CN"/>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bidi="ar"/>
              </w:rPr>
              <w:t>测评范围：物理环境、网络设备、安全设备、服务器、终端、数据库、业务系统、安全管理机构、人员安全管理、安全管理制度、系统建设、系统运维。</w:t>
            </w:r>
          </w:p>
        </w:tc>
      </w:tr>
      <w:tr>
        <w:tblPrEx>
          <w:tblLayout w:type="fixed"/>
          <w:tblCellMar>
            <w:top w:w="15" w:type="dxa"/>
            <w:left w:w="15" w:type="dxa"/>
            <w:bottom w:w="15" w:type="dxa"/>
            <w:right w:w="15"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1"/>
                <w:szCs w:val="21"/>
                <w:lang w:eastAsia="zh-CN"/>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bidi="ar"/>
              </w:rPr>
              <w:t>工具测试：通过工具扫描测评范围内的系统及网络，进行渗透测试、安全配置审计、脆弱性扫描，发现安全风险、漏洞和威胁。</w:t>
            </w:r>
          </w:p>
        </w:tc>
      </w:tr>
      <w:tr>
        <w:tblPrEx>
          <w:tblLayout w:type="fixed"/>
          <w:tblCellMar>
            <w:top w:w="15" w:type="dxa"/>
            <w:left w:w="15" w:type="dxa"/>
            <w:bottom w:w="15" w:type="dxa"/>
            <w:right w:w="15" w:type="dxa"/>
          </w:tblCellMar>
        </w:tblPrEx>
        <w:trPr>
          <w:trHeight w:val="285"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1"/>
                <w:szCs w:val="21"/>
                <w:lang w:eastAsia="zh-CN"/>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bidi="ar"/>
              </w:rPr>
              <w:t>人工检查：机房物理设施、网络设备、安全设备、服务器、终端、业务系统的安全策略及其日志分析。</w:t>
            </w:r>
          </w:p>
        </w:tc>
      </w:tr>
      <w:tr>
        <w:tblPrEx>
          <w:tblLayout w:type="fixed"/>
          <w:tblCellMar>
            <w:top w:w="15" w:type="dxa"/>
            <w:left w:w="15" w:type="dxa"/>
            <w:bottom w:w="15" w:type="dxa"/>
            <w:right w:w="15" w:type="dxa"/>
          </w:tblCellMar>
        </w:tblPrEx>
        <w:trPr>
          <w:trHeight w:val="72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1"/>
                <w:szCs w:val="21"/>
                <w:lang w:eastAsia="zh-CN"/>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bidi="ar"/>
              </w:rPr>
              <w:t>网络构架分析：网络安全规划、设备命名规范性、网络架构安全性。网络设备和链路冗余、设备选型及可扩展性。网络设备的ACL、防火墙SNMP、口令、设备版本、系统漏洞、服务、端口等。</w:t>
            </w:r>
          </w:p>
        </w:tc>
      </w:tr>
      <w:tr>
        <w:tblPrEx>
          <w:tblLayout w:type="fixed"/>
          <w:tblCellMar>
            <w:top w:w="15" w:type="dxa"/>
            <w:left w:w="15" w:type="dxa"/>
            <w:bottom w:w="15" w:type="dxa"/>
            <w:right w:w="15"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1"/>
                <w:szCs w:val="21"/>
                <w:lang w:eastAsia="zh-CN"/>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bidi="ar"/>
              </w:rPr>
              <w:t>问卷调查：对管理人员、维护人员、业务人员进行问卷调查，问卷涉及威胁与管理脆弱性两个方面。</w:t>
            </w:r>
          </w:p>
        </w:tc>
      </w:tr>
      <w:tr>
        <w:tblPrEx>
          <w:tblLayout w:type="fixed"/>
          <w:tblCellMar>
            <w:top w:w="15" w:type="dxa"/>
            <w:left w:w="15" w:type="dxa"/>
            <w:bottom w:w="15" w:type="dxa"/>
            <w:right w:w="15"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1"/>
                <w:szCs w:val="21"/>
                <w:lang w:eastAsia="zh-CN"/>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bidi="ar"/>
              </w:rPr>
              <w:t>应用系统调研：通过人工安全检查了解目前应用系统本身的安全性内容，了解前期信息安全建设中的安全思想是否能够准确的表达与使用。</w:t>
            </w:r>
          </w:p>
        </w:tc>
      </w:tr>
      <w:tr>
        <w:tblPrEx>
          <w:tblLayout w:type="fixed"/>
          <w:tblCellMar>
            <w:top w:w="15" w:type="dxa"/>
            <w:left w:w="15" w:type="dxa"/>
            <w:bottom w:w="15" w:type="dxa"/>
            <w:right w:w="15"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1"/>
                <w:szCs w:val="21"/>
                <w:lang w:eastAsia="zh-CN"/>
              </w:rPr>
            </w:pPr>
          </w:p>
        </w:tc>
        <w:tc>
          <w:tcPr>
            <w:tcW w:w="7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bidi="ar"/>
              </w:rPr>
              <w:t>顾问访谈：了解各个层次的人员，了解目前网络中技术的缺陷、管理体系的缺陷。对制度的执行情况进行更为细致的了解和评定。</w:t>
            </w:r>
          </w:p>
        </w:tc>
      </w:tr>
      <w:tr>
        <w:tblPrEx>
          <w:tblLayout w:type="fixed"/>
          <w:tblCellMar>
            <w:top w:w="15" w:type="dxa"/>
            <w:left w:w="15" w:type="dxa"/>
            <w:bottom w:w="15" w:type="dxa"/>
            <w:right w:w="15" w:type="dxa"/>
          </w:tblCellMar>
        </w:tblPrEx>
        <w:trPr>
          <w:trHeight w:val="48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安全培训</w:t>
            </w:r>
          </w:p>
        </w:tc>
        <w:tc>
          <w:tcPr>
            <w:tcW w:w="7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color w:val="000000"/>
                <w:sz w:val="21"/>
                <w:szCs w:val="21"/>
                <w:lang w:eastAsia="zh-CN" w:bidi="ar"/>
              </w:rPr>
            </w:pPr>
            <w:r>
              <w:rPr>
                <w:rFonts w:hint="eastAsia" w:asciiTheme="majorEastAsia" w:hAnsiTheme="majorEastAsia" w:eastAsiaTheme="majorEastAsia" w:cstheme="majorEastAsia"/>
                <w:color w:val="000000"/>
                <w:sz w:val="21"/>
                <w:szCs w:val="21"/>
                <w:lang w:eastAsia="zh-CN"/>
              </w:rPr>
              <w:t>网络安全知识培训、信息安全等级保护技术培训、网络攻防技术培训。</w:t>
            </w:r>
          </w:p>
        </w:tc>
      </w:tr>
    </w:tbl>
    <w:p>
      <w:pPr>
        <w:spacing w:line="480" w:lineRule="exact"/>
        <w:ind w:firstLine="56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依据国家相关信息安全标准和规范，严格遵循《信息安全技术信息系统安全等级保护测评要求》和《信息安全技术信息系统安全等级保护测评过程指南》文件，根据本项目信息系统已完成的定级备案安全等级，开展相应级别的安全等级测评工作，测评工作包括技术测评和管理测评两部分，分别为：</w:t>
      </w:r>
    </w:p>
    <w:p>
      <w:pPr>
        <w:spacing w:line="480" w:lineRule="exact"/>
        <w:ind w:firstLine="422" w:firstLineChars="200"/>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lang w:eastAsia="zh-CN"/>
        </w:rPr>
        <w:t xml:space="preserve">1、技术测评 </w:t>
      </w:r>
    </w:p>
    <w:p>
      <w:pPr>
        <w:spacing w:line="480" w:lineRule="exact"/>
        <w:ind w:firstLine="56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1.1物理安全：物理位置的选择、物理访问控制、防盗窃和防破坏、防雷击、防火、防水和防潮、防静电、温湿度控制、电力供应、电磁防护。</w:t>
      </w:r>
    </w:p>
    <w:p>
      <w:pPr>
        <w:spacing w:line="480" w:lineRule="exact"/>
        <w:ind w:firstLine="56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1.2网络安全：网络安全测评通过访谈、检查和测试的方式评测信息系统的网络安全保障情况。主要涉及对象为信息系统的网络拓扑结构、网络设备以及网络安全设备等三大类，具体的测评内容如下所示：结构安全、访问控制、安全审计、边界完整性检查、入侵防范、恶意代码防范、网络设备防护。</w:t>
      </w:r>
    </w:p>
    <w:p>
      <w:pPr>
        <w:spacing w:line="480" w:lineRule="exact"/>
        <w:ind w:firstLine="56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1.3主机安全：主机系统安全测评通过访谈、检查和测试的方式，测评信息系统主要服务器操作系统和主要数据库管理系统安全保障情况。具体测评内容包括：身份鉴别、访问控制、安全审计、剩余信息保护、入侵防范、恶意代码防范、资源控制。</w:t>
      </w:r>
    </w:p>
    <w:p>
      <w:pPr>
        <w:spacing w:line="480" w:lineRule="exact"/>
        <w:ind w:firstLine="56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1.4应用安全：应用安全测评通过访谈、检查和测试的方式评测生产系统的应用安全保障情况。主要涉及的对象为应用软件系统，具体测评内容包括：身份鉴别、访问控制、安全审计、剩余信息保护、通信完整性、通信保密性、抗抵赖、软件容错、资源控制。</w:t>
      </w:r>
    </w:p>
    <w:p>
      <w:pPr>
        <w:spacing w:line="480" w:lineRule="exact"/>
        <w:ind w:firstLine="56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1.5数据安全：数据安全测评通过访谈和检查的方式评估生产系统的数据安全保障情况。重点检测信息系统的数据在采集、传输、处理和存储过程中的安全，以及数据备份恢复的安全。具体测评内容包括：数据完整性、数据保密性、备份和恢复。</w:t>
      </w:r>
    </w:p>
    <w:p>
      <w:pPr>
        <w:spacing w:line="480" w:lineRule="exact"/>
        <w:ind w:firstLine="422" w:firstLineChars="200"/>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sz w:val="21"/>
          <w:szCs w:val="21"/>
          <w:lang w:eastAsia="zh-CN"/>
        </w:rPr>
        <w:t>2</w:t>
      </w:r>
      <w:r>
        <w:rPr>
          <w:rFonts w:hint="eastAsia" w:asciiTheme="majorEastAsia" w:hAnsiTheme="majorEastAsia" w:eastAsiaTheme="majorEastAsia" w:cstheme="majorEastAsia"/>
          <w:b/>
          <w:bCs/>
          <w:sz w:val="21"/>
          <w:szCs w:val="21"/>
          <w:lang w:eastAsia="zh-CN"/>
        </w:rPr>
        <w:t>管理测评</w:t>
      </w:r>
    </w:p>
    <w:p>
      <w:pPr>
        <w:spacing w:line="480" w:lineRule="exact"/>
        <w:ind w:firstLine="420" w:firstLineChars="20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2.1安全管理制度：安全管理制度测评通过访谈和检查的形式评估安全管理制度的制定、发布、评审和修订等情况。主要涉及的对象为安全主管人员、安全管理人员、其他人员、管理制度、操作规程文件等，具体测评内容包括：管理制度、制定和发布、评审和修订。</w:t>
      </w:r>
    </w:p>
    <w:p>
      <w:pPr>
        <w:spacing w:line="480" w:lineRule="exact"/>
        <w:ind w:firstLine="56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2.2安全管理机构：安全管理机构测评通过访谈和检查的形式评估安全管理机构的组成情况和机构工作组织情况。主要涉及的对象为安全主管人员、安全管理人员、相关的文件资料和工作记录等，具体测评内容包括：岗位设置、人员配备、授权和审批、沟通和合作、审核和检查。</w:t>
      </w:r>
    </w:p>
    <w:p>
      <w:pPr>
        <w:spacing w:line="480" w:lineRule="exact"/>
        <w:ind w:firstLine="56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2.3人员安全管理：人员安全管理测评通过访谈和检查的形式评估机构人员安全控制方面的情况。主要涉及对象为安全主管人员、人事管理人员、相关管理制度、相关工作记录等，具体测评内容包括：人员录用、人员离岗、人员考核、安全意识教育和培训、外部人员访问管理。</w:t>
      </w:r>
    </w:p>
    <w:p>
      <w:pPr>
        <w:spacing w:line="480" w:lineRule="exact"/>
        <w:ind w:firstLine="56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2.4系统建设管理：系统建设管理测评通过访谈和检查的形式评估系统建设管理过程中的安全控制情况。主要涉及对象为安全主管人员、系统建设负责人、管理制度、操作规程文件、执行过程记录等，具体测评内容包括：系统定级、安全方案设计、采购和使用、自行软件开发、外包软件开发、工程实施、测试验收、系统交付、系统备案、等级测评、安全服务商选择。</w:t>
      </w:r>
    </w:p>
    <w:p>
      <w:pPr>
        <w:spacing w:line="480" w:lineRule="exact"/>
        <w:ind w:firstLine="56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2.5系统运维管理：通过访谈和检查的形式评测系统运维管理过程中的安全控制情况。主要涉及人员有安全主管人员、安全管理人员、运维人员，涉及内容有运维管理制度、运维服务团队的管理制度、操作规程文件、执行过程记录等。具体测评内容包括：环境管理、资产管理、介质管理、设备管理、监控管理和安全管理中心、网络安全管理、系统安全管理、恶意代码防范管理、密码管理、变更管理、备份与恢复管理、安全事件处置、应急预案管理。</w:t>
      </w:r>
    </w:p>
    <w:p>
      <w:pPr>
        <w:spacing w:line="480" w:lineRule="exact"/>
        <w:ind w:firstLine="56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根据以上10个层面的现场测评结果出具相应的单项和整体测评报告，测评报告需得到项目单位的确认，并报请省公安厅主管部门审核、批复。测评报告编制的内容及格式严格遵照《信息安全等级保护测评报告模版（2015年版）》公信安[2014]2866号进行。</w:t>
      </w:r>
    </w:p>
    <w:p>
      <w:pPr>
        <w:spacing w:line="480" w:lineRule="exact"/>
        <w:ind w:firstLine="422" w:firstLineChars="200"/>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lang w:eastAsia="zh-CN"/>
        </w:rPr>
        <w:t>3等级保护测评培训</w:t>
      </w:r>
    </w:p>
    <w:p>
      <w:pPr>
        <w:pStyle w:val="3"/>
        <w:spacing w:line="480" w:lineRule="exact"/>
        <w:ind w:firstLine="392" w:firstLineChars="187"/>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3.1测评机构必须提供本项目所需的现场培训。</w:t>
      </w:r>
    </w:p>
    <w:p>
      <w:pPr>
        <w:pStyle w:val="3"/>
        <w:spacing w:line="480" w:lineRule="exact"/>
        <w:ind w:firstLine="392" w:firstLineChars="187"/>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3.2培训目的：使招标人人员熟悉国家对信息安全等级保护相应法律法规；使甲方人员熟悉信息安全等级保护测评的方法。</w:t>
      </w:r>
    </w:p>
    <w:p>
      <w:pPr>
        <w:pStyle w:val="3"/>
        <w:spacing w:line="480" w:lineRule="exact"/>
        <w:ind w:firstLine="392" w:firstLineChars="187"/>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3.3培训内容：信息安全等级保护法律法规；信息安全等级保护测评方法。</w:t>
      </w:r>
    </w:p>
    <w:p>
      <w:pPr>
        <w:pStyle w:val="3"/>
        <w:spacing w:line="480" w:lineRule="exact"/>
        <w:ind w:firstLine="392" w:firstLineChars="187"/>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3.4培训对象：招标人信息系统使用及安全管理人员。</w:t>
      </w:r>
    </w:p>
    <w:p>
      <w:pPr>
        <w:pStyle w:val="3"/>
        <w:spacing w:line="480" w:lineRule="exact"/>
        <w:ind w:firstLine="392" w:firstLineChars="187"/>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3.5培训教师：培训教师须具备相关专业认证资质与丰富经验。</w:t>
      </w:r>
    </w:p>
    <w:p>
      <w:pPr>
        <w:pStyle w:val="3"/>
        <w:spacing w:line="480" w:lineRule="exact"/>
        <w:ind w:firstLine="392" w:firstLineChars="187"/>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3.6培训人数：现场培训人数根据甲方需求确定。</w:t>
      </w:r>
    </w:p>
    <w:p>
      <w:pPr>
        <w:pStyle w:val="3"/>
        <w:spacing w:line="480" w:lineRule="exact"/>
        <w:ind w:firstLine="392" w:firstLineChars="187"/>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3.7培训天数：根据招标人需求确定。</w:t>
      </w:r>
    </w:p>
    <w:p>
      <w:pPr>
        <w:rPr>
          <w:rFonts w:hint="eastAsia" w:asciiTheme="majorEastAsia" w:hAnsiTheme="majorEastAsia" w:eastAsiaTheme="majorEastAsia" w:cstheme="maj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GulimChe">
    <w:panose1 w:val="020B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E8B"/>
    <w:multiLevelType w:val="multilevel"/>
    <w:tmpl w:val="05357E8B"/>
    <w:lvl w:ilvl="0" w:tentative="0">
      <w:start w:val="1"/>
      <w:numFmt w:val="bullet"/>
      <w:lvlText w:val=""/>
      <w:lvlJc w:val="left"/>
      <w:pPr>
        <w:ind w:left="840" w:hanging="420"/>
      </w:pPr>
      <w:rPr>
        <w:rFonts w:hint="default" w:ascii="Wingdings" w:hAnsi="Wingdings"/>
      </w:rPr>
    </w:lvl>
    <w:lvl w:ilvl="1" w:tentative="0">
      <w:start w:val="1"/>
      <w:numFmt w:val="bullet"/>
      <w:pStyle w:val="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E05171F"/>
    <w:multiLevelType w:val="multilevel"/>
    <w:tmpl w:val="3E05171F"/>
    <w:lvl w:ilvl="0" w:tentative="0">
      <w:start w:val="1"/>
      <w:numFmt w:val="bullet"/>
      <w:lvlText w:val=""/>
      <w:lvlJc w:val="left"/>
      <w:pPr>
        <w:tabs>
          <w:tab w:val="left" w:pos="420"/>
        </w:tabs>
        <w:ind w:left="420" w:hanging="420"/>
      </w:pPr>
      <w:rPr>
        <w:rFonts w:hint="default" w:ascii="Wingdings" w:hAnsi="Wingdings"/>
        <w:color w:val="33CCCC"/>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5D25427"/>
    <w:multiLevelType w:val="multilevel"/>
    <w:tmpl w:val="75D25427"/>
    <w:lvl w:ilvl="0" w:tentative="0">
      <w:start w:val="1"/>
      <w:numFmt w:val="bullet"/>
      <w:lvlText w:val=""/>
      <w:lvlJc w:val="left"/>
      <w:pPr>
        <w:tabs>
          <w:tab w:val="left" w:pos="420"/>
        </w:tabs>
        <w:ind w:left="420" w:hanging="420"/>
      </w:pPr>
      <w:rPr>
        <w:rFonts w:hint="default" w:ascii="Wingdings" w:hAnsi="Wingdings"/>
        <w:color w:val="33CCCC"/>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B5114"/>
    <w:rsid w:val="52601674"/>
    <w:rsid w:val="6439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widowControl w:val="0"/>
      <w:numPr>
        <w:ilvl w:val="1"/>
        <w:numId w:val="1"/>
      </w:numPr>
      <w:jc w:val="both"/>
      <w:outlineLvl w:val="1"/>
    </w:pPr>
    <w:rPr>
      <w:rFonts w:asciiTheme="majorHAnsi" w:hAnsiTheme="majorHAnsi" w:eastAsiaTheme="majorEastAsia" w:cstheme="majorBidi"/>
      <w:b/>
      <w:bCs/>
      <w:kern w:val="2"/>
      <w:sz w:val="28"/>
      <w:szCs w:val="32"/>
      <w:lang w:eastAsia="zh-CN"/>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Indent"/>
    <w:basedOn w:val="1"/>
    <w:qFormat/>
    <w:uiPriority w:val="99"/>
    <w:pPr>
      <w:widowControl w:val="0"/>
      <w:ind w:firstLine="420" w:firstLineChars="200"/>
      <w:jc w:val="both"/>
    </w:pPr>
    <w:rPr>
      <w:rFonts w:eastAsia="宋体"/>
      <w:kern w:val="2"/>
      <w:sz w:val="21"/>
      <w:szCs w:val="20"/>
      <w:lang w:eastAsia="zh-CN"/>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paragraph" w:customStyle="1" w:styleId="10">
    <w:name w:val="文件抬头"/>
    <w:qFormat/>
    <w:uiPriority w:val="0"/>
    <w:pPr>
      <w:widowControl w:val="0"/>
      <w:jc w:val="both"/>
    </w:pPr>
    <w:rPr>
      <w:rFonts w:ascii="Calibri" w:hAnsi="Calibri" w:eastAsia="仿宋_GB2312"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贰捌肆贰</cp:lastModifiedBy>
  <dcterms:modified xsi:type="dcterms:W3CDTF">2019-05-12T03:50:56Z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