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乌恰县文广局健身器材及全民健身中心健身器材维修采购项目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center"/>
        <w:textAlignment w:val="auto"/>
        <w:outlineLvl w:val="9"/>
        <w:rPr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成交结果公示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新疆信实工程招标咨询服务有限公司对下列货物进行询价采购招标，现将成交结果公示如下：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招标编号：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WQZFCG(ZB)-2019-</w:t>
      </w: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230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leftChars="0" w:right="0" w:firstLine="560" w:firstLine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项目名称：乌恰县文广局健身器材及全民健身中心健身器材维修采购项目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560" w:leftChars="0"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三、招标单位名称： 乌恰县文化体育广播电视和旅游局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四、代理机构名称：新疆信实工程招标咨询服务有限公司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五、开标时间：2020年1月18日上午11时00分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六、经评标小组评定，成交结果如下：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全一包：新疆嘉美永盛商贸有限公司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成交金额：299850.00元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  <w:rPr>
          <w:color w:val="auto"/>
          <w:spacing w:val="-11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七、</w:t>
      </w:r>
      <w:r>
        <w:rPr>
          <w:rFonts w:hint="eastAsia" w:ascii="宋体" w:hAnsi="宋体" w:eastAsia="宋体" w:cs="宋体"/>
          <w:spacing w:val="-11"/>
          <w:kern w:val="0"/>
          <w:sz w:val="28"/>
          <w:szCs w:val="28"/>
          <w:lang w:val="en-US" w:eastAsia="zh-CN" w:bidi="ar"/>
        </w:rPr>
        <w:t>评标委员会成员：李国栋、盛晓武、苟金龙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八、收费标准：成交单位在领取本采购项目成交通知书时，按照《国家计委关于印发招标代理服务收费管理暂行办法的通知（计价格[2002]1980号）中规定收费基准支付代理费及《招标代理服务收费有关问题》（发改办价格[2003]857号文）中规定收取代理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招标代理服务收费标准( 费 率)</w:t>
      </w:r>
    </w:p>
    <w:tbl>
      <w:tblPr>
        <w:tblStyle w:val="9"/>
        <w:tblW w:w="8280" w:type="dxa"/>
        <w:tblInd w:w="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9"/>
        <w:gridCol w:w="1349"/>
        <w:gridCol w:w="1620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3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成交金额（万元）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货物招标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服务招标</w:t>
            </w:r>
          </w:p>
        </w:tc>
        <w:tc>
          <w:tcPr>
            <w:tcW w:w="1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工程招标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100以下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1.5％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1.5％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1.0％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100—500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1.1％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0.8％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0.7％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500—1000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0.8％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0.45％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0.55％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1000—5000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0.5％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0.25％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0.35％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5000—10000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0.25％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0.1％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0.2％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10000——100000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0.05％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0.05％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1000000以上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0.01％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0.01％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0" w:afterAutospacing="0" w:line="30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0.01％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1、按本表费率计算的收费为招标代理服务全过程的收费基准价格，单独提供编制招标文件（有标底的含标底）服务的，可按规定标准的30％计收。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2、招标代理服务收费按差额定率累进法计算。例如：某项目招标代理业务成交金额为2000万元，计算招标代理服务收费额如下：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100万元×1.50%=1.5（万元）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561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（500-100）万元×1.10%=4.4（万元）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561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（1000-500）万元×0.80%=4.0（万元）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561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（2000-1000）万元×0.50%=5.0（万元）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561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合计收费=1.5+4.4+4.0+5.0=14.9(万元)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本项目代理费：4490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  <w:rPr>
          <w:rFonts w:hint="default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九、代理机构地址：新疆阿图什市迎宾路45号3楼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 w:firstLine="56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十、招标项目联系人：胡畔   联系电话：15619369792</w:t>
      </w:r>
    </w:p>
    <w:sectPr>
      <w:headerReference r:id="rId3" w:type="default"/>
      <w:pgSz w:w="11906" w:h="16838"/>
      <w:pgMar w:top="1531" w:right="1531" w:bottom="1701" w:left="153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63BAB"/>
    <w:multiLevelType w:val="singleLevel"/>
    <w:tmpl w:val="BDB63B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449"/>
    <w:rsid w:val="00062619"/>
    <w:rsid w:val="00071F9A"/>
    <w:rsid w:val="00096583"/>
    <w:rsid w:val="000E42B2"/>
    <w:rsid w:val="001033BE"/>
    <w:rsid w:val="00127BF9"/>
    <w:rsid w:val="001828CF"/>
    <w:rsid w:val="001A236B"/>
    <w:rsid w:val="001C6445"/>
    <w:rsid w:val="001D3ADD"/>
    <w:rsid w:val="001E7342"/>
    <w:rsid w:val="002543F1"/>
    <w:rsid w:val="00323B43"/>
    <w:rsid w:val="003471E4"/>
    <w:rsid w:val="00354444"/>
    <w:rsid w:val="003D37D8"/>
    <w:rsid w:val="004051F8"/>
    <w:rsid w:val="00426133"/>
    <w:rsid w:val="004358AB"/>
    <w:rsid w:val="004513B6"/>
    <w:rsid w:val="00504422"/>
    <w:rsid w:val="00525972"/>
    <w:rsid w:val="00580430"/>
    <w:rsid w:val="005B7469"/>
    <w:rsid w:val="005F4EF6"/>
    <w:rsid w:val="005F6ABF"/>
    <w:rsid w:val="006040B1"/>
    <w:rsid w:val="00635C44"/>
    <w:rsid w:val="00663B57"/>
    <w:rsid w:val="0067669F"/>
    <w:rsid w:val="00762244"/>
    <w:rsid w:val="00776C3F"/>
    <w:rsid w:val="007945B3"/>
    <w:rsid w:val="00795629"/>
    <w:rsid w:val="007A3584"/>
    <w:rsid w:val="007A36A6"/>
    <w:rsid w:val="007C4DC4"/>
    <w:rsid w:val="007D3DE5"/>
    <w:rsid w:val="00830702"/>
    <w:rsid w:val="00853643"/>
    <w:rsid w:val="008B7726"/>
    <w:rsid w:val="008C4100"/>
    <w:rsid w:val="008F485E"/>
    <w:rsid w:val="008F4D24"/>
    <w:rsid w:val="00986181"/>
    <w:rsid w:val="00A06A7A"/>
    <w:rsid w:val="00A104D4"/>
    <w:rsid w:val="00A26F87"/>
    <w:rsid w:val="00A457B7"/>
    <w:rsid w:val="00A4773D"/>
    <w:rsid w:val="00B42E78"/>
    <w:rsid w:val="00B67563"/>
    <w:rsid w:val="00B80960"/>
    <w:rsid w:val="00B87733"/>
    <w:rsid w:val="00B87F60"/>
    <w:rsid w:val="00BB0D66"/>
    <w:rsid w:val="00BC0702"/>
    <w:rsid w:val="00C12703"/>
    <w:rsid w:val="00C55669"/>
    <w:rsid w:val="00CD00D2"/>
    <w:rsid w:val="00CF4A39"/>
    <w:rsid w:val="00D1449C"/>
    <w:rsid w:val="00D31D50"/>
    <w:rsid w:val="00D74541"/>
    <w:rsid w:val="00E13892"/>
    <w:rsid w:val="00E876C1"/>
    <w:rsid w:val="00EE596B"/>
    <w:rsid w:val="00F06222"/>
    <w:rsid w:val="00F40D06"/>
    <w:rsid w:val="00F722C5"/>
    <w:rsid w:val="00F77862"/>
    <w:rsid w:val="00FB7779"/>
    <w:rsid w:val="02337871"/>
    <w:rsid w:val="023A2B56"/>
    <w:rsid w:val="02990FD0"/>
    <w:rsid w:val="02B77628"/>
    <w:rsid w:val="03002B3B"/>
    <w:rsid w:val="0338478C"/>
    <w:rsid w:val="04D87FBA"/>
    <w:rsid w:val="052054F7"/>
    <w:rsid w:val="05AA6B49"/>
    <w:rsid w:val="05C173FC"/>
    <w:rsid w:val="073B30B9"/>
    <w:rsid w:val="08276017"/>
    <w:rsid w:val="0E01213F"/>
    <w:rsid w:val="0E294D03"/>
    <w:rsid w:val="0FD33608"/>
    <w:rsid w:val="125D6EFF"/>
    <w:rsid w:val="12B34DF6"/>
    <w:rsid w:val="138371A2"/>
    <w:rsid w:val="145426E6"/>
    <w:rsid w:val="14C678DC"/>
    <w:rsid w:val="1559652B"/>
    <w:rsid w:val="16256E5B"/>
    <w:rsid w:val="195713E8"/>
    <w:rsid w:val="1A044139"/>
    <w:rsid w:val="1A0B411E"/>
    <w:rsid w:val="1A3E181D"/>
    <w:rsid w:val="1B6311F5"/>
    <w:rsid w:val="1C130F8C"/>
    <w:rsid w:val="1C4E11FC"/>
    <w:rsid w:val="1E111513"/>
    <w:rsid w:val="20870D0C"/>
    <w:rsid w:val="214F08BA"/>
    <w:rsid w:val="21985EFA"/>
    <w:rsid w:val="224C3750"/>
    <w:rsid w:val="23C107C8"/>
    <w:rsid w:val="245D77C6"/>
    <w:rsid w:val="2671120A"/>
    <w:rsid w:val="28901CBC"/>
    <w:rsid w:val="28A377BA"/>
    <w:rsid w:val="28FA014C"/>
    <w:rsid w:val="2ACC1C5C"/>
    <w:rsid w:val="2B8614C4"/>
    <w:rsid w:val="2BD9645A"/>
    <w:rsid w:val="2C6922ED"/>
    <w:rsid w:val="2E27133B"/>
    <w:rsid w:val="2E9A067D"/>
    <w:rsid w:val="2FBA007E"/>
    <w:rsid w:val="30CB701E"/>
    <w:rsid w:val="3102310B"/>
    <w:rsid w:val="325C571B"/>
    <w:rsid w:val="33355A7D"/>
    <w:rsid w:val="33743C10"/>
    <w:rsid w:val="33A4328A"/>
    <w:rsid w:val="33EF6A8F"/>
    <w:rsid w:val="35A66E91"/>
    <w:rsid w:val="37253E8A"/>
    <w:rsid w:val="37752EA0"/>
    <w:rsid w:val="37BD51C0"/>
    <w:rsid w:val="39371759"/>
    <w:rsid w:val="39D00F7E"/>
    <w:rsid w:val="3A167197"/>
    <w:rsid w:val="3A2D763F"/>
    <w:rsid w:val="3AE910CC"/>
    <w:rsid w:val="3B246918"/>
    <w:rsid w:val="3B412645"/>
    <w:rsid w:val="3B5F1C04"/>
    <w:rsid w:val="3BCF572C"/>
    <w:rsid w:val="3CD32121"/>
    <w:rsid w:val="3D4312B2"/>
    <w:rsid w:val="3EEA4768"/>
    <w:rsid w:val="3F516319"/>
    <w:rsid w:val="404C76BE"/>
    <w:rsid w:val="41B94863"/>
    <w:rsid w:val="4293162F"/>
    <w:rsid w:val="42DE30E9"/>
    <w:rsid w:val="464169EF"/>
    <w:rsid w:val="46F26E0E"/>
    <w:rsid w:val="4CBC1FE5"/>
    <w:rsid w:val="4F5A53D6"/>
    <w:rsid w:val="4F873C7A"/>
    <w:rsid w:val="50430BF4"/>
    <w:rsid w:val="504B3D38"/>
    <w:rsid w:val="51012C3B"/>
    <w:rsid w:val="51CD6708"/>
    <w:rsid w:val="56997CA4"/>
    <w:rsid w:val="56A603BA"/>
    <w:rsid w:val="56C24515"/>
    <w:rsid w:val="57DD0436"/>
    <w:rsid w:val="59156963"/>
    <w:rsid w:val="59281E57"/>
    <w:rsid w:val="5B206F0E"/>
    <w:rsid w:val="5B4C7142"/>
    <w:rsid w:val="5BAA49DE"/>
    <w:rsid w:val="5EC5362F"/>
    <w:rsid w:val="5EDD55E2"/>
    <w:rsid w:val="5F4A295C"/>
    <w:rsid w:val="60143890"/>
    <w:rsid w:val="616539CD"/>
    <w:rsid w:val="634B5A25"/>
    <w:rsid w:val="634C4502"/>
    <w:rsid w:val="64664CD8"/>
    <w:rsid w:val="679A7B08"/>
    <w:rsid w:val="67F16926"/>
    <w:rsid w:val="683B7042"/>
    <w:rsid w:val="69E179C2"/>
    <w:rsid w:val="6A174619"/>
    <w:rsid w:val="6B4507EE"/>
    <w:rsid w:val="6BA34FD9"/>
    <w:rsid w:val="6C3C57AB"/>
    <w:rsid w:val="6CD649E2"/>
    <w:rsid w:val="6D3E50E8"/>
    <w:rsid w:val="6E265D67"/>
    <w:rsid w:val="6E961F7F"/>
    <w:rsid w:val="71A12A7F"/>
    <w:rsid w:val="71EA56A2"/>
    <w:rsid w:val="72736B1D"/>
    <w:rsid w:val="75C65B4A"/>
    <w:rsid w:val="76A675D9"/>
    <w:rsid w:val="76BF0196"/>
    <w:rsid w:val="76F040C5"/>
    <w:rsid w:val="77A23AEF"/>
    <w:rsid w:val="77D12EBB"/>
    <w:rsid w:val="77D32F51"/>
    <w:rsid w:val="78DD52BA"/>
    <w:rsid w:val="7941236C"/>
    <w:rsid w:val="7A0415D4"/>
    <w:rsid w:val="7D1F2BE3"/>
    <w:rsid w:val="7E230E82"/>
    <w:rsid w:val="7E7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Body Text"/>
    <w:basedOn w:val="1"/>
    <w:link w:val="17"/>
    <w:qFormat/>
    <w:uiPriority w:val="0"/>
    <w:pPr>
      <w:widowControl w:val="0"/>
      <w:adjustRightInd/>
      <w:snapToGrid/>
      <w:spacing w:after="12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5">
    <w:name w:val="Body Text Indent"/>
    <w:basedOn w:val="1"/>
    <w:link w:val="18"/>
    <w:qFormat/>
    <w:uiPriority w:val="0"/>
    <w:pPr>
      <w:widowControl w:val="0"/>
      <w:adjustRightInd/>
      <w:snapToGrid/>
      <w:spacing w:after="0"/>
      <w:ind w:firstLine="660"/>
      <w:jc w:val="both"/>
    </w:pPr>
    <w:rPr>
      <w:rFonts w:ascii="Times New Roman" w:hAnsi="Times New Roman" w:eastAsia="仿宋_GB2312"/>
      <w:b/>
      <w:bCs/>
      <w:kern w:val="2"/>
      <w:sz w:val="32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page number"/>
    <w:basedOn w:val="11"/>
    <w:unhideWhenUsed/>
    <w:qFormat/>
    <w:uiPriority w:val="0"/>
  </w:style>
  <w:style w:type="paragraph" w:customStyle="1" w:styleId="14">
    <w:name w:val="默认段落字体 Para Char Char Char Char"/>
    <w:basedOn w:val="1"/>
    <w:qFormat/>
    <w:uiPriority w:val="0"/>
  </w:style>
  <w:style w:type="character" w:customStyle="1" w:styleId="15">
    <w:name w:val="页眉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正文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正文文本缩进 Char"/>
    <w:basedOn w:val="11"/>
    <w:link w:val="5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Ghost Win7 SP1快速装机版  V2015/01/14</Company>
  <Pages>2</Pages>
  <Words>211</Words>
  <Characters>1209</Characters>
  <Lines>10</Lines>
  <Paragraphs>2</Paragraphs>
  <TotalTime>6</TotalTime>
  <ScaleCrop>false</ScaleCrop>
  <LinksUpToDate>false</LinksUpToDate>
  <CharactersWithSpaces>1418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2016-10-19T12:47:00Z</dcterms:created>
  <dc:creator>Administrator</dc:creator>
  <cp:lastModifiedBy>人生每一段路都是一种领悟</cp:lastModifiedBy>
  <cp:lastPrinted>2018-07-11T05:40:00Z</cp:lastPrinted>
  <dcterms:modified xsi:type="dcterms:W3CDTF">2020-01-19T05:49:48Z</dcterms:modified>
  <dc:title>阿图什市2015年春季植树造林苗木采购项目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