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餐厨垃圾车</w:t>
      </w:r>
    </w:p>
    <w:p>
      <w:r>
        <w:rPr>
          <w:rFonts w:hint="eastAsia" w:ascii="仿宋" w:hAnsi="仿宋" w:eastAsia="仿宋" w:cs="仿宋"/>
          <w:b/>
          <w:bCs/>
          <w:szCs w:val="21"/>
        </w:rPr>
        <w:t xml:space="preserve">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5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总质量（kg）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0"/>
                <w:szCs w:val="20"/>
              </w:rPr>
              <w:t>7360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整备质量（kg）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≥4400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额定质量（kg）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轴荷（kg）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2640/4720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外形尺寸（mm）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0"/>
                <w:szCs w:val="20"/>
              </w:rPr>
              <w:t>5800*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2070</w:t>
            </w:r>
            <w:r>
              <w:rPr>
                <w:rFonts w:hint="eastAsia"/>
                <w:kern w:val="0"/>
                <w:sz w:val="20"/>
                <w:szCs w:val="20"/>
              </w:rPr>
              <w:t>,2000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轴数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最高车速（km/h）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≥100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轮胎规格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7.00R16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轮胎数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轴距（mm）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弹簧片数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6/6+5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排放标准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  <w:t>GB3847-2005,GB17691-2018国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燃料种类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Helvetica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18"/>
                <w:szCs w:val="18"/>
              </w:rPr>
              <w:t>柴油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发动机排量（ml）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发动机功率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0"/>
                <w:szCs w:val="20"/>
              </w:rPr>
              <w:t>103（kw）/140.08（ps）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  <w:shd w:val="clear" w:color="auto" w:fill="F9F9F9"/>
              </w:rPr>
              <w:t>随底盘选装驾驶室;侧防护材料Q235,螺栓连接;后部防护由专用装置代替,下边缘离地高度(mm):400;仅采用3308mm轴距</w:t>
            </w:r>
          </w:p>
        </w:tc>
      </w:tr>
    </w:tbl>
    <w:p>
      <w:pPr>
        <w:spacing w:line="240" w:lineRule="auto"/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A3938"/>
    <w:rsid w:val="2C0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2020-05-12T09:44:00Z</dcterms:created>
  <dc:creator>李天福</dc:creator>
  <cp:lastModifiedBy>李天福</cp:lastModifiedBy>
  <dcterms:modified xsi:type="dcterms:W3CDTF">2020-05-12T09:45:08Z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