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清 单 编 制 说 明</w:t>
      </w:r>
    </w:p>
    <w:p>
      <w:pPr>
        <w:jc w:val="left"/>
        <w:rPr>
          <w:rFonts w:hint="eastAsia"/>
          <w:lang w:val="en-US" w:eastAsia="zh-CN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一、工程概况</w:t>
      </w:r>
    </w:p>
    <w:p>
      <w:pPr>
        <w:spacing w:line="360" w:lineRule="auto"/>
        <w:rPr>
          <w:rFonts w:hint="default" w:ascii="宋体" w:hAnsi="宋体" w:eastAsiaTheme="minorEastAsia"/>
          <w:kern w:val="0"/>
          <w:lang w:val="en-US" w:eastAsia="zh-CN"/>
        </w:rPr>
      </w:pPr>
      <w:r>
        <w:rPr>
          <w:rFonts w:hint="eastAsia" w:ascii="宋体" w:hAnsi="宋体"/>
        </w:rPr>
        <w:t>和硕县应急救援综合物资储备项目</w:t>
      </w:r>
      <w:r>
        <w:rPr>
          <w:rFonts w:hint="eastAsia" w:ascii="宋体" w:hAnsi="宋体"/>
          <w:lang w:eastAsia="zh-CN"/>
        </w:rPr>
        <w:t>，</w:t>
      </w:r>
      <w:r>
        <w:rPr>
          <w:rFonts w:hint="eastAsia" w:ascii="宋体" w:hAnsi="宋体"/>
          <w:kern w:val="0"/>
          <w:lang w:val="en-US" w:eastAsia="zh-CN"/>
        </w:rPr>
        <w:t>钢结构</w:t>
      </w:r>
      <w:r>
        <w:rPr>
          <w:rFonts w:hint="eastAsia" w:ascii="宋体" w:hAnsi="宋体"/>
          <w:kern w:val="0"/>
        </w:rPr>
        <w:t>，</w:t>
      </w:r>
      <w:r>
        <w:rPr>
          <w:rFonts w:hint="eastAsia" w:ascii="宋体" w:hAnsi="宋体"/>
          <w:kern w:val="0"/>
          <w:lang w:val="en-US" w:eastAsia="zh-CN"/>
        </w:rPr>
        <w:t>墙面为夹芯岩棉彩钢板墙面</w:t>
      </w:r>
      <w:r>
        <w:rPr>
          <w:rFonts w:hint="eastAsia" w:ascii="宋体" w:hAnsi="宋体"/>
          <w:kern w:val="0"/>
        </w:rPr>
        <w:t>室内墙面</w:t>
      </w:r>
      <w:r>
        <w:rPr>
          <w:rFonts w:hint="eastAsia" w:ascii="宋体" w:hAnsi="宋体"/>
          <w:kern w:val="0"/>
          <w:lang w:val="en-US" w:eastAsia="zh-CN"/>
        </w:rPr>
        <w:t>水泥砂浆</w:t>
      </w:r>
      <w:r>
        <w:rPr>
          <w:rFonts w:hint="eastAsia" w:ascii="宋体" w:hAnsi="宋体"/>
          <w:kern w:val="0"/>
        </w:rPr>
        <w:t>抹灰</w:t>
      </w:r>
      <w:r>
        <w:rPr>
          <w:rFonts w:hint="eastAsia" w:ascii="宋体" w:hAnsi="宋体"/>
          <w:kern w:val="0"/>
          <w:lang w:val="en-US" w:eastAsia="zh-CN"/>
        </w:rPr>
        <w:t>墙面</w:t>
      </w:r>
      <w:r>
        <w:rPr>
          <w:rFonts w:hint="eastAsia" w:ascii="宋体" w:hAnsi="宋体"/>
          <w:kern w:val="0"/>
        </w:rPr>
        <w:t>，</w:t>
      </w:r>
      <w:r>
        <w:rPr>
          <w:rFonts w:hint="eastAsia" w:ascii="宋体" w:hAnsi="宋体"/>
          <w:kern w:val="0"/>
          <w:lang w:val="en-US" w:eastAsia="zh-CN"/>
        </w:rPr>
        <w:t>屋顶为夹芯岩棉彩钢板屋面。</w:t>
      </w:r>
      <w:r>
        <w:rPr>
          <w:rFonts w:hint="eastAsia" w:ascii="宋体" w:hAnsi="宋体"/>
          <w:kern w:val="0"/>
        </w:rPr>
        <w:t>地面为</w:t>
      </w:r>
      <w:r>
        <w:rPr>
          <w:rFonts w:hint="eastAsia" w:ascii="宋体" w:hAnsi="宋体"/>
          <w:kern w:val="0"/>
          <w:lang w:val="en-US" w:eastAsia="zh-CN"/>
        </w:rPr>
        <w:t>环氧树脂自流平</w:t>
      </w:r>
      <w:r>
        <w:rPr>
          <w:rFonts w:hint="eastAsia" w:ascii="宋体" w:hAnsi="宋体"/>
          <w:kern w:val="0"/>
        </w:rPr>
        <w:t>地面，</w:t>
      </w:r>
      <w:r>
        <w:rPr>
          <w:rFonts w:hint="eastAsia" w:ascii="宋体" w:hAnsi="宋体"/>
          <w:kern w:val="0"/>
          <w:lang w:val="en-US" w:eastAsia="zh-CN"/>
        </w:rPr>
        <w:t>室内地面以上为钢结构。室外附属工程为消防监控、以及室外管网工程。</w:t>
      </w:r>
    </w:p>
    <w:p>
      <w:pPr>
        <w:pStyle w:val="4"/>
        <w:ind w:left="420" w:firstLine="0" w:firstLineChars="0"/>
        <w:rPr>
          <w:rFonts w:ascii="宋体" w:hAnsi="宋体"/>
        </w:rPr>
      </w:pPr>
    </w:p>
    <w:p>
      <w:pPr>
        <w:spacing w:line="360" w:lineRule="auto"/>
        <w:rPr>
          <w:rFonts w:hint="eastAsia" w:ascii="仿宋_GB2312" w:hAns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二、工程量清单编制依据：</w:t>
      </w:r>
    </w:p>
    <w:p>
      <w:pPr>
        <w:spacing w:line="360" w:lineRule="auto"/>
        <w:ind w:left="1041" w:leftChars="267" w:hanging="480" w:hangingChars="200"/>
        <w:rPr>
          <w:rFonts w:ascii="仿宋_GB2312" w:hAns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（1）、业务委托书及“</w:t>
      </w:r>
      <w:r>
        <w:rPr>
          <w:rFonts w:hint="eastAsia" w:ascii="宋体" w:hAnsi="宋体"/>
        </w:rPr>
        <w:t>和硕县应急救援综合物资储备项目</w:t>
      </w:r>
      <w:r>
        <w:rPr>
          <w:rFonts w:ascii="仿宋_GB2312" w:hAnsi="仿宋_GB2312"/>
          <w:sz w:val="24"/>
          <w:szCs w:val="24"/>
        </w:rPr>
        <w:t>”相关资料。</w:t>
      </w:r>
    </w:p>
    <w:p>
      <w:pPr>
        <w:spacing w:line="360" w:lineRule="auto"/>
        <w:ind w:left="1041" w:leftChars="267" w:hanging="480" w:hangingChars="200"/>
        <w:rPr>
          <w:rFonts w:ascii="仿宋_GB2312" w:hAnsi="宋体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（2）、《房屋建筑与装饰工程工程量计价规范》(GB 50584-2013)、《通用安装工程工程量计价规范》(GB 50586-2013)。</w:t>
      </w:r>
    </w:p>
    <w:p>
      <w:pPr>
        <w:spacing w:line="360" w:lineRule="auto"/>
        <w:ind w:left="1041" w:leftChars="267" w:hanging="480" w:hangingChars="200"/>
        <w:rPr>
          <w:rFonts w:ascii="仿宋_GB2312" w:hAnsi="宋体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四、编审方法:由专业造价师根据施工图、招标文件、13清单计价规范进行编制，项目负责人复核，总技术负责人组织人员进行审核。</w:t>
      </w:r>
    </w:p>
    <w:p>
      <w:pPr>
        <w:spacing w:line="360" w:lineRule="auto"/>
        <w:ind w:left="1041" w:leftChars="267" w:hanging="480" w:hangingChars="200"/>
        <w:rPr>
          <w:rFonts w:ascii="仿宋_GB2312" w:hAnsi="宋体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五、清单注意事项：</w:t>
      </w:r>
    </w:p>
    <w:p>
      <w:pPr>
        <w:adjustRightInd w:val="0"/>
        <w:snapToGrid w:val="0"/>
        <w:spacing w:line="360" w:lineRule="auto"/>
        <w:ind w:firstLine="504" w:firstLineChars="210"/>
        <w:jc w:val="left"/>
        <w:rPr>
          <w:rFonts w:ascii="仿宋_GB2312" w:hAnsi="宋体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(1)、工程量清单应与招标文件、技术规范及相关资料等文件结合起来查阅与理解。</w:t>
      </w:r>
    </w:p>
    <w:p>
      <w:pPr>
        <w:adjustRightInd w:val="0"/>
        <w:snapToGrid w:val="0"/>
        <w:spacing w:line="360" w:lineRule="auto"/>
        <w:ind w:left="1104" w:leftChars="240" w:hanging="600" w:hangingChars="250"/>
        <w:jc w:val="left"/>
        <w:rPr>
          <w:rFonts w:ascii="仿宋_GB2312" w:hAnsi="宋体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(2)、工程量清单表中任何内容不得随意删除和修改，表中列明项目投标人均应如实填报，未填报的单价和合价视为已包含在投标总报价中。</w:t>
      </w:r>
    </w:p>
    <w:p>
      <w:pPr>
        <w:adjustRightInd w:val="0"/>
        <w:snapToGrid w:val="0"/>
        <w:spacing w:line="360" w:lineRule="auto"/>
        <w:ind w:firstLine="504" w:firstLineChars="210"/>
        <w:jc w:val="left"/>
        <w:rPr>
          <w:rFonts w:ascii="仿宋_GB2312" w:hAnsi="宋体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(3)、规费为不可竞争费按规定统一填报。税金为不可竞争费按规定统一填报。</w:t>
      </w:r>
    </w:p>
    <w:p>
      <w:pPr>
        <w:adjustRightInd w:val="0"/>
        <w:snapToGrid w:val="0"/>
        <w:spacing w:line="360" w:lineRule="auto"/>
        <w:ind w:left="1104" w:leftChars="240" w:hanging="600" w:hangingChars="250"/>
        <w:jc w:val="left"/>
        <w:rPr>
          <w:rFonts w:ascii="仿宋_GB2312" w:hAnsi="宋体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(4)、措施项目清单中的安全文明施工费应按国家或省级、行业建设主管部门的规定计价，不得作为竞争性费用。</w:t>
      </w:r>
    </w:p>
    <w:p>
      <w:pPr>
        <w:adjustRightInd w:val="0"/>
        <w:snapToGrid w:val="0"/>
        <w:spacing w:line="360" w:lineRule="auto"/>
        <w:ind w:left="1104" w:leftChars="240" w:hanging="600" w:hangingChars="250"/>
        <w:jc w:val="left"/>
        <w:rPr>
          <w:rFonts w:ascii="仿宋_GB2312" w:hAnsi="宋体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(5)、本工程暂列金</w:t>
      </w:r>
      <w:r>
        <w:rPr>
          <w:rFonts w:hint="eastAsia" w:ascii="仿宋_GB2312" w:hAnsi="仿宋_GB2312"/>
          <w:sz w:val="24"/>
          <w:szCs w:val="24"/>
          <w:lang w:eastAsia="zh-CN"/>
        </w:rPr>
        <w:t>、</w:t>
      </w:r>
      <w:r>
        <w:rPr>
          <w:rFonts w:ascii="仿宋_GB2312" w:hAnsi="仿宋_GB2312"/>
          <w:sz w:val="24"/>
          <w:szCs w:val="24"/>
        </w:rPr>
        <w:t>暂计价材料价格</w:t>
      </w:r>
      <w:r>
        <w:rPr>
          <w:rFonts w:hint="eastAsia" w:ascii="宋体" w:hAnsi="宋体"/>
        </w:rPr>
        <w:t>和工程暂估详各专业“暂估价表”</w:t>
      </w:r>
      <w:r>
        <w:rPr>
          <w:rFonts w:ascii="仿宋_GB2312" w:hAnsi="仿宋_GB2312"/>
          <w:sz w:val="24"/>
          <w:szCs w:val="24"/>
        </w:rPr>
        <w:t>。</w:t>
      </w:r>
    </w:p>
    <w:p>
      <w:pPr>
        <w:spacing w:line="360" w:lineRule="auto"/>
        <w:ind w:left="1041" w:leftChars="267" w:hanging="480" w:hangingChars="200"/>
        <w:rPr>
          <w:rFonts w:ascii="仿宋_GB2312" w:hAnsi="宋体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(6)、凡项目编码前加有“</w:t>
      </w:r>
      <w:r>
        <w:rPr>
          <w:rFonts w:hint="eastAsia" w:ascii="宋体" w:hAnsi="宋体" w:cs="宋体"/>
          <w:sz w:val="24"/>
          <w:szCs w:val="24"/>
        </w:rPr>
        <w:t>★</w:t>
      </w:r>
      <w:r>
        <w:rPr>
          <w:sz w:val="24"/>
          <w:szCs w:val="24"/>
        </w:rPr>
        <w:t>”</w:t>
      </w:r>
      <w:r>
        <w:rPr>
          <w:rFonts w:ascii="仿宋_GB2312" w:hAnsi="仿宋_GB2312"/>
          <w:sz w:val="24"/>
          <w:szCs w:val="24"/>
        </w:rPr>
        <w:t>的项目必须做综合单价分析。</w:t>
      </w:r>
    </w:p>
    <w:p>
      <w:pPr>
        <w:spacing w:line="360" w:lineRule="auto"/>
        <w:ind w:firstLine="315" w:firstLineChars="150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    六、其它事项说明：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1、根据设计口头说明室外台阶做法详新12J01台5大样5.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2、根据设计口头说明室外台阶栏杆做法详新12J07第103页。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3、根据设计口头说明围墙两侧为清水墙，双面1:1</w:t>
      </w:r>
      <w:bookmarkStart w:id="0" w:name="_GoBack"/>
      <w:bookmarkEnd w:id="0"/>
      <w:r>
        <w:rPr>
          <w:rFonts w:hint="eastAsia"/>
          <w:lang w:val="en-US" w:eastAsia="zh-CN"/>
        </w:rPr>
        <w:t>水泥砂浆勾缝。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4、根据设计口头说明院内有3座电力井。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5、根据设计口头说明围墙基础刷一道冷底子油一道两道热沥青。</w:t>
      </w:r>
    </w:p>
    <w:p>
      <w:pPr>
        <w:ind w:left="630" w:leftChars="200" w:hanging="210" w:hangingChars="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6、根据建设单位要求仓库内吊顶取消，室内墙面水泥砂浆抹面。1.2m室内回填土取消，外墙刷与消防大队外墙同颜色的漆。仓库屋顶处窗户取消。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7、根据建设单位要求路灯系统取消。电动大门改为围墙普通入口铁制大门。</w:t>
      </w:r>
    </w:p>
    <w:p>
      <w:pPr>
        <w:ind w:firstLine="420" w:firstLineChars="200"/>
        <w:rPr>
          <w:rFonts w:ascii="仿宋_GB2312" w:hAnsi="仿宋_GB2312"/>
          <w:sz w:val="21"/>
          <w:szCs w:val="21"/>
        </w:rPr>
      </w:pPr>
      <w:r>
        <w:rPr>
          <w:rFonts w:hint="eastAsia"/>
          <w:lang w:val="en-US" w:eastAsia="zh-CN"/>
        </w:rPr>
        <w:t>8、</w:t>
      </w:r>
      <w:r>
        <w:rPr>
          <w:rFonts w:ascii="仿宋_GB2312" w:hAnsi="仿宋_GB2312"/>
          <w:sz w:val="21"/>
          <w:szCs w:val="21"/>
        </w:rPr>
        <w:t>本工程暂列金</w:t>
      </w:r>
      <w:r>
        <w:rPr>
          <w:rFonts w:hint="eastAsia" w:ascii="仿宋_GB2312" w:hAnsi="仿宋_GB2312"/>
          <w:sz w:val="21"/>
          <w:szCs w:val="21"/>
          <w:lang w:eastAsia="zh-CN"/>
        </w:rPr>
        <w:t>、</w:t>
      </w:r>
      <w:r>
        <w:rPr>
          <w:rFonts w:ascii="仿宋_GB2312" w:hAnsi="仿宋_GB2312"/>
          <w:sz w:val="21"/>
          <w:szCs w:val="21"/>
        </w:rPr>
        <w:t>暂计价材料价格</w:t>
      </w:r>
      <w:r>
        <w:rPr>
          <w:rFonts w:hint="eastAsia" w:ascii="宋体" w:hAnsi="宋体"/>
          <w:sz w:val="21"/>
          <w:szCs w:val="21"/>
        </w:rPr>
        <w:t>和工程暂估详各专业“暂估价表”</w:t>
      </w:r>
      <w:r>
        <w:rPr>
          <w:rFonts w:ascii="仿宋_GB2312" w:hAnsi="仿宋_GB2312"/>
          <w:sz w:val="21"/>
          <w:szCs w:val="21"/>
        </w:rPr>
        <w:t>。</w:t>
      </w:r>
    </w:p>
    <w:p>
      <w:pPr>
        <w:ind w:firstLine="420" w:firstLineChars="200"/>
        <w:rPr>
          <w:rFonts w:hint="default" w:ascii="仿宋_GB2312" w:hAnsi="仿宋_GB2312" w:eastAsiaTheme="minorEastAsia"/>
          <w:sz w:val="21"/>
          <w:szCs w:val="21"/>
          <w:lang w:val="en-US" w:eastAsia="zh-CN"/>
        </w:rPr>
      </w:pPr>
      <w:r>
        <w:rPr>
          <w:rFonts w:hint="eastAsia" w:ascii="仿宋_GB2312" w:hAnsi="仿宋_GB2312"/>
          <w:sz w:val="21"/>
          <w:szCs w:val="21"/>
          <w:lang w:val="en-US" w:eastAsia="zh-CN"/>
        </w:rPr>
        <w:t>9、因消防水池和警卫室暂不计入，室外入户的电缆暂未计入。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10、根据设计院口头说明室外地坪为1396.34m2。</w:t>
      </w:r>
    </w:p>
    <w:p>
      <w:pPr>
        <w:jc w:val="left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 xml:space="preserve"> 11、室内房心回填1.2m高取消，回填0.3m的土戈壁。</w:t>
      </w: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2022年7月16日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1Nzk2YzViYTEyMzI0YmZlZmNmZmNmYmY3YWM2NzMifQ=="/>
  </w:docVars>
  <w:rsids>
    <w:rsidRoot w:val="3B4D3A89"/>
    <w:rsid w:val="12B96010"/>
    <w:rsid w:val="13402D62"/>
    <w:rsid w:val="159721ED"/>
    <w:rsid w:val="231822BE"/>
    <w:rsid w:val="302D2459"/>
    <w:rsid w:val="33D24B69"/>
    <w:rsid w:val="3B4D3A89"/>
    <w:rsid w:val="44EB79FC"/>
    <w:rsid w:val="46F03685"/>
    <w:rsid w:val="479942F8"/>
    <w:rsid w:val="503E2831"/>
    <w:rsid w:val="50951E0C"/>
    <w:rsid w:val="51E97071"/>
    <w:rsid w:val="582A367C"/>
    <w:rsid w:val="59DE4FE1"/>
    <w:rsid w:val="690C41C8"/>
    <w:rsid w:val="6A5437CA"/>
    <w:rsid w:val="74FD2373"/>
    <w:rsid w:val="7AD0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824</Words>
  <Characters>888</Characters>
  <Lines>0</Lines>
  <Paragraphs>0</Paragraphs>
  <TotalTime>1</TotalTime>
  <ScaleCrop>false</ScaleCrop>
  <LinksUpToDate>false</LinksUpToDate>
  <CharactersWithSpaces>953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2021-08-08T08:45:00Z</dcterms:created>
  <dc:creator>Administrator</dc:creator>
  <cp:lastModifiedBy>Administrator</cp:lastModifiedBy>
  <dcterms:modified xsi:type="dcterms:W3CDTF">2022-07-16T14:45:53Z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1B70FACD339A4ADCB1A3D0773F2BB7D4</vt:lpwstr>
  </property>
</Properties>
</file>