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E3EEA36">
      <w:pPr>
        <w:pStyle w:val="28"/>
        <w:ind w:left="400" w:hanging="400"/>
        <w:jc w:val="center"/>
        <w:rPr>
          <w:rFonts w:hint="eastAsia" w:ascii="宋体" w:hAnsi="宋体" w:cs="宋体"/>
          <w:b/>
          <w:bCs/>
          <w:color w:val="000000"/>
          <w:kern w:val="0"/>
          <w:sz w:val="52"/>
          <w:szCs w:val="52"/>
          <w:lang w:eastAsia="zh-CN" w:bidi="ar"/>
        </w:rPr>
      </w:pPr>
      <w:r>
        <w:rPr>
          <w:rFonts w:hint="eastAsia" w:ascii="宋体" w:hAnsi="宋体" w:cs="宋体"/>
          <w:b/>
          <w:bCs/>
          <w:color w:val="000000"/>
          <w:kern w:val="0"/>
          <w:sz w:val="52"/>
          <w:szCs w:val="52"/>
          <w:lang w:eastAsia="zh-CN" w:bidi="ar"/>
        </w:rPr>
        <w:t>伊吾县气象防灾减灾运行维护</w:t>
      </w:r>
    </w:p>
    <w:p w14:paraId="0A931212">
      <w:pPr>
        <w:pStyle w:val="28"/>
        <w:ind w:left="400" w:hanging="400"/>
        <w:jc w:val="center"/>
        <w:rPr>
          <w:rFonts w:hint="eastAsia" w:ascii="宋体" w:hAnsi="宋体" w:cs="宋体"/>
          <w:color w:val="000080"/>
          <w:sz w:val="20"/>
        </w:rPr>
      </w:pPr>
      <w:r>
        <w:rPr>
          <w:rFonts w:hint="eastAsia" w:ascii="宋体" w:hAnsi="宋体" w:cs="宋体"/>
          <w:b/>
          <w:bCs/>
          <w:color w:val="000000"/>
          <w:kern w:val="0"/>
          <w:sz w:val="52"/>
          <w:szCs w:val="52"/>
          <w:lang w:eastAsia="zh-CN" w:bidi="ar"/>
        </w:rPr>
        <w:t>服务项目</w:t>
      </w:r>
    </w:p>
    <w:p w14:paraId="59399814">
      <w:pPr>
        <w:pStyle w:val="28"/>
        <w:ind w:left="400" w:hanging="400"/>
        <w:rPr>
          <w:rFonts w:hint="eastAsia" w:ascii="宋体" w:hAnsi="宋体" w:cs="宋体"/>
          <w:color w:val="000080"/>
          <w:sz w:val="20"/>
        </w:rPr>
      </w:pPr>
    </w:p>
    <w:p w14:paraId="16AA62EE">
      <w:pPr>
        <w:pStyle w:val="28"/>
        <w:ind w:left="400" w:hanging="400"/>
        <w:rPr>
          <w:rFonts w:hint="eastAsia" w:ascii="宋体" w:hAnsi="宋体" w:cs="宋体"/>
          <w:color w:val="000080"/>
          <w:sz w:val="20"/>
        </w:rPr>
      </w:pPr>
    </w:p>
    <w:p w14:paraId="46221885">
      <w:pPr>
        <w:pStyle w:val="28"/>
        <w:ind w:left="400" w:hanging="400"/>
        <w:rPr>
          <w:rFonts w:hint="eastAsia" w:ascii="宋体" w:hAnsi="宋体" w:cs="宋体"/>
          <w:color w:val="000080"/>
          <w:sz w:val="20"/>
        </w:rPr>
      </w:pPr>
    </w:p>
    <w:p w14:paraId="6A7D1F87">
      <w:pPr>
        <w:pStyle w:val="28"/>
        <w:ind w:left="400" w:hanging="400"/>
        <w:rPr>
          <w:rFonts w:hint="eastAsia" w:ascii="宋体" w:hAnsi="宋体" w:cs="宋体"/>
          <w:color w:val="000080"/>
          <w:sz w:val="20"/>
        </w:rPr>
      </w:pPr>
    </w:p>
    <w:p w14:paraId="0AD44655">
      <w:pPr>
        <w:pStyle w:val="28"/>
        <w:ind w:left="420" w:hanging="420"/>
        <w:rPr>
          <w:rFonts w:hint="eastAsia" w:ascii="宋体" w:hAnsi="宋体" w:cs="宋体"/>
        </w:rPr>
      </w:pPr>
    </w:p>
    <w:p w14:paraId="2597057E">
      <w:pPr>
        <w:pStyle w:val="28"/>
        <w:ind w:left="420" w:hanging="420"/>
        <w:rPr>
          <w:rFonts w:hint="eastAsia" w:ascii="宋体" w:hAnsi="宋体" w:cs="宋体"/>
        </w:rPr>
      </w:pPr>
    </w:p>
    <w:p w14:paraId="02CAD094">
      <w:pPr>
        <w:pStyle w:val="21"/>
        <w:keepNext/>
        <w:jc w:val="center"/>
        <w:rPr>
          <w:rFonts w:hint="eastAsia" w:hAnsi="宋体" w:cs="宋体"/>
          <w:b/>
          <w:sz w:val="36"/>
          <w:szCs w:val="22"/>
        </w:rPr>
      </w:pPr>
      <w:r>
        <w:rPr>
          <w:rFonts w:hint="eastAsia" w:hAnsi="宋体" w:cs="宋体"/>
          <w:b/>
          <w:sz w:val="96"/>
          <w:szCs w:val="96"/>
        </w:rPr>
        <w:t>竞争性磋商文件</w:t>
      </w:r>
    </w:p>
    <w:p w14:paraId="2D8BD3B0">
      <w:pPr>
        <w:pStyle w:val="21"/>
        <w:keepNext/>
        <w:jc w:val="center"/>
        <w:rPr>
          <w:rFonts w:hint="eastAsia" w:hAnsi="宋体" w:cs="宋体"/>
          <w:b/>
          <w:sz w:val="52"/>
          <w:szCs w:val="52"/>
          <w:u w:val="single"/>
        </w:rPr>
      </w:pPr>
      <w:r>
        <w:rPr>
          <w:rFonts w:hint="eastAsia" w:hAnsi="宋体" w:cs="宋体"/>
          <w:b/>
          <w:sz w:val="52"/>
          <w:szCs w:val="52"/>
          <w:u w:val="single"/>
        </w:rPr>
        <w:t>（全过程电子化评标）</w:t>
      </w:r>
    </w:p>
    <w:p w14:paraId="1F46B3CB">
      <w:pPr>
        <w:pStyle w:val="21"/>
        <w:keepNext/>
        <w:rPr>
          <w:rFonts w:hint="eastAsia" w:hAnsi="宋体" w:cs="宋体"/>
          <w:b/>
          <w:sz w:val="32"/>
          <w:u w:val="single"/>
        </w:rPr>
      </w:pPr>
    </w:p>
    <w:p w14:paraId="2EA5EE8D">
      <w:pPr>
        <w:pStyle w:val="21"/>
        <w:keepNext/>
        <w:rPr>
          <w:rFonts w:hint="eastAsia" w:hAnsi="宋体" w:cs="宋体"/>
          <w:sz w:val="28"/>
          <w:szCs w:val="28"/>
          <w:u w:val="single"/>
        </w:rPr>
      </w:pPr>
    </w:p>
    <w:p w14:paraId="01D000AF">
      <w:pPr>
        <w:spacing w:line="500" w:lineRule="exact"/>
        <w:ind w:left="1400" w:hanging="1400" w:hangingChars="500"/>
        <w:jc w:val="left"/>
        <w:rPr>
          <w:rFonts w:hint="eastAsia" w:ascii="宋体" w:hAnsi="宋体" w:cs="宋体"/>
          <w:sz w:val="28"/>
          <w:szCs w:val="28"/>
          <w:u w:val="single"/>
        </w:rPr>
      </w:pPr>
      <w:r>
        <w:rPr>
          <w:rFonts w:hint="eastAsia" w:ascii="宋体" w:hAnsi="宋体" w:cs="宋体"/>
          <w:sz w:val="28"/>
          <w:szCs w:val="28"/>
        </w:rPr>
        <w:t xml:space="preserve">     </w:t>
      </w:r>
    </w:p>
    <w:p w14:paraId="0149964C">
      <w:pPr>
        <w:spacing w:line="800" w:lineRule="exact"/>
        <w:ind w:left="2251" w:hanging="2251" w:hangingChars="804"/>
        <w:rPr>
          <w:rFonts w:hint="default" w:ascii="宋体" w:hAnsi="宋体" w:eastAsia="宋体" w:cs="宋体"/>
          <w:sz w:val="28"/>
          <w:szCs w:val="28"/>
          <w:lang w:val="en-US" w:eastAsia="zh-CN"/>
        </w:rPr>
      </w:pPr>
      <w:r>
        <w:rPr>
          <w:rFonts w:hint="eastAsia" w:ascii="宋体" w:hAnsi="宋体" w:cs="宋体"/>
          <w:sz w:val="28"/>
          <w:szCs w:val="28"/>
        </w:rPr>
        <w:t>项目编号：XJHF202</w:t>
      </w:r>
      <w:r>
        <w:rPr>
          <w:rFonts w:hint="eastAsia" w:ascii="宋体" w:hAnsi="宋体" w:cs="宋体"/>
          <w:sz w:val="28"/>
          <w:szCs w:val="28"/>
          <w:lang w:val="en-US" w:eastAsia="zh-CN"/>
        </w:rPr>
        <w:t>5-017</w:t>
      </w:r>
    </w:p>
    <w:p w14:paraId="704AAA8C">
      <w:pPr>
        <w:spacing w:line="800" w:lineRule="exact"/>
        <w:ind w:left="2251" w:hanging="2251" w:hangingChars="804"/>
        <w:rPr>
          <w:rFonts w:hint="eastAsia" w:ascii="宋体" w:hAnsi="宋体" w:cs="宋体"/>
          <w:sz w:val="28"/>
          <w:szCs w:val="28"/>
          <w:u w:val="single"/>
        </w:rPr>
      </w:pPr>
      <w:r>
        <w:rPr>
          <w:rFonts w:hint="eastAsia" w:ascii="宋体" w:hAnsi="宋体" w:cs="宋体"/>
          <w:sz w:val="28"/>
          <w:szCs w:val="28"/>
        </w:rPr>
        <w:t>采购单位：伊吾县</w:t>
      </w:r>
      <w:r>
        <w:rPr>
          <w:rFonts w:hint="eastAsia" w:ascii="宋体" w:hAnsi="宋体" w:cs="宋体"/>
          <w:sz w:val="28"/>
          <w:szCs w:val="28"/>
          <w:lang w:val="en-US" w:eastAsia="zh-CN"/>
        </w:rPr>
        <w:t>人民政府办公室</w:t>
      </w:r>
      <w:r>
        <w:rPr>
          <w:rFonts w:hint="eastAsia" w:ascii="宋体" w:hAnsi="宋体" w:cs="宋体"/>
          <w:sz w:val="28"/>
          <w:szCs w:val="28"/>
        </w:rPr>
        <w:t xml:space="preserve">                     </w:t>
      </w:r>
    </w:p>
    <w:p w14:paraId="4FEB0C35">
      <w:pPr>
        <w:spacing w:line="800" w:lineRule="exact"/>
        <w:ind w:left="2251" w:hanging="2251" w:hangingChars="804"/>
        <w:rPr>
          <w:rFonts w:hint="eastAsia" w:ascii="宋体" w:hAnsi="宋体" w:cs="宋体"/>
          <w:sz w:val="28"/>
          <w:szCs w:val="28"/>
        </w:rPr>
      </w:pPr>
      <w:r>
        <w:rPr>
          <w:rFonts w:hint="eastAsia" w:ascii="宋体" w:hAnsi="宋体" w:cs="宋体"/>
          <w:sz w:val="28"/>
          <w:szCs w:val="28"/>
        </w:rPr>
        <w:t xml:space="preserve">采购代理机构：新疆华飞项目咨询管理有限公司                  </w:t>
      </w:r>
    </w:p>
    <w:p w14:paraId="66055428">
      <w:pPr>
        <w:spacing w:line="800" w:lineRule="exact"/>
        <w:ind w:left="2251" w:hanging="2251" w:hangingChars="804"/>
        <w:rPr>
          <w:rFonts w:hint="eastAsia" w:ascii="宋体" w:hAnsi="宋体" w:cs="宋体"/>
          <w:sz w:val="28"/>
          <w:szCs w:val="28"/>
        </w:rPr>
      </w:pPr>
      <w:r>
        <w:rPr>
          <w:rFonts w:hint="eastAsia" w:ascii="宋体" w:hAnsi="宋体" w:cs="宋体"/>
          <w:sz w:val="28"/>
          <w:szCs w:val="28"/>
          <w:lang w:val="zh-CN"/>
        </w:rPr>
        <w:t>日期：</w:t>
      </w:r>
      <w:r>
        <w:rPr>
          <w:rFonts w:hint="eastAsia" w:ascii="宋体" w:hAnsi="宋体" w:cs="宋体"/>
          <w:sz w:val="28"/>
          <w:szCs w:val="28"/>
        </w:rPr>
        <w:t>202</w:t>
      </w:r>
      <w:r>
        <w:rPr>
          <w:rFonts w:hint="eastAsia" w:ascii="宋体" w:hAnsi="宋体" w:cs="宋体"/>
          <w:sz w:val="28"/>
          <w:szCs w:val="28"/>
          <w:lang w:val="en-US" w:eastAsia="zh-CN"/>
        </w:rPr>
        <w:t>5</w:t>
      </w:r>
      <w:r>
        <w:rPr>
          <w:rFonts w:hint="eastAsia" w:ascii="宋体" w:hAnsi="宋体" w:cs="宋体"/>
          <w:sz w:val="28"/>
          <w:szCs w:val="28"/>
        </w:rPr>
        <w:t>年</w:t>
      </w:r>
      <w:r>
        <w:rPr>
          <w:rFonts w:hint="eastAsia" w:ascii="宋体" w:hAnsi="宋体" w:cs="宋体"/>
          <w:sz w:val="28"/>
          <w:szCs w:val="28"/>
          <w:lang w:val="en-US" w:eastAsia="zh-CN"/>
        </w:rPr>
        <w:t>6</w:t>
      </w:r>
      <w:r>
        <w:rPr>
          <w:rFonts w:hint="eastAsia" w:ascii="宋体" w:hAnsi="宋体" w:cs="宋体"/>
          <w:sz w:val="28"/>
          <w:szCs w:val="28"/>
        </w:rPr>
        <w:t xml:space="preserve">月 </w:t>
      </w:r>
    </w:p>
    <w:p w14:paraId="1D3A6F0F">
      <w:pPr>
        <w:rPr>
          <w:rFonts w:hint="eastAsia" w:ascii="宋体" w:hAnsi="宋体" w:cs="宋体"/>
        </w:rPr>
      </w:pPr>
    </w:p>
    <w:p w14:paraId="32915DFE">
      <w:pPr>
        <w:rPr>
          <w:rFonts w:hint="eastAsia" w:ascii="宋体" w:hAnsi="宋体" w:cs="宋体"/>
          <w:highlight w:val="cyan"/>
        </w:rPr>
      </w:pPr>
      <w:bookmarkStart w:id="0" w:name="EB97aba6455570434e9ad5cf401cdecacc"/>
      <w:r>
        <w:rPr>
          <w:rFonts w:hint="eastAsia" w:ascii="宋体" w:hAnsi="宋体" w:cs="宋体"/>
          <w:color w:val="000080"/>
          <w:sz w:val="20"/>
          <w:highlight w:val="white"/>
        </w:rPr>
        <w:t xml:space="preserve"> </w:t>
      </w:r>
      <w:bookmarkEnd w:id="0"/>
    </w:p>
    <w:p w14:paraId="39FEC5BC">
      <w:pPr>
        <w:pStyle w:val="21"/>
        <w:adjustRightInd w:val="0"/>
        <w:snapToGrid w:val="0"/>
        <w:spacing w:line="360" w:lineRule="auto"/>
        <w:jc w:val="center"/>
        <w:rPr>
          <w:rFonts w:hint="eastAsia" w:hAnsi="宋体" w:cs="宋体"/>
          <w:b/>
          <w:spacing w:val="160"/>
          <w:sz w:val="32"/>
          <w:szCs w:val="32"/>
          <w:highlight w:val="white"/>
        </w:rPr>
        <w:sectPr>
          <w:headerReference r:id="rId5" w:type="first"/>
          <w:headerReference r:id="rId3" w:type="default"/>
          <w:footerReference r:id="rId6" w:type="default"/>
          <w:headerReference r:id="rId4" w:type="even"/>
          <w:pgSz w:w="11906" w:h="16838"/>
          <w:pgMar w:top="1440" w:right="1531" w:bottom="1440" w:left="1531" w:header="851" w:footer="992" w:gutter="0"/>
          <w:cols w:space="720" w:num="1"/>
          <w:titlePg/>
          <w:docGrid w:type="lines" w:linePitch="312" w:charSpace="0"/>
        </w:sectPr>
      </w:pPr>
    </w:p>
    <w:p w14:paraId="723F3E74">
      <w:pPr>
        <w:pStyle w:val="2"/>
        <w:rPr>
          <w:rFonts w:hint="eastAsia" w:ascii="宋体" w:hAnsi="宋体" w:cs="宋体"/>
          <w:b/>
          <w:bCs/>
          <w:kern w:val="2"/>
          <w:sz w:val="24"/>
          <w:szCs w:val="20"/>
          <w:lang w:val="en-US" w:eastAsia="zh-CN" w:bidi="ar-SA"/>
        </w:rPr>
      </w:pPr>
      <w:bookmarkStart w:id="1" w:name="_Toc14583"/>
      <w:r>
        <w:rPr>
          <w:rFonts w:hint="eastAsia" w:hAnsi="宋体" w:cs="宋体"/>
          <w:b/>
          <w:bCs w:val="0"/>
          <w:spacing w:val="160"/>
          <w:sz w:val="32"/>
          <w:szCs w:val="32"/>
          <w:highlight w:val="white"/>
        </w:rPr>
        <w:t>目录</w:t>
      </w:r>
      <w:bookmarkEnd w:id="1"/>
      <w:r>
        <w:rPr>
          <w:rFonts w:hint="eastAsia" w:hAnsi="宋体" w:cs="宋体"/>
          <w:spacing w:val="160"/>
        </w:rPr>
        <w:fldChar w:fldCharType="begin"/>
      </w:r>
      <w:r>
        <w:rPr>
          <w:rFonts w:hint="eastAsia" w:hAnsi="宋体" w:cs="宋体"/>
          <w:spacing w:val="160"/>
          <w:highlight w:val="white"/>
        </w:rPr>
        <w:instrText xml:space="preserve">TOC \o "1-3" \h \u </w:instrText>
      </w:r>
      <w:r>
        <w:rPr>
          <w:rFonts w:hint="eastAsia" w:hAnsi="宋体" w:cs="宋体"/>
          <w:spacing w:val="160"/>
        </w:rPr>
        <w:fldChar w:fldCharType="separate"/>
      </w:r>
    </w:p>
    <w:p w14:paraId="2EF13611">
      <w:pPr>
        <w:pStyle w:val="27"/>
        <w:tabs>
          <w:tab w:val="right" w:leader="dot" w:pos="8844"/>
        </w:tabs>
        <w:rPr>
          <w:rFonts w:hint="eastAsia" w:ascii="宋体" w:hAnsi="宋体" w:eastAsia="宋体" w:cs="宋体"/>
          <w:sz w:val="28"/>
          <w:szCs w:val="24"/>
        </w:rPr>
      </w:pP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HYPERLINK \l _Toc18162 </w:instrText>
      </w:r>
      <w:r>
        <w:rPr>
          <w:rFonts w:hint="eastAsia" w:ascii="宋体" w:hAnsi="宋体" w:eastAsia="宋体" w:cs="宋体"/>
          <w:sz w:val="28"/>
          <w:szCs w:val="24"/>
        </w:rPr>
        <w:fldChar w:fldCharType="separate"/>
      </w:r>
      <w:r>
        <w:rPr>
          <w:rFonts w:hint="eastAsia" w:ascii="宋体" w:hAnsi="宋体" w:eastAsia="宋体" w:cs="宋体"/>
          <w:sz w:val="28"/>
          <w:szCs w:val="40"/>
          <w:highlight w:val="white"/>
        </w:rPr>
        <w:t>第一章 竞争性磋商公告</w:t>
      </w:r>
      <w:r>
        <w:rPr>
          <w:rFonts w:hint="eastAsia" w:ascii="宋体" w:hAnsi="宋体" w:eastAsia="宋体" w:cs="宋体"/>
          <w:sz w:val="28"/>
          <w:szCs w:val="24"/>
        </w:rPr>
        <w:tab/>
      </w: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PAGEREF _Toc18162 \h </w:instrText>
      </w:r>
      <w:r>
        <w:rPr>
          <w:rFonts w:hint="eastAsia" w:ascii="宋体" w:hAnsi="宋体" w:eastAsia="宋体" w:cs="宋体"/>
          <w:sz w:val="28"/>
          <w:szCs w:val="24"/>
        </w:rPr>
        <w:fldChar w:fldCharType="separate"/>
      </w:r>
      <w:r>
        <w:rPr>
          <w:rFonts w:hint="eastAsia" w:ascii="宋体" w:hAnsi="宋体" w:eastAsia="宋体" w:cs="宋体"/>
          <w:sz w:val="28"/>
          <w:szCs w:val="24"/>
        </w:rPr>
        <w:t>1</w:t>
      </w:r>
      <w:r>
        <w:rPr>
          <w:rFonts w:hint="eastAsia" w:ascii="宋体" w:hAnsi="宋体" w:eastAsia="宋体" w:cs="宋体"/>
          <w:sz w:val="28"/>
          <w:szCs w:val="24"/>
        </w:rPr>
        <w:fldChar w:fldCharType="end"/>
      </w:r>
      <w:r>
        <w:rPr>
          <w:rFonts w:hint="eastAsia" w:ascii="宋体" w:hAnsi="宋体" w:eastAsia="宋体" w:cs="宋体"/>
          <w:sz w:val="28"/>
          <w:szCs w:val="24"/>
        </w:rPr>
        <w:fldChar w:fldCharType="end"/>
      </w:r>
    </w:p>
    <w:p w14:paraId="05721450">
      <w:pPr>
        <w:pStyle w:val="27"/>
        <w:tabs>
          <w:tab w:val="right" w:leader="dot" w:pos="8844"/>
        </w:tabs>
        <w:rPr>
          <w:rFonts w:hint="eastAsia" w:ascii="宋体" w:hAnsi="宋体" w:eastAsia="宋体" w:cs="宋体"/>
          <w:sz w:val="28"/>
          <w:szCs w:val="24"/>
        </w:rPr>
      </w:pP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HYPERLINK \l _Toc2843 </w:instrText>
      </w:r>
      <w:r>
        <w:rPr>
          <w:rFonts w:hint="eastAsia" w:ascii="宋体" w:hAnsi="宋体" w:eastAsia="宋体" w:cs="宋体"/>
          <w:sz w:val="28"/>
          <w:szCs w:val="24"/>
        </w:rPr>
        <w:fldChar w:fldCharType="separate"/>
      </w:r>
      <w:r>
        <w:rPr>
          <w:rFonts w:hint="eastAsia" w:ascii="宋体" w:hAnsi="宋体" w:eastAsia="宋体" w:cs="宋体"/>
          <w:sz w:val="28"/>
          <w:szCs w:val="40"/>
          <w:highlight w:val="white"/>
        </w:rPr>
        <w:t>第二章 磋商须知</w:t>
      </w:r>
      <w:r>
        <w:rPr>
          <w:rFonts w:hint="eastAsia" w:ascii="宋体" w:hAnsi="宋体" w:eastAsia="宋体" w:cs="宋体"/>
          <w:sz w:val="28"/>
          <w:szCs w:val="24"/>
        </w:rPr>
        <w:tab/>
      </w: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PAGEREF _Toc2843 \h </w:instrText>
      </w:r>
      <w:r>
        <w:rPr>
          <w:rFonts w:hint="eastAsia" w:ascii="宋体" w:hAnsi="宋体" w:eastAsia="宋体" w:cs="宋体"/>
          <w:sz w:val="28"/>
          <w:szCs w:val="24"/>
        </w:rPr>
        <w:fldChar w:fldCharType="separate"/>
      </w:r>
      <w:r>
        <w:rPr>
          <w:rFonts w:hint="eastAsia" w:ascii="宋体" w:hAnsi="宋体" w:eastAsia="宋体" w:cs="宋体"/>
          <w:sz w:val="28"/>
          <w:szCs w:val="24"/>
        </w:rPr>
        <w:t>4</w:t>
      </w:r>
      <w:r>
        <w:rPr>
          <w:rFonts w:hint="eastAsia" w:ascii="宋体" w:hAnsi="宋体" w:eastAsia="宋体" w:cs="宋体"/>
          <w:sz w:val="28"/>
          <w:szCs w:val="24"/>
        </w:rPr>
        <w:fldChar w:fldCharType="end"/>
      </w:r>
      <w:r>
        <w:rPr>
          <w:rFonts w:hint="eastAsia" w:ascii="宋体" w:hAnsi="宋体" w:eastAsia="宋体" w:cs="宋体"/>
          <w:sz w:val="28"/>
          <w:szCs w:val="24"/>
        </w:rPr>
        <w:fldChar w:fldCharType="end"/>
      </w:r>
    </w:p>
    <w:p w14:paraId="2E524D1E">
      <w:pPr>
        <w:pStyle w:val="27"/>
        <w:tabs>
          <w:tab w:val="right" w:leader="dot" w:pos="8844"/>
        </w:tabs>
        <w:rPr>
          <w:rFonts w:hint="eastAsia" w:ascii="宋体" w:hAnsi="宋体" w:eastAsia="宋体" w:cs="宋体"/>
          <w:sz w:val="28"/>
          <w:szCs w:val="24"/>
        </w:rPr>
      </w:pP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HYPERLINK \l _Toc23422 </w:instrText>
      </w:r>
      <w:r>
        <w:rPr>
          <w:rFonts w:hint="eastAsia" w:ascii="宋体" w:hAnsi="宋体" w:eastAsia="宋体" w:cs="宋体"/>
          <w:sz w:val="28"/>
          <w:szCs w:val="24"/>
        </w:rPr>
        <w:fldChar w:fldCharType="separate"/>
      </w:r>
      <w:r>
        <w:rPr>
          <w:rFonts w:hint="eastAsia" w:ascii="宋体" w:hAnsi="宋体" w:eastAsia="宋体" w:cs="宋体"/>
          <w:sz w:val="28"/>
          <w:szCs w:val="40"/>
          <w:highlight w:val="white"/>
        </w:rPr>
        <w:t>第三章 评审方法（综合评分法）</w:t>
      </w:r>
      <w:r>
        <w:rPr>
          <w:rFonts w:hint="eastAsia" w:ascii="宋体" w:hAnsi="宋体" w:eastAsia="宋体" w:cs="宋体"/>
          <w:sz w:val="28"/>
          <w:szCs w:val="24"/>
        </w:rPr>
        <w:tab/>
      </w: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PAGEREF _Toc23422 \h </w:instrText>
      </w:r>
      <w:r>
        <w:rPr>
          <w:rFonts w:hint="eastAsia" w:ascii="宋体" w:hAnsi="宋体" w:eastAsia="宋体" w:cs="宋体"/>
          <w:sz w:val="28"/>
          <w:szCs w:val="24"/>
        </w:rPr>
        <w:fldChar w:fldCharType="separate"/>
      </w:r>
      <w:r>
        <w:rPr>
          <w:rFonts w:hint="eastAsia" w:ascii="宋体" w:hAnsi="宋体" w:eastAsia="宋体" w:cs="宋体"/>
          <w:sz w:val="28"/>
          <w:szCs w:val="24"/>
        </w:rPr>
        <w:t>20</w:t>
      </w:r>
      <w:r>
        <w:rPr>
          <w:rFonts w:hint="eastAsia" w:ascii="宋体" w:hAnsi="宋体" w:eastAsia="宋体" w:cs="宋体"/>
          <w:sz w:val="28"/>
          <w:szCs w:val="24"/>
        </w:rPr>
        <w:fldChar w:fldCharType="end"/>
      </w:r>
      <w:r>
        <w:rPr>
          <w:rFonts w:hint="eastAsia" w:ascii="宋体" w:hAnsi="宋体" w:eastAsia="宋体" w:cs="宋体"/>
          <w:sz w:val="28"/>
          <w:szCs w:val="24"/>
        </w:rPr>
        <w:fldChar w:fldCharType="end"/>
      </w:r>
    </w:p>
    <w:p w14:paraId="2758EF8A">
      <w:pPr>
        <w:pStyle w:val="27"/>
        <w:tabs>
          <w:tab w:val="right" w:leader="dot" w:pos="8844"/>
        </w:tabs>
        <w:rPr>
          <w:rFonts w:hint="eastAsia" w:ascii="宋体" w:hAnsi="宋体" w:eastAsia="宋体" w:cs="宋体"/>
          <w:sz w:val="28"/>
          <w:szCs w:val="24"/>
        </w:rPr>
      </w:pP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HYPERLINK \l _Toc17376 </w:instrText>
      </w:r>
      <w:r>
        <w:rPr>
          <w:rFonts w:hint="eastAsia" w:ascii="宋体" w:hAnsi="宋体" w:eastAsia="宋体" w:cs="宋体"/>
          <w:sz w:val="28"/>
          <w:szCs w:val="24"/>
        </w:rPr>
        <w:fldChar w:fldCharType="separate"/>
      </w:r>
      <w:r>
        <w:rPr>
          <w:rFonts w:hint="eastAsia" w:ascii="宋体" w:hAnsi="宋体" w:eastAsia="宋体" w:cs="宋体"/>
          <w:kern w:val="0"/>
          <w:sz w:val="28"/>
          <w:szCs w:val="40"/>
        </w:rPr>
        <w:t>第四章 合同条款及格式</w:t>
      </w:r>
      <w:r>
        <w:rPr>
          <w:rFonts w:hint="eastAsia" w:ascii="宋体" w:hAnsi="宋体" w:eastAsia="宋体" w:cs="宋体"/>
          <w:sz w:val="28"/>
          <w:szCs w:val="24"/>
        </w:rPr>
        <w:tab/>
      </w: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PAGEREF _Toc17376 \h </w:instrText>
      </w:r>
      <w:r>
        <w:rPr>
          <w:rFonts w:hint="eastAsia" w:ascii="宋体" w:hAnsi="宋体" w:eastAsia="宋体" w:cs="宋体"/>
          <w:sz w:val="28"/>
          <w:szCs w:val="24"/>
        </w:rPr>
        <w:fldChar w:fldCharType="separate"/>
      </w:r>
      <w:r>
        <w:rPr>
          <w:rFonts w:hint="eastAsia" w:ascii="宋体" w:hAnsi="宋体" w:eastAsia="宋体" w:cs="宋体"/>
          <w:sz w:val="28"/>
          <w:szCs w:val="24"/>
        </w:rPr>
        <w:t>24</w:t>
      </w:r>
      <w:r>
        <w:rPr>
          <w:rFonts w:hint="eastAsia" w:ascii="宋体" w:hAnsi="宋体" w:eastAsia="宋体" w:cs="宋体"/>
          <w:sz w:val="28"/>
          <w:szCs w:val="24"/>
        </w:rPr>
        <w:fldChar w:fldCharType="end"/>
      </w:r>
      <w:r>
        <w:rPr>
          <w:rFonts w:hint="eastAsia" w:ascii="宋体" w:hAnsi="宋体" w:eastAsia="宋体" w:cs="宋体"/>
          <w:sz w:val="28"/>
          <w:szCs w:val="24"/>
        </w:rPr>
        <w:fldChar w:fldCharType="end"/>
      </w:r>
    </w:p>
    <w:p w14:paraId="45392BB2">
      <w:pPr>
        <w:pStyle w:val="27"/>
        <w:tabs>
          <w:tab w:val="right" w:leader="dot" w:pos="8844"/>
        </w:tabs>
        <w:rPr>
          <w:rFonts w:hint="eastAsia" w:ascii="宋体" w:hAnsi="宋体" w:eastAsia="宋体" w:cs="宋体"/>
          <w:sz w:val="28"/>
          <w:szCs w:val="24"/>
        </w:rPr>
      </w:pP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HYPERLINK \l _Toc4396 </w:instrText>
      </w:r>
      <w:r>
        <w:rPr>
          <w:rFonts w:hint="eastAsia" w:ascii="宋体" w:hAnsi="宋体" w:eastAsia="宋体" w:cs="宋体"/>
          <w:sz w:val="28"/>
          <w:szCs w:val="24"/>
        </w:rPr>
        <w:fldChar w:fldCharType="separate"/>
      </w:r>
      <w:r>
        <w:rPr>
          <w:rFonts w:hint="eastAsia" w:ascii="宋体" w:hAnsi="宋体" w:eastAsia="宋体" w:cs="宋体"/>
          <w:sz w:val="28"/>
          <w:szCs w:val="40"/>
          <w:highlight w:val="white"/>
        </w:rPr>
        <w:t xml:space="preserve">第五章 </w:t>
      </w:r>
      <w:r>
        <w:rPr>
          <w:rFonts w:hint="eastAsia" w:ascii="宋体" w:hAnsi="宋体" w:eastAsia="宋体" w:cs="宋体"/>
          <w:sz w:val="28"/>
          <w:szCs w:val="40"/>
          <w:highlight w:val="white"/>
          <w:lang w:val="en-US" w:eastAsia="zh-CN"/>
        </w:rPr>
        <w:t>采购人需求</w:t>
      </w:r>
      <w:r>
        <w:rPr>
          <w:rFonts w:hint="eastAsia" w:ascii="宋体" w:hAnsi="宋体" w:eastAsia="宋体" w:cs="宋体"/>
          <w:sz w:val="28"/>
          <w:szCs w:val="24"/>
        </w:rPr>
        <w:tab/>
      </w: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PAGEREF _Toc4396 \h </w:instrText>
      </w:r>
      <w:r>
        <w:rPr>
          <w:rFonts w:hint="eastAsia" w:ascii="宋体" w:hAnsi="宋体" w:eastAsia="宋体" w:cs="宋体"/>
          <w:sz w:val="28"/>
          <w:szCs w:val="24"/>
        </w:rPr>
        <w:fldChar w:fldCharType="separate"/>
      </w:r>
      <w:r>
        <w:rPr>
          <w:rFonts w:hint="eastAsia" w:ascii="宋体" w:hAnsi="宋体" w:eastAsia="宋体" w:cs="宋体"/>
          <w:sz w:val="28"/>
          <w:szCs w:val="24"/>
        </w:rPr>
        <w:t>34</w:t>
      </w:r>
      <w:r>
        <w:rPr>
          <w:rFonts w:hint="eastAsia" w:ascii="宋体" w:hAnsi="宋体" w:eastAsia="宋体" w:cs="宋体"/>
          <w:sz w:val="28"/>
          <w:szCs w:val="24"/>
        </w:rPr>
        <w:fldChar w:fldCharType="end"/>
      </w:r>
      <w:r>
        <w:rPr>
          <w:rFonts w:hint="eastAsia" w:ascii="宋体" w:hAnsi="宋体" w:eastAsia="宋体" w:cs="宋体"/>
          <w:sz w:val="28"/>
          <w:szCs w:val="24"/>
        </w:rPr>
        <w:fldChar w:fldCharType="end"/>
      </w:r>
    </w:p>
    <w:p w14:paraId="1F8B550E">
      <w:pPr>
        <w:pStyle w:val="27"/>
        <w:tabs>
          <w:tab w:val="right" w:leader="dot" w:pos="8844"/>
        </w:tabs>
        <w:rPr>
          <w:rFonts w:hint="eastAsia" w:eastAsia="宋体"/>
          <w:lang w:eastAsia="zh-CN"/>
        </w:rPr>
      </w:pP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HYPERLINK \l _Toc16170 </w:instrText>
      </w:r>
      <w:r>
        <w:rPr>
          <w:rFonts w:hint="eastAsia" w:ascii="宋体" w:hAnsi="宋体" w:eastAsia="宋体" w:cs="宋体"/>
          <w:sz w:val="28"/>
          <w:szCs w:val="24"/>
        </w:rPr>
        <w:fldChar w:fldCharType="separate"/>
      </w:r>
      <w:r>
        <w:rPr>
          <w:rFonts w:hint="eastAsia" w:ascii="宋体" w:hAnsi="宋体" w:eastAsia="宋体" w:cs="宋体"/>
          <w:sz w:val="28"/>
          <w:szCs w:val="40"/>
          <w:highlight w:val="white"/>
        </w:rPr>
        <w:t>第六章 响应文件格式</w:t>
      </w:r>
      <w:r>
        <w:rPr>
          <w:rFonts w:hint="eastAsia" w:ascii="宋体" w:hAnsi="宋体" w:eastAsia="宋体" w:cs="宋体"/>
          <w:sz w:val="28"/>
          <w:szCs w:val="24"/>
        </w:rPr>
        <w:tab/>
      </w: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PAGEREF _Toc16170 \h </w:instrText>
      </w:r>
      <w:r>
        <w:rPr>
          <w:rFonts w:hint="eastAsia" w:ascii="宋体" w:hAnsi="宋体" w:eastAsia="宋体" w:cs="宋体"/>
          <w:sz w:val="28"/>
          <w:szCs w:val="24"/>
        </w:rPr>
        <w:fldChar w:fldCharType="separate"/>
      </w:r>
      <w:r>
        <w:rPr>
          <w:rFonts w:hint="eastAsia" w:ascii="宋体" w:hAnsi="宋体" w:eastAsia="宋体" w:cs="宋体"/>
          <w:sz w:val="28"/>
          <w:szCs w:val="24"/>
        </w:rPr>
        <w:t>37</w:t>
      </w:r>
      <w:r>
        <w:rPr>
          <w:rFonts w:hint="eastAsia" w:ascii="宋体" w:hAnsi="宋体" w:eastAsia="宋体" w:cs="宋体"/>
          <w:sz w:val="28"/>
          <w:szCs w:val="24"/>
        </w:rPr>
        <w:fldChar w:fldCharType="end"/>
      </w:r>
      <w:r>
        <w:rPr>
          <w:rFonts w:hint="eastAsia" w:ascii="宋体" w:hAnsi="宋体" w:eastAsia="宋体" w:cs="宋体"/>
          <w:sz w:val="28"/>
          <w:szCs w:val="24"/>
        </w:rPr>
        <w:fldChar w:fldCharType="end"/>
      </w:r>
    </w:p>
    <w:p w14:paraId="2FC23C9C"/>
    <w:p w14:paraId="55C4026E"/>
    <w:p w14:paraId="67FC75EC">
      <w:pPr>
        <w:rPr>
          <w:sz w:val="20"/>
          <w:szCs w:val="21"/>
        </w:rPr>
      </w:pPr>
    </w:p>
    <w:p w14:paraId="2DB6ED4B"/>
    <w:p w14:paraId="4D6294E8"/>
    <w:p w14:paraId="02FE8B4C"/>
    <w:p w14:paraId="0A74BDA0"/>
    <w:p w14:paraId="1632825D"/>
    <w:p w14:paraId="46FDC7D4"/>
    <w:p w14:paraId="5578A6C5"/>
    <w:p w14:paraId="21EEFA87"/>
    <w:p w14:paraId="7106A4ED"/>
    <w:p w14:paraId="5BA382F3"/>
    <w:p w14:paraId="136F800A"/>
    <w:p w14:paraId="6F8FAE93"/>
    <w:p w14:paraId="300C68F8"/>
    <w:p w14:paraId="3A72D3D6"/>
    <w:p w14:paraId="0B85317E">
      <w:pPr>
        <w:pStyle w:val="2"/>
        <w:bidi w:val="0"/>
        <w:rPr>
          <w:rFonts w:hint="eastAsia" w:ascii="宋体" w:hAnsi="宋体" w:cs="宋体"/>
        </w:rPr>
        <w:sectPr>
          <w:footerReference r:id="rId7" w:type="default"/>
          <w:pgSz w:w="11906" w:h="16838"/>
          <w:pgMar w:top="1440" w:right="1531" w:bottom="1440" w:left="1531" w:header="851" w:footer="992" w:gutter="0"/>
          <w:pgNumType w:fmt="decimal" w:start="1"/>
          <w:cols w:space="720" w:num="1"/>
          <w:docGrid w:type="lines" w:linePitch="312" w:charSpace="0"/>
        </w:sectPr>
      </w:pPr>
    </w:p>
    <w:p w14:paraId="75EB8B09">
      <w:pPr>
        <w:pStyle w:val="2"/>
        <w:bidi w:val="0"/>
        <w:rPr>
          <w:rFonts w:hint="eastAsia" w:ascii="宋体" w:hAnsi="宋体" w:cs="宋体"/>
        </w:rPr>
      </w:pPr>
      <w:r>
        <w:rPr>
          <w:rFonts w:hint="eastAsia" w:ascii="宋体" w:hAnsi="宋体" w:cs="宋体"/>
        </w:rPr>
        <w:fldChar w:fldCharType="end"/>
      </w:r>
      <w:bookmarkStart w:id="2" w:name="_Toc532543563"/>
      <w:bookmarkStart w:id="3" w:name="_Toc17923"/>
      <w:bookmarkStart w:id="4" w:name="_Toc18162"/>
      <w:bookmarkStart w:id="5" w:name="EBd1a6136fe5144227b12ab2e6f6004aca"/>
      <w:r>
        <w:rPr>
          <w:rFonts w:hint="eastAsia" w:ascii="宋体" w:hAnsi="宋体" w:cs="宋体"/>
          <w:sz w:val="36"/>
          <w:szCs w:val="36"/>
          <w:highlight w:val="white"/>
        </w:rPr>
        <w:t>第一章 竞争性磋商</w:t>
      </w:r>
      <w:bookmarkEnd w:id="2"/>
      <w:r>
        <w:rPr>
          <w:rFonts w:hint="eastAsia" w:ascii="宋体" w:hAnsi="宋体" w:cs="宋体"/>
          <w:sz w:val="36"/>
          <w:szCs w:val="36"/>
          <w:highlight w:val="white"/>
        </w:rPr>
        <w:t>公告</w:t>
      </w:r>
      <w:bookmarkEnd w:id="3"/>
      <w:bookmarkEnd w:id="4"/>
    </w:p>
    <w:bookmarkEnd w:id="5"/>
    <w:p w14:paraId="35FFCAD0">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sz w:val="24"/>
          <w:szCs w:val="24"/>
        </w:rPr>
      </w:pPr>
      <w:r>
        <w:rPr>
          <w:rFonts w:hint="eastAsia" w:ascii="宋体" w:hAnsi="宋体" w:cs="宋体"/>
          <w:sz w:val="24"/>
          <w:szCs w:val="24"/>
        </w:rPr>
        <w:t>项目概况</w:t>
      </w:r>
    </w:p>
    <w:p w14:paraId="7D39370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rPr>
      </w:pPr>
      <w:r>
        <w:rPr>
          <w:rFonts w:hint="eastAsia" w:ascii="宋体" w:hAnsi="宋体"/>
          <w:sz w:val="24"/>
          <w:szCs w:val="28"/>
          <w:lang w:eastAsia="zh-CN"/>
        </w:rPr>
        <w:t>伊吾县气象防灾减灾运行维护服务项目</w:t>
      </w:r>
      <w:r>
        <w:rPr>
          <w:rFonts w:hint="eastAsia" w:ascii="宋体" w:hAnsi="宋体" w:cs="宋体"/>
          <w:sz w:val="24"/>
          <w:szCs w:val="24"/>
        </w:rPr>
        <w:t>的潜在供应商应登陆政采云平台</w:t>
      </w:r>
      <w:r>
        <w:rPr>
          <w:rFonts w:ascii="宋体" w:hAnsi="宋体" w:cs="宋体"/>
          <w:sz w:val="24"/>
          <w:szCs w:val="24"/>
        </w:rPr>
        <w:t>http://www.ccgp-xinjiang.gov.cn</w:t>
      </w:r>
      <w:r>
        <w:rPr>
          <w:rFonts w:hint="eastAsia" w:ascii="宋体" w:hAnsi="宋体" w:cs="宋体"/>
          <w:sz w:val="24"/>
          <w:szCs w:val="24"/>
        </w:rPr>
        <w:t>在线申请获取采购文件，并于</w:t>
      </w:r>
      <w:r>
        <w:rPr>
          <w:rFonts w:hint="eastAsia" w:ascii="宋体" w:hAnsi="宋体" w:cs="宋体"/>
          <w:b/>
          <w:bCs/>
          <w:color w:val="000000"/>
          <w:sz w:val="24"/>
          <w:szCs w:val="24"/>
          <w:lang w:eastAsia="zh-CN"/>
        </w:rPr>
        <w:t>2025年</w:t>
      </w:r>
      <w:r>
        <w:rPr>
          <w:rFonts w:hint="eastAsia" w:ascii="宋体" w:hAnsi="宋体" w:cs="宋体"/>
          <w:b/>
          <w:bCs/>
          <w:color w:val="000000"/>
          <w:sz w:val="24"/>
          <w:szCs w:val="24"/>
          <w:lang w:val="en-US" w:eastAsia="zh-CN"/>
        </w:rPr>
        <w:t>7</w:t>
      </w:r>
      <w:r>
        <w:rPr>
          <w:rFonts w:hint="eastAsia" w:ascii="宋体" w:hAnsi="宋体" w:cs="宋体"/>
          <w:b/>
          <w:bCs/>
          <w:color w:val="000000"/>
          <w:sz w:val="24"/>
          <w:szCs w:val="24"/>
          <w:lang w:eastAsia="zh-CN"/>
        </w:rPr>
        <w:t>月</w:t>
      </w:r>
      <w:r>
        <w:rPr>
          <w:rFonts w:hint="eastAsia" w:ascii="宋体" w:hAnsi="宋体" w:cs="宋体"/>
          <w:b/>
          <w:bCs/>
          <w:color w:val="000000"/>
          <w:sz w:val="24"/>
          <w:szCs w:val="24"/>
          <w:lang w:val="en-US" w:eastAsia="zh-CN"/>
        </w:rPr>
        <w:t>4</w:t>
      </w:r>
      <w:r>
        <w:rPr>
          <w:rFonts w:hint="eastAsia" w:ascii="宋体" w:hAnsi="宋体" w:cs="宋体"/>
          <w:b/>
          <w:bCs/>
          <w:color w:val="000000"/>
          <w:sz w:val="24"/>
          <w:szCs w:val="24"/>
          <w:lang w:eastAsia="zh-CN"/>
        </w:rPr>
        <w:t>日</w:t>
      </w:r>
      <w:r>
        <w:rPr>
          <w:rFonts w:hint="eastAsia" w:ascii="宋体" w:hAnsi="宋体" w:cs="宋体"/>
          <w:b/>
          <w:bCs/>
          <w:color w:val="000000"/>
          <w:sz w:val="24"/>
          <w:szCs w:val="24"/>
        </w:rPr>
        <w:t>1</w:t>
      </w:r>
      <w:r>
        <w:rPr>
          <w:rFonts w:hint="eastAsia" w:ascii="宋体" w:hAnsi="宋体" w:cs="宋体"/>
          <w:b/>
          <w:bCs/>
          <w:color w:val="000000"/>
          <w:sz w:val="24"/>
          <w:szCs w:val="24"/>
          <w:lang w:val="en-US" w:eastAsia="zh-CN"/>
        </w:rPr>
        <w:t>0</w:t>
      </w:r>
      <w:r>
        <w:rPr>
          <w:rFonts w:hint="eastAsia" w:ascii="宋体" w:hAnsi="宋体" w:cs="宋体"/>
          <w:b/>
          <w:bCs/>
          <w:color w:val="000000"/>
          <w:sz w:val="24"/>
          <w:szCs w:val="24"/>
        </w:rPr>
        <w:t>:</w:t>
      </w:r>
      <w:r>
        <w:rPr>
          <w:rFonts w:hint="eastAsia" w:ascii="宋体" w:hAnsi="宋体" w:cs="宋体"/>
          <w:b/>
          <w:bCs/>
          <w:color w:val="000000"/>
          <w:sz w:val="24"/>
          <w:szCs w:val="24"/>
          <w:lang w:val="en-US" w:eastAsia="zh-CN"/>
        </w:rPr>
        <w:t>0</w:t>
      </w:r>
      <w:r>
        <w:rPr>
          <w:rFonts w:hint="eastAsia" w:ascii="宋体" w:hAnsi="宋体" w:cs="宋体"/>
          <w:b/>
          <w:bCs/>
          <w:color w:val="000000"/>
          <w:sz w:val="24"/>
          <w:szCs w:val="24"/>
        </w:rPr>
        <w:t>0</w:t>
      </w:r>
      <w:r>
        <w:rPr>
          <w:rFonts w:hint="eastAsia" w:ascii="宋体" w:hAnsi="宋体" w:cs="宋体"/>
          <w:sz w:val="24"/>
          <w:szCs w:val="24"/>
        </w:rPr>
        <w:t>（北京时间）前提交投标文件。</w:t>
      </w:r>
    </w:p>
    <w:p w14:paraId="75B202F9">
      <w:pPr>
        <w:pStyle w:val="113"/>
        <w:widowControl/>
        <w:numPr>
          <w:ilvl w:val="0"/>
          <w:numId w:val="2"/>
        </w:numPr>
        <w:spacing w:line="360" w:lineRule="auto"/>
        <w:ind w:firstLineChars="0"/>
        <w:rPr>
          <w:rFonts w:hint="eastAsia" w:ascii="宋体" w:hAnsi="宋体" w:cs="宋体"/>
        </w:rPr>
      </w:pPr>
      <w:r>
        <w:rPr>
          <w:rFonts w:hint="eastAsia" w:ascii="宋体" w:hAnsi="宋体" w:cs="宋体"/>
          <w:b/>
          <w:color w:val="000000"/>
          <w:sz w:val="24"/>
          <w:szCs w:val="24"/>
        </w:rPr>
        <w:t>项目基本情况</w:t>
      </w:r>
    </w:p>
    <w:p w14:paraId="06FDD261">
      <w:pPr>
        <w:pStyle w:val="95"/>
        <w:spacing w:line="360" w:lineRule="auto"/>
        <w:ind w:firstLine="480" w:firstLineChars="200"/>
        <w:rPr>
          <w:rFonts w:hint="default" w:ascii="宋体" w:hAnsi="宋体" w:eastAsia="宋体" w:cs="宋体"/>
          <w:sz w:val="24"/>
          <w:szCs w:val="28"/>
          <w:lang w:val="en-US" w:eastAsia="zh-CN"/>
        </w:rPr>
      </w:pPr>
      <w:r>
        <w:rPr>
          <w:rFonts w:hint="eastAsia" w:ascii="宋体" w:hAnsi="宋体" w:cs="宋体"/>
          <w:color w:val="000000"/>
          <w:sz w:val="24"/>
          <w:szCs w:val="24"/>
          <w:lang w:eastAsia="zh-CN" w:bidi="ar"/>
        </w:rPr>
        <w:t>项目</w:t>
      </w:r>
      <w:r>
        <w:rPr>
          <w:rFonts w:hint="eastAsia" w:ascii="宋体" w:hAnsi="宋体" w:cs="宋体"/>
          <w:color w:val="000000"/>
          <w:sz w:val="24"/>
          <w:szCs w:val="24"/>
          <w:lang w:bidi="ar"/>
        </w:rPr>
        <w:t>编号</w:t>
      </w:r>
      <w:r>
        <w:rPr>
          <w:rFonts w:hint="eastAsia" w:ascii="宋体" w:hAnsi="宋体" w:cs="宋体"/>
          <w:color w:val="000000"/>
          <w:sz w:val="24"/>
          <w:szCs w:val="24"/>
          <w:lang w:eastAsia="zh-CN" w:bidi="ar"/>
        </w:rPr>
        <w:t>：</w:t>
      </w:r>
      <w:r>
        <w:rPr>
          <w:rFonts w:hint="eastAsia" w:ascii="宋体" w:hAnsi="宋体" w:eastAsia="宋体" w:cs="宋体"/>
          <w:sz w:val="24"/>
          <w:szCs w:val="28"/>
        </w:rPr>
        <w:t>XJHF202</w:t>
      </w:r>
      <w:r>
        <w:rPr>
          <w:rFonts w:hint="eastAsia" w:ascii="宋体" w:hAnsi="宋体" w:cs="宋体"/>
          <w:sz w:val="24"/>
          <w:szCs w:val="28"/>
          <w:lang w:val="en-US" w:eastAsia="zh-CN"/>
        </w:rPr>
        <w:t>5</w:t>
      </w:r>
      <w:r>
        <w:rPr>
          <w:rFonts w:hint="eastAsia" w:ascii="宋体" w:hAnsi="宋体" w:eastAsia="宋体" w:cs="宋体"/>
          <w:sz w:val="24"/>
          <w:szCs w:val="28"/>
          <w:lang w:val="en-US" w:eastAsia="zh-CN"/>
        </w:rPr>
        <w:t>-0</w:t>
      </w:r>
      <w:r>
        <w:rPr>
          <w:rFonts w:hint="eastAsia" w:ascii="宋体" w:hAnsi="宋体" w:cs="宋体"/>
          <w:sz w:val="24"/>
          <w:szCs w:val="28"/>
          <w:lang w:val="en-US" w:eastAsia="zh-CN"/>
        </w:rPr>
        <w:t>17</w:t>
      </w:r>
    </w:p>
    <w:p w14:paraId="614A5F75">
      <w:pPr>
        <w:pStyle w:val="95"/>
        <w:spacing w:line="360" w:lineRule="auto"/>
        <w:ind w:firstLine="480" w:firstLineChars="200"/>
        <w:rPr>
          <w:rFonts w:hint="eastAsia" w:ascii="宋体" w:hAnsi="宋体"/>
          <w:sz w:val="24"/>
          <w:szCs w:val="28"/>
          <w:lang w:eastAsia="zh-CN"/>
        </w:rPr>
      </w:pPr>
      <w:r>
        <w:rPr>
          <w:rFonts w:hint="eastAsia" w:hAnsi="宋体" w:cs="宋体"/>
          <w:sz w:val="24"/>
          <w:szCs w:val="28"/>
        </w:rPr>
        <w:t>项目名称：</w:t>
      </w:r>
      <w:r>
        <w:rPr>
          <w:rFonts w:hint="eastAsia" w:ascii="宋体" w:hAnsi="宋体"/>
          <w:sz w:val="24"/>
          <w:szCs w:val="28"/>
          <w:lang w:eastAsia="zh-CN"/>
        </w:rPr>
        <w:t>伊吾县气象防灾减灾运行维护服务项目</w:t>
      </w:r>
    </w:p>
    <w:p w14:paraId="3D5D5CE4">
      <w:pPr>
        <w:pStyle w:val="95"/>
        <w:spacing w:line="360" w:lineRule="auto"/>
        <w:ind w:firstLine="480" w:firstLineChars="200"/>
        <w:rPr>
          <w:rFonts w:hint="eastAsia" w:hAnsi="宋体" w:cs="宋体"/>
          <w:sz w:val="24"/>
          <w:szCs w:val="28"/>
        </w:rPr>
      </w:pPr>
      <w:r>
        <w:rPr>
          <w:rFonts w:hint="eastAsia" w:hAnsi="宋体" w:cs="宋体"/>
          <w:sz w:val="24"/>
          <w:szCs w:val="28"/>
        </w:rPr>
        <w:t>采购方式：竞争性磋商</w:t>
      </w:r>
    </w:p>
    <w:p w14:paraId="5B4B0434">
      <w:pPr>
        <w:pStyle w:val="95"/>
        <w:spacing w:line="360" w:lineRule="auto"/>
        <w:ind w:firstLine="480" w:firstLineChars="200"/>
        <w:rPr>
          <w:rFonts w:hint="default" w:hAnsi="宋体" w:eastAsia="宋体" w:cs="宋体"/>
          <w:sz w:val="24"/>
          <w:szCs w:val="28"/>
          <w:lang w:val="en-US" w:eastAsia="zh-CN"/>
        </w:rPr>
      </w:pPr>
      <w:r>
        <w:rPr>
          <w:rFonts w:hint="eastAsia" w:hAnsi="宋体" w:cs="宋体"/>
          <w:sz w:val="24"/>
          <w:szCs w:val="28"/>
        </w:rPr>
        <w:t>预算金额：</w:t>
      </w:r>
      <w:r>
        <w:rPr>
          <w:rFonts w:hint="eastAsia" w:ascii="宋体" w:hAnsi="宋体"/>
          <w:sz w:val="24"/>
          <w:szCs w:val="28"/>
          <w:lang w:val="en-US" w:eastAsia="zh-CN"/>
        </w:rPr>
        <w:t>1180000.00</w:t>
      </w:r>
      <w:r>
        <w:rPr>
          <w:rFonts w:hint="eastAsia" w:hAnsi="宋体" w:cs="宋体"/>
          <w:sz w:val="24"/>
          <w:szCs w:val="28"/>
        </w:rPr>
        <w:t>元</w:t>
      </w:r>
      <w:r>
        <w:rPr>
          <w:rFonts w:hint="eastAsia" w:hAnsi="宋体" w:cs="宋体"/>
          <w:sz w:val="24"/>
          <w:szCs w:val="28"/>
          <w:lang w:val="en-US" w:eastAsia="zh-CN"/>
        </w:rPr>
        <w:t>/年</w:t>
      </w:r>
    </w:p>
    <w:p w14:paraId="45F8C287">
      <w:pPr>
        <w:pStyle w:val="28"/>
        <w:spacing w:line="360" w:lineRule="auto"/>
        <w:ind w:left="479" w:leftChars="228" w:firstLine="0" w:firstLineChars="0"/>
        <w:rPr>
          <w:rFonts w:hint="eastAsia" w:ascii="宋体" w:hAnsi="宋体" w:eastAsia="宋体" w:cs="宋体"/>
          <w:color w:val="000000"/>
          <w:sz w:val="24"/>
          <w:szCs w:val="24"/>
          <w:u w:val="single"/>
          <w:lang w:eastAsia="zh-CN" w:bidi="ar"/>
        </w:rPr>
      </w:pPr>
      <w:r>
        <w:rPr>
          <w:rFonts w:hint="eastAsia" w:ascii="宋体" w:hAnsi="宋体" w:cs="宋体"/>
          <w:sz w:val="24"/>
          <w:szCs w:val="24"/>
          <w:lang w:bidi="ar"/>
        </w:rPr>
        <w:t>采购</w:t>
      </w:r>
      <w:r>
        <w:rPr>
          <w:rFonts w:hint="eastAsia" w:ascii="宋体" w:hAnsi="宋体" w:cs="宋体"/>
          <w:sz w:val="24"/>
          <w:szCs w:val="24"/>
          <w:lang w:val="en-US" w:eastAsia="zh-CN" w:bidi="ar"/>
        </w:rPr>
        <w:t>内容</w:t>
      </w:r>
      <w:r>
        <w:rPr>
          <w:rFonts w:hint="eastAsia" w:ascii="宋体" w:hAnsi="宋体" w:cs="宋体"/>
          <w:sz w:val="24"/>
          <w:szCs w:val="24"/>
          <w:lang w:bidi="ar"/>
        </w:rPr>
        <w:t>：</w:t>
      </w:r>
      <w:r>
        <w:rPr>
          <w:rFonts w:hint="eastAsia" w:ascii="宋体" w:hAnsi="宋体"/>
          <w:sz w:val="24"/>
          <w:szCs w:val="28"/>
          <w:lang w:eastAsia="zh-CN"/>
        </w:rPr>
        <w:t>对县域内现有的雷达、气象防灾减灾业务平台、高山测雪监测站、应用观测站等进行运行维护及更新，</w:t>
      </w:r>
      <w:r>
        <w:rPr>
          <w:rFonts w:hint="eastAsia"/>
          <w:kern w:val="0"/>
          <w:sz w:val="24"/>
          <w:lang w:val="en-US" w:eastAsia="zh-CN"/>
        </w:rPr>
        <w:t>气象数据必须接入新疆气象信息中心中心站软件，传输数据必须由新疆气象信息中心中心站进行质检</w:t>
      </w:r>
      <w:r>
        <w:rPr>
          <w:rFonts w:hint="eastAsia" w:ascii="宋体" w:hAnsi="宋体"/>
          <w:sz w:val="24"/>
          <w:szCs w:val="28"/>
          <w:lang w:eastAsia="zh-CN"/>
        </w:rPr>
        <w:t>（具体详见磋商文件）。</w:t>
      </w:r>
    </w:p>
    <w:p w14:paraId="4EC7FE5D">
      <w:pPr>
        <w:pStyle w:val="95"/>
        <w:spacing w:line="360" w:lineRule="auto"/>
        <w:ind w:firstLine="480" w:firstLineChars="200"/>
        <w:rPr>
          <w:rFonts w:hint="eastAsia" w:ascii="宋体" w:hAnsi="宋体" w:cs="宋体"/>
          <w:color w:val="auto"/>
          <w:sz w:val="24"/>
          <w:szCs w:val="24"/>
          <w:lang w:val="en-US" w:eastAsia="zh-CN" w:bidi="ar"/>
        </w:rPr>
      </w:pPr>
      <w:r>
        <w:rPr>
          <w:rFonts w:hint="eastAsia" w:ascii="宋体" w:hAnsi="宋体" w:cs="宋体"/>
          <w:color w:val="auto"/>
          <w:sz w:val="24"/>
          <w:szCs w:val="24"/>
          <w:lang w:val="en-US" w:eastAsia="zh-CN" w:bidi="ar"/>
        </w:rPr>
        <w:t>服务期</w:t>
      </w:r>
      <w:r>
        <w:rPr>
          <w:rFonts w:hint="eastAsia" w:ascii="宋体" w:hAnsi="宋体" w:cs="宋体"/>
          <w:color w:val="auto"/>
          <w:sz w:val="24"/>
          <w:szCs w:val="24"/>
          <w:lang w:bidi="ar"/>
        </w:rPr>
        <w:t>：</w:t>
      </w:r>
      <w:r>
        <w:rPr>
          <w:rFonts w:hint="eastAsia" w:ascii="宋体" w:hAnsi="宋体" w:cs="宋体"/>
          <w:color w:val="auto"/>
          <w:sz w:val="24"/>
          <w:szCs w:val="24"/>
          <w:lang w:val="en-US" w:eastAsia="zh-CN" w:bidi="ar"/>
        </w:rPr>
        <w:t xml:space="preserve">三年，合同一年一签，总期限不超过三年。 </w:t>
      </w:r>
    </w:p>
    <w:p w14:paraId="2FB48927">
      <w:pPr>
        <w:pStyle w:val="95"/>
        <w:spacing w:line="360" w:lineRule="auto"/>
        <w:ind w:firstLine="480" w:firstLineChars="200"/>
        <w:rPr>
          <w:rFonts w:hint="eastAsia" w:ascii="宋体" w:hAnsi="宋体" w:cs="宋体"/>
          <w:highlight w:val="red"/>
        </w:rPr>
      </w:pPr>
      <w:r>
        <w:rPr>
          <w:rFonts w:hint="eastAsia" w:ascii="宋体" w:hAnsi="宋体" w:cs="宋体"/>
          <w:sz w:val="24"/>
          <w:szCs w:val="24"/>
          <w:lang w:bidi="ar"/>
        </w:rPr>
        <w:t>本项目（是/否）接受联合体投标：</w:t>
      </w:r>
      <w:r>
        <w:rPr>
          <w:rFonts w:hint="eastAsia" w:ascii="宋体" w:hAnsi="宋体" w:cs="宋体"/>
          <w:sz w:val="24"/>
          <w:szCs w:val="24"/>
          <w:u w:val="single"/>
          <w:lang w:bidi="ar"/>
        </w:rPr>
        <w:t xml:space="preserve">  否  </w:t>
      </w:r>
    </w:p>
    <w:p w14:paraId="20FCE479">
      <w:pPr>
        <w:pStyle w:val="117"/>
        <w:numPr>
          <w:ilvl w:val="0"/>
          <w:numId w:val="2"/>
        </w:numPr>
        <w:spacing w:line="360" w:lineRule="auto"/>
        <w:rPr>
          <w:rFonts w:hint="eastAsia" w:ascii="宋体" w:hAnsi="宋体" w:cs="宋体"/>
          <w:b/>
          <w:bCs/>
          <w:sz w:val="24"/>
          <w:szCs w:val="24"/>
        </w:rPr>
      </w:pPr>
      <w:r>
        <w:rPr>
          <w:rFonts w:hint="eastAsia" w:ascii="宋体" w:hAnsi="宋体" w:cs="宋体"/>
          <w:b/>
          <w:bCs/>
          <w:sz w:val="24"/>
          <w:szCs w:val="24"/>
        </w:rPr>
        <w:t>申请人的资格要求：</w:t>
      </w:r>
    </w:p>
    <w:p w14:paraId="72AD9D1D">
      <w:pPr>
        <w:pStyle w:val="117"/>
        <w:numPr>
          <w:ilvl w:val="0"/>
          <w:numId w:val="0"/>
        </w:numPr>
        <w:spacing w:line="360" w:lineRule="auto"/>
        <w:ind w:firstLine="482" w:firstLineChars="200"/>
        <w:rPr>
          <w:rFonts w:hint="eastAsia" w:ascii="宋体" w:hAnsi="宋体" w:cs="宋体"/>
          <w:b/>
          <w:bCs/>
          <w:sz w:val="24"/>
          <w:szCs w:val="24"/>
          <w:lang w:eastAsia="zh-CN"/>
        </w:rPr>
      </w:pPr>
      <w:r>
        <w:rPr>
          <w:rFonts w:hint="eastAsia" w:ascii="宋体" w:hAnsi="宋体" w:cs="宋体"/>
          <w:b/>
          <w:bCs/>
          <w:sz w:val="24"/>
          <w:szCs w:val="24"/>
          <w:lang w:val="en-US" w:eastAsia="zh-CN"/>
        </w:rPr>
        <w:t>1.</w:t>
      </w:r>
      <w:r>
        <w:rPr>
          <w:rFonts w:hint="eastAsia" w:ascii="宋体" w:hAnsi="宋体" w:cs="宋体"/>
          <w:b/>
          <w:bCs/>
          <w:sz w:val="24"/>
          <w:szCs w:val="24"/>
        </w:rPr>
        <w:t>满足《中华人民共和国政府采购法》第二十二条规定</w:t>
      </w:r>
      <w:r>
        <w:rPr>
          <w:rFonts w:hint="eastAsia" w:ascii="宋体" w:hAnsi="宋体" w:cs="宋体"/>
          <w:b/>
          <w:bCs/>
          <w:sz w:val="24"/>
          <w:szCs w:val="24"/>
          <w:lang w:eastAsia="zh-CN"/>
        </w:rPr>
        <w:t>：</w:t>
      </w:r>
    </w:p>
    <w:p w14:paraId="4D8F8D0F">
      <w:pPr>
        <w:spacing w:line="440" w:lineRule="exact"/>
        <w:ind w:firstLine="480" w:firstLineChars="200"/>
        <w:rPr>
          <w:rFonts w:hint="eastAsia"/>
          <w:kern w:val="0"/>
          <w:sz w:val="24"/>
        </w:rPr>
      </w:pPr>
      <w:r>
        <w:rPr>
          <w:rFonts w:hint="eastAsia"/>
          <w:kern w:val="0"/>
          <w:sz w:val="24"/>
          <w:lang w:eastAsia="zh-CN"/>
        </w:rPr>
        <w:t>（</w:t>
      </w:r>
      <w:r>
        <w:rPr>
          <w:rFonts w:hint="eastAsia"/>
          <w:kern w:val="0"/>
          <w:sz w:val="24"/>
          <w:lang w:val="en-US" w:eastAsia="zh-CN"/>
        </w:rPr>
        <w:t>1</w:t>
      </w:r>
      <w:r>
        <w:rPr>
          <w:rFonts w:hint="eastAsia"/>
          <w:kern w:val="0"/>
          <w:sz w:val="24"/>
          <w:lang w:eastAsia="zh-CN"/>
        </w:rPr>
        <w:t>）</w:t>
      </w:r>
      <w:r>
        <w:rPr>
          <w:rFonts w:hint="eastAsia"/>
          <w:kern w:val="0"/>
          <w:sz w:val="24"/>
        </w:rPr>
        <w:t>具有独立承担民事责任的能力（提供合法有效的法人营业执照）；</w:t>
      </w:r>
    </w:p>
    <w:p w14:paraId="180DEA25">
      <w:pPr>
        <w:spacing w:line="440" w:lineRule="exact"/>
        <w:ind w:firstLine="480" w:firstLineChars="200"/>
        <w:rPr>
          <w:rFonts w:hint="eastAsia"/>
          <w:kern w:val="0"/>
          <w:sz w:val="24"/>
        </w:rPr>
      </w:pPr>
      <w:r>
        <w:rPr>
          <w:rFonts w:hint="eastAsia"/>
          <w:kern w:val="0"/>
          <w:sz w:val="24"/>
          <w:lang w:eastAsia="zh-CN"/>
        </w:rPr>
        <w:t>（</w:t>
      </w:r>
      <w:r>
        <w:rPr>
          <w:rFonts w:hint="eastAsia"/>
          <w:kern w:val="0"/>
          <w:sz w:val="24"/>
          <w:lang w:val="en-US" w:eastAsia="zh-CN"/>
        </w:rPr>
        <w:t>2</w:t>
      </w:r>
      <w:r>
        <w:rPr>
          <w:rFonts w:hint="eastAsia"/>
          <w:kern w:val="0"/>
          <w:sz w:val="24"/>
          <w:lang w:eastAsia="zh-CN"/>
        </w:rPr>
        <w:t>）</w:t>
      </w:r>
      <w:r>
        <w:rPr>
          <w:rFonts w:hint="eastAsia"/>
          <w:kern w:val="0"/>
          <w:sz w:val="24"/>
        </w:rPr>
        <w:t>具有良好的商业信誉和健全的财务会计制度（提供</w:t>
      </w:r>
      <w:r>
        <w:rPr>
          <w:rFonts w:hint="eastAsia" w:ascii="宋体" w:hAnsi="宋体" w:eastAsia="宋体" w:cs="宋体"/>
          <w:kern w:val="0"/>
          <w:sz w:val="24"/>
        </w:rPr>
        <w:t>2023</w:t>
      </w:r>
      <w:r>
        <w:rPr>
          <w:rFonts w:hint="eastAsia"/>
          <w:kern w:val="0"/>
          <w:sz w:val="24"/>
        </w:rPr>
        <w:t>年度</w:t>
      </w:r>
      <w:r>
        <w:rPr>
          <w:rFonts w:hint="eastAsia"/>
          <w:kern w:val="0"/>
          <w:sz w:val="24"/>
          <w:lang w:val="en-US" w:eastAsia="zh-CN"/>
        </w:rPr>
        <w:t>或</w:t>
      </w:r>
      <w:r>
        <w:rPr>
          <w:rFonts w:hint="eastAsia" w:ascii="宋体" w:hAnsi="宋体" w:eastAsia="宋体" w:cs="宋体"/>
          <w:kern w:val="0"/>
          <w:sz w:val="24"/>
          <w:lang w:val="en-US" w:eastAsia="zh-CN"/>
        </w:rPr>
        <w:t>2024年度</w:t>
      </w:r>
      <w:r>
        <w:rPr>
          <w:rFonts w:hint="eastAsia"/>
          <w:kern w:val="0"/>
          <w:sz w:val="24"/>
        </w:rPr>
        <w:t>经会计师事务所审计的完整财务报告，成立不足一年的提供成立至今的财务报表）；</w:t>
      </w:r>
    </w:p>
    <w:p w14:paraId="07D32EE8">
      <w:pPr>
        <w:spacing w:line="440" w:lineRule="exact"/>
        <w:ind w:firstLine="480" w:firstLineChars="200"/>
        <w:rPr>
          <w:rFonts w:hint="eastAsia"/>
          <w:kern w:val="0"/>
          <w:sz w:val="24"/>
        </w:rPr>
      </w:pPr>
      <w:r>
        <w:rPr>
          <w:rFonts w:hint="eastAsia"/>
          <w:kern w:val="0"/>
          <w:sz w:val="24"/>
          <w:lang w:eastAsia="zh-CN"/>
        </w:rPr>
        <w:t>（</w:t>
      </w:r>
      <w:r>
        <w:rPr>
          <w:rFonts w:hint="eastAsia"/>
          <w:kern w:val="0"/>
          <w:sz w:val="24"/>
          <w:lang w:val="en-US" w:eastAsia="zh-CN"/>
        </w:rPr>
        <w:t>3</w:t>
      </w:r>
      <w:r>
        <w:rPr>
          <w:rFonts w:hint="eastAsia"/>
          <w:kern w:val="0"/>
          <w:sz w:val="24"/>
          <w:lang w:eastAsia="zh-CN"/>
        </w:rPr>
        <w:t>）</w:t>
      </w:r>
      <w:r>
        <w:rPr>
          <w:rFonts w:hint="eastAsia"/>
          <w:kern w:val="0"/>
          <w:sz w:val="24"/>
        </w:rPr>
        <w:t>具有履行合同所必需的设备和专业技术能力（根据项目需求提供履行合同所必需的设备和专业技术能力的证明材料或加盖单位章的书面承诺函）；</w:t>
      </w:r>
    </w:p>
    <w:p w14:paraId="36E98378">
      <w:pPr>
        <w:spacing w:line="440" w:lineRule="exact"/>
        <w:ind w:firstLine="480" w:firstLineChars="200"/>
        <w:rPr>
          <w:rFonts w:hint="eastAsia"/>
          <w:kern w:val="0"/>
          <w:sz w:val="24"/>
        </w:rPr>
      </w:pPr>
      <w:r>
        <w:rPr>
          <w:rFonts w:hint="eastAsia"/>
          <w:kern w:val="0"/>
          <w:sz w:val="24"/>
          <w:lang w:eastAsia="zh-CN"/>
        </w:rPr>
        <w:t>（</w:t>
      </w:r>
      <w:r>
        <w:rPr>
          <w:rFonts w:hint="eastAsia"/>
          <w:kern w:val="0"/>
          <w:sz w:val="24"/>
          <w:lang w:val="en-US" w:eastAsia="zh-CN"/>
        </w:rPr>
        <w:t>4</w:t>
      </w:r>
      <w:r>
        <w:rPr>
          <w:rFonts w:hint="eastAsia"/>
          <w:kern w:val="0"/>
          <w:sz w:val="24"/>
          <w:lang w:eastAsia="zh-CN"/>
        </w:rPr>
        <w:t>）</w:t>
      </w:r>
      <w:r>
        <w:rPr>
          <w:rFonts w:hint="eastAsia"/>
          <w:kern w:val="0"/>
          <w:sz w:val="24"/>
        </w:rPr>
        <w:t>有依法缴纳税收和社会保障资金的良好记录（提供本单位近半年内任意一个月的依法缴纳税收和社会保障资金的相关材料）；</w:t>
      </w:r>
    </w:p>
    <w:p w14:paraId="3675414D">
      <w:pPr>
        <w:spacing w:line="440" w:lineRule="exact"/>
        <w:ind w:firstLine="480" w:firstLineChars="200"/>
        <w:rPr>
          <w:rFonts w:hint="eastAsia"/>
          <w:kern w:val="0"/>
          <w:sz w:val="24"/>
        </w:rPr>
      </w:pPr>
      <w:r>
        <w:rPr>
          <w:rFonts w:hint="eastAsia"/>
          <w:kern w:val="0"/>
          <w:sz w:val="24"/>
          <w:lang w:eastAsia="zh-CN"/>
        </w:rPr>
        <w:t>（</w:t>
      </w:r>
      <w:r>
        <w:rPr>
          <w:rFonts w:hint="eastAsia"/>
          <w:kern w:val="0"/>
          <w:sz w:val="24"/>
          <w:lang w:val="en-US" w:eastAsia="zh-CN"/>
        </w:rPr>
        <w:t>5</w:t>
      </w:r>
      <w:r>
        <w:rPr>
          <w:rFonts w:hint="eastAsia"/>
          <w:kern w:val="0"/>
          <w:sz w:val="24"/>
          <w:lang w:eastAsia="zh-CN"/>
        </w:rPr>
        <w:t>）</w:t>
      </w:r>
      <w:r>
        <w:rPr>
          <w:rFonts w:hint="eastAsia"/>
          <w:kern w:val="0"/>
          <w:sz w:val="24"/>
        </w:rPr>
        <w:t>参加政府采购活动前三年内，在经营活动中没有重大违法记录（提供参加本次政府采购活动前3年内在经营活动中没有重大违法</w:t>
      </w:r>
    </w:p>
    <w:p w14:paraId="36F27DFC">
      <w:pPr>
        <w:spacing w:line="440" w:lineRule="exact"/>
        <w:ind w:firstLine="480" w:firstLineChars="200"/>
        <w:rPr>
          <w:rFonts w:hint="eastAsia"/>
          <w:kern w:val="0"/>
          <w:sz w:val="24"/>
        </w:rPr>
      </w:pPr>
      <w:r>
        <w:rPr>
          <w:rFonts w:hint="eastAsia"/>
          <w:kern w:val="0"/>
          <w:sz w:val="24"/>
          <w:lang w:eastAsia="zh-CN"/>
        </w:rPr>
        <w:t>（</w:t>
      </w:r>
      <w:r>
        <w:rPr>
          <w:rFonts w:hint="eastAsia"/>
          <w:kern w:val="0"/>
          <w:sz w:val="24"/>
          <w:lang w:val="en-US" w:eastAsia="zh-CN"/>
        </w:rPr>
        <w:t>6</w:t>
      </w:r>
      <w:r>
        <w:rPr>
          <w:rFonts w:hint="eastAsia"/>
          <w:kern w:val="0"/>
          <w:sz w:val="24"/>
          <w:lang w:eastAsia="zh-CN"/>
        </w:rPr>
        <w:t>）</w:t>
      </w:r>
      <w:r>
        <w:rPr>
          <w:rFonts w:hint="eastAsia"/>
          <w:kern w:val="0"/>
          <w:sz w:val="24"/>
        </w:rPr>
        <w:t>法律、行政法规规定的其他条件。</w:t>
      </w:r>
    </w:p>
    <w:p w14:paraId="6592B137">
      <w:pPr>
        <w:spacing w:line="440" w:lineRule="exact"/>
        <w:ind w:firstLine="480" w:firstLineChars="200"/>
        <w:rPr>
          <w:rFonts w:hint="eastAsia"/>
          <w:kern w:val="0"/>
          <w:sz w:val="24"/>
        </w:rPr>
      </w:pPr>
      <w:r>
        <w:rPr>
          <w:rFonts w:hint="eastAsia"/>
          <w:kern w:val="0"/>
          <w:sz w:val="24"/>
          <w:lang w:val="en-US" w:eastAsia="zh-CN"/>
        </w:rPr>
        <w:t>2.</w:t>
      </w:r>
      <w:r>
        <w:rPr>
          <w:rFonts w:hint="eastAsia"/>
          <w:kern w:val="0"/>
          <w:sz w:val="24"/>
        </w:rPr>
        <w:t>其他说明：（</w:t>
      </w:r>
      <w:r>
        <w:rPr>
          <w:rFonts w:hint="eastAsia"/>
          <w:kern w:val="0"/>
          <w:sz w:val="24"/>
          <w:lang w:val="en-US" w:eastAsia="zh-CN"/>
        </w:rPr>
        <w:t>1</w:t>
      </w:r>
      <w:r>
        <w:rPr>
          <w:rFonts w:hint="eastAsia"/>
          <w:kern w:val="0"/>
          <w:sz w:val="24"/>
        </w:rPr>
        <w:t>）与</w:t>
      </w:r>
      <w:r>
        <w:rPr>
          <w:rFonts w:hint="eastAsia"/>
          <w:kern w:val="0"/>
          <w:sz w:val="24"/>
          <w:lang w:eastAsia="zh-CN"/>
        </w:rPr>
        <w:t>采购人</w:t>
      </w:r>
      <w:r>
        <w:rPr>
          <w:rFonts w:hint="eastAsia"/>
          <w:kern w:val="0"/>
          <w:sz w:val="24"/>
        </w:rPr>
        <w:t>存在利害关系可能影响招标公正性的法人、其他组织或者个人，不得参加投标（</w:t>
      </w:r>
      <w:r>
        <w:rPr>
          <w:rFonts w:hint="eastAsia"/>
          <w:kern w:val="0"/>
          <w:sz w:val="24"/>
          <w:lang w:val="en-US" w:eastAsia="zh-CN"/>
        </w:rPr>
        <w:t>2</w:t>
      </w:r>
      <w:r>
        <w:rPr>
          <w:rFonts w:hint="eastAsia"/>
          <w:kern w:val="0"/>
          <w:sz w:val="24"/>
        </w:rPr>
        <w:t>）单位负责人为同一人或者存在控股、管理关系的不同单位，不得参加同一标段投标或者未划分标段的同一招标项目投标，违反前两款规定的，相关投标均无效；</w:t>
      </w:r>
    </w:p>
    <w:p w14:paraId="52579497">
      <w:pPr>
        <w:spacing w:line="440" w:lineRule="exact"/>
        <w:ind w:firstLine="480" w:firstLineChars="200"/>
        <w:rPr>
          <w:rFonts w:hint="eastAsia" w:ascii="宋体" w:hAnsi="宋体" w:cs="宋体"/>
          <w:b/>
          <w:bCs/>
          <w:sz w:val="24"/>
          <w:szCs w:val="24"/>
          <w:lang w:eastAsia="zh-CN"/>
        </w:rPr>
      </w:pPr>
      <w:r>
        <w:rPr>
          <w:rFonts w:hint="eastAsia"/>
          <w:kern w:val="0"/>
          <w:sz w:val="24"/>
          <w:lang w:val="en-US" w:eastAsia="zh-CN"/>
        </w:rPr>
        <w:t>3.</w:t>
      </w:r>
      <w:r>
        <w:rPr>
          <w:kern w:val="0"/>
          <w:sz w:val="24"/>
        </w:rPr>
        <w:t>本项目不接受联合体投标。</w:t>
      </w:r>
    </w:p>
    <w:p w14:paraId="6A534E5A">
      <w:pPr>
        <w:pStyle w:val="117"/>
        <w:spacing w:line="360" w:lineRule="auto"/>
        <w:ind w:firstLine="482" w:firstLineChars="200"/>
        <w:rPr>
          <w:rFonts w:hint="eastAsia" w:ascii="宋体" w:hAnsi="宋体" w:cs="宋体"/>
          <w:sz w:val="24"/>
          <w:u w:val="single"/>
        </w:rPr>
      </w:pPr>
      <w:r>
        <w:rPr>
          <w:rFonts w:hint="eastAsia" w:ascii="宋体" w:hAnsi="宋体" w:cs="宋体"/>
          <w:b/>
          <w:bCs/>
          <w:sz w:val="24"/>
          <w:szCs w:val="24"/>
          <w:lang w:val="en-US" w:eastAsia="zh-CN"/>
        </w:rPr>
        <w:t>4</w:t>
      </w:r>
      <w:r>
        <w:rPr>
          <w:rFonts w:hint="eastAsia" w:ascii="宋体" w:hAnsi="宋体" w:cs="宋体"/>
          <w:b/>
          <w:bCs/>
          <w:sz w:val="24"/>
          <w:szCs w:val="24"/>
        </w:rPr>
        <w:t>.落实政府采购政策需满足的资格要求:</w:t>
      </w:r>
      <w:r>
        <w:rPr>
          <w:rFonts w:hint="eastAsia"/>
        </w:rPr>
        <w:t xml:space="preserve"> </w:t>
      </w:r>
      <w:r>
        <w:rPr>
          <w:rFonts w:hint="eastAsia" w:ascii="宋体" w:hAnsi="宋体" w:cs="宋体"/>
          <w:sz w:val="24"/>
          <w:u w:val="single"/>
        </w:rPr>
        <w:t>本项目专门面向中小企业</w:t>
      </w:r>
    </w:p>
    <w:p w14:paraId="77FD2839">
      <w:pPr>
        <w:pStyle w:val="186"/>
        <w:spacing w:line="360" w:lineRule="auto"/>
        <w:rPr>
          <w:rFonts w:hint="eastAsia" w:ascii="宋体" w:hAnsi="宋体"/>
          <w:b/>
          <w:bCs/>
          <w:sz w:val="24"/>
          <w:szCs w:val="24"/>
        </w:rPr>
      </w:pPr>
      <w:r>
        <w:rPr>
          <w:rFonts w:hint="eastAsia" w:ascii="宋体" w:hAnsi="宋体"/>
          <w:b/>
          <w:bCs/>
          <w:sz w:val="24"/>
          <w:szCs w:val="24"/>
        </w:rPr>
        <w:t>三、获取采购文件</w:t>
      </w:r>
    </w:p>
    <w:p w14:paraId="0C92F92C">
      <w:pPr>
        <w:pStyle w:val="95"/>
        <w:spacing w:line="360" w:lineRule="auto"/>
        <w:ind w:firstLine="482" w:firstLineChars="200"/>
        <w:rPr>
          <w:rFonts w:hint="eastAsia" w:ascii="宋体" w:hAnsi="宋体" w:cs="宋体"/>
          <w:b/>
          <w:bCs/>
          <w:color w:val="000000"/>
          <w:sz w:val="24"/>
          <w:szCs w:val="24"/>
          <w:u w:val="single"/>
        </w:rPr>
      </w:pPr>
      <w:r>
        <w:rPr>
          <w:rFonts w:hint="eastAsia" w:ascii="宋体" w:hAnsi="宋体" w:cs="宋体"/>
          <w:b/>
          <w:bCs/>
          <w:color w:val="000000"/>
          <w:sz w:val="24"/>
          <w:szCs w:val="24"/>
          <w:lang w:bidi="ar"/>
        </w:rPr>
        <w:t xml:space="preserve">时间: </w:t>
      </w:r>
      <w:r>
        <w:rPr>
          <w:rFonts w:hint="eastAsia" w:ascii="宋体" w:hAnsi="宋体" w:cs="宋体"/>
          <w:b/>
          <w:bCs/>
          <w:color w:val="000000"/>
          <w:sz w:val="24"/>
          <w:szCs w:val="24"/>
          <w:u w:val="single"/>
        </w:rPr>
        <w:t>202</w:t>
      </w:r>
      <w:r>
        <w:rPr>
          <w:rFonts w:hint="eastAsia" w:ascii="宋体" w:hAnsi="宋体" w:cs="宋体"/>
          <w:b/>
          <w:bCs/>
          <w:color w:val="000000"/>
          <w:sz w:val="24"/>
          <w:szCs w:val="24"/>
          <w:u w:val="single"/>
          <w:lang w:val="en-US" w:eastAsia="zh-CN"/>
        </w:rPr>
        <w:t>5</w:t>
      </w:r>
      <w:r>
        <w:rPr>
          <w:rFonts w:hint="eastAsia" w:ascii="宋体" w:hAnsi="宋体" w:cs="宋体"/>
          <w:b/>
          <w:bCs/>
          <w:color w:val="000000"/>
          <w:sz w:val="24"/>
          <w:szCs w:val="24"/>
          <w:u w:val="single"/>
        </w:rPr>
        <w:t>年</w:t>
      </w:r>
      <w:r>
        <w:rPr>
          <w:rFonts w:hint="eastAsia" w:ascii="宋体" w:hAnsi="宋体" w:cs="宋体"/>
          <w:b/>
          <w:bCs/>
          <w:color w:val="000000"/>
          <w:sz w:val="24"/>
          <w:szCs w:val="24"/>
          <w:u w:val="single"/>
          <w:lang w:val="en-US" w:eastAsia="zh-CN"/>
        </w:rPr>
        <w:t>6</w:t>
      </w:r>
      <w:r>
        <w:rPr>
          <w:rFonts w:hint="eastAsia" w:ascii="宋体" w:hAnsi="宋体" w:cs="宋体"/>
          <w:b/>
          <w:bCs/>
          <w:color w:val="000000"/>
          <w:sz w:val="24"/>
          <w:szCs w:val="24"/>
          <w:u w:val="single"/>
        </w:rPr>
        <w:t>月</w:t>
      </w:r>
      <w:r>
        <w:rPr>
          <w:rFonts w:hint="eastAsia" w:ascii="宋体" w:hAnsi="宋体" w:cs="宋体"/>
          <w:b/>
          <w:bCs/>
          <w:color w:val="000000"/>
          <w:sz w:val="24"/>
          <w:szCs w:val="24"/>
          <w:u w:val="single"/>
          <w:lang w:val="en-US" w:eastAsia="zh-CN"/>
        </w:rPr>
        <w:t>24</w:t>
      </w:r>
      <w:r>
        <w:rPr>
          <w:rFonts w:hint="eastAsia" w:ascii="宋体" w:hAnsi="宋体" w:cs="宋体"/>
          <w:b/>
          <w:bCs/>
          <w:color w:val="000000"/>
          <w:sz w:val="24"/>
          <w:szCs w:val="24"/>
          <w:u w:val="single"/>
        </w:rPr>
        <w:t>日至</w:t>
      </w:r>
      <w:r>
        <w:rPr>
          <w:rFonts w:hint="eastAsia" w:ascii="宋体" w:hAnsi="宋体" w:cs="宋体"/>
          <w:b/>
          <w:bCs/>
          <w:color w:val="000000"/>
          <w:sz w:val="24"/>
          <w:szCs w:val="24"/>
          <w:u w:val="single"/>
          <w:lang w:eastAsia="zh-CN"/>
        </w:rPr>
        <w:t>2025年</w:t>
      </w:r>
      <w:r>
        <w:rPr>
          <w:rFonts w:hint="eastAsia" w:ascii="宋体" w:hAnsi="宋体" w:cs="宋体"/>
          <w:b/>
          <w:bCs/>
          <w:color w:val="000000"/>
          <w:sz w:val="24"/>
          <w:szCs w:val="24"/>
          <w:u w:val="single"/>
          <w:lang w:val="en-US" w:eastAsia="zh-CN"/>
        </w:rPr>
        <w:t>7</w:t>
      </w:r>
      <w:r>
        <w:rPr>
          <w:rFonts w:hint="eastAsia" w:ascii="宋体" w:hAnsi="宋体" w:cs="宋体"/>
          <w:b/>
          <w:bCs/>
          <w:color w:val="000000"/>
          <w:sz w:val="24"/>
          <w:szCs w:val="24"/>
          <w:u w:val="single"/>
          <w:lang w:eastAsia="zh-CN"/>
        </w:rPr>
        <w:t>月</w:t>
      </w:r>
      <w:r>
        <w:rPr>
          <w:rFonts w:hint="eastAsia" w:ascii="宋体" w:hAnsi="宋体" w:cs="宋体"/>
          <w:b/>
          <w:bCs/>
          <w:color w:val="000000"/>
          <w:sz w:val="24"/>
          <w:szCs w:val="24"/>
          <w:u w:val="single"/>
          <w:lang w:val="en-US" w:eastAsia="zh-CN"/>
        </w:rPr>
        <w:t>1</w:t>
      </w:r>
      <w:r>
        <w:rPr>
          <w:rFonts w:hint="eastAsia" w:ascii="宋体" w:hAnsi="宋体" w:cs="宋体"/>
          <w:b/>
          <w:bCs/>
          <w:color w:val="000000"/>
          <w:sz w:val="24"/>
          <w:szCs w:val="24"/>
          <w:u w:val="single"/>
          <w:lang w:eastAsia="zh-CN"/>
        </w:rPr>
        <w:t>日</w:t>
      </w:r>
      <w:r>
        <w:rPr>
          <w:rFonts w:hint="eastAsia" w:ascii="宋体" w:hAnsi="宋体" w:cs="宋体"/>
          <w:b/>
          <w:bCs/>
          <w:color w:val="000000"/>
          <w:sz w:val="24"/>
          <w:szCs w:val="24"/>
          <w:u w:val="single"/>
        </w:rPr>
        <w:t>，每日上午0</w:t>
      </w:r>
      <w:r>
        <w:rPr>
          <w:rFonts w:hint="eastAsia" w:ascii="宋体" w:hAnsi="宋体" w:cs="宋体"/>
          <w:b/>
          <w:bCs/>
          <w:color w:val="000000"/>
          <w:sz w:val="24"/>
          <w:szCs w:val="24"/>
          <w:u w:val="single"/>
          <w:lang w:val="en-US" w:eastAsia="zh-CN"/>
        </w:rPr>
        <w:t>0</w:t>
      </w:r>
      <w:r>
        <w:rPr>
          <w:rFonts w:hint="eastAsia" w:ascii="宋体" w:hAnsi="宋体" w:cs="宋体"/>
          <w:b/>
          <w:bCs/>
          <w:color w:val="000000"/>
          <w:sz w:val="24"/>
          <w:szCs w:val="24"/>
          <w:u w:val="single"/>
        </w:rPr>
        <w:t>:</w:t>
      </w:r>
      <w:r>
        <w:rPr>
          <w:rFonts w:hint="eastAsia" w:ascii="宋体" w:hAnsi="宋体" w:cs="宋体"/>
          <w:b/>
          <w:bCs/>
          <w:color w:val="000000"/>
          <w:sz w:val="24"/>
          <w:szCs w:val="24"/>
          <w:u w:val="single"/>
          <w:lang w:val="en-US" w:eastAsia="zh-CN"/>
        </w:rPr>
        <w:t>0</w:t>
      </w:r>
      <w:r>
        <w:rPr>
          <w:rFonts w:hint="eastAsia" w:ascii="宋体" w:hAnsi="宋体" w:cs="宋体"/>
          <w:b/>
          <w:bCs/>
          <w:color w:val="000000"/>
          <w:sz w:val="24"/>
          <w:szCs w:val="24"/>
          <w:u w:val="single"/>
        </w:rPr>
        <w:t>0时至1</w:t>
      </w:r>
      <w:r>
        <w:rPr>
          <w:rFonts w:hint="eastAsia" w:ascii="宋体" w:hAnsi="宋体" w:cs="宋体"/>
          <w:b/>
          <w:bCs/>
          <w:color w:val="000000"/>
          <w:sz w:val="24"/>
          <w:szCs w:val="24"/>
          <w:u w:val="single"/>
          <w:lang w:val="en-US" w:eastAsia="zh-CN"/>
        </w:rPr>
        <w:t>2</w:t>
      </w:r>
      <w:r>
        <w:rPr>
          <w:rFonts w:hint="eastAsia" w:ascii="宋体" w:hAnsi="宋体" w:cs="宋体"/>
          <w:b/>
          <w:bCs/>
          <w:color w:val="000000"/>
          <w:sz w:val="24"/>
          <w:szCs w:val="24"/>
          <w:u w:val="single"/>
        </w:rPr>
        <w:t>:</w:t>
      </w:r>
      <w:r>
        <w:rPr>
          <w:rFonts w:hint="eastAsia" w:ascii="宋体" w:hAnsi="宋体" w:cs="宋体"/>
          <w:b/>
          <w:bCs/>
          <w:color w:val="000000"/>
          <w:sz w:val="24"/>
          <w:szCs w:val="24"/>
          <w:u w:val="single"/>
          <w:lang w:val="en-US" w:eastAsia="zh-CN"/>
        </w:rPr>
        <w:t>0</w:t>
      </w:r>
      <w:r>
        <w:rPr>
          <w:rFonts w:hint="eastAsia" w:ascii="宋体" w:hAnsi="宋体" w:cs="宋体"/>
          <w:b/>
          <w:bCs/>
          <w:color w:val="000000"/>
          <w:sz w:val="24"/>
          <w:szCs w:val="24"/>
          <w:u w:val="single"/>
        </w:rPr>
        <w:t>0时，下午1</w:t>
      </w:r>
      <w:r>
        <w:rPr>
          <w:rFonts w:hint="eastAsia" w:ascii="宋体" w:hAnsi="宋体" w:cs="宋体"/>
          <w:b/>
          <w:bCs/>
          <w:color w:val="000000"/>
          <w:sz w:val="24"/>
          <w:szCs w:val="24"/>
          <w:u w:val="single"/>
          <w:lang w:val="en-US" w:eastAsia="zh-CN"/>
        </w:rPr>
        <w:t>2</w:t>
      </w:r>
      <w:r>
        <w:rPr>
          <w:rFonts w:hint="eastAsia" w:ascii="宋体" w:hAnsi="宋体" w:cs="宋体"/>
          <w:b/>
          <w:bCs/>
          <w:color w:val="000000"/>
          <w:sz w:val="24"/>
          <w:szCs w:val="24"/>
          <w:u w:val="single"/>
        </w:rPr>
        <w:t>:</w:t>
      </w:r>
      <w:r>
        <w:rPr>
          <w:rFonts w:hint="eastAsia" w:ascii="宋体" w:hAnsi="宋体" w:cs="宋体"/>
          <w:b/>
          <w:bCs/>
          <w:color w:val="000000"/>
          <w:sz w:val="24"/>
          <w:szCs w:val="24"/>
          <w:u w:val="single"/>
          <w:lang w:val="en-US" w:eastAsia="zh-CN"/>
        </w:rPr>
        <w:t>0</w:t>
      </w:r>
      <w:r>
        <w:rPr>
          <w:rFonts w:hint="eastAsia" w:ascii="宋体" w:hAnsi="宋体" w:cs="宋体"/>
          <w:b/>
          <w:bCs/>
          <w:color w:val="000000"/>
          <w:sz w:val="24"/>
          <w:szCs w:val="24"/>
          <w:u w:val="single"/>
        </w:rPr>
        <w:t>0时至</w:t>
      </w:r>
      <w:r>
        <w:rPr>
          <w:rFonts w:hint="eastAsia" w:ascii="宋体" w:hAnsi="宋体" w:cs="宋体"/>
          <w:b/>
          <w:bCs/>
          <w:color w:val="000000"/>
          <w:sz w:val="24"/>
          <w:szCs w:val="24"/>
          <w:u w:val="single"/>
          <w:lang w:val="en-US" w:eastAsia="zh-CN"/>
        </w:rPr>
        <w:t>23</w:t>
      </w:r>
      <w:r>
        <w:rPr>
          <w:rFonts w:hint="eastAsia" w:ascii="宋体" w:hAnsi="宋体" w:cs="宋体"/>
          <w:b/>
          <w:bCs/>
          <w:color w:val="000000"/>
          <w:sz w:val="24"/>
          <w:szCs w:val="24"/>
          <w:u w:val="single"/>
        </w:rPr>
        <w:t>:</w:t>
      </w:r>
      <w:r>
        <w:rPr>
          <w:rFonts w:hint="eastAsia" w:ascii="宋体" w:hAnsi="宋体" w:cs="宋体"/>
          <w:b/>
          <w:bCs/>
          <w:color w:val="000000"/>
          <w:sz w:val="24"/>
          <w:szCs w:val="24"/>
          <w:u w:val="single"/>
          <w:lang w:val="en-US" w:eastAsia="zh-CN"/>
        </w:rPr>
        <w:t>59</w:t>
      </w:r>
      <w:r>
        <w:rPr>
          <w:rFonts w:hint="eastAsia" w:ascii="宋体" w:hAnsi="宋体" w:cs="宋体"/>
          <w:b/>
          <w:bCs/>
          <w:color w:val="000000"/>
          <w:sz w:val="24"/>
          <w:szCs w:val="24"/>
          <w:u w:val="single"/>
        </w:rPr>
        <w:t xml:space="preserve">时（北京时间，节假日除外） </w:t>
      </w:r>
    </w:p>
    <w:p w14:paraId="0799F63A">
      <w:pPr>
        <w:pStyle w:val="95"/>
        <w:spacing w:line="360" w:lineRule="auto"/>
        <w:ind w:firstLine="480" w:firstLineChars="200"/>
        <w:rPr>
          <w:rFonts w:hint="eastAsia" w:ascii="宋体" w:hAnsi="宋体" w:cs="宋体"/>
          <w:color w:val="000000"/>
          <w:sz w:val="24"/>
          <w:szCs w:val="24"/>
        </w:rPr>
      </w:pPr>
      <w:r>
        <w:rPr>
          <w:rFonts w:hint="eastAsia" w:ascii="宋体" w:hAnsi="宋体" w:cs="宋体"/>
          <w:sz w:val="24"/>
          <w:szCs w:val="24"/>
          <w:lang w:eastAsia="zh-CN"/>
        </w:rPr>
        <w:t>地点：新疆政府采购网（http://www.ccgp-xinjiang.gov.cn）政采云平台线上获取</w:t>
      </w:r>
    </w:p>
    <w:p w14:paraId="5EFD7C80">
      <w:pPr>
        <w:pStyle w:val="95"/>
        <w:spacing w:line="360" w:lineRule="auto"/>
        <w:ind w:firstLine="480" w:firstLineChars="200"/>
        <w:rPr>
          <w:rFonts w:hint="eastAsia" w:ascii="宋体" w:hAnsi="宋体" w:cs="宋体"/>
          <w:color w:val="000000"/>
          <w:sz w:val="24"/>
          <w:szCs w:val="24"/>
          <w:lang w:eastAsia="zh-CN"/>
        </w:rPr>
      </w:pPr>
      <w:r>
        <w:rPr>
          <w:rFonts w:hint="eastAsia" w:ascii="宋体" w:hAnsi="宋体" w:cs="宋体"/>
          <w:color w:val="000000"/>
          <w:sz w:val="24"/>
          <w:szCs w:val="24"/>
          <w:lang w:eastAsia="zh-CN"/>
        </w:rPr>
        <w:t>方式：供应商登录政采云平台https://www.zcygov.cn/在线申请获取采购文件（进入“项目采购”应用，在获取采购文件菜单中选择项目，申请获取采购文件）投标人获取招标文件时须在政采云平台上提供特定资格要求中需求资料的扫描件。</w:t>
      </w:r>
    </w:p>
    <w:p w14:paraId="170F98B2">
      <w:pPr>
        <w:pStyle w:val="117"/>
        <w:spacing w:line="360" w:lineRule="auto"/>
        <w:ind w:right="-307" w:rightChars="-146" w:firstLine="480" w:firstLineChars="200"/>
        <w:rPr>
          <w:rFonts w:hint="eastAsia" w:ascii="宋体" w:hAnsi="宋体" w:cs="宋体"/>
          <w:b/>
          <w:bCs/>
          <w:sz w:val="24"/>
          <w:szCs w:val="24"/>
        </w:rPr>
      </w:pPr>
      <w:r>
        <w:rPr>
          <w:rFonts w:hint="eastAsia" w:ascii="宋体" w:hAnsi="宋体" w:cs="宋体"/>
          <w:color w:val="000000"/>
          <w:sz w:val="24"/>
          <w:szCs w:val="24"/>
        </w:rPr>
        <w:t>售价（元）：0</w:t>
      </w:r>
    </w:p>
    <w:p w14:paraId="0D17CE5B">
      <w:pPr>
        <w:pStyle w:val="117"/>
        <w:numPr>
          <w:ilvl w:val="0"/>
          <w:numId w:val="3"/>
        </w:numPr>
        <w:spacing w:line="360" w:lineRule="auto"/>
        <w:rPr>
          <w:rFonts w:hint="eastAsia" w:ascii="宋体" w:hAnsi="宋体" w:cs="宋体"/>
          <w:b/>
          <w:bCs/>
          <w:sz w:val="24"/>
          <w:szCs w:val="24"/>
        </w:rPr>
      </w:pPr>
      <w:r>
        <w:rPr>
          <w:rFonts w:hint="eastAsia" w:ascii="宋体" w:hAnsi="宋体" w:cs="宋体"/>
          <w:b/>
          <w:bCs/>
          <w:sz w:val="24"/>
          <w:szCs w:val="24"/>
        </w:rPr>
        <w:t>响应文件提交</w:t>
      </w:r>
    </w:p>
    <w:p w14:paraId="68914E2A">
      <w:pPr>
        <w:pStyle w:val="34"/>
        <w:spacing w:before="0" w:beforeAutospacing="0" w:after="0" w:afterAutospacing="0" w:line="408" w:lineRule="auto"/>
        <w:ind w:firstLine="480" w:firstLineChars="200"/>
        <w:rPr>
          <w:rFonts w:hint="eastAsia"/>
          <w:szCs w:val="24"/>
        </w:rPr>
      </w:pPr>
      <w:r>
        <w:rPr>
          <w:rFonts w:hint="eastAsia"/>
          <w:szCs w:val="24"/>
        </w:rPr>
        <w:t>截止时间：</w:t>
      </w:r>
      <w:r>
        <w:rPr>
          <w:rFonts w:hint="eastAsia"/>
          <w:b/>
          <w:bCs/>
          <w:color w:val="000000"/>
          <w:szCs w:val="24"/>
          <w:u w:val="single"/>
          <w:lang w:eastAsia="zh-CN"/>
        </w:rPr>
        <w:t>2025年</w:t>
      </w:r>
      <w:r>
        <w:rPr>
          <w:rFonts w:hint="eastAsia"/>
          <w:b/>
          <w:bCs/>
          <w:color w:val="000000"/>
          <w:szCs w:val="24"/>
          <w:u w:val="single"/>
          <w:lang w:val="en-US" w:eastAsia="zh-CN"/>
        </w:rPr>
        <w:t>7</w:t>
      </w:r>
      <w:r>
        <w:rPr>
          <w:rFonts w:hint="eastAsia"/>
          <w:b/>
          <w:bCs/>
          <w:color w:val="000000"/>
          <w:szCs w:val="24"/>
          <w:u w:val="single"/>
          <w:lang w:eastAsia="zh-CN"/>
        </w:rPr>
        <w:t>月</w:t>
      </w:r>
      <w:r>
        <w:rPr>
          <w:rFonts w:hint="eastAsia"/>
          <w:b/>
          <w:bCs/>
          <w:color w:val="000000"/>
          <w:szCs w:val="24"/>
          <w:u w:val="single"/>
          <w:lang w:val="en-US" w:eastAsia="zh-CN"/>
        </w:rPr>
        <w:t>4</w:t>
      </w:r>
      <w:r>
        <w:rPr>
          <w:rFonts w:hint="eastAsia"/>
          <w:b/>
          <w:bCs/>
          <w:color w:val="000000"/>
          <w:szCs w:val="24"/>
          <w:u w:val="single"/>
          <w:lang w:eastAsia="zh-CN"/>
        </w:rPr>
        <w:t>日10时</w:t>
      </w:r>
      <w:r>
        <w:rPr>
          <w:rFonts w:hint="eastAsia"/>
          <w:b/>
          <w:bCs/>
          <w:color w:val="000000"/>
          <w:szCs w:val="24"/>
          <w:u w:val="single"/>
          <w:lang w:val="en-US" w:eastAsia="zh-CN"/>
        </w:rPr>
        <w:t>0</w:t>
      </w:r>
      <w:r>
        <w:rPr>
          <w:rFonts w:hint="eastAsia"/>
          <w:b/>
          <w:bCs/>
          <w:color w:val="000000"/>
          <w:szCs w:val="24"/>
          <w:u w:val="single"/>
          <w:lang w:eastAsia="zh-CN"/>
        </w:rPr>
        <w:t>0分</w:t>
      </w:r>
      <w:r>
        <w:rPr>
          <w:rFonts w:hint="eastAsia"/>
          <w:color w:val="000000"/>
          <w:szCs w:val="24"/>
        </w:rPr>
        <w:t>（</w:t>
      </w:r>
      <w:r>
        <w:rPr>
          <w:rFonts w:hint="eastAsia"/>
          <w:szCs w:val="24"/>
        </w:rPr>
        <w:t>北京时间），</w:t>
      </w:r>
    </w:p>
    <w:p w14:paraId="2D7AFCE5">
      <w:pPr>
        <w:pStyle w:val="34"/>
        <w:spacing w:before="0" w:beforeAutospacing="0" w:after="0" w:afterAutospacing="0" w:line="408" w:lineRule="auto"/>
        <w:ind w:firstLine="480" w:firstLineChars="200"/>
        <w:rPr>
          <w:rFonts w:hint="eastAsia"/>
          <w:szCs w:val="24"/>
        </w:rPr>
      </w:pPr>
      <w:r>
        <w:rPr>
          <w:rFonts w:hint="eastAsia"/>
          <w:szCs w:val="24"/>
        </w:rPr>
        <w:t>地点：新疆政府采购网（http://www.ccgp-xinjiang.gov.cn）政采云平台）（逾期未上传的或不符合规定的投标文件将被拒绝接收）</w:t>
      </w:r>
    </w:p>
    <w:p w14:paraId="45AA4514">
      <w:pPr>
        <w:pStyle w:val="117"/>
        <w:numPr>
          <w:ilvl w:val="0"/>
          <w:numId w:val="3"/>
        </w:numPr>
        <w:spacing w:line="360" w:lineRule="auto"/>
        <w:rPr>
          <w:rFonts w:hint="eastAsia" w:ascii="宋体" w:hAnsi="宋体" w:cs="宋体"/>
          <w:b/>
          <w:bCs/>
          <w:sz w:val="24"/>
          <w:szCs w:val="24"/>
        </w:rPr>
      </w:pPr>
      <w:r>
        <w:rPr>
          <w:rFonts w:hint="eastAsia" w:ascii="宋体" w:hAnsi="宋体" w:cs="宋体"/>
          <w:b/>
          <w:bCs/>
          <w:sz w:val="24"/>
          <w:szCs w:val="24"/>
        </w:rPr>
        <w:t>开启</w:t>
      </w:r>
    </w:p>
    <w:p w14:paraId="78B03AE7">
      <w:pPr>
        <w:pStyle w:val="41"/>
        <w:spacing w:line="360" w:lineRule="auto"/>
        <w:ind w:right="-727" w:rightChars="-346" w:firstLine="480" w:firstLineChars="200"/>
        <w:rPr>
          <w:rFonts w:hint="eastAsia" w:ascii="宋体" w:hAnsi="宋体" w:cs="宋体"/>
          <w:sz w:val="24"/>
        </w:rPr>
      </w:pPr>
      <w:r>
        <w:rPr>
          <w:rFonts w:hint="eastAsia" w:ascii="宋体" w:hAnsi="宋体" w:cs="宋体"/>
          <w:sz w:val="24"/>
        </w:rPr>
        <w:t>开标时间：</w:t>
      </w:r>
      <w:r>
        <w:rPr>
          <w:rFonts w:hint="eastAsia" w:ascii="宋体" w:hAnsi="宋体" w:cs="宋体"/>
          <w:b/>
          <w:bCs/>
          <w:color w:val="000000"/>
          <w:sz w:val="24"/>
          <w:u w:val="single"/>
          <w:lang w:eastAsia="zh-CN"/>
        </w:rPr>
        <w:t>2025年</w:t>
      </w:r>
      <w:r>
        <w:rPr>
          <w:rFonts w:hint="eastAsia" w:ascii="宋体" w:hAnsi="宋体" w:cs="宋体"/>
          <w:b/>
          <w:bCs/>
          <w:color w:val="000000"/>
          <w:sz w:val="24"/>
          <w:u w:val="single"/>
          <w:lang w:val="en-US" w:eastAsia="zh-CN"/>
        </w:rPr>
        <w:t>7</w:t>
      </w:r>
      <w:r>
        <w:rPr>
          <w:rFonts w:hint="eastAsia" w:ascii="宋体" w:hAnsi="宋体" w:cs="宋体"/>
          <w:b/>
          <w:bCs/>
          <w:color w:val="000000"/>
          <w:sz w:val="24"/>
          <w:u w:val="single"/>
          <w:lang w:eastAsia="zh-CN"/>
        </w:rPr>
        <w:t>月</w:t>
      </w:r>
      <w:r>
        <w:rPr>
          <w:rFonts w:hint="eastAsia" w:ascii="宋体" w:hAnsi="宋体" w:cs="宋体"/>
          <w:b/>
          <w:bCs/>
          <w:color w:val="000000"/>
          <w:sz w:val="24"/>
          <w:u w:val="single"/>
          <w:lang w:val="en-US" w:eastAsia="zh-CN"/>
        </w:rPr>
        <w:t>4</w:t>
      </w:r>
      <w:r>
        <w:rPr>
          <w:rFonts w:hint="eastAsia" w:ascii="宋体" w:hAnsi="宋体" w:cs="宋体"/>
          <w:b/>
          <w:bCs/>
          <w:color w:val="000000"/>
          <w:sz w:val="24"/>
          <w:u w:val="single"/>
          <w:lang w:eastAsia="zh-CN"/>
        </w:rPr>
        <w:t>日10时</w:t>
      </w:r>
      <w:r>
        <w:rPr>
          <w:rFonts w:hint="eastAsia" w:ascii="宋体" w:hAnsi="宋体" w:cs="宋体"/>
          <w:b/>
          <w:bCs/>
          <w:color w:val="000000"/>
          <w:sz w:val="24"/>
          <w:u w:val="single"/>
          <w:lang w:val="en-US" w:eastAsia="zh-CN"/>
        </w:rPr>
        <w:t>0</w:t>
      </w:r>
      <w:r>
        <w:rPr>
          <w:rFonts w:hint="eastAsia" w:ascii="宋体" w:hAnsi="宋体" w:cs="宋体"/>
          <w:b/>
          <w:bCs/>
          <w:color w:val="000000"/>
          <w:sz w:val="24"/>
          <w:u w:val="single"/>
          <w:lang w:eastAsia="zh-CN"/>
        </w:rPr>
        <w:t>0分</w:t>
      </w:r>
      <w:r>
        <w:rPr>
          <w:rFonts w:hint="eastAsia" w:ascii="宋体" w:hAnsi="宋体" w:cs="宋体"/>
          <w:bCs/>
          <w:sz w:val="24"/>
        </w:rPr>
        <w:t>（北京时间）</w:t>
      </w:r>
    </w:p>
    <w:p w14:paraId="54840793">
      <w:pPr>
        <w:pStyle w:val="67"/>
        <w:tabs>
          <w:tab w:val="left" w:pos="1424"/>
        </w:tabs>
        <w:spacing w:line="408" w:lineRule="auto"/>
        <w:ind w:firstLine="480" w:firstLineChars="200"/>
        <w:jc w:val="left"/>
        <w:rPr>
          <w:rFonts w:hint="eastAsia" w:ascii="宋体" w:hAnsi="宋体" w:cs="宋体"/>
          <w:sz w:val="24"/>
        </w:rPr>
      </w:pPr>
      <w:r>
        <w:rPr>
          <w:rFonts w:hint="eastAsia" w:ascii="宋体" w:hAnsi="宋体" w:cs="宋体"/>
          <w:sz w:val="24"/>
        </w:rPr>
        <w:t>开标地点：政采云远程不见面开标大厅（本项目采用远程不见面交易的模式。开标当日，投标人无需到达开标现场，仅需在任意地点登录政采云平台（http://www.ccgp-xinjiang.gov.cn）不见面开标系统（进入“项目采购”应用，在开标评标菜单中选择进入开标大厅）.</w:t>
      </w:r>
    </w:p>
    <w:p w14:paraId="077EDEB3">
      <w:pPr>
        <w:pStyle w:val="67"/>
        <w:tabs>
          <w:tab w:val="left" w:pos="1424"/>
        </w:tabs>
        <w:spacing w:line="408" w:lineRule="auto"/>
        <w:jc w:val="left"/>
        <w:rPr>
          <w:rFonts w:hint="eastAsia" w:ascii="宋体" w:hAnsi="宋体" w:cs="宋体"/>
          <w:b/>
          <w:bCs/>
          <w:sz w:val="24"/>
        </w:rPr>
      </w:pPr>
      <w:r>
        <w:rPr>
          <w:rFonts w:hint="eastAsia" w:ascii="宋体" w:hAnsi="宋体" w:cs="宋体"/>
          <w:b/>
          <w:bCs/>
          <w:sz w:val="24"/>
        </w:rPr>
        <w:t>六、公告期限</w:t>
      </w:r>
    </w:p>
    <w:p w14:paraId="7B9EE271">
      <w:pPr>
        <w:pStyle w:val="117"/>
        <w:spacing w:line="360" w:lineRule="auto"/>
        <w:ind w:firstLine="480" w:firstLineChars="200"/>
        <w:rPr>
          <w:rFonts w:hint="eastAsia" w:ascii="宋体" w:hAnsi="宋体" w:cs="宋体"/>
          <w:sz w:val="24"/>
          <w:szCs w:val="24"/>
        </w:rPr>
      </w:pPr>
      <w:r>
        <w:rPr>
          <w:rFonts w:hint="eastAsia" w:ascii="宋体" w:hAnsi="宋体" w:cs="宋体"/>
          <w:sz w:val="24"/>
          <w:szCs w:val="24"/>
        </w:rPr>
        <w:t>自本公告发布之日起3个工作日。</w:t>
      </w:r>
    </w:p>
    <w:p w14:paraId="04A26AD7">
      <w:pPr>
        <w:pStyle w:val="117"/>
        <w:spacing w:line="360" w:lineRule="auto"/>
        <w:rPr>
          <w:rFonts w:hint="eastAsia" w:ascii="宋体" w:hAnsi="宋体" w:cs="宋体"/>
          <w:b/>
          <w:bCs/>
          <w:sz w:val="24"/>
          <w:szCs w:val="24"/>
        </w:rPr>
      </w:pPr>
      <w:r>
        <w:rPr>
          <w:rFonts w:hint="eastAsia" w:ascii="宋体" w:hAnsi="宋体" w:cs="宋体"/>
          <w:b/>
          <w:bCs/>
          <w:sz w:val="24"/>
          <w:szCs w:val="24"/>
        </w:rPr>
        <w:t>七、其他补充事宜</w:t>
      </w:r>
    </w:p>
    <w:p w14:paraId="7AECFDF3">
      <w:pPr>
        <w:pStyle w:val="117"/>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1、本项目实行网上投标，采用电子投标文件；</w:t>
      </w:r>
    </w:p>
    <w:p w14:paraId="16BD1D30">
      <w:pPr>
        <w:pStyle w:val="117"/>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2、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0991-2819290；</w:t>
      </w:r>
    </w:p>
    <w:p w14:paraId="1658FFDA">
      <w:pPr>
        <w:pStyle w:val="117"/>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14:paraId="2DEC5443">
      <w:pPr>
        <w:pStyle w:val="117"/>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4、供应商操作指南详见新疆政府采购网（http://www.ccgp-xinjiang.gov.cn/）—办事指南—操作指南。</w:t>
      </w:r>
    </w:p>
    <w:p w14:paraId="62211658">
      <w:pPr>
        <w:pStyle w:val="117"/>
        <w:spacing w:line="360" w:lineRule="auto"/>
        <w:rPr>
          <w:rFonts w:hint="eastAsia" w:ascii="宋体" w:hAnsi="宋体" w:cs="宋体"/>
          <w:b/>
          <w:bCs/>
          <w:sz w:val="24"/>
          <w:szCs w:val="24"/>
        </w:rPr>
      </w:pPr>
      <w:r>
        <w:rPr>
          <w:rFonts w:hint="eastAsia" w:ascii="宋体" w:hAnsi="宋体" w:cs="宋体"/>
          <w:b/>
          <w:bCs/>
          <w:sz w:val="24"/>
          <w:szCs w:val="24"/>
        </w:rPr>
        <w:t>八、对本次招标提出询问，请按以下方式联系。</w:t>
      </w:r>
    </w:p>
    <w:p w14:paraId="6A669BE3">
      <w:pPr>
        <w:pStyle w:val="117"/>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采 购 人：</w:t>
      </w:r>
      <w:r>
        <w:rPr>
          <w:rFonts w:hint="eastAsia" w:ascii="宋体" w:hAnsi="宋体" w:cs="宋体"/>
          <w:color w:val="000000"/>
          <w:kern w:val="0"/>
          <w:sz w:val="24"/>
          <w:szCs w:val="24"/>
          <w:lang w:val="en-US" w:eastAsia="zh-CN"/>
        </w:rPr>
        <w:t xml:space="preserve">伊吾县人民政府办公室 </w:t>
      </w:r>
    </w:p>
    <w:p w14:paraId="3A886357">
      <w:pPr>
        <w:pStyle w:val="117"/>
        <w:spacing w:line="360" w:lineRule="auto"/>
        <w:ind w:firstLine="480" w:firstLineChars="200"/>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地    址：伊吾县</w:t>
      </w:r>
      <w:r>
        <w:rPr>
          <w:rFonts w:hint="eastAsia" w:ascii="宋体" w:hAnsi="宋体" w:cs="宋体"/>
          <w:color w:val="000000"/>
          <w:kern w:val="0"/>
          <w:sz w:val="24"/>
          <w:szCs w:val="24"/>
          <w:lang w:val="en-US" w:eastAsia="zh-CN"/>
        </w:rPr>
        <w:t>伊吾县振兴东路66号</w:t>
      </w:r>
    </w:p>
    <w:p w14:paraId="65770020">
      <w:pPr>
        <w:pStyle w:val="117"/>
        <w:spacing w:line="360" w:lineRule="auto"/>
        <w:ind w:firstLine="480" w:firstLineChars="200"/>
        <w:rPr>
          <w:rFonts w:hint="default" w:ascii="宋体" w:hAnsi="宋体" w:cs="宋体"/>
          <w:color w:val="000000"/>
          <w:kern w:val="0"/>
          <w:sz w:val="24"/>
          <w:szCs w:val="24"/>
          <w:lang w:val="en-US"/>
        </w:rPr>
      </w:pPr>
      <w:r>
        <w:rPr>
          <w:rFonts w:hint="eastAsia" w:ascii="宋体" w:hAnsi="宋体" w:cs="宋体"/>
          <w:color w:val="000000"/>
          <w:kern w:val="0"/>
          <w:sz w:val="24"/>
          <w:szCs w:val="24"/>
        </w:rPr>
        <w:t>联 系 人：</w:t>
      </w:r>
      <w:r>
        <w:rPr>
          <w:rFonts w:hint="eastAsia" w:ascii="宋体" w:hAnsi="宋体" w:cs="宋体"/>
          <w:color w:val="000000"/>
          <w:kern w:val="0"/>
          <w:sz w:val="24"/>
          <w:szCs w:val="24"/>
          <w:lang w:val="en-US" w:eastAsia="zh-CN"/>
        </w:rPr>
        <w:t>周海英</w:t>
      </w:r>
    </w:p>
    <w:p w14:paraId="467BD631">
      <w:pPr>
        <w:pStyle w:val="117"/>
        <w:spacing w:line="360" w:lineRule="auto"/>
        <w:ind w:firstLine="480" w:firstLineChars="200"/>
        <w:rPr>
          <w:rFonts w:hint="default" w:ascii="宋体" w:hAnsi="宋体" w:cs="宋体"/>
          <w:color w:val="000000"/>
          <w:kern w:val="0"/>
          <w:sz w:val="24"/>
          <w:szCs w:val="24"/>
          <w:lang w:val="en-US" w:eastAsia="zh-CN"/>
        </w:rPr>
      </w:pPr>
      <w:r>
        <w:rPr>
          <w:rFonts w:hint="eastAsia" w:ascii="宋体" w:hAnsi="宋体" w:cs="宋体"/>
          <w:color w:val="000000"/>
          <w:kern w:val="0"/>
          <w:sz w:val="24"/>
          <w:szCs w:val="24"/>
        </w:rPr>
        <w:t>电话：</w:t>
      </w:r>
      <w:r>
        <w:rPr>
          <w:rFonts w:hint="eastAsia" w:ascii="宋体" w:hAnsi="宋体" w:cs="宋体"/>
          <w:color w:val="000000"/>
          <w:kern w:val="0"/>
          <w:sz w:val="24"/>
          <w:szCs w:val="24"/>
          <w:lang w:val="en-US" w:eastAsia="zh-CN"/>
        </w:rPr>
        <w:t>18997688306</w:t>
      </w:r>
    </w:p>
    <w:p w14:paraId="42046BC8">
      <w:pPr>
        <w:spacing w:line="360" w:lineRule="auto"/>
        <w:ind w:firstLine="480" w:firstLineChars="200"/>
        <w:rPr>
          <w:rFonts w:ascii="宋体" w:hAnsi="宋体" w:cs="宋体"/>
          <w:sz w:val="24"/>
          <w:szCs w:val="24"/>
        </w:rPr>
      </w:pPr>
      <w:r>
        <w:rPr>
          <w:rFonts w:hint="eastAsia" w:ascii="宋体" w:hAnsi="宋体" w:cs="宋体"/>
          <w:sz w:val="24"/>
          <w:szCs w:val="24"/>
        </w:rPr>
        <w:t>采购</w:t>
      </w:r>
      <w:r>
        <w:rPr>
          <w:rFonts w:ascii="宋体" w:hAnsi="宋体" w:cs="宋体"/>
          <w:sz w:val="24"/>
          <w:szCs w:val="24"/>
        </w:rPr>
        <w:t>代理：</w:t>
      </w:r>
      <w:r>
        <w:rPr>
          <w:rFonts w:hint="eastAsia" w:ascii="宋体" w:hAnsi="宋体" w:cs="宋体"/>
          <w:color w:val="000000"/>
          <w:sz w:val="24"/>
          <w:szCs w:val="24"/>
          <w:u w:val="none"/>
        </w:rPr>
        <w:t>新疆华飞项目咨询管理有限公司</w:t>
      </w:r>
    </w:p>
    <w:p w14:paraId="77431E89">
      <w:pPr>
        <w:spacing w:line="360" w:lineRule="auto"/>
        <w:ind w:firstLine="480" w:firstLineChars="200"/>
        <w:rPr>
          <w:rFonts w:ascii="宋体" w:hAnsi="宋体" w:cs="宋体"/>
          <w:sz w:val="24"/>
          <w:szCs w:val="24"/>
        </w:rPr>
      </w:pPr>
      <w:r>
        <w:rPr>
          <w:rFonts w:ascii="宋体" w:hAnsi="宋体" w:cs="宋体"/>
          <w:sz w:val="24"/>
          <w:szCs w:val="24"/>
        </w:rPr>
        <w:t>地    址</w:t>
      </w:r>
      <w:r>
        <w:rPr>
          <w:rFonts w:ascii="宋体" w:hAnsi="宋体" w:cs="宋体"/>
          <w:sz w:val="24"/>
          <w:szCs w:val="24"/>
          <w:u w:val="none"/>
        </w:rPr>
        <w:t>：</w:t>
      </w:r>
      <w:r>
        <w:rPr>
          <w:rFonts w:hint="eastAsia" w:ascii="宋体" w:hAnsi="宋体" w:cs="宋体"/>
          <w:color w:val="000000"/>
          <w:sz w:val="24"/>
          <w:szCs w:val="24"/>
          <w:u w:val="none"/>
        </w:rPr>
        <w:t>新疆哈密市伊州区火箭农场玉秀小区B-2幢二单元1号门面</w:t>
      </w:r>
    </w:p>
    <w:p w14:paraId="0ACF0BF0">
      <w:pPr>
        <w:spacing w:line="360" w:lineRule="auto"/>
        <w:ind w:firstLine="480" w:firstLineChars="200"/>
        <w:rPr>
          <w:rFonts w:hint="eastAsia" w:ascii="宋体" w:hAnsi="宋体" w:eastAsia="宋体" w:cs="宋体"/>
          <w:sz w:val="24"/>
          <w:szCs w:val="24"/>
          <w:lang w:val="en-US" w:eastAsia="zh-CN"/>
        </w:rPr>
      </w:pPr>
      <w:r>
        <w:rPr>
          <w:rFonts w:ascii="宋体" w:hAnsi="宋体" w:cs="宋体"/>
          <w:sz w:val="24"/>
          <w:szCs w:val="24"/>
        </w:rPr>
        <w:t>采购代理联系人：</w:t>
      </w:r>
      <w:r>
        <w:rPr>
          <w:rFonts w:hint="eastAsia" w:ascii="宋体" w:hAnsi="宋体" w:cs="宋体"/>
          <w:sz w:val="24"/>
          <w:szCs w:val="24"/>
          <w:lang w:val="en-US" w:eastAsia="zh-CN"/>
        </w:rPr>
        <w:t>刘长庆</w:t>
      </w:r>
    </w:p>
    <w:p w14:paraId="7C94A303">
      <w:pPr>
        <w:spacing w:line="360" w:lineRule="auto"/>
        <w:ind w:firstLine="480" w:firstLineChars="200"/>
        <w:jc w:val="both"/>
        <w:rPr>
          <w:rFonts w:hint="eastAsia" w:ascii="宋体" w:hAnsi="宋体" w:cs="宋体"/>
          <w:highlight w:val="red"/>
        </w:rPr>
      </w:pPr>
      <w:r>
        <w:rPr>
          <w:rFonts w:ascii="宋体" w:hAnsi="宋体" w:cs="宋体"/>
          <w:sz w:val="24"/>
          <w:szCs w:val="24"/>
        </w:rPr>
        <w:t>联系电话：</w:t>
      </w:r>
      <w:r>
        <w:rPr>
          <w:rFonts w:hint="eastAsia" w:ascii="宋体" w:hAnsi="宋体" w:cs="宋体"/>
          <w:sz w:val="24"/>
          <w:szCs w:val="24"/>
          <w:lang w:val="en-US" w:eastAsia="zh-CN"/>
        </w:rPr>
        <w:t>15909022604</w:t>
      </w:r>
      <w:r>
        <w:rPr>
          <w:rFonts w:hint="eastAsia" w:ascii="宋体" w:hAnsi="宋体" w:cs="宋体"/>
          <w:sz w:val="28"/>
          <w:szCs w:val="28"/>
          <w:highlight w:val="white"/>
        </w:rPr>
        <w:br w:type="page"/>
      </w:r>
      <w:bookmarkStart w:id="6" w:name="_Toc15244"/>
      <w:bookmarkStart w:id="7" w:name="_Toc529952597"/>
      <w:bookmarkStart w:id="8" w:name="_Toc2843"/>
      <w:r>
        <w:rPr>
          <w:rFonts w:hint="eastAsia" w:ascii="宋体" w:hAnsi="宋体" w:cs="宋体"/>
          <w:sz w:val="36"/>
          <w:szCs w:val="36"/>
          <w:highlight w:val="white"/>
        </w:rPr>
        <w:t>第二章 磋商须知</w:t>
      </w:r>
      <w:bookmarkEnd w:id="6"/>
      <w:bookmarkEnd w:id="7"/>
      <w:bookmarkEnd w:id="8"/>
      <w:bookmarkStart w:id="9" w:name="EBd5da4144bf5b4dcfa561be372d70f824"/>
    </w:p>
    <w:p w14:paraId="4B4C4622">
      <w:pPr>
        <w:pStyle w:val="77"/>
        <w:spacing w:before="0" w:after="0"/>
        <w:jc w:val="center"/>
        <w:rPr>
          <w:rFonts w:hint="eastAsia" w:ascii="宋体" w:hAnsi="宋体" w:cs="宋体"/>
          <w:b/>
          <w:bCs/>
          <w:sz w:val="28"/>
          <w:szCs w:val="28"/>
        </w:rPr>
      </w:pPr>
      <w:bookmarkStart w:id="10" w:name="_Toc17069"/>
      <w:bookmarkStart w:id="11" w:name="_Toc256000002"/>
      <w:bookmarkStart w:id="12" w:name="_Toc106276246"/>
      <w:bookmarkStart w:id="13" w:name="_Toc17603"/>
      <w:bookmarkStart w:id="14" w:name="_Toc14242"/>
      <w:bookmarkStart w:id="15" w:name="_Toc28370"/>
      <w:r>
        <w:rPr>
          <w:rFonts w:hint="eastAsia" w:ascii="宋体" w:hAnsi="宋体" w:cs="宋体"/>
          <w:b/>
          <w:bCs/>
          <w:sz w:val="28"/>
          <w:szCs w:val="28"/>
        </w:rPr>
        <w:t>磋商须知前附表</w:t>
      </w:r>
      <w:bookmarkEnd w:id="10"/>
      <w:bookmarkEnd w:id="11"/>
      <w:bookmarkEnd w:id="12"/>
      <w:bookmarkEnd w:id="13"/>
      <w:bookmarkEnd w:id="14"/>
      <w:bookmarkEnd w:id="15"/>
    </w:p>
    <w:tbl>
      <w:tblPr>
        <w:tblStyle w:val="46"/>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208"/>
        <w:gridCol w:w="1192"/>
        <w:gridCol w:w="6014"/>
      </w:tblGrid>
      <w:tr w14:paraId="03545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85" w:type="dxa"/>
            <w:noWrap w:val="0"/>
            <w:vAlign w:val="top"/>
          </w:tcPr>
          <w:p w14:paraId="19981A05">
            <w:pPr>
              <w:pStyle w:val="67"/>
              <w:spacing w:line="360" w:lineRule="auto"/>
              <w:jc w:val="center"/>
              <w:rPr>
                <w:rFonts w:hint="eastAsia" w:ascii="宋体" w:hAnsi="宋体" w:cs="宋体"/>
                <w:b/>
                <w:sz w:val="24"/>
              </w:rPr>
            </w:pPr>
            <w:r>
              <w:rPr>
                <w:rFonts w:hint="eastAsia" w:ascii="宋体" w:hAnsi="宋体" w:cs="宋体"/>
                <w:b/>
                <w:sz w:val="24"/>
              </w:rPr>
              <w:t>序号</w:t>
            </w:r>
          </w:p>
        </w:tc>
        <w:tc>
          <w:tcPr>
            <w:tcW w:w="2400" w:type="dxa"/>
            <w:gridSpan w:val="2"/>
            <w:noWrap w:val="0"/>
            <w:vAlign w:val="top"/>
          </w:tcPr>
          <w:p w14:paraId="1AEE21AF">
            <w:pPr>
              <w:pStyle w:val="67"/>
              <w:spacing w:line="320" w:lineRule="exact"/>
              <w:jc w:val="center"/>
              <w:rPr>
                <w:rFonts w:hint="eastAsia" w:ascii="宋体" w:hAnsi="宋体" w:cs="宋体"/>
                <w:b/>
                <w:sz w:val="24"/>
              </w:rPr>
            </w:pPr>
            <w:r>
              <w:rPr>
                <w:rFonts w:hint="eastAsia" w:ascii="宋体" w:hAnsi="宋体" w:cs="宋体"/>
                <w:b/>
                <w:sz w:val="24"/>
              </w:rPr>
              <w:t>条  款  名  称</w:t>
            </w:r>
          </w:p>
        </w:tc>
        <w:tc>
          <w:tcPr>
            <w:tcW w:w="6014" w:type="dxa"/>
            <w:noWrap w:val="0"/>
            <w:vAlign w:val="top"/>
          </w:tcPr>
          <w:p w14:paraId="63800B39">
            <w:pPr>
              <w:pStyle w:val="67"/>
              <w:spacing w:line="400" w:lineRule="exact"/>
              <w:jc w:val="center"/>
              <w:rPr>
                <w:rFonts w:hint="eastAsia" w:ascii="宋体" w:hAnsi="宋体" w:cs="宋体"/>
                <w:b/>
                <w:sz w:val="24"/>
              </w:rPr>
            </w:pPr>
            <w:r>
              <w:rPr>
                <w:rFonts w:hint="eastAsia" w:ascii="宋体" w:hAnsi="宋体" w:cs="宋体"/>
                <w:b/>
                <w:sz w:val="24"/>
              </w:rPr>
              <w:t>编  列  内  容</w:t>
            </w:r>
          </w:p>
        </w:tc>
      </w:tr>
      <w:tr w14:paraId="3FB3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85" w:type="dxa"/>
            <w:noWrap w:val="0"/>
            <w:vAlign w:val="center"/>
          </w:tcPr>
          <w:p w14:paraId="0B1702DE">
            <w:pPr>
              <w:pStyle w:val="67"/>
              <w:spacing w:line="360" w:lineRule="auto"/>
              <w:rPr>
                <w:rFonts w:hint="eastAsia" w:ascii="宋体" w:hAnsi="宋体" w:cs="宋体"/>
                <w:b/>
                <w:bCs/>
                <w:sz w:val="24"/>
              </w:rPr>
            </w:pPr>
            <w:r>
              <w:rPr>
                <w:rFonts w:hint="eastAsia" w:ascii="宋体" w:hAnsi="宋体" w:cs="宋体"/>
                <w:b/>
                <w:bCs/>
                <w:sz w:val="24"/>
              </w:rPr>
              <w:t>1.2.1</w:t>
            </w:r>
          </w:p>
        </w:tc>
        <w:tc>
          <w:tcPr>
            <w:tcW w:w="2400" w:type="dxa"/>
            <w:gridSpan w:val="2"/>
            <w:noWrap w:val="0"/>
            <w:vAlign w:val="center"/>
          </w:tcPr>
          <w:p w14:paraId="44DCD38A">
            <w:pPr>
              <w:pStyle w:val="67"/>
              <w:keepNext/>
              <w:spacing w:line="320" w:lineRule="exact"/>
              <w:jc w:val="center"/>
              <w:rPr>
                <w:rFonts w:hint="eastAsia" w:ascii="宋体" w:hAnsi="宋体" w:cs="宋体"/>
                <w:b/>
                <w:bCs/>
                <w:color w:val="000000"/>
                <w:sz w:val="24"/>
              </w:rPr>
            </w:pPr>
            <w:r>
              <w:rPr>
                <w:rFonts w:hint="eastAsia" w:ascii="宋体" w:hAnsi="宋体" w:cs="宋体"/>
                <w:b/>
                <w:bCs/>
                <w:color w:val="000000"/>
                <w:sz w:val="24"/>
              </w:rPr>
              <w:t>采购人</w:t>
            </w:r>
          </w:p>
        </w:tc>
        <w:tc>
          <w:tcPr>
            <w:tcW w:w="6014" w:type="dxa"/>
            <w:noWrap w:val="0"/>
            <w:vAlign w:val="top"/>
          </w:tcPr>
          <w:p w14:paraId="05DCE68D">
            <w:pPr>
              <w:pStyle w:val="94"/>
              <w:spacing w:line="500" w:lineRule="exact"/>
              <w:rPr>
                <w:rFonts w:hint="eastAsia" w:hAnsi="宋体" w:cs="宋体"/>
                <w:sz w:val="24"/>
                <w:szCs w:val="28"/>
                <w:lang w:val="en-US" w:eastAsia="zh-CN"/>
              </w:rPr>
            </w:pPr>
            <w:r>
              <w:rPr>
                <w:rFonts w:hint="eastAsia" w:hAnsi="宋体" w:cs="宋体"/>
                <w:sz w:val="24"/>
                <w:szCs w:val="28"/>
                <w:lang w:val="en-US" w:eastAsia="zh-CN"/>
              </w:rPr>
              <w:t>采购人：</w:t>
            </w:r>
            <w:r>
              <w:rPr>
                <w:rFonts w:hint="eastAsia"/>
                <w:kern w:val="0"/>
                <w:sz w:val="24"/>
                <w:lang w:val="en-US" w:eastAsia="zh-CN"/>
              </w:rPr>
              <w:t xml:space="preserve">伊吾县人民政府办公室 </w:t>
            </w:r>
          </w:p>
          <w:p w14:paraId="53105545">
            <w:pPr>
              <w:pStyle w:val="94"/>
              <w:spacing w:line="500" w:lineRule="exact"/>
              <w:rPr>
                <w:rFonts w:hint="default" w:hAnsi="宋体" w:cs="宋体"/>
                <w:sz w:val="24"/>
                <w:szCs w:val="28"/>
                <w:lang w:val="en-US" w:eastAsia="zh-CN"/>
              </w:rPr>
            </w:pPr>
            <w:r>
              <w:rPr>
                <w:rFonts w:hint="eastAsia" w:hAnsi="宋体" w:cs="宋体"/>
                <w:sz w:val="24"/>
                <w:szCs w:val="28"/>
                <w:lang w:val="en-US" w:eastAsia="zh-CN"/>
              </w:rPr>
              <w:t>地址：伊吾县伊吾县伊吾县振兴东路66号</w:t>
            </w:r>
          </w:p>
          <w:p w14:paraId="3FEE222C">
            <w:pPr>
              <w:pStyle w:val="94"/>
              <w:spacing w:line="500" w:lineRule="exact"/>
              <w:rPr>
                <w:rFonts w:hint="eastAsia" w:hAnsi="宋体" w:cs="宋体"/>
                <w:kern w:val="0"/>
                <w:sz w:val="24"/>
                <w:szCs w:val="28"/>
                <w:lang w:val="en-US" w:eastAsia="zh-CN"/>
              </w:rPr>
            </w:pPr>
            <w:r>
              <w:rPr>
                <w:rFonts w:hint="eastAsia" w:hAnsi="宋体" w:cs="宋体"/>
                <w:sz w:val="24"/>
                <w:szCs w:val="28"/>
                <w:lang w:val="en-US" w:eastAsia="zh-CN"/>
              </w:rPr>
              <w:t>联系人：</w:t>
            </w:r>
            <w:r>
              <w:rPr>
                <w:rFonts w:hint="eastAsia"/>
                <w:kern w:val="0"/>
                <w:sz w:val="24"/>
                <w:lang w:val="en-US" w:eastAsia="zh-CN"/>
              </w:rPr>
              <w:t>周海英</w:t>
            </w:r>
          </w:p>
          <w:p w14:paraId="0666375A">
            <w:pPr>
              <w:pStyle w:val="94"/>
              <w:spacing w:line="500" w:lineRule="exact"/>
              <w:rPr>
                <w:rFonts w:hint="eastAsia" w:ascii="Calibri" w:hAnsi="宋体" w:eastAsia="宋体" w:cs="宋体"/>
                <w:sz w:val="24"/>
                <w:szCs w:val="28"/>
                <w:lang w:val="en-US" w:eastAsia="zh-CN"/>
              </w:rPr>
            </w:pPr>
            <w:r>
              <w:rPr>
                <w:rFonts w:hint="eastAsia" w:hAnsi="宋体" w:cs="宋体"/>
                <w:sz w:val="24"/>
                <w:szCs w:val="28"/>
                <w:lang w:val="en-US" w:eastAsia="zh-CN"/>
              </w:rPr>
              <w:t>电话：</w:t>
            </w:r>
            <w:r>
              <w:rPr>
                <w:rFonts w:hint="eastAsia" w:ascii="宋体" w:hAnsi="宋体" w:cs="宋体"/>
                <w:kern w:val="0"/>
                <w:sz w:val="24"/>
                <w:lang w:val="en-US" w:eastAsia="zh-CN"/>
              </w:rPr>
              <w:t>18997688306</w:t>
            </w:r>
          </w:p>
        </w:tc>
      </w:tr>
      <w:tr w14:paraId="4E3A4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85" w:type="dxa"/>
            <w:noWrap w:val="0"/>
            <w:vAlign w:val="center"/>
          </w:tcPr>
          <w:p w14:paraId="6FBD874C">
            <w:pPr>
              <w:pStyle w:val="67"/>
              <w:spacing w:line="360" w:lineRule="auto"/>
              <w:jc w:val="center"/>
              <w:rPr>
                <w:rFonts w:hint="eastAsia" w:ascii="宋体" w:hAnsi="宋体" w:cs="宋体"/>
                <w:b/>
                <w:bCs/>
                <w:sz w:val="24"/>
              </w:rPr>
            </w:pPr>
            <w:r>
              <w:rPr>
                <w:rFonts w:hint="eastAsia" w:ascii="宋体" w:hAnsi="宋体" w:cs="宋体"/>
                <w:b/>
                <w:bCs/>
                <w:sz w:val="24"/>
              </w:rPr>
              <w:t>1.2.2</w:t>
            </w:r>
          </w:p>
        </w:tc>
        <w:tc>
          <w:tcPr>
            <w:tcW w:w="2400" w:type="dxa"/>
            <w:gridSpan w:val="2"/>
            <w:noWrap w:val="0"/>
            <w:vAlign w:val="center"/>
          </w:tcPr>
          <w:p w14:paraId="33D00C62">
            <w:pPr>
              <w:pStyle w:val="67"/>
              <w:spacing w:line="320" w:lineRule="exact"/>
              <w:jc w:val="center"/>
              <w:rPr>
                <w:rFonts w:hint="eastAsia" w:ascii="宋体" w:hAnsi="宋体" w:cs="宋体"/>
                <w:b/>
                <w:bCs/>
                <w:sz w:val="24"/>
              </w:rPr>
            </w:pPr>
            <w:r>
              <w:rPr>
                <w:rFonts w:hint="eastAsia" w:ascii="宋体" w:hAnsi="宋体" w:cs="宋体"/>
                <w:b/>
                <w:bCs/>
                <w:sz w:val="24"/>
              </w:rPr>
              <w:t>采购代理机构</w:t>
            </w:r>
          </w:p>
        </w:tc>
        <w:tc>
          <w:tcPr>
            <w:tcW w:w="6014" w:type="dxa"/>
            <w:noWrap w:val="0"/>
            <w:vAlign w:val="top"/>
          </w:tcPr>
          <w:p w14:paraId="32C5A232">
            <w:pPr>
              <w:pStyle w:val="121"/>
              <w:keepNext/>
              <w:spacing w:line="500" w:lineRule="exact"/>
              <w:rPr>
                <w:rFonts w:hint="eastAsia" w:hAnsi="宋体" w:cs="宋体"/>
                <w:sz w:val="24"/>
                <w:szCs w:val="28"/>
                <w:lang w:val="en-US" w:eastAsia="zh-CN"/>
              </w:rPr>
            </w:pPr>
            <w:r>
              <w:rPr>
                <w:rFonts w:hint="eastAsia" w:hAnsi="宋体" w:cs="宋体"/>
                <w:sz w:val="24"/>
                <w:szCs w:val="28"/>
                <w:lang w:val="en-US" w:eastAsia="zh-CN"/>
              </w:rPr>
              <w:t xml:space="preserve">名称：新疆华飞项目咨询管理有限公司          </w:t>
            </w:r>
          </w:p>
          <w:p w14:paraId="53274A50">
            <w:pPr>
              <w:pStyle w:val="121"/>
              <w:keepNext/>
              <w:spacing w:line="500" w:lineRule="exact"/>
              <w:rPr>
                <w:rFonts w:hint="eastAsia" w:hAnsi="宋体" w:cs="宋体"/>
                <w:sz w:val="24"/>
                <w:szCs w:val="28"/>
                <w:lang w:val="en-US" w:eastAsia="zh-CN"/>
              </w:rPr>
            </w:pPr>
            <w:r>
              <w:rPr>
                <w:rFonts w:hint="eastAsia" w:hAnsi="宋体" w:cs="宋体"/>
                <w:sz w:val="24"/>
                <w:szCs w:val="28"/>
                <w:lang w:val="en-US" w:eastAsia="zh-CN"/>
              </w:rPr>
              <w:t xml:space="preserve">地址：新疆哈密市伊州区火箭农场玉秀小区B-2幢二单元1号门面                     </w:t>
            </w:r>
          </w:p>
          <w:p w14:paraId="55884D1F">
            <w:pPr>
              <w:pStyle w:val="121"/>
              <w:keepNext/>
              <w:spacing w:line="500" w:lineRule="exact"/>
              <w:rPr>
                <w:rFonts w:hint="eastAsia" w:hAnsi="宋体" w:cs="宋体"/>
                <w:sz w:val="24"/>
                <w:szCs w:val="28"/>
                <w:lang w:val="en-US" w:eastAsia="zh-CN"/>
              </w:rPr>
            </w:pPr>
            <w:r>
              <w:rPr>
                <w:rFonts w:hint="eastAsia" w:hAnsi="宋体" w:cs="宋体"/>
                <w:sz w:val="24"/>
                <w:szCs w:val="28"/>
                <w:lang w:val="en-US" w:eastAsia="zh-CN"/>
              </w:rPr>
              <w:t xml:space="preserve">联系人：刘长庆                         </w:t>
            </w:r>
          </w:p>
          <w:p w14:paraId="1ED7EFF5">
            <w:pPr>
              <w:pStyle w:val="121"/>
              <w:keepNext/>
              <w:spacing w:line="500" w:lineRule="exact"/>
              <w:rPr>
                <w:rFonts w:hint="eastAsia" w:hAnsi="宋体" w:cs="宋体"/>
                <w:sz w:val="24"/>
                <w:szCs w:val="28"/>
                <w:lang w:val="en-US" w:eastAsia="zh-CN"/>
              </w:rPr>
            </w:pPr>
            <w:r>
              <w:rPr>
                <w:rFonts w:hint="eastAsia" w:hAnsi="宋体" w:cs="宋体"/>
                <w:sz w:val="24"/>
                <w:szCs w:val="28"/>
                <w:lang w:val="en-US" w:eastAsia="zh-CN"/>
              </w:rPr>
              <w:t>电话：</w:t>
            </w:r>
            <w:r>
              <w:rPr>
                <w:rFonts w:hint="eastAsia" w:ascii="宋体" w:hAnsi="宋体" w:cs="宋体"/>
                <w:sz w:val="24"/>
                <w:szCs w:val="28"/>
                <w:lang w:val="en-US" w:eastAsia="zh-CN"/>
              </w:rPr>
              <w:t>15909022604</w:t>
            </w:r>
            <w:r>
              <w:rPr>
                <w:rFonts w:hint="eastAsia" w:hAnsi="宋体" w:cs="宋体"/>
                <w:sz w:val="24"/>
                <w:szCs w:val="28"/>
                <w:lang w:val="en-US" w:eastAsia="zh-CN"/>
              </w:rPr>
              <w:t xml:space="preserve">   </w:t>
            </w:r>
          </w:p>
        </w:tc>
      </w:tr>
      <w:tr w14:paraId="4EA5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85" w:type="dxa"/>
            <w:noWrap w:val="0"/>
            <w:vAlign w:val="center"/>
          </w:tcPr>
          <w:p w14:paraId="3F127F23">
            <w:pPr>
              <w:pStyle w:val="67"/>
              <w:spacing w:line="360" w:lineRule="auto"/>
              <w:jc w:val="center"/>
              <w:rPr>
                <w:rFonts w:hint="eastAsia" w:ascii="宋体" w:hAnsi="宋体" w:cs="宋体"/>
                <w:b/>
                <w:bCs/>
                <w:sz w:val="24"/>
              </w:rPr>
            </w:pPr>
            <w:r>
              <w:rPr>
                <w:rFonts w:hint="eastAsia" w:ascii="宋体" w:hAnsi="宋体" w:cs="宋体"/>
                <w:b/>
                <w:bCs/>
                <w:sz w:val="24"/>
              </w:rPr>
              <w:t>1.2.3</w:t>
            </w:r>
          </w:p>
        </w:tc>
        <w:tc>
          <w:tcPr>
            <w:tcW w:w="2400" w:type="dxa"/>
            <w:gridSpan w:val="2"/>
            <w:noWrap w:val="0"/>
            <w:vAlign w:val="center"/>
          </w:tcPr>
          <w:p w14:paraId="70BA83BD">
            <w:pPr>
              <w:pStyle w:val="67"/>
              <w:spacing w:line="320" w:lineRule="exact"/>
              <w:jc w:val="center"/>
              <w:rPr>
                <w:rFonts w:hint="eastAsia" w:ascii="宋体" w:hAnsi="宋体" w:cs="宋体"/>
                <w:b/>
                <w:bCs/>
                <w:sz w:val="24"/>
              </w:rPr>
            </w:pPr>
            <w:r>
              <w:rPr>
                <w:rFonts w:hint="eastAsia" w:ascii="宋体" w:hAnsi="宋体" w:cs="宋体"/>
                <w:b/>
                <w:bCs/>
                <w:sz w:val="24"/>
              </w:rPr>
              <w:t>项目名称</w:t>
            </w:r>
          </w:p>
        </w:tc>
        <w:tc>
          <w:tcPr>
            <w:tcW w:w="6014" w:type="dxa"/>
            <w:noWrap w:val="0"/>
            <w:vAlign w:val="center"/>
          </w:tcPr>
          <w:p w14:paraId="517AC987">
            <w:pPr>
              <w:pStyle w:val="40"/>
              <w:widowControl/>
              <w:snapToGrid w:val="0"/>
              <w:spacing w:line="500" w:lineRule="exact"/>
              <w:jc w:val="left"/>
              <w:rPr>
                <w:rFonts w:hint="eastAsia" w:hAnsi="宋体" w:cs="宋体"/>
                <w:sz w:val="24"/>
                <w:szCs w:val="28"/>
              </w:rPr>
            </w:pPr>
            <w:r>
              <w:rPr>
                <w:rFonts w:hint="eastAsia" w:ascii="宋体" w:hAnsi="宋体"/>
                <w:sz w:val="24"/>
                <w:szCs w:val="28"/>
                <w:lang w:eastAsia="zh-CN"/>
              </w:rPr>
              <w:t>伊吾县气象防灾减灾运行维护服务项目</w:t>
            </w:r>
            <w:r>
              <w:rPr>
                <w:rFonts w:hint="eastAsia" w:hAnsi="宋体" w:cs="宋体"/>
                <w:sz w:val="24"/>
                <w:szCs w:val="28"/>
              </w:rPr>
              <w:t xml:space="preserve">  </w:t>
            </w:r>
          </w:p>
        </w:tc>
      </w:tr>
      <w:tr w14:paraId="611B3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5" w:type="dxa"/>
            <w:noWrap w:val="0"/>
            <w:vAlign w:val="center"/>
          </w:tcPr>
          <w:p w14:paraId="5572F299">
            <w:pPr>
              <w:pStyle w:val="67"/>
              <w:spacing w:line="360" w:lineRule="auto"/>
              <w:jc w:val="center"/>
              <w:rPr>
                <w:rFonts w:hint="eastAsia" w:ascii="宋体" w:hAnsi="宋体" w:eastAsia="宋体" w:cs="宋体"/>
                <w:b/>
                <w:bCs/>
                <w:sz w:val="24"/>
                <w:lang w:val="en-US" w:eastAsia="zh-CN"/>
              </w:rPr>
            </w:pPr>
            <w:r>
              <w:rPr>
                <w:rFonts w:hint="eastAsia" w:ascii="宋体" w:hAnsi="宋体" w:cs="宋体"/>
                <w:b/>
                <w:bCs/>
                <w:sz w:val="24"/>
              </w:rPr>
              <w:t>1.2.</w:t>
            </w:r>
            <w:r>
              <w:rPr>
                <w:rFonts w:hint="eastAsia" w:ascii="宋体" w:hAnsi="宋体" w:cs="宋体"/>
                <w:b/>
                <w:bCs/>
                <w:sz w:val="24"/>
                <w:lang w:val="en-US" w:eastAsia="zh-CN"/>
              </w:rPr>
              <w:t>4</w:t>
            </w:r>
          </w:p>
        </w:tc>
        <w:tc>
          <w:tcPr>
            <w:tcW w:w="2400" w:type="dxa"/>
            <w:gridSpan w:val="2"/>
            <w:noWrap w:val="0"/>
            <w:vAlign w:val="center"/>
          </w:tcPr>
          <w:p w14:paraId="6F9CE6A6">
            <w:pPr>
              <w:pStyle w:val="67"/>
              <w:keepNext/>
              <w:spacing w:line="320" w:lineRule="exact"/>
              <w:jc w:val="center"/>
              <w:rPr>
                <w:rFonts w:hint="eastAsia" w:ascii="宋体" w:hAnsi="宋体" w:eastAsia="宋体" w:cs="宋体"/>
                <w:b/>
                <w:sz w:val="24"/>
                <w:lang w:eastAsia="zh-CN"/>
              </w:rPr>
            </w:pPr>
            <w:r>
              <w:rPr>
                <w:rFonts w:hint="eastAsia" w:ascii="宋体" w:hAnsi="宋体" w:cs="宋体"/>
                <w:b/>
                <w:sz w:val="24"/>
                <w:lang w:val="en-US" w:eastAsia="zh-CN"/>
              </w:rPr>
              <w:t>服务期</w:t>
            </w:r>
          </w:p>
        </w:tc>
        <w:tc>
          <w:tcPr>
            <w:tcW w:w="6014" w:type="dxa"/>
            <w:noWrap w:val="0"/>
            <w:vAlign w:val="center"/>
          </w:tcPr>
          <w:p w14:paraId="5F24A6B8">
            <w:pPr>
              <w:pStyle w:val="40"/>
              <w:spacing w:line="500" w:lineRule="exact"/>
              <w:jc w:val="left"/>
              <w:rPr>
                <w:rFonts w:hint="default" w:ascii="宋体" w:hAnsi="宋体" w:eastAsia="宋体" w:cs="宋体"/>
                <w:color w:val="000000"/>
                <w:sz w:val="24"/>
                <w:szCs w:val="24"/>
                <w:lang w:val="en-US" w:eastAsia="zh-CN"/>
              </w:rPr>
            </w:pPr>
            <w:r>
              <w:rPr>
                <w:rFonts w:hint="eastAsia" w:ascii="宋体" w:hAnsi="宋体" w:cs="宋体"/>
                <w:color w:val="auto"/>
                <w:sz w:val="24"/>
                <w:szCs w:val="24"/>
                <w:lang w:val="en-US" w:eastAsia="zh-CN"/>
              </w:rPr>
              <w:t xml:space="preserve">三年，合同一年一签，总期限不超过三年。 </w:t>
            </w:r>
          </w:p>
        </w:tc>
      </w:tr>
      <w:tr w14:paraId="02F9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885" w:type="dxa"/>
            <w:noWrap w:val="0"/>
            <w:vAlign w:val="center"/>
          </w:tcPr>
          <w:p w14:paraId="44162F89">
            <w:pPr>
              <w:pStyle w:val="67"/>
              <w:spacing w:line="360" w:lineRule="auto"/>
              <w:jc w:val="center"/>
              <w:rPr>
                <w:rFonts w:hint="eastAsia" w:ascii="宋体" w:hAnsi="宋体" w:cs="宋体"/>
                <w:b/>
                <w:bCs/>
                <w:sz w:val="24"/>
              </w:rPr>
            </w:pPr>
            <w:r>
              <w:rPr>
                <w:rFonts w:hint="eastAsia" w:ascii="宋体" w:hAnsi="宋体" w:cs="宋体"/>
                <w:b/>
                <w:bCs/>
                <w:sz w:val="24"/>
              </w:rPr>
              <w:t>1.3.1</w:t>
            </w:r>
          </w:p>
        </w:tc>
        <w:tc>
          <w:tcPr>
            <w:tcW w:w="2400" w:type="dxa"/>
            <w:gridSpan w:val="2"/>
            <w:noWrap w:val="0"/>
            <w:vAlign w:val="center"/>
          </w:tcPr>
          <w:p w14:paraId="785C7AFB">
            <w:pPr>
              <w:pStyle w:val="67"/>
              <w:spacing w:line="320" w:lineRule="exact"/>
              <w:jc w:val="center"/>
              <w:rPr>
                <w:rFonts w:hint="eastAsia" w:ascii="宋体" w:hAnsi="宋体" w:cs="宋体"/>
                <w:b/>
                <w:bCs/>
                <w:sz w:val="24"/>
              </w:rPr>
            </w:pPr>
            <w:r>
              <w:rPr>
                <w:rFonts w:hint="eastAsia" w:ascii="宋体" w:hAnsi="宋体" w:cs="宋体"/>
                <w:b/>
                <w:bCs/>
                <w:sz w:val="24"/>
              </w:rPr>
              <w:t>供应商的资格要求</w:t>
            </w:r>
          </w:p>
        </w:tc>
        <w:tc>
          <w:tcPr>
            <w:tcW w:w="6014" w:type="dxa"/>
            <w:noWrap w:val="0"/>
            <w:vAlign w:val="top"/>
          </w:tcPr>
          <w:p w14:paraId="27D77963">
            <w:pPr>
              <w:pStyle w:val="117"/>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1.满足《中华人民共和国政府采购法》第二十二条规定：</w:t>
            </w:r>
          </w:p>
          <w:p w14:paraId="07848FB0">
            <w:pPr>
              <w:pStyle w:val="117"/>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（1）具有独立承担民事责任的能力（提供合法有效的法人营业执照）；</w:t>
            </w:r>
          </w:p>
          <w:p w14:paraId="47C47D59">
            <w:pPr>
              <w:pStyle w:val="117"/>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（2）具有良好的商业信誉和健全的财务会计制度（提供2023年度或2024年度经会计师事务所审计的完整财务报告，成立不足一年的提供成立至今的财务报表）；</w:t>
            </w:r>
          </w:p>
          <w:p w14:paraId="3A68A5BD">
            <w:pPr>
              <w:pStyle w:val="117"/>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（3）具有履行合同所必需的设备和专业技术能力（根据项目需求提供履行合同所必需的设备和专业技术能力的证明材料或加盖单位章的书面承诺函）；</w:t>
            </w:r>
          </w:p>
          <w:p w14:paraId="773DAD3E">
            <w:pPr>
              <w:pStyle w:val="117"/>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（4）有依法缴纳税收和社会保障资金的良好记录（提供本单位近半年内任意一个月的依法缴纳税收和社会保障资金的相关材料）；</w:t>
            </w:r>
          </w:p>
          <w:p w14:paraId="5BC18318">
            <w:pPr>
              <w:pStyle w:val="117"/>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（5）参加政府采购活动前三年内，在经营活动中没有重大违法记录（提供参加本次政府采购活动前3年内在经营活动中没有重大违法</w:t>
            </w:r>
          </w:p>
          <w:p w14:paraId="38D2ABA0">
            <w:pPr>
              <w:pStyle w:val="117"/>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（6）法律、行政法规规定的其他条件。</w:t>
            </w:r>
          </w:p>
          <w:p w14:paraId="6410B084">
            <w:pPr>
              <w:pStyle w:val="117"/>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其他说明：（1）与采购人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w:t>
            </w:r>
          </w:p>
          <w:p w14:paraId="17CCE8F2">
            <w:pPr>
              <w:pStyle w:val="117"/>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3.本项目不接受联合体投标。</w:t>
            </w:r>
          </w:p>
          <w:p w14:paraId="73FF7A10">
            <w:pPr>
              <w:pStyle w:val="117"/>
              <w:spacing w:line="360" w:lineRule="auto"/>
              <w:rPr>
                <w:rFonts w:hint="eastAsia" w:ascii="Calibri" w:hAnsi="宋体" w:eastAsia="宋体" w:cs="宋体"/>
                <w:b w:val="0"/>
                <w:bCs w:val="0"/>
                <w:kern w:val="2"/>
                <w:sz w:val="24"/>
                <w:szCs w:val="28"/>
                <w:lang w:val="en-US" w:eastAsia="zh-CN" w:bidi="ar-SA"/>
              </w:rPr>
            </w:pPr>
            <w:r>
              <w:rPr>
                <w:rFonts w:hint="eastAsia" w:ascii="宋体" w:hAnsi="宋体" w:cs="宋体"/>
                <w:b w:val="0"/>
                <w:bCs w:val="0"/>
                <w:sz w:val="24"/>
                <w:szCs w:val="24"/>
                <w:lang w:val="en-US" w:eastAsia="zh-CN"/>
              </w:rPr>
              <w:t>4.落实政府采购政策需满足的资格要求: 本项目专门面向中小企业</w:t>
            </w:r>
          </w:p>
        </w:tc>
      </w:tr>
      <w:tr w14:paraId="42861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85" w:type="dxa"/>
            <w:noWrap w:val="0"/>
            <w:vAlign w:val="center"/>
          </w:tcPr>
          <w:p w14:paraId="30886C9C">
            <w:pPr>
              <w:pStyle w:val="67"/>
              <w:spacing w:line="360" w:lineRule="auto"/>
              <w:jc w:val="center"/>
              <w:rPr>
                <w:rFonts w:hint="eastAsia" w:ascii="宋体" w:hAnsi="宋体" w:cs="宋体"/>
                <w:b/>
                <w:bCs/>
                <w:sz w:val="24"/>
              </w:rPr>
            </w:pPr>
            <w:r>
              <w:rPr>
                <w:rFonts w:hint="eastAsia" w:ascii="宋体" w:hAnsi="宋体" w:cs="宋体"/>
                <w:b/>
                <w:bCs/>
                <w:sz w:val="24"/>
              </w:rPr>
              <w:t>2.1.1</w:t>
            </w:r>
          </w:p>
        </w:tc>
        <w:tc>
          <w:tcPr>
            <w:tcW w:w="2400" w:type="dxa"/>
            <w:gridSpan w:val="2"/>
            <w:noWrap w:val="0"/>
            <w:vAlign w:val="center"/>
          </w:tcPr>
          <w:p w14:paraId="6845B0BE">
            <w:pPr>
              <w:pStyle w:val="67"/>
              <w:spacing w:line="320" w:lineRule="exact"/>
              <w:jc w:val="center"/>
              <w:rPr>
                <w:rFonts w:hint="eastAsia" w:ascii="宋体" w:hAnsi="宋体" w:cs="宋体"/>
                <w:b/>
                <w:bCs/>
                <w:sz w:val="24"/>
              </w:rPr>
            </w:pPr>
            <w:r>
              <w:rPr>
                <w:rFonts w:hint="eastAsia" w:ascii="宋体" w:hAnsi="宋体" w:cs="宋体"/>
                <w:b/>
                <w:sz w:val="24"/>
              </w:rPr>
              <w:t>是否允许联合体投标</w:t>
            </w:r>
          </w:p>
        </w:tc>
        <w:tc>
          <w:tcPr>
            <w:tcW w:w="6014" w:type="dxa"/>
            <w:noWrap w:val="0"/>
            <w:vAlign w:val="center"/>
          </w:tcPr>
          <w:p w14:paraId="259CBC5B">
            <w:pPr>
              <w:pStyle w:val="67"/>
              <w:autoSpaceDE w:val="0"/>
              <w:autoSpaceDN w:val="0"/>
              <w:adjustRightInd w:val="0"/>
              <w:spacing w:line="500" w:lineRule="exact"/>
              <w:rPr>
                <w:rFonts w:hint="eastAsia" w:ascii="宋体" w:hAnsi="宋体" w:cs="宋体"/>
                <w:sz w:val="24"/>
              </w:rPr>
            </w:pPr>
            <w:r>
              <w:rPr>
                <w:rFonts w:hint="eastAsia" w:ascii="宋体" w:hAnsi="宋体" w:cs="宋体"/>
                <w:kern w:val="0"/>
                <w:sz w:val="24"/>
                <w:highlight w:val="white"/>
              </w:rPr>
              <w:t xml:space="preserve"> 否</w:t>
            </w:r>
          </w:p>
        </w:tc>
      </w:tr>
      <w:tr w14:paraId="0B72C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85" w:type="dxa"/>
            <w:noWrap w:val="0"/>
            <w:vAlign w:val="center"/>
          </w:tcPr>
          <w:p w14:paraId="033D8EB8">
            <w:pPr>
              <w:pStyle w:val="67"/>
              <w:spacing w:line="360" w:lineRule="auto"/>
              <w:jc w:val="center"/>
              <w:rPr>
                <w:rFonts w:hint="eastAsia" w:ascii="宋体" w:hAnsi="宋体" w:cs="宋体"/>
                <w:b/>
                <w:bCs/>
                <w:sz w:val="24"/>
              </w:rPr>
            </w:pPr>
            <w:r>
              <w:rPr>
                <w:rFonts w:hint="eastAsia" w:ascii="宋体" w:hAnsi="宋体" w:cs="宋体"/>
                <w:b/>
                <w:bCs/>
                <w:sz w:val="24"/>
              </w:rPr>
              <w:t>3.3.4</w:t>
            </w:r>
          </w:p>
        </w:tc>
        <w:tc>
          <w:tcPr>
            <w:tcW w:w="2400" w:type="dxa"/>
            <w:gridSpan w:val="2"/>
            <w:noWrap w:val="0"/>
            <w:vAlign w:val="center"/>
          </w:tcPr>
          <w:p w14:paraId="45648EAE">
            <w:pPr>
              <w:pStyle w:val="67"/>
              <w:spacing w:line="320" w:lineRule="exact"/>
              <w:jc w:val="center"/>
              <w:rPr>
                <w:rFonts w:hint="eastAsia" w:ascii="宋体" w:hAnsi="宋体" w:cs="宋体"/>
                <w:b/>
                <w:bCs/>
                <w:sz w:val="24"/>
              </w:rPr>
            </w:pPr>
            <w:r>
              <w:rPr>
                <w:rFonts w:hint="eastAsia" w:ascii="宋体" w:hAnsi="宋体" w:cs="宋体"/>
                <w:b/>
                <w:bCs/>
                <w:sz w:val="24"/>
              </w:rPr>
              <w:t>最高限价（或采购预算）</w:t>
            </w:r>
          </w:p>
        </w:tc>
        <w:tc>
          <w:tcPr>
            <w:tcW w:w="6014" w:type="dxa"/>
            <w:noWrap w:val="0"/>
            <w:vAlign w:val="top"/>
          </w:tcPr>
          <w:p w14:paraId="2EE32ADE">
            <w:pPr>
              <w:pStyle w:val="94"/>
              <w:spacing w:line="500" w:lineRule="exact"/>
              <w:rPr>
                <w:rFonts w:hint="default" w:ascii="宋体" w:hAnsi="宋体" w:eastAsia="宋体" w:cs="宋体"/>
                <w:b/>
                <w:bCs/>
                <w:sz w:val="24"/>
                <w:szCs w:val="24"/>
                <w:lang w:val="en-US" w:eastAsia="zh-CN"/>
              </w:rPr>
            </w:pPr>
            <w:r>
              <w:rPr>
                <w:rFonts w:hint="eastAsia" w:ascii="宋体" w:hAnsi="宋体"/>
                <w:b/>
                <w:bCs/>
                <w:sz w:val="24"/>
                <w:szCs w:val="28"/>
                <w:u w:val="single"/>
                <w:lang w:val="en-US" w:eastAsia="zh-CN"/>
              </w:rPr>
              <w:t>1180000</w:t>
            </w:r>
            <w:r>
              <w:rPr>
                <w:rFonts w:hint="eastAsia" w:ascii="宋体" w:hAnsi="宋体" w:cs="宋体"/>
                <w:b/>
                <w:bCs/>
                <w:i w:val="0"/>
                <w:iCs w:val="0"/>
                <w:kern w:val="0"/>
                <w:sz w:val="24"/>
                <w:u w:val="single"/>
                <w:lang w:val="en-US" w:eastAsia="zh-CN"/>
              </w:rPr>
              <w:t>.00</w:t>
            </w:r>
            <w:r>
              <w:rPr>
                <w:rFonts w:hint="eastAsia" w:ascii="宋体" w:hAnsi="宋体" w:cs="宋体"/>
                <w:b/>
                <w:bCs/>
                <w:sz w:val="24"/>
                <w:szCs w:val="24"/>
                <w:u w:val="single"/>
              </w:rPr>
              <w:t>元</w:t>
            </w:r>
            <w:r>
              <w:rPr>
                <w:rFonts w:hint="eastAsia" w:ascii="宋体" w:hAnsi="宋体" w:cs="宋体"/>
                <w:b/>
                <w:bCs/>
                <w:sz w:val="24"/>
                <w:szCs w:val="24"/>
                <w:u w:val="single"/>
                <w:lang w:val="en-US" w:eastAsia="zh-CN"/>
              </w:rPr>
              <w:t>/年</w:t>
            </w:r>
          </w:p>
          <w:p w14:paraId="34EA03BB">
            <w:pPr>
              <w:pStyle w:val="94"/>
              <w:spacing w:line="500" w:lineRule="exact"/>
              <w:rPr>
                <w:rFonts w:hint="eastAsia" w:ascii="宋体" w:hAnsi="宋体" w:cs="宋体"/>
                <w:sz w:val="24"/>
                <w:szCs w:val="24"/>
              </w:rPr>
            </w:pPr>
            <w:r>
              <w:rPr>
                <w:rFonts w:hint="eastAsia" w:ascii="宋体" w:hAnsi="宋体" w:cs="宋体"/>
                <w:b/>
                <w:bCs/>
                <w:sz w:val="24"/>
                <w:szCs w:val="24"/>
              </w:rPr>
              <w:t>投标单位在投标报价时，不得超过采购人公布的采购预算，超过采购预算按投标无效处理。</w:t>
            </w:r>
          </w:p>
        </w:tc>
      </w:tr>
      <w:tr w14:paraId="5574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885" w:type="dxa"/>
            <w:vMerge w:val="restart"/>
            <w:noWrap w:val="0"/>
            <w:vAlign w:val="center"/>
          </w:tcPr>
          <w:p w14:paraId="064E153A">
            <w:pPr>
              <w:pStyle w:val="67"/>
              <w:spacing w:line="360" w:lineRule="auto"/>
              <w:rPr>
                <w:rFonts w:hint="eastAsia" w:ascii="宋体" w:hAnsi="宋体" w:cs="宋体"/>
                <w:b/>
                <w:bCs/>
                <w:sz w:val="24"/>
              </w:rPr>
            </w:pPr>
            <w:r>
              <w:rPr>
                <w:rFonts w:hint="eastAsia" w:ascii="宋体" w:hAnsi="宋体" w:cs="宋体"/>
                <w:b/>
                <w:bCs/>
                <w:sz w:val="24"/>
              </w:rPr>
              <w:t>3.5.1</w:t>
            </w:r>
          </w:p>
        </w:tc>
        <w:tc>
          <w:tcPr>
            <w:tcW w:w="2400" w:type="dxa"/>
            <w:gridSpan w:val="2"/>
            <w:vMerge w:val="restart"/>
            <w:noWrap w:val="0"/>
            <w:vAlign w:val="center"/>
          </w:tcPr>
          <w:p w14:paraId="77282C50">
            <w:pPr>
              <w:pStyle w:val="67"/>
              <w:spacing w:line="320" w:lineRule="exact"/>
              <w:rPr>
                <w:rFonts w:hint="eastAsia" w:ascii="宋体" w:hAnsi="宋体" w:cs="宋体"/>
                <w:b/>
                <w:bCs/>
                <w:sz w:val="24"/>
              </w:rPr>
            </w:pPr>
            <w:r>
              <w:rPr>
                <w:rFonts w:hint="eastAsia" w:ascii="宋体" w:hAnsi="宋体" w:cs="宋体"/>
                <w:b/>
                <w:bCs/>
                <w:sz w:val="24"/>
              </w:rPr>
              <w:t>磋商保证金</w:t>
            </w:r>
          </w:p>
        </w:tc>
        <w:tc>
          <w:tcPr>
            <w:tcW w:w="6014" w:type="dxa"/>
            <w:noWrap w:val="0"/>
            <w:vAlign w:val="center"/>
          </w:tcPr>
          <w:p w14:paraId="64CCF218">
            <w:pPr>
              <w:pStyle w:val="94"/>
              <w:spacing w:line="500" w:lineRule="exact"/>
              <w:rPr>
                <w:rFonts w:hint="eastAsia" w:ascii="宋体" w:hAnsi="宋体" w:cs="宋体"/>
                <w:sz w:val="24"/>
                <w:szCs w:val="24"/>
              </w:rPr>
            </w:pPr>
            <w:r>
              <w:rPr>
                <w:rFonts w:hint="eastAsia" w:ascii="宋体" w:hAnsi="宋体" w:cs="宋体"/>
                <w:kern w:val="0"/>
                <w:sz w:val="24"/>
                <w:szCs w:val="24"/>
              </w:rPr>
              <w:t>缴纳方式：电汇、网银转账、保函等非现金形式缴纳。</w:t>
            </w:r>
          </w:p>
        </w:tc>
      </w:tr>
      <w:tr w14:paraId="1C62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885" w:type="dxa"/>
            <w:vMerge w:val="continue"/>
            <w:noWrap w:val="0"/>
            <w:vAlign w:val="top"/>
          </w:tcPr>
          <w:p w14:paraId="6A883BE1">
            <w:pPr>
              <w:pStyle w:val="67"/>
              <w:spacing w:line="360" w:lineRule="auto"/>
              <w:jc w:val="center"/>
              <w:rPr>
                <w:rFonts w:hint="eastAsia" w:ascii="宋体" w:hAnsi="宋体" w:cs="宋体"/>
                <w:b/>
                <w:bCs/>
                <w:sz w:val="24"/>
              </w:rPr>
            </w:pPr>
          </w:p>
        </w:tc>
        <w:tc>
          <w:tcPr>
            <w:tcW w:w="2400" w:type="dxa"/>
            <w:gridSpan w:val="2"/>
            <w:vMerge w:val="continue"/>
            <w:noWrap w:val="0"/>
            <w:vAlign w:val="top"/>
          </w:tcPr>
          <w:p w14:paraId="6FCB6838">
            <w:pPr>
              <w:pStyle w:val="67"/>
              <w:spacing w:line="320" w:lineRule="exact"/>
              <w:jc w:val="center"/>
              <w:rPr>
                <w:rFonts w:hint="eastAsia" w:ascii="宋体" w:hAnsi="宋体" w:cs="宋体"/>
                <w:b/>
                <w:bCs/>
                <w:sz w:val="24"/>
              </w:rPr>
            </w:pPr>
          </w:p>
        </w:tc>
        <w:tc>
          <w:tcPr>
            <w:tcW w:w="6014" w:type="dxa"/>
            <w:noWrap w:val="0"/>
            <w:vAlign w:val="center"/>
          </w:tcPr>
          <w:p w14:paraId="3C37968E">
            <w:pPr>
              <w:pStyle w:val="40"/>
              <w:spacing w:line="500" w:lineRule="exact"/>
              <w:rPr>
                <w:rFonts w:hint="eastAsia" w:ascii="宋体" w:hAnsi="宋体" w:cs="宋体"/>
                <w:sz w:val="24"/>
                <w:szCs w:val="24"/>
              </w:rPr>
            </w:pPr>
            <w:r>
              <w:rPr>
                <w:rFonts w:hint="eastAsia" w:ascii="宋体" w:hAnsi="宋体" w:cs="宋体"/>
                <w:kern w:val="0"/>
                <w:sz w:val="24"/>
                <w:szCs w:val="24"/>
              </w:rPr>
              <w:t>金额（小写）：</w:t>
            </w:r>
            <w:r>
              <w:rPr>
                <w:rFonts w:hint="eastAsia" w:ascii="宋体" w:hAnsi="宋体" w:cs="宋体"/>
                <w:b/>
                <w:bCs/>
                <w:kern w:val="0"/>
                <w:sz w:val="24"/>
                <w:szCs w:val="24"/>
                <w:u w:val="single"/>
                <w:lang w:val="en-US" w:eastAsia="zh-CN"/>
              </w:rPr>
              <w:t>23000.00</w:t>
            </w:r>
            <w:r>
              <w:rPr>
                <w:rFonts w:hint="eastAsia" w:ascii="宋体" w:hAnsi="宋体" w:cs="宋体"/>
                <w:b/>
                <w:bCs/>
                <w:kern w:val="0"/>
                <w:sz w:val="24"/>
                <w:szCs w:val="24"/>
                <w:u w:val="single"/>
              </w:rPr>
              <w:t xml:space="preserve">元  </w:t>
            </w:r>
          </w:p>
          <w:p w14:paraId="1B0A4FD0">
            <w:pPr>
              <w:pStyle w:val="94"/>
              <w:spacing w:line="500" w:lineRule="exact"/>
              <w:rPr>
                <w:rFonts w:hint="eastAsia" w:ascii="宋体" w:hAnsi="宋体" w:cs="宋体"/>
                <w:sz w:val="24"/>
                <w:szCs w:val="24"/>
              </w:rPr>
            </w:pPr>
            <w:r>
              <w:rPr>
                <w:rFonts w:hint="eastAsia" w:ascii="宋体" w:hAnsi="宋体" w:cs="宋体"/>
                <w:kern w:val="0"/>
                <w:sz w:val="24"/>
                <w:szCs w:val="24"/>
              </w:rPr>
              <w:t>金额（大写）：</w:t>
            </w:r>
            <w:r>
              <w:rPr>
                <w:rFonts w:hint="eastAsia" w:ascii="宋体" w:hAnsi="宋体" w:cs="宋体"/>
                <w:b/>
                <w:bCs/>
                <w:kern w:val="0"/>
                <w:sz w:val="24"/>
                <w:szCs w:val="24"/>
                <w:u w:val="single"/>
                <w:lang w:val="en-US" w:eastAsia="zh-CN"/>
              </w:rPr>
              <w:t>贰万叁仟元整</w:t>
            </w:r>
            <w:r>
              <w:rPr>
                <w:rFonts w:hint="eastAsia" w:ascii="宋体" w:hAnsi="宋体" w:cs="宋体"/>
                <w:b/>
                <w:bCs/>
                <w:kern w:val="0"/>
                <w:sz w:val="24"/>
                <w:szCs w:val="24"/>
                <w:u w:val="single"/>
              </w:rPr>
              <w:t xml:space="preserve"> </w:t>
            </w:r>
            <w:r>
              <w:rPr>
                <w:rFonts w:hint="eastAsia" w:ascii="宋体" w:hAnsi="宋体" w:cs="宋体"/>
                <w:kern w:val="0"/>
                <w:sz w:val="24"/>
                <w:szCs w:val="24"/>
              </w:rPr>
              <w:t xml:space="preserve">     </w:t>
            </w:r>
          </w:p>
        </w:tc>
      </w:tr>
      <w:tr w14:paraId="2F17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885" w:type="dxa"/>
            <w:vMerge w:val="continue"/>
            <w:noWrap w:val="0"/>
            <w:vAlign w:val="top"/>
          </w:tcPr>
          <w:p w14:paraId="14AC83ED">
            <w:pPr>
              <w:pStyle w:val="67"/>
              <w:spacing w:line="360" w:lineRule="auto"/>
              <w:jc w:val="center"/>
              <w:rPr>
                <w:rFonts w:hint="eastAsia" w:ascii="宋体" w:hAnsi="宋体" w:cs="宋体"/>
                <w:b/>
                <w:bCs/>
                <w:sz w:val="24"/>
              </w:rPr>
            </w:pPr>
          </w:p>
        </w:tc>
        <w:tc>
          <w:tcPr>
            <w:tcW w:w="2400" w:type="dxa"/>
            <w:gridSpan w:val="2"/>
            <w:vMerge w:val="continue"/>
            <w:noWrap w:val="0"/>
            <w:vAlign w:val="top"/>
          </w:tcPr>
          <w:p w14:paraId="5D6AE4E3">
            <w:pPr>
              <w:pStyle w:val="67"/>
              <w:spacing w:line="320" w:lineRule="exact"/>
              <w:jc w:val="center"/>
              <w:rPr>
                <w:rFonts w:hint="eastAsia" w:ascii="宋体" w:hAnsi="宋体" w:cs="宋体"/>
                <w:b/>
                <w:bCs/>
                <w:sz w:val="24"/>
              </w:rPr>
            </w:pPr>
          </w:p>
        </w:tc>
        <w:tc>
          <w:tcPr>
            <w:tcW w:w="6014" w:type="dxa"/>
            <w:noWrap w:val="0"/>
            <w:vAlign w:val="center"/>
          </w:tcPr>
          <w:p w14:paraId="1FCDDAE0">
            <w:pPr>
              <w:pStyle w:val="120"/>
              <w:spacing w:line="500" w:lineRule="exact"/>
              <w:rPr>
                <w:rFonts w:hint="eastAsia" w:ascii="宋体" w:hAnsi="宋体" w:cs="宋体"/>
                <w:b/>
                <w:bCs/>
                <w:color w:val="000000"/>
                <w:sz w:val="24"/>
                <w:szCs w:val="24"/>
              </w:rPr>
            </w:pPr>
            <w:r>
              <w:rPr>
                <w:rFonts w:hint="eastAsia" w:ascii="宋体" w:hAnsi="宋体" w:cs="宋体"/>
                <w:b/>
                <w:bCs/>
                <w:color w:val="000000"/>
                <w:sz w:val="24"/>
                <w:szCs w:val="24"/>
              </w:rPr>
              <w:t>单位名称：新疆华飞项目咨询管理有限公司</w:t>
            </w:r>
          </w:p>
          <w:p w14:paraId="1DC543DB">
            <w:pPr>
              <w:pStyle w:val="120"/>
              <w:spacing w:line="500" w:lineRule="exact"/>
              <w:ind w:firstLine="2"/>
              <w:rPr>
                <w:rFonts w:hint="eastAsia" w:ascii="宋体" w:hAnsi="宋体" w:cs="宋体"/>
                <w:b/>
                <w:bCs/>
                <w:color w:val="000000"/>
                <w:sz w:val="24"/>
                <w:szCs w:val="24"/>
              </w:rPr>
            </w:pPr>
            <w:r>
              <w:rPr>
                <w:rFonts w:hint="eastAsia" w:ascii="宋体" w:hAnsi="宋体" w:cs="宋体"/>
                <w:b/>
                <w:bCs/>
                <w:color w:val="000000"/>
                <w:sz w:val="24"/>
                <w:szCs w:val="24"/>
              </w:rPr>
              <w:t>开户银行：哈密市商业银行股份有限公司爱国北路支行</w:t>
            </w:r>
          </w:p>
          <w:p w14:paraId="29830F01">
            <w:pPr>
              <w:pStyle w:val="120"/>
              <w:spacing w:line="500" w:lineRule="exact"/>
              <w:ind w:firstLine="2"/>
              <w:rPr>
                <w:rFonts w:hint="eastAsia" w:ascii="宋体" w:hAnsi="宋体" w:cs="宋体"/>
                <w:sz w:val="24"/>
              </w:rPr>
            </w:pPr>
            <w:r>
              <w:rPr>
                <w:rFonts w:hint="eastAsia" w:ascii="宋体" w:hAnsi="宋体" w:cs="宋体"/>
                <w:b/>
                <w:bCs/>
                <w:color w:val="000000"/>
                <w:sz w:val="24"/>
                <w:szCs w:val="24"/>
              </w:rPr>
              <w:t>账    号：908090100100027838</w:t>
            </w:r>
          </w:p>
        </w:tc>
      </w:tr>
      <w:tr w14:paraId="3F56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885" w:type="dxa"/>
            <w:vMerge w:val="continue"/>
            <w:noWrap w:val="0"/>
            <w:vAlign w:val="top"/>
          </w:tcPr>
          <w:p w14:paraId="5E38AE95">
            <w:pPr>
              <w:pStyle w:val="67"/>
              <w:spacing w:line="360" w:lineRule="auto"/>
              <w:jc w:val="center"/>
              <w:rPr>
                <w:rFonts w:hint="eastAsia" w:ascii="宋体" w:hAnsi="宋体" w:cs="宋体"/>
                <w:b/>
                <w:bCs/>
                <w:sz w:val="24"/>
              </w:rPr>
            </w:pPr>
          </w:p>
        </w:tc>
        <w:tc>
          <w:tcPr>
            <w:tcW w:w="2400" w:type="dxa"/>
            <w:gridSpan w:val="2"/>
            <w:vMerge w:val="continue"/>
            <w:noWrap w:val="0"/>
            <w:vAlign w:val="top"/>
          </w:tcPr>
          <w:p w14:paraId="734D2035">
            <w:pPr>
              <w:pStyle w:val="67"/>
              <w:spacing w:line="320" w:lineRule="exact"/>
              <w:jc w:val="center"/>
              <w:rPr>
                <w:rFonts w:hint="eastAsia" w:ascii="宋体" w:hAnsi="宋体" w:cs="宋体"/>
                <w:b/>
                <w:bCs/>
                <w:sz w:val="24"/>
              </w:rPr>
            </w:pPr>
          </w:p>
        </w:tc>
        <w:tc>
          <w:tcPr>
            <w:tcW w:w="6014" w:type="dxa"/>
            <w:noWrap w:val="0"/>
            <w:vAlign w:val="center"/>
          </w:tcPr>
          <w:p w14:paraId="3DCA57FC">
            <w:pPr>
              <w:pStyle w:val="145"/>
              <w:spacing w:line="500" w:lineRule="exact"/>
              <w:rPr>
                <w:rFonts w:hint="eastAsia" w:ascii="宋体" w:hAnsi="宋体" w:cs="宋体"/>
                <w:bCs/>
                <w:sz w:val="24"/>
                <w:szCs w:val="24"/>
              </w:rPr>
            </w:pPr>
            <w:r>
              <w:rPr>
                <w:rFonts w:hint="eastAsia" w:ascii="宋体" w:hAnsi="宋体" w:cs="宋体"/>
                <w:bCs/>
                <w:sz w:val="24"/>
                <w:szCs w:val="24"/>
              </w:rPr>
              <w:t>1、磋商保证金必须从企业基帐户缴纳至采购代理机构给定的基本账户。以个人、企业的办事处、分公司、子公司名义或从他人帐户、投标人企业的其他账户缴纳的磋商保证金无效。</w:t>
            </w:r>
          </w:p>
          <w:p w14:paraId="519B976C">
            <w:pPr>
              <w:pStyle w:val="145"/>
              <w:spacing w:line="500" w:lineRule="exact"/>
              <w:rPr>
                <w:rFonts w:hint="eastAsia" w:ascii="宋体" w:hAnsi="宋体" w:cs="宋体"/>
                <w:bCs/>
                <w:sz w:val="24"/>
                <w:szCs w:val="24"/>
              </w:rPr>
            </w:pPr>
            <w:r>
              <w:rPr>
                <w:rFonts w:hint="eastAsia" w:ascii="宋体" w:hAnsi="宋体" w:cs="宋体"/>
                <w:bCs/>
                <w:sz w:val="24"/>
                <w:szCs w:val="24"/>
              </w:rPr>
              <w:t>2、磋商保证金必须在投标截止时间（开标时间）前缴纳至招标代理公司账户。投标人需自行评估因异地、跨行、公休日等因素造成的磋商保证金到账延迟风险，并承担相应责任。</w:t>
            </w:r>
          </w:p>
          <w:p w14:paraId="28BAF3B5">
            <w:pPr>
              <w:pStyle w:val="145"/>
              <w:spacing w:line="500" w:lineRule="exact"/>
              <w:rPr>
                <w:rFonts w:hint="eastAsia" w:ascii="宋体" w:hAnsi="宋体" w:eastAsia="宋体" w:cs="宋体"/>
                <w:sz w:val="24"/>
                <w:szCs w:val="24"/>
                <w:lang w:eastAsia="zh-CN"/>
              </w:rPr>
            </w:pPr>
            <w:r>
              <w:rPr>
                <w:rFonts w:hint="eastAsia" w:ascii="宋体" w:hAnsi="宋体" w:cs="宋体"/>
                <w:b/>
                <w:bCs w:val="0"/>
                <w:sz w:val="24"/>
                <w:szCs w:val="24"/>
                <w:highlight w:val="red"/>
              </w:rPr>
              <w:t>注：打款时须注明项目名称，未按以上要求办理磋商保证金的，其磋商保证金视为无效，采购人将拒绝其投标</w:t>
            </w:r>
            <w:r>
              <w:rPr>
                <w:rFonts w:hint="eastAsia" w:ascii="宋体" w:hAnsi="宋体" w:cs="宋体"/>
                <w:b/>
                <w:bCs w:val="0"/>
                <w:sz w:val="24"/>
                <w:szCs w:val="24"/>
                <w:highlight w:val="red"/>
                <w:lang w:eastAsia="zh-CN"/>
              </w:rPr>
              <w:t>。</w:t>
            </w:r>
          </w:p>
        </w:tc>
      </w:tr>
      <w:tr w14:paraId="7D3C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85" w:type="dxa"/>
            <w:noWrap w:val="0"/>
            <w:vAlign w:val="center"/>
          </w:tcPr>
          <w:p w14:paraId="69302B74">
            <w:pPr>
              <w:pStyle w:val="67"/>
              <w:spacing w:line="360" w:lineRule="auto"/>
              <w:jc w:val="center"/>
              <w:rPr>
                <w:rFonts w:hint="eastAsia" w:ascii="宋体" w:hAnsi="宋体" w:cs="宋体"/>
                <w:b/>
                <w:bCs/>
                <w:sz w:val="24"/>
              </w:rPr>
            </w:pPr>
            <w:r>
              <w:rPr>
                <w:rFonts w:hint="eastAsia" w:ascii="宋体" w:hAnsi="宋体" w:cs="宋体"/>
                <w:b/>
                <w:bCs/>
                <w:sz w:val="24"/>
              </w:rPr>
              <w:t>3.6.1</w:t>
            </w:r>
          </w:p>
        </w:tc>
        <w:tc>
          <w:tcPr>
            <w:tcW w:w="2400" w:type="dxa"/>
            <w:gridSpan w:val="2"/>
            <w:noWrap w:val="0"/>
            <w:vAlign w:val="center"/>
          </w:tcPr>
          <w:p w14:paraId="5B148656">
            <w:pPr>
              <w:pStyle w:val="67"/>
              <w:spacing w:line="320" w:lineRule="exact"/>
              <w:jc w:val="center"/>
              <w:rPr>
                <w:rFonts w:hint="eastAsia" w:ascii="宋体" w:hAnsi="宋体" w:cs="宋体"/>
                <w:b/>
                <w:bCs/>
                <w:sz w:val="24"/>
              </w:rPr>
            </w:pPr>
            <w:r>
              <w:rPr>
                <w:rFonts w:hint="eastAsia" w:ascii="宋体" w:hAnsi="宋体" w:cs="宋体"/>
                <w:b/>
                <w:bCs/>
                <w:sz w:val="24"/>
              </w:rPr>
              <w:t>响应文件有效期</w:t>
            </w:r>
          </w:p>
        </w:tc>
        <w:tc>
          <w:tcPr>
            <w:tcW w:w="6014" w:type="dxa"/>
            <w:noWrap w:val="0"/>
            <w:vAlign w:val="center"/>
          </w:tcPr>
          <w:p w14:paraId="29A7125E">
            <w:pPr>
              <w:pStyle w:val="67"/>
              <w:spacing w:line="500" w:lineRule="exact"/>
              <w:jc w:val="both"/>
              <w:rPr>
                <w:rFonts w:hint="eastAsia" w:ascii="宋体" w:hAnsi="宋体" w:cs="宋体"/>
                <w:color w:val="000000"/>
                <w:sz w:val="24"/>
              </w:rPr>
            </w:pPr>
            <w:r>
              <w:rPr>
                <w:rFonts w:hint="eastAsia" w:ascii="宋体" w:hAnsi="宋体" w:cs="宋体"/>
                <w:color w:val="000000"/>
                <w:sz w:val="24"/>
              </w:rPr>
              <w:t>自首次递交响应文件截止时间起计算</w:t>
            </w:r>
            <w:r>
              <w:rPr>
                <w:rFonts w:hint="eastAsia" w:ascii="宋体" w:hAnsi="宋体" w:cs="宋体"/>
                <w:color w:val="000000"/>
                <w:sz w:val="24"/>
                <w:u w:val="single"/>
              </w:rPr>
              <w:t xml:space="preserve"> 90 </w:t>
            </w:r>
            <w:r>
              <w:rPr>
                <w:rFonts w:hint="eastAsia" w:ascii="宋体" w:hAnsi="宋体" w:cs="宋体"/>
                <w:color w:val="000000"/>
                <w:sz w:val="24"/>
              </w:rPr>
              <w:t>个日历日。</w:t>
            </w:r>
          </w:p>
        </w:tc>
      </w:tr>
      <w:tr w14:paraId="7EF4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jc w:val="center"/>
        </w:trPr>
        <w:tc>
          <w:tcPr>
            <w:tcW w:w="885" w:type="dxa"/>
            <w:noWrap w:val="0"/>
            <w:vAlign w:val="center"/>
          </w:tcPr>
          <w:p w14:paraId="22A84705">
            <w:pPr>
              <w:pStyle w:val="67"/>
              <w:spacing w:line="360" w:lineRule="auto"/>
              <w:jc w:val="center"/>
              <w:rPr>
                <w:rFonts w:hint="eastAsia" w:ascii="宋体" w:hAnsi="宋体" w:cs="宋体"/>
                <w:b/>
                <w:bCs/>
                <w:sz w:val="24"/>
              </w:rPr>
            </w:pPr>
            <w:r>
              <w:rPr>
                <w:rFonts w:hint="eastAsia" w:ascii="宋体" w:hAnsi="宋体" w:cs="宋体"/>
                <w:b/>
                <w:bCs/>
                <w:sz w:val="24"/>
              </w:rPr>
              <w:t>3.7.1</w:t>
            </w:r>
          </w:p>
        </w:tc>
        <w:tc>
          <w:tcPr>
            <w:tcW w:w="2400" w:type="dxa"/>
            <w:gridSpan w:val="2"/>
            <w:noWrap w:val="0"/>
            <w:vAlign w:val="center"/>
          </w:tcPr>
          <w:p w14:paraId="61E53461">
            <w:pPr>
              <w:pStyle w:val="67"/>
              <w:spacing w:line="320" w:lineRule="exact"/>
              <w:jc w:val="center"/>
              <w:rPr>
                <w:rFonts w:hint="eastAsia" w:ascii="宋体" w:hAnsi="宋体" w:cs="宋体"/>
                <w:b/>
                <w:bCs/>
                <w:sz w:val="24"/>
              </w:rPr>
            </w:pPr>
            <w:r>
              <w:rPr>
                <w:rFonts w:hint="eastAsia" w:ascii="宋体" w:hAnsi="宋体" w:cs="宋体"/>
                <w:b/>
                <w:bCs/>
                <w:sz w:val="24"/>
              </w:rPr>
              <w:t>响应文件份数</w:t>
            </w:r>
          </w:p>
        </w:tc>
        <w:tc>
          <w:tcPr>
            <w:tcW w:w="6014" w:type="dxa"/>
            <w:noWrap w:val="0"/>
            <w:vAlign w:val="top"/>
          </w:tcPr>
          <w:p w14:paraId="3DB857B3">
            <w:pPr>
              <w:pStyle w:val="67"/>
              <w:spacing w:line="500" w:lineRule="exact"/>
              <w:rPr>
                <w:rFonts w:hint="eastAsia" w:ascii="宋体" w:hAnsi="宋体" w:cs="宋体"/>
                <w:b/>
                <w:bCs/>
                <w:sz w:val="24"/>
              </w:rPr>
            </w:pPr>
            <w:r>
              <w:rPr>
                <w:rFonts w:hint="eastAsia" w:ascii="宋体" w:hAnsi="宋体" w:cs="宋体"/>
                <w:b/>
                <w:bCs/>
                <w:sz w:val="24"/>
              </w:rPr>
              <w:t>1、本项目采用不见面开标、供应商需要递交电子响应文件，加密的电子响应文件在投标截止时间前通过政采云平台（https://www.zcygov.cn）上传到指定位置。无需递交纸质文件。</w:t>
            </w:r>
          </w:p>
          <w:p w14:paraId="3CD30585">
            <w:pPr>
              <w:pStyle w:val="67"/>
              <w:spacing w:line="500" w:lineRule="exact"/>
              <w:rPr>
                <w:rFonts w:hint="eastAsia" w:ascii="宋体" w:hAnsi="宋体" w:cs="宋体"/>
                <w:sz w:val="24"/>
                <w:u w:val="single"/>
              </w:rPr>
            </w:pPr>
            <w:r>
              <w:rPr>
                <w:rFonts w:hint="eastAsia" w:ascii="宋体" w:hAnsi="宋体" w:eastAsia="宋体" w:cs="宋体"/>
                <w:b/>
                <w:bCs/>
                <w:sz w:val="24"/>
                <w:highlight w:val="red"/>
              </w:rPr>
              <w:t>2、中标供应商</w:t>
            </w:r>
            <w:r>
              <w:rPr>
                <w:rFonts w:hint="eastAsia" w:ascii="宋体" w:hAnsi="宋体" w:eastAsia="宋体" w:cs="宋体"/>
                <w:b/>
                <w:bCs/>
                <w:sz w:val="24"/>
                <w:highlight w:val="red"/>
                <w:lang w:val="en-US" w:eastAsia="zh-CN"/>
              </w:rPr>
              <w:t>在中标结果公告发布后3日内将</w:t>
            </w:r>
            <w:r>
              <w:rPr>
                <w:rFonts w:hint="eastAsia" w:ascii="宋体" w:hAnsi="宋体" w:eastAsia="宋体" w:cs="宋体"/>
                <w:b/>
                <w:bCs/>
                <w:sz w:val="24"/>
                <w:highlight w:val="red"/>
              </w:rPr>
              <w:t>纸质版响应文件（正本一份，</w:t>
            </w:r>
            <w:r>
              <w:rPr>
                <w:rFonts w:hint="eastAsia" w:ascii="宋体" w:hAnsi="宋体" w:eastAsia="宋体" w:cs="宋体"/>
                <w:b/>
                <w:bCs/>
                <w:sz w:val="24"/>
                <w:highlight w:val="red"/>
                <w:lang w:val="en-US" w:eastAsia="zh-CN"/>
              </w:rPr>
              <w:t>副本一份（副本可以是正本的复印件）</w:t>
            </w:r>
            <w:r>
              <w:rPr>
                <w:rFonts w:hint="eastAsia" w:ascii="宋体" w:hAnsi="宋体" w:eastAsia="宋体" w:cs="宋体"/>
                <w:b/>
                <w:bCs/>
                <w:sz w:val="24"/>
                <w:highlight w:val="red"/>
              </w:rPr>
              <w:t>印章齐全</w:t>
            </w:r>
            <w:r>
              <w:rPr>
                <w:rFonts w:hint="eastAsia" w:ascii="宋体" w:hAnsi="宋体" w:eastAsia="宋体" w:cs="宋体"/>
                <w:b/>
                <w:bCs/>
                <w:sz w:val="24"/>
                <w:highlight w:val="red"/>
                <w:lang w:eastAsia="zh-CN"/>
              </w:rPr>
              <w:t>，</w:t>
            </w:r>
            <w:r>
              <w:rPr>
                <w:rFonts w:hint="eastAsia" w:ascii="宋体" w:hAnsi="宋体" w:eastAsia="宋体" w:cs="宋体"/>
                <w:b/>
                <w:bCs/>
                <w:sz w:val="24"/>
                <w:highlight w:val="red"/>
                <w:lang w:val="en-US" w:eastAsia="zh-CN"/>
              </w:rPr>
              <w:t>必须胶装</w:t>
            </w:r>
            <w:r>
              <w:rPr>
                <w:rFonts w:hint="eastAsia" w:ascii="宋体" w:hAnsi="宋体" w:eastAsia="宋体" w:cs="宋体"/>
                <w:b/>
                <w:bCs/>
                <w:sz w:val="24"/>
                <w:highlight w:val="red"/>
              </w:rPr>
              <w:t>）</w:t>
            </w:r>
            <w:r>
              <w:rPr>
                <w:rFonts w:hint="eastAsia" w:ascii="宋体" w:hAnsi="宋体" w:eastAsia="宋体" w:cs="宋体"/>
                <w:b/>
                <w:bCs/>
                <w:sz w:val="24"/>
                <w:highlight w:val="red"/>
                <w:lang w:val="en-US" w:eastAsia="zh-CN"/>
              </w:rPr>
              <w:t>送达招标代理公司</w:t>
            </w:r>
            <w:r>
              <w:rPr>
                <w:rFonts w:hint="eastAsia" w:ascii="宋体" w:hAnsi="宋体" w:eastAsia="宋体" w:cs="宋体"/>
                <w:b/>
                <w:bCs/>
                <w:sz w:val="24"/>
                <w:highlight w:val="red"/>
              </w:rPr>
              <w:t>。</w:t>
            </w:r>
          </w:p>
        </w:tc>
      </w:tr>
      <w:tr w14:paraId="69152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885" w:type="dxa"/>
            <w:noWrap w:val="0"/>
            <w:vAlign w:val="center"/>
          </w:tcPr>
          <w:p w14:paraId="48A0AA29">
            <w:pPr>
              <w:pStyle w:val="67"/>
              <w:spacing w:line="360" w:lineRule="auto"/>
              <w:jc w:val="center"/>
              <w:rPr>
                <w:rFonts w:hint="eastAsia" w:ascii="宋体" w:hAnsi="宋体" w:cs="宋体"/>
                <w:b/>
                <w:bCs/>
                <w:sz w:val="24"/>
              </w:rPr>
            </w:pPr>
            <w:r>
              <w:rPr>
                <w:rFonts w:hint="eastAsia" w:ascii="宋体" w:hAnsi="宋体" w:cs="宋体"/>
                <w:b/>
                <w:bCs/>
                <w:sz w:val="24"/>
              </w:rPr>
              <w:t>3.7.2</w:t>
            </w:r>
          </w:p>
        </w:tc>
        <w:tc>
          <w:tcPr>
            <w:tcW w:w="2400" w:type="dxa"/>
            <w:gridSpan w:val="2"/>
            <w:noWrap w:val="0"/>
            <w:vAlign w:val="center"/>
          </w:tcPr>
          <w:p w14:paraId="761ECC54">
            <w:pPr>
              <w:pStyle w:val="67"/>
              <w:spacing w:line="320" w:lineRule="exact"/>
              <w:jc w:val="center"/>
              <w:rPr>
                <w:rFonts w:hint="eastAsia" w:ascii="宋体" w:hAnsi="宋体" w:cs="宋体"/>
                <w:b/>
                <w:bCs/>
                <w:sz w:val="24"/>
              </w:rPr>
            </w:pPr>
            <w:r>
              <w:rPr>
                <w:rFonts w:hint="eastAsia" w:ascii="宋体" w:hAnsi="宋体" w:cs="宋体"/>
                <w:b/>
                <w:bCs/>
                <w:sz w:val="24"/>
              </w:rPr>
              <w:t>签字或盖章要求</w:t>
            </w:r>
          </w:p>
        </w:tc>
        <w:tc>
          <w:tcPr>
            <w:tcW w:w="6014" w:type="dxa"/>
            <w:noWrap w:val="0"/>
            <w:vAlign w:val="top"/>
          </w:tcPr>
          <w:p w14:paraId="08E21CA2">
            <w:pPr>
              <w:pStyle w:val="94"/>
              <w:spacing w:line="500" w:lineRule="exact"/>
              <w:rPr>
                <w:rFonts w:hint="eastAsia" w:ascii="宋体" w:hAnsi="宋体" w:cs="宋体"/>
                <w:sz w:val="24"/>
                <w:szCs w:val="24"/>
              </w:rPr>
            </w:pPr>
            <w:r>
              <w:rPr>
                <w:rFonts w:hint="eastAsia" w:ascii="宋体" w:hAnsi="宋体" w:cs="宋体"/>
                <w:sz w:val="24"/>
                <w:szCs w:val="24"/>
              </w:rPr>
              <w:t>响应文件格式文件要求盖单位章和签字的地方，投标人均应使用 CA 数字证书加盖企业电子签章和法定代表人的电子签章。</w:t>
            </w:r>
          </w:p>
        </w:tc>
      </w:tr>
      <w:tr w14:paraId="29D3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85" w:type="dxa"/>
            <w:noWrap w:val="0"/>
            <w:vAlign w:val="center"/>
          </w:tcPr>
          <w:p w14:paraId="7491BB34">
            <w:pPr>
              <w:pStyle w:val="96"/>
              <w:spacing w:line="360" w:lineRule="auto"/>
              <w:jc w:val="center"/>
              <w:rPr>
                <w:rFonts w:hint="eastAsia" w:ascii="宋体" w:hAnsi="宋体" w:cs="宋体"/>
                <w:b/>
                <w:bCs/>
                <w:sz w:val="24"/>
              </w:rPr>
            </w:pPr>
            <w:r>
              <w:rPr>
                <w:rFonts w:hint="eastAsia" w:ascii="宋体" w:hAnsi="宋体" w:cs="宋体"/>
                <w:b/>
                <w:bCs/>
                <w:sz w:val="24"/>
              </w:rPr>
              <w:t>3.8.1</w:t>
            </w:r>
          </w:p>
        </w:tc>
        <w:tc>
          <w:tcPr>
            <w:tcW w:w="2400" w:type="dxa"/>
            <w:gridSpan w:val="2"/>
            <w:noWrap w:val="0"/>
            <w:vAlign w:val="center"/>
          </w:tcPr>
          <w:p w14:paraId="6C192EF3">
            <w:pPr>
              <w:pStyle w:val="96"/>
              <w:spacing w:line="360" w:lineRule="auto"/>
              <w:jc w:val="center"/>
              <w:rPr>
                <w:rFonts w:hint="eastAsia" w:ascii="宋体" w:hAnsi="宋体" w:cs="宋体"/>
                <w:b/>
                <w:bCs/>
                <w:sz w:val="24"/>
              </w:rPr>
            </w:pPr>
            <w:r>
              <w:rPr>
                <w:rFonts w:hint="eastAsia" w:ascii="宋体" w:hAnsi="宋体" w:cs="宋体"/>
                <w:b/>
                <w:bCs/>
                <w:sz w:val="24"/>
              </w:rPr>
              <w:t>中小微型企业有关政策</w:t>
            </w:r>
          </w:p>
        </w:tc>
        <w:tc>
          <w:tcPr>
            <w:tcW w:w="6014" w:type="dxa"/>
            <w:noWrap w:val="0"/>
            <w:vAlign w:val="top"/>
          </w:tcPr>
          <w:p w14:paraId="6B15530A">
            <w:pPr>
              <w:pStyle w:val="67"/>
              <w:spacing w:line="500" w:lineRule="exact"/>
              <w:rPr>
                <w:rFonts w:hint="eastAsia" w:ascii="宋体" w:hAnsi="宋体" w:cs="宋体"/>
                <w:sz w:val="24"/>
              </w:rPr>
            </w:pPr>
            <w:r>
              <w:rPr>
                <w:rFonts w:hint="eastAsia" w:ascii="宋体" w:hAnsi="宋体" w:cs="宋体"/>
                <w:sz w:val="24"/>
              </w:rPr>
              <w:t>根据财政部、工业和信息化部发布的关于印发《政府采购促进中小企业发展管理办法》的通知，财库[2020]46号）规定执行；</w:t>
            </w:r>
          </w:p>
        </w:tc>
      </w:tr>
      <w:tr w14:paraId="03185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5" w:type="dxa"/>
            <w:noWrap w:val="0"/>
            <w:vAlign w:val="center"/>
          </w:tcPr>
          <w:p w14:paraId="6C930C88">
            <w:pPr>
              <w:pStyle w:val="96"/>
              <w:spacing w:line="360" w:lineRule="auto"/>
              <w:jc w:val="center"/>
              <w:rPr>
                <w:rFonts w:hint="default" w:ascii="宋体" w:hAnsi="宋体" w:eastAsia="宋体" w:cs="宋体"/>
                <w:b/>
                <w:bCs/>
                <w:sz w:val="24"/>
                <w:lang w:val="en-US" w:eastAsia="zh-CN"/>
              </w:rPr>
            </w:pPr>
            <w:r>
              <w:rPr>
                <w:rFonts w:hint="eastAsia" w:ascii="宋体" w:hAnsi="宋体" w:cs="宋体"/>
                <w:b/>
                <w:bCs/>
                <w:sz w:val="24"/>
                <w:lang w:val="en-US" w:eastAsia="zh-CN"/>
              </w:rPr>
              <w:t>3.8.2</w:t>
            </w:r>
          </w:p>
        </w:tc>
        <w:tc>
          <w:tcPr>
            <w:tcW w:w="2400" w:type="dxa"/>
            <w:gridSpan w:val="2"/>
            <w:noWrap w:val="0"/>
            <w:vAlign w:val="center"/>
          </w:tcPr>
          <w:p w14:paraId="5E720CA1">
            <w:pPr>
              <w:pStyle w:val="96"/>
              <w:spacing w:line="360" w:lineRule="auto"/>
              <w:jc w:val="center"/>
              <w:rPr>
                <w:rFonts w:hint="default" w:ascii="宋体" w:hAnsi="宋体" w:eastAsia="宋体" w:cs="宋体"/>
                <w:b/>
                <w:bCs/>
                <w:sz w:val="24"/>
                <w:lang w:val="en-US" w:eastAsia="zh-CN"/>
              </w:rPr>
            </w:pPr>
            <w:r>
              <w:rPr>
                <w:rFonts w:hint="eastAsia" w:ascii="宋体" w:hAnsi="宋体" w:cs="宋体"/>
                <w:b/>
                <w:bCs/>
                <w:sz w:val="24"/>
                <w:lang w:val="en-US" w:eastAsia="zh-CN"/>
              </w:rPr>
              <w:t>所属行业</w:t>
            </w:r>
          </w:p>
        </w:tc>
        <w:tc>
          <w:tcPr>
            <w:tcW w:w="6014" w:type="dxa"/>
            <w:noWrap w:val="0"/>
            <w:vAlign w:val="top"/>
          </w:tcPr>
          <w:p w14:paraId="294AE9BC">
            <w:pPr>
              <w:pStyle w:val="67"/>
              <w:spacing w:line="500" w:lineRule="exact"/>
              <w:rPr>
                <w:rFonts w:hint="default" w:ascii="宋体" w:hAnsi="宋体" w:eastAsia="宋体" w:cs="宋体"/>
                <w:sz w:val="24"/>
                <w:lang w:val="en-US" w:eastAsia="zh-CN"/>
              </w:rPr>
            </w:pPr>
            <w:r>
              <w:rPr>
                <w:rFonts w:hint="eastAsia" w:ascii="宋体" w:hAnsi="宋体" w:cs="宋体"/>
                <w:b/>
                <w:bCs/>
                <w:sz w:val="24"/>
                <w:lang w:val="en-US" w:eastAsia="zh-CN"/>
              </w:rPr>
              <w:t>商务服务业</w:t>
            </w:r>
          </w:p>
        </w:tc>
      </w:tr>
      <w:tr w14:paraId="07C5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85" w:type="dxa"/>
            <w:noWrap w:val="0"/>
            <w:vAlign w:val="center"/>
          </w:tcPr>
          <w:p w14:paraId="01E61ABD">
            <w:pPr>
              <w:pStyle w:val="67"/>
              <w:spacing w:line="360" w:lineRule="auto"/>
              <w:rPr>
                <w:rFonts w:hint="eastAsia" w:ascii="宋体" w:hAnsi="宋体" w:cs="宋体"/>
                <w:b/>
                <w:bCs/>
                <w:sz w:val="24"/>
              </w:rPr>
            </w:pPr>
            <w:r>
              <w:rPr>
                <w:rFonts w:hint="eastAsia" w:ascii="宋体" w:hAnsi="宋体" w:cs="宋体"/>
                <w:b/>
                <w:bCs/>
                <w:sz w:val="24"/>
              </w:rPr>
              <w:t>5.1.1</w:t>
            </w:r>
          </w:p>
        </w:tc>
        <w:tc>
          <w:tcPr>
            <w:tcW w:w="2400" w:type="dxa"/>
            <w:gridSpan w:val="2"/>
            <w:noWrap w:val="0"/>
            <w:vAlign w:val="center"/>
          </w:tcPr>
          <w:p w14:paraId="3D4CD3F9">
            <w:pPr>
              <w:pStyle w:val="67"/>
              <w:spacing w:line="320" w:lineRule="exact"/>
              <w:jc w:val="center"/>
              <w:rPr>
                <w:rFonts w:hint="eastAsia" w:ascii="宋体" w:hAnsi="宋体" w:cs="宋体"/>
                <w:b/>
                <w:bCs/>
                <w:sz w:val="24"/>
              </w:rPr>
            </w:pPr>
            <w:r>
              <w:rPr>
                <w:rFonts w:hint="eastAsia" w:ascii="宋体" w:hAnsi="宋体" w:cs="宋体"/>
                <w:b/>
                <w:bCs/>
                <w:sz w:val="24"/>
              </w:rPr>
              <w:t>磋商时间、地点等要求</w:t>
            </w:r>
          </w:p>
        </w:tc>
        <w:tc>
          <w:tcPr>
            <w:tcW w:w="6014" w:type="dxa"/>
            <w:noWrap w:val="0"/>
            <w:vAlign w:val="center"/>
          </w:tcPr>
          <w:p w14:paraId="62D9C2D4">
            <w:pPr>
              <w:pStyle w:val="67"/>
              <w:widowControl/>
              <w:spacing w:line="500" w:lineRule="exact"/>
              <w:rPr>
                <w:rFonts w:hint="eastAsia" w:ascii="宋体" w:hAnsi="宋体" w:cs="宋体"/>
                <w:b/>
                <w:bCs/>
                <w:kern w:val="0"/>
                <w:sz w:val="24"/>
              </w:rPr>
            </w:pPr>
            <w:r>
              <w:rPr>
                <w:rFonts w:hint="eastAsia" w:ascii="宋体" w:hAnsi="宋体" w:cs="宋体"/>
                <w:b/>
                <w:bCs/>
                <w:sz w:val="24"/>
              </w:rPr>
              <w:t>采用</w:t>
            </w:r>
            <w:r>
              <w:rPr>
                <w:rFonts w:hint="eastAsia" w:ascii="宋体" w:hAnsi="宋体" w:cs="宋体"/>
                <w:b/>
                <w:bCs/>
                <w:kern w:val="0"/>
                <w:sz w:val="24"/>
              </w:rPr>
              <w:t>不见面开标：</w:t>
            </w:r>
          </w:p>
          <w:p w14:paraId="63CE6B40">
            <w:pPr>
              <w:pStyle w:val="67"/>
              <w:spacing w:line="500" w:lineRule="exact"/>
              <w:ind w:leftChars="-1" w:hanging="2" w:hangingChars="1"/>
              <w:rPr>
                <w:rFonts w:hint="eastAsia" w:ascii="宋体" w:hAnsi="宋体" w:cs="宋体"/>
                <w:b/>
                <w:bCs/>
                <w:sz w:val="24"/>
              </w:rPr>
            </w:pPr>
            <w:r>
              <w:rPr>
                <w:rFonts w:hint="eastAsia" w:ascii="宋体" w:hAnsi="宋体" w:cs="宋体"/>
                <w:b/>
                <w:bCs/>
                <w:kern w:val="0"/>
                <w:sz w:val="24"/>
              </w:rPr>
              <w:t>磋商时间</w:t>
            </w:r>
            <w:r>
              <w:rPr>
                <w:rFonts w:hint="eastAsia" w:ascii="宋体" w:hAnsi="宋体" w:cs="宋体"/>
                <w:b/>
                <w:bCs/>
                <w:color w:val="000000"/>
                <w:kern w:val="0"/>
                <w:sz w:val="24"/>
              </w:rPr>
              <w:t>：</w:t>
            </w:r>
            <w:r>
              <w:rPr>
                <w:rFonts w:hint="eastAsia" w:ascii="宋体" w:hAnsi="宋体" w:cs="宋体"/>
                <w:b/>
                <w:bCs/>
                <w:color w:val="000000"/>
                <w:sz w:val="24"/>
                <w:u w:val="single"/>
                <w:lang w:eastAsia="zh-CN"/>
              </w:rPr>
              <w:t>2025年</w:t>
            </w:r>
            <w:r>
              <w:rPr>
                <w:rFonts w:hint="eastAsia" w:ascii="宋体" w:hAnsi="宋体" w:cs="宋体"/>
                <w:b/>
                <w:bCs/>
                <w:color w:val="000000"/>
                <w:sz w:val="24"/>
                <w:u w:val="single"/>
                <w:lang w:val="en-US" w:eastAsia="zh-CN"/>
              </w:rPr>
              <w:t>7</w:t>
            </w:r>
            <w:r>
              <w:rPr>
                <w:rFonts w:hint="eastAsia" w:ascii="宋体" w:hAnsi="宋体" w:cs="宋体"/>
                <w:b/>
                <w:bCs/>
                <w:color w:val="000000"/>
                <w:sz w:val="24"/>
                <w:u w:val="single"/>
                <w:lang w:eastAsia="zh-CN"/>
              </w:rPr>
              <w:t>月</w:t>
            </w:r>
            <w:r>
              <w:rPr>
                <w:rFonts w:hint="eastAsia" w:ascii="宋体" w:hAnsi="宋体" w:cs="宋体"/>
                <w:b/>
                <w:bCs/>
                <w:color w:val="000000"/>
                <w:sz w:val="24"/>
                <w:u w:val="single"/>
                <w:lang w:val="en-US" w:eastAsia="zh-CN"/>
              </w:rPr>
              <w:t>4</w:t>
            </w:r>
            <w:r>
              <w:rPr>
                <w:rFonts w:hint="eastAsia" w:ascii="宋体" w:hAnsi="宋体" w:cs="宋体"/>
                <w:b/>
                <w:bCs/>
                <w:color w:val="000000"/>
                <w:sz w:val="24"/>
                <w:u w:val="single"/>
                <w:lang w:eastAsia="zh-CN"/>
              </w:rPr>
              <w:t>日10时</w:t>
            </w:r>
            <w:r>
              <w:rPr>
                <w:rFonts w:hint="eastAsia" w:ascii="宋体" w:hAnsi="宋体" w:cs="宋体"/>
                <w:b/>
                <w:bCs/>
                <w:color w:val="000000"/>
                <w:sz w:val="24"/>
                <w:u w:val="single"/>
                <w:lang w:val="en-US" w:eastAsia="zh-CN"/>
              </w:rPr>
              <w:t>0</w:t>
            </w:r>
            <w:r>
              <w:rPr>
                <w:rFonts w:hint="eastAsia" w:ascii="宋体" w:hAnsi="宋体" w:cs="宋体"/>
                <w:b/>
                <w:bCs/>
                <w:color w:val="000000"/>
                <w:sz w:val="24"/>
                <w:u w:val="single"/>
                <w:lang w:eastAsia="zh-CN"/>
              </w:rPr>
              <w:t>0分</w:t>
            </w:r>
            <w:r>
              <w:rPr>
                <w:rFonts w:hint="eastAsia" w:ascii="宋体" w:hAnsi="宋体" w:cs="宋体"/>
                <w:b/>
                <w:bCs/>
                <w:sz w:val="24"/>
              </w:rPr>
              <w:t>（北京时间）</w:t>
            </w:r>
          </w:p>
          <w:p w14:paraId="292CEB32">
            <w:pPr>
              <w:pStyle w:val="67"/>
              <w:spacing w:line="500" w:lineRule="exact"/>
              <w:rPr>
                <w:rFonts w:hint="eastAsia" w:ascii="宋体" w:hAnsi="宋体" w:cs="宋体"/>
                <w:b/>
                <w:bCs/>
                <w:kern w:val="0"/>
                <w:sz w:val="24"/>
                <w:u w:val="single"/>
              </w:rPr>
            </w:pPr>
            <w:r>
              <w:rPr>
                <w:rFonts w:hint="eastAsia" w:ascii="宋体" w:hAnsi="宋体" w:cs="宋体"/>
                <w:b/>
                <w:bCs/>
                <w:kern w:val="0"/>
                <w:sz w:val="24"/>
              </w:rPr>
              <w:t>磋商地点：</w:t>
            </w:r>
            <w:r>
              <w:rPr>
                <w:rFonts w:hint="eastAsia" w:ascii="宋体" w:hAnsi="宋体" w:cs="宋体"/>
                <w:b/>
                <w:bCs/>
                <w:kern w:val="0"/>
                <w:sz w:val="24"/>
                <w:u w:val="single"/>
              </w:rPr>
              <w:t>政采云不见面开标大厅</w:t>
            </w:r>
          </w:p>
          <w:p w14:paraId="6B1655FD">
            <w:pPr>
              <w:pStyle w:val="67"/>
              <w:spacing w:line="500" w:lineRule="exact"/>
              <w:rPr>
                <w:rFonts w:hint="eastAsia" w:ascii="宋体" w:hAnsi="宋体" w:cs="宋体"/>
                <w:b/>
                <w:bCs/>
                <w:sz w:val="24"/>
              </w:rPr>
            </w:pPr>
            <w:r>
              <w:rPr>
                <w:rFonts w:hint="eastAsia" w:ascii="宋体" w:hAnsi="宋体" w:cs="宋体"/>
                <w:b/>
                <w:bCs/>
                <w:sz w:val="24"/>
              </w:rPr>
              <w:t>不见面开标默认时长：</w:t>
            </w:r>
            <w:r>
              <w:rPr>
                <w:rFonts w:hint="eastAsia" w:ascii="宋体" w:hAnsi="宋体" w:cs="宋体"/>
                <w:b/>
                <w:bCs/>
                <w:sz w:val="24"/>
                <w:u w:val="single"/>
              </w:rPr>
              <w:t xml:space="preserve"> 30分钟   </w:t>
            </w:r>
          </w:p>
          <w:p w14:paraId="073601B8">
            <w:pPr>
              <w:pStyle w:val="67"/>
              <w:spacing w:line="500" w:lineRule="exact"/>
              <w:rPr>
                <w:rFonts w:hint="eastAsia" w:ascii="宋体" w:hAnsi="宋体" w:cs="宋体"/>
                <w:sz w:val="24"/>
              </w:rPr>
            </w:pPr>
            <w:r>
              <w:rPr>
                <w:rFonts w:hint="eastAsia" w:ascii="宋体" w:hAnsi="宋体" w:cs="宋体"/>
                <w:b/>
                <w:bCs/>
                <w:sz w:val="24"/>
              </w:rPr>
              <w:t>本项目采用远程不见面交易的模式。开标当日，供应商无需到达开标现场，仅需在任意地点通过政采云平台（</w:t>
            </w:r>
            <w:r>
              <w:rPr>
                <w:rFonts w:ascii="宋体" w:hAnsi="宋体" w:cs="宋体"/>
                <w:b/>
                <w:bCs/>
                <w:sz w:val="24"/>
              </w:rPr>
              <w:t>http://www.ccgp-xinjiang.gov.cn</w:t>
            </w:r>
            <w:r>
              <w:rPr>
                <w:rFonts w:hint="eastAsia" w:ascii="宋体" w:hAnsi="宋体" w:cs="宋体"/>
                <w:b/>
                <w:bCs/>
                <w:sz w:val="24"/>
              </w:rPr>
              <w:t>）不见面开标系统完成远程解密、提疑澄清、开标唱标、结果公布等交互环节。投标人必须使用能正确解密投标文件的“CA锁”在规定的时间内完成远程解密，因供应商原因未能解密、解密失败或解密超时，视为投标人撤销其投标文件，默认自动放弃；因采购人原因或网上招投标平台发生故障，导致无法按时完成投标文件解密的，投标人需将未加密的投标文件提供给采购代理机构，采购代理机构通过[异常处理]端口上传、解密。（友情提示：投标人编制标书的CA需与解密CA保持一致）。</w:t>
            </w:r>
          </w:p>
        </w:tc>
      </w:tr>
      <w:tr w14:paraId="7C61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85" w:type="dxa"/>
            <w:noWrap w:val="0"/>
            <w:vAlign w:val="center"/>
          </w:tcPr>
          <w:p w14:paraId="25FDBC1F">
            <w:pPr>
              <w:pStyle w:val="67"/>
              <w:spacing w:line="360" w:lineRule="auto"/>
              <w:jc w:val="center"/>
              <w:rPr>
                <w:rFonts w:hint="eastAsia" w:ascii="宋体" w:hAnsi="宋体" w:cs="宋体"/>
                <w:b/>
                <w:bCs/>
                <w:sz w:val="24"/>
                <w:highlight w:val="yellow"/>
              </w:rPr>
            </w:pPr>
            <w:r>
              <w:rPr>
                <w:rFonts w:hint="eastAsia" w:ascii="宋体" w:hAnsi="宋体" w:cs="宋体"/>
                <w:b/>
                <w:bCs/>
                <w:sz w:val="24"/>
              </w:rPr>
              <w:t>5.2</w:t>
            </w:r>
          </w:p>
        </w:tc>
        <w:tc>
          <w:tcPr>
            <w:tcW w:w="2400" w:type="dxa"/>
            <w:gridSpan w:val="2"/>
            <w:noWrap w:val="0"/>
            <w:vAlign w:val="center"/>
          </w:tcPr>
          <w:p w14:paraId="400A3571">
            <w:pPr>
              <w:pStyle w:val="67"/>
              <w:spacing w:line="320" w:lineRule="exact"/>
              <w:jc w:val="center"/>
              <w:rPr>
                <w:rFonts w:hint="eastAsia" w:ascii="宋体" w:hAnsi="宋体" w:cs="宋体"/>
                <w:b/>
                <w:bCs/>
                <w:sz w:val="24"/>
              </w:rPr>
            </w:pPr>
            <w:r>
              <w:rPr>
                <w:rFonts w:hint="eastAsia" w:ascii="宋体" w:hAnsi="宋体" w:cs="宋体"/>
                <w:b/>
                <w:bCs/>
                <w:sz w:val="24"/>
              </w:rPr>
              <w:t>磋商小组的组成</w:t>
            </w:r>
          </w:p>
        </w:tc>
        <w:tc>
          <w:tcPr>
            <w:tcW w:w="6014" w:type="dxa"/>
            <w:noWrap w:val="0"/>
            <w:vAlign w:val="center"/>
          </w:tcPr>
          <w:p w14:paraId="1E086F32">
            <w:pPr>
              <w:pStyle w:val="67"/>
              <w:spacing w:line="500" w:lineRule="exact"/>
              <w:rPr>
                <w:rFonts w:hint="eastAsia" w:ascii="宋体" w:hAnsi="宋体" w:cs="宋体"/>
                <w:sz w:val="24"/>
              </w:rPr>
            </w:pPr>
            <w:r>
              <w:rPr>
                <w:rFonts w:hint="eastAsia" w:ascii="宋体" w:hAnsi="宋体" w:cs="宋体"/>
                <w:sz w:val="24"/>
              </w:rPr>
              <w:t>评审专家人数：</w:t>
            </w:r>
            <w:r>
              <w:rPr>
                <w:rFonts w:hint="eastAsia" w:ascii="宋体" w:hAnsi="宋体" w:cs="宋体"/>
                <w:sz w:val="24"/>
                <w:u w:val="single"/>
                <w:lang w:val="en-US" w:eastAsia="zh-CN"/>
              </w:rPr>
              <w:t>3</w:t>
            </w:r>
            <w:r>
              <w:rPr>
                <w:rFonts w:hint="eastAsia" w:ascii="宋体" w:hAnsi="宋体" w:cs="宋体"/>
                <w:color w:val="000000"/>
                <w:sz w:val="24"/>
              </w:rPr>
              <w:t>人，</w:t>
            </w:r>
            <w:r>
              <w:rPr>
                <w:rFonts w:hint="eastAsia" w:ascii="宋体" w:hAnsi="宋体" w:cs="宋体"/>
                <w:sz w:val="24"/>
              </w:rPr>
              <w:t>其中采购人代表</w:t>
            </w:r>
            <w:r>
              <w:rPr>
                <w:rFonts w:hint="eastAsia" w:ascii="宋体" w:hAnsi="宋体" w:cs="宋体"/>
                <w:sz w:val="24"/>
                <w:u w:val="single"/>
                <w:lang w:val="en-US" w:eastAsia="zh-CN"/>
              </w:rPr>
              <w:t>1</w:t>
            </w:r>
            <w:r>
              <w:rPr>
                <w:rFonts w:hint="eastAsia" w:ascii="宋体" w:hAnsi="宋体" w:cs="宋体"/>
                <w:sz w:val="24"/>
              </w:rPr>
              <w:t>人，专家</w:t>
            </w:r>
            <w:r>
              <w:rPr>
                <w:rFonts w:hint="eastAsia" w:ascii="宋体" w:hAnsi="宋体" w:cs="宋体"/>
                <w:sz w:val="24"/>
                <w:u w:val="single"/>
                <w:lang w:val="en-US" w:eastAsia="zh-CN"/>
              </w:rPr>
              <w:t>2</w:t>
            </w:r>
            <w:bookmarkStart w:id="554" w:name="_GoBack"/>
            <w:bookmarkEnd w:id="554"/>
            <w:r>
              <w:rPr>
                <w:rFonts w:hint="eastAsia" w:ascii="宋体" w:hAnsi="宋体" w:cs="宋体"/>
                <w:sz w:val="24"/>
              </w:rPr>
              <w:t>人。</w:t>
            </w:r>
          </w:p>
          <w:p w14:paraId="6441A7BE">
            <w:pPr>
              <w:pStyle w:val="94"/>
              <w:spacing w:line="500" w:lineRule="exact"/>
              <w:rPr>
                <w:rFonts w:hint="eastAsia" w:ascii="宋体" w:hAnsi="宋体" w:cs="宋体"/>
                <w:sz w:val="24"/>
                <w:szCs w:val="24"/>
              </w:rPr>
            </w:pPr>
            <w:r>
              <w:rPr>
                <w:rFonts w:hint="eastAsia" w:ascii="宋体" w:hAnsi="宋体" w:cs="宋体"/>
                <w:sz w:val="24"/>
                <w:szCs w:val="24"/>
              </w:rPr>
              <w:t>评审专家确定方式：</w:t>
            </w:r>
            <w:r>
              <w:rPr>
                <w:rFonts w:hint="eastAsia" w:ascii="宋体" w:hAnsi="宋体" w:cs="宋体"/>
                <w:sz w:val="24"/>
                <w:szCs w:val="24"/>
                <w:u w:val="single"/>
              </w:rPr>
              <w:t>评标专家库中随机抽取确定。</w:t>
            </w:r>
          </w:p>
        </w:tc>
      </w:tr>
      <w:tr w14:paraId="7618C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885" w:type="dxa"/>
            <w:noWrap w:val="0"/>
            <w:vAlign w:val="center"/>
          </w:tcPr>
          <w:p w14:paraId="2D0EE687">
            <w:pPr>
              <w:pStyle w:val="67"/>
              <w:spacing w:line="360" w:lineRule="auto"/>
              <w:jc w:val="center"/>
              <w:rPr>
                <w:rFonts w:hint="eastAsia" w:ascii="宋体" w:hAnsi="宋体" w:cs="宋体"/>
                <w:b/>
                <w:bCs/>
                <w:sz w:val="24"/>
                <w:highlight w:val="yellow"/>
              </w:rPr>
            </w:pPr>
            <w:r>
              <w:rPr>
                <w:rFonts w:hint="eastAsia" w:ascii="宋体" w:hAnsi="宋体" w:cs="宋体"/>
                <w:b/>
                <w:bCs/>
                <w:sz w:val="24"/>
              </w:rPr>
              <w:t>5.4.4</w:t>
            </w:r>
          </w:p>
        </w:tc>
        <w:tc>
          <w:tcPr>
            <w:tcW w:w="2400" w:type="dxa"/>
            <w:gridSpan w:val="2"/>
            <w:noWrap w:val="0"/>
            <w:vAlign w:val="center"/>
          </w:tcPr>
          <w:p w14:paraId="5DD419F5">
            <w:pPr>
              <w:pStyle w:val="67"/>
              <w:spacing w:line="320" w:lineRule="exact"/>
              <w:jc w:val="center"/>
              <w:rPr>
                <w:rFonts w:hint="eastAsia" w:ascii="宋体" w:hAnsi="宋体" w:cs="宋体"/>
                <w:b/>
                <w:bCs/>
                <w:sz w:val="24"/>
              </w:rPr>
            </w:pPr>
            <w:r>
              <w:rPr>
                <w:rFonts w:hint="eastAsia" w:ascii="宋体" w:hAnsi="宋体" w:cs="宋体"/>
                <w:b/>
                <w:bCs/>
                <w:sz w:val="24"/>
              </w:rPr>
              <w:t>磋商轮数和最后报价的其他要求</w:t>
            </w:r>
          </w:p>
        </w:tc>
        <w:tc>
          <w:tcPr>
            <w:tcW w:w="6014" w:type="dxa"/>
            <w:noWrap w:val="0"/>
            <w:vAlign w:val="center"/>
          </w:tcPr>
          <w:p w14:paraId="0946A0DE">
            <w:pPr>
              <w:pStyle w:val="40"/>
              <w:autoSpaceDE w:val="0"/>
              <w:autoSpaceDN w:val="0"/>
              <w:adjustRightInd w:val="0"/>
              <w:spacing w:line="500" w:lineRule="exact"/>
              <w:rPr>
                <w:rFonts w:hint="eastAsia" w:ascii="宋体" w:hAnsi="宋体" w:cs="宋体"/>
                <w:kern w:val="0"/>
                <w:sz w:val="24"/>
                <w:szCs w:val="24"/>
              </w:rPr>
            </w:pPr>
            <w:r>
              <w:rPr>
                <w:rFonts w:hint="eastAsia" w:ascii="宋体" w:hAnsi="宋体" w:cs="宋体"/>
                <w:kern w:val="0"/>
                <w:sz w:val="24"/>
                <w:szCs w:val="24"/>
              </w:rPr>
              <w:t>1、磋商轮数：两轮；</w:t>
            </w:r>
          </w:p>
          <w:p w14:paraId="743368E0">
            <w:pPr>
              <w:pStyle w:val="40"/>
              <w:autoSpaceDE w:val="0"/>
              <w:autoSpaceDN w:val="0"/>
              <w:adjustRightInd w:val="0"/>
              <w:spacing w:line="500" w:lineRule="exact"/>
              <w:rPr>
                <w:rFonts w:hint="eastAsia" w:ascii="宋体" w:hAnsi="宋体" w:cs="宋体"/>
                <w:sz w:val="24"/>
                <w:szCs w:val="24"/>
              </w:rPr>
            </w:pPr>
            <w:r>
              <w:rPr>
                <w:rFonts w:hint="eastAsia" w:ascii="宋体" w:hAnsi="宋体" w:cs="宋体"/>
                <w:kern w:val="0"/>
                <w:sz w:val="24"/>
                <w:szCs w:val="24"/>
              </w:rPr>
              <w:t>2、第二轮为最后报价，各投标供应商在政采云不见面开标大厅进行二次报价，二次报价有时间限制30分钟，请各投标人务必在系统规定时间内完成二次报价，如超时未完成，所造成的一切后果由供应商自行承担。</w:t>
            </w:r>
          </w:p>
        </w:tc>
      </w:tr>
      <w:tr w14:paraId="2DAE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85" w:type="dxa"/>
            <w:noWrap w:val="0"/>
            <w:vAlign w:val="center"/>
          </w:tcPr>
          <w:p w14:paraId="59848980">
            <w:pPr>
              <w:pStyle w:val="67"/>
              <w:spacing w:line="360" w:lineRule="auto"/>
              <w:jc w:val="center"/>
              <w:rPr>
                <w:rFonts w:hint="eastAsia" w:ascii="宋体" w:hAnsi="宋体" w:cs="宋体"/>
                <w:b/>
                <w:bCs/>
                <w:sz w:val="24"/>
              </w:rPr>
            </w:pPr>
            <w:r>
              <w:rPr>
                <w:rFonts w:hint="eastAsia" w:ascii="宋体" w:hAnsi="宋体" w:cs="宋体"/>
                <w:b/>
                <w:bCs/>
                <w:sz w:val="24"/>
              </w:rPr>
              <w:t>5.6</w:t>
            </w:r>
          </w:p>
        </w:tc>
        <w:tc>
          <w:tcPr>
            <w:tcW w:w="2400" w:type="dxa"/>
            <w:gridSpan w:val="2"/>
            <w:noWrap w:val="0"/>
            <w:vAlign w:val="center"/>
          </w:tcPr>
          <w:p w14:paraId="501F744E">
            <w:pPr>
              <w:pStyle w:val="67"/>
              <w:spacing w:line="320" w:lineRule="exact"/>
              <w:jc w:val="center"/>
              <w:rPr>
                <w:rFonts w:hint="eastAsia" w:ascii="宋体" w:hAnsi="宋体" w:cs="宋体"/>
                <w:b/>
                <w:bCs/>
                <w:sz w:val="24"/>
              </w:rPr>
            </w:pPr>
            <w:r>
              <w:rPr>
                <w:rFonts w:hint="eastAsia" w:ascii="宋体" w:hAnsi="宋体" w:cs="宋体"/>
                <w:b/>
                <w:bCs/>
                <w:sz w:val="24"/>
              </w:rPr>
              <w:t>推荐</w:t>
            </w:r>
            <w:r>
              <w:rPr>
                <w:rFonts w:hint="eastAsia" w:ascii="宋体" w:hAnsi="宋体" w:cs="宋体"/>
                <w:b/>
                <w:bCs/>
                <w:sz w:val="24"/>
                <w:lang w:val="en-US" w:eastAsia="zh-CN"/>
              </w:rPr>
              <w:t>中标（成交）</w:t>
            </w:r>
            <w:r>
              <w:rPr>
                <w:rFonts w:hint="eastAsia" w:ascii="宋体" w:hAnsi="宋体" w:cs="宋体"/>
                <w:b/>
                <w:bCs/>
                <w:sz w:val="24"/>
              </w:rPr>
              <w:t>供应商的数量</w:t>
            </w:r>
          </w:p>
        </w:tc>
        <w:tc>
          <w:tcPr>
            <w:tcW w:w="6014" w:type="dxa"/>
            <w:noWrap w:val="0"/>
            <w:vAlign w:val="center"/>
          </w:tcPr>
          <w:p w14:paraId="75283C4F">
            <w:pPr>
              <w:pStyle w:val="67"/>
              <w:spacing w:line="500" w:lineRule="exac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u w:val="single"/>
                <w:lang w:val="en-US" w:eastAsia="zh-CN"/>
              </w:rPr>
              <w:t>1</w:t>
            </w:r>
            <w:r>
              <w:rPr>
                <w:rFonts w:hint="eastAsia" w:ascii="宋体" w:hAnsi="宋体" w:cs="宋体"/>
                <w:sz w:val="24"/>
                <w:u w:val="single"/>
              </w:rPr>
              <w:t xml:space="preserve"> </w:t>
            </w:r>
            <w:r>
              <w:rPr>
                <w:rFonts w:hint="eastAsia" w:ascii="宋体" w:hAnsi="宋体" w:cs="宋体"/>
                <w:sz w:val="24"/>
              </w:rPr>
              <w:t>家</w:t>
            </w:r>
          </w:p>
        </w:tc>
      </w:tr>
      <w:tr w14:paraId="2DD4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85" w:type="dxa"/>
            <w:noWrap w:val="0"/>
            <w:vAlign w:val="center"/>
          </w:tcPr>
          <w:p w14:paraId="087ECADE">
            <w:pPr>
              <w:pStyle w:val="67"/>
              <w:spacing w:line="360" w:lineRule="auto"/>
              <w:jc w:val="center"/>
              <w:rPr>
                <w:rFonts w:hint="eastAsia" w:ascii="宋体" w:hAnsi="宋体" w:cs="宋体"/>
                <w:b/>
                <w:bCs/>
                <w:sz w:val="24"/>
                <w:highlight w:val="yellow"/>
              </w:rPr>
            </w:pPr>
            <w:r>
              <w:rPr>
                <w:rFonts w:hint="eastAsia" w:ascii="宋体" w:hAnsi="宋体" w:cs="宋体"/>
                <w:b/>
                <w:bCs/>
                <w:sz w:val="24"/>
              </w:rPr>
              <w:t>6.1</w:t>
            </w:r>
          </w:p>
        </w:tc>
        <w:tc>
          <w:tcPr>
            <w:tcW w:w="2400" w:type="dxa"/>
            <w:gridSpan w:val="2"/>
            <w:noWrap w:val="0"/>
            <w:vAlign w:val="center"/>
          </w:tcPr>
          <w:p w14:paraId="4C9D7B49">
            <w:pPr>
              <w:pStyle w:val="67"/>
              <w:spacing w:line="320" w:lineRule="exact"/>
              <w:jc w:val="center"/>
              <w:rPr>
                <w:rFonts w:hint="eastAsia" w:ascii="宋体" w:hAnsi="宋体" w:cs="宋体"/>
                <w:b/>
                <w:bCs/>
                <w:sz w:val="24"/>
              </w:rPr>
            </w:pPr>
            <w:r>
              <w:rPr>
                <w:rFonts w:hint="eastAsia" w:ascii="宋体" w:hAnsi="宋体" w:cs="宋体"/>
                <w:b/>
                <w:bCs/>
                <w:sz w:val="24"/>
              </w:rPr>
              <w:t>成交结果公示媒体</w:t>
            </w:r>
          </w:p>
        </w:tc>
        <w:tc>
          <w:tcPr>
            <w:tcW w:w="6014" w:type="dxa"/>
            <w:noWrap w:val="0"/>
            <w:vAlign w:val="center"/>
          </w:tcPr>
          <w:p w14:paraId="71561D90">
            <w:pPr>
              <w:pStyle w:val="67"/>
              <w:spacing w:line="500" w:lineRule="exact"/>
              <w:rPr>
                <w:rFonts w:hint="eastAsia" w:ascii="宋体" w:hAnsi="宋体" w:cs="宋体"/>
                <w:color w:val="FF0000"/>
                <w:sz w:val="24"/>
              </w:rPr>
            </w:pPr>
            <w:r>
              <w:rPr>
                <w:rFonts w:hint="eastAsia" w:ascii="宋体" w:hAnsi="宋体" w:cs="宋体"/>
                <w:color w:val="000000"/>
                <w:sz w:val="24"/>
              </w:rPr>
              <w:t>新疆政府采购网（http://www.ccgp-xinjiang.gov.cn）</w:t>
            </w:r>
          </w:p>
        </w:tc>
      </w:tr>
      <w:tr w14:paraId="6035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5" w:type="dxa"/>
            <w:noWrap w:val="0"/>
            <w:vAlign w:val="center"/>
          </w:tcPr>
          <w:p w14:paraId="1CCA58D8">
            <w:pPr>
              <w:pStyle w:val="67"/>
              <w:spacing w:line="360" w:lineRule="auto"/>
              <w:jc w:val="center"/>
              <w:rPr>
                <w:rFonts w:hint="eastAsia" w:ascii="宋体" w:hAnsi="宋体" w:cs="宋体"/>
                <w:b/>
                <w:sz w:val="24"/>
              </w:rPr>
            </w:pPr>
            <w:r>
              <w:rPr>
                <w:rFonts w:hint="eastAsia" w:ascii="宋体" w:hAnsi="宋体" w:cs="宋体"/>
                <w:b/>
                <w:sz w:val="24"/>
              </w:rPr>
              <w:t>7</w:t>
            </w:r>
          </w:p>
        </w:tc>
        <w:tc>
          <w:tcPr>
            <w:tcW w:w="1208" w:type="dxa"/>
            <w:noWrap w:val="0"/>
            <w:vAlign w:val="center"/>
          </w:tcPr>
          <w:p w14:paraId="0774E406">
            <w:pPr>
              <w:pStyle w:val="188"/>
              <w:spacing w:line="400" w:lineRule="exact"/>
              <w:jc w:val="center"/>
              <w:rPr>
                <w:rFonts w:hint="eastAsia" w:ascii="宋体" w:hAnsi="宋体" w:cs="宋体"/>
                <w:b/>
                <w:color w:val="000000"/>
                <w:sz w:val="24"/>
              </w:rPr>
            </w:pPr>
            <w:r>
              <w:rPr>
                <w:rFonts w:hint="eastAsia" w:ascii="宋体" w:hAnsi="宋体" w:cs="宋体"/>
                <w:b/>
                <w:color w:val="000000"/>
                <w:sz w:val="24"/>
              </w:rPr>
              <w:t>付款方式</w:t>
            </w:r>
          </w:p>
        </w:tc>
        <w:tc>
          <w:tcPr>
            <w:tcW w:w="7206" w:type="dxa"/>
            <w:gridSpan w:val="2"/>
            <w:noWrap w:val="0"/>
            <w:vAlign w:val="center"/>
          </w:tcPr>
          <w:p w14:paraId="3E0C3908">
            <w:pPr>
              <w:pStyle w:val="188"/>
              <w:spacing w:line="400" w:lineRule="exact"/>
              <w:jc w:val="center"/>
              <w:rPr>
                <w:rFonts w:hint="eastAsia" w:ascii="宋体" w:hAnsi="宋体" w:cs="宋体"/>
                <w:b/>
                <w:color w:val="000000"/>
                <w:sz w:val="24"/>
              </w:rPr>
            </w:pPr>
            <w:r>
              <w:rPr>
                <w:rFonts w:hint="eastAsia" w:ascii="宋体" w:hAnsi="宋体" w:eastAsia="宋体" w:cs="宋体"/>
                <w:kern w:val="0"/>
                <w:sz w:val="24"/>
                <w:szCs w:val="24"/>
                <w:lang w:val="en-US" w:eastAsia="zh-CN" w:bidi="ar-SA"/>
              </w:rPr>
              <w:t>具体以合同签订为准</w:t>
            </w:r>
          </w:p>
        </w:tc>
      </w:tr>
      <w:tr w14:paraId="6B62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5" w:type="dxa"/>
            <w:noWrap w:val="0"/>
            <w:vAlign w:val="center"/>
          </w:tcPr>
          <w:p w14:paraId="32FC4E88">
            <w:pPr>
              <w:pStyle w:val="67"/>
              <w:spacing w:line="360" w:lineRule="auto"/>
              <w:jc w:val="center"/>
              <w:rPr>
                <w:rFonts w:hint="eastAsia" w:ascii="宋体" w:hAnsi="宋体" w:cs="宋体"/>
                <w:b/>
                <w:sz w:val="24"/>
              </w:rPr>
            </w:pPr>
            <w:r>
              <w:rPr>
                <w:rFonts w:hint="eastAsia" w:ascii="宋体" w:hAnsi="宋体" w:cs="宋体"/>
                <w:b/>
                <w:sz w:val="24"/>
              </w:rPr>
              <w:t>8</w:t>
            </w:r>
          </w:p>
        </w:tc>
        <w:tc>
          <w:tcPr>
            <w:tcW w:w="8414" w:type="dxa"/>
            <w:gridSpan w:val="3"/>
            <w:noWrap w:val="0"/>
            <w:vAlign w:val="top"/>
          </w:tcPr>
          <w:p w14:paraId="5B8A8E0F">
            <w:pPr>
              <w:pStyle w:val="188"/>
              <w:spacing w:line="400" w:lineRule="exact"/>
              <w:rPr>
                <w:rFonts w:hint="eastAsia" w:ascii="宋体" w:hAnsi="宋体" w:cs="宋体"/>
                <w:sz w:val="24"/>
                <w:szCs w:val="24"/>
              </w:rPr>
            </w:pPr>
            <w:r>
              <w:rPr>
                <w:rFonts w:hint="eastAsia" w:ascii="宋体" w:hAnsi="宋体" w:cs="宋体"/>
                <w:b/>
                <w:sz w:val="24"/>
              </w:rPr>
              <w:t xml:space="preserve">其他规定：      </w:t>
            </w:r>
          </w:p>
        </w:tc>
      </w:tr>
      <w:tr w14:paraId="329B8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dxa"/>
            <w:noWrap w:val="0"/>
            <w:vAlign w:val="top"/>
          </w:tcPr>
          <w:p w14:paraId="4284ED1C">
            <w:pPr>
              <w:pStyle w:val="67"/>
              <w:spacing w:line="360" w:lineRule="auto"/>
              <w:jc w:val="center"/>
              <w:rPr>
                <w:rFonts w:hint="eastAsia" w:ascii="宋体" w:hAnsi="宋体" w:cs="宋体"/>
                <w:b/>
                <w:bCs/>
                <w:sz w:val="24"/>
              </w:rPr>
            </w:pPr>
            <w:r>
              <w:rPr>
                <w:rFonts w:hint="eastAsia" w:ascii="宋体" w:hAnsi="宋体" w:cs="宋体"/>
                <w:b/>
                <w:bCs/>
                <w:sz w:val="24"/>
              </w:rPr>
              <w:t>8.1</w:t>
            </w:r>
          </w:p>
        </w:tc>
        <w:tc>
          <w:tcPr>
            <w:tcW w:w="8414" w:type="dxa"/>
            <w:gridSpan w:val="3"/>
            <w:noWrap w:val="0"/>
            <w:vAlign w:val="top"/>
          </w:tcPr>
          <w:p w14:paraId="39397CF1">
            <w:pPr>
              <w:pStyle w:val="40"/>
              <w:spacing w:line="400" w:lineRule="exact"/>
              <w:rPr>
                <w:rFonts w:hint="eastAsia" w:ascii="宋体" w:hAnsi="宋体" w:cs="宋体"/>
                <w:b/>
                <w:bCs/>
                <w:sz w:val="24"/>
                <w:szCs w:val="24"/>
              </w:rPr>
            </w:pPr>
            <w:r>
              <w:rPr>
                <w:rFonts w:hint="eastAsia" w:ascii="宋体" w:hAnsi="宋体" w:cs="宋体"/>
                <w:b/>
                <w:bCs/>
                <w:sz w:val="24"/>
                <w:szCs w:val="24"/>
              </w:rPr>
              <w:t>磋商代理服务费：</w:t>
            </w:r>
          </w:p>
          <w:p w14:paraId="20CF09C7">
            <w:pPr>
              <w:pStyle w:val="67"/>
              <w:spacing w:line="360" w:lineRule="auto"/>
              <w:rPr>
                <w:rFonts w:hint="eastAsia" w:ascii="宋体" w:hAnsi="宋体" w:cs="宋体"/>
                <w:b/>
                <w:bCs/>
                <w:sz w:val="24"/>
              </w:rPr>
            </w:pPr>
            <w:r>
              <w:rPr>
                <w:rFonts w:hint="eastAsia" w:ascii="宋体" w:hAnsi="宋体" w:cs="宋体"/>
                <w:b/>
                <w:bCs/>
                <w:sz w:val="24"/>
              </w:rPr>
              <w:t>招标代理费收费依据《招标代理服务收费管理暂行办法》（计价格［2002］1980号）和《国家发展改革委办公厅关于招标代理服务收费有关问题的通知》（发改办价格[2003]857号）的规定按最终中标金额为计费基数计算确定,由中标单位支付。中标单位在收到中标通知书后，须向新疆华飞项目咨询管理有限公司支付招标代理服务费。</w:t>
            </w:r>
          </w:p>
          <w:p w14:paraId="43940A82">
            <w:pPr>
              <w:pStyle w:val="188"/>
              <w:spacing w:line="400" w:lineRule="exact"/>
              <w:rPr>
                <w:rFonts w:hint="eastAsia" w:ascii="宋体" w:hAnsi="宋体" w:cs="宋体"/>
                <w:sz w:val="24"/>
              </w:rPr>
            </w:pPr>
            <w:r>
              <w:rPr>
                <w:rFonts w:hint="eastAsia" w:ascii="宋体" w:hAnsi="宋体" w:cs="宋体"/>
                <w:sz w:val="24"/>
              </w:rPr>
              <w:t>收款单位：新疆华飞项目咨询管理有限公司</w:t>
            </w:r>
          </w:p>
          <w:p w14:paraId="0E3ACA00">
            <w:pPr>
              <w:pStyle w:val="188"/>
              <w:spacing w:line="400" w:lineRule="exact"/>
              <w:rPr>
                <w:rFonts w:hint="eastAsia" w:ascii="宋体" w:hAnsi="宋体" w:cs="宋体"/>
                <w:sz w:val="24"/>
              </w:rPr>
            </w:pPr>
            <w:r>
              <w:rPr>
                <w:rFonts w:hint="eastAsia" w:ascii="宋体" w:hAnsi="宋体" w:cs="宋体"/>
                <w:sz w:val="24"/>
              </w:rPr>
              <w:t>开户行：哈密市商业银行股份有限公司爱国北路支行</w:t>
            </w:r>
          </w:p>
          <w:p w14:paraId="74BEDCD2">
            <w:pPr>
              <w:pStyle w:val="188"/>
              <w:spacing w:line="400" w:lineRule="exact"/>
              <w:rPr>
                <w:rFonts w:hint="eastAsia" w:ascii="宋体" w:hAnsi="宋体" w:cs="宋体"/>
                <w:sz w:val="24"/>
                <w:szCs w:val="24"/>
              </w:rPr>
            </w:pPr>
            <w:r>
              <w:rPr>
                <w:rFonts w:hint="eastAsia" w:ascii="宋体" w:hAnsi="宋体" w:cs="宋体"/>
                <w:sz w:val="24"/>
              </w:rPr>
              <w:t>账号：908090100100027838</w:t>
            </w:r>
          </w:p>
        </w:tc>
      </w:tr>
      <w:tr w14:paraId="0D956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885" w:type="dxa"/>
            <w:noWrap w:val="0"/>
            <w:vAlign w:val="top"/>
          </w:tcPr>
          <w:p w14:paraId="3E82BD11">
            <w:pPr>
              <w:pStyle w:val="67"/>
              <w:spacing w:line="360" w:lineRule="auto"/>
              <w:jc w:val="center"/>
              <w:rPr>
                <w:rFonts w:hint="eastAsia" w:ascii="宋体" w:hAnsi="宋体" w:cs="宋体"/>
                <w:b/>
                <w:bCs/>
                <w:sz w:val="24"/>
              </w:rPr>
            </w:pPr>
            <w:r>
              <w:rPr>
                <w:rFonts w:hint="eastAsia" w:ascii="宋体" w:hAnsi="宋体" w:cs="宋体"/>
                <w:b/>
                <w:bCs/>
                <w:sz w:val="24"/>
              </w:rPr>
              <w:t>8.2</w:t>
            </w:r>
          </w:p>
        </w:tc>
        <w:tc>
          <w:tcPr>
            <w:tcW w:w="8414" w:type="dxa"/>
            <w:gridSpan w:val="3"/>
            <w:noWrap w:val="0"/>
            <w:vAlign w:val="top"/>
          </w:tcPr>
          <w:p w14:paraId="17B4777B">
            <w:pPr>
              <w:pStyle w:val="67"/>
              <w:spacing w:line="400" w:lineRule="exact"/>
              <w:rPr>
                <w:rFonts w:hint="eastAsia" w:ascii="宋体" w:hAnsi="宋体" w:cs="宋体"/>
                <w:b/>
                <w:sz w:val="24"/>
              </w:rPr>
            </w:pPr>
            <w:r>
              <w:rPr>
                <w:rFonts w:hint="eastAsia" w:ascii="宋体" w:hAnsi="宋体" w:cs="宋体"/>
                <w:b/>
                <w:sz w:val="24"/>
              </w:rPr>
              <w:t>解释权:</w:t>
            </w:r>
          </w:p>
          <w:p w14:paraId="1C40FDBC">
            <w:pPr>
              <w:pStyle w:val="67"/>
              <w:spacing w:line="400" w:lineRule="exact"/>
              <w:rPr>
                <w:rFonts w:hint="eastAsia" w:ascii="宋体" w:hAnsi="宋体" w:cs="宋体"/>
                <w:sz w:val="24"/>
              </w:rPr>
            </w:pPr>
            <w:r>
              <w:rPr>
                <w:rFonts w:hint="eastAsia" w:ascii="宋体" w:hAnsi="宋体" w:cs="宋体"/>
                <w:sz w:val="24"/>
              </w:rPr>
              <w:t>构成磋商文件的各个组成文件应互为解释，互为说明；除磋商文件中有特别规定外，按磋商邀请、磋商须知、响应文件格式的先后顺序解释；同一组成文件中就同一事项的规定或约定不一致的，以编排顺序在后者为准；按本款前述规定仍不能形成结论的，由采购代理机构和采购人负责解释。</w:t>
            </w:r>
          </w:p>
        </w:tc>
      </w:tr>
      <w:tr w14:paraId="44778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3" w:hRule="atLeast"/>
          <w:jc w:val="center"/>
        </w:trPr>
        <w:tc>
          <w:tcPr>
            <w:tcW w:w="885" w:type="dxa"/>
            <w:noWrap w:val="0"/>
            <w:vAlign w:val="center"/>
          </w:tcPr>
          <w:p w14:paraId="197F5A23">
            <w:pPr>
              <w:pStyle w:val="67"/>
              <w:spacing w:line="360" w:lineRule="auto"/>
              <w:jc w:val="center"/>
              <w:rPr>
                <w:rFonts w:hint="eastAsia" w:ascii="宋体" w:hAnsi="宋体" w:cs="宋体"/>
                <w:b/>
                <w:bCs/>
                <w:sz w:val="24"/>
              </w:rPr>
            </w:pPr>
            <w:r>
              <w:rPr>
                <w:rFonts w:hint="eastAsia" w:ascii="宋体" w:hAnsi="宋体" w:cs="宋体"/>
                <w:b/>
                <w:bCs/>
                <w:sz w:val="24"/>
              </w:rPr>
              <w:t>8.3</w:t>
            </w:r>
          </w:p>
        </w:tc>
        <w:tc>
          <w:tcPr>
            <w:tcW w:w="8414" w:type="dxa"/>
            <w:gridSpan w:val="3"/>
            <w:noWrap w:val="0"/>
            <w:vAlign w:val="center"/>
          </w:tcPr>
          <w:p w14:paraId="73A120A9">
            <w:pPr>
              <w:pStyle w:val="40"/>
              <w:spacing w:line="312" w:lineRule="auto"/>
              <w:rPr>
                <w:rFonts w:hint="eastAsia" w:ascii="宋体" w:hAnsi="宋体"/>
                <w:sz w:val="24"/>
              </w:rPr>
            </w:pPr>
            <w:r>
              <w:rPr>
                <w:rFonts w:hint="eastAsia" w:ascii="宋体" w:hAnsi="宋体"/>
                <w:sz w:val="24"/>
              </w:rPr>
              <w:t>1、供应商应依照磋商文件要求在响应文件中提供相关材料原件的扫描件。</w:t>
            </w:r>
          </w:p>
          <w:p w14:paraId="6E3B472A">
            <w:pPr>
              <w:spacing w:line="312" w:lineRule="auto"/>
              <w:jc w:val="left"/>
              <w:rPr>
                <w:rFonts w:ascii="宋体" w:hAnsi="宋体" w:cs="宋体"/>
                <w:bCs/>
                <w:sz w:val="24"/>
                <w:szCs w:val="24"/>
                <w:lang w:val="zh-CN"/>
              </w:rPr>
            </w:pPr>
            <w:r>
              <w:rPr>
                <w:rFonts w:hint="eastAsia" w:ascii="宋体" w:hAnsi="宋体" w:cs="宋体"/>
                <w:bCs/>
                <w:kern w:val="0"/>
                <w:sz w:val="24"/>
                <w:szCs w:val="24"/>
              </w:rPr>
              <w:t>2、</w:t>
            </w:r>
            <w:r>
              <w:rPr>
                <w:rFonts w:hint="eastAsia" w:ascii="宋体" w:hAnsi="宋体" w:cs="宋体"/>
                <w:bCs/>
                <w:sz w:val="24"/>
                <w:szCs w:val="24"/>
                <w:lang w:val="zh-CN"/>
              </w:rPr>
              <w:t>各供应商在网上及时查询本项目的澄清、修改和补充等内容，如未及时查询相关内容，造成后果自行承担。</w:t>
            </w:r>
          </w:p>
          <w:p w14:paraId="00A8EA17">
            <w:pPr>
              <w:pStyle w:val="96"/>
              <w:autoSpaceDE w:val="0"/>
              <w:autoSpaceDN w:val="0"/>
              <w:adjustRightInd w:val="0"/>
              <w:spacing w:line="360" w:lineRule="auto"/>
              <w:rPr>
                <w:rFonts w:ascii="Times New Roman" w:hAnsi="Times New Roman"/>
                <w:bCs/>
                <w:sz w:val="24"/>
                <w:szCs w:val="24"/>
              </w:rPr>
            </w:pPr>
            <w:r>
              <w:rPr>
                <w:rFonts w:ascii="Times New Roman" w:hAnsi="Times New Roman"/>
                <w:bCs/>
                <w:sz w:val="24"/>
                <w:szCs w:val="24"/>
              </w:rPr>
              <w:t>3、在</w:t>
            </w:r>
            <w:r>
              <w:rPr>
                <w:rFonts w:hint="eastAsia" w:ascii="Times New Roman" w:hAnsi="Times New Roman"/>
                <w:bCs/>
                <w:sz w:val="24"/>
                <w:szCs w:val="24"/>
              </w:rPr>
              <w:t>磋商</w:t>
            </w:r>
            <w:r>
              <w:rPr>
                <w:rFonts w:ascii="Times New Roman" w:hAnsi="Times New Roman"/>
                <w:bCs/>
                <w:sz w:val="24"/>
                <w:szCs w:val="24"/>
              </w:rPr>
              <w:t>过程直至签订合同前的任何时间，如经证实发现供应商提供虚假响应资料(包括技术支持资料)或信息骗取中标的，或者未按本</w:t>
            </w:r>
            <w:r>
              <w:rPr>
                <w:rFonts w:hint="eastAsia" w:ascii="Times New Roman" w:hAnsi="Times New Roman"/>
                <w:bCs/>
                <w:sz w:val="24"/>
                <w:szCs w:val="24"/>
              </w:rPr>
              <w:t>磋商文件</w:t>
            </w:r>
            <w:r>
              <w:rPr>
                <w:rFonts w:ascii="Times New Roman" w:hAnsi="Times New Roman"/>
                <w:bCs/>
                <w:sz w:val="24"/>
                <w:szCs w:val="24"/>
              </w:rPr>
              <w:t>要求提交履约保证金的（如有要求），将取消其中标资格，没收其</w:t>
            </w:r>
            <w:r>
              <w:rPr>
                <w:rFonts w:hint="eastAsia" w:ascii="Times New Roman" w:hAnsi="Times New Roman"/>
                <w:bCs/>
                <w:sz w:val="24"/>
                <w:szCs w:val="24"/>
              </w:rPr>
              <w:t>磋商保证金</w:t>
            </w:r>
            <w:r>
              <w:rPr>
                <w:rFonts w:ascii="Times New Roman" w:hAnsi="Times New Roman"/>
                <w:bCs/>
                <w:sz w:val="24"/>
                <w:szCs w:val="24"/>
              </w:rPr>
              <w:t>，并报主管部门备案。</w:t>
            </w:r>
          </w:p>
          <w:p w14:paraId="441462BB">
            <w:pPr>
              <w:pStyle w:val="96"/>
              <w:autoSpaceDE w:val="0"/>
              <w:autoSpaceDN w:val="0"/>
              <w:adjustRightInd w:val="0"/>
              <w:spacing w:line="360" w:lineRule="auto"/>
              <w:rPr>
                <w:rFonts w:ascii="Times New Roman" w:hAnsi="Times New Roman"/>
                <w:bCs/>
                <w:sz w:val="24"/>
                <w:szCs w:val="24"/>
              </w:rPr>
            </w:pPr>
            <w:r>
              <w:rPr>
                <w:rFonts w:ascii="Times New Roman" w:hAnsi="Times New Roman"/>
                <w:bCs/>
                <w:sz w:val="24"/>
                <w:szCs w:val="24"/>
              </w:rPr>
              <w:t>4、关于</w:t>
            </w:r>
            <w:r>
              <w:rPr>
                <w:rFonts w:hint="eastAsia" w:ascii="Times New Roman" w:hAnsi="Times New Roman"/>
                <w:bCs/>
                <w:sz w:val="24"/>
                <w:szCs w:val="24"/>
              </w:rPr>
              <w:t>磋商保证金</w:t>
            </w:r>
            <w:r>
              <w:rPr>
                <w:rFonts w:ascii="Times New Roman" w:hAnsi="Times New Roman"/>
                <w:bCs/>
                <w:sz w:val="24"/>
                <w:szCs w:val="24"/>
              </w:rPr>
              <w:t xml:space="preserve">的退还： </w:t>
            </w:r>
          </w:p>
          <w:p w14:paraId="144C3632">
            <w:pPr>
              <w:pStyle w:val="96"/>
              <w:autoSpaceDE w:val="0"/>
              <w:autoSpaceDN w:val="0"/>
              <w:adjustRightInd w:val="0"/>
              <w:spacing w:line="360" w:lineRule="auto"/>
              <w:rPr>
                <w:rFonts w:ascii="Times New Roman" w:hAnsi="Times New Roman"/>
                <w:bCs/>
                <w:sz w:val="24"/>
                <w:szCs w:val="24"/>
              </w:rPr>
            </w:pPr>
            <w:r>
              <w:rPr>
                <w:rFonts w:ascii="Times New Roman" w:hAnsi="Times New Roman"/>
                <w:bCs/>
                <w:sz w:val="24"/>
                <w:szCs w:val="24"/>
              </w:rPr>
              <w:t>（1）未中标（成交）单位：自中标（成交）通知书发出之日起5个工作日内退还。</w:t>
            </w:r>
          </w:p>
          <w:p w14:paraId="48B93007">
            <w:pPr>
              <w:pStyle w:val="96"/>
              <w:autoSpaceDE w:val="0"/>
              <w:autoSpaceDN w:val="0"/>
              <w:adjustRightInd w:val="0"/>
              <w:spacing w:line="360" w:lineRule="auto"/>
              <w:rPr>
                <w:rFonts w:ascii="Times New Roman" w:hAnsi="Times New Roman"/>
                <w:bCs/>
                <w:sz w:val="24"/>
                <w:szCs w:val="24"/>
                <w:lang w:val="zh-CN"/>
              </w:rPr>
            </w:pPr>
            <w:r>
              <w:rPr>
                <w:rFonts w:ascii="Times New Roman" w:hAnsi="Times New Roman"/>
                <w:bCs/>
                <w:sz w:val="24"/>
                <w:szCs w:val="24"/>
              </w:rPr>
              <w:t>（2）中标（成交）单位：自采购合同签订之日起5个工作日内退还。</w:t>
            </w:r>
            <w:r>
              <w:rPr>
                <w:rFonts w:ascii="Times New Roman" w:hAnsi="Times New Roman"/>
                <w:bCs/>
                <w:sz w:val="24"/>
                <w:szCs w:val="24"/>
                <w:lang w:val="zh-CN"/>
              </w:rPr>
              <w:t>中标（成交）人办理保证金退款申请时，中标（成交）人还须提供与采购人签订的已加盖中标方公章的合同复印件或扫描件一份（代理机构存档备查）。</w:t>
            </w:r>
          </w:p>
          <w:p w14:paraId="3D78163F">
            <w:pPr>
              <w:pStyle w:val="96"/>
              <w:autoSpaceDE w:val="0"/>
              <w:autoSpaceDN w:val="0"/>
              <w:adjustRightInd w:val="0"/>
              <w:spacing w:line="360" w:lineRule="auto"/>
              <w:rPr>
                <w:rFonts w:hint="default" w:ascii="Times New Roman" w:hAnsi="Times New Roman" w:eastAsia="宋体"/>
                <w:b/>
                <w:bCs w:val="0"/>
                <w:sz w:val="24"/>
                <w:szCs w:val="24"/>
                <w:lang w:val="en-US" w:eastAsia="zh-CN"/>
              </w:rPr>
            </w:pPr>
            <w:r>
              <w:rPr>
                <w:rFonts w:hint="eastAsia" w:ascii="Times New Roman" w:hAnsi="Times New Roman"/>
                <w:b/>
                <w:bCs w:val="0"/>
                <w:sz w:val="24"/>
                <w:szCs w:val="24"/>
                <w:lang w:val="zh-CN"/>
              </w:rPr>
              <w:t>（</w:t>
            </w:r>
            <w:r>
              <w:rPr>
                <w:rFonts w:hint="eastAsia" w:ascii="Times New Roman" w:hAnsi="Times New Roman"/>
                <w:b/>
                <w:bCs w:val="0"/>
                <w:sz w:val="24"/>
                <w:szCs w:val="24"/>
                <w:lang w:val="en-US" w:eastAsia="zh-CN"/>
              </w:rPr>
              <w:t>3</w:t>
            </w:r>
            <w:r>
              <w:rPr>
                <w:rFonts w:hint="eastAsia" w:ascii="Times New Roman" w:hAnsi="Times New Roman"/>
                <w:b/>
                <w:bCs w:val="0"/>
                <w:sz w:val="24"/>
                <w:szCs w:val="24"/>
                <w:lang w:val="zh-CN"/>
              </w:rPr>
              <w:t>）</w:t>
            </w:r>
            <w:r>
              <w:rPr>
                <w:rFonts w:hint="eastAsia" w:ascii="Times New Roman" w:hAnsi="Times New Roman"/>
                <w:b/>
                <w:bCs w:val="0"/>
                <w:sz w:val="24"/>
                <w:szCs w:val="24"/>
                <w:lang w:val="en-US" w:eastAsia="zh-CN"/>
              </w:rPr>
              <w:t>保证金退还</w:t>
            </w:r>
            <w:r>
              <w:rPr>
                <w:rFonts w:hint="eastAsia" w:ascii="Times New Roman" w:hAnsi="Times New Roman"/>
                <w:b/>
                <w:bCs w:val="0"/>
                <w:sz w:val="24"/>
                <w:szCs w:val="24"/>
                <w:lang w:val="zh-CN"/>
              </w:rPr>
              <w:t>问题请联系：</w:t>
            </w:r>
            <w:r>
              <w:rPr>
                <w:rFonts w:hint="eastAsia" w:ascii="Times New Roman" w:hAnsi="Times New Roman"/>
                <w:b/>
                <w:bCs w:val="0"/>
                <w:sz w:val="24"/>
                <w:szCs w:val="24"/>
                <w:lang w:val="en-US" w:eastAsia="zh-CN"/>
              </w:rPr>
              <w:t>姚艳萍  0902-2228110</w:t>
            </w:r>
          </w:p>
          <w:p w14:paraId="1A74CF15">
            <w:pPr>
              <w:pStyle w:val="96"/>
              <w:autoSpaceDE w:val="0"/>
              <w:autoSpaceDN w:val="0"/>
              <w:adjustRightInd w:val="0"/>
              <w:spacing w:line="360" w:lineRule="auto"/>
              <w:rPr>
                <w:rFonts w:ascii="Times New Roman" w:hAnsi="Times New Roman"/>
                <w:bCs/>
                <w:sz w:val="24"/>
                <w:szCs w:val="24"/>
              </w:rPr>
            </w:pPr>
            <w:r>
              <w:rPr>
                <w:rFonts w:ascii="Times New Roman" w:hAnsi="Times New Roman"/>
                <w:b/>
                <w:sz w:val="24"/>
                <w:szCs w:val="24"/>
              </w:rPr>
              <w:t>说明：</w:t>
            </w:r>
            <w:r>
              <w:rPr>
                <w:rFonts w:ascii="Times New Roman" w:hAnsi="Times New Roman"/>
                <w:bCs/>
                <w:sz w:val="24"/>
                <w:szCs w:val="24"/>
              </w:rPr>
              <w:t>中标（成交）单位在领取中标（成交）通知书后，应及时将拟定的采购合同电子版发送至采购人，并及时取得联系。</w:t>
            </w:r>
          </w:p>
          <w:p w14:paraId="41A71F47">
            <w:pPr>
              <w:pStyle w:val="83"/>
              <w:spacing w:line="400" w:lineRule="exact"/>
              <w:ind w:left="0" w:leftChars="0" w:right="-10"/>
              <w:rPr>
                <w:rFonts w:hint="eastAsia" w:ascii="宋体" w:hAnsi="宋体" w:cs="宋体"/>
                <w:kern w:val="2"/>
                <w:sz w:val="24"/>
              </w:rPr>
            </w:pPr>
            <w:r>
              <w:rPr>
                <w:rFonts w:hint="eastAsia" w:ascii="Times New Roman" w:hAnsi="Times New Roman"/>
                <w:bCs/>
                <w:sz w:val="24"/>
              </w:rPr>
              <w:t>5、</w:t>
            </w:r>
            <w:r>
              <w:rPr>
                <w:rFonts w:ascii="Times New Roman" w:hAnsi="Times New Roman"/>
                <w:bCs/>
                <w:sz w:val="24"/>
              </w:rPr>
              <w:t>本项目的采购活动以及相关当事人须接受财政监督部门依法实施的监督。</w:t>
            </w:r>
          </w:p>
        </w:tc>
      </w:tr>
      <w:tr w14:paraId="036E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85" w:type="dxa"/>
            <w:noWrap w:val="0"/>
            <w:vAlign w:val="center"/>
          </w:tcPr>
          <w:p w14:paraId="4F3C5D0B">
            <w:pPr>
              <w:pStyle w:val="67"/>
              <w:spacing w:line="360" w:lineRule="auto"/>
              <w:jc w:val="center"/>
              <w:rPr>
                <w:rFonts w:hint="eastAsia" w:ascii="宋体" w:hAnsi="宋体" w:cs="宋体"/>
                <w:b/>
                <w:bCs/>
                <w:sz w:val="24"/>
              </w:rPr>
            </w:pPr>
            <w:r>
              <w:rPr>
                <w:rFonts w:hint="eastAsia" w:ascii="宋体" w:hAnsi="宋体" w:cs="宋体"/>
                <w:b/>
                <w:bCs/>
                <w:sz w:val="24"/>
              </w:rPr>
              <w:t>备注</w:t>
            </w:r>
          </w:p>
        </w:tc>
        <w:tc>
          <w:tcPr>
            <w:tcW w:w="8414" w:type="dxa"/>
            <w:gridSpan w:val="3"/>
            <w:noWrap w:val="0"/>
            <w:vAlign w:val="center"/>
          </w:tcPr>
          <w:p w14:paraId="019AEC8B">
            <w:pPr>
              <w:pStyle w:val="67"/>
              <w:autoSpaceDE w:val="0"/>
              <w:autoSpaceDN w:val="0"/>
              <w:adjustRightInd w:val="0"/>
              <w:spacing w:line="312" w:lineRule="auto"/>
              <w:rPr>
                <w:rFonts w:hint="eastAsia" w:ascii="宋体" w:hAnsi="宋体"/>
                <w:sz w:val="24"/>
              </w:rPr>
            </w:pPr>
            <w:r>
              <w:rPr>
                <w:rFonts w:hint="eastAsia" w:ascii="宋体" w:hAnsi="宋体"/>
                <w:sz w:val="24"/>
              </w:rPr>
              <w:t>如果投标人电子投标文件无法制作或无法导入及导出等问题，可拨打政采云服务热线进行咨询联系。</w:t>
            </w:r>
          </w:p>
          <w:p w14:paraId="3DEC40BB">
            <w:pPr>
              <w:pStyle w:val="40"/>
              <w:spacing w:line="312" w:lineRule="auto"/>
              <w:rPr>
                <w:rFonts w:hint="eastAsia" w:ascii="宋体" w:hAnsi="宋体"/>
                <w:sz w:val="24"/>
              </w:rPr>
            </w:pPr>
            <w:r>
              <w:rPr>
                <w:rFonts w:hint="eastAsia" w:ascii="宋体" w:hAnsi="宋体"/>
                <w:sz w:val="24"/>
              </w:rPr>
              <w:t>联系人：政采云客户服务热线    联系电话：400-881-7190</w:t>
            </w:r>
          </w:p>
        </w:tc>
      </w:tr>
    </w:tbl>
    <w:p w14:paraId="398485D5">
      <w:pPr>
        <w:pStyle w:val="67"/>
        <w:spacing w:line="320" w:lineRule="exact"/>
        <w:rPr>
          <w:rFonts w:hint="eastAsia" w:ascii="宋体" w:hAnsi="宋体" w:cs="宋体"/>
          <w:kern w:val="0"/>
          <w:sz w:val="24"/>
        </w:rPr>
      </w:pPr>
      <w:r>
        <w:rPr>
          <w:rFonts w:hint="eastAsia" w:ascii="宋体" w:hAnsi="宋体" w:cs="宋体"/>
          <w:kern w:val="0"/>
          <w:sz w:val="24"/>
        </w:rPr>
        <w:t>注：1.本表内容与招标文件其它内容不一致的，应当以本表内容为准。</w:t>
      </w:r>
    </w:p>
    <w:p w14:paraId="798809DF">
      <w:pPr>
        <w:pStyle w:val="21"/>
        <w:jc w:val="left"/>
        <w:rPr>
          <w:rStyle w:val="76"/>
          <w:rFonts w:hint="eastAsia" w:ascii="宋体" w:hAnsi="宋体" w:cs="宋体"/>
          <w:sz w:val="21"/>
          <w:szCs w:val="18"/>
          <w:lang w:val="en-US" w:eastAsia="zh-CN" w:bidi="ar-SA"/>
        </w:rPr>
      </w:pPr>
      <w:r>
        <w:br w:type="page"/>
      </w:r>
      <w:bookmarkStart w:id="16" w:name="_Toc256000004"/>
      <w:bookmarkStart w:id="17" w:name="_Toc5838"/>
      <w:bookmarkStart w:id="18" w:name="_Toc29932"/>
      <w:bookmarkStart w:id="19" w:name="_Toc106276247"/>
      <w:bookmarkStart w:id="20" w:name="_Toc22818"/>
      <w:bookmarkStart w:id="21" w:name="_Toc21521"/>
      <w:r>
        <w:rPr>
          <w:rStyle w:val="76"/>
          <w:rFonts w:hint="eastAsia" w:ascii="宋体" w:hAnsi="宋体" w:cs="宋体"/>
        </w:rPr>
        <w:t>磋商须知正文部分</w:t>
      </w:r>
      <w:bookmarkEnd w:id="16"/>
      <w:bookmarkEnd w:id="17"/>
      <w:bookmarkEnd w:id="18"/>
      <w:bookmarkEnd w:id="19"/>
      <w:bookmarkEnd w:id="20"/>
    </w:p>
    <w:bookmarkEnd w:id="21"/>
    <w:p w14:paraId="1CCD3A9B">
      <w:pPr>
        <w:pStyle w:val="77"/>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cs="宋体"/>
          <w:lang w:eastAsia="zh-CN"/>
        </w:rPr>
      </w:pPr>
      <w:bookmarkStart w:id="22" w:name="_Toc256000005"/>
      <w:bookmarkStart w:id="23" w:name="_Toc106276248"/>
      <w:bookmarkStart w:id="24" w:name="_Toc17738"/>
      <w:bookmarkStart w:id="25" w:name="_Toc8479"/>
      <w:bookmarkStart w:id="26" w:name="_Toc23130"/>
      <w:bookmarkStart w:id="27" w:name="_Toc5724"/>
      <w:r>
        <w:rPr>
          <w:rFonts w:hint="eastAsia" w:ascii="宋体" w:hAnsi="宋体" w:cs="宋体"/>
        </w:rPr>
        <w:t>一、说明</w:t>
      </w:r>
      <w:bookmarkEnd w:id="22"/>
      <w:bookmarkEnd w:id="23"/>
      <w:bookmarkEnd w:id="24"/>
      <w:bookmarkEnd w:id="25"/>
      <w:bookmarkEnd w:id="26"/>
      <w:bookmarkEnd w:id="27"/>
    </w:p>
    <w:p w14:paraId="65D25E14">
      <w:pPr>
        <w:pStyle w:val="67"/>
        <w:adjustRightInd w:val="0"/>
        <w:snapToGrid w:val="0"/>
        <w:spacing w:line="360" w:lineRule="auto"/>
        <w:rPr>
          <w:rFonts w:hint="eastAsia" w:ascii="宋体" w:hAnsi="宋体" w:cs="宋体"/>
          <w:b/>
          <w:bCs/>
          <w:sz w:val="24"/>
        </w:rPr>
      </w:pPr>
      <w:r>
        <w:rPr>
          <w:rFonts w:hint="eastAsia" w:ascii="宋体" w:hAnsi="宋体" w:cs="宋体"/>
          <w:b/>
          <w:bCs/>
          <w:sz w:val="24"/>
        </w:rPr>
        <w:t>1.1  适用范围</w:t>
      </w:r>
    </w:p>
    <w:p w14:paraId="6B20D4FE">
      <w:pPr>
        <w:pStyle w:val="67"/>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1.1本磋商文件仅适用于本磋商邀请中所叙述的采购项目。</w:t>
      </w:r>
    </w:p>
    <w:p w14:paraId="50B0F1F4">
      <w:pPr>
        <w:pStyle w:val="67"/>
        <w:adjustRightInd w:val="0"/>
        <w:snapToGrid w:val="0"/>
        <w:spacing w:line="360" w:lineRule="auto"/>
        <w:rPr>
          <w:rFonts w:hint="eastAsia" w:ascii="宋体" w:hAnsi="宋体" w:cs="宋体"/>
          <w:b/>
          <w:bCs/>
          <w:sz w:val="24"/>
        </w:rPr>
      </w:pPr>
      <w:r>
        <w:rPr>
          <w:rFonts w:hint="eastAsia" w:ascii="宋体" w:hAnsi="宋体" w:cs="宋体"/>
          <w:b/>
          <w:bCs/>
          <w:sz w:val="24"/>
        </w:rPr>
        <w:t>1.2  项目概况</w:t>
      </w:r>
    </w:p>
    <w:p w14:paraId="7B7D9287">
      <w:pPr>
        <w:pStyle w:val="67"/>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见</w:t>
      </w:r>
      <w:r>
        <w:rPr>
          <w:rFonts w:hint="eastAsia" w:ascii="宋体" w:hAnsi="宋体" w:cs="宋体"/>
          <w:b/>
          <w:sz w:val="24"/>
        </w:rPr>
        <w:t>磋商须知前附表</w:t>
      </w:r>
      <w:r>
        <w:rPr>
          <w:rFonts w:hint="eastAsia" w:ascii="宋体" w:hAnsi="宋体" w:cs="宋体"/>
          <w:sz w:val="24"/>
        </w:rPr>
        <w:t>。</w:t>
      </w:r>
    </w:p>
    <w:p w14:paraId="04B48CE8">
      <w:pPr>
        <w:pStyle w:val="67"/>
        <w:adjustRightInd w:val="0"/>
        <w:snapToGrid w:val="0"/>
        <w:spacing w:line="360" w:lineRule="auto"/>
        <w:rPr>
          <w:rFonts w:hint="eastAsia" w:ascii="宋体" w:hAnsi="宋体" w:cs="宋体"/>
          <w:b/>
          <w:bCs/>
          <w:sz w:val="24"/>
        </w:rPr>
      </w:pPr>
      <w:r>
        <w:rPr>
          <w:rFonts w:hint="eastAsia" w:ascii="宋体" w:hAnsi="宋体" w:cs="宋体"/>
          <w:b/>
          <w:bCs/>
          <w:sz w:val="24"/>
        </w:rPr>
        <w:t>1.3  合格的供应商</w:t>
      </w:r>
    </w:p>
    <w:p w14:paraId="3A06952F">
      <w:pPr>
        <w:pStyle w:val="67"/>
        <w:adjustRightInd w:val="0"/>
        <w:snapToGrid w:val="0"/>
        <w:spacing w:line="360" w:lineRule="auto"/>
        <w:ind w:firstLine="480" w:firstLineChars="200"/>
        <w:rPr>
          <w:rFonts w:hint="eastAsia" w:ascii="宋体" w:hAnsi="宋体" w:cs="宋体"/>
          <w:b/>
          <w:bCs/>
          <w:sz w:val="24"/>
        </w:rPr>
      </w:pPr>
      <w:r>
        <w:rPr>
          <w:rFonts w:hint="eastAsia" w:ascii="宋体" w:hAnsi="宋体" w:cs="宋体"/>
          <w:bCs/>
          <w:sz w:val="24"/>
        </w:rPr>
        <w:t>1.3.1 供应商的资格要求见</w:t>
      </w:r>
      <w:r>
        <w:rPr>
          <w:rFonts w:hint="eastAsia" w:ascii="宋体" w:hAnsi="宋体" w:cs="宋体"/>
          <w:b/>
          <w:sz w:val="24"/>
        </w:rPr>
        <w:t>磋商须知前附表</w:t>
      </w:r>
      <w:r>
        <w:rPr>
          <w:rFonts w:hint="eastAsia" w:ascii="宋体" w:hAnsi="宋体" w:cs="宋体"/>
          <w:sz w:val="24"/>
        </w:rPr>
        <w:t>；</w:t>
      </w:r>
    </w:p>
    <w:p w14:paraId="2021D677">
      <w:pPr>
        <w:pStyle w:val="67"/>
        <w:spacing w:line="360" w:lineRule="auto"/>
        <w:ind w:firstLine="420"/>
        <w:rPr>
          <w:rFonts w:hint="eastAsia" w:ascii="宋体" w:hAnsi="宋体" w:cs="宋体"/>
          <w:sz w:val="24"/>
        </w:rPr>
      </w:pPr>
      <w:r>
        <w:rPr>
          <w:rFonts w:hint="eastAsia" w:ascii="宋体" w:hAnsi="宋体" w:cs="宋体"/>
          <w:sz w:val="24"/>
        </w:rPr>
        <w:t>1.3.2凡为本采购项目提供整体设计、规范编制或者项目管理、监理、检测等服务的供应商，不得参加报价。</w:t>
      </w:r>
    </w:p>
    <w:p w14:paraId="15A41331">
      <w:pPr>
        <w:pStyle w:val="67"/>
        <w:spacing w:line="360" w:lineRule="auto"/>
        <w:ind w:firstLine="420"/>
        <w:rPr>
          <w:rFonts w:hint="eastAsia" w:ascii="宋体" w:hAnsi="宋体" w:cs="宋体"/>
          <w:sz w:val="24"/>
        </w:rPr>
      </w:pPr>
      <w:r>
        <w:rPr>
          <w:rFonts w:hint="eastAsia" w:ascii="宋体" w:hAnsi="宋体" w:cs="宋体"/>
          <w:sz w:val="24"/>
        </w:rPr>
        <w:t>1.3.3一个供应商只能提交一个响应文件。但如果不同供应商之间的单位负责人为同一人或者存在直接控股、管理关系的，均作无效报价处理。</w:t>
      </w:r>
    </w:p>
    <w:p w14:paraId="5CD51533">
      <w:pPr>
        <w:pStyle w:val="67"/>
        <w:spacing w:line="360" w:lineRule="auto"/>
        <w:ind w:firstLine="420"/>
        <w:rPr>
          <w:rFonts w:hint="eastAsia" w:ascii="宋体" w:hAnsi="宋体" w:cs="宋体"/>
          <w:sz w:val="24"/>
        </w:rPr>
      </w:pPr>
      <w:r>
        <w:rPr>
          <w:rFonts w:hint="eastAsia" w:ascii="宋体" w:hAnsi="宋体" w:cs="宋体"/>
          <w:sz w:val="24"/>
        </w:rPr>
        <w:t>1.3.4供应商存在下列情形之一的，将被认定为串通报价行为并作无效报价处理：</w:t>
      </w:r>
    </w:p>
    <w:p w14:paraId="24A9ECAE">
      <w:pPr>
        <w:pStyle w:val="67"/>
        <w:spacing w:line="360" w:lineRule="auto"/>
        <w:ind w:firstLine="420"/>
        <w:rPr>
          <w:rFonts w:hint="eastAsia" w:ascii="宋体" w:hAnsi="宋体" w:cs="宋体"/>
          <w:sz w:val="24"/>
        </w:rPr>
      </w:pPr>
      <w:r>
        <w:rPr>
          <w:rFonts w:hint="eastAsia" w:ascii="宋体" w:hAnsi="宋体" w:cs="宋体"/>
          <w:sz w:val="24"/>
        </w:rPr>
        <w:t>（1）不同供应商的响应文件错、漏之处一致或雷同，且不能合理解释的；</w:t>
      </w:r>
    </w:p>
    <w:p w14:paraId="7ABDADD7">
      <w:pPr>
        <w:pStyle w:val="67"/>
        <w:spacing w:line="360" w:lineRule="auto"/>
        <w:ind w:firstLine="420"/>
        <w:rPr>
          <w:rFonts w:hint="eastAsia" w:ascii="宋体" w:hAnsi="宋体" w:cs="宋体"/>
          <w:sz w:val="24"/>
        </w:rPr>
      </w:pPr>
      <w:r>
        <w:rPr>
          <w:rFonts w:hint="eastAsia" w:ascii="宋体" w:hAnsi="宋体" w:cs="宋体"/>
          <w:sz w:val="24"/>
        </w:rPr>
        <w:t>（2）由同一人或分别由几个有利害关系的人携带两个以上（含两个）供应商的企业资料参与资格审查、领取磋商资料，或代表两个以上（含两个）供应商参加磋商答疑会、交纳或退还磋商保证金、开标的；</w:t>
      </w:r>
    </w:p>
    <w:p w14:paraId="023AD9A2">
      <w:pPr>
        <w:pStyle w:val="67"/>
        <w:adjustRightInd w:val="0"/>
        <w:snapToGrid w:val="0"/>
        <w:spacing w:line="360" w:lineRule="auto"/>
        <w:ind w:firstLine="480" w:firstLineChars="200"/>
        <w:rPr>
          <w:rFonts w:hint="eastAsia" w:ascii="宋体" w:hAnsi="宋体" w:cs="宋体"/>
          <w:color w:val="999999"/>
          <w:sz w:val="24"/>
        </w:rPr>
      </w:pPr>
      <w:r>
        <w:rPr>
          <w:rFonts w:hint="eastAsia" w:ascii="宋体" w:hAnsi="宋体" w:cs="宋体"/>
          <w:sz w:val="24"/>
        </w:rPr>
        <w:t>（3）有关法律、法规或规章规定的其他串通报价行为。</w:t>
      </w:r>
    </w:p>
    <w:p w14:paraId="38792BF7">
      <w:pPr>
        <w:pStyle w:val="67"/>
        <w:adjustRightInd w:val="0"/>
        <w:snapToGrid w:val="0"/>
        <w:spacing w:line="360" w:lineRule="auto"/>
        <w:rPr>
          <w:rFonts w:hint="eastAsia" w:ascii="宋体" w:hAnsi="宋体" w:cs="宋体"/>
          <w:b/>
          <w:bCs/>
          <w:sz w:val="24"/>
        </w:rPr>
      </w:pPr>
      <w:r>
        <w:rPr>
          <w:rFonts w:hint="eastAsia" w:ascii="宋体" w:hAnsi="宋体" w:cs="宋体"/>
          <w:b/>
          <w:bCs/>
          <w:sz w:val="24"/>
        </w:rPr>
        <w:t xml:space="preserve">1.4 参与磋商的费用 </w:t>
      </w:r>
    </w:p>
    <w:p w14:paraId="6A38BCE2">
      <w:pPr>
        <w:pStyle w:val="67"/>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无论磋商的结果如何，供应商应自行承担所有与</w:t>
      </w:r>
      <w:r>
        <w:rPr>
          <w:rFonts w:hint="eastAsia" w:ascii="宋体" w:hAnsi="宋体" w:cs="宋体"/>
          <w:kern w:val="0"/>
          <w:sz w:val="24"/>
        </w:rPr>
        <w:t>磋商</w:t>
      </w:r>
      <w:r>
        <w:rPr>
          <w:rFonts w:hint="eastAsia" w:ascii="宋体" w:hAnsi="宋体" w:cs="宋体"/>
          <w:kern w:val="0"/>
          <w:sz w:val="24"/>
          <w:lang w:val="zh-CN"/>
        </w:rPr>
        <w:t>采购活动</w:t>
      </w:r>
      <w:r>
        <w:rPr>
          <w:rFonts w:hint="eastAsia" w:ascii="宋体" w:hAnsi="宋体" w:cs="宋体"/>
          <w:sz w:val="24"/>
        </w:rPr>
        <w:t>有关的全部费用。</w:t>
      </w:r>
    </w:p>
    <w:p w14:paraId="4E90C25B">
      <w:pPr>
        <w:pStyle w:val="77"/>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cs="宋体"/>
        </w:rPr>
      </w:pPr>
      <w:bookmarkStart w:id="28" w:name="_Toc13437"/>
      <w:bookmarkStart w:id="29" w:name="_Toc256000006"/>
      <w:bookmarkStart w:id="30" w:name="_Toc106276249"/>
      <w:bookmarkStart w:id="31" w:name="_Toc25678"/>
      <w:bookmarkStart w:id="32" w:name="_Toc23764"/>
      <w:bookmarkStart w:id="33" w:name="_Toc22628"/>
      <w:r>
        <w:rPr>
          <w:rFonts w:hint="eastAsia" w:ascii="宋体" w:hAnsi="宋体" w:cs="宋体"/>
        </w:rPr>
        <w:t>二、磋商文件</w:t>
      </w:r>
      <w:bookmarkEnd w:id="28"/>
      <w:bookmarkEnd w:id="29"/>
      <w:bookmarkEnd w:id="30"/>
      <w:bookmarkEnd w:id="31"/>
      <w:bookmarkEnd w:id="32"/>
      <w:bookmarkEnd w:id="33"/>
    </w:p>
    <w:p w14:paraId="52517C28">
      <w:pPr>
        <w:pStyle w:val="67"/>
        <w:adjustRightInd w:val="0"/>
        <w:snapToGrid w:val="0"/>
        <w:spacing w:line="360" w:lineRule="auto"/>
        <w:rPr>
          <w:rFonts w:hint="eastAsia" w:ascii="宋体" w:hAnsi="宋体" w:cs="宋体"/>
          <w:b/>
          <w:bCs/>
          <w:sz w:val="24"/>
        </w:rPr>
      </w:pPr>
      <w:r>
        <w:rPr>
          <w:rFonts w:hint="eastAsia" w:ascii="宋体" w:hAnsi="宋体" w:cs="宋体"/>
          <w:b/>
          <w:bCs/>
          <w:sz w:val="24"/>
        </w:rPr>
        <w:t>2.1  磋商文件的组成</w:t>
      </w:r>
    </w:p>
    <w:p w14:paraId="1F677A24">
      <w:pPr>
        <w:pStyle w:val="85"/>
        <w:adjustRightInd w:val="0"/>
        <w:snapToGrid w:val="0"/>
        <w:spacing w:line="360" w:lineRule="auto"/>
        <w:ind w:firstLine="480" w:firstLineChars="200"/>
        <w:rPr>
          <w:rFonts w:hint="eastAsia" w:hAnsi="宋体" w:cs="宋体"/>
          <w:sz w:val="24"/>
          <w:szCs w:val="24"/>
        </w:rPr>
      </w:pPr>
      <w:r>
        <w:rPr>
          <w:rFonts w:hint="eastAsia" w:hAnsi="宋体" w:cs="宋体"/>
          <w:sz w:val="24"/>
          <w:szCs w:val="24"/>
        </w:rPr>
        <w:t>（1）磋商公告</w:t>
      </w:r>
    </w:p>
    <w:p w14:paraId="142BD89B">
      <w:pPr>
        <w:pStyle w:val="85"/>
        <w:adjustRightInd w:val="0"/>
        <w:snapToGrid w:val="0"/>
        <w:spacing w:line="360" w:lineRule="auto"/>
        <w:ind w:firstLine="480" w:firstLineChars="200"/>
        <w:rPr>
          <w:rFonts w:hint="eastAsia" w:hAnsi="宋体" w:cs="宋体"/>
          <w:sz w:val="24"/>
          <w:szCs w:val="24"/>
        </w:rPr>
      </w:pPr>
      <w:r>
        <w:rPr>
          <w:rFonts w:hint="eastAsia" w:hAnsi="宋体" w:cs="宋体"/>
          <w:sz w:val="24"/>
          <w:szCs w:val="24"/>
        </w:rPr>
        <w:t>（2）磋商须知</w:t>
      </w:r>
    </w:p>
    <w:p w14:paraId="5F79052C">
      <w:pPr>
        <w:pStyle w:val="67"/>
        <w:adjustRightInd w:val="0"/>
        <w:snapToGrid w:val="0"/>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（3）</w:t>
      </w:r>
      <w:r>
        <w:rPr>
          <w:rFonts w:hint="eastAsia" w:ascii="宋体" w:hAnsi="宋体" w:cs="宋体"/>
          <w:sz w:val="24"/>
          <w:lang w:val="en-US" w:eastAsia="zh-CN"/>
        </w:rPr>
        <w:t>评标方法</w:t>
      </w:r>
    </w:p>
    <w:p w14:paraId="47567578">
      <w:pPr>
        <w:pStyle w:val="67"/>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cs="宋体"/>
          <w:sz w:val="24"/>
        </w:rPr>
        <w:t>政府采购合同格式</w:t>
      </w:r>
    </w:p>
    <w:p w14:paraId="63CCDD03">
      <w:pPr>
        <w:pStyle w:val="85"/>
        <w:adjustRightInd w:val="0"/>
        <w:snapToGrid w:val="0"/>
        <w:spacing w:line="360" w:lineRule="auto"/>
        <w:ind w:firstLine="480" w:firstLineChars="200"/>
        <w:rPr>
          <w:rFonts w:hint="eastAsia" w:hAnsi="宋体" w:cs="宋体"/>
          <w:sz w:val="24"/>
          <w:szCs w:val="24"/>
        </w:rPr>
      </w:pPr>
      <w:r>
        <w:rPr>
          <w:rFonts w:hint="eastAsia" w:hAnsi="宋体" w:cs="宋体"/>
          <w:sz w:val="24"/>
          <w:szCs w:val="24"/>
        </w:rPr>
        <w:t>（</w:t>
      </w:r>
      <w:r>
        <w:rPr>
          <w:rFonts w:hint="eastAsia" w:hAnsi="宋体" w:cs="宋体"/>
          <w:sz w:val="24"/>
          <w:szCs w:val="24"/>
          <w:lang w:val="en-US" w:eastAsia="zh-CN"/>
        </w:rPr>
        <w:t>5</w:t>
      </w:r>
      <w:r>
        <w:rPr>
          <w:rFonts w:hint="eastAsia" w:hAnsi="宋体" w:cs="宋体"/>
          <w:sz w:val="24"/>
          <w:szCs w:val="24"/>
        </w:rPr>
        <w:t>）采购内容及服务要求</w:t>
      </w:r>
    </w:p>
    <w:p w14:paraId="0E18A8A1">
      <w:pPr>
        <w:pStyle w:val="67"/>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）响应文件格式</w:t>
      </w:r>
    </w:p>
    <w:p w14:paraId="32B517B9">
      <w:pPr>
        <w:pStyle w:val="67"/>
        <w:adjustRightInd w:val="0"/>
        <w:snapToGrid w:val="0"/>
        <w:spacing w:line="360" w:lineRule="auto"/>
        <w:rPr>
          <w:rFonts w:hint="eastAsia" w:ascii="宋体" w:hAnsi="宋体" w:cs="宋体"/>
          <w:b/>
          <w:bCs/>
          <w:sz w:val="24"/>
        </w:rPr>
      </w:pPr>
      <w:r>
        <w:rPr>
          <w:rFonts w:hint="eastAsia" w:ascii="宋体" w:hAnsi="宋体" w:cs="宋体"/>
          <w:b/>
          <w:bCs/>
          <w:sz w:val="24"/>
        </w:rPr>
        <w:t>2.2 磋商文件的澄清</w:t>
      </w:r>
      <w:r>
        <w:rPr>
          <w:rFonts w:hint="eastAsia" w:ascii="宋体" w:hAnsi="宋体" w:cs="宋体"/>
          <w:b/>
          <w:kern w:val="0"/>
          <w:sz w:val="24"/>
          <w:lang w:val="zh-CN"/>
        </w:rPr>
        <w:t>或者</w:t>
      </w:r>
      <w:r>
        <w:rPr>
          <w:rFonts w:hint="eastAsia" w:ascii="宋体" w:hAnsi="宋体" w:cs="宋体"/>
          <w:b/>
          <w:bCs/>
          <w:sz w:val="24"/>
        </w:rPr>
        <w:t>修改</w:t>
      </w:r>
    </w:p>
    <w:p w14:paraId="7E45CAF1">
      <w:pPr>
        <w:pStyle w:val="67"/>
        <w:adjustRightInd w:val="0"/>
        <w:snapToGrid w:val="0"/>
        <w:spacing w:line="360" w:lineRule="auto"/>
        <w:ind w:right="-105" w:rightChars="-50" w:firstLine="480" w:firstLineChars="200"/>
        <w:rPr>
          <w:rFonts w:hint="eastAsia" w:ascii="宋体" w:hAnsi="宋体" w:cs="宋体"/>
          <w:sz w:val="24"/>
        </w:rPr>
      </w:pPr>
      <w:bookmarkStart w:id="34" w:name="_Toc8163"/>
      <w:bookmarkStart w:id="35" w:name="_Toc256000007"/>
      <w:bookmarkStart w:id="36" w:name="_Toc31121"/>
      <w:bookmarkStart w:id="37" w:name="_Toc29250"/>
      <w:r>
        <w:rPr>
          <w:rFonts w:hint="eastAsia" w:ascii="宋体" w:hAnsi="宋体" w:cs="宋体"/>
          <w:sz w:val="24"/>
        </w:rPr>
        <w:t>2.2.1供应商应仔细阅读和检查磋商文件的全部内容。供应商若对磋商文件有任何疑问，均应在响应文件递交截止时间5日前登录新疆政府采购网，在主体信息库具体模块中对应项目中进行网上提问。采购单位对供应商所要求澄清的内容均予以答复（答复中不包括问题的来源）。必要时，采购单位将组织相关专家召开答疑会，并在新疆政府采购网上向所有供应商公布，供应商可下载澄清文件。澄清文件作为磋商文件的组成部分，对供应商具有同等约束作用。</w:t>
      </w:r>
    </w:p>
    <w:p w14:paraId="5F43F8F1">
      <w:pPr>
        <w:pStyle w:val="67"/>
        <w:adjustRightInd w:val="0"/>
        <w:snapToGrid w:val="0"/>
        <w:spacing w:line="360" w:lineRule="auto"/>
        <w:ind w:right="-105" w:rightChars="-50" w:firstLine="480" w:firstLineChars="200"/>
        <w:rPr>
          <w:rFonts w:hint="eastAsia" w:ascii="宋体" w:hAnsi="宋体" w:cs="宋体"/>
          <w:sz w:val="24"/>
        </w:rPr>
      </w:pPr>
      <w:r>
        <w:rPr>
          <w:rFonts w:hint="eastAsia" w:ascii="宋体" w:hAnsi="宋体" w:cs="宋体"/>
          <w:sz w:val="24"/>
        </w:rPr>
        <w:t>2.2.2提交首次响应文件截止之日前，采购机构或者磋商小组可以对已发出的磋商文件进行必要的澄清或者修改，澄清或者修改的内容作为磋商文件的组成部分。澄清或者修改的内容可能影响响应文件编制的，采购机构或者磋商小组应当在提交首次响应文件截止之日5日前，以书面形式通知所有接收磋商文件的供应商，不足5日的，应当顺延提交首次响应文件的截止日期。</w:t>
      </w:r>
    </w:p>
    <w:p w14:paraId="34539885">
      <w:pPr>
        <w:pStyle w:val="77"/>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cs="宋体"/>
        </w:rPr>
      </w:pPr>
      <w:bookmarkStart w:id="38" w:name="_Toc106276250"/>
      <w:bookmarkStart w:id="39" w:name="_Toc24116"/>
      <w:r>
        <w:rPr>
          <w:rFonts w:hint="eastAsia" w:ascii="宋体" w:hAnsi="宋体" w:cs="宋体"/>
        </w:rPr>
        <w:t>三、响应文件</w:t>
      </w:r>
      <w:bookmarkEnd w:id="34"/>
      <w:bookmarkEnd w:id="35"/>
      <w:bookmarkEnd w:id="36"/>
      <w:bookmarkEnd w:id="37"/>
      <w:bookmarkEnd w:id="38"/>
      <w:bookmarkEnd w:id="39"/>
    </w:p>
    <w:p w14:paraId="4123551F">
      <w:pPr>
        <w:pStyle w:val="67"/>
        <w:adjustRightInd w:val="0"/>
        <w:snapToGrid w:val="0"/>
        <w:spacing w:line="360" w:lineRule="auto"/>
        <w:rPr>
          <w:rFonts w:hint="eastAsia" w:ascii="宋体" w:hAnsi="宋体" w:cs="宋体"/>
          <w:b/>
          <w:bCs/>
          <w:sz w:val="24"/>
        </w:rPr>
      </w:pPr>
      <w:r>
        <w:rPr>
          <w:rFonts w:hint="eastAsia" w:ascii="宋体" w:hAnsi="宋体" w:cs="宋体"/>
          <w:b/>
          <w:bCs/>
          <w:sz w:val="24"/>
        </w:rPr>
        <w:t>3.1 一般要求</w:t>
      </w:r>
    </w:p>
    <w:p w14:paraId="42C6AB58">
      <w:pPr>
        <w:pStyle w:val="67"/>
        <w:adjustRightInd w:val="0"/>
        <w:snapToGrid w:val="0"/>
        <w:spacing w:line="360" w:lineRule="auto"/>
        <w:ind w:right="-105" w:rightChars="-50" w:firstLine="480" w:firstLineChars="200"/>
        <w:rPr>
          <w:rFonts w:hint="eastAsia" w:ascii="宋体" w:hAnsi="宋体" w:cs="宋体"/>
          <w:sz w:val="24"/>
        </w:rPr>
      </w:pPr>
      <w:r>
        <w:rPr>
          <w:rFonts w:hint="eastAsia" w:ascii="宋体" w:hAnsi="宋体" w:cs="宋体"/>
          <w:sz w:val="24"/>
        </w:rPr>
        <w:t>3.1.1 供应商应按本文件第</w:t>
      </w:r>
      <w:r>
        <w:rPr>
          <w:rFonts w:hint="eastAsia" w:ascii="宋体" w:hAnsi="宋体" w:cs="宋体"/>
          <w:sz w:val="24"/>
          <w:lang w:val="en-US" w:eastAsia="zh-CN"/>
        </w:rPr>
        <w:t>六</w:t>
      </w:r>
      <w:r>
        <w:rPr>
          <w:rFonts w:hint="eastAsia" w:ascii="宋体" w:hAnsi="宋体" w:cs="宋体"/>
          <w:sz w:val="24"/>
        </w:rPr>
        <w:t>章“响应文件格式”的要求编制响应文件。</w:t>
      </w:r>
    </w:p>
    <w:p w14:paraId="762E6A60">
      <w:pPr>
        <w:pStyle w:val="67"/>
        <w:adjustRightInd w:val="0"/>
        <w:snapToGrid w:val="0"/>
        <w:spacing w:line="360" w:lineRule="auto"/>
        <w:ind w:right="-105" w:rightChars="-50" w:firstLine="480" w:firstLineChars="200"/>
        <w:rPr>
          <w:rFonts w:hint="eastAsia" w:ascii="宋体" w:hAnsi="宋体" w:cs="宋体"/>
          <w:sz w:val="24"/>
        </w:rPr>
      </w:pPr>
      <w:r>
        <w:rPr>
          <w:rFonts w:hint="eastAsia" w:ascii="宋体" w:hAnsi="宋体" w:cs="宋体"/>
          <w:sz w:val="24"/>
        </w:rPr>
        <w:t>3.1.2计量单位应使用我国法定计量单位。</w:t>
      </w:r>
    </w:p>
    <w:p w14:paraId="3F7B593F">
      <w:pPr>
        <w:pStyle w:val="67"/>
        <w:adjustRightInd w:val="0"/>
        <w:snapToGrid w:val="0"/>
        <w:spacing w:line="360" w:lineRule="auto"/>
        <w:rPr>
          <w:rFonts w:hint="eastAsia" w:ascii="宋体" w:hAnsi="宋体" w:cs="宋体"/>
          <w:b/>
          <w:bCs/>
          <w:sz w:val="24"/>
        </w:rPr>
      </w:pPr>
      <w:r>
        <w:rPr>
          <w:rFonts w:hint="eastAsia" w:ascii="宋体" w:hAnsi="宋体" w:cs="宋体"/>
          <w:b/>
          <w:bCs/>
          <w:sz w:val="24"/>
        </w:rPr>
        <w:t xml:space="preserve">3.2 </w:t>
      </w:r>
      <w:r>
        <w:rPr>
          <w:rFonts w:hint="eastAsia" w:ascii="宋体" w:hAnsi="宋体" w:cs="宋体"/>
          <w:b/>
          <w:sz w:val="24"/>
        </w:rPr>
        <w:t>响应文件</w:t>
      </w:r>
      <w:r>
        <w:rPr>
          <w:rFonts w:hint="eastAsia" w:ascii="宋体" w:hAnsi="宋体" w:cs="宋体"/>
          <w:b/>
          <w:bCs/>
          <w:sz w:val="24"/>
        </w:rPr>
        <w:t>的组成</w:t>
      </w:r>
    </w:p>
    <w:p w14:paraId="61204335">
      <w:pPr>
        <w:numPr>
          <w:ilvl w:val="0"/>
          <w:numId w:val="0"/>
        </w:numPr>
        <w:bidi w:val="0"/>
        <w:spacing w:line="360" w:lineRule="auto"/>
        <w:ind w:firstLine="480" w:firstLineChars="200"/>
        <w:rPr>
          <w:rFonts w:hint="eastAsia" w:ascii="宋体" w:hAnsi="宋体" w:eastAsia="宋体" w:cs="宋体"/>
          <w:kern w:val="0"/>
          <w:sz w:val="24"/>
          <w:szCs w:val="24"/>
          <w:lang w:bidi="ar-SA"/>
        </w:rPr>
      </w:pPr>
      <w:r>
        <w:rPr>
          <w:rFonts w:hint="eastAsia" w:ascii="宋体" w:hAnsi="宋体" w:eastAsia="宋体" w:cs="宋体"/>
          <w:kern w:val="0"/>
          <w:sz w:val="24"/>
          <w:szCs w:val="24"/>
          <w:lang w:val="en-US" w:eastAsia="zh-CN" w:bidi="ar-SA"/>
        </w:rPr>
        <w:t>一、</w:t>
      </w:r>
      <w:r>
        <w:rPr>
          <w:rFonts w:hint="eastAsia" w:ascii="宋体" w:hAnsi="宋体" w:eastAsia="宋体" w:cs="宋体"/>
          <w:kern w:val="0"/>
          <w:sz w:val="24"/>
          <w:szCs w:val="24"/>
          <w:lang w:bidi="ar-SA"/>
        </w:rPr>
        <w:t>投标文件封面</w:t>
      </w:r>
    </w:p>
    <w:p w14:paraId="402DAEE5">
      <w:pPr>
        <w:numPr>
          <w:ilvl w:val="0"/>
          <w:numId w:val="0"/>
        </w:numPr>
        <w:bidi w:val="0"/>
        <w:spacing w:line="360" w:lineRule="auto"/>
        <w:ind w:firstLine="480" w:firstLineChars="200"/>
        <w:rPr>
          <w:rFonts w:hint="eastAsia" w:ascii="宋体" w:hAnsi="宋体" w:eastAsia="宋体" w:cs="宋体"/>
          <w:kern w:val="0"/>
          <w:sz w:val="24"/>
          <w:szCs w:val="24"/>
          <w:lang w:eastAsia="zh-CN" w:bidi="ar-SA"/>
        </w:rPr>
      </w:pPr>
      <w:r>
        <w:rPr>
          <w:rFonts w:hint="eastAsia" w:ascii="宋体" w:hAnsi="宋体" w:eastAsia="宋体" w:cs="宋体"/>
          <w:kern w:val="0"/>
          <w:sz w:val="24"/>
          <w:szCs w:val="24"/>
          <w:lang w:val="en-US" w:eastAsia="zh-CN" w:bidi="ar-SA"/>
        </w:rPr>
        <w:t>二、</w:t>
      </w:r>
      <w:r>
        <w:rPr>
          <w:rFonts w:hint="eastAsia" w:ascii="宋体" w:hAnsi="宋体" w:eastAsia="宋体" w:cs="宋体"/>
          <w:kern w:val="0"/>
          <w:sz w:val="24"/>
          <w:szCs w:val="24"/>
          <w:lang w:eastAsia="zh-CN" w:bidi="ar-SA"/>
        </w:rPr>
        <w:t>资格响应文件</w:t>
      </w:r>
    </w:p>
    <w:p w14:paraId="6CF5946C">
      <w:pPr>
        <w:pStyle w:val="154"/>
        <w:spacing w:line="360" w:lineRule="auto"/>
        <w:ind w:firstLine="480" w:firstLineChars="200"/>
        <w:rPr>
          <w:rFonts w:hint="eastAsia" w:ascii="宋体" w:hAnsi="宋体" w:eastAsia="宋体" w:cs="宋体"/>
        </w:rPr>
      </w:pPr>
      <w:r>
        <w:rPr>
          <w:rFonts w:hint="eastAsia" w:ascii="宋体" w:hAnsi="宋体" w:eastAsia="宋体" w:cs="宋体"/>
          <w:lang w:eastAsia="zh-CN"/>
        </w:rPr>
        <w:t>（一）</w:t>
      </w:r>
      <w:r>
        <w:rPr>
          <w:rFonts w:hint="eastAsia" w:ascii="宋体" w:hAnsi="宋体" w:eastAsia="宋体" w:cs="宋体"/>
        </w:rPr>
        <w:t>供应商资格声明</w:t>
      </w:r>
    </w:p>
    <w:p w14:paraId="036BDEC7">
      <w:pPr>
        <w:pStyle w:val="154"/>
        <w:spacing w:line="360" w:lineRule="auto"/>
        <w:ind w:firstLine="480" w:firstLineChars="200"/>
        <w:rPr>
          <w:rFonts w:hint="eastAsia" w:ascii="宋体" w:hAnsi="宋体" w:eastAsia="宋体" w:cs="宋体"/>
        </w:rPr>
      </w:pPr>
      <w:r>
        <w:rPr>
          <w:rFonts w:hint="eastAsia" w:ascii="宋体" w:hAnsi="宋体" w:eastAsia="宋体" w:cs="宋体"/>
          <w:lang w:eastAsia="zh-CN"/>
        </w:rPr>
        <w:t>（二）</w:t>
      </w:r>
      <w:r>
        <w:rPr>
          <w:rFonts w:hint="eastAsia" w:ascii="宋体" w:hAnsi="宋体" w:eastAsia="宋体" w:cs="宋体"/>
        </w:rPr>
        <w:t>法定代表人身份证明或附有法定代表人身份证明的授权书</w:t>
      </w:r>
    </w:p>
    <w:p w14:paraId="6442DFD7">
      <w:pPr>
        <w:pStyle w:val="154"/>
        <w:spacing w:line="360" w:lineRule="auto"/>
        <w:ind w:firstLine="480" w:firstLineChars="200"/>
        <w:rPr>
          <w:rFonts w:hint="eastAsia" w:ascii="宋体" w:hAnsi="宋体" w:eastAsia="宋体" w:cs="宋体"/>
        </w:rPr>
      </w:pPr>
      <w:r>
        <w:rPr>
          <w:rFonts w:hint="eastAsia" w:ascii="宋体" w:hAnsi="宋体" w:eastAsia="宋体" w:cs="宋体"/>
          <w:lang w:eastAsia="zh-CN"/>
        </w:rPr>
        <w:t>（三）</w:t>
      </w:r>
      <w:r>
        <w:rPr>
          <w:rFonts w:hint="eastAsia" w:ascii="宋体" w:hAnsi="宋体" w:eastAsia="宋体" w:cs="宋体"/>
        </w:rPr>
        <w:t>其他资格证明文件</w:t>
      </w:r>
    </w:p>
    <w:p w14:paraId="1212C36A">
      <w:pPr>
        <w:pStyle w:val="154"/>
        <w:spacing w:line="360" w:lineRule="auto"/>
        <w:ind w:firstLine="480" w:firstLineChars="200"/>
        <w:rPr>
          <w:rFonts w:hint="eastAsia" w:ascii="宋体" w:hAnsi="宋体" w:eastAsia="宋体" w:cs="宋体"/>
        </w:rPr>
      </w:pPr>
      <w:r>
        <w:rPr>
          <w:rFonts w:hint="eastAsia" w:ascii="宋体" w:hAnsi="宋体" w:eastAsia="宋体" w:cs="宋体"/>
          <w:lang w:eastAsia="zh-CN"/>
        </w:rPr>
        <w:t>（四）</w:t>
      </w:r>
      <w:r>
        <w:rPr>
          <w:rFonts w:hint="eastAsia" w:ascii="宋体" w:hAnsi="宋体" w:eastAsia="宋体" w:cs="宋体"/>
        </w:rPr>
        <w:t>不参与围标串标承诺书</w:t>
      </w:r>
    </w:p>
    <w:p w14:paraId="00DC9D40">
      <w:pPr>
        <w:pStyle w:val="154"/>
        <w:spacing w:line="360" w:lineRule="auto"/>
        <w:ind w:firstLine="480" w:firstLineChars="200"/>
        <w:rPr>
          <w:rFonts w:hint="eastAsia" w:ascii="宋体" w:hAnsi="宋体" w:eastAsia="宋体" w:cs="宋体"/>
        </w:rPr>
      </w:pPr>
      <w:r>
        <w:rPr>
          <w:rFonts w:hint="eastAsia" w:ascii="宋体" w:hAnsi="宋体" w:eastAsia="宋体" w:cs="宋体"/>
          <w:lang w:eastAsia="zh-CN"/>
        </w:rPr>
        <w:t>（五）</w:t>
      </w:r>
      <w:r>
        <w:rPr>
          <w:rFonts w:hint="eastAsia" w:ascii="宋体" w:hAnsi="宋体" w:eastAsia="宋体" w:cs="宋体"/>
        </w:rPr>
        <w:t>投标保证金</w:t>
      </w:r>
    </w:p>
    <w:p w14:paraId="29B679AC">
      <w:pPr>
        <w:pStyle w:val="154"/>
        <w:spacing w:line="360" w:lineRule="auto"/>
        <w:ind w:firstLine="480" w:firstLineChars="200"/>
        <w:rPr>
          <w:rFonts w:hint="eastAsia" w:ascii="宋体" w:hAnsi="宋体" w:eastAsia="宋体" w:cs="宋体"/>
        </w:rPr>
      </w:pPr>
      <w:r>
        <w:rPr>
          <w:rFonts w:hint="eastAsia" w:ascii="宋体" w:hAnsi="宋体" w:eastAsia="宋体" w:cs="宋体"/>
          <w:lang w:eastAsia="zh-CN"/>
        </w:rPr>
        <w:t>（六）</w:t>
      </w:r>
      <w:r>
        <w:rPr>
          <w:rFonts w:hint="eastAsia" w:ascii="宋体" w:hAnsi="宋体" w:eastAsia="宋体" w:cs="宋体"/>
        </w:rPr>
        <w:t>中、小微企业声明函</w:t>
      </w:r>
    </w:p>
    <w:p w14:paraId="1403265A">
      <w:pPr>
        <w:bidi w:val="0"/>
        <w:ind w:firstLine="480" w:firstLineChars="200"/>
        <w:rPr>
          <w:rFonts w:hint="eastAsia" w:ascii="宋体" w:hAnsi="宋体" w:eastAsia="宋体" w:cs="宋体"/>
          <w:kern w:val="0"/>
          <w:sz w:val="24"/>
          <w:szCs w:val="24"/>
          <w:lang w:eastAsia="zh-CN" w:bidi="ar-SA"/>
        </w:rPr>
      </w:pPr>
      <w:r>
        <w:rPr>
          <w:rFonts w:hint="eastAsia" w:ascii="宋体" w:hAnsi="宋体" w:eastAsia="宋体" w:cs="宋体"/>
          <w:kern w:val="0"/>
          <w:sz w:val="24"/>
          <w:szCs w:val="24"/>
          <w:lang w:val="en-US" w:eastAsia="zh-CN" w:bidi="ar-SA"/>
        </w:rPr>
        <w:t>三、</w:t>
      </w:r>
      <w:r>
        <w:rPr>
          <w:rFonts w:hint="eastAsia" w:ascii="宋体" w:hAnsi="宋体" w:eastAsia="宋体" w:cs="宋体"/>
          <w:kern w:val="0"/>
          <w:sz w:val="24"/>
          <w:szCs w:val="24"/>
          <w:lang w:eastAsia="zh-CN" w:bidi="ar-SA"/>
        </w:rPr>
        <w:t>报价响应文件</w:t>
      </w:r>
    </w:p>
    <w:p w14:paraId="1AD2264D">
      <w:pPr>
        <w:pStyle w:val="154"/>
        <w:spacing w:line="360" w:lineRule="auto"/>
        <w:ind w:firstLine="480" w:firstLineChars="200"/>
        <w:rPr>
          <w:rFonts w:hint="eastAsia" w:ascii="宋体" w:hAnsi="宋体" w:eastAsia="宋体" w:cs="宋体"/>
          <w:lang w:eastAsia="zh-CN"/>
        </w:rPr>
      </w:pPr>
      <w:r>
        <w:rPr>
          <w:rFonts w:hint="eastAsia" w:ascii="宋体" w:hAnsi="宋体" w:eastAsia="宋体" w:cs="宋体"/>
          <w:lang w:eastAsia="zh-CN"/>
        </w:rPr>
        <w:t>（一）开标一览表</w:t>
      </w:r>
    </w:p>
    <w:p w14:paraId="5F68CD3D">
      <w:pPr>
        <w:pStyle w:val="154"/>
        <w:spacing w:line="360" w:lineRule="auto"/>
        <w:ind w:firstLine="480" w:firstLineChars="200"/>
        <w:jc w:val="both"/>
        <w:rPr>
          <w:rFonts w:hint="eastAsia" w:ascii="宋体" w:hAnsi="宋体" w:eastAsia="宋体" w:cs="宋体"/>
          <w:b w:val="0"/>
          <w:bCs w:val="0"/>
          <w:lang w:val="en-US" w:eastAsia="zh-CN" w:bidi="ar-SA"/>
        </w:rPr>
      </w:pPr>
      <w:r>
        <w:rPr>
          <w:rFonts w:hint="eastAsia" w:ascii="宋体" w:hAnsi="宋体" w:eastAsia="宋体" w:cs="宋体"/>
          <w:b w:val="0"/>
          <w:bCs w:val="0"/>
          <w:lang w:val="en-US" w:eastAsia="zh-CN" w:bidi="ar-SA"/>
        </w:rPr>
        <w:t>四、商务、技术响应文件</w:t>
      </w:r>
    </w:p>
    <w:p w14:paraId="7FFCAEA6">
      <w:pPr>
        <w:pStyle w:val="154"/>
        <w:spacing w:line="360" w:lineRule="auto"/>
        <w:ind w:firstLine="480" w:firstLineChars="200"/>
        <w:rPr>
          <w:rFonts w:hint="eastAsia" w:ascii="宋体" w:hAnsi="宋体" w:eastAsia="宋体" w:cs="宋体"/>
          <w:color w:val="000000"/>
        </w:rPr>
      </w:pPr>
      <w:r>
        <w:rPr>
          <w:rFonts w:hint="eastAsia" w:ascii="宋体" w:hAnsi="宋体" w:eastAsia="宋体" w:cs="宋体"/>
          <w:color w:val="000000"/>
          <w:lang w:eastAsia="zh-CN"/>
        </w:rPr>
        <w:t>（一）</w:t>
      </w:r>
      <w:r>
        <w:rPr>
          <w:rFonts w:hint="eastAsia" w:ascii="宋体" w:hAnsi="宋体" w:eastAsia="宋体" w:cs="宋体"/>
          <w:color w:val="000000"/>
        </w:rPr>
        <w:t>磋商申请</w:t>
      </w:r>
    </w:p>
    <w:p w14:paraId="731C8504">
      <w:pPr>
        <w:pStyle w:val="154"/>
        <w:spacing w:line="360" w:lineRule="auto"/>
        <w:ind w:firstLine="480" w:firstLineChars="200"/>
        <w:rPr>
          <w:rFonts w:hint="eastAsia" w:ascii="宋体" w:hAnsi="宋体" w:eastAsia="宋体" w:cs="宋体"/>
          <w:color w:val="000000"/>
          <w:lang w:eastAsia="zh-CN"/>
        </w:rPr>
      </w:pPr>
      <w:r>
        <w:rPr>
          <w:rFonts w:hint="eastAsia" w:ascii="宋体" w:hAnsi="宋体" w:eastAsia="宋体" w:cs="宋体"/>
          <w:color w:val="000000"/>
          <w:lang w:eastAsia="zh-CN"/>
        </w:rPr>
        <w:t>（二）商务</w:t>
      </w:r>
      <w:r>
        <w:rPr>
          <w:rFonts w:hint="eastAsia" w:ascii="宋体" w:hAnsi="宋体" w:eastAsia="宋体" w:cs="宋体"/>
          <w:color w:val="000000"/>
        </w:rPr>
        <w:t>部分</w:t>
      </w:r>
    </w:p>
    <w:p w14:paraId="24F9AC26">
      <w:pPr>
        <w:pStyle w:val="154"/>
        <w:spacing w:line="360" w:lineRule="auto"/>
        <w:ind w:firstLine="480" w:firstLineChars="200"/>
        <w:rPr>
          <w:rFonts w:hint="eastAsia" w:ascii="宋体" w:hAnsi="宋体" w:eastAsia="宋体" w:cs="宋体"/>
          <w:color w:val="000000"/>
          <w:lang w:eastAsia="zh-CN"/>
        </w:rPr>
      </w:pPr>
      <w:r>
        <w:rPr>
          <w:rFonts w:hint="eastAsia" w:ascii="宋体" w:hAnsi="宋体" w:eastAsia="宋体" w:cs="宋体"/>
          <w:color w:val="000000"/>
          <w:lang w:eastAsia="zh-CN"/>
        </w:rPr>
        <w:t>1、企业业绩</w:t>
      </w:r>
    </w:p>
    <w:p w14:paraId="4630F89F">
      <w:pPr>
        <w:pStyle w:val="154"/>
        <w:spacing w:line="360" w:lineRule="auto"/>
        <w:ind w:firstLine="480" w:firstLineChars="200"/>
        <w:rPr>
          <w:rFonts w:hint="eastAsia" w:ascii="宋体" w:hAnsi="宋体" w:eastAsia="宋体" w:cs="宋体"/>
          <w:color w:val="000000"/>
        </w:rPr>
      </w:pPr>
      <w:r>
        <w:rPr>
          <w:rFonts w:hint="eastAsia" w:ascii="宋体" w:hAnsi="宋体" w:eastAsia="宋体" w:cs="宋体"/>
          <w:color w:val="000000"/>
          <w:lang w:eastAsia="zh-CN"/>
        </w:rPr>
        <w:t>（三）技术</w:t>
      </w:r>
      <w:r>
        <w:rPr>
          <w:rFonts w:hint="eastAsia" w:ascii="宋体" w:hAnsi="宋体" w:eastAsia="宋体" w:cs="宋体"/>
          <w:color w:val="000000"/>
        </w:rPr>
        <w:t>部分</w:t>
      </w:r>
    </w:p>
    <w:p w14:paraId="0C2F2A31">
      <w:pPr>
        <w:spacing w:line="440" w:lineRule="exact"/>
        <w:ind w:firstLine="482" w:firstLineChars="200"/>
        <w:rPr>
          <w:rFonts w:hint="eastAsia" w:ascii="宋体" w:hAnsi="宋体" w:eastAsia="宋体" w:cs="宋体"/>
          <w:b/>
          <w:bCs w:val="0"/>
          <w:color w:val="000000"/>
          <w:highlight w:val="darkGray"/>
        </w:rPr>
      </w:pPr>
      <w:r>
        <w:rPr>
          <w:b/>
          <w:bCs w:val="0"/>
          <w:sz w:val="24"/>
          <w:highlight w:val="darkGray"/>
        </w:rPr>
        <w:t>响应文件包括但不仅限于上述内容，如有不足，请自行补充提供。</w:t>
      </w:r>
    </w:p>
    <w:p w14:paraId="147CAEC3">
      <w:pPr>
        <w:pStyle w:val="67"/>
        <w:adjustRightInd w:val="0"/>
        <w:snapToGrid w:val="0"/>
        <w:spacing w:line="360" w:lineRule="auto"/>
        <w:ind w:firstLine="482" w:firstLineChars="200"/>
        <w:rPr>
          <w:rFonts w:hint="eastAsia" w:ascii="宋体" w:hAnsi="宋体" w:cs="宋体"/>
          <w:b/>
          <w:bCs/>
          <w:sz w:val="24"/>
        </w:rPr>
      </w:pPr>
      <w:r>
        <w:rPr>
          <w:rFonts w:hint="eastAsia" w:ascii="宋体" w:hAnsi="宋体" w:cs="宋体"/>
          <w:b/>
          <w:bCs/>
          <w:sz w:val="24"/>
        </w:rPr>
        <w:t>3.3 报价要求</w:t>
      </w:r>
    </w:p>
    <w:p w14:paraId="2BF10C6C">
      <w:pPr>
        <w:spacing w:line="440" w:lineRule="exact"/>
        <w:ind w:firstLine="480" w:firstLineChars="200"/>
        <w:rPr>
          <w:sz w:val="24"/>
        </w:rPr>
      </w:pPr>
      <w:r>
        <w:rPr>
          <w:rFonts w:hint="eastAsia"/>
          <w:sz w:val="24"/>
          <w:lang w:val="en-US" w:eastAsia="zh-CN"/>
        </w:rPr>
        <w:t>3.3.1</w:t>
      </w:r>
      <w:r>
        <w:rPr>
          <w:sz w:val="24"/>
        </w:rPr>
        <w:t>投标人应在投标报价表中标明其提供的所有货物（或服务）及其完成本项目相关工作范围内所有费用的总价，采购人不接受有任何选择性报价。供应商漏报的单价或单价中漏报、少报的费用，均视为此项费用已隐含在其他报价中，中标后不予调整。</w:t>
      </w:r>
    </w:p>
    <w:p w14:paraId="1133ED61">
      <w:pPr>
        <w:spacing w:line="440" w:lineRule="exact"/>
        <w:ind w:firstLine="480" w:firstLineChars="200"/>
        <w:rPr>
          <w:sz w:val="24"/>
        </w:rPr>
      </w:pPr>
      <w:r>
        <w:rPr>
          <w:rFonts w:hint="eastAsia"/>
          <w:sz w:val="24"/>
          <w:lang w:val="en-US" w:eastAsia="zh-CN"/>
        </w:rPr>
        <w:t>3.3.2</w:t>
      </w:r>
      <w:r>
        <w:rPr>
          <w:sz w:val="24"/>
        </w:rPr>
        <w:t>其报价须保证在投标有效期及服务期内固定不变。采购人不接受有任何选择性报价。</w:t>
      </w:r>
    </w:p>
    <w:p w14:paraId="4E81C5E3">
      <w:pPr>
        <w:spacing w:line="440" w:lineRule="exact"/>
        <w:ind w:firstLine="480" w:firstLineChars="200"/>
        <w:rPr>
          <w:sz w:val="24"/>
        </w:rPr>
      </w:pPr>
      <w:r>
        <w:rPr>
          <w:rFonts w:hint="eastAsia"/>
          <w:sz w:val="24"/>
          <w:lang w:val="en-US" w:eastAsia="zh-CN"/>
        </w:rPr>
        <w:t>3.3.3</w:t>
      </w:r>
      <w:r>
        <w:rPr>
          <w:sz w:val="24"/>
        </w:rPr>
        <w:t>为了防止本次招标的投标报价过高，超出采购人为本次采购项目的资金支付能力，采购人依据主管部门的批复为本次招标项目的设定了</w:t>
      </w:r>
      <w:bookmarkStart w:id="40" w:name="OLE_LINK11"/>
      <w:r>
        <w:rPr>
          <w:sz w:val="24"/>
        </w:rPr>
        <w:t>最高投标限价</w:t>
      </w:r>
      <w:bookmarkEnd w:id="40"/>
      <w:r>
        <w:rPr>
          <w:sz w:val="24"/>
        </w:rPr>
        <w:t xml:space="preserve">（即采购预算），如果投标人的投标报价高于本项目的最高投标限价，其响应文件将被拒绝；如果所有投标人的投标报价均超出最高投标限价，采购人有权重新组织招标。 </w:t>
      </w:r>
    </w:p>
    <w:p w14:paraId="529D27A3">
      <w:pPr>
        <w:spacing w:line="440" w:lineRule="exact"/>
        <w:rPr>
          <w:sz w:val="24"/>
        </w:rPr>
      </w:pPr>
      <w:r>
        <w:rPr>
          <w:sz w:val="24"/>
        </w:rPr>
        <w:t xml:space="preserve">    </w:t>
      </w:r>
      <w:r>
        <w:rPr>
          <w:rFonts w:hint="eastAsia"/>
          <w:sz w:val="24"/>
          <w:lang w:val="en-US" w:eastAsia="zh-CN"/>
        </w:rPr>
        <w:t>3.3.4</w:t>
      </w:r>
      <w:r>
        <w:rPr>
          <w:sz w:val="24"/>
        </w:rPr>
        <w:t xml:space="preserve"> 投标报价货币单位：人民币。</w:t>
      </w:r>
    </w:p>
    <w:p w14:paraId="7A19E918">
      <w:pPr>
        <w:pStyle w:val="67"/>
        <w:adjustRightInd w:val="0"/>
        <w:snapToGrid w:val="0"/>
        <w:spacing w:line="360" w:lineRule="auto"/>
        <w:rPr>
          <w:rFonts w:hint="eastAsia" w:ascii="宋体" w:hAnsi="宋体" w:cs="宋体"/>
          <w:b/>
          <w:bCs/>
          <w:sz w:val="24"/>
        </w:rPr>
      </w:pPr>
      <w:r>
        <w:rPr>
          <w:rFonts w:hint="eastAsia" w:ascii="宋体" w:hAnsi="宋体" w:cs="宋体"/>
          <w:b/>
          <w:bCs/>
          <w:sz w:val="24"/>
        </w:rPr>
        <w:t>3.4 证明供应商资格的文件</w:t>
      </w:r>
    </w:p>
    <w:p w14:paraId="74407A48">
      <w:pPr>
        <w:pStyle w:val="85"/>
        <w:adjustRightInd w:val="0"/>
        <w:snapToGrid w:val="0"/>
        <w:spacing w:line="360" w:lineRule="auto"/>
        <w:ind w:firstLine="480" w:firstLineChars="200"/>
        <w:rPr>
          <w:rFonts w:hint="eastAsia" w:hAnsi="宋体" w:cs="宋体"/>
          <w:sz w:val="24"/>
          <w:szCs w:val="24"/>
          <w:lang w:val="zh-CN"/>
        </w:rPr>
      </w:pPr>
      <w:r>
        <w:rPr>
          <w:rFonts w:hint="eastAsia" w:hAnsi="宋体" w:cs="宋体"/>
          <w:sz w:val="24"/>
          <w:szCs w:val="24"/>
          <w:lang w:val="en-US" w:eastAsia="zh-CN"/>
        </w:rPr>
        <w:t>3.4.1</w:t>
      </w:r>
      <w:r>
        <w:rPr>
          <w:rFonts w:hint="eastAsia" w:hAnsi="宋体" w:cs="宋体"/>
          <w:sz w:val="24"/>
          <w:szCs w:val="24"/>
        </w:rPr>
        <w:t>供应商应按</w:t>
      </w:r>
      <w:r>
        <w:rPr>
          <w:rFonts w:hint="eastAsia" w:hAnsi="宋体" w:cs="宋体"/>
          <w:b/>
          <w:sz w:val="24"/>
          <w:szCs w:val="24"/>
        </w:rPr>
        <w:t>磋商须知前附表</w:t>
      </w:r>
      <w:r>
        <w:rPr>
          <w:rFonts w:hint="eastAsia" w:hAnsi="宋体" w:cs="宋体"/>
          <w:sz w:val="24"/>
          <w:szCs w:val="24"/>
        </w:rPr>
        <w:t>规定的资格条件</w:t>
      </w:r>
      <w:r>
        <w:rPr>
          <w:rFonts w:hint="eastAsia" w:hAnsi="宋体" w:cs="宋体"/>
          <w:sz w:val="24"/>
          <w:szCs w:val="24"/>
          <w:lang w:val="en-US" w:eastAsia="zh-CN"/>
        </w:rPr>
        <w:t>提交</w:t>
      </w:r>
      <w:r>
        <w:rPr>
          <w:rFonts w:hint="eastAsia" w:hAnsi="宋体" w:cs="宋体"/>
          <w:sz w:val="24"/>
          <w:szCs w:val="24"/>
        </w:rPr>
        <w:t>证明文件,该证明文件作为响应文件的一部分。</w:t>
      </w:r>
    </w:p>
    <w:p w14:paraId="7AB43E3E">
      <w:pPr>
        <w:pStyle w:val="67"/>
        <w:adjustRightInd w:val="0"/>
        <w:snapToGrid w:val="0"/>
        <w:spacing w:line="360" w:lineRule="auto"/>
        <w:rPr>
          <w:rFonts w:hint="eastAsia" w:ascii="宋体" w:hAnsi="宋体" w:cs="宋体"/>
          <w:b/>
          <w:bCs/>
          <w:sz w:val="24"/>
        </w:rPr>
      </w:pPr>
      <w:r>
        <w:rPr>
          <w:rFonts w:hint="eastAsia" w:ascii="宋体" w:hAnsi="宋体" w:cs="宋体"/>
          <w:b/>
          <w:bCs/>
          <w:sz w:val="24"/>
        </w:rPr>
        <w:t>3.5磋商保证金</w:t>
      </w:r>
    </w:p>
    <w:p w14:paraId="6EBF2177">
      <w:pPr>
        <w:pStyle w:val="85"/>
        <w:adjustRightInd w:val="0"/>
        <w:snapToGrid w:val="0"/>
        <w:spacing w:line="360" w:lineRule="auto"/>
        <w:ind w:firstLine="480" w:firstLineChars="200"/>
        <w:rPr>
          <w:rFonts w:hint="eastAsia" w:hAnsi="宋体" w:cs="宋体"/>
          <w:b/>
          <w:bCs/>
          <w:sz w:val="24"/>
          <w:szCs w:val="24"/>
        </w:rPr>
      </w:pPr>
      <w:r>
        <w:rPr>
          <w:rFonts w:hint="eastAsia" w:hAnsi="宋体" w:cs="宋体"/>
          <w:sz w:val="24"/>
          <w:szCs w:val="24"/>
        </w:rPr>
        <w:t>3.5.1供应商应按</w:t>
      </w:r>
      <w:r>
        <w:rPr>
          <w:rFonts w:hint="eastAsia" w:hAnsi="宋体" w:cs="宋体"/>
          <w:b/>
          <w:sz w:val="24"/>
          <w:szCs w:val="24"/>
        </w:rPr>
        <w:t>磋商须知前附表</w:t>
      </w:r>
      <w:r>
        <w:rPr>
          <w:rFonts w:hint="eastAsia" w:hAnsi="宋体" w:cs="宋体"/>
          <w:sz w:val="24"/>
          <w:szCs w:val="24"/>
        </w:rPr>
        <w:t>的规定提交磋商保证金，并作为响应文件的一部分。供应商为联合体的，可以由联合体中的一方或者共同交纳磋商保证金，以一方名义交纳磋商保证金的，对联合体各方均具有约束力。</w:t>
      </w:r>
      <w:r>
        <w:rPr>
          <w:rFonts w:hint="eastAsia" w:hAnsi="宋体" w:cs="宋体"/>
          <w:b/>
          <w:bCs/>
          <w:sz w:val="24"/>
          <w:szCs w:val="24"/>
        </w:rPr>
        <w:t>供应商须在保证金备注栏中写明项目名称。对采用电子支付方式提交投标保证金，在退还时，按原路退回，收取时不再开具收据，退还时也不再要求提交收据。</w:t>
      </w:r>
    </w:p>
    <w:p w14:paraId="4561F840">
      <w:pPr>
        <w:pStyle w:val="85"/>
        <w:adjustRightInd w:val="0"/>
        <w:snapToGrid w:val="0"/>
        <w:spacing w:line="360" w:lineRule="auto"/>
        <w:ind w:firstLine="480" w:firstLineChars="200"/>
        <w:rPr>
          <w:rFonts w:hint="eastAsia" w:hAnsi="宋体" w:cs="宋体"/>
          <w:sz w:val="24"/>
          <w:szCs w:val="24"/>
        </w:rPr>
      </w:pPr>
      <w:r>
        <w:rPr>
          <w:rFonts w:hint="eastAsia" w:hAnsi="宋体" w:cs="宋体"/>
          <w:sz w:val="24"/>
          <w:szCs w:val="24"/>
        </w:rPr>
        <w:t>3.5.2 未按磋商文件规定提交磋商保证金的响应文件，将被视为非实质响应而被拒绝。</w:t>
      </w:r>
    </w:p>
    <w:p w14:paraId="7B3DCF70">
      <w:pPr>
        <w:pStyle w:val="85"/>
        <w:adjustRightInd w:val="0"/>
        <w:snapToGrid w:val="0"/>
        <w:spacing w:line="360" w:lineRule="auto"/>
        <w:ind w:firstLine="480" w:firstLineChars="200"/>
        <w:rPr>
          <w:rFonts w:hint="eastAsia" w:hAnsi="宋体" w:cs="宋体"/>
          <w:sz w:val="24"/>
          <w:szCs w:val="24"/>
        </w:rPr>
      </w:pPr>
      <w:r>
        <w:rPr>
          <w:rFonts w:hint="eastAsia" w:hAnsi="宋体" w:cs="宋体"/>
          <w:sz w:val="24"/>
          <w:szCs w:val="24"/>
        </w:rPr>
        <w:t>3.5.3 未成交供应商的磋商保证金在成交通知书发出后五个工作日内退还；成交供应商的磋商保证金在采购合同签定后五个工作日内退还。</w:t>
      </w:r>
    </w:p>
    <w:p w14:paraId="23C61CD3">
      <w:pPr>
        <w:pStyle w:val="85"/>
        <w:adjustRightInd w:val="0"/>
        <w:snapToGrid w:val="0"/>
        <w:spacing w:line="360" w:lineRule="auto"/>
        <w:ind w:firstLine="480" w:firstLineChars="200"/>
        <w:rPr>
          <w:rFonts w:hint="eastAsia" w:hAnsi="宋体" w:cs="宋体"/>
          <w:sz w:val="24"/>
          <w:szCs w:val="24"/>
        </w:rPr>
      </w:pPr>
      <w:r>
        <w:rPr>
          <w:rFonts w:hint="eastAsia" w:hAnsi="宋体" w:cs="宋体"/>
          <w:sz w:val="24"/>
          <w:szCs w:val="24"/>
        </w:rPr>
        <w:t>3.5.4发生以下情况磋商保证金将不予退还：</w:t>
      </w:r>
    </w:p>
    <w:p w14:paraId="27166BE4">
      <w:pPr>
        <w:pStyle w:val="85"/>
        <w:adjustRightInd w:val="0"/>
        <w:snapToGrid w:val="0"/>
        <w:spacing w:line="360" w:lineRule="auto"/>
        <w:ind w:firstLine="480" w:firstLineChars="200"/>
        <w:rPr>
          <w:rFonts w:hint="eastAsia" w:hAnsi="宋体" w:cs="宋体"/>
          <w:snapToGrid w:val="0"/>
          <w:sz w:val="24"/>
          <w:szCs w:val="24"/>
        </w:rPr>
      </w:pPr>
      <w:r>
        <w:rPr>
          <w:rFonts w:hint="eastAsia" w:hAnsi="宋体" w:cs="宋体"/>
          <w:snapToGrid w:val="0"/>
          <w:sz w:val="24"/>
          <w:szCs w:val="24"/>
        </w:rPr>
        <w:t>（一）供应商在提交响应文件截止时间后撤回响应文件的；</w:t>
      </w:r>
    </w:p>
    <w:p w14:paraId="15A61488">
      <w:pPr>
        <w:pStyle w:val="85"/>
        <w:adjustRightInd w:val="0"/>
        <w:snapToGrid w:val="0"/>
        <w:spacing w:line="360" w:lineRule="auto"/>
        <w:ind w:firstLine="480" w:firstLineChars="200"/>
        <w:rPr>
          <w:rFonts w:hint="eastAsia" w:hAnsi="宋体" w:cs="宋体"/>
          <w:snapToGrid w:val="0"/>
          <w:sz w:val="24"/>
          <w:szCs w:val="24"/>
        </w:rPr>
      </w:pPr>
      <w:r>
        <w:rPr>
          <w:rFonts w:hint="eastAsia" w:hAnsi="宋体" w:cs="宋体"/>
          <w:snapToGrid w:val="0"/>
          <w:sz w:val="24"/>
          <w:szCs w:val="24"/>
        </w:rPr>
        <w:t>（二）供应商在响应文件中提供虚假材料的；</w:t>
      </w:r>
    </w:p>
    <w:p w14:paraId="26A26EA7">
      <w:pPr>
        <w:pStyle w:val="85"/>
        <w:adjustRightInd w:val="0"/>
        <w:snapToGrid w:val="0"/>
        <w:spacing w:line="360" w:lineRule="auto"/>
        <w:ind w:firstLine="480" w:firstLineChars="200"/>
        <w:rPr>
          <w:rFonts w:hint="eastAsia" w:hAnsi="宋体" w:cs="宋体"/>
          <w:snapToGrid w:val="0"/>
          <w:sz w:val="24"/>
          <w:szCs w:val="24"/>
        </w:rPr>
      </w:pPr>
      <w:r>
        <w:rPr>
          <w:rFonts w:hint="eastAsia" w:hAnsi="宋体" w:cs="宋体"/>
          <w:snapToGrid w:val="0"/>
          <w:sz w:val="24"/>
          <w:szCs w:val="24"/>
        </w:rPr>
        <w:t>（三）除因不可抗力或磋商文件认可的情形以外，成交供应商不与采购人签订合同的；</w:t>
      </w:r>
    </w:p>
    <w:p w14:paraId="04FE63D7">
      <w:pPr>
        <w:pStyle w:val="85"/>
        <w:adjustRightInd w:val="0"/>
        <w:snapToGrid w:val="0"/>
        <w:spacing w:line="360" w:lineRule="auto"/>
        <w:ind w:firstLine="480" w:firstLineChars="200"/>
        <w:rPr>
          <w:rFonts w:hint="eastAsia" w:hAnsi="宋体" w:cs="宋体"/>
          <w:snapToGrid w:val="0"/>
          <w:sz w:val="24"/>
          <w:szCs w:val="24"/>
        </w:rPr>
      </w:pPr>
      <w:r>
        <w:rPr>
          <w:rFonts w:hint="eastAsia" w:hAnsi="宋体" w:cs="宋体"/>
          <w:snapToGrid w:val="0"/>
          <w:sz w:val="24"/>
          <w:szCs w:val="24"/>
        </w:rPr>
        <w:t>（四）供应商与采购人、其他供应商或者采购代理机构恶意串通的；</w:t>
      </w:r>
    </w:p>
    <w:p w14:paraId="433569BC">
      <w:pPr>
        <w:pStyle w:val="85"/>
        <w:adjustRightInd w:val="0"/>
        <w:snapToGrid w:val="0"/>
        <w:spacing w:line="360" w:lineRule="auto"/>
        <w:ind w:firstLine="480" w:firstLineChars="200"/>
        <w:rPr>
          <w:rFonts w:hint="eastAsia" w:hAnsi="宋体" w:cs="宋体"/>
          <w:sz w:val="24"/>
          <w:szCs w:val="24"/>
        </w:rPr>
      </w:pPr>
      <w:r>
        <w:rPr>
          <w:rFonts w:hint="eastAsia" w:hAnsi="宋体" w:cs="宋体"/>
          <w:snapToGrid w:val="0"/>
          <w:sz w:val="24"/>
          <w:szCs w:val="24"/>
        </w:rPr>
        <w:t>（五）磋商文件规定的其他情形。</w:t>
      </w:r>
    </w:p>
    <w:p w14:paraId="6FFDC164">
      <w:pPr>
        <w:pStyle w:val="67"/>
        <w:adjustRightInd w:val="0"/>
        <w:snapToGrid w:val="0"/>
        <w:spacing w:line="360" w:lineRule="auto"/>
        <w:rPr>
          <w:rFonts w:hint="eastAsia" w:ascii="宋体" w:hAnsi="宋体" w:cs="宋体"/>
          <w:b/>
          <w:bCs/>
          <w:sz w:val="24"/>
        </w:rPr>
      </w:pPr>
      <w:r>
        <w:rPr>
          <w:rFonts w:hint="eastAsia" w:ascii="宋体" w:hAnsi="宋体" w:cs="宋体"/>
          <w:b/>
          <w:bCs/>
          <w:sz w:val="24"/>
        </w:rPr>
        <w:t xml:space="preserve">3.6 </w:t>
      </w:r>
      <w:r>
        <w:rPr>
          <w:rFonts w:hint="eastAsia" w:ascii="宋体" w:hAnsi="宋体" w:cs="宋体"/>
          <w:sz w:val="24"/>
        </w:rPr>
        <w:t xml:space="preserve"> </w:t>
      </w:r>
      <w:r>
        <w:rPr>
          <w:rFonts w:hint="eastAsia" w:ascii="宋体" w:hAnsi="宋体" w:cs="宋体"/>
          <w:b/>
          <w:sz w:val="24"/>
        </w:rPr>
        <w:t>响应文件有效期</w:t>
      </w:r>
    </w:p>
    <w:p w14:paraId="3E3E075A">
      <w:pPr>
        <w:pStyle w:val="67"/>
        <w:adjustRightInd w:val="0"/>
        <w:snapToGrid w:val="0"/>
        <w:spacing w:line="360" w:lineRule="auto"/>
        <w:ind w:firstLine="480" w:firstLineChars="200"/>
        <w:jc w:val="left"/>
        <w:rPr>
          <w:rFonts w:hint="eastAsia" w:ascii="宋体" w:hAnsi="宋体" w:cs="宋体"/>
          <w:color w:val="00B0F0"/>
          <w:sz w:val="24"/>
        </w:rPr>
      </w:pPr>
      <w:r>
        <w:rPr>
          <w:rFonts w:hint="eastAsia" w:ascii="宋体" w:hAnsi="宋体" w:cs="宋体"/>
          <w:sz w:val="24"/>
        </w:rPr>
        <w:t>3.6.1响应文件有效期见</w:t>
      </w:r>
      <w:r>
        <w:rPr>
          <w:rFonts w:hint="eastAsia" w:ascii="宋体" w:hAnsi="宋体" w:cs="宋体"/>
          <w:b/>
          <w:sz w:val="24"/>
        </w:rPr>
        <w:t>磋商须知前附表</w:t>
      </w:r>
      <w:r>
        <w:rPr>
          <w:rFonts w:hint="eastAsia" w:ascii="宋体" w:hAnsi="宋体" w:cs="宋体"/>
          <w:sz w:val="24"/>
        </w:rPr>
        <w:t>，响应文件有效期不足的将被视为无效响应，并予以拒绝。</w:t>
      </w:r>
    </w:p>
    <w:p w14:paraId="7D458AD2">
      <w:pPr>
        <w:pStyle w:val="67"/>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3.6.2特殊情况下，采购代理机构可于响应文件有效期满之前要求供应商同意延长有效期，要求与答复均应为书面形式。供应商可以拒绝上述要求而其磋商保证金不被没收。对于同意该要求的供应商，既不要求也不允许其修改响应文件，但将要求其相应延长磋商保证金的有效期。有关退还和没收磋商保证金的规定在响应文件有效期的延长期内继续有效。</w:t>
      </w:r>
    </w:p>
    <w:p w14:paraId="7EA3CD0E">
      <w:pPr>
        <w:pStyle w:val="67"/>
        <w:adjustRightInd w:val="0"/>
        <w:snapToGrid w:val="0"/>
        <w:spacing w:line="360" w:lineRule="auto"/>
        <w:rPr>
          <w:rFonts w:hint="eastAsia" w:ascii="宋体" w:hAnsi="宋体" w:cs="宋体"/>
          <w:b/>
          <w:bCs/>
          <w:color w:val="000000"/>
          <w:sz w:val="24"/>
        </w:rPr>
      </w:pPr>
      <w:r>
        <w:rPr>
          <w:rFonts w:hint="eastAsia" w:ascii="宋体" w:hAnsi="宋体" w:cs="宋体"/>
          <w:b/>
          <w:bCs/>
          <w:sz w:val="24"/>
        </w:rPr>
        <w:t xml:space="preserve">3.7 </w:t>
      </w:r>
      <w:r>
        <w:rPr>
          <w:rFonts w:hint="eastAsia" w:ascii="宋体" w:hAnsi="宋体" w:cs="宋体"/>
          <w:b/>
          <w:bCs/>
          <w:color w:val="000000"/>
          <w:sz w:val="24"/>
        </w:rPr>
        <w:t>响应文件的签署及规定</w:t>
      </w:r>
    </w:p>
    <w:p w14:paraId="7078A99A">
      <w:pPr>
        <w:pStyle w:val="85"/>
        <w:adjustRightInd w:val="0"/>
        <w:snapToGrid w:val="0"/>
        <w:spacing w:line="360" w:lineRule="auto"/>
        <w:ind w:firstLine="480" w:firstLineChars="200"/>
        <w:rPr>
          <w:rFonts w:hint="eastAsia" w:hAnsi="宋体" w:cs="宋体"/>
          <w:color w:val="000000"/>
          <w:sz w:val="24"/>
          <w:szCs w:val="24"/>
        </w:rPr>
      </w:pPr>
      <w:r>
        <w:rPr>
          <w:rFonts w:hint="eastAsia" w:hAnsi="宋体" w:cs="宋体"/>
          <w:color w:val="000000"/>
          <w:sz w:val="24"/>
          <w:szCs w:val="24"/>
        </w:rPr>
        <w:t>3.7.1供应商应提供响应文件份数见</w:t>
      </w:r>
      <w:r>
        <w:rPr>
          <w:rFonts w:hint="eastAsia" w:hAnsi="宋体" w:cs="宋体"/>
          <w:b/>
          <w:color w:val="000000"/>
          <w:sz w:val="24"/>
          <w:szCs w:val="24"/>
        </w:rPr>
        <w:t>磋商须知前附表</w:t>
      </w:r>
      <w:r>
        <w:rPr>
          <w:rFonts w:hint="eastAsia" w:hAnsi="宋体" w:cs="宋体"/>
          <w:color w:val="000000"/>
          <w:sz w:val="24"/>
          <w:szCs w:val="24"/>
        </w:rPr>
        <w:t>。</w:t>
      </w:r>
    </w:p>
    <w:p w14:paraId="174626A4">
      <w:pPr>
        <w:pStyle w:val="67"/>
        <w:spacing w:line="360" w:lineRule="auto"/>
        <w:ind w:firstLine="480" w:firstLineChars="200"/>
        <w:rPr>
          <w:rFonts w:hint="eastAsia" w:ascii="宋体" w:hAnsi="宋体" w:cs="宋体"/>
          <w:b/>
          <w:sz w:val="24"/>
        </w:rPr>
      </w:pPr>
      <w:r>
        <w:rPr>
          <w:rFonts w:hint="eastAsia" w:ascii="宋体" w:hAnsi="宋体" w:cs="宋体"/>
          <w:color w:val="000000"/>
          <w:sz w:val="24"/>
          <w:lang w:val="zh-CN"/>
        </w:rPr>
        <w:t>3.7.2</w:t>
      </w:r>
      <w:r>
        <w:rPr>
          <w:rFonts w:hint="eastAsia" w:ascii="宋体" w:hAnsi="宋体" w:cs="宋体"/>
          <w:color w:val="FF0000"/>
          <w:sz w:val="24"/>
          <w:lang w:val="zh-CN"/>
        </w:rPr>
        <w:t xml:space="preserve"> </w:t>
      </w:r>
      <w:r>
        <w:rPr>
          <w:rFonts w:hint="eastAsia" w:ascii="宋体" w:hAnsi="宋体" w:cs="宋体"/>
          <w:sz w:val="24"/>
        </w:rPr>
        <w:t>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14:paraId="2D9F1FB2">
      <w:pPr>
        <w:pStyle w:val="77"/>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cs="宋体"/>
        </w:rPr>
      </w:pPr>
      <w:bookmarkStart w:id="41" w:name="_Toc30389"/>
      <w:bookmarkStart w:id="42" w:name="_Toc31717"/>
      <w:bookmarkStart w:id="43" w:name="_Toc106276251"/>
      <w:bookmarkStart w:id="44" w:name="_Toc19908"/>
      <w:bookmarkStart w:id="45" w:name="_Toc256000008"/>
      <w:bookmarkStart w:id="46" w:name="_Toc29979"/>
      <w:r>
        <w:rPr>
          <w:rFonts w:hint="eastAsia" w:ascii="宋体" w:hAnsi="宋体" w:cs="宋体"/>
          <w:lang w:val="en-US" w:eastAsia="zh-CN"/>
        </w:rPr>
        <w:t>四</w:t>
      </w:r>
      <w:r>
        <w:rPr>
          <w:rFonts w:hint="eastAsia" w:ascii="宋体" w:hAnsi="宋体" w:cs="宋体"/>
        </w:rPr>
        <w:t>、响应文件的递交</w:t>
      </w:r>
      <w:bookmarkEnd w:id="41"/>
      <w:bookmarkEnd w:id="42"/>
      <w:bookmarkEnd w:id="43"/>
      <w:bookmarkEnd w:id="44"/>
      <w:bookmarkEnd w:id="45"/>
      <w:bookmarkEnd w:id="46"/>
    </w:p>
    <w:p w14:paraId="76ABF062">
      <w:pPr>
        <w:pStyle w:val="67"/>
        <w:adjustRightInd w:val="0"/>
        <w:snapToGrid w:val="0"/>
        <w:spacing w:line="360" w:lineRule="auto"/>
        <w:rPr>
          <w:rFonts w:hint="eastAsia" w:ascii="宋体" w:hAnsi="宋体" w:cs="宋体"/>
          <w:b/>
          <w:bCs/>
          <w:sz w:val="24"/>
        </w:rPr>
      </w:pPr>
      <w:r>
        <w:rPr>
          <w:rFonts w:hint="eastAsia" w:ascii="宋体" w:hAnsi="宋体" w:cs="宋体"/>
          <w:b/>
          <w:bCs/>
          <w:sz w:val="24"/>
        </w:rPr>
        <w:t xml:space="preserve">4.1 </w:t>
      </w:r>
      <w:r>
        <w:rPr>
          <w:rFonts w:hint="eastAsia" w:ascii="宋体" w:hAnsi="宋体" w:cs="宋体"/>
          <w:b/>
          <w:sz w:val="24"/>
        </w:rPr>
        <w:t>响应文件</w:t>
      </w:r>
      <w:r>
        <w:rPr>
          <w:rFonts w:hint="eastAsia" w:ascii="宋体" w:hAnsi="宋体" w:cs="宋体"/>
          <w:b/>
          <w:bCs/>
          <w:sz w:val="24"/>
        </w:rPr>
        <w:t>的密封和标记</w:t>
      </w:r>
    </w:p>
    <w:p w14:paraId="6EDF1AAA">
      <w:pPr>
        <w:pStyle w:val="94"/>
        <w:spacing w:line="360" w:lineRule="auto"/>
        <w:ind w:firstLine="484" w:firstLineChars="201"/>
        <w:contextualSpacing/>
        <w:jc w:val="left"/>
        <w:rPr>
          <w:rFonts w:hint="eastAsia" w:ascii="宋体" w:hAnsi="宋体" w:cs="宋体"/>
          <w:bCs/>
          <w:sz w:val="24"/>
          <w:szCs w:val="24"/>
        </w:rPr>
      </w:pPr>
      <w:r>
        <w:rPr>
          <w:rFonts w:hint="eastAsia" w:ascii="宋体" w:hAnsi="宋体" w:cs="宋体"/>
          <w:b/>
          <w:bCs/>
          <w:sz w:val="24"/>
        </w:rPr>
        <w:t>4.1.1</w:t>
      </w:r>
      <w:r>
        <w:rPr>
          <w:rFonts w:hint="eastAsia" w:ascii="宋体" w:hAnsi="宋体" w:cs="宋体"/>
          <w:b/>
          <w:bCs/>
          <w:kern w:val="0"/>
          <w:sz w:val="24"/>
          <w:szCs w:val="24"/>
        </w:rPr>
        <w:t>本项目采用不见面开标，供应商应通过政采云电子投标客户端严格按磋商文件要求制作响应文件，在响应文件递交截止时间前完成经过数字证书电子签章并加密的电子响应文件（加密和解密必须使用同一把数字证书）的上传。供应商在响应文件递交截止时间前，可以对其所递交的响应文件进行撤销、修改并重新上传，但以响应文件递交截止时间前最后一次完成上传的响应文件为有效响应文件。逾期系统将自动关闭，未完成上传的响应文件视为逾期送达，将被拒绝。</w:t>
      </w:r>
    </w:p>
    <w:p w14:paraId="24AA02F1">
      <w:pPr>
        <w:pStyle w:val="67"/>
        <w:adjustRightInd w:val="0"/>
        <w:spacing w:line="360" w:lineRule="auto"/>
        <w:rPr>
          <w:rFonts w:hint="eastAsia" w:ascii="宋体" w:hAnsi="宋体" w:cs="宋体"/>
          <w:b/>
          <w:bCs/>
          <w:sz w:val="24"/>
        </w:rPr>
      </w:pPr>
      <w:r>
        <w:rPr>
          <w:rFonts w:hint="eastAsia" w:ascii="宋体" w:hAnsi="宋体" w:cs="宋体"/>
          <w:b/>
          <w:bCs/>
          <w:sz w:val="24"/>
        </w:rPr>
        <w:t>4.2响应文件的递交</w:t>
      </w:r>
    </w:p>
    <w:p w14:paraId="3F2172DC">
      <w:pPr>
        <w:pStyle w:val="67"/>
        <w:spacing w:line="360" w:lineRule="auto"/>
        <w:ind w:firstLine="480" w:firstLineChars="200"/>
        <w:rPr>
          <w:rFonts w:hint="eastAsia" w:ascii="宋体" w:hAnsi="宋体" w:cs="宋体"/>
          <w:b/>
          <w:bCs/>
          <w:sz w:val="24"/>
        </w:rPr>
      </w:pPr>
      <w:r>
        <w:rPr>
          <w:rFonts w:hint="eastAsia" w:ascii="宋体" w:hAnsi="宋体" w:cs="宋体"/>
          <w:sz w:val="24"/>
        </w:rPr>
        <w:t>4.2.1</w:t>
      </w:r>
      <w:bookmarkStart w:id="47" w:name="_Toc256000009"/>
      <w:bookmarkStart w:id="48" w:name="_Toc13285"/>
      <w:bookmarkStart w:id="49" w:name="_Toc17384"/>
      <w:bookmarkStart w:id="50" w:name="_Toc21476"/>
      <w:r>
        <w:rPr>
          <w:rFonts w:hint="eastAsia" w:ascii="宋体" w:hAnsi="宋体" w:cs="宋体"/>
          <w:b/>
          <w:bCs/>
          <w:sz w:val="24"/>
          <w:lang w:val="zh-CN"/>
        </w:rPr>
        <w:t>本项目采用不见面开标</w:t>
      </w:r>
      <w:r>
        <w:rPr>
          <w:rFonts w:hint="eastAsia" w:ascii="宋体" w:hAnsi="宋体" w:cs="宋体"/>
          <w:b/>
          <w:bCs/>
          <w:sz w:val="24"/>
        </w:rPr>
        <w:t>，</w:t>
      </w:r>
      <w:r>
        <w:rPr>
          <w:rFonts w:hint="eastAsia" w:ascii="宋体" w:hAnsi="宋体" w:cs="宋体"/>
          <w:b/>
          <w:bCs/>
          <w:sz w:val="24"/>
          <w:lang w:val="zh-CN"/>
        </w:rPr>
        <w:t>投标人应当在投标截止时间前通过政采云平台</w:t>
      </w:r>
      <w:r>
        <w:rPr>
          <w:rFonts w:hint="eastAsia" w:ascii="宋体" w:hAnsi="宋体" w:cs="宋体"/>
          <w:b/>
          <w:bCs/>
          <w:sz w:val="24"/>
        </w:rPr>
        <w:t>（https://www.zcygov.cn）</w:t>
      </w:r>
      <w:r>
        <w:rPr>
          <w:rFonts w:hint="eastAsia" w:ascii="宋体" w:hAnsi="宋体" w:cs="宋体"/>
          <w:b/>
          <w:bCs/>
          <w:sz w:val="24"/>
          <w:lang w:val="zh-CN"/>
        </w:rPr>
        <w:t>上传加密的电子投标文件</w:t>
      </w:r>
      <w:r>
        <w:rPr>
          <w:rFonts w:hint="eastAsia" w:ascii="宋体" w:hAnsi="宋体" w:cs="宋体"/>
          <w:b/>
          <w:bCs/>
          <w:sz w:val="24"/>
        </w:rPr>
        <w:t>，</w:t>
      </w:r>
      <w:r>
        <w:rPr>
          <w:rFonts w:hint="eastAsia" w:ascii="宋体" w:hAnsi="宋体" w:cs="宋体"/>
          <w:b/>
          <w:bCs/>
          <w:sz w:val="24"/>
          <w:lang w:val="zh-CN"/>
        </w:rPr>
        <w:t>逾期上传的或者未上传到平台的投标文件</w:t>
      </w:r>
      <w:r>
        <w:rPr>
          <w:rFonts w:hint="eastAsia" w:ascii="宋体" w:hAnsi="宋体" w:cs="宋体"/>
          <w:b/>
          <w:bCs/>
          <w:sz w:val="24"/>
        </w:rPr>
        <w:t>，</w:t>
      </w:r>
      <w:r>
        <w:rPr>
          <w:rFonts w:hint="eastAsia" w:ascii="宋体" w:hAnsi="宋体" w:cs="宋体"/>
          <w:b/>
          <w:bCs/>
          <w:sz w:val="24"/>
          <w:lang w:val="zh-CN"/>
        </w:rPr>
        <w:t>采购人不予受理。</w:t>
      </w:r>
    </w:p>
    <w:p w14:paraId="1C2E18D5">
      <w:pPr>
        <w:pStyle w:val="67"/>
        <w:adjustRightInd w:val="0"/>
        <w:spacing w:line="360" w:lineRule="auto"/>
        <w:rPr>
          <w:rFonts w:hint="eastAsia" w:ascii="宋体" w:hAnsi="宋体" w:cs="宋体"/>
          <w:b/>
          <w:bCs/>
          <w:sz w:val="24"/>
        </w:rPr>
      </w:pPr>
      <w:r>
        <w:rPr>
          <w:rFonts w:hint="eastAsia" w:ascii="宋体" w:hAnsi="宋体" w:cs="宋体"/>
          <w:b/>
          <w:bCs/>
          <w:sz w:val="24"/>
        </w:rPr>
        <w:t>4.3响应文件的</w:t>
      </w:r>
      <w:r>
        <w:rPr>
          <w:rFonts w:hint="eastAsia" w:ascii="宋体" w:hAnsi="宋体" w:cs="宋体"/>
          <w:b/>
          <w:kern w:val="0"/>
          <w:sz w:val="24"/>
          <w:lang w:val="zh-CN"/>
        </w:rPr>
        <w:t>补充、修改或者撤回</w:t>
      </w:r>
    </w:p>
    <w:p w14:paraId="3694D88C">
      <w:pPr>
        <w:pStyle w:val="85"/>
        <w:adjustRightInd w:val="0"/>
        <w:snapToGrid w:val="0"/>
        <w:spacing w:line="360" w:lineRule="auto"/>
        <w:ind w:firstLine="480" w:firstLineChars="200"/>
        <w:rPr>
          <w:rFonts w:hint="eastAsia" w:hAnsi="宋体" w:cs="宋体"/>
          <w:sz w:val="24"/>
          <w:szCs w:val="24"/>
          <w:lang w:val="zh-CN"/>
        </w:rPr>
      </w:pPr>
      <w:r>
        <w:rPr>
          <w:rFonts w:hint="eastAsia" w:hAnsi="宋体" w:cs="宋体"/>
          <w:sz w:val="24"/>
          <w:szCs w:val="24"/>
        </w:rPr>
        <w:t>4.3.1 投标人在递交投标文件后，可以修改或撤回其投标，但这种修改和撤回，必须在规定的投标截止时间前。在投标截止时间后，投标人不得要求修改或撤回其投标文件。</w:t>
      </w:r>
    </w:p>
    <w:p w14:paraId="7C3C2155">
      <w:pPr>
        <w:pStyle w:val="67"/>
        <w:spacing w:line="360" w:lineRule="auto"/>
        <w:ind w:firstLine="480" w:firstLineChars="200"/>
        <w:rPr>
          <w:rFonts w:hint="eastAsia" w:hAnsi="宋体" w:cs="宋体"/>
          <w:sz w:val="24"/>
          <w:lang w:val="zh-CN"/>
        </w:rPr>
      </w:pPr>
      <w:r>
        <w:rPr>
          <w:rFonts w:hint="eastAsia" w:hAnsi="宋体" w:cs="宋体"/>
          <w:sz w:val="24"/>
        </w:rPr>
        <w:t>4.3.2 在递交响应文件截止时间后，供应商不得对响应文件</w:t>
      </w:r>
      <w:r>
        <w:rPr>
          <w:rFonts w:hint="eastAsia" w:hAnsi="宋体" w:cs="宋体"/>
          <w:sz w:val="24"/>
          <w:lang w:val="zh-CN"/>
        </w:rPr>
        <w:t>补充、修改或者撤回，但属于本须知5.4.2款规定的情形除外</w:t>
      </w:r>
    </w:p>
    <w:p w14:paraId="290A921B">
      <w:pPr>
        <w:pStyle w:val="77"/>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cs="宋体"/>
        </w:rPr>
      </w:pPr>
      <w:bookmarkStart w:id="51" w:name="_Toc18000"/>
      <w:bookmarkStart w:id="52" w:name="_Toc106276252"/>
      <w:r>
        <w:rPr>
          <w:rFonts w:hint="eastAsia" w:ascii="宋体" w:hAnsi="宋体" w:cs="宋体"/>
          <w:lang w:val="en-US" w:eastAsia="zh-CN"/>
        </w:rPr>
        <w:t>五</w:t>
      </w:r>
      <w:r>
        <w:rPr>
          <w:rFonts w:hint="eastAsia" w:ascii="宋体" w:hAnsi="宋体" w:cs="宋体"/>
        </w:rPr>
        <w:t>、磋商和评审</w:t>
      </w:r>
      <w:bookmarkEnd w:id="47"/>
      <w:bookmarkEnd w:id="48"/>
      <w:bookmarkEnd w:id="49"/>
      <w:bookmarkEnd w:id="50"/>
      <w:bookmarkEnd w:id="51"/>
      <w:bookmarkEnd w:id="52"/>
    </w:p>
    <w:p w14:paraId="69DE51E1">
      <w:pPr>
        <w:pStyle w:val="67"/>
        <w:adjustRightInd w:val="0"/>
        <w:snapToGrid w:val="0"/>
        <w:spacing w:line="360" w:lineRule="auto"/>
        <w:rPr>
          <w:rFonts w:hint="eastAsia" w:ascii="宋体" w:hAnsi="宋体" w:cs="宋体"/>
          <w:b/>
          <w:bCs/>
          <w:sz w:val="24"/>
        </w:rPr>
      </w:pPr>
      <w:r>
        <w:rPr>
          <w:rFonts w:hint="eastAsia" w:ascii="宋体" w:hAnsi="宋体" w:cs="宋体"/>
          <w:b/>
          <w:bCs/>
          <w:sz w:val="24"/>
        </w:rPr>
        <w:t>5.1 磋商仪式</w:t>
      </w:r>
    </w:p>
    <w:p w14:paraId="12303979">
      <w:pPr>
        <w:pStyle w:val="67"/>
        <w:spacing w:line="360" w:lineRule="auto"/>
        <w:ind w:firstLine="482" w:firstLineChars="200"/>
        <w:rPr>
          <w:rFonts w:hint="eastAsia" w:ascii="宋体" w:hAnsi="宋体" w:cs="宋体"/>
          <w:b/>
          <w:bCs/>
          <w:sz w:val="24"/>
        </w:rPr>
      </w:pPr>
      <w:r>
        <w:rPr>
          <w:rFonts w:hint="eastAsia" w:ascii="宋体" w:hAnsi="宋体" w:cs="宋体"/>
          <w:b/>
          <w:bCs/>
          <w:sz w:val="24"/>
        </w:rPr>
        <w:t>5.1.1本项目采用不见面开标方式，采购人在规定的投标截止时间（开标时间）和投标人须知前附表规定的地点开标。投标人的法定代表人或其委托代理人无需到达开标现场，仅需在任意地点通过政采云平台（https://www.zcygov.cn）不见面开标系统（进入“项目采购”应用，在开标评标菜单中选择进入开标大厅）使用CA密钥完成远程解密、提疑澄清、开标唱标、结果公布等交互环节。</w:t>
      </w:r>
    </w:p>
    <w:p w14:paraId="7A662884">
      <w:pPr>
        <w:pStyle w:val="67"/>
        <w:spacing w:line="360" w:lineRule="auto"/>
        <w:ind w:firstLine="482" w:firstLineChars="200"/>
        <w:rPr>
          <w:rFonts w:hint="eastAsia" w:ascii="宋体" w:hAnsi="宋体" w:cs="宋体"/>
          <w:b/>
          <w:bCs/>
          <w:sz w:val="24"/>
        </w:rPr>
      </w:pPr>
      <w:r>
        <w:rPr>
          <w:rFonts w:hint="eastAsia" w:ascii="宋体" w:hAnsi="宋体" w:cs="宋体"/>
          <w:b/>
          <w:bCs/>
          <w:sz w:val="24"/>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6832F26D">
      <w:pPr>
        <w:pStyle w:val="67"/>
        <w:spacing w:line="360" w:lineRule="auto"/>
        <w:ind w:firstLine="480" w:firstLineChars="200"/>
        <w:rPr>
          <w:rFonts w:hint="eastAsia" w:ascii="宋体" w:hAnsi="宋体" w:cs="宋体"/>
          <w:bCs/>
          <w:sz w:val="24"/>
        </w:rPr>
      </w:pPr>
      <w:r>
        <w:rPr>
          <w:rFonts w:hint="eastAsia" w:ascii="宋体" w:hAnsi="宋体" w:cs="宋体"/>
          <w:bCs/>
          <w:sz w:val="24"/>
        </w:rPr>
        <w:t>5.1.2 除了存在以下情形的响应文件之外，磋商开始时将不得拒绝任何报价。</w:t>
      </w:r>
    </w:p>
    <w:p w14:paraId="55977D3F">
      <w:pPr>
        <w:pStyle w:val="67"/>
        <w:spacing w:line="360" w:lineRule="auto"/>
        <w:ind w:firstLine="480" w:firstLineChars="200"/>
        <w:rPr>
          <w:rFonts w:hint="eastAsia" w:ascii="宋体" w:hAnsi="宋体" w:cs="宋体"/>
          <w:bCs/>
          <w:sz w:val="24"/>
        </w:rPr>
      </w:pPr>
      <w:r>
        <w:rPr>
          <w:rFonts w:hint="eastAsia" w:ascii="宋体" w:hAnsi="宋体" w:cs="宋体"/>
          <w:bCs/>
          <w:sz w:val="24"/>
        </w:rPr>
        <w:t>(1)未按磋商邀请要求报名和获取磋商文件，并提交相关资料的；</w:t>
      </w:r>
    </w:p>
    <w:p w14:paraId="2FBF9AB7">
      <w:pPr>
        <w:pStyle w:val="67"/>
        <w:spacing w:line="360" w:lineRule="auto"/>
        <w:ind w:firstLine="480" w:firstLineChars="200"/>
        <w:rPr>
          <w:rFonts w:hint="eastAsia" w:ascii="宋体" w:hAnsi="宋体" w:cs="宋体"/>
          <w:bCs/>
          <w:sz w:val="24"/>
        </w:rPr>
      </w:pPr>
      <w:r>
        <w:rPr>
          <w:rFonts w:hint="eastAsia" w:ascii="宋体" w:hAnsi="宋体" w:cs="宋体"/>
          <w:bCs/>
          <w:sz w:val="24"/>
        </w:rPr>
        <w:t>(2)未按磋商须知第5.1.1项规定提交响应文件，并出席磋商仪式的；</w:t>
      </w:r>
    </w:p>
    <w:p w14:paraId="1A6BC303">
      <w:pPr>
        <w:pStyle w:val="67"/>
        <w:spacing w:line="360" w:lineRule="auto"/>
        <w:ind w:firstLine="480" w:firstLineChars="200"/>
        <w:rPr>
          <w:rFonts w:hint="eastAsia" w:ascii="宋体" w:hAnsi="宋体" w:cs="宋体"/>
          <w:bCs/>
          <w:sz w:val="24"/>
        </w:rPr>
      </w:pPr>
      <w:r>
        <w:rPr>
          <w:rFonts w:hint="eastAsia" w:ascii="宋体" w:hAnsi="宋体" w:cs="宋体"/>
          <w:bCs/>
          <w:sz w:val="24"/>
        </w:rPr>
        <w:t>(3)未按磋商须知第4.1项要求对响应文件进行密封和加写标记的；</w:t>
      </w:r>
    </w:p>
    <w:p w14:paraId="66B47F5D">
      <w:pPr>
        <w:pStyle w:val="67"/>
        <w:spacing w:line="360" w:lineRule="auto"/>
        <w:ind w:firstLine="480" w:firstLineChars="200"/>
        <w:rPr>
          <w:rFonts w:hint="eastAsia" w:ascii="宋体" w:hAnsi="宋体" w:cs="宋体"/>
          <w:sz w:val="24"/>
        </w:rPr>
      </w:pPr>
      <w:r>
        <w:rPr>
          <w:rFonts w:hint="eastAsia" w:ascii="宋体" w:hAnsi="宋体" w:cs="宋体"/>
          <w:bCs/>
          <w:sz w:val="24"/>
        </w:rPr>
        <w:t>(4)响应文件的递交、修改或撤回不符合磋商须知第4.2、4.3项规定的</w:t>
      </w:r>
      <w:r>
        <w:rPr>
          <w:rFonts w:hint="eastAsia" w:ascii="宋体" w:hAnsi="宋体" w:cs="宋体"/>
          <w:sz w:val="24"/>
        </w:rPr>
        <w:t>。</w:t>
      </w:r>
    </w:p>
    <w:p w14:paraId="0870D31F">
      <w:pPr>
        <w:pStyle w:val="67"/>
        <w:adjustRightInd w:val="0"/>
        <w:snapToGrid w:val="0"/>
        <w:spacing w:line="360" w:lineRule="auto"/>
        <w:rPr>
          <w:rFonts w:hint="eastAsia" w:ascii="宋体" w:hAnsi="宋体" w:cs="宋体"/>
          <w:b/>
          <w:bCs/>
          <w:sz w:val="24"/>
        </w:rPr>
      </w:pPr>
      <w:r>
        <w:rPr>
          <w:rFonts w:hint="eastAsia" w:ascii="宋体" w:hAnsi="宋体" w:cs="宋体"/>
          <w:b/>
          <w:bCs/>
          <w:sz w:val="24"/>
        </w:rPr>
        <w:t>5.2 磋商小组</w:t>
      </w:r>
    </w:p>
    <w:p w14:paraId="0ABD6461">
      <w:pPr>
        <w:pStyle w:val="67"/>
        <w:spacing w:line="360" w:lineRule="auto"/>
        <w:ind w:firstLine="480" w:firstLineChars="200"/>
        <w:rPr>
          <w:rFonts w:hint="eastAsia"/>
          <w:b/>
          <w:bCs/>
          <w:kern w:val="0"/>
          <w:sz w:val="24"/>
        </w:rPr>
      </w:pPr>
      <w:r>
        <w:rPr>
          <w:kern w:val="0"/>
          <w:sz w:val="24"/>
        </w:rPr>
        <w:t>评审由采购单位依法组建的磋商小组负责。磋商小组由采购人代表和有关技术、经济等方面的专家组成。全面负责对响应文件的审查、评审、磋商、打分等全部评审工作。磋商小组人数以及技术、经济方面的专家组成见</w:t>
      </w:r>
      <w:r>
        <w:rPr>
          <w:b/>
          <w:bCs/>
          <w:kern w:val="0"/>
          <w:sz w:val="24"/>
        </w:rPr>
        <w:fldChar w:fldCharType="begin"/>
      </w:r>
      <w:r>
        <w:rPr>
          <w:b/>
          <w:bCs/>
          <w:kern w:val="0"/>
          <w:sz w:val="24"/>
        </w:rPr>
        <w:instrText xml:space="preserve">HYPERLINK "C:\\Users\\Administrator\\AppData\\WordForm\\e944b4b1-01b6-4e42-b170-f783fcf7903a.doc" \l "</w:instrText>
      </w:r>
      <w:r>
        <w:rPr>
          <w:rFonts w:hint="eastAsia"/>
          <w:b/>
          <w:bCs/>
          <w:kern w:val="0"/>
          <w:sz w:val="24"/>
        </w:rPr>
        <w:instrText xml:space="preserve">_评标委员会</w:instrText>
      </w:r>
      <w:r>
        <w:rPr>
          <w:b/>
          <w:bCs/>
          <w:kern w:val="0"/>
          <w:sz w:val="24"/>
        </w:rPr>
        <w:instrText xml:space="preserve">"</w:instrText>
      </w:r>
      <w:r>
        <w:rPr>
          <w:b/>
          <w:bCs/>
          <w:kern w:val="0"/>
          <w:sz w:val="24"/>
        </w:rPr>
        <w:fldChar w:fldCharType="separate"/>
      </w:r>
      <w:r>
        <w:rPr>
          <w:b/>
          <w:bCs/>
          <w:kern w:val="0"/>
          <w:sz w:val="24"/>
        </w:rPr>
        <w:t>供应商须知前附表</w:t>
      </w:r>
      <w:r>
        <w:rPr>
          <w:b/>
          <w:bCs/>
          <w:kern w:val="0"/>
          <w:sz w:val="24"/>
        </w:rPr>
        <w:fldChar w:fldCharType="end"/>
      </w:r>
    </w:p>
    <w:p w14:paraId="3F8A1DB1">
      <w:pPr>
        <w:pStyle w:val="67"/>
        <w:spacing w:line="360" w:lineRule="auto"/>
        <w:rPr>
          <w:rFonts w:hint="eastAsia" w:ascii="宋体" w:hAnsi="宋体" w:cs="宋体"/>
          <w:sz w:val="24"/>
        </w:rPr>
      </w:pPr>
      <w:r>
        <w:rPr>
          <w:rFonts w:hint="eastAsia" w:ascii="宋体" w:hAnsi="宋体" w:cs="宋体"/>
          <w:b/>
          <w:bCs/>
          <w:sz w:val="24"/>
        </w:rPr>
        <w:t xml:space="preserve">5.3  </w:t>
      </w:r>
      <w:r>
        <w:rPr>
          <w:rFonts w:hint="eastAsia" w:ascii="宋体" w:hAnsi="宋体" w:cs="宋体"/>
          <w:b/>
          <w:sz w:val="24"/>
        </w:rPr>
        <w:t>响应文件的初步评审与澄清</w:t>
      </w:r>
    </w:p>
    <w:p w14:paraId="11F09361">
      <w:pPr>
        <w:pStyle w:val="67"/>
        <w:spacing w:line="360" w:lineRule="auto"/>
        <w:ind w:firstLine="480" w:firstLineChars="200"/>
        <w:rPr>
          <w:rFonts w:hint="eastAsia" w:ascii="宋体" w:hAnsi="宋体" w:cs="宋体"/>
          <w:sz w:val="24"/>
        </w:rPr>
      </w:pPr>
      <w:r>
        <w:rPr>
          <w:rFonts w:hint="eastAsia" w:ascii="宋体" w:hAnsi="宋体" w:cs="宋体"/>
          <w:sz w:val="24"/>
        </w:rPr>
        <w:t>5.3.1 响应文件的初步评审分为资格性检查、符合性检查。</w:t>
      </w:r>
    </w:p>
    <w:p w14:paraId="5AEB8427">
      <w:pPr>
        <w:pStyle w:val="67"/>
        <w:spacing w:line="360" w:lineRule="auto"/>
        <w:ind w:firstLine="480" w:firstLineChars="200"/>
        <w:rPr>
          <w:rFonts w:hint="eastAsia" w:ascii="宋体" w:hAnsi="宋体" w:cs="宋体"/>
          <w:sz w:val="24"/>
        </w:rPr>
      </w:pPr>
      <w:r>
        <w:rPr>
          <w:rFonts w:hint="eastAsia" w:ascii="宋体" w:hAnsi="宋体" w:cs="宋体"/>
          <w:sz w:val="24"/>
        </w:rPr>
        <w:t>（1）资格性检查指依据法律、法规和磋商文件的规定，对响应文件资格证明、磋商保证金等进行审查，以确定供应商是否具备报价资格。</w:t>
      </w:r>
    </w:p>
    <w:p w14:paraId="464172D0">
      <w:pPr>
        <w:pStyle w:val="67"/>
        <w:spacing w:line="360" w:lineRule="auto"/>
        <w:ind w:firstLine="472" w:firstLineChars="200"/>
        <w:rPr>
          <w:rFonts w:hint="eastAsia" w:ascii="宋体" w:hAnsi="宋体" w:cs="宋体"/>
          <w:spacing w:val="-2"/>
          <w:sz w:val="24"/>
        </w:rPr>
      </w:pPr>
      <w:r>
        <w:rPr>
          <w:rFonts w:hint="eastAsia" w:ascii="宋体" w:hAnsi="宋体" w:cs="宋体"/>
          <w:spacing w:val="-2"/>
          <w:sz w:val="24"/>
        </w:rPr>
        <w:t>（2）符合性检查依据磋商文件的规定，从响应文件的有效性、完整性和对磋商文件的响应程度进行审查，以确定是否对磋商文件的实质性要求作出响应。</w:t>
      </w:r>
    </w:p>
    <w:p w14:paraId="4B6149B6">
      <w:pPr>
        <w:pStyle w:val="67"/>
        <w:spacing w:line="360" w:lineRule="auto"/>
        <w:ind w:firstLine="480" w:firstLineChars="200"/>
        <w:rPr>
          <w:rFonts w:hint="eastAsia" w:ascii="宋体" w:hAnsi="宋体" w:cs="宋体"/>
          <w:sz w:val="24"/>
        </w:rPr>
      </w:pPr>
      <w:r>
        <w:rPr>
          <w:rFonts w:hint="eastAsia" w:ascii="宋体" w:hAnsi="宋体" w:cs="宋体"/>
          <w:sz w:val="24"/>
        </w:rPr>
        <w:t>5.3.2 响应文件的澄清</w:t>
      </w:r>
    </w:p>
    <w:p w14:paraId="52EB65A0">
      <w:pPr>
        <w:pStyle w:val="67"/>
        <w:autoSpaceDE w:val="0"/>
        <w:autoSpaceDN w:val="0"/>
        <w:adjustRightInd w:val="0"/>
        <w:snapToGrid w:val="0"/>
        <w:spacing w:line="360" w:lineRule="auto"/>
        <w:ind w:firstLine="480" w:firstLineChars="200"/>
        <w:rPr>
          <w:rFonts w:hint="eastAsia" w:ascii="宋体" w:hAnsi="宋体" w:cs="宋体"/>
          <w:kern w:val="0"/>
          <w:sz w:val="24"/>
          <w:lang w:val="zh-CN"/>
        </w:rPr>
      </w:pPr>
      <w:r>
        <w:rPr>
          <w:rFonts w:hint="eastAsia" w:ascii="宋体" w:hAnsi="宋体" w:cs="宋体"/>
          <w:bCs/>
          <w:sz w:val="24"/>
        </w:rPr>
        <w:t xml:space="preserve">（1） </w:t>
      </w:r>
      <w:r>
        <w:rPr>
          <w:rFonts w:hint="eastAsia" w:ascii="宋体" w:hAnsi="宋体" w:cs="宋体"/>
          <w:kern w:val="0"/>
          <w:sz w:val="24"/>
          <w:lang w:val="zh-CN"/>
        </w:rPr>
        <w:t>磋商小组在对响应文件的有效性、完整性和对磋商文件的响应程度进行审查时，可以要求供应商对响应文件中含义不明</w:t>
      </w:r>
      <w:r>
        <w:rPr>
          <w:rFonts w:hint="eastAsia" w:ascii="宋体" w:hAnsi="宋体" w:cs="宋体"/>
          <w:bCs/>
          <w:sz w:val="24"/>
        </w:rPr>
        <w:t>确</w:t>
      </w:r>
      <w:r>
        <w:rPr>
          <w:rFonts w:hint="eastAsia" w:ascii="宋体" w:hAnsi="宋体" w:cs="宋体"/>
          <w:kern w:val="0"/>
          <w:sz w:val="24"/>
          <w:lang w:val="zh-CN"/>
        </w:rPr>
        <w:t>、同类问题表述不一致或者有明显文字和计算错误的内容等作出必要的澄清、说明或者纠正。该要求</w:t>
      </w:r>
      <w:r>
        <w:rPr>
          <w:rFonts w:hint="eastAsia" w:ascii="宋体" w:hAnsi="宋体" w:cs="宋体"/>
          <w:sz w:val="24"/>
        </w:rPr>
        <w:t>应当以</w:t>
      </w:r>
      <w:r>
        <w:rPr>
          <w:rFonts w:hint="eastAsia" w:ascii="宋体" w:hAnsi="宋体" w:cs="宋体"/>
          <w:kern w:val="0"/>
          <w:sz w:val="24"/>
          <w:lang w:val="zh-CN"/>
        </w:rPr>
        <w:t>书面形式作出。供应商的澄清、说明或者补正应当采用书面形式，由其</w:t>
      </w:r>
      <w:r>
        <w:rPr>
          <w:rFonts w:hint="eastAsia" w:ascii="宋体" w:hAnsi="宋体" w:cs="宋体"/>
          <w:sz w:val="24"/>
        </w:rPr>
        <w:t>法定代表人或其授权代表</w:t>
      </w:r>
      <w:r>
        <w:rPr>
          <w:rFonts w:hint="eastAsia" w:ascii="宋体" w:hAnsi="宋体" w:cs="宋体"/>
          <w:bCs/>
          <w:sz w:val="24"/>
        </w:rPr>
        <w:t>签字</w:t>
      </w:r>
      <w:r>
        <w:rPr>
          <w:rFonts w:hint="eastAsia" w:ascii="宋体" w:hAnsi="宋体" w:cs="宋体"/>
          <w:kern w:val="0"/>
          <w:sz w:val="24"/>
          <w:lang w:val="zh-CN"/>
        </w:rPr>
        <w:t>。供应商的澄清、说明或者更正不得超出磋商文件的范围或者改变响应文件的实质性内容。</w:t>
      </w:r>
    </w:p>
    <w:p w14:paraId="347DDD38">
      <w:pPr>
        <w:pStyle w:val="67"/>
        <w:adjustRightInd w:val="0"/>
        <w:snapToGrid w:val="0"/>
        <w:spacing w:line="360" w:lineRule="auto"/>
        <w:ind w:firstLine="480" w:firstLineChars="200"/>
        <w:rPr>
          <w:rFonts w:hint="eastAsia" w:ascii="宋体" w:hAnsi="宋体" w:cs="宋体"/>
          <w:sz w:val="24"/>
        </w:rPr>
      </w:pPr>
      <w:r>
        <w:rPr>
          <w:rFonts w:hint="eastAsia" w:ascii="宋体" w:hAnsi="宋体" w:cs="宋体"/>
          <w:bCs/>
          <w:sz w:val="24"/>
        </w:rPr>
        <w:t>（2）</w:t>
      </w:r>
      <w:r>
        <w:rPr>
          <w:rFonts w:hint="eastAsia" w:ascii="宋体" w:hAnsi="宋体" w:cs="宋体"/>
          <w:kern w:val="0"/>
          <w:sz w:val="24"/>
          <w:lang w:val="zh-CN"/>
        </w:rPr>
        <w:t>计算</w:t>
      </w:r>
      <w:r>
        <w:rPr>
          <w:rFonts w:hint="eastAsia" w:ascii="宋体" w:hAnsi="宋体" w:cs="宋体"/>
          <w:sz w:val="24"/>
        </w:rPr>
        <w:t>错误修正的原则：单价与总价有出入,以单价为准；大、小写有出入，以大写为准；响应文件正本与副本有出入，以正本为准。按上述原则修正的响应文件，对供应商起约束作用，供应商不接受修正的，其响应文件将被拒绝。</w:t>
      </w:r>
    </w:p>
    <w:p w14:paraId="62D03E9D">
      <w:pPr>
        <w:pStyle w:val="67"/>
        <w:tabs>
          <w:tab w:val="left" w:pos="0"/>
        </w:tabs>
        <w:adjustRightInd w:val="0"/>
        <w:snapToGrid w:val="0"/>
        <w:spacing w:line="360" w:lineRule="auto"/>
        <w:rPr>
          <w:rFonts w:hint="eastAsia" w:ascii="宋体" w:hAnsi="宋体" w:cs="宋体"/>
          <w:bCs/>
          <w:sz w:val="24"/>
        </w:rPr>
      </w:pPr>
      <w:r>
        <w:rPr>
          <w:rFonts w:hint="eastAsia" w:ascii="宋体" w:hAnsi="宋体" w:cs="宋体"/>
          <w:b/>
          <w:bCs/>
          <w:sz w:val="24"/>
        </w:rPr>
        <w:t>5.4 磋商、最后报价</w:t>
      </w:r>
    </w:p>
    <w:p w14:paraId="415204C8">
      <w:pPr>
        <w:pStyle w:val="67"/>
        <w:tabs>
          <w:tab w:val="left" w:pos="0"/>
        </w:tabs>
        <w:adjustRightInd w:val="0"/>
        <w:snapToGrid w:val="0"/>
        <w:spacing w:line="360" w:lineRule="auto"/>
        <w:ind w:firstLine="480" w:firstLineChars="200"/>
        <w:rPr>
          <w:rFonts w:hint="eastAsia" w:ascii="宋体" w:hAnsi="宋体" w:cs="宋体"/>
          <w:kern w:val="0"/>
          <w:sz w:val="24"/>
          <w:lang w:val="zh-CN"/>
        </w:rPr>
      </w:pPr>
      <w:bookmarkStart w:id="53" w:name="_Toc20822"/>
      <w:bookmarkStart w:id="54" w:name="_Toc256000010"/>
      <w:bookmarkStart w:id="55" w:name="_Toc15670"/>
      <w:bookmarkStart w:id="56" w:name="_Toc13595"/>
      <w:r>
        <w:rPr>
          <w:rFonts w:hint="eastAsia" w:ascii="宋体" w:hAnsi="宋体" w:cs="宋体"/>
          <w:sz w:val="24"/>
        </w:rPr>
        <w:t>5.4.1</w:t>
      </w:r>
      <w:r>
        <w:rPr>
          <w:rFonts w:hint="eastAsia" w:ascii="宋体" w:hAnsi="宋体" w:cs="宋体"/>
          <w:kern w:val="0"/>
          <w:sz w:val="24"/>
          <w:lang w:val="zh-CN"/>
        </w:rPr>
        <w:t>磋商小组所有成员按以下两种情况和程序集中与单一供应商分别进行磋商。并给予所有参加</w:t>
      </w:r>
      <w:r>
        <w:rPr>
          <w:rFonts w:hint="eastAsia" w:ascii="宋体" w:hAnsi="宋体" w:cs="宋体"/>
          <w:bCs/>
          <w:sz w:val="24"/>
        </w:rPr>
        <w:t>磋商</w:t>
      </w:r>
      <w:r>
        <w:rPr>
          <w:rFonts w:hint="eastAsia" w:ascii="宋体" w:hAnsi="宋体" w:cs="宋体"/>
          <w:kern w:val="0"/>
          <w:sz w:val="24"/>
          <w:lang w:val="zh-CN"/>
        </w:rPr>
        <w:t>的供应商相同的磋商机会。</w:t>
      </w:r>
    </w:p>
    <w:p w14:paraId="69EAE592">
      <w:pPr>
        <w:pStyle w:val="67"/>
        <w:tabs>
          <w:tab w:val="left" w:pos="0"/>
        </w:tabs>
        <w:adjustRightInd w:val="0"/>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（1）第一种情况</w:t>
      </w:r>
    </w:p>
    <w:p w14:paraId="2EB496D1">
      <w:pPr>
        <w:pStyle w:val="67"/>
        <w:tabs>
          <w:tab w:val="left" w:pos="0"/>
        </w:tabs>
        <w:adjustRightInd w:val="0"/>
        <w:snapToGrid w:val="0"/>
        <w:spacing w:line="360" w:lineRule="auto"/>
        <w:ind w:firstLine="480" w:firstLineChars="200"/>
        <w:rPr>
          <w:rFonts w:hint="eastAsia" w:ascii="宋体" w:hAnsi="宋体" w:cs="宋体"/>
          <w:kern w:val="0"/>
          <w:sz w:val="24"/>
          <w:highlight w:val="yellow"/>
          <w:lang w:val="zh-CN"/>
        </w:rPr>
      </w:pPr>
      <w:r>
        <w:rPr>
          <w:rFonts w:hint="eastAsia" w:ascii="宋体" w:hAnsi="宋体" w:cs="宋体"/>
          <w:sz w:val="24"/>
        </w:rPr>
        <w:t>磋商文件能够详细列明采购标的的技术、服务要求的，磋商结束后，磋商小组将要求所有实质性响应的供应商在规定时间内提交最后报价</w:t>
      </w:r>
      <w:r>
        <w:rPr>
          <w:rFonts w:hint="eastAsia" w:ascii="宋体" w:hAnsi="宋体" w:cs="宋体"/>
          <w:sz w:val="24"/>
          <w:lang w:eastAsia="zh-CN"/>
        </w:rPr>
        <w:t>，</w:t>
      </w:r>
      <w:r>
        <w:rPr>
          <w:rFonts w:hint="eastAsia" w:ascii="宋体" w:hAnsi="宋体" w:cs="宋体"/>
          <w:sz w:val="24"/>
        </w:rPr>
        <w:t>最后报价是供应商响应文件的有效组成部分</w:t>
      </w:r>
      <w:r>
        <w:rPr>
          <w:rFonts w:hint="eastAsia" w:ascii="宋体" w:hAnsi="宋体" w:cs="宋体"/>
          <w:sz w:val="24"/>
          <w:lang w:eastAsia="zh-CN"/>
        </w:rPr>
        <w:t>。</w:t>
      </w:r>
      <w:r>
        <w:rPr>
          <w:rFonts w:hint="eastAsia" w:ascii="宋体" w:hAnsi="宋体" w:cs="宋体"/>
          <w:snapToGrid w:val="0"/>
          <w:kern w:val="0"/>
          <w:sz w:val="24"/>
        </w:rPr>
        <w:t>提交最后报价的供应商不得少于3家</w:t>
      </w:r>
      <w:r>
        <w:rPr>
          <w:rFonts w:hint="eastAsia" w:ascii="宋体" w:hAnsi="宋体" w:cs="宋体"/>
          <w:snapToGrid w:val="0"/>
          <w:kern w:val="0"/>
          <w:sz w:val="24"/>
          <w:lang w:eastAsia="zh-CN"/>
        </w:rPr>
        <w:t>，</w:t>
      </w:r>
      <w:r>
        <w:rPr>
          <w:rFonts w:hint="eastAsia" w:ascii="宋体" w:hAnsi="宋体" w:cs="宋体"/>
          <w:snapToGrid w:val="0"/>
          <w:kern w:val="0"/>
          <w:sz w:val="24"/>
          <w:lang w:val="en-US" w:eastAsia="zh-CN"/>
        </w:rPr>
        <w:t>但</w:t>
      </w:r>
      <w:r>
        <w:rPr>
          <w:rFonts w:hint="eastAsia" w:ascii="宋体" w:hAnsi="宋体" w:cs="宋体"/>
          <w:sz w:val="24"/>
          <w:lang w:val="en-US" w:eastAsia="zh-CN"/>
        </w:rPr>
        <w:t>实质性响应的供应商剩余两家并经磋商小组协商一致，认为剩余两家供应商之间具有竞争性，仍然可以继续评标。</w:t>
      </w:r>
    </w:p>
    <w:p w14:paraId="0509BF38">
      <w:pPr>
        <w:pStyle w:val="67"/>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zh-CN"/>
        </w:rPr>
      </w:pPr>
      <w:r>
        <w:rPr>
          <w:rFonts w:hint="eastAsia" w:ascii="宋体" w:hAnsi="宋体" w:cs="宋体"/>
          <w:kern w:val="0"/>
          <w:sz w:val="24"/>
          <w:lang w:val="zh-CN"/>
        </w:rPr>
        <w:t>（2）第二种情况</w:t>
      </w:r>
    </w:p>
    <w:p w14:paraId="266F5EA0">
      <w:pPr>
        <w:pStyle w:val="67"/>
        <w:keepNext w:val="0"/>
        <w:keepLines w:val="0"/>
        <w:pageBreakBefore w:val="0"/>
        <w:widowControl w:val="0"/>
        <w:tabs>
          <w:tab w:val="left" w:pos="0"/>
        </w:tabs>
        <w:kinsoku/>
        <w:wordWrap/>
        <w:overflowPunct/>
        <w:topLinePunct w:val="0"/>
        <w:autoSpaceDE/>
        <w:autoSpaceDN/>
        <w:bidi w:val="0"/>
        <w:spacing w:line="360" w:lineRule="auto"/>
        <w:ind w:firstLine="480" w:firstLineChars="200"/>
        <w:textAlignment w:val="auto"/>
        <w:rPr>
          <w:rFonts w:hint="eastAsia" w:ascii="宋体" w:hAnsi="宋体" w:cs="宋体"/>
          <w:sz w:val="24"/>
        </w:rPr>
      </w:pPr>
      <w:r>
        <w:rPr>
          <w:rFonts w:hint="eastAsia" w:ascii="宋体" w:hAnsi="宋体" w:cs="宋体"/>
          <w:snapToGrid w:val="0"/>
          <w:kern w:val="0"/>
          <w:sz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hint="eastAsia" w:ascii="宋体" w:hAnsi="宋体" w:cs="宋体"/>
          <w:sz w:val="24"/>
        </w:rPr>
        <w:t>最后报价是供应商响应文件的有效组成部分。</w:t>
      </w:r>
    </w:p>
    <w:p w14:paraId="7CD7278D">
      <w:pPr>
        <w:pStyle w:val="67"/>
        <w:keepNext w:val="0"/>
        <w:keepLines w:val="0"/>
        <w:pageBreakBefore w:val="0"/>
        <w:widowControl w:val="0"/>
        <w:tabs>
          <w:tab w:val="left" w:pos="0"/>
        </w:tabs>
        <w:kinsoku/>
        <w:wordWrap/>
        <w:overflowPunct/>
        <w:topLinePunct w:val="0"/>
        <w:autoSpaceDE/>
        <w:autoSpaceDN/>
        <w:bidi w:val="0"/>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lang w:val="en-US" w:eastAsia="zh-CN"/>
        </w:rPr>
        <w:t>第三种情况</w:t>
      </w:r>
    </w:p>
    <w:p w14:paraId="2606C997">
      <w:pPr>
        <w:pStyle w:val="3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360" w:lineRule="auto"/>
        <w:ind w:firstLine="480" w:firstLineChars="200"/>
        <w:textAlignment w:val="auto"/>
        <w:rPr>
          <w:rFonts w:hint="default"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351ED32F">
      <w:pPr>
        <w:pStyle w:val="67"/>
        <w:tabs>
          <w:tab w:val="left" w:pos="0"/>
        </w:tabs>
        <w:spacing w:line="360" w:lineRule="auto"/>
        <w:ind w:firstLine="480" w:firstLineChars="200"/>
        <w:rPr>
          <w:rFonts w:hint="eastAsia" w:ascii="宋体" w:hAnsi="宋体" w:cs="宋体"/>
          <w:sz w:val="24"/>
        </w:rPr>
      </w:pPr>
      <w:r>
        <w:rPr>
          <w:rFonts w:hint="eastAsia" w:ascii="宋体" w:hAnsi="宋体" w:cs="宋体"/>
          <w:kern w:val="0"/>
          <w:sz w:val="24"/>
          <w:lang w:val="zh-CN"/>
        </w:rPr>
        <w:t>5.4.2</w:t>
      </w:r>
      <w:r>
        <w:rPr>
          <w:rFonts w:hint="eastAsia" w:ascii="宋体" w:hAnsi="宋体" w:cs="宋体"/>
          <w:sz w:val="24"/>
        </w:rPr>
        <w:t>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7D24FD45">
      <w:pPr>
        <w:pStyle w:val="67"/>
        <w:tabs>
          <w:tab w:val="left" w:pos="0"/>
        </w:tabs>
        <w:spacing w:line="360" w:lineRule="auto"/>
        <w:ind w:firstLine="480" w:firstLineChars="200"/>
        <w:rPr>
          <w:rFonts w:hint="eastAsia" w:ascii="宋体" w:hAnsi="宋体" w:cs="宋体"/>
          <w:sz w:val="24"/>
          <w:highlight w:val="yellow"/>
        </w:rPr>
      </w:pPr>
      <w:r>
        <w:rPr>
          <w:rFonts w:hint="eastAsia" w:ascii="宋体" w:hAnsi="宋体" w:cs="宋体"/>
          <w:sz w:val="24"/>
        </w:rPr>
        <w:t>5.4.3已提交响应文件的供应商，在提交最后报价之前，可以根据磋商情况退出磋商。采购机构将退还退出磋商的供应商的磋商保证金。</w:t>
      </w:r>
    </w:p>
    <w:p w14:paraId="26DDCF41">
      <w:pPr>
        <w:pStyle w:val="67"/>
        <w:tabs>
          <w:tab w:val="left" w:pos="0"/>
        </w:tabs>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5.4.4磋商轮数和最后</w:t>
      </w:r>
      <w:r>
        <w:rPr>
          <w:rFonts w:hint="eastAsia" w:ascii="宋体" w:hAnsi="宋体" w:cs="宋体"/>
          <w:sz w:val="24"/>
        </w:rPr>
        <w:t>报价的要求</w:t>
      </w:r>
      <w:r>
        <w:rPr>
          <w:rFonts w:hint="eastAsia" w:ascii="宋体" w:hAnsi="宋体" w:cs="宋体"/>
          <w:sz w:val="24"/>
          <w:lang w:val="zh-CN"/>
        </w:rPr>
        <w:t>见</w:t>
      </w:r>
      <w:r>
        <w:rPr>
          <w:rFonts w:hint="eastAsia" w:ascii="宋体" w:hAnsi="宋体" w:cs="宋体"/>
          <w:b/>
          <w:sz w:val="24"/>
          <w:lang w:val="zh-CN"/>
        </w:rPr>
        <w:t>磋商须知前附表。</w:t>
      </w:r>
    </w:p>
    <w:p w14:paraId="7388CF07">
      <w:pPr>
        <w:pStyle w:val="67"/>
        <w:tabs>
          <w:tab w:val="left" w:pos="0"/>
        </w:tabs>
        <w:spacing w:line="360" w:lineRule="auto"/>
        <w:rPr>
          <w:rFonts w:hint="eastAsia" w:ascii="宋体" w:hAnsi="宋体" w:cs="宋体"/>
          <w:b/>
          <w:bCs/>
          <w:sz w:val="24"/>
        </w:rPr>
      </w:pPr>
      <w:r>
        <w:rPr>
          <w:rFonts w:hint="eastAsia" w:ascii="宋体" w:hAnsi="宋体" w:cs="宋体"/>
          <w:b/>
          <w:bCs/>
          <w:sz w:val="24"/>
        </w:rPr>
        <w:t>5.5综合评审</w:t>
      </w:r>
    </w:p>
    <w:p w14:paraId="44C062A9">
      <w:pPr>
        <w:pStyle w:val="67"/>
        <w:tabs>
          <w:tab w:val="left" w:pos="0"/>
        </w:tabs>
        <w:spacing w:line="360" w:lineRule="auto"/>
        <w:ind w:firstLine="480" w:firstLineChars="200"/>
        <w:rPr>
          <w:rFonts w:hint="eastAsia" w:ascii="宋体" w:hAnsi="宋体" w:cs="宋体"/>
          <w:bCs/>
          <w:sz w:val="24"/>
        </w:rPr>
      </w:pPr>
      <w:r>
        <w:rPr>
          <w:rFonts w:hint="eastAsia" w:ascii="宋体" w:hAnsi="宋体" w:cs="宋体"/>
          <w:sz w:val="24"/>
        </w:rPr>
        <w:t>5.5.1</w:t>
      </w:r>
      <w:r>
        <w:rPr>
          <w:rFonts w:hint="eastAsia" w:ascii="宋体" w:hAnsi="宋体" w:cs="宋体"/>
          <w:bCs/>
          <w:sz w:val="24"/>
        </w:rPr>
        <w:t>评审方法</w:t>
      </w:r>
      <w:r>
        <w:rPr>
          <w:rFonts w:hint="eastAsia" w:ascii="宋体" w:hAnsi="宋体" w:cs="宋体"/>
          <w:sz w:val="24"/>
        </w:rPr>
        <w:t>：综合评分法，是指响应文件满足磋商文件全部实质性要求且按评审因素的量化指标评审得分最高的供应商为成交候选供应商的评审方法。</w:t>
      </w:r>
    </w:p>
    <w:p w14:paraId="1A23318C">
      <w:pPr>
        <w:pStyle w:val="67"/>
        <w:tabs>
          <w:tab w:val="left" w:pos="0"/>
        </w:tabs>
        <w:spacing w:line="360" w:lineRule="auto"/>
        <w:ind w:firstLine="480" w:firstLineChars="200"/>
        <w:rPr>
          <w:rFonts w:hint="eastAsia" w:ascii="宋体" w:hAnsi="宋体" w:cs="宋体"/>
          <w:sz w:val="24"/>
        </w:rPr>
      </w:pPr>
      <w:r>
        <w:rPr>
          <w:rFonts w:hint="eastAsia" w:ascii="宋体" w:hAnsi="宋体" w:cs="宋体"/>
          <w:bCs/>
          <w:sz w:val="24"/>
        </w:rPr>
        <w:t>5.5.2磋商小组依据磋商文件及供应商的响应文件</w:t>
      </w:r>
      <w:r>
        <w:rPr>
          <w:rFonts w:hint="eastAsia" w:ascii="宋体" w:hAnsi="宋体" w:cs="宋体"/>
          <w:sz w:val="24"/>
        </w:rPr>
        <w:t>和</w:t>
      </w:r>
      <w:r>
        <w:rPr>
          <w:rFonts w:hint="eastAsia" w:ascii="宋体" w:hAnsi="宋体" w:cs="宋体"/>
          <w:kern w:val="0"/>
          <w:sz w:val="24"/>
          <w:lang w:val="zh-CN"/>
        </w:rPr>
        <w:t>最后报价</w:t>
      </w:r>
      <w:r>
        <w:rPr>
          <w:rFonts w:hint="eastAsia" w:ascii="宋体" w:hAnsi="宋体" w:cs="宋体"/>
          <w:bCs/>
          <w:sz w:val="24"/>
        </w:rPr>
        <w:t>，对响应文件的商务和技术部分进行进一步的比较和评价，详细</w:t>
      </w:r>
      <w:r>
        <w:rPr>
          <w:rFonts w:hint="eastAsia" w:ascii="宋体" w:hAnsi="宋体" w:cs="宋体"/>
          <w:sz w:val="24"/>
        </w:rPr>
        <w:t>评审标准见</w:t>
      </w:r>
      <w:r>
        <w:rPr>
          <w:rFonts w:hint="eastAsia" w:ascii="宋体" w:hAnsi="宋体" w:cs="宋体"/>
          <w:b/>
          <w:bCs/>
          <w:sz w:val="24"/>
        </w:rPr>
        <w:t>第三章 评审方法</w:t>
      </w:r>
      <w:r>
        <w:rPr>
          <w:rFonts w:hint="eastAsia" w:ascii="宋体" w:hAnsi="宋体" w:cs="宋体"/>
          <w:bCs/>
          <w:sz w:val="24"/>
        </w:rPr>
        <w:t>。</w:t>
      </w:r>
    </w:p>
    <w:p w14:paraId="4B4811B4">
      <w:pPr>
        <w:pStyle w:val="67"/>
        <w:spacing w:line="360" w:lineRule="auto"/>
        <w:ind w:firstLine="480" w:firstLineChars="200"/>
        <w:rPr>
          <w:rFonts w:hint="eastAsia" w:ascii="宋体" w:hAnsi="宋体" w:cs="宋体"/>
          <w:sz w:val="24"/>
        </w:rPr>
      </w:pPr>
      <w:r>
        <w:rPr>
          <w:rFonts w:hint="eastAsia" w:ascii="宋体" w:hAnsi="宋体" w:cs="宋体"/>
          <w:sz w:val="24"/>
        </w:rPr>
        <w:t>5.5.3若供应商的报价明显低于其他报价，使得其报价可能低于其个别成本的，有可能影响商品质量或不能诚信履约的，供应商应按磋商小组的要求作出书面说明并提供相关证明材料，不能合理说明或不能提供相关证明材料的，可作无效报价处理。</w:t>
      </w:r>
    </w:p>
    <w:p w14:paraId="52FB34CB">
      <w:pPr>
        <w:pStyle w:val="67"/>
        <w:tabs>
          <w:tab w:val="left" w:pos="0"/>
        </w:tabs>
        <w:spacing w:line="360" w:lineRule="auto"/>
        <w:ind w:firstLine="480" w:firstLineChars="200"/>
        <w:rPr>
          <w:rFonts w:hint="eastAsia" w:ascii="宋体" w:hAnsi="宋体" w:cs="宋体"/>
          <w:kern w:val="0"/>
          <w:sz w:val="24"/>
          <w:lang w:val="zh-CN"/>
        </w:rPr>
      </w:pPr>
      <w:r>
        <w:rPr>
          <w:rFonts w:hint="eastAsia" w:ascii="宋体" w:hAnsi="宋体" w:cs="宋体"/>
          <w:sz w:val="24"/>
        </w:rPr>
        <w:t>5.5.4 对漏（缺）报项的处理：磋商文件中要求列入报价的费用（含配置、功能）漏报的，以及供应商没有填入单价（价格）或漏（缺）报的项目视同已含在总报价中，不予调整。对多报项及赠送项的价格评审时不予核减，全部进入评标价评议。</w:t>
      </w:r>
    </w:p>
    <w:p w14:paraId="12C43F80">
      <w:pPr>
        <w:pStyle w:val="67"/>
        <w:tabs>
          <w:tab w:val="left" w:pos="0"/>
        </w:tabs>
        <w:spacing w:line="360" w:lineRule="auto"/>
        <w:rPr>
          <w:rFonts w:ascii="宋体" w:hAnsi="宋体" w:cs="宋体"/>
          <w:b/>
          <w:bCs/>
          <w:sz w:val="24"/>
        </w:rPr>
      </w:pPr>
      <w:r>
        <w:rPr>
          <w:rFonts w:ascii="宋体" w:hAnsi="宋体" w:cs="宋体"/>
          <w:b/>
          <w:bCs/>
          <w:sz w:val="24"/>
        </w:rPr>
        <w:t>5.</w:t>
      </w:r>
      <w:r>
        <w:rPr>
          <w:rFonts w:hint="eastAsia" w:ascii="宋体" w:hAnsi="宋体" w:cs="宋体"/>
          <w:b/>
          <w:bCs/>
          <w:sz w:val="24"/>
        </w:rPr>
        <w:t>6</w:t>
      </w:r>
      <w:r>
        <w:rPr>
          <w:rFonts w:ascii="宋体" w:hAnsi="宋体" w:cs="宋体"/>
          <w:b/>
          <w:bCs/>
          <w:sz w:val="24"/>
        </w:rPr>
        <w:t xml:space="preserve">违法违规行为 </w:t>
      </w:r>
    </w:p>
    <w:p w14:paraId="1DC844B1">
      <w:pPr>
        <w:pStyle w:val="94"/>
        <w:spacing w:line="360" w:lineRule="auto"/>
        <w:ind w:firstLine="484" w:firstLineChars="202"/>
        <w:rPr>
          <w:rFonts w:ascii="宋体" w:hAnsi="宋体" w:cs="宋体"/>
          <w:sz w:val="24"/>
          <w:szCs w:val="24"/>
        </w:rPr>
      </w:pPr>
      <w:r>
        <w:rPr>
          <w:rFonts w:ascii="宋体" w:hAnsi="宋体" w:cs="宋体"/>
          <w:sz w:val="24"/>
          <w:szCs w:val="24"/>
        </w:rPr>
        <w:t>5.</w:t>
      </w:r>
      <w:r>
        <w:rPr>
          <w:rFonts w:hint="eastAsia" w:ascii="宋体" w:hAnsi="宋体" w:cs="宋体"/>
          <w:sz w:val="24"/>
          <w:szCs w:val="24"/>
        </w:rPr>
        <w:t>6</w:t>
      </w:r>
      <w:r>
        <w:rPr>
          <w:rFonts w:ascii="宋体" w:hAnsi="宋体" w:cs="宋体"/>
          <w:sz w:val="24"/>
          <w:szCs w:val="24"/>
        </w:rPr>
        <w:t>.1在评审过程中，磋商小组发现供应商有下列情形之一的，作无效文件处理：</w:t>
      </w:r>
    </w:p>
    <w:p w14:paraId="7866A65A">
      <w:pPr>
        <w:pStyle w:val="94"/>
        <w:spacing w:line="360" w:lineRule="auto"/>
        <w:ind w:firstLine="484" w:firstLineChars="202"/>
        <w:rPr>
          <w:rFonts w:ascii="宋体" w:hAnsi="宋体" w:cs="宋体"/>
          <w:sz w:val="24"/>
          <w:szCs w:val="24"/>
        </w:rPr>
      </w:pPr>
      <w:r>
        <w:rPr>
          <w:rFonts w:ascii="宋体" w:hAnsi="宋体" w:cs="宋体"/>
          <w:sz w:val="24"/>
          <w:szCs w:val="24"/>
        </w:rPr>
        <w:t>（1）属于同一集团、协会、商会等组织成员的供应商按照该组织要求协同投标；</w:t>
      </w:r>
    </w:p>
    <w:p w14:paraId="771B758A">
      <w:pPr>
        <w:pStyle w:val="94"/>
        <w:spacing w:line="360" w:lineRule="auto"/>
        <w:ind w:firstLine="484" w:firstLineChars="202"/>
        <w:rPr>
          <w:rFonts w:ascii="宋体" w:hAnsi="宋体" w:cs="宋体"/>
          <w:sz w:val="24"/>
          <w:szCs w:val="24"/>
        </w:rPr>
      </w:pPr>
      <w:r>
        <w:rPr>
          <w:rFonts w:ascii="宋体" w:hAnsi="宋体" w:cs="宋体"/>
          <w:sz w:val="24"/>
          <w:szCs w:val="24"/>
        </w:rPr>
        <w:t>（2）不同供应商的响应文件由同一单位或者个人编制；</w:t>
      </w:r>
    </w:p>
    <w:p w14:paraId="77D06527">
      <w:pPr>
        <w:pStyle w:val="94"/>
        <w:spacing w:line="360" w:lineRule="auto"/>
        <w:ind w:firstLine="484" w:firstLineChars="202"/>
        <w:rPr>
          <w:rFonts w:ascii="宋体" w:hAnsi="宋体" w:cs="宋体"/>
          <w:sz w:val="24"/>
          <w:szCs w:val="24"/>
        </w:rPr>
      </w:pPr>
      <w:r>
        <w:rPr>
          <w:rFonts w:ascii="宋体" w:hAnsi="宋体" w:cs="宋体"/>
          <w:sz w:val="24"/>
          <w:szCs w:val="24"/>
        </w:rPr>
        <w:t>（3）不同供应商委托同一单位或者个人办理投标事宜；</w:t>
      </w:r>
    </w:p>
    <w:p w14:paraId="566DC0A3">
      <w:pPr>
        <w:pStyle w:val="94"/>
        <w:spacing w:line="360" w:lineRule="auto"/>
        <w:ind w:firstLine="484" w:firstLineChars="202"/>
        <w:rPr>
          <w:rFonts w:ascii="宋体" w:hAnsi="宋体" w:cs="宋体"/>
          <w:sz w:val="24"/>
          <w:szCs w:val="24"/>
        </w:rPr>
      </w:pPr>
      <w:r>
        <w:rPr>
          <w:rFonts w:ascii="宋体" w:hAnsi="宋体" w:cs="宋体"/>
          <w:sz w:val="24"/>
          <w:szCs w:val="24"/>
        </w:rPr>
        <w:t>（4）不同供应商的响应文件载明的项目管理成员为同一人；</w:t>
      </w:r>
    </w:p>
    <w:p w14:paraId="68750489">
      <w:pPr>
        <w:pStyle w:val="94"/>
        <w:spacing w:line="360" w:lineRule="auto"/>
        <w:ind w:firstLine="484" w:firstLineChars="202"/>
        <w:rPr>
          <w:rFonts w:ascii="宋体" w:hAnsi="宋体" w:cs="宋体"/>
          <w:sz w:val="24"/>
          <w:szCs w:val="24"/>
        </w:rPr>
      </w:pPr>
      <w:r>
        <w:rPr>
          <w:rFonts w:ascii="宋体" w:hAnsi="宋体" w:cs="宋体"/>
          <w:sz w:val="24"/>
          <w:szCs w:val="24"/>
        </w:rPr>
        <w:t>（5）不同供应商的响应文件异常一致或者投标报价呈规律性差异；</w:t>
      </w:r>
    </w:p>
    <w:p w14:paraId="38224660">
      <w:pPr>
        <w:pStyle w:val="94"/>
        <w:spacing w:line="360" w:lineRule="auto"/>
        <w:ind w:firstLine="484" w:firstLineChars="202"/>
        <w:rPr>
          <w:rFonts w:ascii="宋体" w:hAnsi="宋体" w:cs="宋体"/>
          <w:sz w:val="24"/>
          <w:szCs w:val="24"/>
        </w:rPr>
      </w:pPr>
      <w:r>
        <w:rPr>
          <w:rFonts w:ascii="宋体" w:hAnsi="宋体" w:cs="宋体"/>
          <w:sz w:val="24"/>
          <w:szCs w:val="24"/>
        </w:rPr>
        <w:t>（6）不同供应商的响应文件相互混装；</w:t>
      </w:r>
    </w:p>
    <w:p w14:paraId="1303E408">
      <w:pPr>
        <w:pStyle w:val="94"/>
        <w:spacing w:line="360" w:lineRule="auto"/>
        <w:ind w:firstLine="484" w:firstLineChars="202"/>
        <w:rPr>
          <w:rFonts w:ascii="宋体" w:hAnsi="宋体" w:cs="宋体"/>
          <w:sz w:val="24"/>
          <w:szCs w:val="24"/>
        </w:rPr>
      </w:pPr>
      <w:r>
        <w:rPr>
          <w:rFonts w:ascii="宋体" w:hAnsi="宋体" w:cs="宋体"/>
          <w:sz w:val="24"/>
          <w:szCs w:val="24"/>
        </w:rPr>
        <w:t>（7）不同供应商的投标保证金从同一单位或者个人的账户转出；</w:t>
      </w:r>
    </w:p>
    <w:p w14:paraId="0A4598B3">
      <w:pPr>
        <w:pStyle w:val="94"/>
        <w:spacing w:line="360" w:lineRule="auto"/>
        <w:ind w:firstLine="484" w:firstLineChars="202"/>
        <w:rPr>
          <w:rFonts w:ascii="宋体" w:hAnsi="宋体" w:cs="宋体"/>
          <w:sz w:val="24"/>
          <w:szCs w:val="24"/>
        </w:rPr>
      </w:pPr>
      <w:r>
        <w:rPr>
          <w:rFonts w:ascii="宋体" w:hAnsi="宋体" w:cs="宋体"/>
          <w:sz w:val="24"/>
          <w:szCs w:val="24"/>
        </w:rPr>
        <w:t>（8）使用伪造、变造的行政许可证件；</w:t>
      </w:r>
    </w:p>
    <w:p w14:paraId="0BF38034">
      <w:pPr>
        <w:pStyle w:val="94"/>
        <w:spacing w:line="360" w:lineRule="auto"/>
        <w:ind w:firstLine="484" w:firstLineChars="202"/>
        <w:rPr>
          <w:rFonts w:ascii="宋体" w:hAnsi="宋体" w:cs="宋体"/>
          <w:sz w:val="24"/>
          <w:szCs w:val="24"/>
        </w:rPr>
      </w:pPr>
      <w:r>
        <w:rPr>
          <w:rFonts w:ascii="宋体" w:hAnsi="宋体" w:cs="宋体"/>
          <w:sz w:val="24"/>
          <w:szCs w:val="24"/>
        </w:rPr>
        <w:t>（9）提供虚假的财务状况或者业绩；</w:t>
      </w:r>
    </w:p>
    <w:p w14:paraId="1CE0EA1B">
      <w:pPr>
        <w:pStyle w:val="94"/>
        <w:spacing w:line="360" w:lineRule="auto"/>
        <w:ind w:firstLine="484" w:firstLineChars="202"/>
        <w:rPr>
          <w:rFonts w:ascii="宋体" w:hAnsi="宋体" w:cs="宋体"/>
          <w:sz w:val="24"/>
          <w:szCs w:val="24"/>
        </w:rPr>
      </w:pPr>
      <w:r>
        <w:rPr>
          <w:rFonts w:ascii="宋体" w:hAnsi="宋体" w:cs="宋体"/>
          <w:sz w:val="24"/>
          <w:szCs w:val="24"/>
        </w:rPr>
        <w:t>（10）提供虚假的项目负责人或者主要技术人员简历、劳动关系证明；</w:t>
      </w:r>
    </w:p>
    <w:p w14:paraId="55BB95FC">
      <w:pPr>
        <w:pStyle w:val="94"/>
        <w:spacing w:line="360" w:lineRule="auto"/>
        <w:ind w:firstLine="484" w:firstLineChars="202"/>
        <w:rPr>
          <w:rFonts w:ascii="宋体" w:hAnsi="宋体" w:cs="宋体"/>
          <w:sz w:val="24"/>
          <w:szCs w:val="24"/>
        </w:rPr>
      </w:pPr>
      <w:r>
        <w:rPr>
          <w:rFonts w:ascii="宋体" w:hAnsi="宋体" w:cs="宋体"/>
          <w:sz w:val="24"/>
          <w:szCs w:val="24"/>
        </w:rPr>
        <w:t>（11）提供虚假的信用状况；</w:t>
      </w:r>
    </w:p>
    <w:p w14:paraId="21BBD86C">
      <w:pPr>
        <w:pStyle w:val="94"/>
        <w:spacing w:line="360" w:lineRule="auto"/>
        <w:ind w:firstLine="484" w:firstLineChars="202"/>
        <w:rPr>
          <w:rFonts w:ascii="宋体" w:hAnsi="宋体" w:cs="宋体"/>
          <w:sz w:val="24"/>
          <w:szCs w:val="24"/>
        </w:rPr>
      </w:pPr>
      <w:r>
        <w:rPr>
          <w:rFonts w:ascii="宋体" w:hAnsi="宋体" w:cs="宋体"/>
          <w:sz w:val="24"/>
          <w:szCs w:val="24"/>
        </w:rPr>
        <w:t>（12）其他弄虚作假的行为。</w:t>
      </w:r>
    </w:p>
    <w:p w14:paraId="57773C41">
      <w:pPr>
        <w:pStyle w:val="67"/>
        <w:tabs>
          <w:tab w:val="left" w:pos="0"/>
        </w:tabs>
        <w:spacing w:line="360" w:lineRule="auto"/>
        <w:rPr>
          <w:rFonts w:ascii="宋体" w:hAnsi="宋体" w:cs="宋体"/>
          <w:b/>
          <w:bCs/>
          <w:sz w:val="24"/>
        </w:rPr>
      </w:pPr>
      <w:r>
        <w:rPr>
          <w:rFonts w:ascii="宋体" w:hAnsi="宋体" w:cs="宋体"/>
          <w:b/>
          <w:bCs/>
          <w:sz w:val="24"/>
        </w:rPr>
        <w:t>5.</w:t>
      </w:r>
      <w:r>
        <w:rPr>
          <w:rFonts w:hint="eastAsia" w:ascii="宋体" w:hAnsi="宋体" w:cs="宋体"/>
          <w:b/>
          <w:bCs/>
          <w:sz w:val="24"/>
        </w:rPr>
        <w:t>7</w:t>
      </w:r>
      <w:r>
        <w:rPr>
          <w:rFonts w:ascii="宋体" w:hAnsi="宋体" w:cs="宋体"/>
          <w:b/>
          <w:bCs/>
          <w:sz w:val="24"/>
        </w:rPr>
        <w:t xml:space="preserve"> 磋商小组审查响应文件是否完整、有无计算上的错误等。</w:t>
      </w:r>
    </w:p>
    <w:p w14:paraId="657CB921">
      <w:pPr>
        <w:pStyle w:val="94"/>
        <w:spacing w:line="360" w:lineRule="auto"/>
        <w:ind w:firstLine="484" w:firstLineChars="202"/>
        <w:rPr>
          <w:rFonts w:ascii="宋体" w:hAnsi="宋体" w:cs="宋体"/>
          <w:sz w:val="24"/>
          <w:szCs w:val="24"/>
        </w:rPr>
      </w:pPr>
      <w:r>
        <w:rPr>
          <w:rFonts w:ascii="宋体" w:hAnsi="宋体" w:cs="宋体"/>
          <w:sz w:val="24"/>
          <w:szCs w:val="24"/>
        </w:rPr>
        <w:t>5.</w:t>
      </w:r>
      <w:r>
        <w:rPr>
          <w:rFonts w:hint="eastAsia" w:ascii="宋体" w:hAnsi="宋体" w:cs="宋体"/>
          <w:sz w:val="24"/>
          <w:szCs w:val="24"/>
        </w:rPr>
        <w:t>7</w:t>
      </w:r>
      <w:r>
        <w:rPr>
          <w:rFonts w:ascii="宋体" w:hAnsi="宋体" w:cs="宋体"/>
          <w:sz w:val="24"/>
          <w:szCs w:val="24"/>
        </w:rPr>
        <w:t>.1 响应文件的修正及澄清</w:t>
      </w:r>
    </w:p>
    <w:p w14:paraId="7BAA7B11">
      <w:pPr>
        <w:pStyle w:val="94"/>
        <w:spacing w:line="360" w:lineRule="auto"/>
        <w:ind w:firstLine="484" w:firstLineChars="202"/>
        <w:rPr>
          <w:rFonts w:ascii="宋体" w:hAnsi="宋体" w:cs="宋体"/>
          <w:sz w:val="24"/>
          <w:szCs w:val="24"/>
        </w:rPr>
      </w:pPr>
      <w:r>
        <w:rPr>
          <w:rFonts w:ascii="宋体" w:hAnsi="宋体" w:cs="宋体"/>
          <w:sz w:val="24"/>
          <w:szCs w:val="24"/>
        </w:rPr>
        <w:t>（1）磋商小组对确定为实质上响应磋商文件要求的响应文件进行校核，看其是否有计算或表达上的错误，算术错误将按以下方法更正：</w:t>
      </w:r>
    </w:p>
    <w:p w14:paraId="3141B638">
      <w:pPr>
        <w:pStyle w:val="94"/>
        <w:spacing w:line="360" w:lineRule="auto"/>
        <w:ind w:firstLine="484" w:firstLineChars="202"/>
        <w:rPr>
          <w:rFonts w:ascii="宋体" w:hAnsi="宋体" w:cs="宋体"/>
          <w:sz w:val="24"/>
          <w:szCs w:val="24"/>
        </w:rPr>
      </w:pPr>
      <w:r>
        <w:rPr>
          <w:rFonts w:ascii="宋体" w:hAnsi="宋体" w:cs="宋体"/>
          <w:sz w:val="24"/>
          <w:szCs w:val="24"/>
        </w:rPr>
        <w:t>（2）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w:t>
      </w:r>
    </w:p>
    <w:p w14:paraId="160DAE83">
      <w:pPr>
        <w:pStyle w:val="94"/>
        <w:spacing w:line="360" w:lineRule="auto"/>
        <w:ind w:firstLine="484" w:firstLineChars="202"/>
        <w:rPr>
          <w:rFonts w:ascii="宋体" w:hAnsi="宋体" w:cs="宋体"/>
          <w:sz w:val="24"/>
          <w:szCs w:val="24"/>
        </w:rPr>
      </w:pPr>
      <w:r>
        <w:rPr>
          <w:rFonts w:ascii="宋体" w:hAnsi="宋体" w:cs="宋体"/>
          <w:sz w:val="24"/>
          <w:szCs w:val="24"/>
        </w:rPr>
        <w:t>5.</w:t>
      </w:r>
      <w:r>
        <w:rPr>
          <w:rFonts w:hint="eastAsia" w:ascii="宋体" w:hAnsi="宋体" w:cs="宋体"/>
          <w:sz w:val="24"/>
          <w:szCs w:val="24"/>
        </w:rPr>
        <w:t>7</w:t>
      </w:r>
      <w:r>
        <w:rPr>
          <w:rFonts w:ascii="宋体" w:hAnsi="宋体" w:cs="宋体"/>
          <w:sz w:val="24"/>
          <w:szCs w:val="24"/>
        </w:rPr>
        <w:t>.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14:paraId="58727374">
      <w:pPr>
        <w:pStyle w:val="94"/>
        <w:spacing w:line="360" w:lineRule="auto"/>
        <w:ind w:firstLine="484" w:firstLineChars="202"/>
        <w:rPr>
          <w:rFonts w:ascii="宋体" w:hAnsi="宋体" w:cs="宋体"/>
          <w:sz w:val="24"/>
          <w:szCs w:val="24"/>
        </w:rPr>
      </w:pPr>
      <w:r>
        <w:rPr>
          <w:rFonts w:ascii="宋体" w:hAnsi="宋体" w:cs="宋体"/>
          <w:sz w:val="24"/>
          <w:szCs w:val="24"/>
        </w:rPr>
        <w:t>5.</w:t>
      </w:r>
      <w:r>
        <w:rPr>
          <w:rFonts w:hint="eastAsia" w:ascii="宋体" w:hAnsi="宋体" w:cs="宋体"/>
          <w:sz w:val="24"/>
          <w:szCs w:val="24"/>
        </w:rPr>
        <w:t>7</w:t>
      </w:r>
      <w:r>
        <w:rPr>
          <w:rFonts w:ascii="宋体" w:hAnsi="宋体" w:cs="宋体"/>
          <w:sz w:val="24"/>
          <w:szCs w:val="24"/>
        </w:rPr>
        <w:t>.3实质上没有响应磋商文件要求的响应文件将被视为无效文件。供应商不得通过修正或撤销不合要求的偏离从而使其成为实质上响应的文件。</w:t>
      </w:r>
    </w:p>
    <w:p w14:paraId="6F747402">
      <w:pPr>
        <w:pStyle w:val="94"/>
        <w:spacing w:line="360" w:lineRule="auto"/>
        <w:ind w:firstLine="482" w:firstLineChars="201"/>
        <w:contextualSpacing/>
        <w:rPr>
          <w:rFonts w:ascii="宋体" w:hAnsi="宋体" w:cs="宋体"/>
          <w:sz w:val="24"/>
          <w:szCs w:val="24"/>
        </w:rPr>
      </w:pPr>
      <w:r>
        <w:rPr>
          <w:rFonts w:ascii="宋体" w:hAnsi="宋体" w:cs="宋体"/>
          <w:sz w:val="24"/>
          <w:szCs w:val="24"/>
        </w:rPr>
        <w:t>5.</w:t>
      </w:r>
      <w:r>
        <w:rPr>
          <w:rFonts w:hint="eastAsia" w:ascii="宋体" w:hAnsi="宋体" w:cs="宋体"/>
          <w:sz w:val="24"/>
          <w:szCs w:val="24"/>
        </w:rPr>
        <w:t>7</w:t>
      </w:r>
      <w:r>
        <w:rPr>
          <w:rFonts w:ascii="宋体" w:hAnsi="宋体" w:cs="宋体"/>
          <w:sz w:val="24"/>
          <w:szCs w:val="24"/>
        </w:rPr>
        <w:t>.4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在评审期间</w:t>
      </w:r>
      <w:r>
        <w:rPr>
          <w:rFonts w:hint="eastAsia" w:ascii="宋体" w:hAnsi="宋体" w:cs="宋体"/>
          <w:sz w:val="24"/>
          <w:szCs w:val="24"/>
        </w:rPr>
        <w:t>，</w:t>
      </w:r>
      <w:r>
        <w:rPr>
          <w:rFonts w:ascii="宋体" w:hAnsi="宋体" w:cs="宋体"/>
          <w:sz w:val="24"/>
          <w:szCs w:val="24"/>
        </w:rPr>
        <w:t>磋商小组可要求供应商对其响应文件进行澄清，但不得寻求、提供或允许供应商对投标报价等实质性内容做任何更改。有关澄清的答复均应由供应商的法定代表人或授权代表以书面形式作出并签字。</w:t>
      </w:r>
    </w:p>
    <w:p w14:paraId="2DEFCE3A">
      <w:pPr>
        <w:pStyle w:val="94"/>
        <w:spacing w:line="360" w:lineRule="auto"/>
        <w:ind w:firstLine="482" w:firstLineChars="201"/>
        <w:contextualSpacing/>
        <w:rPr>
          <w:rFonts w:hint="eastAsia" w:ascii="宋体" w:hAnsi="宋体" w:cs="宋体"/>
          <w:sz w:val="24"/>
          <w:szCs w:val="24"/>
        </w:rPr>
      </w:pPr>
      <w:r>
        <w:rPr>
          <w:rFonts w:ascii="宋体" w:hAnsi="宋体" w:cs="宋体"/>
          <w:sz w:val="24"/>
          <w:szCs w:val="24"/>
        </w:rPr>
        <w:t>5.</w:t>
      </w:r>
      <w:r>
        <w:rPr>
          <w:rFonts w:hint="eastAsia" w:ascii="宋体" w:hAnsi="宋体" w:cs="宋体"/>
          <w:sz w:val="24"/>
          <w:szCs w:val="24"/>
        </w:rPr>
        <w:t>7</w:t>
      </w:r>
      <w:r>
        <w:rPr>
          <w:rFonts w:ascii="宋体" w:hAnsi="宋体" w:cs="宋体"/>
          <w:sz w:val="24"/>
          <w:szCs w:val="24"/>
        </w:rPr>
        <w:t>.5供应商的澄清文件是其响应文件的组成部分。</w:t>
      </w:r>
    </w:p>
    <w:p w14:paraId="64C7E1CA">
      <w:pPr>
        <w:pStyle w:val="67"/>
        <w:tabs>
          <w:tab w:val="left" w:pos="0"/>
        </w:tabs>
        <w:spacing w:line="360" w:lineRule="auto"/>
        <w:rPr>
          <w:rFonts w:hint="eastAsia" w:ascii="宋体" w:hAnsi="宋体" w:cs="宋体"/>
          <w:b/>
          <w:bCs/>
          <w:sz w:val="24"/>
        </w:rPr>
      </w:pPr>
      <w:r>
        <w:rPr>
          <w:rFonts w:hint="eastAsia" w:ascii="宋体" w:hAnsi="宋体" w:cs="宋体"/>
          <w:b/>
          <w:bCs/>
          <w:sz w:val="24"/>
        </w:rPr>
        <w:t>5.8成交原则</w:t>
      </w:r>
    </w:p>
    <w:p w14:paraId="3EF878D4">
      <w:pPr>
        <w:pStyle w:val="67"/>
        <w:tabs>
          <w:tab w:val="left" w:pos="0"/>
        </w:tabs>
        <w:spacing w:line="360" w:lineRule="auto"/>
        <w:ind w:firstLine="480" w:firstLineChars="200"/>
        <w:rPr>
          <w:rFonts w:hint="eastAsia"/>
          <w:sz w:val="24"/>
        </w:rPr>
      </w:pPr>
      <w:r>
        <w:rPr>
          <w:rFonts w:hint="eastAsia"/>
          <w:sz w:val="24"/>
        </w:rPr>
        <w:t>5.8.1</w:t>
      </w:r>
      <w:r>
        <w:rPr>
          <w:sz w:val="24"/>
        </w:rPr>
        <w:t>磋商小组按照采购文件确定的评标方法、步骤、标准，对响应文件进行</w:t>
      </w:r>
      <w:r>
        <w:rPr>
          <w:rFonts w:hint="eastAsia"/>
          <w:sz w:val="24"/>
        </w:rPr>
        <w:t>综合评审，</w:t>
      </w:r>
      <w:r>
        <w:rPr>
          <w:sz w:val="24"/>
        </w:rPr>
        <w:t>按评审后得分</w:t>
      </w:r>
      <w:r>
        <w:rPr>
          <w:rFonts w:hint="eastAsia"/>
          <w:sz w:val="24"/>
        </w:rPr>
        <w:t>由高到低顺序推荐3名以上成交候选供应商，并编写评审报告。符合《政府采购竞争性磋商采购方式管理办法》第二十一条第三款情形的，可以推荐2家成交候选供应商。评审得分相同的，按照最后报价由低到高的顺序推荐。评审得分且最后报价相同的，按照技术指标优劣顺序推荐。</w:t>
      </w:r>
    </w:p>
    <w:p w14:paraId="6B8F06B0">
      <w:pPr>
        <w:pStyle w:val="67"/>
        <w:tabs>
          <w:tab w:val="left" w:pos="0"/>
        </w:tabs>
        <w:spacing w:line="360" w:lineRule="auto"/>
        <w:ind w:firstLine="480" w:firstLineChars="200"/>
        <w:rPr>
          <w:rFonts w:hint="eastAsia"/>
          <w:sz w:val="24"/>
        </w:rPr>
      </w:pPr>
      <w:r>
        <w:rPr>
          <w:rFonts w:hint="eastAsia"/>
          <w:sz w:val="24"/>
        </w:rPr>
        <w:t>5.8.2成交候选人并列时的处理方式：综合得分相同，按报价由低向高依次排序。</w:t>
      </w:r>
    </w:p>
    <w:p w14:paraId="229766BD">
      <w:pPr>
        <w:pStyle w:val="67"/>
        <w:tabs>
          <w:tab w:val="left" w:pos="0"/>
        </w:tabs>
        <w:spacing w:line="360" w:lineRule="auto"/>
        <w:ind w:firstLine="480" w:firstLineChars="200"/>
        <w:rPr>
          <w:rFonts w:hint="eastAsia"/>
          <w:sz w:val="24"/>
        </w:rPr>
      </w:pPr>
      <w:r>
        <w:rPr>
          <w:rFonts w:hint="eastAsia"/>
          <w:sz w:val="24"/>
        </w:rPr>
        <w:t>5.8.3采购代理机构应当在评标结束后2个工作日内将评审报告送采购人确认。采购人应当自收到评审报告后5个工作日内，从评审报告提出的成交候选供应商中，按排序由高到低的原则确定成交供应商，也可以书面授权磋商小组直接确定成交供应商。</w:t>
      </w:r>
    </w:p>
    <w:p w14:paraId="1C225048">
      <w:pPr>
        <w:pStyle w:val="67"/>
        <w:tabs>
          <w:tab w:val="left" w:pos="0"/>
        </w:tabs>
        <w:spacing w:line="360" w:lineRule="auto"/>
        <w:rPr>
          <w:rFonts w:hint="eastAsia"/>
          <w:b/>
          <w:bCs/>
          <w:sz w:val="24"/>
        </w:rPr>
      </w:pPr>
      <w:r>
        <w:rPr>
          <w:rFonts w:hint="eastAsia"/>
          <w:b/>
          <w:bCs/>
          <w:sz w:val="24"/>
        </w:rPr>
        <w:t>5.9终止竞争性磋商采购</w:t>
      </w:r>
    </w:p>
    <w:p w14:paraId="541B3BBD">
      <w:pPr>
        <w:pStyle w:val="67"/>
        <w:tabs>
          <w:tab w:val="left" w:pos="0"/>
        </w:tabs>
        <w:spacing w:line="360" w:lineRule="auto"/>
        <w:ind w:firstLine="480" w:firstLineChars="200"/>
        <w:rPr>
          <w:rFonts w:hint="eastAsia"/>
          <w:sz w:val="24"/>
        </w:rPr>
      </w:pPr>
      <w:r>
        <w:rPr>
          <w:rFonts w:hint="eastAsia"/>
          <w:sz w:val="24"/>
        </w:rPr>
        <w:t xml:space="preserve">5.9.1出现下列情形之一的，采购人或者采购代理机构应当终止竞争性磋商采购活动，在财政部门指定的媒体上发布项目终止公告并说明原因，重新开展采购活动： </w:t>
      </w:r>
    </w:p>
    <w:p w14:paraId="62C04D19">
      <w:pPr>
        <w:pStyle w:val="67"/>
        <w:tabs>
          <w:tab w:val="left" w:pos="0"/>
        </w:tabs>
        <w:spacing w:line="360" w:lineRule="auto"/>
        <w:ind w:firstLine="480" w:firstLineChars="200"/>
        <w:rPr>
          <w:rFonts w:hint="eastAsia"/>
          <w:sz w:val="24"/>
        </w:rPr>
      </w:pPr>
      <w:r>
        <w:rPr>
          <w:rFonts w:hint="eastAsia"/>
          <w:sz w:val="24"/>
        </w:rPr>
        <w:t>（1）因情况变化，不再符合规定的竞争性磋商采购方式适用情形的；</w:t>
      </w:r>
    </w:p>
    <w:p w14:paraId="5DB9063F">
      <w:pPr>
        <w:pStyle w:val="67"/>
        <w:tabs>
          <w:tab w:val="left" w:pos="0"/>
        </w:tabs>
        <w:spacing w:line="360" w:lineRule="auto"/>
        <w:ind w:firstLine="480" w:firstLineChars="200"/>
        <w:rPr>
          <w:rFonts w:hint="eastAsia"/>
          <w:sz w:val="24"/>
        </w:rPr>
      </w:pPr>
      <w:r>
        <w:rPr>
          <w:rFonts w:hint="eastAsia"/>
          <w:sz w:val="24"/>
        </w:rPr>
        <w:t>（2）出现影响采购公正的违法、违规行为的；</w:t>
      </w:r>
    </w:p>
    <w:p w14:paraId="19F9369F">
      <w:pPr>
        <w:pStyle w:val="67"/>
        <w:tabs>
          <w:tab w:val="left" w:pos="0"/>
        </w:tabs>
        <w:spacing w:line="360" w:lineRule="auto"/>
        <w:rPr>
          <w:rFonts w:hint="eastAsia"/>
          <w:b/>
          <w:bCs/>
          <w:sz w:val="24"/>
        </w:rPr>
      </w:pPr>
      <w:r>
        <w:rPr>
          <w:rFonts w:hint="eastAsia"/>
          <w:b/>
          <w:bCs/>
          <w:sz w:val="24"/>
        </w:rPr>
        <w:t>5.10重新评审</w:t>
      </w:r>
    </w:p>
    <w:p w14:paraId="0421FF78">
      <w:pPr>
        <w:pStyle w:val="67"/>
        <w:tabs>
          <w:tab w:val="left" w:pos="0"/>
        </w:tabs>
        <w:spacing w:line="360" w:lineRule="auto"/>
        <w:ind w:firstLine="480" w:firstLineChars="200"/>
        <w:rPr>
          <w:rFonts w:hint="eastAsia"/>
          <w:sz w:val="24"/>
        </w:rPr>
      </w:pPr>
      <w:r>
        <w:rPr>
          <w:rFonts w:hint="eastAsia"/>
          <w:sz w:val="24"/>
        </w:rPr>
        <w:t>5.10.1除资格性审查认定错误和分值汇总计算错误、分项评分超出评分标准范围、客观分评分不一致、经磋商小组一致认定评分畸高、畸低的情形外，采购人或者采购代理机构不以任何理由组织重新评审。采购人、采购代理机构发现磋商小组未按照采购文件规定的评定成交的标准进行评审的，应当重新开展采购活动，并同时书面报告本级财政部门。</w:t>
      </w:r>
    </w:p>
    <w:p w14:paraId="56507FE0">
      <w:pPr>
        <w:pStyle w:val="67"/>
        <w:tabs>
          <w:tab w:val="left" w:pos="0"/>
        </w:tabs>
        <w:spacing w:line="360" w:lineRule="auto"/>
        <w:rPr>
          <w:rFonts w:hint="eastAsia"/>
          <w:b/>
          <w:bCs/>
          <w:sz w:val="24"/>
        </w:rPr>
      </w:pPr>
      <w:r>
        <w:rPr>
          <w:rFonts w:hint="eastAsia"/>
          <w:b/>
          <w:bCs/>
          <w:sz w:val="24"/>
        </w:rPr>
        <w:t>5.11保密及串通行为</w:t>
      </w:r>
    </w:p>
    <w:p w14:paraId="56A2D42D">
      <w:pPr>
        <w:pStyle w:val="67"/>
        <w:tabs>
          <w:tab w:val="left" w:pos="0"/>
        </w:tabs>
        <w:spacing w:line="360" w:lineRule="auto"/>
        <w:ind w:firstLine="480" w:firstLineChars="200"/>
        <w:rPr>
          <w:rFonts w:hint="eastAsia"/>
          <w:sz w:val="24"/>
        </w:rPr>
      </w:pPr>
      <w:r>
        <w:rPr>
          <w:rFonts w:hint="eastAsia"/>
          <w:sz w:val="24"/>
        </w:rPr>
        <w:t>5.11.1磋商小组成员以及与评审工作有关的人员不得泄露评审情况以及评审过程中获悉的国家秘密、商业秘密。</w:t>
      </w:r>
    </w:p>
    <w:p w14:paraId="14CAFC8C">
      <w:pPr>
        <w:pStyle w:val="67"/>
        <w:tabs>
          <w:tab w:val="left" w:pos="0"/>
        </w:tabs>
        <w:spacing w:line="360" w:lineRule="auto"/>
        <w:ind w:firstLine="480" w:firstLineChars="200"/>
        <w:rPr>
          <w:rFonts w:hint="eastAsia"/>
          <w:sz w:val="24"/>
        </w:rPr>
      </w:pPr>
      <w:r>
        <w:rPr>
          <w:rFonts w:hint="eastAsia"/>
          <w:sz w:val="24"/>
        </w:rPr>
        <w:t>5.11.2供应商不得与采购人、采购代理机构、其他供应商恶意串通；不得向采购人、采购代理机构或者磋商小组成员行贿或者提供其他不正当利益；不得提供虚假材料谋取成交；不得以任何方式干扰、影响采购工作。</w:t>
      </w:r>
    </w:p>
    <w:p w14:paraId="6767A48D">
      <w:pPr>
        <w:pStyle w:val="67"/>
        <w:tabs>
          <w:tab w:val="left" w:pos="0"/>
        </w:tabs>
        <w:spacing w:line="360" w:lineRule="auto"/>
        <w:ind w:firstLine="480" w:firstLineChars="200"/>
        <w:rPr>
          <w:rFonts w:hint="eastAsia"/>
          <w:sz w:val="24"/>
          <w:lang w:val="zh-CN"/>
        </w:rPr>
      </w:pPr>
      <w:r>
        <w:rPr>
          <w:rFonts w:hint="eastAsia"/>
          <w:sz w:val="24"/>
        </w:rPr>
        <w:t>5.11.3有下列情形之一的，</w:t>
      </w:r>
      <w:r>
        <w:rPr>
          <w:rFonts w:hint="eastAsia"/>
          <w:sz w:val="24"/>
          <w:lang w:val="zh-CN"/>
        </w:rPr>
        <w:t>属于恶意串通，</w:t>
      </w:r>
      <w:r>
        <w:rPr>
          <w:rFonts w:hint="eastAsia"/>
          <w:sz w:val="24"/>
        </w:rPr>
        <w:t>成交无效，并</w:t>
      </w:r>
      <w:r>
        <w:rPr>
          <w:rFonts w:hint="eastAsia"/>
          <w:sz w:val="24"/>
          <w:lang w:val="zh-CN"/>
        </w:rPr>
        <w:t>依照《政府采购法》第七十七条的规定追究法律责任：</w:t>
      </w:r>
    </w:p>
    <w:p w14:paraId="4F866702">
      <w:pPr>
        <w:pStyle w:val="67"/>
        <w:tabs>
          <w:tab w:val="left" w:pos="0"/>
        </w:tabs>
        <w:spacing w:line="360" w:lineRule="auto"/>
        <w:ind w:firstLine="480" w:firstLineChars="200"/>
        <w:rPr>
          <w:rFonts w:hint="eastAsia"/>
          <w:sz w:val="24"/>
        </w:rPr>
      </w:pPr>
      <w:r>
        <w:rPr>
          <w:rFonts w:hint="eastAsia"/>
          <w:sz w:val="24"/>
        </w:rPr>
        <w:t>（1）供应商直接或者间接从采购人、采购代理机构获得其他供应商的相应情况，并修改其响应文件的；</w:t>
      </w:r>
    </w:p>
    <w:p w14:paraId="166997CA">
      <w:pPr>
        <w:pStyle w:val="67"/>
        <w:tabs>
          <w:tab w:val="left" w:pos="0"/>
        </w:tabs>
        <w:spacing w:line="360" w:lineRule="auto"/>
        <w:ind w:firstLine="480" w:firstLineChars="200"/>
        <w:rPr>
          <w:rFonts w:hint="eastAsia"/>
          <w:sz w:val="24"/>
        </w:rPr>
      </w:pPr>
      <w:r>
        <w:rPr>
          <w:rFonts w:hint="eastAsia"/>
          <w:sz w:val="24"/>
        </w:rPr>
        <w:t>（2）采购人、采购代理机构授意供应商撤换、修改响应文件的；</w:t>
      </w:r>
    </w:p>
    <w:p w14:paraId="39256778">
      <w:pPr>
        <w:pStyle w:val="67"/>
        <w:tabs>
          <w:tab w:val="left" w:pos="0"/>
        </w:tabs>
        <w:spacing w:line="360" w:lineRule="auto"/>
        <w:ind w:firstLine="480" w:firstLineChars="200"/>
        <w:rPr>
          <w:rFonts w:hint="eastAsia"/>
          <w:sz w:val="24"/>
        </w:rPr>
      </w:pPr>
      <w:r>
        <w:rPr>
          <w:rFonts w:hint="eastAsia"/>
          <w:sz w:val="24"/>
        </w:rPr>
        <w:t>（3）供应商之间协商技术方案、合同条款以及报价等响应文件实质性内容的；</w:t>
      </w:r>
    </w:p>
    <w:p w14:paraId="4ADFBEF1">
      <w:pPr>
        <w:pStyle w:val="67"/>
        <w:tabs>
          <w:tab w:val="left" w:pos="0"/>
        </w:tabs>
        <w:spacing w:line="360" w:lineRule="auto"/>
        <w:ind w:firstLine="480" w:firstLineChars="200"/>
        <w:rPr>
          <w:rFonts w:hint="eastAsia"/>
          <w:sz w:val="24"/>
        </w:rPr>
      </w:pPr>
      <w:r>
        <w:rPr>
          <w:rFonts w:hint="eastAsia"/>
          <w:sz w:val="24"/>
        </w:rPr>
        <w:t>（4）属于同一集团、协会、商会等组织成员的供应商按照该组织要求协同参加竞争性磋商政府采购活动的；</w:t>
      </w:r>
    </w:p>
    <w:p w14:paraId="622A1722">
      <w:pPr>
        <w:pStyle w:val="67"/>
        <w:tabs>
          <w:tab w:val="left" w:pos="0"/>
        </w:tabs>
        <w:spacing w:line="360" w:lineRule="auto"/>
        <w:ind w:firstLine="480" w:firstLineChars="200"/>
        <w:rPr>
          <w:rFonts w:hint="eastAsia"/>
          <w:sz w:val="24"/>
        </w:rPr>
      </w:pPr>
      <w:r>
        <w:rPr>
          <w:rFonts w:hint="eastAsia"/>
          <w:sz w:val="24"/>
        </w:rPr>
        <w:t>（5）供应商之间事先约定由某一特定供应商成交的；</w:t>
      </w:r>
    </w:p>
    <w:p w14:paraId="5BFAFEE8">
      <w:pPr>
        <w:pStyle w:val="67"/>
        <w:tabs>
          <w:tab w:val="left" w:pos="0"/>
        </w:tabs>
        <w:spacing w:line="360" w:lineRule="auto"/>
        <w:ind w:firstLine="480" w:firstLineChars="200"/>
        <w:rPr>
          <w:rFonts w:hint="eastAsia"/>
          <w:sz w:val="24"/>
        </w:rPr>
      </w:pPr>
      <w:r>
        <w:rPr>
          <w:rFonts w:hint="eastAsia"/>
          <w:sz w:val="24"/>
        </w:rPr>
        <w:t>（6）供应商之间商定部分供应商放弃提交响应文件或者退出磋商或者放弃成交的；</w:t>
      </w:r>
    </w:p>
    <w:p w14:paraId="2E17FC6E">
      <w:pPr>
        <w:pStyle w:val="67"/>
        <w:tabs>
          <w:tab w:val="left" w:pos="0"/>
        </w:tabs>
        <w:spacing w:line="360" w:lineRule="auto"/>
        <w:ind w:firstLine="480" w:firstLineChars="200"/>
        <w:rPr>
          <w:rFonts w:hint="eastAsia"/>
          <w:sz w:val="24"/>
        </w:rPr>
      </w:pPr>
      <w:r>
        <w:rPr>
          <w:rFonts w:hint="eastAsia"/>
          <w:sz w:val="24"/>
        </w:rPr>
        <w:t>（7）供应商与采购人、采购代理机构以及磋商小组成员之间、供应商相互之间，为谋求特定供应商成交或者排斥其他供应商的其他串通行为的。</w:t>
      </w:r>
    </w:p>
    <w:p w14:paraId="272B3655">
      <w:pPr>
        <w:pStyle w:val="67"/>
        <w:tabs>
          <w:tab w:val="left" w:pos="0"/>
        </w:tabs>
        <w:spacing w:line="360" w:lineRule="auto"/>
        <w:ind w:firstLine="480" w:firstLineChars="200"/>
        <w:rPr>
          <w:rFonts w:hint="eastAsia"/>
          <w:sz w:val="24"/>
        </w:rPr>
      </w:pPr>
      <w:r>
        <w:rPr>
          <w:rFonts w:hint="eastAsia"/>
          <w:sz w:val="24"/>
        </w:rPr>
        <w:t>（8）法律、行政法规或规章规定的其他串通行为。</w:t>
      </w:r>
    </w:p>
    <w:p w14:paraId="7D9F8D56">
      <w:pPr>
        <w:pStyle w:val="77"/>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cs="宋体"/>
          <w:b w:val="0"/>
          <w:bCs/>
          <w:szCs w:val="24"/>
        </w:rPr>
      </w:pPr>
      <w:bookmarkStart w:id="57" w:name="_Toc106276253"/>
      <w:bookmarkStart w:id="58" w:name="_Toc9249"/>
      <w:r>
        <w:rPr>
          <w:rFonts w:hint="eastAsia" w:ascii="宋体" w:hAnsi="宋体" w:cs="宋体"/>
          <w:b w:val="0"/>
          <w:bCs/>
          <w:szCs w:val="24"/>
          <w:lang w:val="en-US" w:eastAsia="zh-CN"/>
        </w:rPr>
        <w:t>六</w:t>
      </w:r>
      <w:r>
        <w:rPr>
          <w:rFonts w:hint="eastAsia" w:ascii="宋体" w:hAnsi="宋体" w:cs="宋体"/>
          <w:b w:val="0"/>
          <w:bCs/>
          <w:szCs w:val="24"/>
        </w:rPr>
        <w:t>、成交结果及合同授予</w:t>
      </w:r>
      <w:bookmarkEnd w:id="53"/>
      <w:bookmarkEnd w:id="54"/>
      <w:bookmarkEnd w:id="55"/>
      <w:bookmarkEnd w:id="56"/>
      <w:bookmarkEnd w:id="57"/>
      <w:bookmarkEnd w:id="58"/>
    </w:p>
    <w:p w14:paraId="53CD6E22">
      <w:pPr>
        <w:pStyle w:val="67"/>
        <w:adjustRightInd w:val="0"/>
        <w:snapToGrid w:val="0"/>
        <w:spacing w:line="360" w:lineRule="auto"/>
        <w:rPr>
          <w:rFonts w:hint="eastAsia" w:ascii="宋体" w:hAnsi="宋体" w:cs="宋体"/>
          <w:b/>
          <w:bCs/>
          <w:sz w:val="24"/>
        </w:rPr>
      </w:pPr>
      <w:r>
        <w:rPr>
          <w:rFonts w:hint="eastAsia" w:ascii="宋体" w:hAnsi="宋体" w:cs="宋体"/>
          <w:b/>
          <w:bCs/>
          <w:sz w:val="24"/>
        </w:rPr>
        <w:t>6.1成交结果</w:t>
      </w:r>
    </w:p>
    <w:p w14:paraId="1B6074BE">
      <w:pPr>
        <w:pStyle w:val="85"/>
        <w:adjustRightInd w:val="0"/>
        <w:snapToGrid w:val="0"/>
        <w:spacing w:line="360" w:lineRule="auto"/>
        <w:ind w:firstLine="480" w:firstLineChars="200"/>
        <w:rPr>
          <w:rFonts w:hint="eastAsia" w:hAnsi="宋体" w:cs="宋体"/>
          <w:sz w:val="24"/>
          <w:szCs w:val="24"/>
        </w:rPr>
      </w:pPr>
      <w:r>
        <w:rPr>
          <w:rFonts w:hint="eastAsia" w:hAnsi="宋体" w:cs="宋体"/>
          <w:sz w:val="24"/>
          <w:szCs w:val="24"/>
        </w:rPr>
        <w:t>磋商结束后，成交结果信息将在</w:t>
      </w:r>
      <w:r>
        <w:rPr>
          <w:rFonts w:hint="eastAsia" w:hAnsi="宋体" w:cs="宋体"/>
          <w:b/>
          <w:sz w:val="24"/>
          <w:szCs w:val="24"/>
        </w:rPr>
        <w:t>磋商须知前附表</w:t>
      </w:r>
      <w:r>
        <w:rPr>
          <w:rFonts w:hint="eastAsia" w:hAnsi="宋体" w:cs="宋体"/>
          <w:sz w:val="24"/>
          <w:szCs w:val="24"/>
        </w:rPr>
        <w:t>规定的媒体上公布。</w:t>
      </w:r>
      <w:r>
        <w:rPr>
          <w:rFonts w:hint="eastAsia" w:hAnsi="宋体" w:cs="宋体"/>
          <w:sz w:val="24"/>
          <w:szCs w:val="24"/>
          <w:lang w:val="zh-CN"/>
        </w:rPr>
        <w:t>同时向成交供应商发出成交通知书，该通知书将是合同的组成部分。</w:t>
      </w:r>
    </w:p>
    <w:p w14:paraId="495BD6DC">
      <w:pPr>
        <w:pStyle w:val="67"/>
        <w:adjustRightInd w:val="0"/>
        <w:snapToGrid w:val="0"/>
        <w:spacing w:line="360" w:lineRule="auto"/>
        <w:rPr>
          <w:rFonts w:hint="eastAsia" w:ascii="宋体" w:hAnsi="宋体" w:cs="宋体"/>
          <w:b/>
          <w:bCs/>
          <w:sz w:val="24"/>
        </w:rPr>
      </w:pPr>
      <w:r>
        <w:rPr>
          <w:rFonts w:hint="eastAsia" w:ascii="宋体" w:hAnsi="宋体" w:cs="宋体"/>
          <w:b/>
          <w:bCs/>
          <w:sz w:val="24"/>
        </w:rPr>
        <w:t>6.2签订合同</w:t>
      </w:r>
    </w:p>
    <w:p w14:paraId="1B3182E7">
      <w:pPr>
        <w:pStyle w:val="67"/>
        <w:autoSpaceDE w:val="0"/>
        <w:autoSpaceDN w:val="0"/>
        <w:adjustRightInd w:val="0"/>
        <w:spacing w:line="360" w:lineRule="auto"/>
        <w:ind w:firstLine="480" w:firstLineChars="200"/>
        <w:rPr>
          <w:rFonts w:hint="eastAsia" w:ascii="宋体" w:hAnsi="宋体" w:cs="宋体"/>
          <w:sz w:val="24"/>
          <w:lang w:val="zh-CN"/>
        </w:rPr>
      </w:pPr>
      <w:r>
        <w:rPr>
          <w:rFonts w:hint="eastAsia" w:ascii="宋体" w:hAnsi="宋体" w:cs="宋体"/>
          <w:sz w:val="24"/>
          <w:lang w:val="zh-CN"/>
        </w:rPr>
        <w:t>6.2.1 成交供应商应按成交通知书规定的时间、地点与采购人签订书面合同。</w:t>
      </w:r>
    </w:p>
    <w:p w14:paraId="069E42BB">
      <w:pPr>
        <w:pStyle w:val="67"/>
        <w:autoSpaceDE w:val="0"/>
        <w:autoSpaceDN w:val="0"/>
        <w:adjustRightInd w:val="0"/>
        <w:spacing w:line="360" w:lineRule="auto"/>
        <w:ind w:firstLine="480" w:firstLineChars="200"/>
        <w:rPr>
          <w:rFonts w:hint="eastAsia" w:ascii="宋体" w:hAnsi="宋体" w:cs="宋体"/>
          <w:sz w:val="24"/>
          <w:lang w:val="zh-CN"/>
        </w:rPr>
      </w:pPr>
      <w:r>
        <w:rPr>
          <w:rFonts w:hint="eastAsia" w:ascii="宋体" w:hAnsi="宋体" w:cs="宋体"/>
          <w:sz w:val="24"/>
          <w:lang w:val="zh-CN"/>
        </w:rPr>
        <w:t xml:space="preserve">6.2.2 </w:t>
      </w:r>
      <w:r>
        <w:rPr>
          <w:rFonts w:hint="eastAsia" w:ascii="宋体" w:hAnsi="宋体" w:cs="宋体"/>
          <w:sz w:val="24"/>
        </w:rPr>
        <w:t>成交供应商因不可抗力或者自身原因拒绝与采购人签订合同，或不能履行合同的。采购人可以按照评审报告推荐的成交候选供应商名单排序，确定下一候选供应商为成交供应商，也可以重新开展政府采购活动。</w:t>
      </w:r>
    </w:p>
    <w:p w14:paraId="775ED229">
      <w:pPr>
        <w:pStyle w:val="67"/>
        <w:spacing w:line="360" w:lineRule="auto"/>
        <w:ind w:firstLine="480" w:firstLineChars="200"/>
        <w:rPr>
          <w:rFonts w:hint="eastAsia" w:ascii="宋体" w:hAnsi="宋体" w:cs="宋体"/>
          <w:bCs/>
          <w:sz w:val="24"/>
        </w:rPr>
      </w:pPr>
      <w:r>
        <w:rPr>
          <w:rFonts w:hint="eastAsia" w:ascii="宋体" w:hAnsi="宋体" w:cs="宋体"/>
          <w:bCs/>
          <w:sz w:val="24"/>
        </w:rPr>
        <w:t>6.2.3政府采购合同履行中，采购人需追加与合同标的相同的工程的，在不改变合同其他条款的前提下，可以与成交供应商协商签订补充合同，但所有补充合同的采购金额不得超过原合同采购金额的百分之十。</w:t>
      </w:r>
    </w:p>
    <w:p w14:paraId="15A032DA">
      <w:pPr>
        <w:pStyle w:val="77"/>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cs="宋体"/>
          <w:b w:val="0"/>
          <w:bCs/>
          <w:szCs w:val="24"/>
        </w:rPr>
      </w:pPr>
      <w:bookmarkStart w:id="59" w:name="_Toc256000011"/>
      <w:bookmarkStart w:id="60" w:name="_Toc106276254"/>
      <w:bookmarkStart w:id="61" w:name="_Toc11314"/>
      <w:bookmarkStart w:id="62" w:name="_Toc25161"/>
      <w:bookmarkStart w:id="63" w:name="_Toc32267"/>
      <w:bookmarkStart w:id="64" w:name="_Toc7376"/>
      <w:r>
        <w:rPr>
          <w:rFonts w:hint="eastAsia" w:ascii="宋体" w:hAnsi="宋体" w:cs="宋体"/>
          <w:b w:val="0"/>
          <w:bCs/>
          <w:szCs w:val="24"/>
          <w:lang w:val="en-US" w:eastAsia="zh-CN"/>
        </w:rPr>
        <w:t>七</w:t>
      </w:r>
      <w:r>
        <w:rPr>
          <w:rFonts w:hint="eastAsia" w:ascii="宋体" w:hAnsi="宋体" w:cs="宋体"/>
          <w:b w:val="0"/>
          <w:bCs/>
          <w:szCs w:val="24"/>
        </w:rPr>
        <w:t>、质疑与投诉</w:t>
      </w:r>
      <w:bookmarkEnd w:id="59"/>
      <w:bookmarkEnd w:id="60"/>
      <w:bookmarkEnd w:id="61"/>
      <w:bookmarkEnd w:id="62"/>
      <w:bookmarkEnd w:id="63"/>
      <w:bookmarkEnd w:id="64"/>
    </w:p>
    <w:p w14:paraId="1E80E37C">
      <w:pPr>
        <w:pStyle w:val="67"/>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7.1 供应商认为采购文件、采购过程、中标或者成交结果使自己的权益受到损害的，可以在知道或者应知其权益受到损害之日起7个工作日内，以书面形式向采购人、采购代理机构提出质疑。</w:t>
      </w:r>
    </w:p>
    <w:p w14:paraId="50C2A8BA">
      <w:pPr>
        <w:pStyle w:val="67"/>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7.2供应商若认为磋商文件、磋商过程和成交结果使自己的权益受到损害，应在以下规定时间内以书面形式向采购机构提出：</w:t>
      </w:r>
    </w:p>
    <w:p w14:paraId="324D6F31">
      <w:pPr>
        <w:pStyle w:val="67"/>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（1）对可以质疑的磋商文件提出质疑的，应当自收到磋商文件之日或者磋商文件公告期限届满之日起七个工作日内；</w:t>
      </w:r>
    </w:p>
    <w:p w14:paraId="0B1F15F5">
      <w:pPr>
        <w:pStyle w:val="67"/>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（2）对磋商过程提出质疑的，应当在各磋商程序环节结束之日起七个工作日内；</w:t>
      </w:r>
    </w:p>
    <w:p w14:paraId="258B685F">
      <w:pPr>
        <w:pStyle w:val="67"/>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（3）对成交结果提出质疑的，应当在成交结果公告期限届满之日起七个工作日内提出；</w:t>
      </w:r>
    </w:p>
    <w:p w14:paraId="4231F63F">
      <w:pPr>
        <w:pStyle w:val="67"/>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（4）磋商文件或法律法规规定的其他时间内。</w:t>
      </w:r>
    </w:p>
    <w:p w14:paraId="14701584">
      <w:pPr>
        <w:pStyle w:val="67"/>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7.3 供应商提出质疑的，应当有明确的请求和必要的证明材料，并提供质疑书原件。招标采购单位向质疑供应商签收回执。</w:t>
      </w:r>
    </w:p>
    <w:p w14:paraId="4A21F029">
      <w:pPr>
        <w:pStyle w:val="67"/>
        <w:adjustRightInd w:val="0"/>
        <w:snapToGrid w:val="0"/>
        <w:spacing w:line="360" w:lineRule="auto"/>
        <w:ind w:firstLine="480" w:firstLineChars="200"/>
        <w:jc w:val="left"/>
        <w:rPr>
          <w:rFonts w:hint="eastAsia" w:ascii="宋体" w:hAnsi="宋体" w:cs="宋体"/>
          <w:color w:val="999999"/>
          <w:sz w:val="24"/>
        </w:rPr>
      </w:pPr>
      <w:r>
        <w:rPr>
          <w:rFonts w:hint="eastAsia" w:ascii="宋体" w:hAnsi="宋体" w:cs="宋体"/>
          <w:sz w:val="24"/>
        </w:rPr>
        <w:t>7.4 质疑书应当由质疑供应商法定代表人或授权代表人签字并加盖公章，质疑书由授权代表人签字的应附法定代表人授权书。</w:t>
      </w:r>
    </w:p>
    <w:p w14:paraId="0030A6DC">
      <w:pPr>
        <w:pStyle w:val="67"/>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7.5 采购机构将在签收回执之日起七个工作日内作出书面答复，并以书面形式通知与质疑处理结果有关的供应商。</w:t>
      </w:r>
    </w:p>
    <w:p w14:paraId="4795AF46">
      <w:pPr>
        <w:pStyle w:val="67"/>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7.6 供应商对采购机构的答复不满意，或采购机构未在规定的期限作出答复的，可在答复期满后十五个工作日内，按政府采购相关法律法规规章的规定及程序，向相关行政监督部门提出投诉，投诉的事项不得超出已质疑事项的范围。</w:t>
      </w:r>
    </w:p>
    <w:p w14:paraId="58AB47E0">
      <w:pPr>
        <w:pStyle w:val="77"/>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cs="宋体"/>
          <w:szCs w:val="24"/>
        </w:rPr>
      </w:pPr>
      <w:bookmarkStart w:id="65" w:name="_Toc11124"/>
      <w:bookmarkStart w:id="66" w:name="_Toc9458"/>
      <w:bookmarkStart w:id="67" w:name="_Toc256000012"/>
      <w:bookmarkStart w:id="68" w:name="_Toc106276255"/>
      <w:bookmarkStart w:id="69" w:name="_Toc4999"/>
      <w:bookmarkStart w:id="70" w:name="_Toc10505"/>
      <w:r>
        <w:rPr>
          <w:rFonts w:hint="eastAsia" w:ascii="宋体" w:hAnsi="宋体" w:cs="宋体"/>
          <w:szCs w:val="24"/>
          <w:lang w:val="en-US" w:eastAsia="zh-CN"/>
        </w:rPr>
        <w:t>八</w:t>
      </w:r>
      <w:r>
        <w:rPr>
          <w:rFonts w:hint="eastAsia" w:ascii="宋体" w:hAnsi="宋体" w:cs="宋体"/>
          <w:szCs w:val="24"/>
        </w:rPr>
        <w:t>、其他规定</w:t>
      </w:r>
      <w:bookmarkEnd w:id="65"/>
      <w:bookmarkEnd w:id="66"/>
      <w:bookmarkEnd w:id="67"/>
      <w:bookmarkEnd w:id="68"/>
      <w:bookmarkEnd w:id="69"/>
      <w:bookmarkEnd w:id="70"/>
    </w:p>
    <w:p w14:paraId="1D3E6D6D">
      <w:pPr>
        <w:pStyle w:val="67"/>
        <w:tabs>
          <w:tab w:val="left" w:pos="420"/>
          <w:tab w:val="left" w:pos="7560"/>
          <w:tab w:val="left" w:pos="7740"/>
          <w:tab w:val="left" w:pos="7920"/>
        </w:tabs>
        <w:adjustRightInd w:val="0"/>
        <w:snapToGrid w:val="0"/>
        <w:spacing w:line="360" w:lineRule="auto"/>
        <w:ind w:firstLine="480" w:firstLineChars="200"/>
        <w:rPr>
          <w:rFonts w:hint="eastAsia" w:ascii="宋体" w:hAnsi="宋体" w:cs="宋体"/>
          <w:b/>
          <w:sz w:val="24"/>
        </w:rPr>
      </w:pPr>
      <w:r>
        <w:rPr>
          <w:rFonts w:hint="eastAsia" w:ascii="宋体" w:hAnsi="宋体" w:cs="宋体"/>
          <w:sz w:val="24"/>
        </w:rPr>
        <w:t>磋商文件的其他规定见</w:t>
      </w:r>
      <w:r>
        <w:rPr>
          <w:rFonts w:hint="eastAsia" w:ascii="宋体" w:hAnsi="宋体" w:cs="宋体"/>
          <w:b/>
          <w:sz w:val="24"/>
        </w:rPr>
        <w:t>磋商须知前附表。</w:t>
      </w:r>
    </w:p>
    <w:bookmarkEnd w:id="9"/>
    <w:p w14:paraId="1C086B6E">
      <w:pPr>
        <w:rPr>
          <w:rFonts w:hint="eastAsia" w:ascii="宋体" w:hAnsi="宋体" w:cs="宋体"/>
          <w:color w:val="000080"/>
          <w:sz w:val="20"/>
          <w:highlight w:val="white"/>
        </w:rPr>
      </w:pPr>
    </w:p>
    <w:p w14:paraId="073D1594">
      <w:pPr>
        <w:pStyle w:val="2"/>
        <w:rPr>
          <w:rStyle w:val="54"/>
          <w:rFonts w:hint="eastAsia" w:ascii="宋体" w:hAnsi="宋体" w:cs="宋体"/>
          <w:b w:val="0"/>
          <w:bCs w:val="0"/>
          <w:sz w:val="28"/>
          <w:szCs w:val="28"/>
        </w:rPr>
      </w:pPr>
      <w:r>
        <w:rPr>
          <w:rFonts w:hint="eastAsia" w:ascii="宋体" w:hAnsi="宋体" w:cs="宋体"/>
          <w:szCs w:val="21"/>
          <w:highlight w:val="white"/>
        </w:rPr>
        <w:br w:type="page"/>
      </w:r>
      <w:bookmarkStart w:id="71" w:name="_Toc529952598"/>
      <w:bookmarkStart w:id="72" w:name="_Toc23422"/>
      <w:bookmarkStart w:id="73" w:name="_Toc25627"/>
      <w:r>
        <w:rPr>
          <w:rFonts w:hint="eastAsia" w:ascii="宋体" w:hAnsi="宋体" w:cs="宋体"/>
          <w:sz w:val="36"/>
          <w:szCs w:val="36"/>
          <w:highlight w:val="white"/>
        </w:rPr>
        <w:t>第三章 评审方法（综合评分法）</w:t>
      </w:r>
      <w:bookmarkEnd w:id="71"/>
      <w:bookmarkEnd w:id="72"/>
      <w:bookmarkEnd w:id="73"/>
    </w:p>
    <w:p w14:paraId="72C0F6CF">
      <w:pPr>
        <w:tabs>
          <w:tab w:val="left" w:pos="420"/>
          <w:tab w:val="left" w:pos="7560"/>
          <w:tab w:val="left" w:pos="7740"/>
          <w:tab w:val="left" w:pos="7920"/>
        </w:tabs>
        <w:adjustRightInd w:val="0"/>
        <w:snapToGrid w:val="0"/>
        <w:spacing w:line="360" w:lineRule="exact"/>
        <w:outlineLvl w:val="1"/>
        <w:rPr>
          <w:rFonts w:hint="eastAsia" w:ascii="宋体" w:hAnsi="宋体" w:cs="宋体"/>
          <w:b/>
          <w:sz w:val="24"/>
        </w:rPr>
      </w:pPr>
      <w:bookmarkStart w:id="74" w:name="_Toc20724"/>
      <w:bookmarkStart w:id="75" w:name="_Toc12067"/>
      <w:bookmarkStart w:id="76" w:name="_Toc106276257"/>
      <w:r>
        <w:rPr>
          <w:rFonts w:hint="eastAsia" w:ascii="宋体" w:hAnsi="宋体" w:cs="宋体"/>
          <w:b/>
          <w:sz w:val="24"/>
          <w:highlight w:val="white"/>
        </w:rPr>
        <w:t>一、综合评分</w:t>
      </w:r>
      <w:bookmarkEnd w:id="74"/>
      <w:bookmarkEnd w:id="75"/>
      <w:bookmarkEnd w:id="76"/>
    </w:p>
    <w:p w14:paraId="28268508">
      <w:pPr>
        <w:spacing w:line="360" w:lineRule="auto"/>
        <w:ind w:firstLine="480" w:firstLineChars="200"/>
        <w:rPr>
          <w:rFonts w:hint="eastAsia" w:ascii="宋体" w:hAnsi="宋体" w:cs="宋体"/>
          <w:sz w:val="24"/>
        </w:rPr>
      </w:pPr>
      <w:r>
        <w:rPr>
          <w:rFonts w:hint="eastAsia" w:ascii="宋体" w:hAnsi="宋体" w:cs="宋体"/>
          <w:sz w:val="24"/>
          <w:highlight w:val="white"/>
        </w:rPr>
        <w:t>1.经磋商确定最终采购需求和提交最后报价的供应商后，由磋商小组采用综合评分法对提交最后报价的供应商的响应文件和最后报价进行综合评分。</w:t>
      </w:r>
    </w:p>
    <w:p w14:paraId="60422A6C">
      <w:pPr>
        <w:spacing w:line="360" w:lineRule="auto"/>
        <w:ind w:firstLine="480" w:firstLineChars="200"/>
        <w:rPr>
          <w:rFonts w:hint="eastAsia" w:ascii="宋体" w:hAnsi="宋体" w:cs="宋体"/>
          <w:sz w:val="24"/>
        </w:rPr>
      </w:pPr>
      <w:r>
        <w:rPr>
          <w:rFonts w:hint="eastAsia" w:ascii="宋体" w:hAnsi="宋体" w:cs="宋体"/>
          <w:sz w:val="24"/>
          <w:highlight w:val="white"/>
        </w:rPr>
        <w:t>综合评分法，是指响应文件满足磋商文件全部实质性要求且按评审因素的量化指标评审得分最高的供应商为成交候选供应商的评审方法。</w:t>
      </w:r>
    </w:p>
    <w:p w14:paraId="71FDF599">
      <w:pPr>
        <w:spacing w:line="360" w:lineRule="auto"/>
        <w:ind w:firstLine="480" w:firstLineChars="200"/>
        <w:rPr>
          <w:rFonts w:hint="eastAsia" w:ascii="宋体" w:hAnsi="宋体" w:cs="宋体"/>
          <w:sz w:val="24"/>
        </w:rPr>
      </w:pPr>
      <w:r>
        <w:rPr>
          <w:rFonts w:hint="eastAsia" w:ascii="宋体" w:hAnsi="宋体" w:cs="宋体"/>
          <w:sz w:val="24"/>
          <w:highlight w:val="white"/>
        </w:rPr>
        <w:t>2.评审时，磋商小组各成员应当独立对每个有效响应的文件进行评价、打分，然后汇总每个供应商每项评分因素的得分。</w:t>
      </w:r>
    </w:p>
    <w:p w14:paraId="0479C8D9">
      <w:pPr>
        <w:spacing w:line="360" w:lineRule="auto"/>
        <w:ind w:firstLine="480" w:firstLineChars="200"/>
        <w:rPr>
          <w:rFonts w:hint="eastAsia" w:ascii="宋体" w:hAnsi="宋体" w:cs="宋体"/>
          <w:sz w:val="24"/>
          <w:highlight w:val="white"/>
        </w:rPr>
      </w:pPr>
      <w:r>
        <w:rPr>
          <w:rFonts w:hint="eastAsia" w:ascii="宋体" w:hAnsi="宋体" w:cs="宋体"/>
          <w:sz w:val="24"/>
          <w:highlight w:val="white"/>
        </w:rPr>
        <w:t>3.符合《政府采购竞争性磋商采购方式管理暂行办法》（财库[2014]214号）中第三条第三项的规定和执行统一价格标准的项目，其价格不列为评分因素。有特殊情况需要在上述规定范围外设定价格分权重的，应当经本级人民政府财政部门审核同意。</w:t>
      </w:r>
    </w:p>
    <w:p w14:paraId="72B34B99">
      <w:pPr>
        <w:spacing w:line="360" w:lineRule="exact"/>
        <w:outlineLvl w:val="1"/>
        <w:rPr>
          <w:rFonts w:hint="eastAsia" w:ascii="宋体" w:hAnsi="宋体" w:cs="宋体"/>
          <w:sz w:val="24"/>
          <w:highlight w:val="white"/>
        </w:rPr>
      </w:pPr>
      <w:bookmarkStart w:id="77" w:name="_Toc21383"/>
      <w:r>
        <w:rPr>
          <w:rFonts w:hint="eastAsia" w:ascii="宋体" w:hAnsi="宋体" w:cs="宋体"/>
          <w:b/>
          <w:bCs/>
          <w:sz w:val="24"/>
          <w:highlight w:val="white"/>
        </w:rPr>
        <w:t>二</w:t>
      </w:r>
      <w:r>
        <w:rPr>
          <w:rFonts w:hint="eastAsia" w:ascii="宋体" w:hAnsi="宋体" w:cs="宋体"/>
          <w:b/>
          <w:bCs/>
          <w:sz w:val="24"/>
          <w:highlight w:val="white"/>
          <w:lang w:eastAsia="zh-CN"/>
        </w:rPr>
        <w:t>、</w:t>
      </w:r>
      <w:r>
        <w:rPr>
          <w:rFonts w:hint="eastAsia" w:ascii="宋体" w:hAnsi="宋体" w:cs="宋体"/>
          <w:b/>
          <w:bCs/>
          <w:sz w:val="24"/>
          <w:highlight w:val="white"/>
        </w:rPr>
        <w:t>综合评分细则表</w:t>
      </w:r>
      <w:bookmarkEnd w:id="77"/>
    </w:p>
    <w:tbl>
      <w:tblPr>
        <w:tblStyle w:val="46"/>
        <w:tblpPr w:leftFromText="180" w:rightFromText="180" w:vertAnchor="text" w:horzAnchor="page" w:tblpXSpec="center" w:tblpY="650"/>
        <w:tblOverlap w:val="never"/>
        <w:tblW w:w="6183" w:type="pct"/>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389"/>
        <w:gridCol w:w="791"/>
        <w:gridCol w:w="1429"/>
        <w:gridCol w:w="7107"/>
        <w:gridCol w:w="392"/>
        <w:gridCol w:w="311"/>
        <w:gridCol w:w="703"/>
      </w:tblGrid>
      <w:tr w14:paraId="07E24BF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30" w:type="pct"/>
            <w:gridSpan w:val="2"/>
            <w:vMerge w:val="restart"/>
            <w:tcBorders>
              <w:top w:val="outset" w:color="auto" w:sz="6" w:space="0"/>
              <w:left w:val="outset" w:color="auto" w:sz="6" w:space="0"/>
              <w:bottom w:val="outset" w:color="auto" w:sz="6" w:space="0"/>
              <w:right w:val="outset" w:color="auto" w:sz="6" w:space="0"/>
            </w:tcBorders>
            <w:noWrap w:val="0"/>
            <w:vAlign w:val="center"/>
          </w:tcPr>
          <w:p w14:paraId="43A51F6D">
            <w:pPr>
              <w:pStyle w:val="171"/>
              <w:jc w:val="center"/>
              <w:rPr>
                <w:rFonts w:hint="eastAsia" w:ascii="宋体" w:hAnsi="宋体" w:eastAsia="宋体" w:cs="宋体"/>
              </w:rPr>
            </w:pPr>
            <w:bookmarkStart w:id="78" w:name="_Toc3849"/>
            <w:bookmarkStart w:id="79" w:name="_Toc106276258"/>
            <w:r>
              <w:rPr>
                <w:rFonts w:hint="eastAsia" w:ascii="宋体" w:hAnsi="宋体" w:eastAsia="宋体" w:cs="宋体"/>
                <w:b/>
              </w:rPr>
              <w:t>评分因素</w:t>
            </w:r>
          </w:p>
        </w:tc>
        <w:tc>
          <w:tcPr>
            <w:tcW w:w="642" w:type="pct"/>
            <w:vMerge w:val="restart"/>
            <w:tcBorders>
              <w:top w:val="outset" w:color="auto" w:sz="6" w:space="0"/>
              <w:left w:val="outset" w:color="auto" w:sz="6" w:space="0"/>
              <w:bottom w:val="outset" w:color="auto" w:sz="6" w:space="0"/>
              <w:right w:val="outset" w:color="auto" w:sz="6" w:space="0"/>
            </w:tcBorders>
            <w:noWrap w:val="0"/>
            <w:vAlign w:val="center"/>
          </w:tcPr>
          <w:p w14:paraId="5E5F3A2D">
            <w:pPr>
              <w:pStyle w:val="171"/>
              <w:jc w:val="center"/>
              <w:rPr>
                <w:rFonts w:hint="eastAsia" w:ascii="宋体" w:hAnsi="宋体" w:eastAsia="宋体" w:cs="宋体"/>
              </w:rPr>
            </w:pPr>
            <w:r>
              <w:rPr>
                <w:rFonts w:hint="eastAsia" w:ascii="宋体" w:hAnsi="宋体" w:eastAsia="宋体" w:cs="宋体"/>
                <w:b/>
              </w:rPr>
              <w:t>评分点</w:t>
            </w:r>
          </w:p>
        </w:tc>
        <w:tc>
          <w:tcPr>
            <w:tcW w:w="3195" w:type="pct"/>
            <w:vMerge w:val="restart"/>
            <w:tcBorders>
              <w:top w:val="outset" w:color="auto" w:sz="6" w:space="0"/>
              <w:left w:val="outset" w:color="auto" w:sz="6" w:space="0"/>
              <w:bottom w:val="outset" w:color="auto" w:sz="6" w:space="0"/>
              <w:right w:val="outset" w:color="auto" w:sz="6" w:space="0"/>
            </w:tcBorders>
            <w:noWrap w:val="0"/>
            <w:vAlign w:val="center"/>
          </w:tcPr>
          <w:p w14:paraId="6A4F9D19">
            <w:pPr>
              <w:pStyle w:val="171"/>
              <w:jc w:val="center"/>
              <w:rPr>
                <w:rFonts w:hint="eastAsia" w:ascii="宋体" w:hAnsi="宋体" w:eastAsia="宋体" w:cs="宋体"/>
              </w:rPr>
            </w:pPr>
            <w:r>
              <w:rPr>
                <w:rFonts w:hint="eastAsia" w:ascii="宋体" w:hAnsi="宋体" w:eastAsia="宋体" w:cs="宋体"/>
                <w:b/>
              </w:rPr>
              <w:t>评分标准</w:t>
            </w:r>
          </w:p>
        </w:tc>
        <w:tc>
          <w:tcPr>
            <w:tcW w:w="316" w:type="pct"/>
            <w:gridSpan w:val="2"/>
            <w:tcBorders>
              <w:top w:val="outset" w:color="auto" w:sz="6" w:space="0"/>
              <w:left w:val="outset" w:color="auto" w:sz="6" w:space="0"/>
              <w:bottom w:val="outset" w:color="auto" w:sz="6" w:space="0"/>
              <w:right w:val="outset" w:color="auto" w:sz="6" w:space="0"/>
            </w:tcBorders>
            <w:noWrap w:val="0"/>
            <w:vAlign w:val="center"/>
          </w:tcPr>
          <w:p w14:paraId="2874A239">
            <w:pPr>
              <w:pStyle w:val="171"/>
              <w:jc w:val="center"/>
              <w:rPr>
                <w:rFonts w:hint="eastAsia" w:ascii="宋体" w:hAnsi="宋体" w:eastAsia="宋体" w:cs="宋体"/>
              </w:rPr>
            </w:pPr>
            <w:r>
              <w:rPr>
                <w:rFonts w:hint="eastAsia" w:ascii="宋体" w:hAnsi="宋体" w:eastAsia="宋体" w:cs="宋体"/>
                <w:b/>
              </w:rPr>
              <w:t>评审意见</w:t>
            </w:r>
          </w:p>
        </w:tc>
        <w:tc>
          <w:tcPr>
            <w:tcW w:w="316" w:type="pct"/>
            <w:tcBorders>
              <w:top w:val="outset" w:color="auto" w:sz="6" w:space="0"/>
              <w:left w:val="outset" w:color="auto" w:sz="6" w:space="0"/>
              <w:bottom w:val="outset" w:color="auto" w:sz="6" w:space="0"/>
              <w:right w:val="outset" w:color="auto" w:sz="6" w:space="0"/>
            </w:tcBorders>
            <w:noWrap w:val="0"/>
            <w:vAlign w:val="center"/>
          </w:tcPr>
          <w:p w14:paraId="7B72F1CF">
            <w:pPr>
              <w:pStyle w:val="171"/>
              <w:jc w:val="center"/>
              <w:rPr>
                <w:rFonts w:hint="eastAsia" w:ascii="宋体" w:hAnsi="宋体" w:eastAsia="宋体" w:cs="宋体"/>
                <w:b/>
              </w:rPr>
            </w:pPr>
          </w:p>
        </w:tc>
      </w:tr>
      <w:tr w14:paraId="4E3D5FF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30" w:type="pct"/>
            <w:gridSpan w:val="2"/>
            <w:vMerge w:val="continue"/>
            <w:tcBorders>
              <w:top w:val="outset" w:color="auto" w:sz="6" w:space="0"/>
              <w:left w:val="outset" w:color="auto" w:sz="6" w:space="0"/>
              <w:bottom w:val="outset" w:color="auto" w:sz="6" w:space="0"/>
              <w:right w:val="outset" w:color="auto" w:sz="6" w:space="0"/>
            </w:tcBorders>
            <w:noWrap w:val="0"/>
            <w:vAlign w:val="center"/>
          </w:tcPr>
          <w:p w14:paraId="39A5F129">
            <w:pPr>
              <w:pStyle w:val="171"/>
              <w:jc w:val="center"/>
              <w:rPr>
                <w:rFonts w:hint="eastAsia" w:ascii="宋体" w:hAnsi="宋体" w:eastAsia="宋体" w:cs="宋体"/>
              </w:rPr>
            </w:pPr>
          </w:p>
        </w:tc>
        <w:tc>
          <w:tcPr>
            <w:tcW w:w="642" w:type="pct"/>
            <w:vMerge w:val="continue"/>
            <w:tcBorders>
              <w:top w:val="outset" w:color="auto" w:sz="6" w:space="0"/>
              <w:left w:val="outset" w:color="auto" w:sz="6" w:space="0"/>
              <w:bottom w:val="outset" w:color="auto" w:sz="6" w:space="0"/>
              <w:right w:val="outset" w:color="auto" w:sz="6" w:space="0"/>
            </w:tcBorders>
            <w:noWrap w:val="0"/>
            <w:vAlign w:val="center"/>
          </w:tcPr>
          <w:p w14:paraId="02F85966">
            <w:pPr>
              <w:pStyle w:val="171"/>
              <w:jc w:val="center"/>
              <w:rPr>
                <w:rFonts w:hint="eastAsia" w:ascii="宋体" w:hAnsi="宋体" w:eastAsia="宋体" w:cs="宋体"/>
              </w:rPr>
            </w:pPr>
          </w:p>
        </w:tc>
        <w:tc>
          <w:tcPr>
            <w:tcW w:w="3195" w:type="pct"/>
            <w:vMerge w:val="continue"/>
            <w:tcBorders>
              <w:top w:val="outset" w:color="auto" w:sz="6" w:space="0"/>
              <w:left w:val="outset" w:color="auto" w:sz="6" w:space="0"/>
              <w:bottom w:val="outset" w:color="auto" w:sz="6" w:space="0"/>
              <w:right w:val="outset" w:color="auto" w:sz="6" w:space="0"/>
            </w:tcBorders>
            <w:noWrap w:val="0"/>
            <w:vAlign w:val="center"/>
          </w:tcPr>
          <w:p w14:paraId="7F696435">
            <w:pPr>
              <w:pStyle w:val="171"/>
              <w:jc w:val="center"/>
              <w:rPr>
                <w:rFonts w:hint="eastAsia" w:ascii="宋体" w:hAnsi="宋体" w:eastAsia="宋体" w:cs="宋体"/>
              </w:rPr>
            </w:pPr>
          </w:p>
        </w:tc>
        <w:tc>
          <w:tcPr>
            <w:tcW w:w="176" w:type="pct"/>
            <w:tcBorders>
              <w:top w:val="outset" w:color="auto" w:sz="6" w:space="0"/>
              <w:left w:val="outset" w:color="auto" w:sz="6" w:space="0"/>
              <w:bottom w:val="outset" w:color="auto" w:sz="6" w:space="0"/>
              <w:right w:val="outset" w:color="auto" w:sz="6" w:space="0"/>
            </w:tcBorders>
            <w:noWrap w:val="0"/>
            <w:vAlign w:val="center"/>
          </w:tcPr>
          <w:p w14:paraId="0F564A50">
            <w:pPr>
              <w:pStyle w:val="171"/>
              <w:jc w:val="center"/>
              <w:rPr>
                <w:rFonts w:hint="eastAsia" w:ascii="宋体" w:hAnsi="宋体" w:eastAsia="宋体" w:cs="宋体"/>
              </w:rPr>
            </w:pPr>
            <w:r>
              <w:rPr>
                <w:rFonts w:hint="eastAsia" w:ascii="宋体" w:hAnsi="宋体" w:eastAsia="宋体" w:cs="宋体"/>
                <w:b/>
              </w:rPr>
              <w:t>是</w:t>
            </w:r>
          </w:p>
        </w:tc>
        <w:tc>
          <w:tcPr>
            <w:tcW w:w="139" w:type="pct"/>
            <w:tcBorders>
              <w:top w:val="outset" w:color="auto" w:sz="6" w:space="0"/>
              <w:left w:val="outset" w:color="auto" w:sz="6" w:space="0"/>
              <w:bottom w:val="outset" w:color="auto" w:sz="6" w:space="0"/>
              <w:right w:val="outset" w:color="auto" w:sz="6" w:space="0"/>
            </w:tcBorders>
            <w:noWrap w:val="0"/>
            <w:vAlign w:val="center"/>
          </w:tcPr>
          <w:p w14:paraId="0F66DACE">
            <w:pPr>
              <w:pStyle w:val="171"/>
              <w:jc w:val="center"/>
              <w:rPr>
                <w:rFonts w:hint="eastAsia" w:ascii="宋体" w:hAnsi="宋体" w:eastAsia="宋体" w:cs="宋体"/>
              </w:rPr>
            </w:pPr>
            <w:r>
              <w:rPr>
                <w:rFonts w:hint="eastAsia" w:ascii="宋体" w:hAnsi="宋体" w:eastAsia="宋体" w:cs="宋体"/>
                <w:b/>
              </w:rPr>
              <w:t>否</w:t>
            </w:r>
          </w:p>
        </w:tc>
        <w:tc>
          <w:tcPr>
            <w:tcW w:w="316" w:type="pct"/>
            <w:tcBorders>
              <w:top w:val="outset" w:color="auto" w:sz="6" w:space="0"/>
              <w:left w:val="outset" w:color="auto" w:sz="6" w:space="0"/>
              <w:bottom w:val="outset" w:color="auto" w:sz="6" w:space="0"/>
              <w:right w:val="outset" w:color="auto" w:sz="6" w:space="0"/>
            </w:tcBorders>
            <w:noWrap w:val="0"/>
            <w:vAlign w:val="center"/>
          </w:tcPr>
          <w:p w14:paraId="6813237B">
            <w:pPr>
              <w:pStyle w:val="171"/>
              <w:jc w:val="center"/>
              <w:rPr>
                <w:rFonts w:hint="eastAsia" w:ascii="宋体" w:hAnsi="宋体" w:eastAsia="宋体" w:cs="宋体"/>
                <w:b/>
              </w:rPr>
            </w:pPr>
          </w:p>
        </w:tc>
      </w:tr>
      <w:tr w14:paraId="689723E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restart"/>
            <w:tcBorders>
              <w:top w:val="outset" w:color="auto" w:sz="6" w:space="0"/>
              <w:left w:val="outset" w:color="auto" w:sz="6" w:space="0"/>
              <w:right w:val="outset" w:color="auto" w:sz="6" w:space="0"/>
            </w:tcBorders>
            <w:noWrap w:val="0"/>
            <w:vAlign w:val="center"/>
          </w:tcPr>
          <w:p w14:paraId="47C97EED">
            <w:pPr>
              <w:pStyle w:val="171"/>
              <w:jc w:val="center"/>
              <w:rPr>
                <w:rFonts w:hint="eastAsia" w:ascii="宋体" w:hAnsi="宋体" w:eastAsia="宋体" w:cs="宋体"/>
              </w:rPr>
            </w:pPr>
            <w:r>
              <w:rPr>
                <w:rFonts w:hint="eastAsia" w:ascii="宋体" w:hAnsi="宋体" w:eastAsia="宋体" w:cs="宋体"/>
              </w:rPr>
              <w:t>初步评审</w:t>
            </w:r>
          </w:p>
        </w:tc>
        <w:tc>
          <w:tcPr>
            <w:tcW w:w="355" w:type="pct"/>
            <w:vMerge w:val="restart"/>
            <w:tcBorders>
              <w:top w:val="outset" w:color="auto" w:sz="6" w:space="0"/>
              <w:left w:val="outset" w:color="auto" w:sz="6" w:space="0"/>
              <w:bottom w:val="outset" w:color="auto" w:sz="6" w:space="0"/>
              <w:right w:val="outset" w:color="auto" w:sz="6" w:space="0"/>
            </w:tcBorders>
            <w:noWrap w:val="0"/>
            <w:vAlign w:val="center"/>
          </w:tcPr>
          <w:p w14:paraId="7781EA50">
            <w:pPr>
              <w:pStyle w:val="171"/>
              <w:jc w:val="center"/>
              <w:rPr>
                <w:rFonts w:hint="eastAsia" w:ascii="宋体" w:hAnsi="宋体" w:eastAsia="宋体" w:cs="宋体"/>
              </w:rPr>
            </w:pPr>
            <w:r>
              <w:rPr>
                <w:rFonts w:hint="eastAsia" w:ascii="宋体" w:hAnsi="宋体" w:eastAsia="宋体" w:cs="宋体"/>
              </w:rPr>
              <w:t>资格检查</w:t>
            </w:r>
          </w:p>
        </w:tc>
        <w:tc>
          <w:tcPr>
            <w:tcW w:w="642" w:type="pct"/>
            <w:tcBorders>
              <w:top w:val="outset" w:color="auto" w:sz="6" w:space="0"/>
              <w:left w:val="outset" w:color="auto" w:sz="6" w:space="0"/>
              <w:bottom w:val="outset" w:color="auto" w:sz="6" w:space="0"/>
              <w:right w:val="outset" w:color="auto" w:sz="6" w:space="0"/>
            </w:tcBorders>
            <w:noWrap w:val="0"/>
            <w:vAlign w:val="center"/>
          </w:tcPr>
          <w:p w14:paraId="4E0F069A">
            <w:pPr>
              <w:pStyle w:val="171"/>
              <w:jc w:val="center"/>
              <w:rPr>
                <w:rFonts w:hint="eastAsia" w:ascii="宋体" w:hAnsi="宋体" w:eastAsia="宋体" w:cs="宋体"/>
              </w:rPr>
            </w:pPr>
            <w:r>
              <w:rPr>
                <w:rFonts w:hint="eastAsia" w:ascii="宋体" w:hAnsi="宋体" w:eastAsia="宋体" w:cs="宋体"/>
                <w:lang w:eastAsia="zh-CN"/>
              </w:rPr>
              <w:t>基本资质要求</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1F568B8B">
            <w:pPr>
              <w:pStyle w:val="171"/>
              <w:rPr>
                <w:rFonts w:hint="eastAsia" w:ascii="宋体" w:hAnsi="宋体" w:eastAsia="宋体" w:cs="宋体"/>
                <w:lang w:eastAsia="zh-CN"/>
              </w:rPr>
            </w:pPr>
            <w:r>
              <w:rPr>
                <w:rFonts w:hint="eastAsia"/>
                <w:kern w:val="0"/>
                <w:sz w:val="24"/>
              </w:rPr>
              <w:t>提供合法有效的法人营业执照</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62BA1BBE">
            <w:pPr>
              <w:pStyle w:val="171"/>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7CC17015">
            <w:pPr>
              <w:pStyle w:val="171"/>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2503BAB9">
            <w:pPr>
              <w:pStyle w:val="171"/>
              <w:rPr>
                <w:rFonts w:hint="eastAsia" w:ascii="宋体" w:hAnsi="宋体" w:eastAsia="宋体" w:cs="宋体"/>
              </w:rPr>
            </w:pPr>
          </w:p>
        </w:tc>
      </w:tr>
      <w:tr w14:paraId="52AECAE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077A1D62">
            <w:pPr>
              <w:pStyle w:val="171"/>
              <w:rPr>
                <w:rFonts w:hint="eastAsia" w:ascii="宋体" w:hAnsi="宋体" w:eastAsia="宋体" w:cs="宋体"/>
              </w:rPr>
            </w:pPr>
          </w:p>
        </w:tc>
        <w:tc>
          <w:tcPr>
            <w:tcW w:w="355" w:type="pct"/>
            <w:vMerge w:val="continue"/>
            <w:tcBorders>
              <w:top w:val="outset" w:color="auto" w:sz="6" w:space="0"/>
              <w:left w:val="outset" w:color="auto" w:sz="6" w:space="0"/>
              <w:bottom w:val="outset" w:color="auto" w:sz="6" w:space="0"/>
              <w:right w:val="outset" w:color="auto" w:sz="6" w:space="0"/>
            </w:tcBorders>
            <w:noWrap w:val="0"/>
            <w:vAlign w:val="center"/>
          </w:tcPr>
          <w:p w14:paraId="7249FC29">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57E657A7">
            <w:pPr>
              <w:pStyle w:val="171"/>
              <w:jc w:val="center"/>
              <w:rPr>
                <w:rFonts w:hint="default" w:ascii="宋体" w:hAnsi="宋体" w:eastAsia="宋体" w:cs="宋体"/>
                <w:lang w:val="en-US" w:eastAsia="zh-CN"/>
              </w:rPr>
            </w:pPr>
            <w:r>
              <w:rPr>
                <w:rFonts w:hint="eastAsia" w:ascii="宋体" w:hAnsi="宋体" w:eastAsia="宋体" w:cs="宋体"/>
                <w:lang w:val="en-US" w:eastAsia="zh-CN"/>
              </w:rPr>
              <w:t>《中华人民共和国政府采购法》第二十二条规定</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434380EC">
            <w:pPr>
              <w:pStyle w:val="171"/>
              <w:rPr>
                <w:rFonts w:hint="eastAsia"/>
                <w:kern w:val="0"/>
                <w:sz w:val="24"/>
              </w:rPr>
            </w:pPr>
            <w:r>
              <w:rPr>
                <w:rFonts w:hint="eastAsia"/>
                <w:kern w:val="0"/>
                <w:sz w:val="24"/>
              </w:rPr>
              <w:t>（1）具有独立承担民事责任的能力（提供合法有效的法人营业执照）；</w:t>
            </w:r>
          </w:p>
          <w:p w14:paraId="603747AB">
            <w:pPr>
              <w:pStyle w:val="171"/>
              <w:rPr>
                <w:rFonts w:hint="eastAsia"/>
                <w:kern w:val="0"/>
                <w:sz w:val="24"/>
              </w:rPr>
            </w:pPr>
            <w:r>
              <w:rPr>
                <w:rFonts w:hint="eastAsia"/>
                <w:kern w:val="0"/>
                <w:sz w:val="24"/>
              </w:rPr>
              <w:t>（2）具有良好的商业信誉和健全的财务会计制度（提供</w:t>
            </w:r>
            <w:r>
              <w:rPr>
                <w:rFonts w:hint="eastAsia" w:ascii="宋体" w:hAnsi="宋体" w:eastAsia="宋体" w:cs="宋体"/>
                <w:kern w:val="0"/>
                <w:sz w:val="24"/>
              </w:rPr>
              <w:t>2023</w:t>
            </w:r>
            <w:r>
              <w:rPr>
                <w:rFonts w:hint="eastAsia"/>
                <w:kern w:val="0"/>
                <w:sz w:val="24"/>
              </w:rPr>
              <w:t>年度或2024年度经会计师事务所审计的完整财务报告，成立不足一年的提供成立至今的财务报表）；</w:t>
            </w:r>
          </w:p>
          <w:p w14:paraId="43202418">
            <w:pPr>
              <w:pStyle w:val="171"/>
              <w:rPr>
                <w:rFonts w:hint="eastAsia"/>
                <w:kern w:val="0"/>
                <w:sz w:val="24"/>
              </w:rPr>
            </w:pPr>
            <w:r>
              <w:rPr>
                <w:rFonts w:hint="eastAsia"/>
                <w:kern w:val="0"/>
                <w:sz w:val="24"/>
              </w:rPr>
              <w:t>（3）具有履行合同所必需的设备和专业技术能力（根据项目需求提供履行合同所必需的设备和专业技术能力的证明材料或加盖单位章的书面承诺函）；</w:t>
            </w:r>
          </w:p>
          <w:p w14:paraId="782180C2">
            <w:pPr>
              <w:pStyle w:val="171"/>
              <w:rPr>
                <w:rFonts w:hint="eastAsia"/>
                <w:kern w:val="0"/>
                <w:sz w:val="24"/>
              </w:rPr>
            </w:pPr>
            <w:r>
              <w:rPr>
                <w:rFonts w:hint="eastAsia"/>
                <w:kern w:val="0"/>
                <w:sz w:val="24"/>
              </w:rPr>
              <w:t>（4）有依法缴纳税收和社会保障资金的良好记录（提供本单位近半年内任意一个月的依法缴纳税收和社会保障资金的相关材料）；</w:t>
            </w:r>
          </w:p>
          <w:p w14:paraId="5D54D239">
            <w:pPr>
              <w:pStyle w:val="171"/>
              <w:rPr>
                <w:rFonts w:hint="eastAsia"/>
                <w:kern w:val="0"/>
                <w:sz w:val="24"/>
              </w:rPr>
            </w:pPr>
            <w:r>
              <w:rPr>
                <w:rFonts w:hint="eastAsia"/>
                <w:kern w:val="0"/>
                <w:sz w:val="24"/>
              </w:rPr>
              <w:t>（5）参加政府采购活动前三年内，在经营活动中没有重大违法记录（提供参加本次政府采购活动前3年内在经营活动中没有重大违法</w:t>
            </w:r>
          </w:p>
          <w:p w14:paraId="19F6285D">
            <w:pPr>
              <w:pStyle w:val="171"/>
              <w:rPr>
                <w:rFonts w:hint="eastAsia" w:eastAsia="宋体"/>
                <w:color w:val="000000"/>
                <w:lang w:eastAsia="zh-CN"/>
              </w:rPr>
            </w:pPr>
            <w:r>
              <w:rPr>
                <w:rFonts w:hint="eastAsia"/>
                <w:kern w:val="0"/>
                <w:sz w:val="24"/>
              </w:rPr>
              <w:t>（6）法律、行政法规规定的其他条件。（格式以采购文件要求为准）</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404D7252">
            <w:pPr>
              <w:pStyle w:val="171"/>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03617FEB">
            <w:pPr>
              <w:pStyle w:val="171"/>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6D76F393">
            <w:pPr>
              <w:pStyle w:val="171"/>
              <w:rPr>
                <w:rFonts w:hint="eastAsia" w:ascii="宋体" w:hAnsi="宋体" w:eastAsia="宋体" w:cs="宋体"/>
              </w:rPr>
            </w:pPr>
          </w:p>
        </w:tc>
      </w:tr>
      <w:tr w14:paraId="19AB5F0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33EC3B44">
            <w:pPr>
              <w:pStyle w:val="171"/>
              <w:rPr>
                <w:rFonts w:hint="eastAsia" w:ascii="宋体" w:hAnsi="宋体" w:eastAsia="宋体" w:cs="宋体"/>
              </w:rPr>
            </w:pPr>
          </w:p>
        </w:tc>
        <w:tc>
          <w:tcPr>
            <w:tcW w:w="355" w:type="pct"/>
            <w:vMerge w:val="continue"/>
            <w:tcBorders>
              <w:top w:val="outset" w:color="auto" w:sz="6" w:space="0"/>
              <w:left w:val="outset" w:color="auto" w:sz="6" w:space="0"/>
              <w:bottom w:val="outset" w:color="auto" w:sz="6" w:space="0"/>
              <w:right w:val="outset" w:color="auto" w:sz="6" w:space="0"/>
            </w:tcBorders>
            <w:noWrap w:val="0"/>
            <w:vAlign w:val="center"/>
          </w:tcPr>
          <w:p w14:paraId="1CAA8E6C">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0DCD3031">
            <w:pPr>
              <w:spacing w:line="440" w:lineRule="exact"/>
              <w:jc w:val="center"/>
              <w:rPr>
                <w:rFonts w:hint="eastAsia" w:ascii="宋体" w:hAnsi="宋体" w:eastAsia="宋体" w:cs="宋体"/>
              </w:rPr>
            </w:pPr>
            <w:r>
              <w:rPr>
                <w:rFonts w:hint="eastAsia" w:ascii="Times New Roman" w:hAnsi="Times New Roman" w:eastAsia="Times New Roman" w:cs="Times New Roman"/>
                <w:kern w:val="0"/>
                <w:sz w:val="24"/>
                <w:szCs w:val="24"/>
                <w:lang w:val="en-US" w:eastAsia="zh-CN" w:bidi="ar-SA"/>
              </w:rPr>
              <w:t>其他说明</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5F22EE1C">
            <w:pPr>
              <w:rPr>
                <w:rFonts w:hint="eastAsia" w:ascii="宋体" w:hAnsi="宋体" w:eastAsia="宋体" w:cs="宋体"/>
              </w:rPr>
            </w:pPr>
            <w:r>
              <w:rPr>
                <w:rFonts w:hint="eastAsia" w:ascii="Times New Roman" w:hAnsi="Times New Roman" w:eastAsia="Times New Roman" w:cs="Times New Roman"/>
                <w:kern w:val="0"/>
                <w:sz w:val="24"/>
                <w:szCs w:val="24"/>
                <w:lang w:bidi="ar-SA"/>
              </w:rPr>
              <w:t>（</w:t>
            </w:r>
            <w:r>
              <w:rPr>
                <w:rFonts w:hint="eastAsia" w:ascii="Times New Roman" w:hAnsi="Times New Roman" w:cs="Times New Roman"/>
                <w:kern w:val="0"/>
                <w:sz w:val="24"/>
                <w:szCs w:val="24"/>
                <w:lang w:val="en-US" w:eastAsia="zh-CN" w:bidi="ar-SA"/>
              </w:rPr>
              <w:t>1</w:t>
            </w:r>
            <w:r>
              <w:rPr>
                <w:rFonts w:hint="eastAsia" w:ascii="Times New Roman" w:hAnsi="Times New Roman" w:eastAsia="Times New Roman" w:cs="Times New Roman"/>
                <w:kern w:val="0"/>
                <w:sz w:val="24"/>
                <w:szCs w:val="24"/>
                <w:lang w:bidi="ar-SA"/>
              </w:rPr>
              <w:t>）与</w:t>
            </w:r>
            <w:r>
              <w:rPr>
                <w:rFonts w:hint="eastAsia" w:ascii="Times New Roman" w:hAnsi="Times New Roman" w:eastAsia="宋体" w:cs="Times New Roman"/>
                <w:kern w:val="0"/>
                <w:sz w:val="24"/>
                <w:szCs w:val="24"/>
                <w:lang w:eastAsia="zh-CN" w:bidi="ar-SA"/>
              </w:rPr>
              <w:t>采购人</w:t>
            </w:r>
            <w:r>
              <w:rPr>
                <w:rFonts w:hint="eastAsia" w:ascii="Times New Roman" w:hAnsi="Times New Roman" w:eastAsia="Times New Roman" w:cs="Times New Roman"/>
                <w:kern w:val="0"/>
                <w:sz w:val="24"/>
                <w:szCs w:val="24"/>
                <w:lang w:bidi="ar-SA"/>
              </w:rPr>
              <w:t>存在利害关系可能影响招标公正性的法人、其他组织或者个人，不得参加投标（</w:t>
            </w:r>
            <w:r>
              <w:rPr>
                <w:rFonts w:hint="eastAsia" w:ascii="Times New Roman" w:hAnsi="Times New Roman" w:cs="Times New Roman"/>
                <w:kern w:val="0"/>
                <w:sz w:val="24"/>
                <w:szCs w:val="24"/>
                <w:lang w:val="en-US" w:eastAsia="zh-CN" w:bidi="ar-SA"/>
              </w:rPr>
              <w:t>2</w:t>
            </w:r>
            <w:r>
              <w:rPr>
                <w:rFonts w:hint="eastAsia" w:ascii="Times New Roman" w:hAnsi="Times New Roman" w:eastAsia="Times New Roman" w:cs="Times New Roman"/>
                <w:kern w:val="0"/>
                <w:sz w:val="24"/>
                <w:szCs w:val="24"/>
                <w:lang w:bidi="ar-SA"/>
              </w:rPr>
              <w:t>）单位负责人为同一人或者存在控股、管理关系的不同单位，不得参加同一标段投标或者未划分标段的同一招标项目投标，违反前两款规定的，相关投标均无效；</w:t>
            </w:r>
            <w:r>
              <w:rPr>
                <w:rFonts w:hint="eastAsia" w:ascii="Times New Roman" w:hAnsi="Times New Roman" w:eastAsia="宋体" w:cs="Times New Roman"/>
                <w:kern w:val="0"/>
                <w:sz w:val="24"/>
                <w:szCs w:val="24"/>
                <w:lang w:eastAsia="zh-CN" w:bidi="ar-SA"/>
              </w:rPr>
              <w:t>（</w:t>
            </w:r>
            <w:r>
              <w:rPr>
                <w:rFonts w:hint="eastAsia" w:ascii="Times New Roman" w:hAnsi="Times New Roman" w:eastAsia="Times New Roman" w:cs="Times New Roman"/>
                <w:kern w:val="0"/>
                <w:sz w:val="24"/>
                <w:szCs w:val="24"/>
                <w:lang w:bidi="ar-SA"/>
              </w:rPr>
              <w:t>格式以采购文件要求为准</w:t>
            </w:r>
            <w:r>
              <w:rPr>
                <w:rFonts w:hint="eastAsia" w:ascii="Times New Roman" w:hAnsi="Times New Roman" w:eastAsia="宋体" w:cs="Times New Roman"/>
                <w:kern w:val="0"/>
                <w:sz w:val="24"/>
                <w:szCs w:val="24"/>
                <w:lang w:eastAsia="zh-CN" w:bidi="ar-SA"/>
              </w:rPr>
              <w:t>）</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3BD6D145">
            <w:pPr>
              <w:pStyle w:val="171"/>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2FA0741E">
            <w:pPr>
              <w:pStyle w:val="171"/>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00155B1D">
            <w:pPr>
              <w:pStyle w:val="171"/>
              <w:rPr>
                <w:rFonts w:hint="eastAsia" w:ascii="宋体" w:hAnsi="宋体" w:eastAsia="宋体" w:cs="宋体"/>
              </w:rPr>
            </w:pPr>
          </w:p>
        </w:tc>
      </w:tr>
      <w:tr w14:paraId="0D85F7D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4C52484B">
            <w:pPr>
              <w:pStyle w:val="171"/>
              <w:rPr>
                <w:rFonts w:hint="eastAsia" w:ascii="宋体" w:hAnsi="宋体" w:eastAsia="宋体" w:cs="宋体"/>
              </w:rPr>
            </w:pPr>
          </w:p>
        </w:tc>
        <w:tc>
          <w:tcPr>
            <w:tcW w:w="355" w:type="pct"/>
            <w:vMerge w:val="continue"/>
            <w:tcBorders>
              <w:top w:val="outset" w:color="auto" w:sz="6" w:space="0"/>
              <w:left w:val="outset" w:color="auto" w:sz="6" w:space="0"/>
              <w:bottom w:val="outset" w:color="auto" w:sz="6" w:space="0"/>
              <w:right w:val="outset" w:color="auto" w:sz="6" w:space="0"/>
            </w:tcBorders>
            <w:noWrap w:val="0"/>
            <w:vAlign w:val="center"/>
          </w:tcPr>
          <w:p w14:paraId="539CF24D">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3C386254">
            <w:pPr>
              <w:rPr>
                <w:rFonts w:hint="eastAsia" w:ascii="宋体" w:hAnsi="宋体" w:eastAsia="宋体" w:cs="宋体"/>
              </w:rPr>
            </w:pPr>
            <w:r>
              <w:rPr>
                <w:rFonts w:hint="eastAsia" w:ascii="Times New Roman" w:hAnsi="Times New Roman" w:eastAsia="Times New Roman" w:cs="Times New Roman"/>
                <w:kern w:val="0"/>
                <w:sz w:val="24"/>
                <w:szCs w:val="24"/>
                <w:lang w:val="en-US" w:eastAsia="zh-CN" w:bidi="ar-SA"/>
              </w:rPr>
              <w:t>供应商为中小企业/小微企业</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57287AEE">
            <w:pPr>
              <w:rPr>
                <w:rFonts w:hint="eastAsia" w:ascii="宋体" w:hAnsi="宋体" w:eastAsia="宋体" w:cs="宋体"/>
              </w:rPr>
            </w:pPr>
            <w:r>
              <w:rPr>
                <w:rFonts w:hint="eastAsia" w:ascii="Times New Roman" w:hAnsi="Times New Roman" w:eastAsia="Times New Roman" w:cs="Times New Roman"/>
                <w:kern w:val="0"/>
                <w:sz w:val="24"/>
                <w:szCs w:val="24"/>
                <w:lang w:bidi="ar-SA"/>
              </w:rPr>
              <w:t>请根据\"落实政府采购政策需满足的资格要求\"，上传对应的资格文件，格式以采购文件要求为准</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03550DD9">
            <w:pPr>
              <w:pStyle w:val="171"/>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1D0A5908">
            <w:pPr>
              <w:pStyle w:val="171"/>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7C436C58">
            <w:pPr>
              <w:pStyle w:val="171"/>
              <w:rPr>
                <w:rFonts w:hint="eastAsia" w:ascii="宋体" w:hAnsi="宋体" w:eastAsia="宋体" w:cs="宋体"/>
              </w:rPr>
            </w:pPr>
          </w:p>
        </w:tc>
      </w:tr>
      <w:tr w14:paraId="3F0AFBD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659ECD00">
            <w:pPr>
              <w:pStyle w:val="171"/>
              <w:rPr>
                <w:rFonts w:hint="eastAsia" w:ascii="宋体" w:hAnsi="宋体" w:eastAsia="宋体" w:cs="宋体"/>
              </w:rPr>
            </w:pPr>
          </w:p>
        </w:tc>
        <w:tc>
          <w:tcPr>
            <w:tcW w:w="355" w:type="pct"/>
            <w:vMerge w:val="restart"/>
            <w:tcBorders>
              <w:top w:val="outset" w:color="auto" w:sz="6" w:space="0"/>
              <w:left w:val="outset" w:color="auto" w:sz="6" w:space="0"/>
              <w:right w:val="outset" w:color="auto" w:sz="6" w:space="0"/>
            </w:tcBorders>
            <w:noWrap w:val="0"/>
            <w:vAlign w:val="center"/>
          </w:tcPr>
          <w:p w14:paraId="271E2326">
            <w:pPr>
              <w:pStyle w:val="171"/>
              <w:jc w:val="center"/>
              <w:rPr>
                <w:rFonts w:hint="eastAsia" w:ascii="宋体" w:hAnsi="宋体" w:eastAsia="宋体" w:cs="宋体"/>
              </w:rPr>
            </w:pPr>
            <w:r>
              <w:rPr>
                <w:rFonts w:hint="eastAsia" w:ascii="宋体" w:hAnsi="宋体" w:eastAsia="宋体" w:cs="宋体"/>
              </w:rPr>
              <w:t>符合性检查</w:t>
            </w:r>
          </w:p>
        </w:tc>
        <w:tc>
          <w:tcPr>
            <w:tcW w:w="642" w:type="pct"/>
            <w:tcBorders>
              <w:top w:val="outset" w:color="auto" w:sz="6" w:space="0"/>
              <w:left w:val="outset" w:color="auto" w:sz="6" w:space="0"/>
              <w:bottom w:val="outset" w:color="auto" w:sz="6" w:space="0"/>
              <w:right w:val="outset" w:color="auto" w:sz="6" w:space="0"/>
            </w:tcBorders>
            <w:noWrap w:val="0"/>
            <w:vAlign w:val="center"/>
          </w:tcPr>
          <w:p w14:paraId="6B5F0194">
            <w:pPr>
              <w:pStyle w:val="171"/>
              <w:jc w:val="center"/>
              <w:rPr>
                <w:rFonts w:hint="eastAsia" w:ascii="宋体" w:hAnsi="宋体" w:eastAsia="宋体" w:cs="宋体"/>
              </w:rPr>
            </w:pPr>
            <w:r>
              <w:rPr>
                <w:rFonts w:hint="eastAsia" w:ascii="宋体" w:hAnsi="宋体" w:eastAsia="宋体" w:cs="宋体"/>
              </w:rPr>
              <w:t>供应商名称</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11711B3A">
            <w:pPr>
              <w:pStyle w:val="171"/>
              <w:rPr>
                <w:rFonts w:hint="eastAsia" w:ascii="宋体" w:hAnsi="宋体" w:eastAsia="宋体" w:cs="宋体"/>
              </w:rPr>
            </w:pPr>
            <w:r>
              <w:rPr>
                <w:rFonts w:hint="eastAsia" w:ascii="宋体" w:hAnsi="宋体" w:eastAsia="宋体" w:cs="宋体"/>
              </w:rPr>
              <w:t>与营业执照一致</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56A67306">
            <w:pPr>
              <w:pStyle w:val="171"/>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0E7F5BDC">
            <w:pPr>
              <w:pStyle w:val="171"/>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37AE70DF">
            <w:pPr>
              <w:pStyle w:val="171"/>
              <w:rPr>
                <w:rFonts w:hint="eastAsia" w:ascii="宋体" w:hAnsi="宋体" w:eastAsia="宋体" w:cs="宋体"/>
              </w:rPr>
            </w:pPr>
          </w:p>
        </w:tc>
      </w:tr>
      <w:tr w14:paraId="43AE20D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11B0E5CF">
            <w:pPr>
              <w:pStyle w:val="171"/>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0558A805">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64315C6F">
            <w:pPr>
              <w:pStyle w:val="171"/>
              <w:jc w:val="center"/>
              <w:rPr>
                <w:rFonts w:hint="eastAsia" w:ascii="宋体" w:hAnsi="宋体" w:eastAsia="宋体" w:cs="宋体"/>
                <w:lang w:val="en-US" w:eastAsia="zh-CN"/>
              </w:rPr>
            </w:pPr>
            <w:r>
              <w:rPr>
                <w:rFonts w:hint="eastAsia" w:ascii="宋体" w:hAnsi="宋体" w:eastAsia="宋体" w:cs="宋体"/>
              </w:rPr>
              <w:t>响应文件的签署</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22CE1C5D">
            <w:pPr>
              <w:pStyle w:val="171"/>
              <w:rPr>
                <w:rFonts w:hint="eastAsia" w:ascii="宋体" w:hAnsi="宋体" w:eastAsia="宋体" w:cs="宋体"/>
              </w:rPr>
            </w:pPr>
            <w:r>
              <w:rPr>
                <w:rFonts w:hint="eastAsia" w:ascii="宋体" w:hAnsi="宋体" w:eastAsia="宋体" w:cs="宋体"/>
              </w:rPr>
              <w:t>按磋商文件要求在规定区域加盖单位电子公章和法定代表人电子印章</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4CB4687D">
            <w:pPr>
              <w:pStyle w:val="171"/>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1CE21099">
            <w:pPr>
              <w:pStyle w:val="171"/>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756573D7">
            <w:pPr>
              <w:pStyle w:val="171"/>
              <w:rPr>
                <w:rFonts w:hint="eastAsia" w:ascii="宋体" w:hAnsi="宋体" w:eastAsia="宋体" w:cs="宋体"/>
              </w:rPr>
            </w:pPr>
          </w:p>
        </w:tc>
      </w:tr>
      <w:tr w14:paraId="7DC3FBB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01CA22CC">
            <w:pPr>
              <w:pStyle w:val="171"/>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7AA7B075">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69376779">
            <w:pPr>
              <w:pStyle w:val="171"/>
              <w:jc w:val="center"/>
              <w:rPr>
                <w:rFonts w:hint="eastAsia" w:ascii="宋体" w:hAnsi="宋体" w:eastAsia="宋体" w:cs="宋体"/>
                <w:lang w:val="en-US" w:eastAsia="zh-CN"/>
              </w:rPr>
            </w:pPr>
            <w:r>
              <w:rPr>
                <w:rFonts w:hint="eastAsia" w:ascii="宋体" w:hAnsi="宋体" w:eastAsia="宋体" w:cs="宋体"/>
                <w:lang w:val="en-US" w:eastAsia="zh-CN"/>
              </w:rPr>
              <w:t>服务期</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759E97E3">
            <w:pPr>
              <w:pStyle w:val="171"/>
              <w:rPr>
                <w:rFonts w:hint="default" w:ascii="宋体" w:hAnsi="宋体" w:eastAsia="宋体" w:cs="宋体"/>
                <w:lang w:val="en-US" w:eastAsia="zh-CN"/>
              </w:rPr>
            </w:pPr>
            <w:r>
              <w:rPr>
                <w:rFonts w:hint="eastAsia" w:ascii="宋体" w:hAnsi="宋体" w:eastAsia="宋体" w:cs="宋体"/>
                <w:lang w:val="en-US" w:eastAsia="zh-CN"/>
              </w:rPr>
              <w:t>符合磋商文件的要求</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43B91F9E">
            <w:pPr>
              <w:pStyle w:val="171"/>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50647BB2">
            <w:pPr>
              <w:pStyle w:val="171"/>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63FE1D2D">
            <w:pPr>
              <w:pStyle w:val="171"/>
              <w:rPr>
                <w:rFonts w:hint="eastAsia" w:ascii="宋体" w:hAnsi="宋体" w:eastAsia="宋体" w:cs="宋体"/>
              </w:rPr>
            </w:pPr>
          </w:p>
        </w:tc>
      </w:tr>
      <w:tr w14:paraId="0D66FD9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5584EBE1">
            <w:pPr>
              <w:pStyle w:val="171"/>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16351C0D">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198103C6">
            <w:pPr>
              <w:pStyle w:val="171"/>
              <w:jc w:val="center"/>
              <w:rPr>
                <w:rFonts w:hint="eastAsia" w:ascii="宋体" w:hAnsi="宋体" w:eastAsia="宋体" w:cs="宋体"/>
                <w:lang w:eastAsia="zh-CN"/>
              </w:rPr>
            </w:pPr>
            <w:r>
              <w:rPr>
                <w:rFonts w:hint="eastAsia" w:ascii="宋体" w:hAnsi="宋体" w:eastAsia="宋体" w:cs="宋体"/>
              </w:rPr>
              <w:t>报价</w:t>
            </w:r>
            <w:r>
              <w:rPr>
                <w:rFonts w:hint="eastAsia" w:ascii="宋体" w:hAnsi="宋体" w:eastAsia="宋体" w:cs="宋体"/>
                <w:lang w:eastAsia="zh-CN"/>
              </w:rPr>
              <w:t>唯一</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14AE568B">
            <w:pPr>
              <w:pStyle w:val="171"/>
              <w:rPr>
                <w:rFonts w:hint="eastAsia" w:ascii="宋体" w:hAnsi="宋体" w:eastAsia="宋体" w:cs="宋体"/>
              </w:rPr>
            </w:pPr>
            <w:r>
              <w:rPr>
                <w:rFonts w:hint="eastAsia" w:ascii="宋体" w:hAnsi="宋体" w:eastAsia="宋体" w:cs="宋体"/>
              </w:rPr>
              <w:t>只有一个有效报价且未超过政府采购预算金额</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66BED4BF">
            <w:pPr>
              <w:pStyle w:val="171"/>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4285D42F">
            <w:pPr>
              <w:pStyle w:val="171"/>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13C0EF96">
            <w:pPr>
              <w:pStyle w:val="171"/>
              <w:rPr>
                <w:rFonts w:hint="eastAsia" w:ascii="宋体" w:hAnsi="宋体" w:eastAsia="宋体" w:cs="宋体"/>
              </w:rPr>
            </w:pPr>
          </w:p>
        </w:tc>
      </w:tr>
      <w:tr w14:paraId="21FCE69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1E59B5DE">
            <w:pPr>
              <w:pStyle w:val="171"/>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110C174D">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50604B4D">
            <w:pPr>
              <w:pStyle w:val="171"/>
              <w:jc w:val="center"/>
              <w:rPr>
                <w:rFonts w:hint="eastAsia" w:ascii="宋体" w:hAnsi="宋体" w:eastAsia="宋体" w:cs="宋体"/>
                <w:lang w:eastAsia="zh-CN"/>
              </w:rPr>
            </w:pPr>
            <w:r>
              <w:rPr>
                <w:rFonts w:hint="eastAsia" w:ascii="宋体" w:hAnsi="宋体" w:eastAsia="宋体" w:cs="宋体"/>
                <w:lang w:eastAsia="zh-CN"/>
              </w:rPr>
              <w:t>磋商保证金</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2E4F9081">
            <w:pPr>
              <w:pStyle w:val="171"/>
              <w:rPr>
                <w:rFonts w:hint="eastAsia" w:ascii="宋体" w:hAnsi="宋体" w:eastAsia="宋体" w:cs="宋体"/>
                <w:lang w:eastAsia="zh-CN"/>
              </w:rPr>
            </w:pPr>
            <w:r>
              <w:rPr>
                <w:rFonts w:hint="eastAsia" w:ascii="宋体" w:hAnsi="宋体" w:eastAsia="宋体" w:cs="宋体"/>
                <w:lang w:eastAsia="zh-CN"/>
              </w:rPr>
              <w:t>符合磋商文件提供磋商保证金的要求</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23030CBE">
            <w:pPr>
              <w:pStyle w:val="171"/>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794755A3">
            <w:pPr>
              <w:pStyle w:val="171"/>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2262C6A3">
            <w:pPr>
              <w:pStyle w:val="171"/>
              <w:rPr>
                <w:rFonts w:hint="eastAsia" w:ascii="宋体" w:hAnsi="宋体" w:eastAsia="宋体" w:cs="宋体"/>
              </w:rPr>
            </w:pPr>
          </w:p>
        </w:tc>
      </w:tr>
      <w:tr w14:paraId="3959CAD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1EA4EE8B">
            <w:pPr>
              <w:pStyle w:val="171"/>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3D241953">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7EC34886">
            <w:pPr>
              <w:pStyle w:val="171"/>
              <w:jc w:val="center"/>
              <w:rPr>
                <w:rFonts w:hint="eastAsia" w:ascii="宋体" w:hAnsi="宋体" w:eastAsia="宋体" w:cs="宋体"/>
                <w:lang w:eastAsia="zh-CN"/>
              </w:rPr>
            </w:pPr>
            <w:r>
              <w:rPr>
                <w:rFonts w:hint="eastAsia" w:ascii="宋体" w:hAnsi="宋体" w:eastAsia="宋体" w:cs="宋体"/>
                <w:lang w:eastAsia="zh-CN"/>
              </w:rPr>
              <w:t>商务要求</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36E945A0">
            <w:pPr>
              <w:pStyle w:val="171"/>
              <w:rPr>
                <w:rFonts w:hint="eastAsia" w:ascii="宋体" w:hAnsi="宋体" w:eastAsia="宋体" w:cs="宋体"/>
                <w:lang w:eastAsia="zh-CN"/>
              </w:rPr>
            </w:pPr>
            <w:r>
              <w:rPr>
                <w:rFonts w:hint="eastAsia" w:ascii="宋体" w:hAnsi="宋体" w:eastAsia="宋体" w:cs="宋体"/>
                <w:lang w:eastAsia="zh-CN"/>
              </w:rPr>
              <w:t>响应文件未附有采购人不能接受或不符合磋商文件的商务要求</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3CEC6F5C">
            <w:pPr>
              <w:pStyle w:val="171"/>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688070FF">
            <w:pPr>
              <w:pStyle w:val="171"/>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7FAE85D4">
            <w:pPr>
              <w:pStyle w:val="171"/>
              <w:rPr>
                <w:rFonts w:hint="eastAsia" w:ascii="宋体" w:hAnsi="宋体" w:eastAsia="宋体" w:cs="宋体"/>
              </w:rPr>
            </w:pPr>
          </w:p>
        </w:tc>
      </w:tr>
      <w:tr w14:paraId="422DCB6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bottom w:val="outset" w:color="auto" w:sz="6" w:space="0"/>
              <w:right w:val="outset" w:color="auto" w:sz="6" w:space="0"/>
            </w:tcBorders>
            <w:noWrap w:val="0"/>
            <w:vAlign w:val="center"/>
          </w:tcPr>
          <w:p w14:paraId="039984E5">
            <w:pPr>
              <w:pStyle w:val="171"/>
              <w:rPr>
                <w:rFonts w:hint="eastAsia" w:ascii="宋体" w:hAnsi="宋体" w:eastAsia="宋体" w:cs="宋体"/>
              </w:rPr>
            </w:pPr>
          </w:p>
        </w:tc>
        <w:tc>
          <w:tcPr>
            <w:tcW w:w="355" w:type="pct"/>
            <w:vMerge w:val="continue"/>
            <w:tcBorders>
              <w:left w:val="outset" w:color="auto" w:sz="6" w:space="0"/>
              <w:bottom w:val="outset" w:color="auto" w:sz="6" w:space="0"/>
              <w:right w:val="outset" w:color="auto" w:sz="6" w:space="0"/>
            </w:tcBorders>
            <w:noWrap w:val="0"/>
            <w:vAlign w:val="center"/>
          </w:tcPr>
          <w:p w14:paraId="0C634385">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3A00696B">
            <w:pPr>
              <w:pStyle w:val="171"/>
              <w:jc w:val="center"/>
              <w:rPr>
                <w:rFonts w:hint="eastAsia" w:ascii="宋体" w:hAnsi="宋体" w:eastAsia="宋体" w:cs="宋体"/>
                <w:lang w:eastAsia="zh-CN"/>
              </w:rPr>
            </w:pPr>
            <w:r>
              <w:rPr>
                <w:rFonts w:hint="eastAsia" w:ascii="宋体" w:hAnsi="宋体" w:eastAsia="宋体" w:cs="宋体"/>
                <w:lang w:eastAsia="zh-CN"/>
              </w:rPr>
              <w:t>技术要求</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46F394B9">
            <w:pPr>
              <w:pStyle w:val="171"/>
              <w:rPr>
                <w:rFonts w:hint="eastAsia" w:ascii="宋体" w:hAnsi="宋体" w:eastAsia="宋体" w:cs="宋体"/>
              </w:rPr>
            </w:pPr>
            <w:r>
              <w:rPr>
                <w:rFonts w:hint="eastAsia" w:ascii="宋体" w:hAnsi="宋体" w:eastAsia="宋体" w:cs="宋体"/>
                <w:lang w:eastAsia="zh-CN"/>
              </w:rPr>
              <w:t>响应文件未附有采购人不能接受或不符合磋商文件的技术要求</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7A177DBC">
            <w:pPr>
              <w:pStyle w:val="171"/>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18E223D3">
            <w:pPr>
              <w:pStyle w:val="171"/>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046D250A">
            <w:pPr>
              <w:pStyle w:val="171"/>
              <w:rPr>
                <w:rFonts w:hint="eastAsia" w:ascii="宋体" w:hAnsi="宋体" w:eastAsia="宋体" w:cs="宋体"/>
              </w:rPr>
            </w:pPr>
          </w:p>
        </w:tc>
      </w:tr>
      <w:tr w14:paraId="76C190A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30" w:type="pct"/>
            <w:gridSpan w:val="2"/>
            <w:tcBorders>
              <w:top w:val="outset" w:color="auto" w:sz="6" w:space="0"/>
              <w:left w:val="outset" w:color="auto" w:sz="6" w:space="0"/>
              <w:bottom w:val="outset" w:color="auto" w:sz="6" w:space="0"/>
              <w:right w:val="outset" w:color="auto" w:sz="6" w:space="0"/>
            </w:tcBorders>
            <w:noWrap w:val="0"/>
            <w:vAlign w:val="center"/>
          </w:tcPr>
          <w:p w14:paraId="31857342">
            <w:pPr>
              <w:pStyle w:val="171"/>
              <w:jc w:val="center"/>
              <w:rPr>
                <w:rFonts w:hint="eastAsia" w:ascii="宋体" w:hAnsi="宋体" w:eastAsia="宋体" w:cs="宋体"/>
              </w:rPr>
            </w:pPr>
            <w:r>
              <w:rPr>
                <w:rFonts w:hint="eastAsia" w:ascii="宋体" w:hAnsi="宋体" w:eastAsia="宋体" w:cs="宋体"/>
                <w:b/>
              </w:rPr>
              <w:t>评分因素</w:t>
            </w:r>
          </w:p>
        </w:tc>
        <w:tc>
          <w:tcPr>
            <w:tcW w:w="642" w:type="pct"/>
            <w:tcBorders>
              <w:top w:val="outset" w:color="auto" w:sz="6" w:space="0"/>
              <w:left w:val="outset" w:color="auto" w:sz="6" w:space="0"/>
              <w:bottom w:val="outset" w:color="auto" w:sz="6" w:space="0"/>
              <w:right w:val="outset" w:color="auto" w:sz="6" w:space="0"/>
            </w:tcBorders>
            <w:noWrap w:val="0"/>
            <w:vAlign w:val="center"/>
          </w:tcPr>
          <w:p w14:paraId="1F7E2739">
            <w:pPr>
              <w:pStyle w:val="171"/>
              <w:jc w:val="center"/>
              <w:rPr>
                <w:rFonts w:hint="eastAsia" w:ascii="宋体" w:hAnsi="宋体" w:eastAsia="宋体" w:cs="宋体"/>
              </w:rPr>
            </w:pPr>
            <w:r>
              <w:rPr>
                <w:rFonts w:hint="eastAsia" w:ascii="宋体" w:hAnsi="宋体" w:eastAsia="宋体" w:cs="宋体"/>
                <w:b/>
              </w:rPr>
              <w:t>评分点</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70367E5A">
            <w:pPr>
              <w:pStyle w:val="171"/>
              <w:jc w:val="center"/>
              <w:rPr>
                <w:rFonts w:hint="eastAsia" w:ascii="宋体" w:hAnsi="宋体" w:eastAsia="宋体" w:cs="宋体"/>
              </w:rPr>
            </w:pPr>
            <w:r>
              <w:rPr>
                <w:rFonts w:hint="eastAsia" w:ascii="宋体" w:hAnsi="宋体" w:eastAsia="宋体" w:cs="宋体"/>
                <w:b/>
              </w:rPr>
              <w:t>评分标准</w:t>
            </w:r>
          </w:p>
        </w:tc>
        <w:tc>
          <w:tcPr>
            <w:tcW w:w="632" w:type="pct"/>
            <w:gridSpan w:val="3"/>
            <w:tcBorders>
              <w:top w:val="outset" w:color="auto" w:sz="6" w:space="0"/>
              <w:left w:val="outset" w:color="auto" w:sz="6" w:space="0"/>
              <w:bottom w:val="outset" w:color="auto" w:sz="6" w:space="0"/>
              <w:right w:val="outset" w:color="auto" w:sz="6" w:space="0"/>
            </w:tcBorders>
            <w:noWrap w:val="0"/>
            <w:vAlign w:val="center"/>
          </w:tcPr>
          <w:p w14:paraId="30D05EF9">
            <w:pPr>
              <w:pStyle w:val="171"/>
              <w:jc w:val="center"/>
              <w:rPr>
                <w:rFonts w:hint="eastAsia" w:ascii="宋体" w:hAnsi="宋体" w:eastAsia="宋体" w:cs="宋体"/>
                <w:b/>
                <w:lang w:eastAsia="zh-CN"/>
              </w:rPr>
            </w:pPr>
            <w:r>
              <w:rPr>
                <w:rFonts w:hint="eastAsia" w:ascii="宋体" w:hAnsi="宋体" w:eastAsia="宋体" w:cs="宋体"/>
                <w:b/>
                <w:lang w:eastAsia="zh-CN"/>
              </w:rPr>
              <w:t>分值</w:t>
            </w:r>
            <w:r>
              <w:rPr>
                <w:rFonts w:hint="eastAsia" w:ascii="宋体" w:hAnsi="宋体" w:eastAsia="宋体" w:cs="宋体"/>
                <w:b/>
              </w:rPr>
              <w:t>分配</w:t>
            </w:r>
          </w:p>
        </w:tc>
      </w:tr>
      <w:tr w14:paraId="147D620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134" w:hRule="atLeast"/>
          <w:jc w:val="center"/>
        </w:trPr>
        <w:tc>
          <w:tcPr>
            <w:tcW w:w="174" w:type="pct"/>
            <w:vMerge w:val="restart"/>
            <w:tcBorders>
              <w:top w:val="outset" w:color="auto" w:sz="6" w:space="0"/>
              <w:left w:val="outset" w:color="auto" w:sz="6" w:space="0"/>
              <w:right w:val="outset" w:color="auto" w:sz="6" w:space="0"/>
            </w:tcBorders>
            <w:noWrap w:val="0"/>
            <w:vAlign w:val="center"/>
          </w:tcPr>
          <w:p w14:paraId="3DB12DC5">
            <w:pPr>
              <w:pStyle w:val="171"/>
              <w:jc w:val="center"/>
              <w:rPr>
                <w:rFonts w:hint="eastAsia" w:ascii="宋体" w:hAnsi="宋体" w:eastAsia="宋体" w:cs="宋体"/>
              </w:rPr>
            </w:pPr>
            <w:r>
              <w:rPr>
                <w:rFonts w:hint="eastAsia" w:ascii="宋体" w:hAnsi="宋体" w:eastAsia="宋体" w:cs="宋体"/>
              </w:rPr>
              <w:t>详细评审</w:t>
            </w:r>
          </w:p>
        </w:tc>
        <w:tc>
          <w:tcPr>
            <w:tcW w:w="355" w:type="pct"/>
            <w:tcBorders>
              <w:top w:val="outset" w:color="auto" w:sz="6" w:space="0"/>
              <w:left w:val="outset" w:color="auto" w:sz="6" w:space="0"/>
              <w:bottom w:val="outset" w:color="auto" w:sz="6" w:space="0"/>
              <w:right w:val="outset" w:color="auto" w:sz="6" w:space="0"/>
            </w:tcBorders>
            <w:noWrap w:val="0"/>
            <w:vAlign w:val="center"/>
          </w:tcPr>
          <w:p w14:paraId="3B27B847">
            <w:pPr>
              <w:pStyle w:val="171"/>
              <w:jc w:val="center"/>
              <w:rPr>
                <w:rFonts w:hint="eastAsia" w:ascii="宋体" w:hAnsi="宋体" w:eastAsia="宋体" w:cs="宋体"/>
              </w:rPr>
            </w:pPr>
            <w:r>
              <w:rPr>
                <w:rFonts w:hint="eastAsia" w:ascii="宋体" w:hAnsi="宋体" w:eastAsia="宋体" w:cs="宋体"/>
              </w:rPr>
              <w:t>价格评审</w:t>
            </w:r>
          </w:p>
        </w:tc>
        <w:tc>
          <w:tcPr>
            <w:tcW w:w="642" w:type="pct"/>
            <w:tcBorders>
              <w:top w:val="outset" w:color="auto" w:sz="6" w:space="0"/>
              <w:left w:val="outset" w:color="auto" w:sz="6" w:space="0"/>
              <w:bottom w:val="outset" w:color="auto" w:sz="6" w:space="0"/>
              <w:right w:val="outset" w:color="auto" w:sz="6" w:space="0"/>
            </w:tcBorders>
            <w:noWrap w:val="0"/>
            <w:vAlign w:val="center"/>
          </w:tcPr>
          <w:p w14:paraId="3DF3F488">
            <w:pPr>
              <w:pStyle w:val="171"/>
              <w:jc w:val="center"/>
              <w:rPr>
                <w:rFonts w:hint="eastAsia" w:ascii="宋体" w:hAnsi="宋体" w:eastAsia="宋体" w:cs="宋体"/>
              </w:rPr>
            </w:pPr>
            <w:r>
              <w:rPr>
                <w:rFonts w:hint="eastAsia" w:ascii="宋体" w:hAnsi="宋体" w:eastAsia="宋体" w:cs="宋体"/>
              </w:rPr>
              <w:t>投标报价</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5C42EDC7">
            <w:pPr>
              <w:pStyle w:val="171"/>
              <w:rPr>
                <w:rFonts w:hint="eastAsia" w:ascii="宋体" w:hAnsi="宋体" w:eastAsia="宋体" w:cs="宋体"/>
                <w:color w:val="000000"/>
                <w:lang w:eastAsia="zh-CN"/>
              </w:rPr>
            </w:pPr>
            <w:r>
              <w:rPr>
                <w:rFonts w:hint="eastAsia" w:ascii="宋体" w:hAnsi="宋体" w:cs="宋体"/>
                <w:color w:val="000000"/>
              </w:rPr>
              <w:t>价格分统一采用低价优先法计算，即满足竞争性磋商文件要求</w:t>
            </w:r>
          </w:p>
          <w:p w14:paraId="05DAB7E3">
            <w:pPr>
              <w:pStyle w:val="171"/>
              <w:rPr>
                <w:rFonts w:hint="eastAsia" w:ascii="宋体" w:hAnsi="宋体" w:eastAsia="宋体" w:cs="宋体"/>
                <w:color w:val="000000"/>
                <w:lang w:eastAsia="zh-CN"/>
              </w:rPr>
            </w:pPr>
            <w:r>
              <w:rPr>
                <w:rFonts w:hint="eastAsia" w:ascii="宋体" w:hAnsi="宋体" w:cs="宋体"/>
                <w:color w:val="000000"/>
              </w:rPr>
              <w:t>且磋商价格最低的磋商报价为磋商基准价，其价格分为满分</w:t>
            </w:r>
            <w:r>
              <w:rPr>
                <w:rFonts w:hint="eastAsia" w:ascii="宋体" w:hAnsi="宋体" w:eastAsia="宋体" w:cs="宋体"/>
                <w:color w:val="000000"/>
                <w:lang w:val="en-US" w:eastAsia="zh-CN"/>
              </w:rPr>
              <w:t>10</w:t>
            </w:r>
            <w:r>
              <w:rPr>
                <w:rFonts w:hint="eastAsia" w:ascii="宋体" w:hAnsi="宋体" w:cs="宋体"/>
                <w:color w:val="000000"/>
              </w:rPr>
              <w:t>分，</w:t>
            </w:r>
          </w:p>
          <w:p w14:paraId="3D663041">
            <w:pPr>
              <w:pStyle w:val="171"/>
              <w:rPr>
                <w:rFonts w:hint="eastAsia" w:ascii="宋体" w:hAnsi="宋体" w:eastAsia="宋体" w:cs="宋体"/>
              </w:rPr>
            </w:pPr>
            <w:r>
              <w:rPr>
                <w:rFonts w:hint="eastAsia" w:ascii="宋体" w:hAnsi="宋体" w:cs="宋体"/>
                <w:color w:val="000000"/>
              </w:rPr>
              <w:t>其它磋商报价得分=（磋商基准价/最后磋商报价）×价格权值×100</w:t>
            </w:r>
          </w:p>
        </w:tc>
        <w:tc>
          <w:tcPr>
            <w:tcW w:w="316" w:type="pct"/>
            <w:gridSpan w:val="2"/>
            <w:tcBorders>
              <w:top w:val="outset" w:color="auto" w:sz="6" w:space="0"/>
              <w:left w:val="outset" w:color="auto" w:sz="6" w:space="0"/>
              <w:bottom w:val="outset" w:color="auto" w:sz="6" w:space="0"/>
              <w:right w:val="outset" w:color="auto" w:sz="6" w:space="0"/>
            </w:tcBorders>
            <w:noWrap w:val="0"/>
            <w:vAlign w:val="center"/>
          </w:tcPr>
          <w:p w14:paraId="668240F1">
            <w:pPr>
              <w:pStyle w:val="171"/>
              <w:jc w:val="center"/>
              <w:rPr>
                <w:rFonts w:hint="default" w:ascii="宋体" w:hAnsi="宋体" w:eastAsia="宋体" w:cs="宋体"/>
                <w:lang w:val="en-US" w:eastAsia="zh-CN"/>
              </w:rPr>
            </w:pPr>
            <w:r>
              <w:rPr>
                <w:rFonts w:hint="eastAsia" w:ascii="宋体" w:hAnsi="宋体" w:eastAsia="宋体" w:cs="宋体"/>
                <w:lang w:val="en-US" w:eastAsia="zh-CN"/>
              </w:rPr>
              <w:t>10</w:t>
            </w:r>
          </w:p>
        </w:tc>
        <w:tc>
          <w:tcPr>
            <w:tcW w:w="316" w:type="pct"/>
            <w:tcBorders>
              <w:top w:val="outset" w:color="auto" w:sz="6" w:space="0"/>
              <w:left w:val="outset" w:color="auto" w:sz="6" w:space="0"/>
              <w:bottom w:val="outset" w:color="auto" w:sz="6" w:space="0"/>
              <w:right w:val="outset" w:color="auto" w:sz="6" w:space="0"/>
            </w:tcBorders>
            <w:noWrap w:val="0"/>
            <w:vAlign w:val="center"/>
          </w:tcPr>
          <w:p w14:paraId="7199AF17">
            <w:pPr>
              <w:pStyle w:val="171"/>
              <w:jc w:val="center"/>
              <w:rPr>
                <w:rFonts w:hint="default" w:ascii="宋体" w:hAnsi="宋体" w:eastAsia="宋体" w:cs="宋体"/>
                <w:lang w:val="en-US" w:eastAsia="zh-CN"/>
              </w:rPr>
            </w:pPr>
            <w:r>
              <w:rPr>
                <w:rFonts w:hint="eastAsia" w:ascii="宋体" w:hAnsi="宋体" w:eastAsia="宋体" w:cs="宋体"/>
                <w:lang w:val="en-US" w:eastAsia="zh-CN"/>
              </w:rPr>
              <w:t>10</w:t>
            </w:r>
          </w:p>
        </w:tc>
      </w:tr>
      <w:tr w14:paraId="6434552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7EED9EB7">
            <w:pPr>
              <w:pStyle w:val="171"/>
              <w:rPr>
                <w:rFonts w:hint="eastAsia" w:ascii="宋体" w:hAnsi="宋体" w:eastAsia="宋体" w:cs="宋体"/>
              </w:rPr>
            </w:pPr>
          </w:p>
        </w:tc>
        <w:tc>
          <w:tcPr>
            <w:tcW w:w="355" w:type="pct"/>
            <w:tcBorders>
              <w:left w:val="outset" w:color="auto" w:sz="6" w:space="0"/>
              <w:right w:val="outset" w:color="auto" w:sz="6" w:space="0"/>
            </w:tcBorders>
            <w:noWrap w:val="0"/>
            <w:vAlign w:val="center"/>
          </w:tcPr>
          <w:p w14:paraId="792E3E80">
            <w:pPr>
              <w:pStyle w:val="171"/>
              <w:jc w:val="center"/>
              <w:rPr>
                <w:rFonts w:hint="eastAsia" w:ascii="宋体" w:hAnsi="宋体" w:eastAsia="宋体" w:cs="宋体"/>
              </w:rPr>
            </w:pPr>
            <w:r>
              <w:rPr>
                <w:rFonts w:hint="eastAsia" w:ascii="宋体" w:hAnsi="宋体" w:eastAsia="宋体" w:cs="宋体"/>
              </w:rPr>
              <w:t>商务标评审</w:t>
            </w:r>
          </w:p>
        </w:tc>
        <w:tc>
          <w:tcPr>
            <w:tcW w:w="642" w:type="pct"/>
            <w:tcBorders>
              <w:top w:val="outset" w:color="auto" w:sz="6" w:space="0"/>
              <w:left w:val="outset" w:color="auto" w:sz="6" w:space="0"/>
              <w:right w:val="outset" w:color="auto" w:sz="6" w:space="0"/>
            </w:tcBorders>
            <w:noWrap w:val="0"/>
            <w:vAlign w:val="center"/>
          </w:tcPr>
          <w:p w14:paraId="1BD4DDF6">
            <w:pPr>
              <w:pStyle w:val="171"/>
              <w:jc w:val="center"/>
              <w:rPr>
                <w:rFonts w:hint="eastAsia" w:ascii="宋体" w:hAnsi="宋体"/>
                <w:color w:val="000000"/>
                <w:szCs w:val="21"/>
              </w:rPr>
            </w:pPr>
            <w:r>
              <w:rPr>
                <w:rFonts w:hint="eastAsia" w:ascii="宋体" w:hAnsi="宋体"/>
                <w:color w:val="000000"/>
              </w:rPr>
              <w:t>业绩</w:t>
            </w:r>
          </w:p>
        </w:tc>
        <w:tc>
          <w:tcPr>
            <w:tcW w:w="3195" w:type="pct"/>
            <w:tcBorders>
              <w:top w:val="outset" w:color="auto" w:sz="6" w:space="0"/>
              <w:left w:val="outset" w:color="auto" w:sz="6" w:space="0"/>
              <w:bottom w:val="outset" w:color="auto" w:sz="6" w:space="0"/>
              <w:right w:val="outset" w:color="auto" w:sz="6" w:space="0"/>
            </w:tcBorders>
            <w:noWrap w:val="0"/>
            <w:vAlign w:val="top"/>
          </w:tcPr>
          <w:p w14:paraId="257A4584">
            <w:pPr>
              <w:pStyle w:val="21"/>
              <w:spacing w:line="320" w:lineRule="exact"/>
              <w:jc w:val="left"/>
              <w:rPr>
                <w:rFonts w:hint="eastAsia" w:ascii="宋体" w:hAnsi="宋体" w:eastAsia="宋体" w:cs="宋体"/>
                <w:color w:val="000000"/>
                <w:lang w:val="en-US" w:eastAsia="zh-CN"/>
              </w:rPr>
            </w:pPr>
            <w:r>
              <w:rPr>
                <w:rFonts w:ascii="Times New Roman" w:hAnsi="Times New Roman"/>
                <w:bCs/>
                <w:sz w:val="24"/>
                <w:szCs w:val="24"/>
              </w:rPr>
              <w:t>近三年（20</w:t>
            </w:r>
            <w:r>
              <w:rPr>
                <w:rFonts w:hint="eastAsia" w:ascii="Times New Roman" w:hAnsi="Times New Roman"/>
                <w:bCs/>
                <w:sz w:val="24"/>
                <w:szCs w:val="24"/>
                <w:lang w:val="en-US" w:eastAsia="zh-CN"/>
              </w:rPr>
              <w:t>22</w:t>
            </w:r>
            <w:r>
              <w:rPr>
                <w:rFonts w:ascii="Times New Roman" w:hAnsi="Times New Roman"/>
                <w:bCs/>
                <w:sz w:val="24"/>
                <w:szCs w:val="24"/>
              </w:rPr>
              <w:t>年1月1日至今）</w:t>
            </w:r>
            <w:r>
              <w:rPr>
                <w:rFonts w:hint="eastAsia" w:ascii="Times New Roman" w:hAnsi="Times New Roman"/>
                <w:bCs/>
                <w:sz w:val="24"/>
                <w:szCs w:val="24"/>
              </w:rPr>
              <w:t>承担过气象防灾减灾运行维护服务项目绩的每提供1项业绩证明材料得</w:t>
            </w:r>
            <w:r>
              <w:rPr>
                <w:rFonts w:hint="eastAsia" w:ascii="Times New Roman" w:hAnsi="Times New Roman"/>
                <w:bCs/>
                <w:sz w:val="24"/>
                <w:szCs w:val="24"/>
                <w:lang w:val="en-US" w:eastAsia="zh-CN"/>
              </w:rPr>
              <w:t>1</w:t>
            </w:r>
            <w:r>
              <w:rPr>
                <w:rFonts w:hint="eastAsia" w:ascii="Times New Roman" w:hAnsi="Times New Roman"/>
                <w:bCs/>
                <w:sz w:val="24"/>
                <w:szCs w:val="24"/>
              </w:rPr>
              <w:t>分，最多得3分（提供合同复印件，以合同签订时间为准）</w:t>
            </w:r>
            <w:r>
              <w:rPr>
                <w:rFonts w:hint="eastAsia" w:ascii="Times New Roman" w:hAnsi="Times New Roman"/>
                <w:bCs/>
                <w:sz w:val="24"/>
                <w:szCs w:val="24"/>
                <w:lang w:eastAsia="zh-CN"/>
              </w:rPr>
              <w:t>。</w:t>
            </w:r>
          </w:p>
        </w:tc>
        <w:tc>
          <w:tcPr>
            <w:tcW w:w="316" w:type="pct"/>
            <w:gridSpan w:val="2"/>
            <w:tcBorders>
              <w:left w:val="outset" w:color="auto" w:sz="6" w:space="0"/>
              <w:bottom w:val="single" w:color="auto" w:sz="4" w:space="0"/>
              <w:right w:val="outset" w:color="auto" w:sz="6" w:space="0"/>
            </w:tcBorders>
            <w:noWrap w:val="0"/>
            <w:vAlign w:val="center"/>
          </w:tcPr>
          <w:p w14:paraId="20D35A54">
            <w:pPr>
              <w:pStyle w:val="171"/>
              <w:jc w:val="center"/>
              <w:rPr>
                <w:rFonts w:hint="default" w:ascii="宋体" w:hAnsi="宋体" w:eastAsia="宋体" w:cs="宋体"/>
                <w:lang w:val="en-US" w:eastAsia="zh-CN"/>
              </w:rPr>
            </w:pPr>
            <w:r>
              <w:rPr>
                <w:rFonts w:hint="eastAsia" w:ascii="宋体" w:hAnsi="宋体" w:eastAsia="宋体" w:cs="宋体"/>
                <w:lang w:val="en-US" w:eastAsia="zh-CN"/>
              </w:rPr>
              <w:t>3</w:t>
            </w:r>
          </w:p>
        </w:tc>
        <w:tc>
          <w:tcPr>
            <w:tcW w:w="316" w:type="pct"/>
            <w:tcBorders>
              <w:left w:val="outset" w:color="auto" w:sz="6" w:space="0"/>
              <w:bottom w:val="single" w:color="auto" w:sz="4" w:space="0"/>
              <w:right w:val="outset" w:color="auto" w:sz="6" w:space="0"/>
            </w:tcBorders>
            <w:noWrap w:val="0"/>
            <w:vAlign w:val="center"/>
          </w:tcPr>
          <w:p w14:paraId="6645684B">
            <w:pPr>
              <w:pStyle w:val="171"/>
              <w:jc w:val="center"/>
              <w:rPr>
                <w:rFonts w:hint="default" w:ascii="宋体" w:hAnsi="宋体" w:eastAsia="宋体" w:cs="宋体"/>
                <w:lang w:val="en-US" w:eastAsia="zh-CN"/>
              </w:rPr>
            </w:pPr>
            <w:r>
              <w:rPr>
                <w:rFonts w:hint="eastAsia" w:ascii="宋体" w:hAnsi="宋体" w:eastAsia="宋体" w:cs="宋体"/>
                <w:lang w:val="en-US" w:eastAsia="zh-CN"/>
              </w:rPr>
              <w:t>3</w:t>
            </w:r>
          </w:p>
        </w:tc>
      </w:tr>
      <w:tr w14:paraId="606266E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42B08341">
            <w:pPr>
              <w:pStyle w:val="171"/>
              <w:rPr>
                <w:rFonts w:hint="eastAsia" w:ascii="宋体" w:hAnsi="宋体" w:eastAsia="宋体" w:cs="宋体"/>
              </w:rPr>
            </w:pPr>
          </w:p>
        </w:tc>
        <w:tc>
          <w:tcPr>
            <w:tcW w:w="355" w:type="pct"/>
            <w:vMerge w:val="restart"/>
            <w:tcBorders>
              <w:top w:val="outset" w:color="auto" w:sz="6" w:space="0"/>
              <w:left w:val="outset" w:color="auto" w:sz="6" w:space="0"/>
              <w:right w:val="outset" w:color="auto" w:sz="6" w:space="0"/>
            </w:tcBorders>
            <w:noWrap w:val="0"/>
            <w:vAlign w:val="center"/>
          </w:tcPr>
          <w:p w14:paraId="722C0266">
            <w:pPr>
              <w:pStyle w:val="171"/>
              <w:jc w:val="center"/>
              <w:rPr>
                <w:rFonts w:hint="eastAsia" w:ascii="宋体" w:hAnsi="宋体" w:eastAsia="宋体" w:cs="宋体"/>
              </w:rPr>
            </w:pPr>
            <w:r>
              <w:rPr>
                <w:rFonts w:hint="eastAsia" w:ascii="宋体" w:hAnsi="宋体" w:eastAsia="宋体" w:cs="宋体"/>
              </w:rPr>
              <w:t>技术标评审</w:t>
            </w:r>
          </w:p>
        </w:tc>
        <w:tc>
          <w:tcPr>
            <w:tcW w:w="642" w:type="pct"/>
            <w:tcBorders>
              <w:top w:val="outset" w:color="auto" w:sz="6" w:space="0"/>
              <w:left w:val="outset" w:color="auto" w:sz="6" w:space="0"/>
              <w:bottom w:val="outset" w:color="auto" w:sz="6" w:space="0"/>
              <w:right w:val="outset" w:color="auto" w:sz="6" w:space="0"/>
            </w:tcBorders>
            <w:noWrap w:val="0"/>
            <w:vAlign w:val="center"/>
          </w:tcPr>
          <w:p w14:paraId="6417B06A">
            <w:pPr>
              <w:jc w:val="center"/>
              <w:rPr>
                <w:rFonts w:hint="eastAsia" w:ascii="Times New Roman" w:hAnsi="Times New Roman" w:eastAsia="Times New Roman" w:cs="Times New Roman"/>
                <w:kern w:val="0"/>
                <w:sz w:val="24"/>
                <w:szCs w:val="21"/>
                <w:lang w:eastAsia="zh-CN" w:bidi="ar-SA"/>
              </w:rPr>
            </w:pPr>
            <w:r>
              <w:rPr>
                <w:rFonts w:hint="eastAsia" w:ascii="Times New Roman" w:hAnsi="Times New Roman" w:eastAsia="Times New Roman" w:cs="Times New Roman"/>
                <w:kern w:val="0"/>
                <w:sz w:val="24"/>
                <w:szCs w:val="21"/>
                <w:lang w:bidi="ar-SA"/>
              </w:rPr>
              <w:t>总体方案</w:t>
            </w:r>
          </w:p>
        </w:tc>
        <w:tc>
          <w:tcPr>
            <w:tcW w:w="3195" w:type="pct"/>
            <w:tcBorders>
              <w:top w:val="outset" w:color="auto" w:sz="6" w:space="0"/>
              <w:left w:val="outset" w:color="auto" w:sz="6" w:space="0"/>
              <w:bottom w:val="outset" w:color="auto" w:sz="6" w:space="0"/>
              <w:right w:val="single" w:color="auto" w:sz="4" w:space="0"/>
            </w:tcBorders>
            <w:noWrap w:val="0"/>
            <w:vAlign w:val="center"/>
          </w:tcPr>
          <w:p w14:paraId="1733F408">
            <w:pPr>
              <w:rPr>
                <w:rFonts w:hint="eastAsia" w:ascii="Times New Roman" w:hAnsi="Times New Roman" w:eastAsia="Times New Roman" w:cs="Times New Roman"/>
                <w:kern w:val="0"/>
                <w:sz w:val="24"/>
                <w:szCs w:val="21"/>
                <w:lang w:bidi="ar-SA"/>
              </w:rPr>
            </w:pPr>
            <w:r>
              <w:rPr>
                <w:rFonts w:hint="eastAsia" w:ascii="Times New Roman" w:hAnsi="Times New Roman" w:eastAsia="Times New Roman" w:cs="Times New Roman"/>
                <w:kern w:val="0"/>
                <w:sz w:val="24"/>
                <w:szCs w:val="21"/>
                <w:lang w:bidi="ar-SA"/>
              </w:rPr>
              <w:t>1.总体方案详细完善、方案合理可行性强、针对性强，服务质量可靠，能够满足采购人需求的得</w:t>
            </w:r>
            <w:r>
              <w:rPr>
                <w:rFonts w:hint="eastAsia" w:ascii="Times New Roman" w:hAnsi="Times New Roman" w:eastAsia="宋体" w:cs="Times New Roman"/>
                <w:kern w:val="0"/>
                <w:sz w:val="24"/>
                <w:szCs w:val="21"/>
                <w:lang w:val="en-US" w:eastAsia="zh-CN" w:bidi="ar-SA"/>
              </w:rPr>
              <w:t>20</w:t>
            </w:r>
            <w:r>
              <w:rPr>
                <w:rFonts w:hint="eastAsia" w:ascii="Times New Roman" w:hAnsi="Times New Roman" w:eastAsia="Times New Roman" w:cs="Times New Roman"/>
                <w:kern w:val="0"/>
                <w:sz w:val="24"/>
                <w:szCs w:val="21"/>
                <w:lang w:bidi="ar-SA"/>
              </w:rPr>
              <w:t>分；</w:t>
            </w:r>
          </w:p>
          <w:p w14:paraId="4D03C894">
            <w:pPr>
              <w:rPr>
                <w:rFonts w:hint="eastAsia" w:ascii="Times New Roman" w:hAnsi="Times New Roman" w:eastAsia="Times New Roman" w:cs="Times New Roman"/>
                <w:kern w:val="0"/>
                <w:sz w:val="24"/>
                <w:szCs w:val="21"/>
                <w:lang w:bidi="ar-SA"/>
              </w:rPr>
            </w:pPr>
            <w:r>
              <w:rPr>
                <w:rFonts w:hint="eastAsia" w:ascii="Times New Roman" w:hAnsi="Times New Roman" w:eastAsia="Times New Roman" w:cs="Times New Roman"/>
                <w:kern w:val="0"/>
                <w:sz w:val="24"/>
                <w:szCs w:val="21"/>
                <w:lang w:bidi="ar-SA"/>
              </w:rPr>
              <w:t>2.总体方案较完善、方案较合理、可行性较好、有针对性，服务质量可靠，得</w:t>
            </w:r>
            <w:r>
              <w:rPr>
                <w:rFonts w:hint="eastAsia" w:ascii="Times New Roman" w:hAnsi="Times New Roman" w:eastAsia="Times New Roman" w:cs="Times New Roman"/>
                <w:kern w:val="0"/>
                <w:sz w:val="24"/>
                <w:szCs w:val="21"/>
                <w:lang w:val="en-US" w:eastAsia="zh-CN" w:bidi="ar-SA"/>
              </w:rPr>
              <w:t>15</w:t>
            </w:r>
            <w:r>
              <w:rPr>
                <w:rFonts w:hint="eastAsia" w:ascii="Times New Roman" w:hAnsi="Times New Roman" w:eastAsia="Times New Roman" w:cs="Times New Roman"/>
                <w:kern w:val="0"/>
                <w:sz w:val="24"/>
                <w:szCs w:val="21"/>
                <w:lang w:bidi="ar-SA"/>
              </w:rPr>
              <w:t>分；</w:t>
            </w:r>
          </w:p>
          <w:p w14:paraId="536A6C23">
            <w:pPr>
              <w:rPr>
                <w:rFonts w:hint="eastAsia" w:ascii="Times New Roman" w:hAnsi="Times New Roman" w:eastAsia="Times New Roman" w:cs="Times New Roman"/>
                <w:kern w:val="0"/>
                <w:sz w:val="24"/>
                <w:szCs w:val="21"/>
                <w:lang w:bidi="ar-SA"/>
              </w:rPr>
            </w:pPr>
            <w:r>
              <w:rPr>
                <w:rFonts w:hint="eastAsia" w:ascii="Times New Roman" w:hAnsi="Times New Roman" w:eastAsia="Times New Roman" w:cs="Times New Roman"/>
                <w:kern w:val="0"/>
                <w:sz w:val="24"/>
                <w:szCs w:val="21"/>
                <w:lang w:bidi="ar-SA"/>
              </w:rPr>
              <w:t xml:space="preserve">3.总体方案不够完善、方案一般、可行性一般、针对性不强，但服务质量较好，得 </w:t>
            </w:r>
            <w:r>
              <w:rPr>
                <w:rFonts w:hint="eastAsia" w:ascii="Times New Roman" w:hAnsi="Times New Roman" w:eastAsia="Times New Roman" w:cs="Times New Roman"/>
                <w:kern w:val="0"/>
                <w:sz w:val="24"/>
                <w:szCs w:val="21"/>
                <w:lang w:val="en-US" w:eastAsia="zh-CN" w:bidi="ar-SA"/>
              </w:rPr>
              <w:t>10</w:t>
            </w:r>
            <w:r>
              <w:rPr>
                <w:rFonts w:hint="eastAsia" w:ascii="Times New Roman" w:hAnsi="Times New Roman" w:eastAsia="Times New Roman" w:cs="Times New Roman"/>
                <w:kern w:val="0"/>
                <w:sz w:val="24"/>
                <w:szCs w:val="21"/>
                <w:lang w:bidi="ar-SA"/>
              </w:rPr>
              <w:t xml:space="preserve"> 分；</w:t>
            </w:r>
          </w:p>
          <w:p w14:paraId="300DAD3D">
            <w:pPr>
              <w:rPr>
                <w:rFonts w:hint="eastAsia" w:ascii="Times New Roman" w:hAnsi="Times New Roman" w:eastAsia="Times New Roman" w:cs="Times New Roman"/>
                <w:kern w:val="0"/>
                <w:sz w:val="24"/>
                <w:szCs w:val="21"/>
                <w:lang w:bidi="ar-SA"/>
              </w:rPr>
            </w:pPr>
            <w:r>
              <w:rPr>
                <w:rFonts w:hint="eastAsia" w:ascii="Times New Roman" w:hAnsi="Times New Roman" w:eastAsia="Times New Roman" w:cs="Times New Roman"/>
                <w:kern w:val="0"/>
                <w:sz w:val="24"/>
                <w:szCs w:val="21"/>
                <w:lang w:bidi="ar-SA"/>
              </w:rPr>
              <w:t xml:space="preserve">4.总体方案差，或服务质量一般，得 </w:t>
            </w:r>
            <w:r>
              <w:rPr>
                <w:rFonts w:hint="eastAsia" w:ascii="Times New Roman" w:hAnsi="Times New Roman" w:eastAsia="宋体" w:cs="Times New Roman"/>
                <w:kern w:val="0"/>
                <w:sz w:val="24"/>
                <w:szCs w:val="21"/>
                <w:lang w:val="en-US" w:eastAsia="zh-CN" w:bidi="ar-SA"/>
              </w:rPr>
              <w:t>5</w:t>
            </w:r>
            <w:r>
              <w:rPr>
                <w:rFonts w:hint="eastAsia" w:ascii="Times New Roman" w:hAnsi="Times New Roman" w:eastAsia="Times New Roman" w:cs="Times New Roman"/>
                <w:kern w:val="0"/>
                <w:sz w:val="24"/>
                <w:szCs w:val="21"/>
                <w:lang w:bidi="ar-SA"/>
              </w:rPr>
              <w:t>分。</w:t>
            </w:r>
          </w:p>
          <w:p w14:paraId="1AB795DC">
            <w:pPr>
              <w:rPr>
                <w:rFonts w:hint="default" w:ascii="Times New Roman" w:hAnsi="Times New Roman" w:eastAsia="Times New Roman" w:cs="Times New Roman"/>
                <w:kern w:val="0"/>
                <w:sz w:val="24"/>
                <w:szCs w:val="21"/>
                <w:lang w:val="en-US" w:eastAsia="zh-CN" w:bidi="ar-SA"/>
              </w:rPr>
            </w:pPr>
            <w:r>
              <w:rPr>
                <w:rFonts w:hint="eastAsia" w:ascii="Times New Roman" w:hAnsi="Times New Roman" w:eastAsia="Times New Roman" w:cs="Times New Roman"/>
                <w:kern w:val="0"/>
                <w:sz w:val="24"/>
                <w:szCs w:val="21"/>
                <w:lang w:val="en-US" w:eastAsia="zh-CN" w:bidi="ar-SA"/>
              </w:rPr>
              <w:t>5.</w:t>
            </w:r>
            <w:r>
              <w:rPr>
                <w:rFonts w:hint="eastAsia" w:ascii="Times New Roman" w:hAnsi="Times New Roman" w:eastAsia="Times New Roman" w:cs="Times New Roman"/>
                <w:kern w:val="0"/>
                <w:sz w:val="24"/>
                <w:szCs w:val="21"/>
                <w:lang w:bidi="ar-SA"/>
              </w:rPr>
              <w:t>不提供不得分。</w:t>
            </w:r>
          </w:p>
        </w:tc>
        <w:tc>
          <w:tcPr>
            <w:tcW w:w="316" w:type="pct"/>
            <w:gridSpan w:val="2"/>
            <w:tcBorders>
              <w:top w:val="single" w:color="auto" w:sz="4" w:space="0"/>
              <w:left w:val="single" w:color="auto" w:sz="4" w:space="0"/>
              <w:bottom w:val="single" w:color="auto" w:sz="4" w:space="0"/>
              <w:right w:val="single" w:color="auto" w:sz="4" w:space="0"/>
            </w:tcBorders>
            <w:noWrap w:val="0"/>
            <w:vAlign w:val="center"/>
          </w:tcPr>
          <w:p w14:paraId="28F1C145">
            <w:pPr>
              <w:pStyle w:val="171"/>
              <w:jc w:val="center"/>
              <w:rPr>
                <w:rFonts w:hint="default" w:ascii="宋体" w:hAnsi="宋体" w:eastAsia="宋体" w:cs="宋体"/>
                <w:lang w:val="en-US" w:eastAsia="zh-CN"/>
              </w:rPr>
            </w:pPr>
            <w:r>
              <w:rPr>
                <w:rFonts w:hint="eastAsia" w:ascii="宋体" w:hAnsi="宋体" w:eastAsia="宋体" w:cs="宋体"/>
                <w:lang w:val="en-US" w:eastAsia="zh-CN"/>
              </w:rPr>
              <w:t>20</w:t>
            </w:r>
          </w:p>
        </w:tc>
        <w:tc>
          <w:tcPr>
            <w:tcW w:w="316" w:type="pct"/>
            <w:vMerge w:val="restart"/>
            <w:tcBorders>
              <w:top w:val="single" w:color="auto" w:sz="4" w:space="0"/>
              <w:left w:val="single" w:color="auto" w:sz="4" w:space="0"/>
              <w:right w:val="single" w:color="auto" w:sz="4" w:space="0"/>
            </w:tcBorders>
            <w:noWrap w:val="0"/>
            <w:vAlign w:val="center"/>
          </w:tcPr>
          <w:p w14:paraId="5C276837">
            <w:pPr>
              <w:pStyle w:val="171"/>
              <w:jc w:val="center"/>
              <w:rPr>
                <w:rFonts w:hint="default" w:ascii="宋体" w:hAnsi="宋体" w:eastAsia="宋体" w:cs="宋体"/>
                <w:lang w:val="en-US" w:eastAsia="zh-CN"/>
              </w:rPr>
            </w:pPr>
            <w:r>
              <w:rPr>
                <w:rFonts w:hint="eastAsia" w:ascii="宋体" w:hAnsi="宋体" w:eastAsia="宋体" w:cs="宋体"/>
                <w:lang w:val="en-US" w:eastAsia="zh-CN"/>
              </w:rPr>
              <w:t>87</w:t>
            </w:r>
          </w:p>
        </w:tc>
      </w:tr>
      <w:tr w14:paraId="6C00E10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3EF9916B">
            <w:pPr>
              <w:pStyle w:val="171"/>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0AE433A7">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0122D084">
            <w:pPr>
              <w:jc w:val="center"/>
              <w:rPr>
                <w:rFonts w:hint="eastAsia" w:ascii="Times New Roman" w:hAnsi="Times New Roman" w:eastAsia="Times New Roman" w:cs="Times New Roman"/>
                <w:kern w:val="0"/>
                <w:sz w:val="24"/>
                <w:szCs w:val="21"/>
                <w:lang w:bidi="ar-SA"/>
              </w:rPr>
            </w:pPr>
            <w:r>
              <w:rPr>
                <w:rFonts w:hint="eastAsia" w:ascii="Times New Roman" w:hAnsi="Times New Roman" w:eastAsia="Times New Roman" w:cs="Times New Roman"/>
                <w:kern w:val="0"/>
                <w:sz w:val="24"/>
                <w:szCs w:val="21"/>
                <w:lang w:bidi="ar-SA"/>
              </w:rPr>
              <w:t>运行维护方案</w:t>
            </w:r>
          </w:p>
        </w:tc>
        <w:tc>
          <w:tcPr>
            <w:tcW w:w="3195" w:type="pct"/>
            <w:tcBorders>
              <w:top w:val="outset" w:color="auto" w:sz="6" w:space="0"/>
              <w:left w:val="outset" w:color="auto" w:sz="6" w:space="0"/>
              <w:bottom w:val="outset" w:color="auto" w:sz="6" w:space="0"/>
              <w:right w:val="single" w:color="auto" w:sz="4" w:space="0"/>
            </w:tcBorders>
            <w:noWrap w:val="0"/>
            <w:vAlign w:val="center"/>
          </w:tcPr>
          <w:p w14:paraId="3EF3AB22">
            <w:pPr>
              <w:rPr>
                <w:rFonts w:hint="eastAsia" w:ascii="Times New Roman" w:hAnsi="Times New Roman" w:eastAsia="宋体" w:cs="Times New Roman"/>
                <w:kern w:val="0"/>
                <w:sz w:val="24"/>
                <w:szCs w:val="21"/>
                <w:lang w:val="en-US" w:eastAsia="zh-CN" w:bidi="ar-SA"/>
              </w:rPr>
            </w:pPr>
            <w:r>
              <w:rPr>
                <w:rFonts w:hint="eastAsia" w:ascii="Times New Roman" w:hAnsi="Times New Roman" w:eastAsia="Times New Roman" w:cs="Times New Roman"/>
                <w:kern w:val="0"/>
                <w:sz w:val="24"/>
                <w:szCs w:val="21"/>
                <w:lang w:bidi="ar-SA"/>
              </w:rPr>
              <w:t>运行维护方案详细、完整，项目进度计划合理，得</w:t>
            </w:r>
            <w:r>
              <w:rPr>
                <w:rFonts w:hint="eastAsia" w:ascii="Times New Roman" w:hAnsi="Times New Roman" w:eastAsia="Times New Roman" w:cs="Times New Roman"/>
                <w:kern w:val="0"/>
                <w:sz w:val="24"/>
                <w:szCs w:val="21"/>
                <w:lang w:val="en-US" w:eastAsia="zh-CN" w:bidi="ar-SA"/>
              </w:rPr>
              <w:t>15</w:t>
            </w:r>
            <w:r>
              <w:rPr>
                <w:rFonts w:hint="eastAsia" w:ascii="Times New Roman" w:hAnsi="Times New Roman" w:eastAsia="Times New Roman" w:cs="Times New Roman"/>
                <w:kern w:val="0"/>
                <w:sz w:val="24"/>
                <w:szCs w:val="21"/>
                <w:lang w:bidi="ar-SA"/>
              </w:rPr>
              <w:t>分；一般的</w:t>
            </w:r>
            <w:r>
              <w:rPr>
                <w:rFonts w:hint="eastAsia" w:ascii="Times New Roman" w:hAnsi="Times New Roman" w:eastAsia="Times New Roman" w:cs="Times New Roman"/>
                <w:kern w:val="0"/>
                <w:sz w:val="24"/>
                <w:szCs w:val="21"/>
                <w:lang w:val="en-US" w:eastAsia="zh-CN" w:bidi="ar-SA"/>
              </w:rPr>
              <w:t>10</w:t>
            </w:r>
            <w:r>
              <w:rPr>
                <w:rFonts w:hint="eastAsia" w:ascii="Times New Roman" w:hAnsi="Times New Roman" w:eastAsia="Times New Roman" w:cs="Times New Roman"/>
                <w:kern w:val="0"/>
                <w:sz w:val="24"/>
                <w:szCs w:val="21"/>
                <w:lang w:bidi="ar-SA"/>
              </w:rPr>
              <w:t>分；较差的得</w:t>
            </w:r>
            <w:r>
              <w:rPr>
                <w:rFonts w:hint="eastAsia" w:ascii="Times New Roman" w:hAnsi="Times New Roman" w:eastAsia="宋体" w:cs="Times New Roman"/>
                <w:kern w:val="0"/>
                <w:sz w:val="24"/>
                <w:szCs w:val="21"/>
                <w:lang w:val="en-US" w:eastAsia="zh-CN" w:bidi="ar-SA"/>
              </w:rPr>
              <w:t>5</w:t>
            </w:r>
            <w:r>
              <w:rPr>
                <w:rFonts w:hint="eastAsia" w:ascii="Times New Roman" w:hAnsi="Times New Roman" w:eastAsia="Times New Roman" w:cs="Times New Roman"/>
                <w:kern w:val="0"/>
                <w:sz w:val="24"/>
                <w:szCs w:val="21"/>
                <w:lang w:bidi="ar-SA"/>
              </w:rPr>
              <w:t>分。不提供不得分</w:t>
            </w:r>
            <w:r>
              <w:rPr>
                <w:rFonts w:hint="eastAsia" w:ascii="Times New Roman" w:hAnsi="Times New Roman" w:eastAsia="宋体" w:cs="Times New Roman"/>
                <w:kern w:val="0"/>
                <w:sz w:val="24"/>
                <w:szCs w:val="21"/>
                <w:lang w:eastAsia="zh-CN" w:bidi="ar-SA"/>
              </w:rPr>
              <w:t>。</w:t>
            </w:r>
          </w:p>
        </w:tc>
        <w:tc>
          <w:tcPr>
            <w:tcW w:w="316" w:type="pct"/>
            <w:gridSpan w:val="2"/>
            <w:tcBorders>
              <w:top w:val="single" w:color="auto" w:sz="4" w:space="0"/>
              <w:left w:val="single" w:color="auto" w:sz="4" w:space="0"/>
              <w:bottom w:val="single" w:color="auto" w:sz="4" w:space="0"/>
              <w:right w:val="single" w:color="auto" w:sz="4" w:space="0"/>
            </w:tcBorders>
            <w:noWrap w:val="0"/>
            <w:vAlign w:val="center"/>
          </w:tcPr>
          <w:p w14:paraId="0FA42ABD">
            <w:pPr>
              <w:pStyle w:val="171"/>
              <w:jc w:val="center"/>
              <w:rPr>
                <w:rFonts w:hint="default" w:ascii="宋体" w:hAnsi="宋体" w:eastAsia="宋体" w:cs="宋体"/>
                <w:lang w:val="en-US" w:eastAsia="zh-CN"/>
              </w:rPr>
            </w:pPr>
            <w:r>
              <w:rPr>
                <w:rFonts w:hint="eastAsia" w:ascii="宋体" w:hAnsi="宋体" w:eastAsia="宋体" w:cs="宋体"/>
                <w:lang w:val="en-US" w:eastAsia="zh-CN"/>
              </w:rPr>
              <w:t>15</w:t>
            </w:r>
          </w:p>
        </w:tc>
        <w:tc>
          <w:tcPr>
            <w:tcW w:w="316" w:type="pct"/>
            <w:vMerge w:val="continue"/>
            <w:tcBorders>
              <w:left w:val="single" w:color="auto" w:sz="4" w:space="0"/>
              <w:right w:val="single" w:color="auto" w:sz="4" w:space="0"/>
            </w:tcBorders>
            <w:noWrap w:val="0"/>
            <w:vAlign w:val="center"/>
          </w:tcPr>
          <w:p w14:paraId="58839BA5">
            <w:pPr>
              <w:pStyle w:val="171"/>
              <w:jc w:val="center"/>
              <w:rPr>
                <w:rFonts w:hint="eastAsia" w:ascii="宋体" w:hAnsi="宋体" w:eastAsia="宋体" w:cs="宋体"/>
                <w:lang w:val="en-US" w:eastAsia="zh-CN"/>
              </w:rPr>
            </w:pPr>
          </w:p>
        </w:tc>
      </w:tr>
      <w:tr w14:paraId="5CC1DDE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69BCFC12">
            <w:pPr>
              <w:pStyle w:val="171"/>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37811C64">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6EBBF72C">
            <w:pPr>
              <w:jc w:val="center"/>
              <w:rPr>
                <w:rFonts w:hint="eastAsia" w:ascii="Times New Roman" w:hAnsi="Times New Roman" w:eastAsia="Times New Roman" w:cs="Times New Roman"/>
                <w:kern w:val="0"/>
                <w:sz w:val="24"/>
                <w:szCs w:val="21"/>
                <w:lang w:eastAsia="zh-CN" w:bidi="ar-SA"/>
              </w:rPr>
            </w:pPr>
            <w:r>
              <w:rPr>
                <w:rFonts w:hint="eastAsia" w:ascii="Times New Roman" w:hAnsi="Times New Roman" w:eastAsia="Times New Roman" w:cs="Times New Roman"/>
                <w:kern w:val="0"/>
                <w:sz w:val="24"/>
                <w:szCs w:val="21"/>
                <w:lang w:val="en-US" w:eastAsia="zh-CN" w:bidi="ar-SA"/>
              </w:rPr>
              <w:t>对各系统业务的理解</w:t>
            </w:r>
          </w:p>
        </w:tc>
        <w:tc>
          <w:tcPr>
            <w:tcW w:w="3195" w:type="pct"/>
            <w:tcBorders>
              <w:top w:val="outset" w:color="auto" w:sz="6" w:space="0"/>
              <w:left w:val="outset" w:color="auto" w:sz="6" w:space="0"/>
              <w:bottom w:val="outset" w:color="auto" w:sz="6" w:space="0"/>
              <w:right w:val="single" w:color="auto" w:sz="4" w:space="0"/>
            </w:tcBorders>
            <w:noWrap w:val="0"/>
            <w:vAlign w:val="center"/>
          </w:tcPr>
          <w:p w14:paraId="4618EE2C">
            <w:pPr>
              <w:rPr>
                <w:rFonts w:hint="eastAsia" w:ascii="Times New Roman" w:hAnsi="Times New Roman" w:eastAsia="宋体" w:cs="Times New Roman"/>
                <w:kern w:val="0"/>
                <w:sz w:val="24"/>
                <w:szCs w:val="21"/>
                <w:lang w:val="en-US" w:eastAsia="zh-CN" w:bidi="ar-SA"/>
              </w:rPr>
            </w:pPr>
            <w:r>
              <w:rPr>
                <w:rFonts w:hint="eastAsia" w:ascii="Times New Roman" w:hAnsi="Times New Roman" w:eastAsia="Times New Roman" w:cs="Times New Roman"/>
                <w:kern w:val="0"/>
                <w:sz w:val="24"/>
                <w:szCs w:val="21"/>
                <w:lang w:bidi="ar-SA"/>
              </w:rPr>
              <w:t>对各系统的业务掌握和理解程度较好,对现状、应用环境、体系结构、功能、性能等内容分析，维护分配合理得</w:t>
            </w:r>
            <w:r>
              <w:rPr>
                <w:rFonts w:hint="eastAsia" w:ascii="Times New Roman" w:hAnsi="Times New Roman" w:eastAsia="宋体" w:cs="Times New Roman"/>
                <w:kern w:val="0"/>
                <w:sz w:val="24"/>
                <w:szCs w:val="21"/>
                <w:lang w:val="en-US" w:eastAsia="zh-CN" w:bidi="ar-SA"/>
              </w:rPr>
              <w:t>9</w:t>
            </w:r>
            <w:r>
              <w:rPr>
                <w:rFonts w:hint="eastAsia" w:ascii="Times New Roman" w:hAnsi="Times New Roman" w:eastAsia="Times New Roman" w:cs="Times New Roman"/>
                <w:kern w:val="0"/>
                <w:sz w:val="24"/>
                <w:szCs w:val="21"/>
                <w:lang w:bidi="ar-SA"/>
              </w:rPr>
              <w:t>分；一般的</w:t>
            </w:r>
            <w:r>
              <w:rPr>
                <w:rFonts w:hint="eastAsia" w:ascii="Times New Roman" w:hAnsi="Times New Roman" w:eastAsia="宋体" w:cs="Times New Roman"/>
                <w:kern w:val="0"/>
                <w:sz w:val="24"/>
                <w:szCs w:val="21"/>
                <w:lang w:val="en-US" w:eastAsia="zh-CN" w:bidi="ar-SA"/>
              </w:rPr>
              <w:t>6</w:t>
            </w:r>
            <w:r>
              <w:rPr>
                <w:rFonts w:hint="eastAsia" w:ascii="Times New Roman" w:hAnsi="Times New Roman" w:eastAsia="Times New Roman" w:cs="Times New Roman"/>
                <w:kern w:val="0"/>
                <w:sz w:val="24"/>
                <w:szCs w:val="21"/>
                <w:lang w:bidi="ar-SA"/>
              </w:rPr>
              <w:t>分；较差的得</w:t>
            </w:r>
            <w:r>
              <w:rPr>
                <w:rFonts w:hint="eastAsia" w:ascii="Times New Roman" w:hAnsi="Times New Roman" w:eastAsia="宋体" w:cs="Times New Roman"/>
                <w:kern w:val="0"/>
                <w:sz w:val="24"/>
                <w:szCs w:val="21"/>
                <w:lang w:val="en-US" w:eastAsia="zh-CN" w:bidi="ar-SA"/>
              </w:rPr>
              <w:t>3</w:t>
            </w:r>
            <w:r>
              <w:rPr>
                <w:rFonts w:hint="eastAsia" w:ascii="Times New Roman" w:hAnsi="Times New Roman" w:eastAsia="Times New Roman" w:cs="Times New Roman"/>
                <w:kern w:val="0"/>
                <w:sz w:val="24"/>
                <w:szCs w:val="21"/>
                <w:lang w:bidi="ar-SA"/>
              </w:rPr>
              <w:t>分</w:t>
            </w:r>
            <w:r>
              <w:rPr>
                <w:rFonts w:hint="eastAsia" w:ascii="Times New Roman" w:hAnsi="Times New Roman" w:eastAsia="宋体" w:cs="Times New Roman"/>
                <w:kern w:val="0"/>
                <w:sz w:val="24"/>
                <w:szCs w:val="21"/>
                <w:lang w:eastAsia="zh-CN" w:bidi="ar-SA"/>
              </w:rPr>
              <w:t>。</w:t>
            </w:r>
            <w:r>
              <w:rPr>
                <w:rFonts w:hint="eastAsia" w:ascii="Times New Roman" w:hAnsi="Times New Roman" w:eastAsia="Times New Roman" w:cs="Times New Roman"/>
                <w:kern w:val="0"/>
                <w:sz w:val="24"/>
                <w:szCs w:val="21"/>
                <w:lang w:bidi="ar-SA"/>
              </w:rPr>
              <w:t>不提供不得分</w:t>
            </w:r>
            <w:r>
              <w:rPr>
                <w:rFonts w:hint="eastAsia" w:ascii="Times New Roman" w:hAnsi="Times New Roman" w:eastAsia="宋体" w:cs="Times New Roman"/>
                <w:kern w:val="0"/>
                <w:sz w:val="24"/>
                <w:szCs w:val="21"/>
                <w:lang w:eastAsia="zh-CN" w:bidi="ar-SA"/>
              </w:rPr>
              <w:t>。</w:t>
            </w:r>
          </w:p>
        </w:tc>
        <w:tc>
          <w:tcPr>
            <w:tcW w:w="316" w:type="pct"/>
            <w:gridSpan w:val="2"/>
            <w:tcBorders>
              <w:top w:val="single" w:color="auto" w:sz="4" w:space="0"/>
              <w:left w:val="single" w:color="auto" w:sz="4" w:space="0"/>
              <w:bottom w:val="single" w:color="auto" w:sz="4" w:space="0"/>
              <w:right w:val="single" w:color="auto" w:sz="4" w:space="0"/>
            </w:tcBorders>
            <w:noWrap w:val="0"/>
            <w:vAlign w:val="center"/>
          </w:tcPr>
          <w:p w14:paraId="780C1290">
            <w:pPr>
              <w:pStyle w:val="171"/>
              <w:jc w:val="center"/>
              <w:rPr>
                <w:rFonts w:hint="default" w:ascii="宋体" w:hAnsi="宋体" w:eastAsia="宋体" w:cs="宋体"/>
                <w:lang w:val="en-US" w:eastAsia="zh-CN"/>
              </w:rPr>
            </w:pPr>
            <w:r>
              <w:rPr>
                <w:rFonts w:hint="eastAsia" w:ascii="宋体" w:hAnsi="宋体" w:eastAsia="宋体" w:cs="宋体"/>
                <w:lang w:val="en-US" w:eastAsia="zh-CN"/>
              </w:rPr>
              <w:t>9</w:t>
            </w:r>
          </w:p>
        </w:tc>
        <w:tc>
          <w:tcPr>
            <w:tcW w:w="316" w:type="pct"/>
            <w:vMerge w:val="continue"/>
            <w:tcBorders>
              <w:left w:val="single" w:color="auto" w:sz="4" w:space="0"/>
              <w:right w:val="single" w:color="auto" w:sz="4" w:space="0"/>
            </w:tcBorders>
            <w:noWrap w:val="0"/>
            <w:vAlign w:val="center"/>
          </w:tcPr>
          <w:p w14:paraId="25CB68A5">
            <w:pPr>
              <w:pStyle w:val="171"/>
              <w:jc w:val="center"/>
              <w:rPr>
                <w:rFonts w:hint="eastAsia" w:ascii="宋体" w:hAnsi="宋体" w:eastAsia="宋体" w:cs="宋体"/>
                <w:lang w:val="en-US" w:eastAsia="zh-CN"/>
              </w:rPr>
            </w:pPr>
          </w:p>
        </w:tc>
      </w:tr>
      <w:tr w14:paraId="25CB2C5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370A34FA">
            <w:pPr>
              <w:pStyle w:val="171"/>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7F11F4D8">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6585F9AF">
            <w:pPr>
              <w:jc w:val="center"/>
              <w:rPr>
                <w:rFonts w:hint="eastAsia" w:ascii="Times New Roman" w:hAnsi="Times New Roman" w:eastAsia="Times New Roman" w:cs="Times New Roman"/>
                <w:kern w:val="0"/>
                <w:sz w:val="24"/>
                <w:szCs w:val="21"/>
                <w:lang w:eastAsia="zh-CN" w:bidi="ar-SA"/>
              </w:rPr>
            </w:pPr>
            <w:r>
              <w:rPr>
                <w:rFonts w:hint="eastAsia" w:ascii="Times New Roman" w:hAnsi="Times New Roman" w:eastAsia="Times New Roman" w:cs="Times New Roman"/>
                <w:kern w:val="0"/>
                <w:sz w:val="24"/>
                <w:szCs w:val="21"/>
                <w:lang w:val="en-US" w:eastAsia="zh-CN" w:bidi="ar-SA"/>
              </w:rPr>
              <w:t>维护重点、难点</w:t>
            </w:r>
          </w:p>
        </w:tc>
        <w:tc>
          <w:tcPr>
            <w:tcW w:w="3195" w:type="pct"/>
            <w:tcBorders>
              <w:top w:val="outset" w:color="auto" w:sz="6" w:space="0"/>
              <w:left w:val="outset" w:color="auto" w:sz="6" w:space="0"/>
              <w:bottom w:val="outset" w:color="auto" w:sz="6" w:space="0"/>
              <w:right w:val="single" w:color="auto" w:sz="4" w:space="0"/>
            </w:tcBorders>
            <w:noWrap w:val="0"/>
            <w:vAlign w:val="center"/>
          </w:tcPr>
          <w:p w14:paraId="24D09606">
            <w:pPr>
              <w:rPr>
                <w:rFonts w:hint="eastAsia" w:ascii="Times New Roman" w:hAnsi="Times New Roman" w:eastAsia="Times New Roman" w:cs="Times New Roman"/>
                <w:kern w:val="0"/>
                <w:sz w:val="24"/>
                <w:szCs w:val="21"/>
                <w:lang w:val="en-US" w:eastAsia="zh-CN" w:bidi="ar-SA"/>
              </w:rPr>
            </w:pPr>
            <w:r>
              <w:rPr>
                <w:rFonts w:hint="eastAsia" w:ascii="Times New Roman" w:hAnsi="Times New Roman" w:eastAsia="Times New Roman" w:cs="Times New Roman"/>
                <w:kern w:val="0"/>
                <w:sz w:val="24"/>
                <w:szCs w:val="21"/>
                <w:lang w:bidi="ar-SA"/>
              </w:rPr>
              <w:t>对维护重点、难点认识深刻、表述全面准确，解决方案科学、系统、安全、经济，可操作性强，保障措施全面得</w:t>
            </w:r>
            <w:r>
              <w:rPr>
                <w:rFonts w:hint="eastAsia" w:ascii="Times New Roman" w:hAnsi="Times New Roman" w:eastAsia="宋体" w:cs="Times New Roman"/>
                <w:kern w:val="0"/>
                <w:sz w:val="24"/>
                <w:szCs w:val="21"/>
                <w:lang w:val="en-US" w:eastAsia="zh-CN" w:bidi="ar-SA"/>
              </w:rPr>
              <w:t>9</w:t>
            </w:r>
            <w:r>
              <w:rPr>
                <w:rFonts w:hint="eastAsia" w:ascii="Times New Roman" w:hAnsi="Times New Roman" w:eastAsia="Times New Roman" w:cs="Times New Roman"/>
                <w:kern w:val="0"/>
                <w:sz w:val="24"/>
                <w:szCs w:val="21"/>
                <w:lang w:bidi="ar-SA"/>
              </w:rPr>
              <w:t>分；一般的</w:t>
            </w:r>
            <w:r>
              <w:rPr>
                <w:rFonts w:hint="eastAsia" w:ascii="Times New Roman" w:hAnsi="Times New Roman" w:eastAsia="宋体" w:cs="Times New Roman"/>
                <w:kern w:val="0"/>
                <w:sz w:val="24"/>
                <w:szCs w:val="21"/>
                <w:lang w:val="en-US" w:eastAsia="zh-CN" w:bidi="ar-SA"/>
              </w:rPr>
              <w:t>6</w:t>
            </w:r>
            <w:r>
              <w:rPr>
                <w:rFonts w:hint="eastAsia" w:ascii="Times New Roman" w:hAnsi="Times New Roman" w:eastAsia="Times New Roman" w:cs="Times New Roman"/>
                <w:kern w:val="0"/>
                <w:sz w:val="24"/>
                <w:szCs w:val="21"/>
                <w:lang w:bidi="ar-SA"/>
              </w:rPr>
              <w:t>分；较差的得</w:t>
            </w:r>
            <w:r>
              <w:rPr>
                <w:rFonts w:hint="eastAsia" w:ascii="Times New Roman" w:hAnsi="Times New Roman" w:eastAsia="宋体" w:cs="Times New Roman"/>
                <w:kern w:val="0"/>
                <w:sz w:val="24"/>
                <w:szCs w:val="21"/>
                <w:lang w:val="en-US" w:eastAsia="zh-CN" w:bidi="ar-SA"/>
              </w:rPr>
              <w:t>3</w:t>
            </w:r>
            <w:r>
              <w:rPr>
                <w:rFonts w:hint="eastAsia" w:ascii="Times New Roman" w:hAnsi="Times New Roman" w:eastAsia="Times New Roman" w:cs="Times New Roman"/>
                <w:kern w:val="0"/>
                <w:sz w:val="24"/>
                <w:szCs w:val="21"/>
                <w:lang w:bidi="ar-SA"/>
              </w:rPr>
              <w:t>分。不提供不得分</w:t>
            </w:r>
            <w:r>
              <w:rPr>
                <w:rFonts w:hint="eastAsia" w:ascii="Times New Roman" w:hAnsi="Times New Roman" w:eastAsia="宋体" w:cs="Times New Roman"/>
                <w:kern w:val="0"/>
                <w:sz w:val="24"/>
                <w:szCs w:val="21"/>
                <w:lang w:eastAsia="zh-CN" w:bidi="ar-SA"/>
              </w:rPr>
              <w:t>。</w:t>
            </w:r>
          </w:p>
        </w:tc>
        <w:tc>
          <w:tcPr>
            <w:tcW w:w="316" w:type="pct"/>
            <w:gridSpan w:val="2"/>
            <w:tcBorders>
              <w:top w:val="single" w:color="auto" w:sz="4" w:space="0"/>
              <w:left w:val="single" w:color="auto" w:sz="4" w:space="0"/>
              <w:bottom w:val="single" w:color="auto" w:sz="4" w:space="0"/>
              <w:right w:val="single" w:color="auto" w:sz="4" w:space="0"/>
            </w:tcBorders>
            <w:noWrap w:val="0"/>
            <w:vAlign w:val="center"/>
          </w:tcPr>
          <w:p w14:paraId="46E43821">
            <w:pPr>
              <w:pStyle w:val="171"/>
              <w:jc w:val="center"/>
              <w:rPr>
                <w:rFonts w:hint="default" w:ascii="宋体" w:hAnsi="宋体" w:eastAsia="宋体" w:cs="宋体"/>
                <w:lang w:val="en-US" w:eastAsia="zh-CN"/>
              </w:rPr>
            </w:pPr>
            <w:r>
              <w:rPr>
                <w:rFonts w:hint="eastAsia" w:ascii="宋体" w:hAnsi="宋体" w:eastAsia="宋体" w:cs="宋体"/>
                <w:lang w:val="en-US" w:eastAsia="zh-CN"/>
              </w:rPr>
              <w:t>9</w:t>
            </w:r>
          </w:p>
        </w:tc>
        <w:tc>
          <w:tcPr>
            <w:tcW w:w="316" w:type="pct"/>
            <w:vMerge w:val="continue"/>
            <w:tcBorders>
              <w:left w:val="single" w:color="auto" w:sz="4" w:space="0"/>
              <w:right w:val="single" w:color="auto" w:sz="4" w:space="0"/>
            </w:tcBorders>
            <w:noWrap w:val="0"/>
            <w:vAlign w:val="center"/>
          </w:tcPr>
          <w:p w14:paraId="65C5A009">
            <w:pPr>
              <w:pStyle w:val="171"/>
              <w:jc w:val="center"/>
              <w:rPr>
                <w:rFonts w:hint="eastAsia" w:ascii="宋体" w:hAnsi="宋体" w:eastAsia="宋体" w:cs="宋体"/>
                <w:lang w:val="en-US" w:eastAsia="zh-CN"/>
              </w:rPr>
            </w:pPr>
          </w:p>
        </w:tc>
      </w:tr>
      <w:tr w14:paraId="5B661C7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3A392DCC">
            <w:pPr>
              <w:pStyle w:val="171"/>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56FE8377">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5FA9782A">
            <w:pPr>
              <w:jc w:val="center"/>
              <w:rPr>
                <w:rFonts w:hint="eastAsia" w:ascii="Times New Roman" w:hAnsi="Times New Roman" w:eastAsia="Times New Roman" w:cs="Times New Roman"/>
                <w:kern w:val="0"/>
                <w:sz w:val="24"/>
                <w:szCs w:val="21"/>
                <w:lang w:val="en-US" w:eastAsia="zh-CN" w:bidi="ar-SA"/>
              </w:rPr>
            </w:pPr>
            <w:r>
              <w:rPr>
                <w:rFonts w:hint="eastAsia" w:ascii="Times New Roman" w:hAnsi="Times New Roman" w:eastAsia="Times New Roman" w:cs="Times New Roman"/>
                <w:kern w:val="0"/>
                <w:sz w:val="24"/>
                <w:szCs w:val="21"/>
                <w:lang w:val="en-US" w:eastAsia="zh-CN" w:bidi="ar-SA"/>
              </w:rPr>
              <w:t>技术服务方案</w:t>
            </w:r>
          </w:p>
        </w:tc>
        <w:tc>
          <w:tcPr>
            <w:tcW w:w="3195" w:type="pct"/>
            <w:tcBorders>
              <w:top w:val="outset" w:color="auto" w:sz="6" w:space="0"/>
              <w:left w:val="outset" w:color="auto" w:sz="6" w:space="0"/>
              <w:bottom w:val="outset" w:color="auto" w:sz="6" w:space="0"/>
              <w:right w:val="single" w:color="auto" w:sz="4" w:space="0"/>
            </w:tcBorders>
            <w:noWrap w:val="0"/>
            <w:vAlign w:val="center"/>
          </w:tcPr>
          <w:p w14:paraId="108B9254">
            <w:pPr>
              <w:rPr>
                <w:rFonts w:hint="default" w:ascii="Times New Roman" w:hAnsi="Times New Roman" w:eastAsia="Times New Roman" w:cs="Times New Roman"/>
                <w:kern w:val="0"/>
                <w:sz w:val="24"/>
                <w:szCs w:val="21"/>
                <w:lang w:val="en-US" w:eastAsia="zh-CN" w:bidi="ar-SA"/>
              </w:rPr>
            </w:pPr>
            <w:r>
              <w:rPr>
                <w:rFonts w:hint="eastAsia" w:ascii="Times New Roman" w:hAnsi="Times New Roman" w:eastAsia="Times New Roman" w:cs="Times New Roman"/>
                <w:kern w:val="0"/>
                <w:sz w:val="24"/>
                <w:szCs w:val="21"/>
                <w:lang w:bidi="ar-SA"/>
              </w:rPr>
              <w:t>投标人能结合项目要求，提出较完善的技术服务方案，能满足并高于</w:t>
            </w:r>
            <w:r>
              <w:rPr>
                <w:rFonts w:hint="eastAsia" w:ascii="Times New Roman" w:hAnsi="Times New Roman" w:eastAsia="宋体" w:cs="Times New Roman"/>
                <w:kern w:val="0"/>
                <w:sz w:val="24"/>
                <w:szCs w:val="21"/>
                <w:lang w:val="en-US" w:eastAsia="zh-CN" w:bidi="ar-SA"/>
              </w:rPr>
              <w:t>磋商</w:t>
            </w:r>
            <w:r>
              <w:rPr>
                <w:rFonts w:hint="eastAsia" w:ascii="Times New Roman" w:hAnsi="Times New Roman" w:eastAsia="Times New Roman" w:cs="Times New Roman"/>
                <w:kern w:val="0"/>
                <w:sz w:val="24"/>
                <w:szCs w:val="21"/>
                <w:lang w:bidi="ar-SA"/>
              </w:rPr>
              <w:t>文件要求；对数据收集、率定、处理等技术掌握情况，配备有足够的、有相应资质的工程技术人员、响应及时，维护人员稳定的得</w:t>
            </w:r>
            <w:r>
              <w:rPr>
                <w:rFonts w:hint="eastAsia" w:ascii="Times New Roman" w:hAnsi="Times New Roman" w:eastAsia="Times New Roman" w:cs="Times New Roman"/>
                <w:kern w:val="0"/>
                <w:sz w:val="24"/>
                <w:szCs w:val="21"/>
                <w:lang w:val="en-US" w:eastAsia="zh-CN" w:bidi="ar-SA"/>
              </w:rPr>
              <w:t>9</w:t>
            </w:r>
            <w:r>
              <w:rPr>
                <w:rFonts w:hint="eastAsia" w:ascii="Times New Roman" w:hAnsi="Times New Roman" w:eastAsia="Times New Roman" w:cs="Times New Roman"/>
                <w:kern w:val="0"/>
                <w:sz w:val="24"/>
                <w:szCs w:val="21"/>
                <w:lang w:bidi="ar-SA"/>
              </w:rPr>
              <w:t>分；一般的</w:t>
            </w:r>
            <w:r>
              <w:rPr>
                <w:rFonts w:hint="eastAsia" w:ascii="Times New Roman" w:hAnsi="Times New Roman" w:eastAsia="宋体" w:cs="Times New Roman"/>
                <w:kern w:val="0"/>
                <w:sz w:val="24"/>
                <w:szCs w:val="21"/>
                <w:lang w:val="en-US" w:eastAsia="zh-CN" w:bidi="ar-SA"/>
              </w:rPr>
              <w:t>6</w:t>
            </w:r>
            <w:r>
              <w:rPr>
                <w:rFonts w:hint="eastAsia" w:ascii="Times New Roman" w:hAnsi="Times New Roman" w:eastAsia="Times New Roman" w:cs="Times New Roman"/>
                <w:kern w:val="0"/>
                <w:sz w:val="24"/>
                <w:szCs w:val="21"/>
                <w:lang w:bidi="ar-SA"/>
              </w:rPr>
              <w:t>分；较差的得</w:t>
            </w:r>
            <w:r>
              <w:rPr>
                <w:rFonts w:hint="eastAsia" w:ascii="Times New Roman" w:hAnsi="Times New Roman" w:eastAsia="宋体" w:cs="Times New Roman"/>
                <w:kern w:val="0"/>
                <w:sz w:val="24"/>
                <w:szCs w:val="21"/>
                <w:lang w:val="en-US" w:eastAsia="zh-CN" w:bidi="ar-SA"/>
              </w:rPr>
              <w:t>3</w:t>
            </w:r>
            <w:r>
              <w:rPr>
                <w:rFonts w:hint="eastAsia" w:ascii="Times New Roman" w:hAnsi="Times New Roman" w:eastAsia="Times New Roman" w:cs="Times New Roman"/>
                <w:kern w:val="0"/>
                <w:sz w:val="24"/>
                <w:szCs w:val="21"/>
                <w:lang w:bidi="ar-SA"/>
              </w:rPr>
              <w:t>分。不提供不得分</w:t>
            </w:r>
            <w:r>
              <w:rPr>
                <w:rFonts w:hint="eastAsia" w:ascii="Times New Roman" w:hAnsi="Times New Roman" w:eastAsia="宋体" w:cs="Times New Roman"/>
                <w:kern w:val="0"/>
                <w:sz w:val="24"/>
                <w:szCs w:val="21"/>
                <w:lang w:eastAsia="zh-CN" w:bidi="ar-SA"/>
              </w:rPr>
              <w:t>。</w:t>
            </w:r>
          </w:p>
        </w:tc>
        <w:tc>
          <w:tcPr>
            <w:tcW w:w="316" w:type="pct"/>
            <w:gridSpan w:val="2"/>
            <w:tcBorders>
              <w:top w:val="single" w:color="auto" w:sz="4" w:space="0"/>
              <w:left w:val="single" w:color="auto" w:sz="4" w:space="0"/>
              <w:bottom w:val="single" w:color="auto" w:sz="4" w:space="0"/>
              <w:right w:val="single" w:color="auto" w:sz="4" w:space="0"/>
            </w:tcBorders>
            <w:noWrap w:val="0"/>
            <w:vAlign w:val="center"/>
          </w:tcPr>
          <w:p w14:paraId="1A4DF993">
            <w:pPr>
              <w:pStyle w:val="171"/>
              <w:jc w:val="center"/>
              <w:rPr>
                <w:rFonts w:hint="default" w:ascii="宋体" w:hAnsi="宋体" w:eastAsia="宋体" w:cs="宋体"/>
                <w:lang w:val="en-US" w:eastAsia="zh-CN"/>
              </w:rPr>
            </w:pPr>
            <w:r>
              <w:rPr>
                <w:rFonts w:hint="eastAsia" w:ascii="宋体" w:hAnsi="宋体" w:eastAsia="宋体" w:cs="宋体"/>
                <w:lang w:val="en-US" w:eastAsia="zh-CN"/>
              </w:rPr>
              <w:t>9</w:t>
            </w:r>
          </w:p>
        </w:tc>
        <w:tc>
          <w:tcPr>
            <w:tcW w:w="316" w:type="pct"/>
            <w:vMerge w:val="continue"/>
            <w:tcBorders>
              <w:left w:val="single" w:color="auto" w:sz="4" w:space="0"/>
              <w:right w:val="single" w:color="auto" w:sz="4" w:space="0"/>
            </w:tcBorders>
            <w:noWrap w:val="0"/>
            <w:vAlign w:val="center"/>
          </w:tcPr>
          <w:p w14:paraId="2AE094BD">
            <w:pPr>
              <w:pStyle w:val="171"/>
              <w:jc w:val="center"/>
              <w:rPr>
                <w:rFonts w:hint="eastAsia" w:ascii="宋体" w:hAnsi="宋体" w:eastAsia="宋体" w:cs="宋体"/>
                <w:lang w:val="en-US" w:eastAsia="zh-CN"/>
              </w:rPr>
            </w:pPr>
          </w:p>
        </w:tc>
      </w:tr>
      <w:tr w14:paraId="5E0E97F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0F863175">
            <w:pPr>
              <w:pStyle w:val="171"/>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2357A4CE">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0D99175C">
            <w:pPr>
              <w:pStyle w:val="171"/>
              <w:jc w:val="center"/>
              <w:rPr>
                <w:rFonts w:hint="eastAsia" w:ascii="Times New Roman" w:hAnsi="Times New Roman" w:eastAsia="Times New Roman" w:cs="Times New Roman"/>
                <w:kern w:val="0"/>
                <w:sz w:val="24"/>
                <w:szCs w:val="21"/>
                <w:lang w:val="en-US" w:eastAsia="zh-CN" w:bidi="ar-SA"/>
              </w:rPr>
            </w:pPr>
            <w:r>
              <w:rPr>
                <w:rFonts w:hint="eastAsia" w:ascii="Times New Roman" w:hAnsi="Times New Roman" w:eastAsia="Times New Roman" w:cs="Times New Roman"/>
                <w:kern w:val="0"/>
                <w:sz w:val="24"/>
                <w:szCs w:val="21"/>
                <w:lang w:val="en-US" w:eastAsia="zh-CN" w:bidi="ar-SA"/>
              </w:rPr>
              <w:t>拟投入本项目人员配备情况</w:t>
            </w:r>
          </w:p>
        </w:tc>
        <w:tc>
          <w:tcPr>
            <w:tcW w:w="3195" w:type="pct"/>
            <w:tcBorders>
              <w:top w:val="outset" w:color="auto" w:sz="6" w:space="0"/>
              <w:left w:val="outset" w:color="auto" w:sz="6" w:space="0"/>
              <w:bottom w:val="outset" w:color="auto" w:sz="6" w:space="0"/>
              <w:right w:val="single" w:color="auto" w:sz="4" w:space="0"/>
            </w:tcBorders>
            <w:noWrap w:val="0"/>
            <w:vAlign w:val="center"/>
          </w:tcPr>
          <w:p w14:paraId="5E035E5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Times New Roman" w:cs="Times New Roman"/>
                <w:kern w:val="0"/>
                <w:sz w:val="24"/>
                <w:szCs w:val="21"/>
                <w:lang w:val="en-US" w:eastAsia="zh-CN" w:bidi="ar-SA"/>
              </w:rPr>
            </w:pPr>
            <w:r>
              <w:rPr>
                <w:rFonts w:hint="eastAsia" w:ascii="Times New Roman" w:hAnsi="Times New Roman" w:eastAsia="Times New Roman" w:cs="Times New Roman"/>
                <w:kern w:val="0"/>
                <w:sz w:val="24"/>
                <w:szCs w:val="21"/>
                <w:lang w:val="en-US" w:eastAsia="zh-CN" w:bidi="ar-SA"/>
              </w:rPr>
              <w:t>针对本项目有明确的人员安排计划，在科学性、合理可行性、完全符合本项目的实际需求等方面进行评审：</w:t>
            </w:r>
          </w:p>
          <w:p w14:paraId="665E39B3">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Times New Roman" w:cs="Times New Roman"/>
                <w:kern w:val="0"/>
                <w:sz w:val="24"/>
                <w:szCs w:val="21"/>
                <w:lang w:val="en-US" w:eastAsia="zh-CN" w:bidi="ar-SA"/>
              </w:rPr>
            </w:pPr>
            <w:r>
              <w:rPr>
                <w:rFonts w:hint="eastAsia" w:ascii="Times New Roman" w:hAnsi="Times New Roman" w:eastAsia="Times New Roman" w:cs="Times New Roman"/>
                <w:kern w:val="0"/>
                <w:sz w:val="24"/>
                <w:szCs w:val="21"/>
                <w:lang w:val="en-US" w:eastAsia="zh-CN" w:bidi="ar-SA"/>
              </w:rPr>
              <w:t>人员配备情况充足，人员安排合理，完全符合本项目的实际需求，得15分；</w:t>
            </w:r>
          </w:p>
          <w:p w14:paraId="184E037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imes New Roman" w:hAnsi="Times New Roman" w:eastAsia="Times New Roman" w:cs="Times New Roman"/>
                <w:kern w:val="0"/>
                <w:sz w:val="24"/>
                <w:szCs w:val="21"/>
                <w:lang w:val="en-US" w:eastAsia="zh-CN" w:bidi="ar-SA"/>
              </w:rPr>
            </w:pPr>
            <w:r>
              <w:rPr>
                <w:rFonts w:hint="eastAsia" w:ascii="Times New Roman" w:hAnsi="Times New Roman" w:eastAsia="Times New Roman" w:cs="Times New Roman"/>
                <w:kern w:val="0"/>
                <w:sz w:val="24"/>
                <w:szCs w:val="21"/>
                <w:lang w:val="en-US" w:eastAsia="zh-CN" w:bidi="ar-SA"/>
              </w:rPr>
              <w:t>2、人员配备情况较充足，人员安排较合理，基本符合本项目的实际需求，得10分；</w:t>
            </w:r>
          </w:p>
          <w:p w14:paraId="7AF3A0C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Times New Roman" w:cs="Times New Roman"/>
                <w:kern w:val="0"/>
                <w:sz w:val="24"/>
                <w:szCs w:val="21"/>
                <w:lang w:val="en-US" w:eastAsia="zh-CN" w:bidi="ar-SA"/>
              </w:rPr>
            </w:pPr>
            <w:r>
              <w:rPr>
                <w:rFonts w:hint="eastAsia" w:ascii="Times New Roman" w:hAnsi="Times New Roman" w:eastAsia="Times New Roman" w:cs="Times New Roman"/>
                <w:kern w:val="0"/>
                <w:sz w:val="24"/>
                <w:szCs w:val="21"/>
                <w:lang w:val="en-US" w:eastAsia="zh-CN" w:bidi="ar-SA"/>
              </w:rPr>
              <w:t>3、人员配备情况较差，人员安排合理性较差，可能无法满足本项目的实际需求，得5分。</w:t>
            </w:r>
          </w:p>
          <w:p w14:paraId="5AD89FD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Times New Roman" w:cs="Times New Roman"/>
                <w:kern w:val="0"/>
                <w:sz w:val="24"/>
                <w:szCs w:val="21"/>
                <w:lang w:val="en-US" w:eastAsia="zh-CN" w:bidi="ar-SA"/>
              </w:rPr>
            </w:pPr>
            <w:r>
              <w:rPr>
                <w:rFonts w:hint="eastAsia" w:ascii="Times New Roman" w:hAnsi="Times New Roman" w:eastAsia="Times New Roman" w:cs="Times New Roman"/>
                <w:kern w:val="0"/>
                <w:sz w:val="24"/>
                <w:szCs w:val="21"/>
                <w:lang w:val="en-US" w:eastAsia="zh-CN" w:bidi="ar-SA"/>
              </w:rPr>
              <w:t>4、不提供不得分。</w:t>
            </w:r>
          </w:p>
        </w:tc>
        <w:tc>
          <w:tcPr>
            <w:tcW w:w="316" w:type="pct"/>
            <w:gridSpan w:val="2"/>
            <w:tcBorders>
              <w:top w:val="single" w:color="auto" w:sz="4" w:space="0"/>
              <w:left w:val="single" w:color="auto" w:sz="4" w:space="0"/>
              <w:bottom w:val="single" w:color="auto" w:sz="4" w:space="0"/>
              <w:right w:val="single" w:color="auto" w:sz="4" w:space="0"/>
            </w:tcBorders>
            <w:noWrap w:val="0"/>
            <w:vAlign w:val="center"/>
          </w:tcPr>
          <w:p w14:paraId="4B4A34E0">
            <w:pPr>
              <w:pStyle w:val="171"/>
              <w:jc w:val="center"/>
              <w:rPr>
                <w:rFonts w:hint="default" w:ascii="宋体" w:hAnsi="宋体" w:eastAsia="宋体" w:cs="宋体"/>
                <w:lang w:val="en-US" w:eastAsia="zh-CN"/>
              </w:rPr>
            </w:pPr>
            <w:r>
              <w:rPr>
                <w:rFonts w:hint="eastAsia" w:ascii="宋体" w:hAnsi="宋体" w:eastAsia="宋体" w:cs="宋体"/>
                <w:lang w:val="en-US" w:eastAsia="zh-CN"/>
              </w:rPr>
              <w:t>15</w:t>
            </w:r>
          </w:p>
        </w:tc>
        <w:tc>
          <w:tcPr>
            <w:tcW w:w="316" w:type="pct"/>
            <w:vMerge w:val="continue"/>
            <w:tcBorders>
              <w:left w:val="single" w:color="auto" w:sz="4" w:space="0"/>
              <w:bottom w:val="single" w:color="auto" w:sz="4" w:space="0"/>
              <w:right w:val="single" w:color="auto" w:sz="4" w:space="0"/>
            </w:tcBorders>
            <w:noWrap w:val="0"/>
            <w:vAlign w:val="center"/>
          </w:tcPr>
          <w:p w14:paraId="7775DDD2">
            <w:pPr>
              <w:pStyle w:val="171"/>
              <w:jc w:val="center"/>
              <w:rPr>
                <w:rFonts w:hint="eastAsia" w:ascii="宋体" w:hAnsi="宋体" w:eastAsia="宋体" w:cs="宋体"/>
                <w:lang w:val="en-US" w:eastAsia="zh-CN"/>
              </w:rPr>
            </w:pPr>
          </w:p>
        </w:tc>
      </w:tr>
      <w:tr w14:paraId="763CF75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4F17E100">
            <w:pPr>
              <w:pStyle w:val="171"/>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6F28E857">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59CD08F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imes New Roman" w:hAnsi="Times New Roman" w:eastAsia="Times New Roman" w:cs="Times New Roman"/>
                <w:kern w:val="0"/>
                <w:sz w:val="24"/>
                <w:szCs w:val="21"/>
                <w:lang w:bidi="ar-SA"/>
              </w:rPr>
            </w:pPr>
            <w:r>
              <w:rPr>
                <w:rFonts w:hint="eastAsia" w:ascii="Times New Roman" w:hAnsi="Times New Roman" w:eastAsia="Times New Roman" w:cs="Times New Roman"/>
                <w:kern w:val="0"/>
                <w:sz w:val="24"/>
                <w:szCs w:val="21"/>
                <w:lang w:val="en-US" w:eastAsia="zh-CN" w:bidi="ar-SA"/>
              </w:rPr>
              <w:t>售后服务</w:t>
            </w:r>
          </w:p>
        </w:tc>
        <w:tc>
          <w:tcPr>
            <w:tcW w:w="3195" w:type="pct"/>
            <w:tcBorders>
              <w:top w:val="outset" w:color="auto" w:sz="6" w:space="0"/>
              <w:left w:val="outset" w:color="auto" w:sz="6" w:space="0"/>
              <w:bottom w:val="outset" w:color="auto" w:sz="6" w:space="0"/>
              <w:right w:val="single" w:color="auto" w:sz="4" w:space="0"/>
            </w:tcBorders>
            <w:noWrap w:val="0"/>
            <w:vAlign w:val="center"/>
          </w:tcPr>
          <w:p w14:paraId="4A498F0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imes New Roman" w:hAnsi="Times New Roman" w:eastAsia="Times New Roman" w:cs="Times New Roman"/>
                <w:kern w:val="0"/>
                <w:sz w:val="24"/>
                <w:szCs w:val="21"/>
                <w:lang w:val="en-US" w:eastAsia="zh-CN" w:bidi="ar-SA"/>
              </w:rPr>
            </w:pPr>
            <w:r>
              <w:rPr>
                <w:rFonts w:hint="eastAsia" w:ascii="Times New Roman" w:hAnsi="Times New Roman" w:eastAsia="Times New Roman" w:cs="Times New Roman"/>
                <w:kern w:val="0"/>
                <w:sz w:val="24"/>
                <w:szCs w:val="21"/>
                <w:lang w:val="en-US" w:eastAsia="zh-CN" w:bidi="ar-SA"/>
              </w:rPr>
              <w:t>售后服务：（包含售后措施、售后服务响应时间、售后服务承诺、故障处理措施、应急服务措施等）</w:t>
            </w:r>
          </w:p>
          <w:p w14:paraId="1158771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imes New Roman" w:hAnsi="Times New Roman" w:eastAsia="Times New Roman" w:cs="Times New Roman"/>
                <w:kern w:val="0"/>
                <w:sz w:val="24"/>
                <w:szCs w:val="21"/>
                <w:lang w:val="en-US" w:eastAsia="zh-CN" w:bidi="ar-SA"/>
              </w:rPr>
            </w:pPr>
            <w:r>
              <w:rPr>
                <w:rFonts w:hint="eastAsia" w:ascii="Times New Roman" w:hAnsi="Times New Roman" w:eastAsia="Times New Roman" w:cs="Times New Roman"/>
                <w:kern w:val="0"/>
                <w:sz w:val="24"/>
                <w:szCs w:val="21"/>
                <w:lang w:val="en-US" w:eastAsia="zh-CN" w:bidi="ar-SA"/>
              </w:rPr>
              <w:t>①方案齐全、有针对性、可行性，有经济处罚指标得10分；</w:t>
            </w:r>
          </w:p>
          <w:p w14:paraId="425958D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imes New Roman" w:hAnsi="Times New Roman" w:eastAsia="Times New Roman" w:cs="Times New Roman"/>
                <w:kern w:val="0"/>
                <w:sz w:val="24"/>
                <w:szCs w:val="21"/>
                <w:lang w:val="en-US" w:eastAsia="zh-CN" w:bidi="ar-SA"/>
              </w:rPr>
            </w:pPr>
            <w:r>
              <w:rPr>
                <w:rFonts w:hint="eastAsia" w:ascii="Times New Roman" w:hAnsi="Times New Roman" w:eastAsia="Times New Roman" w:cs="Times New Roman"/>
                <w:kern w:val="0"/>
                <w:sz w:val="24"/>
                <w:szCs w:val="21"/>
                <w:lang w:val="en-US" w:eastAsia="zh-CN" w:bidi="ar-SA"/>
              </w:rPr>
              <w:t>②方案简单，但提供了经济处罚指标，得6分；</w:t>
            </w:r>
          </w:p>
          <w:p w14:paraId="61A15F9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imes New Roman" w:hAnsi="Times New Roman" w:eastAsia="Times New Roman" w:cs="Times New Roman"/>
                <w:kern w:val="0"/>
                <w:sz w:val="24"/>
                <w:szCs w:val="21"/>
                <w:lang w:val="en-US" w:eastAsia="zh-CN" w:bidi="ar-SA"/>
              </w:rPr>
            </w:pPr>
            <w:r>
              <w:rPr>
                <w:rFonts w:hint="eastAsia" w:ascii="Times New Roman" w:hAnsi="Times New Roman" w:eastAsia="Times New Roman" w:cs="Times New Roman"/>
                <w:kern w:val="0"/>
                <w:sz w:val="24"/>
                <w:szCs w:val="21"/>
                <w:lang w:val="en-US" w:eastAsia="zh-CN" w:bidi="ar-SA"/>
              </w:rPr>
              <w:t>③方案简单，且未提供经济处罚指标，得3；</w:t>
            </w:r>
          </w:p>
          <w:p w14:paraId="0E64A88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eastAsia="Times New Roman" w:cs="Times New Roman"/>
                <w:kern w:val="0"/>
                <w:sz w:val="24"/>
                <w:szCs w:val="21"/>
                <w:lang w:val="en-US" w:eastAsia="zh-CN" w:bidi="ar-SA"/>
              </w:rPr>
            </w:pPr>
            <w:r>
              <w:rPr>
                <w:rFonts w:hint="eastAsia" w:ascii="Times New Roman" w:hAnsi="Times New Roman" w:eastAsia="Times New Roman" w:cs="Times New Roman"/>
                <w:kern w:val="0"/>
                <w:sz w:val="24"/>
                <w:szCs w:val="21"/>
                <w:lang w:val="en-US" w:eastAsia="zh-CN" w:bidi="ar-SA"/>
              </w:rPr>
              <w:t>④不提供不得分。</w:t>
            </w:r>
          </w:p>
        </w:tc>
        <w:tc>
          <w:tcPr>
            <w:tcW w:w="316" w:type="pct"/>
            <w:gridSpan w:val="2"/>
            <w:tcBorders>
              <w:top w:val="single" w:color="auto" w:sz="4" w:space="0"/>
              <w:left w:val="single" w:color="auto" w:sz="4" w:space="0"/>
              <w:bottom w:val="single" w:color="auto" w:sz="4" w:space="0"/>
              <w:right w:val="single" w:color="auto" w:sz="4" w:space="0"/>
            </w:tcBorders>
            <w:noWrap w:val="0"/>
            <w:vAlign w:val="center"/>
          </w:tcPr>
          <w:p w14:paraId="76DCBCF7">
            <w:pPr>
              <w:pStyle w:val="171"/>
              <w:jc w:val="center"/>
              <w:rPr>
                <w:rFonts w:hint="default" w:ascii="宋体" w:hAnsi="宋体" w:eastAsia="宋体" w:cs="宋体"/>
                <w:lang w:val="en-US" w:eastAsia="zh-CN"/>
              </w:rPr>
            </w:pPr>
            <w:r>
              <w:rPr>
                <w:rFonts w:hint="eastAsia" w:ascii="宋体" w:hAnsi="宋体" w:eastAsia="宋体" w:cs="宋体"/>
                <w:lang w:val="en-US" w:eastAsia="zh-CN"/>
              </w:rPr>
              <w:t>10</w:t>
            </w:r>
          </w:p>
        </w:tc>
        <w:tc>
          <w:tcPr>
            <w:tcW w:w="316" w:type="pct"/>
            <w:vMerge w:val="continue"/>
            <w:tcBorders>
              <w:left w:val="single" w:color="auto" w:sz="4" w:space="0"/>
              <w:bottom w:val="single" w:color="auto" w:sz="4" w:space="0"/>
              <w:right w:val="single" w:color="auto" w:sz="4" w:space="0"/>
            </w:tcBorders>
            <w:noWrap w:val="0"/>
            <w:vAlign w:val="center"/>
          </w:tcPr>
          <w:p w14:paraId="61535222">
            <w:pPr>
              <w:pStyle w:val="171"/>
              <w:jc w:val="center"/>
              <w:rPr>
                <w:rFonts w:hint="eastAsia" w:ascii="宋体" w:hAnsi="宋体" w:eastAsia="宋体" w:cs="宋体"/>
                <w:lang w:val="en-US" w:eastAsia="zh-CN"/>
              </w:rPr>
            </w:pPr>
          </w:p>
        </w:tc>
      </w:tr>
      <w:tr w14:paraId="2182833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tcBorders>
              <w:top w:val="outset" w:color="auto" w:sz="6" w:space="0"/>
              <w:left w:val="outset" w:color="auto" w:sz="6" w:space="0"/>
              <w:bottom w:val="outset" w:color="auto" w:sz="6" w:space="0"/>
              <w:right w:val="outset" w:color="auto" w:sz="6" w:space="0"/>
            </w:tcBorders>
            <w:noWrap w:val="0"/>
            <w:vAlign w:val="center"/>
          </w:tcPr>
          <w:p w14:paraId="7B58A3E4">
            <w:pPr>
              <w:pStyle w:val="171"/>
              <w:jc w:val="center"/>
              <w:rPr>
                <w:rFonts w:hint="eastAsia" w:ascii="宋体" w:hAnsi="宋体" w:eastAsia="宋体" w:cs="宋体"/>
              </w:rPr>
            </w:pPr>
          </w:p>
        </w:tc>
        <w:tc>
          <w:tcPr>
            <w:tcW w:w="355" w:type="pct"/>
            <w:tcBorders>
              <w:top w:val="outset" w:color="auto" w:sz="6" w:space="0"/>
              <w:left w:val="outset" w:color="auto" w:sz="6" w:space="0"/>
              <w:bottom w:val="outset" w:color="auto" w:sz="6" w:space="0"/>
              <w:right w:val="outset" w:color="auto" w:sz="6" w:space="0"/>
            </w:tcBorders>
            <w:noWrap w:val="0"/>
            <w:vAlign w:val="center"/>
          </w:tcPr>
          <w:p w14:paraId="7F8D183C">
            <w:pPr>
              <w:pStyle w:val="171"/>
              <w:jc w:val="center"/>
              <w:rPr>
                <w:rFonts w:hint="eastAsia" w:ascii="宋体" w:hAnsi="宋体" w:eastAsia="宋体" w:cs="宋体"/>
                <w:lang w:val="en-US" w:eastAsia="zh-CN"/>
              </w:rPr>
            </w:pPr>
            <w:r>
              <w:rPr>
                <w:rFonts w:hint="eastAsia" w:ascii="宋体" w:hAnsi="宋体" w:eastAsia="宋体" w:cs="宋体"/>
                <w:lang w:val="en-US" w:eastAsia="zh-CN"/>
              </w:rPr>
              <w:t>合计</w:t>
            </w:r>
          </w:p>
        </w:tc>
        <w:tc>
          <w:tcPr>
            <w:tcW w:w="4469" w:type="pct"/>
            <w:gridSpan w:val="5"/>
            <w:tcBorders>
              <w:top w:val="outset" w:color="auto" w:sz="6" w:space="0"/>
              <w:left w:val="outset" w:color="auto" w:sz="6" w:space="0"/>
              <w:bottom w:val="outset" w:color="auto" w:sz="6" w:space="0"/>
              <w:right w:val="outset" w:color="auto" w:sz="6" w:space="0"/>
            </w:tcBorders>
            <w:noWrap w:val="0"/>
            <w:vAlign w:val="center"/>
          </w:tcPr>
          <w:p w14:paraId="408CE951">
            <w:pPr>
              <w:pStyle w:val="171"/>
              <w:jc w:val="center"/>
              <w:rPr>
                <w:rFonts w:hint="eastAsia" w:ascii="宋体" w:hAnsi="宋体" w:eastAsia="宋体" w:cs="宋体"/>
                <w:lang w:val="en-US" w:eastAsia="zh-CN"/>
              </w:rPr>
            </w:pPr>
            <w:r>
              <w:rPr>
                <w:rFonts w:hint="eastAsia" w:ascii="宋体" w:hAnsi="宋体" w:eastAsia="宋体" w:cs="宋体"/>
                <w:lang w:val="en-US" w:eastAsia="zh-CN"/>
              </w:rPr>
              <w:t>100</w:t>
            </w:r>
          </w:p>
        </w:tc>
      </w:tr>
      <w:tr w14:paraId="201ACD1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tcBorders>
              <w:top w:val="outset" w:color="auto" w:sz="6" w:space="0"/>
              <w:left w:val="outset" w:color="auto" w:sz="6" w:space="0"/>
              <w:bottom w:val="outset" w:color="auto" w:sz="6" w:space="0"/>
              <w:right w:val="outset" w:color="auto" w:sz="6" w:space="0"/>
            </w:tcBorders>
            <w:noWrap w:val="0"/>
            <w:vAlign w:val="center"/>
          </w:tcPr>
          <w:p w14:paraId="5C9390D1">
            <w:pPr>
              <w:pStyle w:val="171"/>
              <w:jc w:val="center"/>
              <w:rPr>
                <w:rFonts w:hint="eastAsia" w:ascii="宋体" w:hAnsi="宋体" w:eastAsia="宋体" w:cs="宋体"/>
              </w:rPr>
            </w:pPr>
          </w:p>
        </w:tc>
        <w:tc>
          <w:tcPr>
            <w:tcW w:w="4509" w:type="pct"/>
            <w:gridSpan w:val="5"/>
            <w:tcBorders>
              <w:top w:val="outset" w:color="auto" w:sz="6" w:space="0"/>
              <w:left w:val="outset" w:color="auto" w:sz="6" w:space="0"/>
              <w:bottom w:val="outset" w:color="auto" w:sz="6" w:space="0"/>
              <w:right w:val="outset" w:color="auto" w:sz="6" w:space="0"/>
            </w:tcBorders>
            <w:noWrap w:val="0"/>
            <w:vAlign w:val="center"/>
          </w:tcPr>
          <w:p w14:paraId="567331D3">
            <w:pPr>
              <w:pStyle w:val="171"/>
              <w:jc w:val="both"/>
              <w:rPr>
                <w:rFonts w:hint="eastAsia" w:ascii="宋体" w:hAnsi="宋体" w:eastAsia="宋体" w:cs="宋体"/>
              </w:rPr>
            </w:pPr>
            <w:r>
              <w:rPr>
                <w:rFonts w:hint="eastAsia" w:ascii="宋体" w:hAnsi="宋体" w:eastAsia="宋体" w:cs="宋体"/>
              </w:rPr>
              <w:t>注</w:t>
            </w:r>
            <w:r>
              <w:rPr>
                <w:rFonts w:hint="eastAsia" w:ascii="宋体" w:hAnsi="宋体" w:eastAsia="宋体" w:cs="宋体"/>
                <w:lang w:eastAsia="zh-CN"/>
              </w:rPr>
              <w:t>：</w:t>
            </w:r>
            <w:r>
              <w:rPr>
                <w:rFonts w:hint="eastAsia" w:ascii="宋体" w:hAnsi="宋体" w:eastAsia="宋体" w:cs="宋体"/>
              </w:rPr>
              <w:t>1、计算过程中，算术平均值保留2位小数（百分比亦取2位小数），第三位小数四舍五</w:t>
            </w:r>
          </w:p>
          <w:p w14:paraId="6D675A7E">
            <w:pPr>
              <w:pStyle w:val="171"/>
              <w:jc w:val="both"/>
              <w:rPr>
                <w:rFonts w:hint="eastAsia" w:ascii="宋体" w:hAnsi="宋体" w:eastAsia="宋体" w:cs="宋体"/>
                <w:lang w:eastAsia="zh-CN"/>
              </w:rPr>
            </w:pPr>
            <w:r>
              <w:rPr>
                <w:rFonts w:hint="eastAsia" w:ascii="宋体" w:hAnsi="宋体" w:eastAsia="宋体" w:cs="宋体"/>
              </w:rPr>
              <w:t>入。</w:t>
            </w:r>
          </w:p>
          <w:p w14:paraId="4C74C702">
            <w:pPr>
              <w:pStyle w:val="171"/>
              <w:ind w:firstLine="480" w:firstLineChars="200"/>
              <w:jc w:val="both"/>
              <w:rPr>
                <w:rFonts w:hint="eastAsia" w:ascii="宋体" w:hAnsi="宋体" w:eastAsia="宋体" w:cs="宋体"/>
              </w:rPr>
            </w:pPr>
            <w:r>
              <w:rPr>
                <w:rFonts w:hint="eastAsia" w:ascii="宋体" w:hAnsi="宋体" w:eastAsia="宋体" w:cs="宋体"/>
              </w:rPr>
              <w:t>2、投标人的最终得分为：所有评委对其评分的算术平均值。</w:t>
            </w:r>
          </w:p>
        </w:tc>
        <w:tc>
          <w:tcPr>
            <w:tcW w:w="316" w:type="pct"/>
            <w:tcBorders>
              <w:top w:val="outset" w:color="auto" w:sz="6" w:space="0"/>
              <w:left w:val="outset" w:color="auto" w:sz="6" w:space="0"/>
              <w:bottom w:val="outset" w:color="auto" w:sz="6" w:space="0"/>
              <w:right w:val="outset" w:color="auto" w:sz="6" w:space="0"/>
            </w:tcBorders>
            <w:noWrap w:val="0"/>
            <w:vAlign w:val="center"/>
          </w:tcPr>
          <w:p w14:paraId="5A660E66">
            <w:pPr>
              <w:pStyle w:val="171"/>
              <w:ind w:firstLine="480" w:firstLineChars="200"/>
              <w:jc w:val="both"/>
              <w:rPr>
                <w:rFonts w:hint="eastAsia" w:ascii="宋体" w:hAnsi="宋体" w:eastAsia="宋体" w:cs="宋体"/>
              </w:rPr>
            </w:pPr>
          </w:p>
        </w:tc>
      </w:tr>
      <w:bookmarkEnd w:id="78"/>
      <w:bookmarkEnd w:id="79"/>
    </w:tbl>
    <w:p w14:paraId="0F78A5C5">
      <w:pPr>
        <w:widowControl/>
        <w:adjustRightInd w:val="0"/>
        <w:snapToGrid w:val="0"/>
        <w:spacing w:line="360" w:lineRule="auto"/>
        <w:outlineLvl w:val="1"/>
        <w:rPr>
          <w:rFonts w:hint="eastAsia" w:ascii="宋体" w:hAnsi="宋体" w:cs="宋体"/>
          <w:b/>
          <w:bCs/>
          <w:sz w:val="24"/>
        </w:rPr>
      </w:pPr>
      <w:bookmarkStart w:id="80" w:name="_Toc106276259"/>
      <w:bookmarkStart w:id="81" w:name="_Toc18078"/>
      <w:bookmarkStart w:id="82" w:name="_Toc4906"/>
      <w:r>
        <w:rPr>
          <w:rFonts w:hint="eastAsia" w:ascii="宋体" w:hAnsi="宋体" w:cs="宋体"/>
          <w:b/>
          <w:bCs/>
          <w:sz w:val="24"/>
          <w:highlight w:val="white"/>
        </w:rPr>
        <w:t>三</w:t>
      </w:r>
      <w:r>
        <w:rPr>
          <w:rFonts w:hint="eastAsia" w:ascii="宋体" w:hAnsi="宋体" w:cs="宋体"/>
          <w:b/>
          <w:bCs/>
          <w:sz w:val="24"/>
          <w:highlight w:val="white"/>
          <w:lang w:eastAsia="zh-CN"/>
        </w:rPr>
        <w:t>、</w:t>
      </w:r>
      <w:r>
        <w:rPr>
          <w:rFonts w:hint="eastAsia" w:ascii="宋体" w:hAnsi="宋体" w:cs="宋体"/>
          <w:b/>
          <w:bCs/>
          <w:sz w:val="24"/>
          <w:highlight w:val="white"/>
        </w:rPr>
        <w:t>推荐成交供应商</w:t>
      </w:r>
      <w:bookmarkEnd w:id="80"/>
      <w:bookmarkEnd w:id="81"/>
      <w:bookmarkEnd w:id="82"/>
    </w:p>
    <w:p w14:paraId="3AC7A1D7">
      <w:pPr>
        <w:widowControl/>
        <w:adjustRightInd w:val="0"/>
        <w:snapToGrid w:val="0"/>
        <w:spacing w:line="360" w:lineRule="auto"/>
        <w:ind w:firstLine="480" w:firstLineChars="200"/>
        <w:rPr>
          <w:rFonts w:hint="eastAsia" w:ascii="宋体" w:hAnsi="宋体" w:eastAsia="宋体" w:cs="宋体"/>
          <w:bCs/>
          <w:sz w:val="24"/>
          <w:highlight w:val="white"/>
        </w:rPr>
      </w:pPr>
      <w:bookmarkStart w:id="83" w:name="_Toc106276260"/>
      <w:bookmarkStart w:id="84" w:name="_Toc27453"/>
      <w:r>
        <w:rPr>
          <w:rFonts w:hint="eastAsia" w:ascii="宋体" w:hAnsi="宋体" w:eastAsia="宋体" w:cs="宋体"/>
          <w:bCs/>
          <w:sz w:val="24"/>
          <w:highlight w:val="white"/>
        </w:rPr>
        <w:t>1、磋商小组以供应商总分由高到低排序，得分最高为第一成交候选人，如果出现供应商最终得分相同的情况，磋商报价低者排名顺序优先在前，以此类推，确定出前三名作为成交候选人推荐给采购人，采购人从三名成交候选人中确定出最终的成交人。</w:t>
      </w:r>
      <w:bookmarkEnd w:id="83"/>
    </w:p>
    <w:p w14:paraId="05F01466">
      <w:pPr>
        <w:widowControl/>
        <w:adjustRightInd w:val="0"/>
        <w:snapToGrid w:val="0"/>
        <w:spacing w:line="360" w:lineRule="auto"/>
        <w:ind w:firstLine="480" w:firstLineChars="200"/>
        <w:rPr>
          <w:rFonts w:hint="eastAsia" w:ascii="宋体" w:hAnsi="宋体" w:eastAsia="宋体" w:cs="宋体"/>
          <w:bCs/>
          <w:sz w:val="24"/>
          <w:highlight w:val="white"/>
        </w:rPr>
      </w:pPr>
      <w:bookmarkStart w:id="85" w:name="_Toc106276261"/>
      <w:r>
        <w:rPr>
          <w:rFonts w:hint="eastAsia" w:ascii="宋体" w:hAnsi="宋体" w:eastAsia="宋体" w:cs="宋体"/>
          <w:bCs/>
          <w:sz w:val="24"/>
          <w:highlight w:val="white"/>
        </w:rPr>
        <w:t>2、采购人确定中标人的原则：采购人应当确定排名第一的成交候选人为成交人。排名第一的成交候选人放弃中标、因不可抗力不能履行合同、不按照磋商文件要求提交履约保证金，或者被查实存在影响成交结果的违法行为等情形，不符合成交条件的，采购人可以按照磋商小组提出的成交候选人名单排序依次确定其他成交候选人为成交人，也可以重新磋商。</w:t>
      </w:r>
      <w:bookmarkEnd w:id="85"/>
    </w:p>
    <w:p w14:paraId="5307C841">
      <w:pPr>
        <w:widowControl/>
        <w:adjustRightInd w:val="0"/>
        <w:snapToGrid w:val="0"/>
        <w:spacing w:line="360" w:lineRule="auto"/>
        <w:outlineLvl w:val="1"/>
        <w:rPr>
          <w:rFonts w:hint="eastAsia" w:ascii="宋体" w:hAnsi="宋体" w:cs="宋体"/>
          <w:b/>
          <w:bCs/>
          <w:sz w:val="24"/>
        </w:rPr>
      </w:pPr>
      <w:bookmarkStart w:id="86" w:name="_Toc20951"/>
      <w:bookmarkStart w:id="87" w:name="_Toc106276262"/>
      <w:r>
        <w:rPr>
          <w:rFonts w:hint="eastAsia" w:ascii="宋体" w:hAnsi="宋体" w:cs="宋体"/>
          <w:b/>
          <w:bCs/>
          <w:sz w:val="24"/>
          <w:highlight w:val="white"/>
        </w:rPr>
        <w:t>四</w:t>
      </w:r>
      <w:r>
        <w:rPr>
          <w:rFonts w:hint="eastAsia" w:ascii="宋体" w:hAnsi="宋体" w:cs="宋体"/>
          <w:b/>
          <w:bCs/>
          <w:sz w:val="24"/>
          <w:highlight w:val="white"/>
          <w:lang w:eastAsia="zh-CN"/>
        </w:rPr>
        <w:t>、</w:t>
      </w:r>
      <w:r>
        <w:rPr>
          <w:rFonts w:hint="eastAsia" w:ascii="宋体" w:hAnsi="宋体" w:cs="宋体"/>
          <w:b/>
          <w:bCs/>
          <w:sz w:val="24"/>
          <w:highlight w:val="white"/>
        </w:rPr>
        <w:t>确定成交供应商</w:t>
      </w:r>
      <w:bookmarkEnd w:id="84"/>
      <w:bookmarkEnd w:id="86"/>
      <w:bookmarkEnd w:id="87"/>
    </w:p>
    <w:p w14:paraId="271F64DB">
      <w:pPr>
        <w:widowControl/>
        <w:adjustRightInd w:val="0"/>
        <w:snapToGrid w:val="0"/>
        <w:spacing w:line="360" w:lineRule="auto"/>
        <w:ind w:firstLine="480" w:firstLineChars="200"/>
        <w:rPr>
          <w:rFonts w:hint="eastAsia" w:ascii="宋体" w:hAnsi="宋体" w:cs="宋体"/>
          <w:bCs/>
          <w:sz w:val="24"/>
          <w:highlight w:val="white"/>
        </w:rPr>
      </w:pPr>
      <w:r>
        <w:rPr>
          <w:rFonts w:hint="eastAsia" w:ascii="宋体" w:hAnsi="宋体" w:cs="宋体"/>
          <w:bCs/>
          <w:sz w:val="24"/>
          <w:highlight w:val="white"/>
        </w:rPr>
        <w:t>1.采购代理机构应当在评审结束后2个工作日内将评审报告送采购人确认。</w:t>
      </w:r>
    </w:p>
    <w:p w14:paraId="3B354898">
      <w:pPr>
        <w:widowControl/>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highlight w:val="white"/>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CC42B56">
      <w:pPr>
        <w:rPr>
          <w:rFonts w:hint="eastAsia" w:ascii="宋体" w:hAnsi="宋体" w:cs="宋体"/>
          <w:b/>
          <w:bCs/>
          <w:sz w:val="24"/>
        </w:rPr>
      </w:pPr>
    </w:p>
    <w:p w14:paraId="1D80FD45">
      <w:pPr>
        <w:pStyle w:val="2"/>
        <w:numPr>
          <w:ilvl w:val="0"/>
          <w:numId w:val="0"/>
        </w:numPr>
        <w:ind w:left="1316" w:hanging="838" w:hangingChars="298"/>
        <w:rPr>
          <w:rFonts w:ascii="仿宋" w:hAnsi="仿宋" w:eastAsia="仿宋" w:cs="宋体"/>
          <w:b/>
          <w:kern w:val="0"/>
        </w:rPr>
      </w:pPr>
      <w:r>
        <w:rPr>
          <w:rFonts w:hint="eastAsia" w:ascii="宋体" w:hAnsi="宋体" w:cs="宋体"/>
          <w:sz w:val="28"/>
          <w:szCs w:val="28"/>
          <w:highlight w:val="white"/>
        </w:rPr>
        <w:br w:type="page"/>
      </w:r>
      <w:bookmarkStart w:id="88" w:name="_Toc17376"/>
      <w:bookmarkStart w:id="89" w:name="_Toc36659877"/>
      <w:r>
        <w:rPr>
          <w:rFonts w:hint="eastAsia" w:ascii="宋体" w:hAnsi="宋体" w:eastAsia="宋体" w:cs="宋体"/>
          <w:b/>
          <w:kern w:val="0"/>
          <w:sz w:val="36"/>
          <w:szCs w:val="36"/>
        </w:rPr>
        <w:t>第四章 合同条款及格式</w:t>
      </w:r>
      <w:bookmarkEnd w:id="88"/>
      <w:bookmarkEnd w:id="89"/>
    </w:p>
    <w:p w14:paraId="40CC6EC1">
      <w:pPr>
        <w:rPr>
          <w:rFonts w:hint="eastAsia" w:ascii="仿宋" w:hAnsi="仿宋" w:eastAsia="仿宋"/>
        </w:rPr>
      </w:pPr>
    </w:p>
    <w:p w14:paraId="06FA8C33">
      <w:pPr>
        <w:keepNext/>
        <w:keepLines/>
        <w:spacing w:line="360" w:lineRule="auto"/>
        <w:jc w:val="center"/>
        <w:outlineLvl w:val="1"/>
        <w:rPr>
          <w:rFonts w:ascii="仿宋" w:hAnsi="仿宋" w:eastAsia="仿宋"/>
          <w:b/>
          <w:bCs/>
          <w:sz w:val="32"/>
          <w:szCs w:val="32"/>
        </w:rPr>
      </w:pPr>
      <w:bookmarkStart w:id="90" w:name="_Toc12057"/>
      <w:bookmarkStart w:id="91" w:name="_Toc36659878"/>
      <w:bookmarkStart w:id="92" w:name="_Toc256000049"/>
      <w:bookmarkStart w:id="93" w:name="_Toc534649427"/>
      <w:bookmarkStart w:id="94" w:name="_Toc256000019"/>
      <w:bookmarkStart w:id="95" w:name="_Toc256000051"/>
      <w:bookmarkStart w:id="96" w:name="_Toc256000124"/>
      <w:r>
        <w:rPr>
          <w:rFonts w:hint="eastAsia" w:ascii="仿宋" w:hAnsi="仿宋" w:eastAsia="仿宋"/>
          <w:b/>
          <w:bCs/>
          <w:sz w:val="32"/>
          <w:szCs w:val="32"/>
        </w:rPr>
        <w:t>第一部分 合同书</w:t>
      </w:r>
      <w:bookmarkEnd w:id="90"/>
      <w:bookmarkEnd w:id="91"/>
      <w:bookmarkEnd w:id="92"/>
      <w:bookmarkEnd w:id="93"/>
      <w:bookmarkEnd w:id="94"/>
      <w:bookmarkEnd w:id="95"/>
      <w:bookmarkEnd w:id="96"/>
    </w:p>
    <w:p w14:paraId="7319FD55">
      <w:pPr>
        <w:autoSpaceDE w:val="0"/>
        <w:autoSpaceDN w:val="0"/>
        <w:adjustRightInd w:val="0"/>
        <w:jc w:val="left"/>
        <w:rPr>
          <w:rFonts w:ascii="仿宋" w:hAnsi="仿宋" w:eastAsia="仿宋"/>
          <w:sz w:val="24"/>
        </w:rPr>
      </w:pPr>
    </w:p>
    <w:p w14:paraId="59F2900C">
      <w:pPr>
        <w:spacing w:before="120" w:line="22" w:lineRule="atLeast"/>
        <w:ind w:left="960"/>
        <w:rPr>
          <w:rFonts w:ascii="仿宋" w:hAnsi="仿宋" w:eastAsia="仿宋"/>
          <w:sz w:val="24"/>
        </w:rPr>
      </w:pPr>
      <w:r>
        <w:rPr>
          <w:rFonts w:hint="eastAsia" w:ascii="仿宋" w:hAnsi="仿宋" w:eastAsia="仿宋"/>
          <w:sz w:val="24"/>
        </w:rPr>
        <w:t>项目名称：</w:t>
      </w:r>
      <w:r>
        <w:rPr>
          <w:rFonts w:hint="eastAsia" w:ascii="仿宋" w:hAnsi="仿宋" w:eastAsia="仿宋"/>
          <w:sz w:val="24"/>
          <w:u w:val="single"/>
        </w:rPr>
        <w:t xml:space="preserve">                                   </w:t>
      </w:r>
    </w:p>
    <w:p w14:paraId="4302C45A">
      <w:pPr>
        <w:rPr>
          <w:rFonts w:ascii="仿宋" w:hAnsi="仿宋" w:eastAsia="仿宋"/>
        </w:rPr>
      </w:pPr>
    </w:p>
    <w:p w14:paraId="4A6FB750">
      <w:pPr>
        <w:spacing w:before="120" w:line="22" w:lineRule="atLeast"/>
        <w:ind w:left="960"/>
        <w:rPr>
          <w:rFonts w:ascii="仿宋" w:hAnsi="仿宋" w:eastAsia="仿宋"/>
          <w:sz w:val="24"/>
          <w:u w:val="single"/>
        </w:rPr>
      </w:pPr>
      <w:r>
        <w:rPr>
          <w:rFonts w:hint="eastAsia" w:ascii="仿宋" w:hAnsi="仿宋" w:eastAsia="仿宋"/>
          <w:sz w:val="24"/>
        </w:rPr>
        <w:t>甲方：</w:t>
      </w:r>
      <w:r>
        <w:rPr>
          <w:rFonts w:hint="eastAsia" w:ascii="仿宋" w:hAnsi="仿宋" w:eastAsia="仿宋"/>
          <w:sz w:val="24"/>
          <w:u w:val="single"/>
        </w:rPr>
        <w:t xml:space="preserve">                                       </w:t>
      </w:r>
    </w:p>
    <w:p w14:paraId="458533B0">
      <w:pPr>
        <w:spacing w:before="120" w:line="22" w:lineRule="atLeast"/>
        <w:rPr>
          <w:rFonts w:ascii="仿宋" w:hAnsi="仿宋" w:eastAsia="仿宋"/>
          <w:sz w:val="24"/>
        </w:rPr>
      </w:pPr>
    </w:p>
    <w:p w14:paraId="23B47F30">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p>
    <w:p w14:paraId="30F373DB">
      <w:pPr>
        <w:spacing w:before="120" w:line="22" w:lineRule="atLeast"/>
        <w:rPr>
          <w:rFonts w:ascii="仿宋" w:hAnsi="仿宋" w:eastAsia="仿宋"/>
          <w:sz w:val="24"/>
        </w:rPr>
      </w:pPr>
    </w:p>
    <w:p w14:paraId="2BE736AF">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hint="eastAsia" w:ascii="仿宋" w:hAnsi="仿宋" w:eastAsia="仿宋"/>
          <w:sz w:val="24"/>
          <w:u w:val="single"/>
        </w:rPr>
        <w:t xml:space="preserve">                                     </w:t>
      </w:r>
    </w:p>
    <w:p w14:paraId="31C8C276">
      <w:pPr>
        <w:spacing w:before="120" w:line="22" w:lineRule="atLeast"/>
        <w:rPr>
          <w:rFonts w:ascii="仿宋" w:hAnsi="仿宋" w:eastAsia="仿宋"/>
          <w:sz w:val="24"/>
        </w:rPr>
      </w:pPr>
    </w:p>
    <w:p w14:paraId="2B63C740">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14:paraId="2C4E70AC">
      <w:pPr>
        <w:spacing w:line="360" w:lineRule="auto"/>
        <w:ind w:firstLine="480" w:firstLineChars="200"/>
        <w:rPr>
          <w:rFonts w:ascii="仿宋" w:hAnsi="仿宋" w:eastAsia="仿宋"/>
          <w:sz w:val="24"/>
        </w:rPr>
      </w:pPr>
      <w:r>
        <w:rPr>
          <w:rFonts w:hint="eastAsia" w:ascii="仿宋" w:hAnsi="仿宋" w:eastAsia="仿宋"/>
          <w:sz w:val="24"/>
          <w:u w:val="single"/>
          <w:lang w:val="zh-CN"/>
        </w:rPr>
        <w:t xml:space="preserve">        </w:t>
      </w:r>
      <w:r>
        <w:rPr>
          <w:rFonts w:hint="eastAsia" w:ascii="仿宋" w:hAnsi="仿宋" w:eastAsia="仿宋"/>
          <w:sz w:val="24"/>
          <w:lang w:val="zh-CN"/>
        </w:rPr>
        <w:t>年</w:t>
      </w:r>
      <w:r>
        <w:rPr>
          <w:rFonts w:hint="eastAsia" w:ascii="仿宋" w:hAnsi="仿宋" w:eastAsia="仿宋"/>
          <w:sz w:val="24"/>
          <w:u w:val="single"/>
          <w:lang w:val="zh-CN"/>
        </w:rPr>
        <w:t xml:space="preserve">    </w:t>
      </w:r>
      <w:r>
        <w:rPr>
          <w:rFonts w:hint="eastAsia" w:ascii="仿宋" w:hAnsi="仿宋" w:eastAsia="仿宋"/>
          <w:sz w:val="24"/>
          <w:lang w:val="zh-CN"/>
        </w:rPr>
        <w:t>月</w:t>
      </w:r>
      <w:r>
        <w:rPr>
          <w:rFonts w:hint="eastAsia" w:ascii="仿宋" w:hAnsi="仿宋" w:eastAsia="仿宋"/>
          <w:sz w:val="24"/>
          <w:u w:val="single"/>
          <w:lang w:val="zh-CN"/>
        </w:rPr>
        <w:t xml:space="preserve">    </w:t>
      </w:r>
      <w:r>
        <w:rPr>
          <w:rFonts w:hint="eastAsia" w:ascii="仿宋" w:hAnsi="仿宋" w:eastAsia="仿宋"/>
          <w:sz w:val="24"/>
          <w:lang w:val="zh-CN"/>
        </w:rPr>
        <w:t>日</w:t>
      </w:r>
      <w:r>
        <w:rPr>
          <w:rFonts w:hint="eastAsia" w:ascii="仿宋" w:hAnsi="仿宋" w:eastAsia="仿宋"/>
          <w:sz w:val="24"/>
        </w:rPr>
        <w:t>，</w:t>
      </w:r>
      <w:r>
        <w:rPr>
          <w:rFonts w:hint="eastAsia" w:ascii="仿宋" w:hAnsi="仿宋" w:eastAsia="仿宋"/>
          <w:sz w:val="24"/>
          <w:u w:val="single"/>
        </w:rPr>
        <w:t xml:space="preserve">   （</w:t>
      </w:r>
      <w:r>
        <w:rPr>
          <w:rFonts w:hint="eastAsia" w:ascii="仿宋" w:hAnsi="仿宋" w:eastAsia="仿宋"/>
          <w:sz w:val="24"/>
          <w:u w:val="single"/>
          <w:lang w:val="en-US" w:eastAsia="zh-CN"/>
        </w:rPr>
        <w:t>采购</w:t>
      </w:r>
      <w:r>
        <w:rPr>
          <w:rFonts w:hint="eastAsia" w:ascii="仿宋" w:hAnsi="仿宋" w:eastAsia="仿宋"/>
          <w:sz w:val="24"/>
          <w:u w:val="single"/>
        </w:rPr>
        <w:t xml:space="preserve">人）   </w:t>
      </w:r>
      <w:r>
        <w:rPr>
          <w:rFonts w:hint="eastAsia" w:ascii="仿宋" w:hAnsi="仿宋" w:eastAsia="仿宋"/>
          <w:sz w:val="24"/>
        </w:rPr>
        <w:t>以</w:t>
      </w:r>
      <w:r>
        <w:rPr>
          <w:rFonts w:hint="eastAsia" w:ascii="仿宋" w:hAnsi="仿宋" w:eastAsia="仿宋"/>
          <w:sz w:val="24"/>
          <w:u w:val="single"/>
        </w:rPr>
        <w:t xml:space="preserve">   （</w:t>
      </w:r>
      <w:r>
        <w:rPr>
          <w:rFonts w:hint="eastAsia" w:ascii="仿宋" w:hAnsi="仿宋" w:eastAsia="仿宋"/>
          <w:sz w:val="24"/>
          <w:u w:val="single"/>
          <w:lang w:val="en-US" w:eastAsia="zh-CN"/>
        </w:rPr>
        <w:t>采购方式</w:t>
      </w:r>
      <w:r>
        <w:rPr>
          <w:rFonts w:hint="eastAsia" w:ascii="仿宋" w:hAnsi="仿宋" w:eastAsia="仿宋"/>
          <w:sz w:val="24"/>
          <w:u w:val="single"/>
        </w:rPr>
        <w:t xml:space="preserve">）  </w:t>
      </w:r>
      <w:r>
        <w:rPr>
          <w:rFonts w:hint="eastAsia" w:ascii="仿宋" w:hAnsi="仿宋" w:eastAsia="仿宋"/>
          <w:sz w:val="24"/>
        </w:rPr>
        <w:t>对</w:t>
      </w:r>
      <w:r>
        <w:rPr>
          <w:rFonts w:hint="eastAsia" w:ascii="仿宋" w:hAnsi="仿宋" w:eastAsia="仿宋"/>
          <w:sz w:val="24"/>
          <w:u w:val="single"/>
        </w:rPr>
        <w:t xml:space="preserve">   （项目名称）   </w:t>
      </w:r>
      <w:r>
        <w:rPr>
          <w:rFonts w:hint="eastAsia" w:ascii="仿宋" w:hAnsi="仿宋" w:eastAsia="仿宋"/>
          <w:sz w:val="24"/>
        </w:rPr>
        <w:t>项目进行了招标。经评定，</w:t>
      </w:r>
      <w:r>
        <w:rPr>
          <w:rFonts w:hint="eastAsia" w:ascii="仿宋" w:hAnsi="仿宋" w:eastAsia="仿宋"/>
          <w:sz w:val="24"/>
          <w:u w:val="single"/>
        </w:rPr>
        <w:t xml:space="preserve">   （中标人） </w:t>
      </w:r>
      <w:r>
        <w:rPr>
          <w:rFonts w:hint="eastAsia" w:ascii="仿宋" w:hAnsi="仿宋" w:eastAsia="仿宋"/>
          <w:sz w:val="24"/>
        </w:rPr>
        <w:t>为该项目成交供应商。现于成交通知书发出之日起三十日内，按照采购文件确定的事项签订本合同。</w:t>
      </w:r>
    </w:p>
    <w:p w14:paraId="72775394">
      <w:pPr>
        <w:spacing w:line="360" w:lineRule="auto"/>
        <w:ind w:firstLine="480" w:firstLineChars="200"/>
        <w:rPr>
          <w:rFonts w:ascii="仿宋" w:hAnsi="仿宋" w:eastAsia="仿宋"/>
          <w:sz w:val="24"/>
        </w:rPr>
      </w:pPr>
      <w:r>
        <w:rPr>
          <w:rFonts w:hint="eastAsia" w:ascii="仿宋" w:hAnsi="仿宋" w:eastAsia="仿宋"/>
          <w:sz w:val="24"/>
          <w:lang w:val="zh-CN"/>
        </w:rPr>
        <w:t>根据《中华人民共和国合同法》、《中华人民共和国招标投标法》等相关法律法规之规定，按照平等、自愿、公平和诚实信用的原则，经</w:t>
      </w:r>
      <w:r>
        <w:rPr>
          <w:rFonts w:hint="eastAsia" w:ascii="仿宋" w:hAnsi="仿宋" w:eastAsia="仿宋"/>
          <w:sz w:val="24"/>
          <w:u w:val="single"/>
        </w:rPr>
        <w:t>（</w:t>
      </w:r>
      <w:r>
        <w:rPr>
          <w:rFonts w:hint="eastAsia" w:ascii="仿宋" w:hAnsi="仿宋" w:eastAsia="仿宋"/>
          <w:sz w:val="24"/>
          <w:u w:val="single"/>
          <w:lang w:val="en-US" w:eastAsia="zh-CN"/>
        </w:rPr>
        <w:t>采购人</w:t>
      </w:r>
      <w:r>
        <w:rPr>
          <w:rFonts w:hint="eastAsia" w:ascii="仿宋" w:hAnsi="仿宋" w:eastAsia="仿宋"/>
          <w:sz w:val="24"/>
          <w:u w:val="single"/>
        </w:rPr>
        <w:t>人）</w:t>
      </w:r>
      <w:r>
        <w:rPr>
          <w:rFonts w:hint="eastAsia" w:ascii="仿宋" w:hAnsi="仿宋" w:eastAsia="仿宋"/>
          <w:sz w:val="24"/>
          <w:lang w:val="zh-CN"/>
        </w:rPr>
        <w:t>(以下简称：甲方)和</w:t>
      </w:r>
      <w:r>
        <w:rPr>
          <w:rFonts w:hint="eastAsia" w:ascii="仿宋" w:hAnsi="仿宋" w:eastAsia="仿宋"/>
          <w:sz w:val="24"/>
          <w:u w:val="single"/>
        </w:rPr>
        <w:t xml:space="preserve">   （中标人）   </w:t>
      </w:r>
      <w:r>
        <w:rPr>
          <w:rFonts w:hint="eastAsia" w:ascii="仿宋" w:hAnsi="仿宋" w:eastAsia="仿宋"/>
          <w:sz w:val="24"/>
          <w:lang w:val="zh-CN"/>
        </w:rPr>
        <w:t>(以下简称：乙方)协商一致，约定以下合同</w:t>
      </w:r>
      <w:r>
        <w:rPr>
          <w:rFonts w:hint="eastAsia" w:ascii="仿宋" w:hAnsi="仿宋" w:eastAsia="仿宋"/>
          <w:sz w:val="24"/>
        </w:rPr>
        <w:t>条款，以兹共同遵守、全面履行。</w:t>
      </w:r>
    </w:p>
    <w:p w14:paraId="7DC01DDF">
      <w:pPr>
        <w:keepNext/>
        <w:keepLines/>
        <w:spacing w:before="120" w:beforeLines="50" w:after="120" w:afterLines="50" w:line="360" w:lineRule="auto"/>
        <w:outlineLvl w:val="2"/>
        <w:rPr>
          <w:rFonts w:ascii="仿宋" w:hAnsi="仿宋" w:eastAsia="仿宋"/>
          <w:b/>
          <w:bCs/>
          <w:sz w:val="30"/>
          <w:szCs w:val="32"/>
        </w:rPr>
      </w:pPr>
      <w:bookmarkStart w:id="97" w:name="_Toc256000020"/>
      <w:bookmarkStart w:id="98" w:name="_Toc534649428"/>
      <w:bookmarkStart w:id="99" w:name="_Toc29732"/>
      <w:bookmarkStart w:id="100" w:name="_Toc20421"/>
      <w:bookmarkStart w:id="101" w:name="_Toc256000050"/>
      <w:bookmarkStart w:id="102" w:name="_Toc19273"/>
      <w:bookmarkStart w:id="103" w:name="_Toc15367"/>
      <w:bookmarkStart w:id="104" w:name="_Toc256000125"/>
      <w:bookmarkStart w:id="105" w:name="_Toc22967"/>
      <w:bookmarkStart w:id="106" w:name="_Toc256000052"/>
      <w:bookmarkStart w:id="107" w:name="_Toc28855"/>
      <w:bookmarkStart w:id="108" w:name="_Toc36659879"/>
      <w:r>
        <w:rPr>
          <w:rFonts w:hint="eastAsia" w:ascii="仿宋" w:hAnsi="仿宋" w:eastAsia="仿宋"/>
          <w:b/>
          <w:bCs/>
          <w:sz w:val="30"/>
          <w:szCs w:val="32"/>
        </w:rPr>
        <w:t>1.1 合同组成部分</w:t>
      </w:r>
      <w:bookmarkEnd w:id="97"/>
      <w:bookmarkEnd w:id="98"/>
      <w:bookmarkEnd w:id="99"/>
      <w:bookmarkEnd w:id="100"/>
      <w:bookmarkEnd w:id="101"/>
      <w:bookmarkEnd w:id="102"/>
      <w:bookmarkEnd w:id="103"/>
      <w:bookmarkEnd w:id="104"/>
      <w:bookmarkEnd w:id="105"/>
      <w:bookmarkEnd w:id="106"/>
      <w:bookmarkEnd w:id="107"/>
      <w:bookmarkEnd w:id="108"/>
    </w:p>
    <w:p w14:paraId="0458D7D4">
      <w:pPr>
        <w:spacing w:line="360" w:lineRule="auto"/>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AF1686D">
      <w:pPr>
        <w:spacing w:line="360" w:lineRule="auto"/>
        <w:ind w:firstLine="480" w:firstLineChars="200"/>
        <w:rPr>
          <w:rFonts w:ascii="仿宋" w:hAnsi="仿宋" w:eastAsia="仿宋"/>
          <w:sz w:val="24"/>
        </w:rPr>
      </w:pPr>
      <w:r>
        <w:rPr>
          <w:rFonts w:hint="eastAsia" w:ascii="仿宋" w:hAnsi="仿宋" w:eastAsia="仿宋"/>
          <w:sz w:val="24"/>
        </w:rPr>
        <w:t>1.1.1 本合同及其补充合同、变更协议；</w:t>
      </w:r>
    </w:p>
    <w:p w14:paraId="09D9896A">
      <w:pPr>
        <w:spacing w:line="360" w:lineRule="auto"/>
        <w:ind w:firstLine="480" w:firstLineChars="200"/>
        <w:rPr>
          <w:rFonts w:ascii="仿宋" w:hAnsi="仿宋" w:eastAsia="仿宋"/>
          <w:sz w:val="24"/>
        </w:rPr>
      </w:pPr>
      <w:r>
        <w:rPr>
          <w:rFonts w:hint="eastAsia" w:ascii="仿宋" w:hAnsi="仿宋" w:eastAsia="仿宋"/>
          <w:sz w:val="24"/>
        </w:rPr>
        <w:t>1.1.2 中标通知书；</w:t>
      </w:r>
    </w:p>
    <w:p w14:paraId="08C67059">
      <w:pPr>
        <w:spacing w:line="360" w:lineRule="auto"/>
        <w:ind w:firstLine="480" w:firstLineChars="200"/>
        <w:rPr>
          <w:rFonts w:ascii="仿宋" w:hAnsi="仿宋" w:eastAsia="仿宋"/>
          <w:sz w:val="24"/>
        </w:rPr>
      </w:pPr>
      <w:r>
        <w:rPr>
          <w:rFonts w:hint="eastAsia" w:ascii="仿宋" w:hAnsi="仿宋" w:eastAsia="仿宋"/>
          <w:sz w:val="24"/>
        </w:rPr>
        <w:t>1.1.3 中标文件（含澄清或者说明文件）；</w:t>
      </w:r>
    </w:p>
    <w:p w14:paraId="226B7CF6">
      <w:pPr>
        <w:spacing w:line="360" w:lineRule="auto"/>
        <w:ind w:firstLine="480" w:firstLineChars="200"/>
        <w:rPr>
          <w:rFonts w:ascii="仿宋" w:hAnsi="仿宋" w:eastAsia="仿宋"/>
          <w:sz w:val="24"/>
        </w:rPr>
      </w:pPr>
      <w:r>
        <w:rPr>
          <w:rFonts w:hint="eastAsia" w:ascii="仿宋" w:hAnsi="仿宋" w:eastAsia="仿宋"/>
          <w:sz w:val="24"/>
        </w:rPr>
        <w:t>1.1.4 招标文件（含澄清或者修改文件）；</w:t>
      </w:r>
    </w:p>
    <w:p w14:paraId="639E14E9">
      <w:pPr>
        <w:spacing w:line="360" w:lineRule="auto"/>
        <w:ind w:firstLine="480" w:firstLineChars="200"/>
        <w:rPr>
          <w:rFonts w:ascii="仿宋" w:hAnsi="仿宋" w:eastAsia="仿宋"/>
          <w:sz w:val="24"/>
        </w:rPr>
      </w:pPr>
      <w:r>
        <w:rPr>
          <w:rFonts w:hint="eastAsia" w:ascii="仿宋" w:hAnsi="仿宋" w:eastAsia="仿宋"/>
          <w:sz w:val="24"/>
        </w:rPr>
        <w:t>1.1.5 其他相关采购文件。</w:t>
      </w:r>
    </w:p>
    <w:p w14:paraId="34B341DA">
      <w:pPr>
        <w:keepNext/>
        <w:keepLines/>
        <w:spacing w:before="120" w:beforeLines="50" w:after="120" w:afterLines="50" w:line="360" w:lineRule="auto"/>
        <w:outlineLvl w:val="2"/>
        <w:rPr>
          <w:rFonts w:ascii="仿宋" w:hAnsi="仿宋" w:eastAsia="仿宋"/>
          <w:b/>
          <w:bCs/>
          <w:sz w:val="30"/>
          <w:szCs w:val="32"/>
        </w:rPr>
      </w:pPr>
      <w:bookmarkStart w:id="109" w:name="_Toc534649429"/>
      <w:bookmarkStart w:id="110" w:name="_Toc256000081"/>
      <w:bookmarkStart w:id="111" w:name="_Toc6773"/>
      <w:bookmarkStart w:id="112" w:name="_Toc18585"/>
      <w:bookmarkStart w:id="113" w:name="_Toc2918"/>
      <w:bookmarkStart w:id="114" w:name="_Toc6311"/>
      <w:bookmarkStart w:id="115" w:name="_Toc256000021"/>
      <w:bookmarkStart w:id="116" w:name="_Toc36659880"/>
      <w:bookmarkStart w:id="117" w:name="_Toc256000053"/>
      <w:bookmarkStart w:id="118" w:name="_Toc22185"/>
      <w:bookmarkStart w:id="119" w:name="_Toc256000126"/>
      <w:bookmarkStart w:id="120" w:name="_Toc28877"/>
      <w:r>
        <w:rPr>
          <w:rFonts w:hint="eastAsia" w:ascii="仿宋" w:hAnsi="仿宋" w:eastAsia="仿宋"/>
          <w:b/>
          <w:bCs/>
          <w:sz w:val="30"/>
          <w:szCs w:val="32"/>
        </w:rPr>
        <w:t>1.2 标的</w:t>
      </w:r>
      <w:bookmarkEnd w:id="109"/>
      <w:bookmarkEnd w:id="110"/>
      <w:bookmarkEnd w:id="111"/>
      <w:bookmarkEnd w:id="112"/>
      <w:bookmarkEnd w:id="113"/>
      <w:bookmarkEnd w:id="114"/>
      <w:bookmarkEnd w:id="115"/>
      <w:bookmarkEnd w:id="116"/>
      <w:bookmarkEnd w:id="117"/>
      <w:bookmarkEnd w:id="118"/>
      <w:bookmarkEnd w:id="119"/>
      <w:bookmarkEnd w:id="120"/>
    </w:p>
    <w:p w14:paraId="21AB25C2">
      <w:pPr>
        <w:spacing w:line="360" w:lineRule="auto"/>
        <w:ind w:firstLine="480" w:firstLineChars="200"/>
        <w:rPr>
          <w:rFonts w:ascii="仿宋" w:hAnsi="仿宋" w:eastAsia="仿宋"/>
          <w:sz w:val="24"/>
          <w:u w:val="single"/>
        </w:rPr>
      </w:pPr>
      <w:r>
        <w:rPr>
          <w:rFonts w:hint="eastAsia" w:ascii="仿宋" w:hAnsi="仿宋" w:eastAsia="仿宋"/>
          <w:sz w:val="24"/>
        </w:rPr>
        <w:t>1.2.1 标的</w:t>
      </w:r>
      <w:r>
        <w:rPr>
          <w:rFonts w:ascii="仿宋" w:hAnsi="仿宋" w:eastAsia="仿宋"/>
          <w:sz w:val="24"/>
        </w:rPr>
        <w:t>名称：</w:t>
      </w:r>
      <w:r>
        <w:rPr>
          <w:rFonts w:hint="eastAsia" w:ascii="仿宋" w:hAnsi="仿宋" w:eastAsia="仿宋"/>
          <w:sz w:val="24"/>
          <w:u w:val="single"/>
        </w:rPr>
        <w:t xml:space="preserve">                                                </w:t>
      </w:r>
      <w:r>
        <w:rPr>
          <w:rFonts w:hint="eastAsia" w:ascii="仿宋" w:hAnsi="仿宋" w:eastAsia="仿宋"/>
          <w:sz w:val="24"/>
        </w:rPr>
        <w:t>；</w:t>
      </w:r>
    </w:p>
    <w:p w14:paraId="6969A398">
      <w:pPr>
        <w:spacing w:line="360" w:lineRule="auto"/>
        <w:ind w:firstLine="480" w:firstLineChars="200"/>
        <w:rPr>
          <w:rFonts w:ascii="仿宋" w:hAnsi="仿宋" w:eastAsia="仿宋"/>
          <w:sz w:val="24"/>
          <w:u w:val="single"/>
        </w:rPr>
      </w:pPr>
      <w:r>
        <w:rPr>
          <w:rFonts w:hint="eastAsia" w:ascii="仿宋" w:hAnsi="仿宋" w:eastAsia="仿宋"/>
          <w:sz w:val="24"/>
        </w:rPr>
        <w:t>1.2.2 标的</w:t>
      </w:r>
      <w:r>
        <w:rPr>
          <w:rFonts w:ascii="仿宋" w:hAnsi="仿宋" w:eastAsia="仿宋"/>
          <w:sz w:val="24"/>
        </w:rPr>
        <w:t>数量：</w:t>
      </w:r>
      <w:r>
        <w:rPr>
          <w:rFonts w:hint="eastAsia" w:ascii="仿宋" w:hAnsi="仿宋" w:eastAsia="仿宋"/>
          <w:sz w:val="24"/>
          <w:u w:val="single"/>
        </w:rPr>
        <w:t xml:space="preserve">                                                </w:t>
      </w:r>
      <w:r>
        <w:rPr>
          <w:rFonts w:hint="eastAsia" w:ascii="仿宋" w:hAnsi="仿宋" w:eastAsia="仿宋"/>
          <w:sz w:val="24"/>
        </w:rPr>
        <w:t>；</w:t>
      </w:r>
    </w:p>
    <w:p w14:paraId="6508DD55">
      <w:pPr>
        <w:spacing w:line="360" w:lineRule="auto"/>
        <w:ind w:firstLine="480" w:firstLineChars="200"/>
        <w:rPr>
          <w:rFonts w:ascii="仿宋" w:hAnsi="仿宋" w:eastAsia="仿宋"/>
          <w:sz w:val="24"/>
        </w:rPr>
      </w:pPr>
      <w:r>
        <w:rPr>
          <w:rFonts w:hint="eastAsia" w:ascii="仿宋" w:hAnsi="仿宋" w:eastAsia="仿宋"/>
          <w:sz w:val="24"/>
        </w:rPr>
        <w:t>1.2.3 标的质量：</w:t>
      </w:r>
      <w:r>
        <w:rPr>
          <w:rFonts w:ascii="仿宋" w:hAnsi="仿宋" w:eastAsia="仿宋"/>
          <w:sz w:val="24"/>
          <w:u w:val="single"/>
        </w:rPr>
        <w:t>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w:t>
      </w:r>
    </w:p>
    <w:p w14:paraId="486502C8">
      <w:pPr>
        <w:keepNext/>
        <w:keepLines/>
        <w:spacing w:before="120" w:beforeLines="50" w:after="120" w:afterLines="50" w:line="360" w:lineRule="auto"/>
        <w:outlineLvl w:val="2"/>
        <w:rPr>
          <w:rFonts w:ascii="仿宋" w:hAnsi="仿宋" w:eastAsia="仿宋"/>
          <w:b/>
          <w:bCs/>
          <w:sz w:val="30"/>
          <w:szCs w:val="32"/>
        </w:rPr>
      </w:pPr>
      <w:bookmarkStart w:id="121" w:name="_Toc256000127"/>
      <w:bookmarkStart w:id="122" w:name="_Toc21124"/>
      <w:bookmarkStart w:id="123" w:name="_Toc13918"/>
      <w:bookmarkStart w:id="124" w:name="_Toc4929"/>
      <w:bookmarkStart w:id="125" w:name="_Toc256000082"/>
      <w:bookmarkStart w:id="126" w:name="_Toc36659881"/>
      <w:bookmarkStart w:id="127" w:name="_Toc3104"/>
      <w:bookmarkStart w:id="128" w:name="_Toc256000022"/>
      <w:bookmarkStart w:id="129" w:name="_Toc1386"/>
      <w:bookmarkStart w:id="130" w:name="_Toc256000054"/>
      <w:bookmarkStart w:id="131" w:name="_Toc534649430"/>
      <w:bookmarkStart w:id="132" w:name="_Toc5635"/>
      <w:r>
        <w:rPr>
          <w:rFonts w:hint="eastAsia" w:ascii="仿宋" w:hAnsi="仿宋" w:eastAsia="仿宋"/>
          <w:b/>
          <w:bCs/>
          <w:sz w:val="30"/>
          <w:szCs w:val="32"/>
        </w:rPr>
        <w:t>1.</w:t>
      </w:r>
      <w:r>
        <w:rPr>
          <w:rFonts w:ascii="仿宋" w:hAnsi="仿宋" w:eastAsia="仿宋"/>
          <w:b/>
          <w:bCs/>
          <w:sz w:val="30"/>
          <w:szCs w:val="32"/>
        </w:rPr>
        <w:t>3</w:t>
      </w:r>
      <w:r>
        <w:rPr>
          <w:rFonts w:hint="eastAsia" w:ascii="仿宋" w:hAnsi="仿宋" w:eastAsia="仿宋"/>
          <w:b/>
          <w:bCs/>
          <w:sz w:val="30"/>
          <w:szCs w:val="32"/>
        </w:rPr>
        <w:t xml:space="preserve"> 价款</w:t>
      </w:r>
      <w:bookmarkEnd w:id="121"/>
      <w:bookmarkEnd w:id="122"/>
      <w:bookmarkEnd w:id="123"/>
      <w:bookmarkEnd w:id="124"/>
      <w:bookmarkEnd w:id="125"/>
      <w:bookmarkEnd w:id="126"/>
      <w:bookmarkEnd w:id="127"/>
      <w:bookmarkEnd w:id="128"/>
      <w:bookmarkEnd w:id="129"/>
      <w:bookmarkEnd w:id="130"/>
      <w:bookmarkEnd w:id="131"/>
      <w:bookmarkEnd w:id="132"/>
    </w:p>
    <w:p w14:paraId="33190234">
      <w:pPr>
        <w:spacing w:line="360" w:lineRule="auto"/>
        <w:ind w:firstLine="480" w:firstLineChars="200"/>
        <w:rPr>
          <w:rFonts w:ascii="仿宋" w:hAnsi="仿宋" w:eastAsia="仿宋"/>
          <w:sz w:val="24"/>
        </w:rPr>
      </w:pPr>
      <w:r>
        <w:rPr>
          <w:rFonts w:ascii="仿宋" w:hAnsi="仿宋" w:eastAsia="仿宋"/>
          <w:sz w:val="24"/>
        </w:rPr>
        <w:t>本合同总价为</w:t>
      </w:r>
      <w:r>
        <w:rPr>
          <w:rFonts w:hint="eastAsia" w:ascii="仿宋" w:hAnsi="仿宋" w:eastAsia="仿宋"/>
          <w:sz w:val="24"/>
        </w:rPr>
        <w:t>：￥</w:t>
      </w:r>
      <w:r>
        <w:rPr>
          <w:rFonts w:hint="eastAsia" w:ascii="仿宋" w:hAnsi="仿宋" w:eastAsia="仿宋"/>
          <w:sz w:val="24"/>
          <w:u w:val="single"/>
        </w:rPr>
        <w:t xml:space="preserve">           </w:t>
      </w:r>
      <w:r>
        <w:rPr>
          <w:rFonts w:ascii="仿宋" w:hAnsi="仿宋" w:eastAsia="仿宋"/>
          <w:sz w:val="24"/>
        </w:rPr>
        <w:t>元</w:t>
      </w:r>
      <w:r>
        <w:rPr>
          <w:rFonts w:hint="eastAsia" w:ascii="仿宋" w:hAnsi="仿宋" w:eastAsia="仿宋"/>
          <w:sz w:val="24"/>
        </w:rPr>
        <w:t>（大写：</w:t>
      </w:r>
      <w:r>
        <w:rPr>
          <w:rFonts w:hint="eastAsia" w:ascii="仿宋" w:hAnsi="仿宋" w:eastAsia="仿宋"/>
          <w:sz w:val="24"/>
          <w:u w:val="single"/>
        </w:rPr>
        <w:t xml:space="preserve">                 </w:t>
      </w:r>
      <w:r>
        <w:rPr>
          <w:rFonts w:hint="eastAsia" w:ascii="仿宋" w:hAnsi="仿宋" w:eastAsia="仿宋"/>
          <w:sz w:val="24"/>
        </w:rPr>
        <w:t>元人民币）</w:t>
      </w:r>
      <w:r>
        <w:rPr>
          <w:rFonts w:ascii="仿宋" w:hAnsi="仿宋" w:eastAsia="仿宋"/>
          <w:sz w:val="24"/>
        </w:rPr>
        <w:t>。</w:t>
      </w:r>
    </w:p>
    <w:p w14:paraId="65E019DA">
      <w:pPr>
        <w:spacing w:line="360" w:lineRule="auto"/>
        <w:ind w:firstLine="480" w:firstLineChars="200"/>
        <w:rPr>
          <w:rFonts w:ascii="仿宋" w:hAnsi="仿宋" w:eastAsia="仿宋"/>
          <w:sz w:val="24"/>
          <w:u w:val="single"/>
        </w:rPr>
      </w:pPr>
      <w:r>
        <w:rPr>
          <w:rFonts w:ascii="仿宋" w:hAnsi="仿宋" w:eastAsia="仿宋"/>
          <w:sz w:val="24"/>
        </w:rPr>
        <w:t>分项价格：</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EE3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B8B199B">
            <w:pPr>
              <w:spacing w:line="360" w:lineRule="auto"/>
              <w:jc w:val="center"/>
              <w:rPr>
                <w:rFonts w:ascii="仿宋" w:hAnsi="仿宋" w:eastAsia="仿宋"/>
                <w:sz w:val="24"/>
              </w:rPr>
            </w:pPr>
            <w:r>
              <w:rPr>
                <w:rFonts w:ascii="仿宋" w:hAnsi="仿宋" w:eastAsia="仿宋"/>
                <w:sz w:val="24"/>
              </w:rPr>
              <w:t>序号</w:t>
            </w:r>
          </w:p>
        </w:tc>
        <w:tc>
          <w:tcPr>
            <w:tcW w:w="3402" w:type="dxa"/>
            <w:noWrap w:val="0"/>
            <w:vAlign w:val="center"/>
          </w:tcPr>
          <w:p w14:paraId="6E2B7101">
            <w:pPr>
              <w:spacing w:line="360" w:lineRule="auto"/>
              <w:ind w:firstLine="200"/>
              <w:jc w:val="center"/>
              <w:rPr>
                <w:rFonts w:ascii="仿宋" w:hAnsi="仿宋" w:eastAsia="仿宋"/>
                <w:sz w:val="24"/>
              </w:rPr>
            </w:pPr>
            <w:r>
              <w:rPr>
                <w:rFonts w:hint="eastAsia" w:ascii="仿宋" w:hAnsi="仿宋" w:eastAsia="仿宋"/>
                <w:sz w:val="24"/>
              </w:rPr>
              <w:t>分项名称</w:t>
            </w:r>
          </w:p>
        </w:tc>
        <w:tc>
          <w:tcPr>
            <w:tcW w:w="2552" w:type="dxa"/>
            <w:noWrap w:val="0"/>
            <w:vAlign w:val="center"/>
          </w:tcPr>
          <w:p w14:paraId="082B3B17">
            <w:pPr>
              <w:spacing w:line="360" w:lineRule="auto"/>
              <w:jc w:val="center"/>
              <w:rPr>
                <w:rFonts w:ascii="仿宋" w:hAnsi="仿宋" w:eastAsia="仿宋"/>
                <w:sz w:val="24"/>
              </w:rPr>
            </w:pPr>
            <w:r>
              <w:rPr>
                <w:rFonts w:ascii="仿宋" w:hAnsi="仿宋" w:eastAsia="仿宋"/>
                <w:sz w:val="24"/>
              </w:rPr>
              <w:t>分项价格</w:t>
            </w:r>
          </w:p>
        </w:tc>
      </w:tr>
      <w:tr w14:paraId="336B2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7D2C46F">
            <w:pPr>
              <w:spacing w:line="360" w:lineRule="auto"/>
              <w:ind w:firstLine="200"/>
              <w:jc w:val="center"/>
              <w:rPr>
                <w:rFonts w:ascii="仿宋" w:hAnsi="仿宋" w:eastAsia="仿宋"/>
                <w:sz w:val="24"/>
              </w:rPr>
            </w:pPr>
          </w:p>
        </w:tc>
        <w:tc>
          <w:tcPr>
            <w:tcW w:w="3402" w:type="dxa"/>
            <w:noWrap w:val="0"/>
            <w:vAlign w:val="center"/>
          </w:tcPr>
          <w:p w14:paraId="4F3669DD">
            <w:pPr>
              <w:spacing w:line="360" w:lineRule="auto"/>
              <w:ind w:firstLine="200"/>
              <w:jc w:val="center"/>
              <w:rPr>
                <w:rFonts w:ascii="仿宋" w:hAnsi="仿宋" w:eastAsia="仿宋"/>
                <w:sz w:val="24"/>
              </w:rPr>
            </w:pPr>
          </w:p>
        </w:tc>
        <w:tc>
          <w:tcPr>
            <w:tcW w:w="2552" w:type="dxa"/>
            <w:noWrap w:val="0"/>
            <w:vAlign w:val="center"/>
          </w:tcPr>
          <w:p w14:paraId="0CB0C8DE">
            <w:pPr>
              <w:spacing w:line="360" w:lineRule="auto"/>
              <w:ind w:firstLine="200"/>
              <w:jc w:val="center"/>
              <w:rPr>
                <w:rFonts w:ascii="仿宋" w:hAnsi="仿宋" w:eastAsia="仿宋"/>
                <w:sz w:val="24"/>
              </w:rPr>
            </w:pPr>
          </w:p>
        </w:tc>
      </w:tr>
      <w:tr w14:paraId="2D65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3D2DEAA">
            <w:pPr>
              <w:spacing w:line="360" w:lineRule="auto"/>
              <w:ind w:firstLine="200"/>
              <w:jc w:val="center"/>
              <w:rPr>
                <w:rFonts w:ascii="仿宋" w:hAnsi="仿宋" w:eastAsia="仿宋"/>
                <w:sz w:val="24"/>
              </w:rPr>
            </w:pPr>
          </w:p>
        </w:tc>
        <w:tc>
          <w:tcPr>
            <w:tcW w:w="3402" w:type="dxa"/>
            <w:noWrap w:val="0"/>
            <w:vAlign w:val="center"/>
          </w:tcPr>
          <w:p w14:paraId="0979B796">
            <w:pPr>
              <w:spacing w:line="360" w:lineRule="auto"/>
              <w:ind w:firstLine="200"/>
              <w:jc w:val="center"/>
              <w:rPr>
                <w:rFonts w:ascii="仿宋" w:hAnsi="仿宋" w:eastAsia="仿宋"/>
                <w:sz w:val="24"/>
              </w:rPr>
            </w:pPr>
          </w:p>
        </w:tc>
        <w:tc>
          <w:tcPr>
            <w:tcW w:w="2552" w:type="dxa"/>
            <w:noWrap w:val="0"/>
            <w:vAlign w:val="center"/>
          </w:tcPr>
          <w:p w14:paraId="6DE327DE">
            <w:pPr>
              <w:spacing w:line="360" w:lineRule="auto"/>
              <w:ind w:firstLine="200"/>
              <w:jc w:val="center"/>
              <w:rPr>
                <w:rFonts w:ascii="仿宋" w:hAnsi="仿宋" w:eastAsia="仿宋"/>
                <w:sz w:val="24"/>
              </w:rPr>
            </w:pPr>
          </w:p>
        </w:tc>
      </w:tr>
      <w:tr w14:paraId="70A4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EC4792B">
            <w:pPr>
              <w:spacing w:line="360" w:lineRule="auto"/>
              <w:ind w:firstLine="200"/>
              <w:jc w:val="center"/>
              <w:rPr>
                <w:rFonts w:ascii="仿宋" w:hAnsi="仿宋" w:eastAsia="仿宋"/>
                <w:sz w:val="24"/>
              </w:rPr>
            </w:pPr>
          </w:p>
        </w:tc>
        <w:tc>
          <w:tcPr>
            <w:tcW w:w="3402" w:type="dxa"/>
            <w:noWrap w:val="0"/>
            <w:vAlign w:val="center"/>
          </w:tcPr>
          <w:p w14:paraId="74AE66A1">
            <w:pPr>
              <w:spacing w:line="360" w:lineRule="auto"/>
              <w:ind w:firstLine="200"/>
              <w:jc w:val="center"/>
              <w:rPr>
                <w:rFonts w:ascii="仿宋" w:hAnsi="仿宋" w:eastAsia="仿宋"/>
                <w:sz w:val="24"/>
              </w:rPr>
            </w:pPr>
          </w:p>
        </w:tc>
        <w:tc>
          <w:tcPr>
            <w:tcW w:w="2552" w:type="dxa"/>
            <w:noWrap w:val="0"/>
            <w:vAlign w:val="center"/>
          </w:tcPr>
          <w:p w14:paraId="6F94E358">
            <w:pPr>
              <w:spacing w:line="360" w:lineRule="auto"/>
              <w:ind w:firstLine="200"/>
              <w:jc w:val="center"/>
              <w:rPr>
                <w:rFonts w:ascii="仿宋" w:hAnsi="仿宋" w:eastAsia="仿宋"/>
                <w:sz w:val="24"/>
              </w:rPr>
            </w:pPr>
          </w:p>
        </w:tc>
      </w:tr>
      <w:tr w14:paraId="1CF3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D283D8B">
            <w:pPr>
              <w:spacing w:line="360" w:lineRule="auto"/>
              <w:ind w:firstLine="200"/>
              <w:jc w:val="center"/>
              <w:rPr>
                <w:rFonts w:ascii="仿宋" w:hAnsi="仿宋" w:eastAsia="仿宋"/>
                <w:sz w:val="24"/>
              </w:rPr>
            </w:pPr>
          </w:p>
        </w:tc>
        <w:tc>
          <w:tcPr>
            <w:tcW w:w="3402" w:type="dxa"/>
            <w:noWrap w:val="0"/>
            <w:vAlign w:val="center"/>
          </w:tcPr>
          <w:p w14:paraId="34D55B7C">
            <w:pPr>
              <w:spacing w:line="360" w:lineRule="auto"/>
              <w:ind w:firstLine="200"/>
              <w:jc w:val="center"/>
              <w:rPr>
                <w:rFonts w:ascii="仿宋" w:hAnsi="仿宋" w:eastAsia="仿宋"/>
                <w:sz w:val="24"/>
              </w:rPr>
            </w:pPr>
          </w:p>
        </w:tc>
        <w:tc>
          <w:tcPr>
            <w:tcW w:w="2552" w:type="dxa"/>
            <w:noWrap w:val="0"/>
            <w:vAlign w:val="center"/>
          </w:tcPr>
          <w:p w14:paraId="4A8B321D">
            <w:pPr>
              <w:spacing w:line="360" w:lineRule="auto"/>
              <w:ind w:firstLine="200"/>
              <w:jc w:val="center"/>
              <w:rPr>
                <w:rFonts w:ascii="仿宋" w:hAnsi="仿宋" w:eastAsia="仿宋"/>
                <w:sz w:val="24"/>
              </w:rPr>
            </w:pPr>
          </w:p>
        </w:tc>
      </w:tr>
      <w:tr w14:paraId="6C8B5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7E8358E2">
            <w:pPr>
              <w:spacing w:line="360" w:lineRule="auto"/>
              <w:ind w:firstLine="200"/>
              <w:jc w:val="center"/>
              <w:rPr>
                <w:rFonts w:ascii="仿宋" w:hAnsi="仿宋" w:eastAsia="仿宋"/>
                <w:sz w:val="24"/>
              </w:rPr>
            </w:pPr>
            <w:r>
              <w:rPr>
                <w:rFonts w:hint="eastAsia" w:ascii="仿宋" w:hAnsi="仿宋" w:eastAsia="仿宋"/>
                <w:sz w:val="24"/>
              </w:rPr>
              <w:t>总价</w:t>
            </w:r>
          </w:p>
        </w:tc>
        <w:tc>
          <w:tcPr>
            <w:tcW w:w="2552" w:type="dxa"/>
            <w:noWrap w:val="0"/>
            <w:vAlign w:val="center"/>
          </w:tcPr>
          <w:p w14:paraId="539A24B1">
            <w:pPr>
              <w:spacing w:line="360" w:lineRule="auto"/>
              <w:ind w:firstLine="200"/>
              <w:jc w:val="center"/>
              <w:rPr>
                <w:rFonts w:ascii="仿宋" w:hAnsi="仿宋" w:eastAsia="仿宋"/>
                <w:sz w:val="24"/>
              </w:rPr>
            </w:pPr>
          </w:p>
        </w:tc>
      </w:tr>
    </w:tbl>
    <w:p w14:paraId="145EB884">
      <w:pPr>
        <w:keepNext/>
        <w:keepLines/>
        <w:spacing w:before="120" w:beforeLines="50" w:after="120" w:afterLines="50" w:line="360" w:lineRule="auto"/>
        <w:outlineLvl w:val="2"/>
        <w:rPr>
          <w:rFonts w:ascii="仿宋" w:hAnsi="仿宋" w:eastAsia="仿宋"/>
          <w:b/>
          <w:bCs/>
          <w:sz w:val="30"/>
          <w:szCs w:val="32"/>
        </w:rPr>
      </w:pPr>
      <w:bookmarkStart w:id="133" w:name="_Toc13664"/>
      <w:bookmarkStart w:id="134" w:name="_Toc256000055"/>
      <w:bookmarkStart w:id="135" w:name="_Toc30158"/>
      <w:bookmarkStart w:id="136" w:name="_Toc30506"/>
      <w:bookmarkStart w:id="137" w:name="_Toc256000083"/>
      <w:bookmarkStart w:id="138" w:name="_Toc36659882"/>
      <w:bookmarkStart w:id="139" w:name="_Toc14993"/>
      <w:bookmarkStart w:id="140" w:name="_Toc3654"/>
      <w:bookmarkStart w:id="141" w:name="_Toc26916"/>
      <w:bookmarkStart w:id="142" w:name="_Toc256000128"/>
      <w:bookmarkStart w:id="143" w:name="_Toc256000023"/>
      <w:bookmarkStart w:id="144" w:name="_Toc534649431"/>
      <w:r>
        <w:rPr>
          <w:rFonts w:hint="eastAsia" w:ascii="仿宋" w:hAnsi="仿宋" w:eastAsia="仿宋"/>
          <w:b/>
          <w:bCs/>
          <w:sz w:val="30"/>
          <w:szCs w:val="32"/>
        </w:rPr>
        <w:t>1.</w:t>
      </w:r>
      <w:r>
        <w:rPr>
          <w:rFonts w:ascii="仿宋" w:hAnsi="仿宋" w:eastAsia="仿宋"/>
          <w:b/>
          <w:bCs/>
          <w:sz w:val="30"/>
          <w:szCs w:val="32"/>
        </w:rPr>
        <w:t>4</w:t>
      </w:r>
      <w:r>
        <w:rPr>
          <w:rFonts w:hint="eastAsia" w:ascii="仿宋" w:hAnsi="仿宋" w:eastAsia="仿宋"/>
          <w:b/>
          <w:bCs/>
          <w:sz w:val="30"/>
          <w:szCs w:val="32"/>
        </w:rPr>
        <w:t xml:space="preserve"> </w:t>
      </w:r>
      <w:r>
        <w:rPr>
          <w:rFonts w:ascii="仿宋" w:hAnsi="仿宋" w:eastAsia="仿宋"/>
          <w:b/>
          <w:bCs/>
          <w:sz w:val="30"/>
          <w:szCs w:val="32"/>
        </w:rPr>
        <w:t>付款方式和发票开具方式</w:t>
      </w:r>
      <w:bookmarkEnd w:id="133"/>
      <w:bookmarkEnd w:id="134"/>
      <w:bookmarkEnd w:id="135"/>
      <w:bookmarkEnd w:id="136"/>
      <w:bookmarkEnd w:id="137"/>
      <w:bookmarkEnd w:id="138"/>
      <w:bookmarkEnd w:id="139"/>
      <w:bookmarkEnd w:id="140"/>
      <w:bookmarkEnd w:id="141"/>
      <w:bookmarkEnd w:id="142"/>
      <w:bookmarkEnd w:id="143"/>
      <w:bookmarkEnd w:id="144"/>
    </w:p>
    <w:p w14:paraId="411DE581">
      <w:pPr>
        <w:spacing w:line="360" w:lineRule="auto"/>
        <w:ind w:firstLine="480" w:firstLineChars="200"/>
        <w:rPr>
          <w:rFonts w:ascii="仿宋" w:hAnsi="仿宋" w:eastAsia="仿宋"/>
          <w:sz w:val="24"/>
        </w:rPr>
      </w:pPr>
      <w:r>
        <w:rPr>
          <w:rFonts w:hint="eastAsia" w:ascii="仿宋" w:hAnsi="仿宋" w:eastAsia="仿宋"/>
          <w:sz w:val="24"/>
        </w:rPr>
        <w:t>1.4.1</w:t>
      </w:r>
      <w:r>
        <w:rPr>
          <w:rFonts w:ascii="仿宋" w:hAnsi="仿宋" w:eastAsia="仿宋"/>
          <w:sz w:val="24"/>
        </w:rPr>
        <w:t>付款方式：</w:t>
      </w:r>
      <w:r>
        <w:rPr>
          <w:rFonts w:hint="eastAsia" w:ascii="仿宋" w:hAnsi="仿宋" w:eastAsia="仿宋"/>
          <w:sz w:val="24"/>
          <w:u w:val="single"/>
        </w:rPr>
        <w:t xml:space="preserve">                                                </w:t>
      </w:r>
      <w:r>
        <w:rPr>
          <w:rFonts w:hint="eastAsia" w:ascii="仿宋" w:hAnsi="仿宋" w:eastAsia="仿宋"/>
          <w:sz w:val="24"/>
        </w:rPr>
        <w:t>；</w:t>
      </w:r>
    </w:p>
    <w:p w14:paraId="281AFB47">
      <w:pPr>
        <w:spacing w:line="360" w:lineRule="auto"/>
        <w:ind w:firstLine="480" w:firstLineChars="200"/>
        <w:rPr>
          <w:rFonts w:ascii="仿宋" w:hAnsi="仿宋" w:eastAsia="仿宋"/>
          <w:sz w:val="24"/>
        </w:rPr>
      </w:pPr>
      <w:r>
        <w:rPr>
          <w:rFonts w:hint="eastAsia" w:ascii="仿宋" w:hAnsi="仿宋" w:eastAsia="仿宋"/>
          <w:sz w:val="24"/>
        </w:rPr>
        <w:t>1.4.2 发票开具方式：</w:t>
      </w:r>
      <w:r>
        <w:rPr>
          <w:rFonts w:hint="eastAsia" w:ascii="仿宋" w:hAnsi="仿宋" w:eastAsia="仿宋"/>
          <w:sz w:val="24"/>
          <w:u w:val="single"/>
        </w:rPr>
        <w:t xml:space="preserve">                                            </w:t>
      </w:r>
      <w:r>
        <w:rPr>
          <w:rFonts w:hint="eastAsia" w:ascii="仿宋" w:hAnsi="仿宋" w:eastAsia="仿宋"/>
          <w:sz w:val="24"/>
        </w:rPr>
        <w:t>。</w:t>
      </w:r>
    </w:p>
    <w:p w14:paraId="15A856C5">
      <w:pPr>
        <w:keepNext/>
        <w:keepLines/>
        <w:spacing w:before="120" w:beforeLines="50" w:after="120" w:afterLines="50" w:line="360" w:lineRule="auto"/>
        <w:outlineLvl w:val="2"/>
        <w:rPr>
          <w:rFonts w:ascii="仿宋" w:hAnsi="仿宋" w:eastAsia="仿宋"/>
          <w:b/>
          <w:bCs/>
          <w:sz w:val="30"/>
          <w:szCs w:val="32"/>
        </w:rPr>
      </w:pPr>
      <w:bookmarkStart w:id="145" w:name="_Toc31421"/>
      <w:bookmarkStart w:id="146" w:name="_Toc256000129"/>
      <w:bookmarkStart w:id="147" w:name="_Toc36659883"/>
      <w:bookmarkStart w:id="148" w:name="_Toc4760"/>
      <w:bookmarkStart w:id="149" w:name="_Toc256000084"/>
      <w:bookmarkStart w:id="150" w:name="_Toc256000056"/>
      <w:bookmarkStart w:id="151" w:name="_Toc8772"/>
      <w:bookmarkStart w:id="152" w:name="_Toc256000024"/>
      <w:bookmarkStart w:id="153" w:name="_Toc8291"/>
      <w:bookmarkStart w:id="154" w:name="_Toc11108"/>
      <w:bookmarkStart w:id="155" w:name="_Toc534649432"/>
      <w:bookmarkStart w:id="156" w:name="_Toc3625"/>
      <w:r>
        <w:rPr>
          <w:rFonts w:hint="eastAsia" w:ascii="仿宋" w:hAnsi="仿宋" w:eastAsia="仿宋"/>
          <w:b/>
          <w:bCs/>
          <w:sz w:val="30"/>
          <w:szCs w:val="32"/>
        </w:rPr>
        <w:t>1.</w:t>
      </w:r>
      <w:r>
        <w:rPr>
          <w:rFonts w:ascii="仿宋" w:hAnsi="仿宋" w:eastAsia="仿宋"/>
          <w:b/>
          <w:bCs/>
          <w:sz w:val="30"/>
          <w:szCs w:val="32"/>
        </w:rPr>
        <w:t>5</w:t>
      </w:r>
      <w:r>
        <w:rPr>
          <w:rFonts w:hint="eastAsia" w:ascii="仿宋" w:hAnsi="仿宋" w:eastAsia="仿宋"/>
          <w:b/>
          <w:bCs/>
          <w:sz w:val="30"/>
          <w:szCs w:val="32"/>
        </w:rPr>
        <w:t xml:space="preserve"> 履行</w:t>
      </w:r>
      <w:r>
        <w:rPr>
          <w:rFonts w:ascii="仿宋" w:hAnsi="仿宋" w:eastAsia="仿宋"/>
          <w:b/>
          <w:bCs/>
          <w:sz w:val="30"/>
          <w:szCs w:val="32"/>
        </w:rPr>
        <w:t>期限</w:t>
      </w:r>
      <w:r>
        <w:rPr>
          <w:rFonts w:hint="eastAsia" w:ascii="仿宋" w:hAnsi="仿宋" w:eastAsia="仿宋"/>
          <w:b/>
          <w:bCs/>
          <w:sz w:val="30"/>
          <w:szCs w:val="32"/>
        </w:rPr>
        <w:t>、地点和方式</w:t>
      </w:r>
      <w:bookmarkEnd w:id="145"/>
      <w:bookmarkEnd w:id="146"/>
      <w:bookmarkEnd w:id="147"/>
      <w:bookmarkEnd w:id="148"/>
      <w:bookmarkEnd w:id="149"/>
      <w:bookmarkEnd w:id="150"/>
      <w:bookmarkEnd w:id="151"/>
      <w:bookmarkEnd w:id="152"/>
      <w:bookmarkEnd w:id="153"/>
      <w:bookmarkEnd w:id="154"/>
      <w:bookmarkEnd w:id="155"/>
      <w:bookmarkEnd w:id="156"/>
    </w:p>
    <w:p w14:paraId="4987C9AA">
      <w:pPr>
        <w:spacing w:line="360" w:lineRule="auto"/>
        <w:ind w:firstLine="480" w:firstLineChars="200"/>
        <w:rPr>
          <w:rFonts w:ascii="仿宋" w:hAnsi="仿宋" w:eastAsia="仿宋"/>
          <w:sz w:val="24"/>
          <w:u w:val="single"/>
        </w:rPr>
      </w:pPr>
      <w:r>
        <w:rPr>
          <w:rFonts w:hint="eastAsia" w:ascii="仿宋" w:hAnsi="仿宋" w:eastAsia="仿宋"/>
          <w:sz w:val="24"/>
        </w:rPr>
        <w:t>1.5.1 履行期限</w:t>
      </w:r>
      <w:r>
        <w:rPr>
          <w:rFonts w:ascii="仿宋" w:hAnsi="仿宋" w:eastAsia="仿宋"/>
          <w:sz w:val="24"/>
        </w:rPr>
        <w:t>：</w:t>
      </w:r>
      <w:r>
        <w:rPr>
          <w:rFonts w:hint="eastAsia" w:ascii="仿宋" w:hAnsi="仿宋" w:eastAsia="仿宋"/>
          <w:sz w:val="24"/>
          <w:u w:val="single"/>
        </w:rPr>
        <w:t xml:space="preserve">                                                </w:t>
      </w:r>
      <w:r>
        <w:rPr>
          <w:rFonts w:hint="eastAsia" w:ascii="仿宋" w:hAnsi="仿宋" w:eastAsia="仿宋"/>
          <w:sz w:val="24"/>
        </w:rPr>
        <w:t>；</w:t>
      </w:r>
    </w:p>
    <w:p w14:paraId="0FDB99A2">
      <w:pPr>
        <w:spacing w:line="360" w:lineRule="auto"/>
        <w:ind w:firstLine="480" w:firstLineChars="200"/>
        <w:rPr>
          <w:rFonts w:ascii="仿宋" w:hAnsi="仿宋" w:eastAsia="仿宋"/>
          <w:sz w:val="24"/>
        </w:rPr>
      </w:pPr>
      <w:r>
        <w:rPr>
          <w:rFonts w:hint="eastAsia" w:ascii="仿宋" w:hAnsi="仿宋" w:eastAsia="仿宋"/>
          <w:sz w:val="24"/>
        </w:rPr>
        <w:t>1.5.2 履行地点</w:t>
      </w:r>
      <w:r>
        <w:rPr>
          <w:rFonts w:ascii="仿宋" w:hAnsi="仿宋" w:eastAsia="仿宋"/>
          <w:sz w:val="24"/>
        </w:rPr>
        <w:t>：</w:t>
      </w:r>
      <w:r>
        <w:rPr>
          <w:rFonts w:hint="eastAsia" w:ascii="仿宋" w:hAnsi="仿宋" w:eastAsia="仿宋"/>
          <w:sz w:val="24"/>
          <w:u w:val="single"/>
        </w:rPr>
        <w:t xml:space="preserve">                                                </w:t>
      </w:r>
      <w:r>
        <w:rPr>
          <w:rFonts w:hint="eastAsia" w:ascii="仿宋" w:hAnsi="仿宋" w:eastAsia="仿宋"/>
          <w:sz w:val="24"/>
        </w:rPr>
        <w:t>；</w:t>
      </w:r>
    </w:p>
    <w:p w14:paraId="6E198A6F">
      <w:pPr>
        <w:spacing w:line="360" w:lineRule="auto"/>
        <w:ind w:firstLine="480" w:firstLineChars="200"/>
        <w:rPr>
          <w:rFonts w:ascii="仿宋" w:hAnsi="仿宋" w:eastAsia="仿宋"/>
          <w:sz w:val="24"/>
        </w:rPr>
      </w:pPr>
      <w:r>
        <w:rPr>
          <w:rFonts w:hint="eastAsia" w:ascii="仿宋" w:hAnsi="仿宋" w:eastAsia="仿宋"/>
          <w:sz w:val="24"/>
        </w:rPr>
        <w:t>1.5.3 履行方式：</w:t>
      </w:r>
      <w:r>
        <w:rPr>
          <w:rFonts w:ascii="仿宋" w:hAnsi="仿宋" w:eastAsia="仿宋"/>
          <w:sz w:val="24"/>
          <w:u w:val="single"/>
        </w:rPr>
        <w:t>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w:t>
      </w:r>
    </w:p>
    <w:p w14:paraId="146C1D67">
      <w:pPr>
        <w:keepNext/>
        <w:keepLines/>
        <w:spacing w:before="120" w:beforeLines="50" w:after="120" w:afterLines="50" w:line="360" w:lineRule="auto"/>
        <w:outlineLvl w:val="2"/>
        <w:rPr>
          <w:rFonts w:ascii="仿宋" w:hAnsi="仿宋" w:eastAsia="仿宋"/>
          <w:b/>
          <w:bCs/>
          <w:sz w:val="30"/>
          <w:szCs w:val="32"/>
        </w:rPr>
      </w:pPr>
      <w:bookmarkStart w:id="157" w:name="_Toc256000057"/>
      <w:bookmarkStart w:id="158" w:name="_Toc24662"/>
      <w:bookmarkStart w:id="159" w:name="_Toc36659884"/>
      <w:bookmarkStart w:id="160" w:name="_Toc534649433"/>
      <w:bookmarkStart w:id="161" w:name="_Toc8586"/>
      <w:bookmarkStart w:id="162" w:name="_Toc3079"/>
      <w:bookmarkStart w:id="163" w:name="_Toc2375"/>
      <w:bookmarkStart w:id="164" w:name="_Toc256000085"/>
      <w:bookmarkStart w:id="165" w:name="_Toc256000130"/>
      <w:bookmarkStart w:id="166" w:name="_Toc23109"/>
      <w:bookmarkStart w:id="167" w:name="_Toc256000025"/>
      <w:bookmarkStart w:id="168" w:name="_Toc5698"/>
      <w:r>
        <w:rPr>
          <w:rFonts w:hint="eastAsia" w:ascii="仿宋" w:hAnsi="仿宋" w:eastAsia="仿宋"/>
          <w:b/>
          <w:bCs/>
          <w:sz w:val="30"/>
          <w:szCs w:val="32"/>
        </w:rPr>
        <w:t>1.6 违约责任</w:t>
      </w:r>
      <w:bookmarkEnd w:id="157"/>
      <w:bookmarkEnd w:id="158"/>
      <w:bookmarkEnd w:id="159"/>
      <w:bookmarkEnd w:id="160"/>
      <w:bookmarkEnd w:id="161"/>
      <w:bookmarkEnd w:id="162"/>
      <w:bookmarkEnd w:id="163"/>
      <w:bookmarkEnd w:id="164"/>
      <w:bookmarkEnd w:id="165"/>
      <w:bookmarkEnd w:id="166"/>
      <w:bookmarkEnd w:id="167"/>
      <w:bookmarkEnd w:id="168"/>
    </w:p>
    <w:p w14:paraId="564CADDA">
      <w:pPr>
        <w:spacing w:line="360" w:lineRule="auto"/>
        <w:ind w:firstLine="480" w:firstLineChars="200"/>
        <w:rPr>
          <w:rFonts w:ascii="仿宋" w:hAnsi="仿宋" w:eastAsia="仿宋"/>
          <w:sz w:val="24"/>
        </w:rPr>
      </w:pPr>
      <w:r>
        <w:rPr>
          <w:rFonts w:hint="eastAsia" w:ascii="仿宋" w:hAnsi="仿宋" w:eastAsia="仿宋"/>
          <w:sz w:val="24"/>
        </w:rPr>
        <w:t xml:space="preserve">1.6.1 </w:t>
      </w:r>
      <w:r>
        <w:rPr>
          <w:rFonts w:ascii="仿宋" w:hAnsi="仿宋" w:eastAsia="仿宋"/>
          <w:sz w:val="24"/>
        </w:rPr>
        <w:t>除不可抗力外，如果乙方没有按照本合同约定的期限</w:t>
      </w:r>
      <w:r>
        <w:rPr>
          <w:rFonts w:hint="eastAsia" w:ascii="仿宋" w:hAnsi="仿宋" w:eastAsia="仿宋"/>
          <w:sz w:val="24"/>
        </w:rPr>
        <w:t>、</w:t>
      </w:r>
      <w:r>
        <w:rPr>
          <w:rFonts w:ascii="仿宋" w:hAnsi="仿宋" w:eastAsia="仿宋"/>
          <w:sz w:val="24"/>
        </w:rPr>
        <w:t>地点和方式</w:t>
      </w:r>
      <w:r>
        <w:rPr>
          <w:rFonts w:hint="eastAsia" w:ascii="仿宋" w:hAnsi="仿宋" w:eastAsia="仿宋"/>
          <w:sz w:val="24"/>
        </w:rPr>
        <w:t>履行</w:t>
      </w:r>
      <w:r>
        <w:rPr>
          <w:rFonts w:ascii="仿宋" w:hAnsi="仿宋" w:eastAsia="仿宋"/>
          <w:sz w:val="24"/>
        </w:rPr>
        <w:t>，那么甲方可要求乙方支付违约金</w:t>
      </w:r>
      <w:r>
        <w:rPr>
          <w:rFonts w:hint="eastAsia" w:ascii="仿宋" w:hAnsi="仿宋" w:eastAsia="仿宋"/>
          <w:sz w:val="24"/>
        </w:rPr>
        <w:t>，</w:t>
      </w:r>
      <w:r>
        <w:rPr>
          <w:rFonts w:ascii="仿宋" w:hAnsi="仿宋" w:eastAsia="仿宋"/>
          <w:sz w:val="24"/>
        </w:rPr>
        <w:t>违约金按每迟延</w:t>
      </w:r>
      <w:r>
        <w:rPr>
          <w:rFonts w:hint="eastAsia" w:ascii="仿宋" w:hAnsi="仿宋" w:eastAsia="仿宋"/>
          <w:sz w:val="24"/>
        </w:rPr>
        <w:t>履行</w:t>
      </w:r>
      <w:r>
        <w:rPr>
          <w:rFonts w:ascii="仿宋" w:hAnsi="仿宋" w:eastAsia="仿宋"/>
          <w:sz w:val="24"/>
        </w:rPr>
        <w:t>一日的应提供而未</w:t>
      </w:r>
      <w:r>
        <w:rPr>
          <w:rFonts w:hint="eastAsia" w:ascii="仿宋" w:hAnsi="仿宋" w:eastAsia="仿宋"/>
          <w:sz w:val="24"/>
        </w:rPr>
        <w:t>提供</w:t>
      </w:r>
      <w:r>
        <w:rPr>
          <w:rFonts w:ascii="仿宋" w:hAnsi="仿宋" w:eastAsia="仿宋"/>
          <w:sz w:val="24"/>
        </w:rPr>
        <w:t>服务价格的</w:t>
      </w:r>
      <w:r>
        <w:rPr>
          <w:rFonts w:hint="eastAsia" w:ascii="仿宋" w:hAnsi="仿宋" w:eastAsia="仿宋"/>
          <w:sz w:val="24"/>
          <w:u w:val="single"/>
          <w:lang w:val="en-US" w:eastAsia="zh-CN"/>
        </w:rPr>
        <w:t xml:space="preserve">     </w:t>
      </w:r>
      <w:r>
        <w:rPr>
          <w:rFonts w:ascii="仿宋" w:hAnsi="仿宋" w:eastAsia="仿宋"/>
          <w:sz w:val="24"/>
        </w:rPr>
        <w:t>%计算</w:t>
      </w:r>
      <w:r>
        <w:rPr>
          <w:rFonts w:hint="eastAsia" w:ascii="仿宋" w:hAnsi="仿宋" w:eastAsia="仿宋"/>
          <w:sz w:val="24"/>
        </w:rPr>
        <w:t>，</w:t>
      </w:r>
      <w:r>
        <w:rPr>
          <w:rFonts w:ascii="仿宋" w:hAnsi="仿宋" w:eastAsia="仿宋"/>
          <w:sz w:val="24"/>
        </w:rPr>
        <w:t>最高限额为</w:t>
      </w:r>
      <w:r>
        <w:rPr>
          <w:rFonts w:hint="eastAsia" w:ascii="仿宋" w:hAnsi="仿宋" w:eastAsia="仿宋"/>
          <w:sz w:val="24"/>
        </w:rPr>
        <w:t>本</w:t>
      </w:r>
      <w:r>
        <w:rPr>
          <w:rFonts w:ascii="仿宋" w:hAnsi="仿宋" w:eastAsia="仿宋"/>
          <w:sz w:val="24"/>
        </w:rPr>
        <w:t>合同总价的</w:t>
      </w:r>
      <w:r>
        <w:rPr>
          <w:rFonts w:hint="eastAsia" w:ascii="仿宋" w:hAnsi="仿宋" w:eastAsia="仿宋"/>
          <w:sz w:val="24"/>
          <w:u w:val="single"/>
          <w:lang w:val="en-US" w:eastAsia="zh-CN"/>
        </w:rPr>
        <w:t xml:space="preserve">    </w:t>
      </w:r>
      <w:r>
        <w:rPr>
          <w:rFonts w:ascii="仿宋" w:hAnsi="仿宋" w:eastAsia="仿宋"/>
          <w:sz w:val="24"/>
        </w:rPr>
        <w:t>%</w:t>
      </w:r>
      <w:r>
        <w:rPr>
          <w:rFonts w:hint="eastAsia" w:ascii="仿宋" w:hAnsi="仿宋" w:eastAsia="仿宋"/>
          <w:sz w:val="24"/>
        </w:rPr>
        <w:t>；</w:t>
      </w:r>
      <w:r>
        <w:rPr>
          <w:rFonts w:ascii="仿宋" w:hAnsi="仿宋" w:eastAsia="仿宋"/>
          <w:sz w:val="24"/>
        </w:rPr>
        <w:t>迟延</w:t>
      </w:r>
      <w:r>
        <w:rPr>
          <w:rFonts w:hint="eastAsia" w:ascii="仿宋" w:hAnsi="仿宋" w:eastAsia="仿宋"/>
          <w:sz w:val="24"/>
        </w:rPr>
        <w:t>履行</w:t>
      </w:r>
      <w:r>
        <w:rPr>
          <w:rFonts w:ascii="仿宋" w:hAnsi="仿宋" w:eastAsia="仿宋"/>
          <w:sz w:val="24"/>
        </w:rPr>
        <w:t>的违约金计算数额达到前述最高限额之日起</w:t>
      </w:r>
      <w:r>
        <w:rPr>
          <w:rFonts w:hint="eastAsia" w:ascii="仿宋" w:hAnsi="仿宋" w:eastAsia="仿宋"/>
          <w:sz w:val="24"/>
        </w:rPr>
        <w:t>，</w:t>
      </w:r>
      <w:r>
        <w:rPr>
          <w:rFonts w:ascii="仿宋" w:hAnsi="仿宋" w:eastAsia="仿宋"/>
          <w:sz w:val="24"/>
        </w:rPr>
        <w:t>甲方有权在要求乙方支付违约金的同时</w:t>
      </w:r>
      <w:r>
        <w:rPr>
          <w:rFonts w:hint="eastAsia" w:ascii="仿宋" w:hAnsi="仿宋" w:eastAsia="仿宋"/>
          <w:sz w:val="24"/>
        </w:rPr>
        <w:t>，书面通知乙方</w:t>
      </w:r>
      <w:r>
        <w:rPr>
          <w:rFonts w:ascii="仿宋" w:hAnsi="仿宋" w:eastAsia="仿宋"/>
          <w:sz w:val="24"/>
        </w:rPr>
        <w:t>解除本合同</w:t>
      </w:r>
      <w:r>
        <w:rPr>
          <w:rFonts w:hint="eastAsia" w:ascii="仿宋" w:hAnsi="仿宋" w:eastAsia="仿宋"/>
          <w:sz w:val="24"/>
        </w:rPr>
        <w:t>；</w:t>
      </w:r>
    </w:p>
    <w:p w14:paraId="073DFF96">
      <w:pPr>
        <w:spacing w:line="360" w:lineRule="auto"/>
        <w:ind w:firstLine="480" w:firstLineChars="200"/>
        <w:rPr>
          <w:rFonts w:ascii="仿宋" w:hAnsi="仿宋" w:eastAsia="仿宋"/>
          <w:sz w:val="24"/>
          <w:u w:val="single"/>
        </w:rPr>
      </w:pPr>
      <w:r>
        <w:rPr>
          <w:rFonts w:hint="eastAsia" w:ascii="仿宋" w:hAnsi="仿宋" w:eastAsia="仿宋"/>
          <w:sz w:val="24"/>
        </w:rPr>
        <w:t xml:space="preserve">1.6.2 </w:t>
      </w:r>
      <w:r>
        <w:rPr>
          <w:rFonts w:ascii="仿宋" w:hAnsi="仿宋" w:eastAsia="仿宋"/>
          <w:sz w:val="24"/>
        </w:rPr>
        <w:t>除不可抗力外，如果甲方没有按照本合同约定的付款方式付款，那么乙方可要求甲方支付违约金</w:t>
      </w:r>
      <w:r>
        <w:rPr>
          <w:rFonts w:hint="eastAsia" w:ascii="仿宋" w:hAnsi="仿宋" w:eastAsia="仿宋"/>
          <w:sz w:val="24"/>
        </w:rPr>
        <w:t>，</w:t>
      </w:r>
      <w:r>
        <w:rPr>
          <w:rFonts w:ascii="仿宋" w:hAnsi="仿宋" w:eastAsia="仿宋"/>
          <w:sz w:val="24"/>
        </w:rPr>
        <w:t>违约金按每迟延</w:t>
      </w:r>
      <w:r>
        <w:rPr>
          <w:rFonts w:hint="eastAsia" w:ascii="仿宋" w:hAnsi="仿宋" w:eastAsia="仿宋"/>
          <w:sz w:val="24"/>
        </w:rPr>
        <w:t>付款</w:t>
      </w:r>
      <w:r>
        <w:rPr>
          <w:rFonts w:ascii="仿宋" w:hAnsi="仿宋" w:eastAsia="仿宋"/>
          <w:sz w:val="24"/>
        </w:rPr>
        <w:t>一日的应付而未付款的</w:t>
      </w:r>
      <w:r>
        <w:rPr>
          <w:rFonts w:hint="eastAsia" w:ascii="仿宋" w:hAnsi="仿宋" w:eastAsia="仿宋"/>
          <w:sz w:val="24"/>
          <w:u w:val="single"/>
          <w:lang w:val="en-US" w:eastAsia="zh-CN"/>
        </w:rPr>
        <w:t xml:space="preserve">    </w:t>
      </w:r>
      <w:r>
        <w:rPr>
          <w:rFonts w:ascii="仿宋" w:hAnsi="仿宋" w:eastAsia="仿宋"/>
          <w:sz w:val="24"/>
        </w:rPr>
        <w:t>%计算</w:t>
      </w:r>
      <w:r>
        <w:rPr>
          <w:rFonts w:hint="eastAsia" w:ascii="仿宋" w:hAnsi="仿宋" w:eastAsia="仿宋"/>
          <w:sz w:val="24"/>
        </w:rPr>
        <w:t>，</w:t>
      </w:r>
      <w:r>
        <w:rPr>
          <w:rFonts w:ascii="仿宋" w:hAnsi="仿宋" w:eastAsia="仿宋"/>
          <w:sz w:val="24"/>
        </w:rPr>
        <w:t>最高限额为</w:t>
      </w:r>
      <w:r>
        <w:rPr>
          <w:rFonts w:hint="eastAsia" w:ascii="仿宋" w:hAnsi="仿宋" w:eastAsia="仿宋"/>
          <w:sz w:val="24"/>
        </w:rPr>
        <w:t>本</w:t>
      </w:r>
      <w:r>
        <w:rPr>
          <w:rFonts w:ascii="仿宋" w:hAnsi="仿宋" w:eastAsia="仿宋"/>
          <w:sz w:val="24"/>
        </w:rPr>
        <w:t>合同总价的</w:t>
      </w:r>
      <w:r>
        <w:rPr>
          <w:rFonts w:hint="eastAsia" w:ascii="仿宋" w:hAnsi="仿宋" w:eastAsia="仿宋"/>
          <w:sz w:val="24"/>
          <w:u w:val="single"/>
          <w:lang w:val="en-US" w:eastAsia="zh-CN"/>
        </w:rPr>
        <w:t xml:space="preserve">    </w:t>
      </w:r>
      <w:r>
        <w:rPr>
          <w:rFonts w:ascii="仿宋" w:hAnsi="仿宋" w:eastAsia="仿宋"/>
          <w:sz w:val="24"/>
        </w:rPr>
        <w:t>%</w:t>
      </w:r>
      <w:r>
        <w:rPr>
          <w:rFonts w:hint="eastAsia" w:ascii="仿宋" w:hAnsi="仿宋" w:eastAsia="仿宋"/>
          <w:sz w:val="24"/>
        </w:rPr>
        <w:t>；</w:t>
      </w:r>
      <w:r>
        <w:rPr>
          <w:rFonts w:ascii="仿宋" w:hAnsi="仿宋" w:eastAsia="仿宋"/>
          <w:sz w:val="24"/>
        </w:rPr>
        <w:t>迟延</w:t>
      </w:r>
      <w:r>
        <w:rPr>
          <w:rFonts w:hint="eastAsia" w:ascii="仿宋" w:hAnsi="仿宋" w:eastAsia="仿宋"/>
          <w:sz w:val="24"/>
        </w:rPr>
        <w:t>付款</w:t>
      </w:r>
      <w:r>
        <w:rPr>
          <w:rFonts w:ascii="仿宋" w:hAnsi="仿宋" w:eastAsia="仿宋"/>
          <w:sz w:val="24"/>
        </w:rPr>
        <w:t>的违约金计算数额达到前述最高限额之日起</w:t>
      </w:r>
      <w:r>
        <w:rPr>
          <w:rFonts w:hint="eastAsia" w:ascii="仿宋" w:hAnsi="仿宋" w:eastAsia="仿宋"/>
          <w:sz w:val="24"/>
        </w:rPr>
        <w:t>，乙</w:t>
      </w:r>
      <w:r>
        <w:rPr>
          <w:rFonts w:ascii="仿宋" w:hAnsi="仿宋" w:eastAsia="仿宋"/>
          <w:sz w:val="24"/>
        </w:rPr>
        <w:t>方有权在要求甲方支付违约金的同时</w:t>
      </w:r>
      <w:r>
        <w:rPr>
          <w:rFonts w:hint="eastAsia" w:ascii="仿宋" w:hAnsi="仿宋" w:eastAsia="仿宋"/>
          <w:sz w:val="24"/>
        </w:rPr>
        <w:t>，书面通知甲方</w:t>
      </w:r>
      <w:r>
        <w:rPr>
          <w:rFonts w:ascii="仿宋" w:hAnsi="仿宋" w:eastAsia="仿宋"/>
          <w:sz w:val="24"/>
        </w:rPr>
        <w:t>解除本合同</w:t>
      </w:r>
      <w:r>
        <w:rPr>
          <w:rFonts w:hint="eastAsia" w:ascii="仿宋" w:hAnsi="仿宋" w:eastAsia="仿宋"/>
          <w:sz w:val="24"/>
        </w:rPr>
        <w:t>；</w:t>
      </w:r>
    </w:p>
    <w:p w14:paraId="655E23F7">
      <w:pPr>
        <w:spacing w:line="360" w:lineRule="auto"/>
        <w:ind w:firstLine="480" w:firstLineChars="200"/>
        <w:rPr>
          <w:rFonts w:ascii="仿宋" w:hAnsi="仿宋" w:eastAsia="仿宋"/>
          <w:sz w:val="24"/>
        </w:rPr>
      </w:pPr>
      <w:r>
        <w:rPr>
          <w:rFonts w:hint="eastAsia" w:ascii="仿宋" w:hAnsi="仿宋" w:eastAsia="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54BF9FB">
      <w:pPr>
        <w:spacing w:line="360" w:lineRule="auto"/>
        <w:ind w:firstLine="480" w:firstLineChars="200"/>
        <w:rPr>
          <w:rFonts w:ascii="仿宋" w:hAnsi="仿宋" w:eastAsia="仿宋"/>
          <w:sz w:val="24"/>
        </w:rPr>
      </w:pPr>
      <w:r>
        <w:rPr>
          <w:rFonts w:hint="eastAsia" w:ascii="仿宋" w:hAnsi="仿宋" w:eastAsia="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C41CE79">
      <w:pPr>
        <w:spacing w:line="360" w:lineRule="auto"/>
        <w:ind w:firstLine="480" w:firstLineChars="200"/>
        <w:rPr>
          <w:rFonts w:ascii="仿宋" w:hAnsi="仿宋" w:eastAsia="仿宋"/>
          <w:sz w:val="24"/>
        </w:rPr>
      </w:pPr>
      <w:r>
        <w:rPr>
          <w:rFonts w:hint="eastAsia" w:ascii="仿宋" w:hAnsi="仿宋" w:eastAsia="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950178A">
      <w:pPr>
        <w:spacing w:line="360" w:lineRule="auto"/>
        <w:ind w:firstLine="480" w:firstLineChars="200"/>
        <w:rPr>
          <w:rFonts w:ascii="仿宋" w:hAnsi="仿宋" w:eastAsia="仿宋"/>
          <w:sz w:val="24"/>
        </w:rPr>
      </w:pPr>
      <w:r>
        <w:rPr>
          <w:rFonts w:hint="eastAsia" w:ascii="仿宋" w:hAnsi="仿宋" w:eastAsia="仿宋"/>
          <w:sz w:val="24"/>
        </w:rPr>
        <w:t>1.6.6 如果出现政府采购监督管理部门在处理投诉事项期间，书面通知甲方暂停采购活动的情形，或者询问或质疑事项可能影响成交结果的，导致甲方中止履行合同的情形，均不视为甲方违约。</w:t>
      </w:r>
    </w:p>
    <w:p w14:paraId="49E6B081">
      <w:pPr>
        <w:keepNext/>
        <w:keepLines/>
        <w:spacing w:before="120" w:beforeLines="50" w:after="120" w:afterLines="50" w:line="360" w:lineRule="auto"/>
        <w:outlineLvl w:val="2"/>
        <w:rPr>
          <w:rFonts w:ascii="仿宋" w:hAnsi="仿宋" w:eastAsia="仿宋"/>
          <w:b/>
          <w:bCs/>
          <w:sz w:val="30"/>
          <w:szCs w:val="32"/>
        </w:rPr>
      </w:pPr>
      <w:bookmarkStart w:id="169" w:name="_Toc256000058"/>
      <w:bookmarkStart w:id="170" w:name="_Toc534649434"/>
      <w:bookmarkStart w:id="171" w:name="_Toc26807"/>
      <w:bookmarkStart w:id="172" w:name="_Toc28241"/>
      <w:bookmarkStart w:id="173" w:name="_Toc256000131"/>
      <w:bookmarkStart w:id="174" w:name="_Toc32454"/>
      <w:bookmarkStart w:id="175" w:name="_Toc36659885"/>
      <w:bookmarkStart w:id="176" w:name="_Toc9497"/>
      <w:bookmarkStart w:id="177" w:name="_Toc256000026"/>
      <w:bookmarkStart w:id="178" w:name="_Toc18683"/>
      <w:bookmarkStart w:id="179" w:name="_Toc256000086"/>
      <w:bookmarkStart w:id="180" w:name="_Toc30329"/>
      <w:r>
        <w:rPr>
          <w:rFonts w:hint="eastAsia" w:ascii="仿宋" w:hAnsi="仿宋" w:eastAsia="仿宋"/>
          <w:b/>
          <w:bCs/>
          <w:sz w:val="30"/>
          <w:szCs w:val="32"/>
        </w:rPr>
        <w:t>1.7 合同</w:t>
      </w:r>
      <w:r>
        <w:rPr>
          <w:rFonts w:ascii="仿宋" w:hAnsi="仿宋" w:eastAsia="仿宋"/>
          <w:b/>
          <w:bCs/>
          <w:sz w:val="30"/>
          <w:szCs w:val="32"/>
        </w:rPr>
        <w:t>争议的解决</w:t>
      </w:r>
      <w:bookmarkEnd w:id="169"/>
      <w:bookmarkEnd w:id="170"/>
      <w:bookmarkEnd w:id="171"/>
      <w:bookmarkEnd w:id="172"/>
      <w:bookmarkEnd w:id="173"/>
      <w:bookmarkEnd w:id="174"/>
      <w:bookmarkEnd w:id="175"/>
      <w:bookmarkEnd w:id="176"/>
      <w:bookmarkEnd w:id="177"/>
      <w:bookmarkEnd w:id="178"/>
      <w:bookmarkEnd w:id="179"/>
      <w:bookmarkEnd w:id="180"/>
    </w:p>
    <w:p w14:paraId="1046D42F">
      <w:pPr>
        <w:spacing w:line="360" w:lineRule="auto"/>
        <w:ind w:firstLine="480" w:firstLineChars="200"/>
        <w:rPr>
          <w:rFonts w:ascii="仿宋" w:hAnsi="仿宋" w:eastAsia="仿宋"/>
          <w:sz w:val="24"/>
        </w:rPr>
      </w:pPr>
      <w:r>
        <w:rPr>
          <w:rFonts w:hint="eastAsia" w:ascii="仿宋" w:hAnsi="仿宋" w:eastAsia="仿宋"/>
          <w:sz w:val="24"/>
        </w:rPr>
        <w:t>本合</w:t>
      </w:r>
      <w:r>
        <w:rPr>
          <w:rFonts w:ascii="仿宋" w:hAnsi="仿宋" w:eastAsia="仿宋"/>
          <w:sz w:val="24"/>
        </w:rPr>
        <w:t>同履行过程中发生的任何争议，双方当事人均可</w:t>
      </w:r>
      <w:r>
        <w:rPr>
          <w:rFonts w:hint="eastAsia" w:ascii="仿宋" w:hAnsi="仿宋" w:eastAsia="仿宋"/>
          <w:sz w:val="24"/>
        </w:rPr>
        <w:t>通过和解或者调解解决；不愿和解、调解或者和解、调解不成的，可以选择下列第</w:t>
      </w:r>
      <w:r>
        <w:rPr>
          <w:rFonts w:hint="eastAsia" w:ascii="仿宋" w:hAnsi="仿宋" w:eastAsia="仿宋"/>
          <w:sz w:val="24"/>
          <w:u w:val="single"/>
        </w:rPr>
        <w:t>2</w:t>
      </w:r>
      <w:r>
        <w:rPr>
          <w:rFonts w:hint="eastAsia" w:ascii="仿宋" w:hAnsi="仿宋" w:eastAsia="仿宋"/>
          <w:sz w:val="24"/>
        </w:rPr>
        <w:t>种方式解决：</w:t>
      </w:r>
    </w:p>
    <w:p w14:paraId="44454326">
      <w:pPr>
        <w:spacing w:line="360" w:lineRule="auto"/>
        <w:ind w:firstLine="480" w:firstLineChars="200"/>
        <w:rPr>
          <w:rFonts w:ascii="仿宋" w:hAnsi="仿宋" w:eastAsia="仿宋"/>
          <w:sz w:val="24"/>
        </w:rPr>
      </w:pPr>
      <w:r>
        <w:rPr>
          <w:rFonts w:hint="eastAsia" w:ascii="仿宋" w:hAnsi="仿宋" w:eastAsia="仿宋"/>
          <w:sz w:val="24"/>
        </w:rPr>
        <w:t>1.7.1 将争议提交</w:t>
      </w:r>
      <w:r>
        <w:rPr>
          <w:rFonts w:hint="eastAsia" w:ascii="仿宋" w:hAnsi="仿宋" w:eastAsia="仿宋"/>
          <w:sz w:val="24"/>
          <w:u w:val="single"/>
        </w:rPr>
        <w:t xml:space="preserve">              </w:t>
      </w:r>
      <w:r>
        <w:rPr>
          <w:rFonts w:hint="eastAsia" w:ascii="仿宋" w:hAnsi="仿宋" w:eastAsia="仿宋"/>
          <w:sz w:val="24"/>
        </w:rPr>
        <w:t>仲裁委员会依申请仲裁时其现行有效的仲裁规则裁决；</w:t>
      </w:r>
    </w:p>
    <w:p w14:paraId="090E28C8">
      <w:pPr>
        <w:spacing w:line="360" w:lineRule="auto"/>
        <w:ind w:firstLine="480" w:firstLineChars="200"/>
        <w:rPr>
          <w:rFonts w:ascii="仿宋" w:hAnsi="仿宋" w:eastAsia="仿宋"/>
          <w:sz w:val="24"/>
        </w:rPr>
      </w:pPr>
      <w:r>
        <w:rPr>
          <w:rFonts w:hint="eastAsia" w:ascii="仿宋" w:hAnsi="仿宋" w:eastAsia="仿宋"/>
          <w:sz w:val="24"/>
        </w:rPr>
        <w:t>1.7.2 向</w:t>
      </w:r>
      <w:r>
        <w:rPr>
          <w:rFonts w:hint="eastAsia" w:ascii="仿宋" w:hAnsi="仿宋" w:eastAsia="仿宋"/>
          <w:sz w:val="24"/>
          <w:u w:val="single"/>
        </w:rPr>
        <w:t>合同履行地</w:t>
      </w:r>
      <w:r>
        <w:rPr>
          <w:rFonts w:hint="eastAsia" w:ascii="仿宋" w:hAnsi="仿宋" w:eastAsia="仿宋"/>
          <w:sz w:val="24"/>
        </w:rPr>
        <w:t>人民法院起诉。</w:t>
      </w:r>
    </w:p>
    <w:p w14:paraId="6869D970">
      <w:pPr>
        <w:keepNext/>
        <w:keepLines/>
        <w:spacing w:before="120" w:beforeLines="50" w:after="120" w:afterLines="50" w:line="360" w:lineRule="auto"/>
        <w:outlineLvl w:val="2"/>
        <w:rPr>
          <w:rFonts w:ascii="仿宋" w:hAnsi="仿宋" w:eastAsia="仿宋"/>
          <w:b/>
          <w:bCs/>
          <w:sz w:val="30"/>
          <w:szCs w:val="32"/>
        </w:rPr>
      </w:pPr>
      <w:bookmarkStart w:id="181" w:name="_Toc23784"/>
      <w:bookmarkStart w:id="182" w:name="_Toc12273"/>
      <w:bookmarkStart w:id="183" w:name="_Toc256000087"/>
      <w:bookmarkStart w:id="184" w:name="_Toc256000059"/>
      <w:bookmarkStart w:id="185" w:name="_Toc36659886"/>
      <w:bookmarkStart w:id="186" w:name="_Toc256000027"/>
      <w:bookmarkStart w:id="187" w:name="_Toc15827"/>
      <w:bookmarkStart w:id="188" w:name="_Toc26227"/>
      <w:bookmarkStart w:id="189" w:name="_Toc256000132"/>
      <w:bookmarkStart w:id="190" w:name="_Toc16417"/>
      <w:bookmarkStart w:id="191" w:name="_Toc5573"/>
      <w:bookmarkStart w:id="192" w:name="_Toc534649435"/>
      <w:r>
        <w:rPr>
          <w:rFonts w:hint="eastAsia" w:ascii="仿宋" w:hAnsi="仿宋" w:eastAsia="仿宋"/>
          <w:b/>
          <w:bCs/>
          <w:sz w:val="30"/>
          <w:szCs w:val="32"/>
        </w:rPr>
        <w:t xml:space="preserve">1.8 </w:t>
      </w:r>
      <w:r>
        <w:rPr>
          <w:rFonts w:ascii="仿宋" w:hAnsi="仿宋" w:eastAsia="仿宋"/>
          <w:b/>
          <w:bCs/>
          <w:sz w:val="30"/>
          <w:szCs w:val="32"/>
        </w:rPr>
        <w:t>合同生效</w:t>
      </w:r>
      <w:bookmarkEnd w:id="181"/>
      <w:bookmarkEnd w:id="182"/>
      <w:bookmarkEnd w:id="183"/>
      <w:bookmarkEnd w:id="184"/>
      <w:bookmarkEnd w:id="185"/>
      <w:bookmarkEnd w:id="186"/>
      <w:bookmarkEnd w:id="187"/>
      <w:bookmarkEnd w:id="188"/>
      <w:bookmarkEnd w:id="189"/>
      <w:bookmarkEnd w:id="190"/>
      <w:bookmarkEnd w:id="191"/>
      <w:bookmarkEnd w:id="192"/>
    </w:p>
    <w:p w14:paraId="6EEE1D22">
      <w:pPr>
        <w:spacing w:line="360" w:lineRule="auto"/>
        <w:ind w:firstLine="480" w:firstLineChars="200"/>
        <w:rPr>
          <w:rFonts w:ascii="仿宋" w:hAnsi="仿宋" w:eastAsia="仿宋"/>
          <w:b/>
          <w:sz w:val="24"/>
        </w:rPr>
      </w:pPr>
      <w:r>
        <w:rPr>
          <w:rFonts w:ascii="仿宋" w:hAnsi="仿宋" w:eastAsia="仿宋"/>
          <w:sz w:val="24"/>
        </w:rPr>
        <w:t>本合同自</w:t>
      </w:r>
      <w:r>
        <w:rPr>
          <w:rFonts w:hint="eastAsia" w:ascii="仿宋" w:hAnsi="仿宋" w:eastAsia="仿宋"/>
          <w:sz w:val="24"/>
        </w:rPr>
        <w:t>双方当事人盖章或者签字时</w:t>
      </w:r>
      <w:r>
        <w:rPr>
          <w:rFonts w:ascii="仿宋" w:hAnsi="仿宋" w:eastAsia="仿宋"/>
          <w:sz w:val="24"/>
        </w:rPr>
        <w:t>生效。</w:t>
      </w:r>
    </w:p>
    <w:p w14:paraId="7BD99201">
      <w:pPr>
        <w:autoSpaceDE w:val="0"/>
        <w:autoSpaceDN w:val="0"/>
        <w:adjustRightInd w:val="0"/>
        <w:spacing w:line="560" w:lineRule="exact"/>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 xml:space="preserve">：                             </w:t>
      </w:r>
      <w:r>
        <w:rPr>
          <w:rFonts w:hint="eastAsia" w:ascii="仿宋" w:hAnsi="仿宋" w:eastAsia="仿宋"/>
          <w:b/>
          <w:sz w:val="24"/>
          <w:lang w:val="zh-CN"/>
        </w:rPr>
        <w:t xml:space="preserve">      乙方</w:t>
      </w:r>
      <w:r>
        <w:rPr>
          <w:rFonts w:hint="eastAsia" w:ascii="仿宋" w:hAnsi="仿宋" w:eastAsia="仿宋"/>
          <w:sz w:val="24"/>
          <w:lang w:val="zh-CN"/>
        </w:rPr>
        <w:t>：</w:t>
      </w:r>
    </w:p>
    <w:p w14:paraId="3F2B4E5E">
      <w:pPr>
        <w:autoSpaceDE w:val="0"/>
        <w:autoSpaceDN w:val="0"/>
        <w:adjustRightInd w:val="0"/>
        <w:spacing w:line="560" w:lineRule="exact"/>
        <w:rPr>
          <w:rFonts w:hint="eastAsia" w:ascii="仿宋" w:hAnsi="仿宋" w:eastAsia="仿宋"/>
          <w:sz w:val="24"/>
          <w:lang w:val="zh-CN"/>
        </w:rPr>
      </w:pPr>
      <w:r>
        <w:rPr>
          <w:rFonts w:hint="eastAsia" w:ascii="仿宋" w:hAnsi="仿宋" w:eastAsia="仿宋"/>
          <w:sz w:val="24"/>
          <w:lang w:val="zh-CN"/>
        </w:rPr>
        <w:t>统一社会信用代码：                       统一社会信用代码或身份证号码：</w:t>
      </w:r>
    </w:p>
    <w:p w14:paraId="2084F368">
      <w:pPr>
        <w:autoSpaceDE w:val="0"/>
        <w:autoSpaceDN w:val="0"/>
        <w:adjustRightInd w:val="0"/>
        <w:spacing w:line="560" w:lineRule="exact"/>
        <w:rPr>
          <w:rFonts w:ascii="仿宋" w:hAnsi="仿宋" w:eastAsia="仿宋"/>
          <w:sz w:val="24"/>
          <w:lang w:val="zh-CN"/>
        </w:rPr>
      </w:pPr>
      <w:r>
        <w:rPr>
          <w:rFonts w:hint="eastAsia" w:ascii="仿宋" w:hAnsi="仿宋" w:eastAsia="仿宋"/>
          <w:sz w:val="24"/>
          <w:lang w:val="zh-CN"/>
        </w:rPr>
        <w:t>住所：                                   住所：</w:t>
      </w:r>
    </w:p>
    <w:p w14:paraId="0D6F53C6">
      <w:pPr>
        <w:autoSpaceDE w:val="0"/>
        <w:autoSpaceDN w:val="0"/>
        <w:adjustRightInd w:val="0"/>
        <w:spacing w:line="560" w:lineRule="exact"/>
        <w:rPr>
          <w:rFonts w:ascii="仿宋" w:hAnsi="仿宋" w:eastAsia="仿宋"/>
          <w:sz w:val="24"/>
          <w:lang w:val="zh-CN"/>
        </w:rPr>
      </w:pPr>
      <w:r>
        <w:rPr>
          <w:rFonts w:hint="eastAsia" w:ascii="仿宋" w:hAnsi="仿宋" w:eastAsia="仿宋"/>
          <w:sz w:val="24"/>
          <w:lang w:val="zh-CN"/>
        </w:rPr>
        <w:t>法定代表人或                             法定代表人</w:t>
      </w:r>
    </w:p>
    <w:p w14:paraId="179836B0">
      <w:pPr>
        <w:autoSpaceDE w:val="0"/>
        <w:autoSpaceDN w:val="0"/>
        <w:adjustRightInd w:val="0"/>
        <w:spacing w:line="560" w:lineRule="exact"/>
        <w:rPr>
          <w:rFonts w:ascii="仿宋" w:hAnsi="仿宋" w:eastAsia="仿宋"/>
          <w:sz w:val="24"/>
          <w:lang w:val="zh-CN"/>
        </w:rPr>
      </w:pPr>
      <w:r>
        <w:rPr>
          <w:rFonts w:hint="eastAsia" w:ascii="仿宋" w:hAnsi="仿宋" w:eastAsia="仿宋"/>
          <w:sz w:val="24"/>
          <w:lang w:val="zh-CN"/>
        </w:rPr>
        <w:t xml:space="preserve">授权代表（签字）：                        或授权代表（签字）: </w:t>
      </w:r>
    </w:p>
    <w:p w14:paraId="16D52A78">
      <w:pPr>
        <w:autoSpaceDE w:val="0"/>
        <w:autoSpaceDN w:val="0"/>
        <w:adjustRightInd w:val="0"/>
        <w:spacing w:line="560" w:lineRule="exact"/>
        <w:rPr>
          <w:rFonts w:ascii="仿宋" w:hAnsi="仿宋" w:eastAsia="仿宋"/>
          <w:sz w:val="24"/>
          <w:lang w:val="zh-CN"/>
        </w:rPr>
      </w:pPr>
      <w:r>
        <w:rPr>
          <w:rFonts w:hint="eastAsia" w:ascii="仿宋" w:hAnsi="仿宋" w:eastAsia="仿宋"/>
          <w:sz w:val="24"/>
          <w:lang w:val="zh-CN"/>
        </w:rPr>
        <w:t>联系人：                                 联系人：</w:t>
      </w:r>
    </w:p>
    <w:p w14:paraId="5AACD454">
      <w:pPr>
        <w:autoSpaceDE w:val="0"/>
        <w:autoSpaceDN w:val="0"/>
        <w:adjustRightInd w:val="0"/>
        <w:spacing w:line="560" w:lineRule="exact"/>
        <w:rPr>
          <w:rFonts w:ascii="仿宋" w:hAnsi="仿宋" w:eastAsia="仿宋"/>
          <w:sz w:val="24"/>
          <w:lang w:val="zh-CN"/>
        </w:rPr>
      </w:pPr>
      <w:r>
        <w:rPr>
          <w:rFonts w:hint="eastAsia" w:ascii="仿宋" w:hAnsi="仿宋" w:eastAsia="仿宋"/>
          <w:sz w:val="24"/>
          <w:lang w:val="zh-CN"/>
        </w:rPr>
        <w:t>约定送达地址：                           约定送达地址：</w:t>
      </w:r>
    </w:p>
    <w:p w14:paraId="32C5A192">
      <w:pPr>
        <w:autoSpaceDE w:val="0"/>
        <w:autoSpaceDN w:val="0"/>
        <w:adjustRightInd w:val="0"/>
        <w:spacing w:line="560" w:lineRule="exact"/>
        <w:rPr>
          <w:rFonts w:ascii="仿宋" w:hAnsi="仿宋" w:eastAsia="仿宋"/>
          <w:sz w:val="24"/>
          <w:lang w:val="zh-CN"/>
        </w:rPr>
      </w:pPr>
      <w:r>
        <w:rPr>
          <w:rFonts w:hint="eastAsia" w:ascii="仿宋" w:hAnsi="仿宋" w:eastAsia="仿宋"/>
          <w:sz w:val="24"/>
          <w:lang w:val="zh-CN"/>
        </w:rPr>
        <w:t>邮政编码：                               邮政编码：</w:t>
      </w:r>
    </w:p>
    <w:p w14:paraId="1AFF9C80">
      <w:pPr>
        <w:autoSpaceDE w:val="0"/>
        <w:autoSpaceDN w:val="0"/>
        <w:adjustRightInd w:val="0"/>
        <w:spacing w:line="560" w:lineRule="exact"/>
        <w:rPr>
          <w:rFonts w:ascii="仿宋" w:hAnsi="仿宋" w:eastAsia="仿宋"/>
          <w:sz w:val="24"/>
          <w:lang w:val="zh-CN"/>
        </w:rPr>
      </w:pPr>
      <w:r>
        <w:rPr>
          <w:rFonts w:hint="eastAsia" w:ascii="仿宋" w:hAnsi="仿宋" w:eastAsia="仿宋"/>
          <w:sz w:val="24"/>
          <w:lang w:val="zh-CN"/>
        </w:rPr>
        <w:t xml:space="preserve">电话:                                    电话: </w:t>
      </w:r>
    </w:p>
    <w:p w14:paraId="71E2593F">
      <w:pPr>
        <w:autoSpaceDE w:val="0"/>
        <w:autoSpaceDN w:val="0"/>
        <w:adjustRightInd w:val="0"/>
        <w:spacing w:line="560" w:lineRule="exact"/>
        <w:rPr>
          <w:rFonts w:ascii="仿宋" w:hAnsi="仿宋" w:eastAsia="仿宋"/>
          <w:sz w:val="24"/>
          <w:lang w:val="zh-CN"/>
        </w:rPr>
      </w:pPr>
      <w:r>
        <w:rPr>
          <w:rFonts w:hint="eastAsia" w:ascii="仿宋" w:hAnsi="仿宋" w:eastAsia="仿宋"/>
          <w:sz w:val="24"/>
          <w:lang w:val="zh-CN"/>
        </w:rPr>
        <w:t>传真:                                    传真:</w:t>
      </w:r>
    </w:p>
    <w:p w14:paraId="072F2E0A">
      <w:pPr>
        <w:autoSpaceDE w:val="0"/>
        <w:autoSpaceDN w:val="0"/>
        <w:adjustRightInd w:val="0"/>
        <w:spacing w:line="560" w:lineRule="exact"/>
        <w:rPr>
          <w:rFonts w:ascii="仿宋" w:hAnsi="仿宋" w:eastAsia="仿宋"/>
          <w:sz w:val="24"/>
        </w:rPr>
      </w:pPr>
      <w:r>
        <w:rPr>
          <w:rFonts w:hint="eastAsia" w:ascii="仿宋" w:hAnsi="仿宋" w:eastAsia="仿宋"/>
          <w:sz w:val="24"/>
          <w:lang w:val="zh-CN"/>
        </w:rPr>
        <w:t>电子邮箱：                               电子邮箱：</w:t>
      </w:r>
    </w:p>
    <w:p w14:paraId="48D663C9">
      <w:pPr>
        <w:autoSpaceDE w:val="0"/>
        <w:autoSpaceDN w:val="0"/>
        <w:adjustRightInd w:val="0"/>
        <w:spacing w:line="560" w:lineRule="exact"/>
        <w:rPr>
          <w:rFonts w:ascii="仿宋" w:hAnsi="仿宋" w:eastAsia="仿宋"/>
          <w:sz w:val="24"/>
        </w:rPr>
      </w:pPr>
      <w:r>
        <w:rPr>
          <w:rFonts w:hint="eastAsia" w:ascii="仿宋" w:hAnsi="仿宋" w:eastAsia="仿宋"/>
          <w:sz w:val="24"/>
        </w:rPr>
        <w:t>开户银行：                               开户银行：</w:t>
      </w:r>
    </w:p>
    <w:p w14:paraId="12E0A3C3">
      <w:pPr>
        <w:autoSpaceDE w:val="0"/>
        <w:autoSpaceDN w:val="0"/>
        <w:adjustRightInd w:val="0"/>
        <w:spacing w:line="560" w:lineRule="exact"/>
        <w:rPr>
          <w:rFonts w:ascii="仿宋" w:hAnsi="仿宋" w:eastAsia="仿宋"/>
          <w:sz w:val="24"/>
        </w:rPr>
      </w:pPr>
      <w:r>
        <w:rPr>
          <w:rFonts w:hint="eastAsia" w:ascii="仿宋" w:hAnsi="仿宋" w:eastAsia="仿宋"/>
          <w:sz w:val="24"/>
        </w:rPr>
        <w:t>开户名称：                               开户名称：</w:t>
      </w:r>
    </w:p>
    <w:p w14:paraId="68EDE19B">
      <w:pPr>
        <w:autoSpaceDE w:val="0"/>
        <w:autoSpaceDN w:val="0"/>
        <w:adjustRightInd w:val="0"/>
        <w:spacing w:line="560" w:lineRule="exact"/>
        <w:rPr>
          <w:rFonts w:hint="eastAsia" w:ascii="仿宋" w:hAnsi="仿宋" w:eastAsia="仿宋"/>
          <w:sz w:val="24"/>
        </w:rPr>
      </w:pPr>
      <w:r>
        <w:rPr>
          <w:rFonts w:hint="eastAsia" w:ascii="仿宋" w:hAnsi="仿宋" w:eastAsia="仿宋"/>
          <w:sz w:val="24"/>
        </w:rPr>
        <w:t>开户账号：</w:t>
      </w:r>
      <w:r>
        <w:rPr>
          <w:rFonts w:hint="eastAsia" w:ascii="仿宋" w:hAnsi="仿宋" w:eastAsia="仿宋"/>
          <w:sz w:val="24"/>
          <w:lang w:val="zh-CN"/>
        </w:rPr>
        <w:t xml:space="preserve">                               </w:t>
      </w:r>
      <w:r>
        <w:rPr>
          <w:rFonts w:hint="eastAsia" w:ascii="仿宋" w:hAnsi="仿宋" w:eastAsia="仿宋"/>
          <w:sz w:val="24"/>
        </w:rPr>
        <w:t>开户账号：</w:t>
      </w:r>
      <w:bookmarkStart w:id="193" w:name="_Toc331685783"/>
    </w:p>
    <w:p w14:paraId="6C4714A7">
      <w:pPr>
        <w:keepNext/>
        <w:keepLines/>
        <w:spacing w:line="360" w:lineRule="auto"/>
        <w:jc w:val="center"/>
        <w:outlineLvl w:val="1"/>
        <w:rPr>
          <w:rFonts w:ascii="仿宋" w:hAnsi="仿宋" w:eastAsia="仿宋"/>
          <w:b/>
          <w:bCs/>
          <w:sz w:val="32"/>
          <w:szCs w:val="32"/>
        </w:rPr>
      </w:pPr>
      <w:r>
        <w:rPr>
          <w:rFonts w:ascii="仿宋" w:hAnsi="仿宋" w:eastAsia="仿宋"/>
          <w:b/>
          <w:bCs/>
          <w:sz w:val="32"/>
          <w:szCs w:val="32"/>
        </w:rPr>
        <w:br w:type="page"/>
      </w:r>
      <w:bookmarkStart w:id="194" w:name="_Toc14991"/>
      <w:bookmarkStart w:id="195" w:name="_Toc256000133"/>
      <w:bookmarkStart w:id="196" w:name="_Toc256000028"/>
      <w:bookmarkStart w:id="197" w:name="_Toc534649436"/>
      <w:bookmarkStart w:id="198" w:name="_Toc36659887"/>
      <w:bookmarkStart w:id="199" w:name="_Toc256000088"/>
      <w:bookmarkStart w:id="200" w:name="_Toc256000060"/>
      <w:r>
        <w:rPr>
          <w:rFonts w:hint="eastAsia" w:ascii="仿宋" w:hAnsi="仿宋" w:eastAsia="仿宋"/>
          <w:b/>
          <w:bCs/>
          <w:sz w:val="32"/>
          <w:szCs w:val="32"/>
        </w:rPr>
        <w:t>第二部分 合同一般条款</w:t>
      </w:r>
      <w:bookmarkEnd w:id="193"/>
      <w:bookmarkEnd w:id="194"/>
      <w:bookmarkEnd w:id="195"/>
      <w:bookmarkEnd w:id="196"/>
      <w:bookmarkEnd w:id="197"/>
      <w:bookmarkEnd w:id="198"/>
      <w:bookmarkEnd w:id="199"/>
      <w:bookmarkEnd w:id="200"/>
    </w:p>
    <w:p w14:paraId="64E806A0">
      <w:pPr>
        <w:keepNext/>
        <w:keepLines/>
        <w:spacing w:before="120" w:beforeLines="50" w:after="120" w:afterLines="50" w:line="360" w:lineRule="auto"/>
        <w:outlineLvl w:val="2"/>
        <w:rPr>
          <w:rFonts w:ascii="仿宋" w:hAnsi="仿宋" w:eastAsia="仿宋"/>
          <w:b/>
          <w:bCs/>
          <w:sz w:val="30"/>
          <w:szCs w:val="32"/>
        </w:rPr>
      </w:pPr>
      <w:bookmarkStart w:id="201" w:name="_Ref467378404"/>
      <w:bookmarkStart w:id="202" w:name="_Ref467379225"/>
      <w:bookmarkStart w:id="203" w:name="_Toc36659888"/>
      <w:bookmarkStart w:id="204" w:name="_Ref467379109"/>
      <w:bookmarkStart w:id="205" w:name="_Toc256000134"/>
      <w:bookmarkStart w:id="206" w:name="_Toc26865"/>
      <w:bookmarkStart w:id="207" w:name="_Toc259093669"/>
      <w:bookmarkStart w:id="208" w:name="_Ref467379195"/>
      <w:bookmarkStart w:id="209" w:name="_Toc256000089"/>
      <w:bookmarkStart w:id="210" w:name="_Toc19680"/>
      <w:bookmarkStart w:id="211" w:name="_Toc279701240"/>
      <w:bookmarkStart w:id="212" w:name="_Toc5228"/>
      <w:bookmarkStart w:id="213" w:name="_Toc256000061"/>
      <w:bookmarkStart w:id="214" w:name="_Ref467379205"/>
      <w:bookmarkStart w:id="215" w:name="_Ref467379101"/>
      <w:bookmarkStart w:id="216" w:name="_Toc534649437"/>
      <w:bookmarkStart w:id="217" w:name="_Toc31297"/>
      <w:bookmarkStart w:id="218" w:name="_Ref467379094"/>
      <w:bookmarkStart w:id="219" w:name="_Toc487900349"/>
      <w:bookmarkStart w:id="220" w:name="_Toc25079"/>
      <w:bookmarkStart w:id="221" w:name="_Ref467378499"/>
      <w:bookmarkStart w:id="222" w:name="_Toc14021"/>
      <w:bookmarkStart w:id="223" w:name="_Ref467379214"/>
      <w:bookmarkStart w:id="224" w:name="_Toc256000029"/>
      <w:bookmarkStart w:id="225" w:name="_Ref467378463"/>
      <w:r>
        <w:rPr>
          <w:rFonts w:hint="eastAsia" w:ascii="仿宋" w:hAnsi="仿宋" w:eastAsia="仿宋"/>
          <w:b/>
          <w:bCs/>
          <w:sz w:val="30"/>
          <w:szCs w:val="32"/>
        </w:rPr>
        <w:t xml:space="preserve">2.1 </w:t>
      </w:r>
      <w:r>
        <w:rPr>
          <w:rFonts w:ascii="仿宋" w:hAnsi="仿宋" w:eastAsia="仿宋"/>
          <w:b/>
          <w:bCs/>
          <w:sz w:val="30"/>
          <w:szCs w:val="32"/>
        </w:rPr>
        <w:t>定义</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644BD388">
      <w:pPr>
        <w:spacing w:line="360" w:lineRule="auto"/>
        <w:ind w:firstLine="480" w:firstLineChars="200"/>
        <w:rPr>
          <w:rFonts w:ascii="仿宋" w:hAnsi="仿宋" w:eastAsia="仿宋"/>
          <w:sz w:val="24"/>
        </w:rPr>
      </w:pPr>
      <w:r>
        <w:rPr>
          <w:rFonts w:ascii="仿宋" w:hAnsi="仿宋" w:eastAsia="仿宋"/>
          <w:sz w:val="24"/>
        </w:rPr>
        <w:t>本合同中的下列</w:t>
      </w:r>
      <w:r>
        <w:rPr>
          <w:rFonts w:hint="eastAsia" w:ascii="仿宋" w:hAnsi="仿宋" w:eastAsia="仿宋"/>
          <w:sz w:val="24"/>
        </w:rPr>
        <w:t>词</w:t>
      </w:r>
      <w:r>
        <w:rPr>
          <w:rFonts w:ascii="仿宋" w:hAnsi="仿宋" w:eastAsia="仿宋"/>
          <w:sz w:val="24"/>
        </w:rPr>
        <w:t>语应</w:t>
      </w:r>
      <w:r>
        <w:rPr>
          <w:rFonts w:hint="eastAsia" w:ascii="仿宋" w:hAnsi="仿宋" w:eastAsia="仿宋"/>
          <w:sz w:val="24"/>
        </w:rPr>
        <w:t>按以下内容进行</w:t>
      </w:r>
      <w:r>
        <w:rPr>
          <w:rFonts w:ascii="仿宋" w:hAnsi="仿宋" w:eastAsia="仿宋"/>
          <w:sz w:val="24"/>
        </w:rPr>
        <w:t>解释：</w:t>
      </w:r>
    </w:p>
    <w:p w14:paraId="22FECD15">
      <w:pPr>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.1</w:t>
      </w:r>
      <w:r>
        <w:rPr>
          <w:rFonts w:hint="eastAsia" w:ascii="仿宋" w:hAnsi="仿宋" w:eastAsia="仿宋"/>
          <w:sz w:val="24"/>
        </w:rPr>
        <w:t>.1</w:t>
      </w:r>
      <w:r>
        <w:rPr>
          <w:rFonts w:ascii="仿宋" w:hAnsi="仿宋" w:eastAsia="仿宋"/>
          <w:sz w:val="24"/>
        </w:rPr>
        <w:t xml:space="preserve"> “合同”系指</w:t>
      </w:r>
      <w:r>
        <w:rPr>
          <w:rFonts w:hint="eastAsia" w:ascii="仿宋" w:hAnsi="仿宋" w:eastAsia="仿宋"/>
          <w:sz w:val="24"/>
          <w:lang w:val="en-US" w:eastAsia="zh-CN"/>
        </w:rPr>
        <w:t>采购</w:t>
      </w:r>
      <w:r>
        <w:rPr>
          <w:rFonts w:ascii="仿宋" w:hAnsi="仿宋" w:eastAsia="仿宋"/>
          <w:sz w:val="24"/>
        </w:rPr>
        <w:t>人和成交供应商签订的载明双方当事人所达成的协议，并包括所有的附件、附录和构成合同的其他文件。</w:t>
      </w:r>
    </w:p>
    <w:p w14:paraId="34DE6A57">
      <w:pPr>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1.2 “合同价”系指根据合同约定，成交供应商在完全履行合同义务后</w:t>
      </w:r>
      <w:r>
        <w:rPr>
          <w:rFonts w:hint="eastAsia" w:ascii="仿宋" w:hAnsi="仿宋" w:eastAsia="仿宋"/>
          <w:sz w:val="24"/>
        </w:rPr>
        <w:t>，</w:t>
      </w:r>
      <w:r>
        <w:rPr>
          <w:rFonts w:hint="eastAsia" w:ascii="仿宋" w:hAnsi="仿宋" w:eastAsia="仿宋"/>
          <w:sz w:val="24"/>
          <w:lang w:val="en-US" w:eastAsia="zh-CN"/>
        </w:rPr>
        <w:t>采购</w:t>
      </w:r>
      <w:r>
        <w:rPr>
          <w:rFonts w:ascii="仿宋" w:hAnsi="仿宋" w:eastAsia="仿宋"/>
          <w:sz w:val="24"/>
        </w:rPr>
        <w:t>人应支付给成交供应商的价格。</w:t>
      </w:r>
    </w:p>
    <w:p w14:paraId="53F657D3">
      <w:pPr>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1.3 “</w:t>
      </w:r>
      <w:r>
        <w:rPr>
          <w:rFonts w:hint="eastAsia" w:ascii="仿宋" w:hAnsi="仿宋" w:eastAsia="仿宋"/>
          <w:sz w:val="24"/>
        </w:rPr>
        <w:t>服务</w:t>
      </w:r>
      <w:r>
        <w:rPr>
          <w:rFonts w:ascii="仿宋" w:hAnsi="仿宋" w:eastAsia="仿宋"/>
          <w:sz w:val="24"/>
        </w:rPr>
        <w:t>”系指</w:t>
      </w:r>
      <w:r>
        <w:rPr>
          <w:rFonts w:hint="eastAsia" w:ascii="仿宋" w:hAnsi="仿宋" w:eastAsia="仿宋"/>
          <w:sz w:val="24"/>
        </w:rPr>
        <w:t>成交供应商</w:t>
      </w:r>
      <w:r>
        <w:rPr>
          <w:rFonts w:ascii="仿宋" w:hAnsi="仿宋" w:eastAsia="仿宋"/>
          <w:sz w:val="24"/>
        </w:rPr>
        <w:t>根据合同约定应向</w:t>
      </w:r>
      <w:r>
        <w:rPr>
          <w:rFonts w:hint="eastAsia" w:ascii="仿宋" w:hAnsi="仿宋" w:eastAsia="仿宋"/>
          <w:sz w:val="24"/>
          <w:lang w:eastAsia="zh-CN"/>
        </w:rPr>
        <w:t>采购人</w:t>
      </w:r>
      <w:r>
        <w:rPr>
          <w:rFonts w:hint="eastAsia" w:ascii="仿宋" w:hAnsi="仿宋" w:eastAsia="仿宋"/>
          <w:sz w:val="24"/>
        </w:rPr>
        <w:t>履行</w:t>
      </w:r>
      <w:r>
        <w:rPr>
          <w:rFonts w:ascii="仿宋" w:hAnsi="仿宋" w:eastAsia="仿宋"/>
          <w:sz w:val="24"/>
        </w:rPr>
        <w:t>的</w:t>
      </w:r>
      <w:r>
        <w:rPr>
          <w:rFonts w:hint="eastAsia" w:ascii="仿宋" w:hAnsi="仿宋" w:eastAsia="仿宋"/>
          <w:sz w:val="24"/>
        </w:rPr>
        <w:t>除货物和工程以外的其他政府采购对象，包括</w:t>
      </w:r>
      <w:r>
        <w:rPr>
          <w:rFonts w:hint="eastAsia" w:ascii="仿宋" w:hAnsi="仿宋" w:eastAsia="仿宋"/>
          <w:sz w:val="24"/>
          <w:lang w:eastAsia="zh-CN"/>
        </w:rPr>
        <w:t>采购人</w:t>
      </w:r>
      <w:r>
        <w:rPr>
          <w:rFonts w:hint="eastAsia" w:ascii="仿宋" w:hAnsi="仿宋" w:eastAsia="仿宋"/>
          <w:sz w:val="24"/>
        </w:rPr>
        <w:t>自身需要的服务和向社会公众提供的公共服务。</w:t>
      </w:r>
    </w:p>
    <w:p w14:paraId="5A327614">
      <w:pPr>
        <w:spacing w:line="360" w:lineRule="auto"/>
        <w:ind w:firstLine="480" w:firstLineChars="200"/>
        <w:rPr>
          <w:rFonts w:ascii="仿宋" w:hAnsi="仿宋" w:eastAsia="仿宋"/>
          <w:sz w:val="24"/>
        </w:rPr>
      </w:pPr>
      <w:bookmarkStart w:id="226" w:name="_Ref467378840"/>
      <w:r>
        <w:rPr>
          <w:rFonts w:hint="eastAsia" w:ascii="仿宋" w:hAnsi="仿宋" w:eastAsia="仿宋"/>
          <w:sz w:val="24"/>
        </w:rPr>
        <w:t>2.</w:t>
      </w:r>
      <w:r>
        <w:rPr>
          <w:rFonts w:ascii="仿宋" w:hAnsi="仿宋" w:eastAsia="仿宋"/>
          <w:sz w:val="24"/>
        </w:rPr>
        <w:t>1.</w:t>
      </w:r>
      <w:r>
        <w:rPr>
          <w:rFonts w:hint="eastAsia" w:ascii="仿宋" w:hAnsi="仿宋" w:eastAsia="仿宋"/>
          <w:sz w:val="24"/>
        </w:rPr>
        <w:t>4</w:t>
      </w:r>
      <w:r>
        <w:rPr>
          <w:rFonts w:ascii="仿宋" w:hAnsi="仿宋" w:eastAsia="仿宋"/>
          <w:sz w:val="24"/>
        </w:rPr>
        <w:t xml:space="preserve"> “</w:t>
      </w:r>
      <w:r>
        <w:rPr>
          <w:rFonts w:hint="eastAsia" w:ascii="仿宋" w:hAnsi="仿宋" w:eastAsia="仿宋"/>
          <w:sz w:val="24"/>
        </w:rPr>
        <w:t>甲方</w:t>
      </w:r>
      <w:r>
        <w:rPr>
          <w:rFonts w:ascii="仿宋" w:hAnsi="仿宋" w:eastAsia="仿宋"/>
          <w:sz w:val="24"/>
        </w:rPr>
        <w:t>”系指与</w:t>
      </w:r>
      <w:r>
        <w:rPr>
          <w:rFonts w:hint="eastAsia" w:ascii="仿宋" w:hAnsi="仿宋" w:eastAsia="仿宋"/>
          <w:sz w:val="24"/>
        </w:rPr>
        <w:t>成交供应商</w:t>
      </w:r>
      <w:r>
        <w:rPr>
          <w:rFonts w:ascii="仿宋" w:hAnsi="仿宋" w:eastAsia="仿宋"/>
          <w:sz w:val="24"/>
        </w:rPr>
        <w:t>签署合同的</w:t>
      </w:r>
      <w:bookmarkEnd w:id="226"/>
      <w:r>
        <w:rPr>
          <w:rFonts w:hint="eastAsia" w:ascii="仿宋" w:hAnsi="仿宋" w:eastAsia="仿宋"/>
          <w:sz w:val="24"/>
          <w:lang w:eastAsia="zh-CN"/>
        </w:rPr>
        <w:t>采购人</w:t>
      </w:r>
      <w:r>
        <w:rPr>
          <w:rFonts w:hint="eastAsia" w:ascii="仿宋" w:hAnsi="仿宋" w:eastAsia="仿宋"/>
          <w:sz w:val="24"/>
        </w:rPr>
        <w:t>；</w:t>
      </w:r>
      <w:r>
        <w:rPr>
          <w:rFonts w:hint="eastAsia" w:ascii="仿宋" w:hAnsi="仿宋" w:eastAsia="仿宋"/>
          <w:sz w:val="24"/>
          <w:lang w:eastAsia="zh-CN"/>
        </w:rPr>
        <w:t>采购人</w:t>
      </w:r>
      <w:r>
        <w:rPr>
          <w:rFonts w:hint="eastAsia" w:ascii="仿宋" w:hAnsi="仿宋" w:eastAsia="仿宋"/>
          <w:sz w:val="24"/>
        </w:rPr>
        <w:t>委托采购代理机构代表其与乙方签订合同的，</w:t>
      </w:r>
      <w:r>
        <w:rPr>
          <w:rFonts w:hint="eastAsia" w:ascii="仿宋" w:hAnsi="仿宋" w:eastAsia="仿宋"/>
          <w:sz w:val="24"/>
          <w:lang w:eastAsia="zh-CN"/>
        </w:rPr>
        <w:t>采购人</w:t>
      </w:r>
      <w:r>
        <w:rPr>
          <w:rFonts w:hint="eastAsia" w:ascii="仿宋" w:hAnsi="仿宋" w:eastAsia="仿宋"/>
          <w:sz w:val="24"/>
        </w:rPr>
        <w:t>的授权委托书作为合同附件。</w:t>
      </w:r>
    </w:p>
    <w:p w14:paraId="03878EAC">
      <w:pPr>
        <w:spacing w:line="360" w:lineRule="auto"/>
        <w:ind w:firstLine="480" w:firstLineChars="200"/>
        <w:rPr>
          <w:rFonts w:hint="eastAsia" w:ascii="仿宋" w:hAnsi="仿宋" w:eastAsia="仿宋"/>
          <w:sz w:val="24"/>
        </w:rPr>
      </w:pPr>
      <w:bookmarkStart w:id="227" w:name="_Ref467379400"/>
      <w:r>
        <w:rPr>
          <w:rFonts w:hint="eastAsia" w:ascii="仿宋" w:hAnsi="仿宋" w:eastAsia="仿宋"/>
          <w:sz w:val="24"/>
        </w:rPr>
        <w:t>2.</w:t>
      </w:r>
      <w:r>
        <w:rPr>
          <w:rFonts w:ascii="仿宋" w:hAnsi="仿宋" w:eastAsia="仿宋"/>
          <w:sz w:val="24"/>
        </w:rPr>
        <w:t>1.</w:t>
      </w:r>
      <w:r>
        <w:rPr>
          <w:rFonts w:hint="eastAsia" w:ascii="仿宋" w:hAnsi="仿宋" w:eastAsia="仿宋"/>
          <w:sz w:val="24"/>
        </w:rPr>
        <w:t>5</w:t>
      </w:r>
      <w:r>
        <w:rPr>
          <w:rFonts w:ascii="仿宋" w:hAnsi="仿宋" w:eastAsia="仿宋"/>
          <w:sz w:val="24"/>
        </w:rPr>
        <w:t xml:space="preserve"> “乙方”系指根据合同约定提供服务的成交供应商</w:t>
      </w:r>
      <w:bookmarkEnd w:id="227"/>
      <w:r>
        <w:rPr>
          <w:rFonts w:hint="eastAsia" w:ascii="仿宋" w:hAnsi="仿宋" w:eastAsia="仿宋"/>
          <w:sz w:val="24"/>
        </w:rPr>
        <w:t>。</w:t>
      </w:r>
    </w:p>
    <w:p w14:paraId="72966BD4">
      <w:pPr>
        <w:spacing w:line="360" w:lineRule="auto"/>
        <w:ind w:firstLine="480" w:firstLineChars="200"/>
        <w:rPr>
          <w:rFonts w:ascii="仿宋" w:hAnsi="仿宋" w:eastAsia="仿宋"/>
          <w:sz w:val="24"/>
        </w:rPr>
      </w:pPr>
      <w:bookmarkStart w:id="228" w:name="_Ref467379436"/>
      <w:r>
        <w:rPr>
          <w:rFonts w:hint="eastAsia" w:ascii="仿宋" w:hAnsi="仿宋" w:eastAsia="仿宋"/>
          <w:sz w:val="24"/>
        </w:rPr>
        <w:t>2.</w:t>
      </w:r>
      <w:r>
        <w:rPr>
          <w:rFonts w:ascii="仿宋" w:hAnsi="仿宋" w:eastAsia="仿宋"/>
          <w:sz w:val="24"/>
        </w:rPr>
        <w:t>1.</w:t>
      </w:r>
      <w:r>
        <w:rPr>
          <w:rFonts w:hint="eastAsia" w:ascii="仿宋" w:hAnsi="仿宋" w:eastAsia="仿宋"/>
          <w:sz w:val="24"/>
        </w:rPr>
        <w:t>6</w:t>
      </w:r>
      <w:r>
        <w:rPr>
          <w:rFonts w:ascii="仿宋" w:hAnsi="仿宋" w:eastAsia="仿宋"/>
          <w:sz w:val="24"/>
        </w:rPr>
        <w:t xml:space="preserve"> “现场”系指合同约定提供服务的地点。</w:t>
      </w:r>
      <w:bookmarkEnd w:id="228"/>
    </w:p>
    <w:p w14:paraId="0AF860D5">
      <w:pPr>
        <w:keepNext/>
        <w:keepLines/>
        <w:spacing w:before="120" w:beforeLines="50" w:after="120" w:afterLines="50" w:line="360" w:lineRule="auto"/>
        <w:outlineLvl w:val="2"/>
        <w:rPr>
          <w:rFonts w:ascii="仿宋" w:hAnsi="仿宋" w:eastAsia="仿宋"/>
          <w:b/>
          <w:bCs/>
          <w:sz w:val="30"/>
          <w:szCs w:val="32"/>
        </w:rPr>
      </w:pPr>
      <w:bookmarkStart w:id="229" w:name="_Toc256000030"/>
      <w:bookmarkStart w:id="230" w:name="_Toc23289"/>
      <w:bookmarkStart w:id="231" w:name="_Toc256000062"/>
      <w:bookmarkStart w:id="232" w:name="_Toc36659889"/>
      <w:bookmarkStart w:id="233" w:name="_Toc279701241"/>
      <w:bookmarkStart w:id="234" w:name="_Toc31999"/>
      <w:bookmarkStart w:id="235" w:name="_Toc3769"/>
      <w:bookmarkStart w:id="236" w:name="_Toc256000090"/>
      <w:bookmarkStart w:id="237" w:name="_Toc31402"/>
      <w:bookmarkStart w:id="238" w:name="_Toc19539"/>
      <w:bookmarkStart w:id="239" w:name="_Toc534649438"/>
      <w:bookmarkStart w:id="240" w:name="_Toc487900350"/>
      <w:bookmarkStart w:id="241" w:name="_Toc259093670"/>
      <w:bookmarkStart w:id="242" w:name="_Toc256000135"/>
      <w:bookmarkStart w:id="243" w:name="_Toc16752"/>
      <w:r>
        <w:rPr>
          <w:rFonts w:hint="eastAsia" w:ascii="仿宋" w:hAnsi="仿宋" w:eastAsia="仿宋"/>
          <w:b/>
          <w:bCs/>
          <w:sz w:val="30"/>
          <w:szCs w:val="32"/>
        </w:rPr>
        <w:t>2.</w:t>
      </w:r>
      <w:r>
        <w:rPr>
          <w:rFonts w:ascii="仿宋" w:hAnsi="仿宋" w:eastAsia="仿宋"/>
          <w:b/>
          <w:bCs/>
          <w:sz w:val="30"/>
          <w:szCs w:val="32"/>
        </w:rPr>
        <w:t>2</w:t>
      </w:r>
      <w:r>
        <w:rPr>
          <w:rFonts w:hint="eastAsia" w:ascii="仿宋" w:hAnsi="仿宋" w:eastAsia="仿宋"/>
          <w:b/>
          <w:bCs/>
          <w:sz w:val="30"/>
          <w:szCs w:val="32"/>
        </w:rPr>
        <w:t xml:space="preserve"> </w:t>
      </w:r>
      <w:r>
        <w:rPr>
          <w:rFonts w:ascii="仿宋" w:hAnsi="仿宋" w:eastAsia="仿宋"/>
          <w:b/>
          <w:bCs/>
          <w:sz w:val="30"/>
          <w:szCs w:val="32"/>
        </w:rPr>
        <w:t>技术规范</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4C49A49A">
      <w:pPr>
        <w:spacing w:line="360" w:lineRule="auto"/>
        <w:ind w:firstLine="480" w:firstLineChars="200"/>
        <w:rPr>
          <w:rFonts w:ascii="仿宋" w:hAnsi="仿宋" w:eastAsia="仿宋"/>
          <w:sz w:val="24"/>
        </w:rPr>
      </w:pPr>
      <w:r>
        <w:rPr>
          <w:rFonts w:hint="eastAsia" w:ascii="仿宋" w:hAnsi="仿宋" w:eastAsia="仿宋"/>
          <w:sz w:val="24"/>
        </w:rPr>
        <w:t>服务</w:t>
      </w:r>
      <w:r>
        <w:rPr>
          <w:rFonts w:ascii="仿宋" w:hAnsi="仿宋" w:eastAsia="仿宋"/>
          <w:sz w:val="24"/>
        </w:rPr>
        <w:t>所应遵守的技术规范应与采购文件规定的技术规范和技术规范附件(如果有的话)及其技术规范偏差表(如果被甲方接受的话)相一致</w:t>
      </w:r>
      <w:r>
        <w:rPr>
          <w:rFonts w:hint="eastAsia" w:ascii="仿宋" w:hAnsi="仿宋" w:eastAsia="仿宋"/>
          <w:sz w:val="24"/>
        </w:rPr>
        <w:t>；</w:t>
      </w:r>
      <w:r>
        <w:rPr>
          <w:rFonts w:ascii="仿宋" w:hAnsi="仿宋" w:eastAsia="仿宋"/>
          <w:sz w:val="24"/>
        </w:rPr>
        <w:t>如果采购文件中没有技术规范的相应说明，那么应以国家有关部门最新颁布的相应标准</w:t>
      </w:r>
      <w:r>
        <w:rPr>
          <w:rFonts w:hint="eastAsia" w:ascii="仿宋" w:hAnsi="仿宋" w:eastAsia="仿宋"/>
          <w:sz w:val="24"/>
        </w:rPr>
        <w:t>和</w:t>
      </w:r>
      <w:r>
        <w:rPr>
          <w:rFonts w:ascii="仿宋" w:hAnsi="仿宋" w:eastAsia="仿宋"/>
          <w:sz w:val="24"/>
        </w:rPr>
        <w:t>规范为准。</w:t>
      </w:r>
    </w:p>
    <w:p w14:paraId="725AF398">
      <w:pPr>
        <w:keepNext/>
        <w:keepLines/>
        <w:spacing w:before="120" w:beforeLines="50" w:after="120" w:afterLines="50" w:line="360" w:lineRule="auto"/>
        <w:outlineLvl w:val="2"/>
        <w:rPr>
          <w:rFonts w:ascii="仿宋" w:hAnsi="仿宋" w:eastAsia="仿宋"/>
          <w:b/>
          <w:bCs/>
          <w:sz w:val="30"/>
          <w:szCs w:val="32"/>
        </w:rPr>
      </w:pPr>
      <w:bookmarkStart w:id="244" w:name="_Toc4133"/>
      <w:bookmarkStart w:id="245" w:name="_Toc256000091"/>
      <w:bookmarkStart w:id="246" w:name="_Toc9161"/>
      <w:bookmarkStart w:id="247" w:name="_Toc256000031"/>
      <w:bookmarkStart w:id="248" w:name="_Toc256000063"/>
      <w:bookmarkStart w:id="249" w:name="_Toc36659890"/>
      <w:bookmarkStart w:id="250" w:name="_Toc534649439"/>
      <w:bookmarkStart w:id="251" w:name="_Toc17128"/>
      <w:bookmarkStart w:id="252" w:name="_Toc256000136"/>
      <w:bookmarkStart w:id="253" w:name="_Toc487900351"/>
      <w:bookmarkStart w:id="254" w:name="_Toc279701242"/>
      <w:bookmarkStart w:id="255" w:name="_Toc13673"/>
      <w:bookmarkStart w:id="256" w:name="_Toc27945"/>
      <w:bookmarkStart w:id="257" w:name="_Toc259093671"/>
      <w:bookmarkStart w:id="258" w:name="_Toc12412"/>
      <w:r>
        <w:rPr>
          <w:rFonts w:hint="eastAsia" w:ascii="仿宋" w:hAnsi="仿宋" w:eastAsia="仿宋"/>
          <w:b/>
          <w:bCs/>
          <w:sz w:val="30"/>
          <w:szCs w:val="32"/>
        </w:rPr>
        <w:t>2.</w:t>
      </w:r>
      <w:r>
        <w:rPr>
          <w:rFonts w:ascii="仿宋" w:hAnsi="仿宋" w:eastAsia="仿宋"/>
          <w:b/>
          <w:bCs/>
          <w:sz w:val="30"/>
          <w:szCs w:val="32"/>
        </w:rPr>
        <w:t>3</w:t>
      </w:r>
      <w:r>
        <w:rPr>
          <w:rFonts w:hint="eastAsia" w:ascii="仿宋" w:hAnsi="仿宋" w:eastAsia="仿宋"/>
          <w:b/>
          <w:bCs/>
          <w:sz w:val="30"/>
          <w:szCs w:val="32"/>
        </w:rPr>
        <w:t xml:space="preserve"> </w:t>
      </w:r>
      <w:r>
        <w:rPr>
          <w:rFonts w:ascii="仿宋" w:hAnsi="仿宋" w:eastAsia="仿宋"/>
          <w:b/>
          <w:bCs/>
          <w:sz w:val="30"/>
          <w:szCs w:val="32"/>
        </w:rPr>
        <w:t>知识产权</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34826CBF">
      <w:pPr>
        <w:spacing w:line="360" w:lineRule="auto"/>
        <w:ind w:firstLine="480" w:firstLineChars="200"/>
        <w:rPr>
          <w:rFonts w:ascii="仿宋" w:hAnsi="仿宋" w:eastAsia="仿宋"/>
          <w:sz w:val="24"/>
        </w:rPr>
      </w:pPr>
      <w:r>
        <w:rPr>
          <w:rFonts w:hint="eastAsia" w:ascii="仿宋" w:hAnsi="仿宋" w:eastAsia="仿宋"/>
          <w:sz w:val="24"/>
        </w:rPr>
        <w:t>2.3.1 乙</w:t>
      </w:r>
      <w:r>
        <w:rPr>
          <w:rFonts w:ascii="仿宋" w:hAnsi="仿宋" w:eastAsia="仿宋"/>
          <w:sz w:val="24"/>
        </w:rPr>
        <w:t>方应保证</w:t>
      </w:r>
      <w:r>
        <w:rPr>
          <w:rFonts w:hint="eastAsia" w:ascii="仿宋" w:hAnsi="仿宋" w:eastAsia="仿宋"/>
          <w:sz w:val="24"/>
        </w:rPr>
        <w:t>其提供的服务</w:t>
      </w:r>
      <w:r>
        <w:rPr>
          <w:rFonts w:ascii="仿宋" w:hAnsi="仿宋" w:eastAsia="仿宋"/>
          <w:sz w:val="24"/>
        </w:rPr>
        <w:t>不受任何第三方提出的侵犯其著作权、商标权、专利权等知识产权方面的起诉</w:t>
      </w:r>
      <w:r>
        <w:rPr>
          <w:rFonts w:hint="eastAsia" w:ascii="仿宋" w:hAnsi="仿宋" w:eastAsia="仿宋"/>
          <w:sz w:val="24"/>
        </w:rPr>
        <w:t>；</w:t>
      </w:r>
      <w:r>
        <w:rPr>
          <w:rFonts w:ascii="仿宋" w:hAnsi="仿宋" w:eastAsia="仿宋"/>
          <w:sz w:val="24"/>
        </w:rPr>
        <w:t>如果任何第三方提出侵权</w:t>
      </w:r>
      <w:r>
        <w:rPr>
          <w:rFonts w:hint="eastAsia" w:ascii="仿宋" w:hAnsi="仿宋" w:eastAsia="仿宋"/>
          <w:sz w:val="24"/>
        </w:rPr>
        <w:t>指控</w:t>
      </w:r>
      <w:r>
        <w:rPr>
          <w:rFonts w:ascii="仿宋" w:hAnsi="仿宋" w:eastAsia="仿宋"/>
          <w:sz w:val="24"/>
        </w:rPr>
        <w:t>，那么乙方须与该第三方交涉并承担由此发生的一切责任、费用和赔偿</w:t>
      </w:r>
      <w:r>
        <w:rPr>
          <w:rFonts w:hint="eastAsia" w:ascii="仿宋" w:hAnsi="仿宋" w:eastAsia="仿宋"/>
          <w:sz w:val="24"/>
        </w:rPr>
        <w:t>；</w:t>
      </w:r>
    </w:p>
    <w:p w14:paraId="46D013C5">
      <w:pPr>
        <w:spacing w:line="360" w:lineRule="auto"/>
        <w:ind w:firstLine="480" w:firstLineChars="200"/>
        <w:rPr>
          <w:rFonts w:ascii="仿宋" w:hAnsi="仿宋" w:eastAsia="仿宋"/>
          <w:sz w:val="24"/>
        </w:rPr>
      </w:pPr>
      <w:r>
        <w:rPr>
          <w:rFonts w:hint="eastAsia" w:ascii="仿宋" w:hAnsi="仿宋" w:eastAsia="仿宋"/>
          <w:sz w:val="24"/>
        </w:rPr>
        <w:t>2.3.2 合同涉及技术成果的归属和收益的分成办法的，</w:t>
      </w: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14:paraId="3D11DD2F">
      <w:pPr>
        <w:keepNext/>
        <w:keepLines/>
        <w:spacing w:before="120" w:beforeLines="50" w:after="120" w:afterLines="50" w:line="360" w:lineRule="auto"/>
        <w:outlineLvl w:val="2"/>
        <w:rPr>
          <w:rFonts w:ascii="仿宋" w:hAnsi="仿宋" w:eastAsia="仿宋"/>
          <w:b/>
          <w:bCs/>
          <w:sz w:val="30"/>
          <w:szCs w:val="32"/>
        </w:rPr>
      </w:pPr>
      <w:bookmarkStart w:id="259" w:name="_Toc256000092"/>
      <w:bookmarkStart w:id="260" w:name="_Toc256000137"/>
      <w:bookmarkStart w:id="261" w:name="_Toc256000032"/>
      <w:bookmarkStart w:id="262" w:name="_Toc3042"/>
      <w:bookmarkStart w:id="263" w:name="_Toc256000064"/>
      <w:bookmarkStart w:id="264" w:name="_Toc36659891"/>
      <w:bookmarkStart w:id="265" w:name="_Toc534649440"/>
      <w:r>
        <w:rPr>
          <w:rFonts w:hint="eastAsia" w:ascii="仿宋" w:hAnsi="仿宋" w:eastAsia="仿宋"/>
          <w:b/>
          <w:bCs/>
          <w:sz w:val="30"/>
          <w:szCs w:val="32"/>
        </w:rPr>
        <w:t>2.4 履约检查和问题反馈</w:t>
      </w:r>
      <w:bookmarkEnd w:id="259"/>
      <w:bookmarkEnd w:id="260"/>
      <w:bookmarkEnd w:id="261"/>
      <w:bookmarkEnd w:id="262"/>
      <w:bookmarkEnd w:id="263"/>
      <w:bookmarkEnd w:id="264"/>
      <w:bookmarkEnd w:id="265"/>
    </w:p>
    <w:p w14:paraId="1EEF6748">
      <w:pPr>
        <w:spacing w:line="360" w:lineRule="auto"/>
        <w:ind w:firstLine="480" w:firstLineChars="200"/>
        <w:rPr>
          <w:rFonts w:ascii="仿宋" w:hAnsi="仿宋" w:eastAsia="仿宋"/>
          <w:sz w:val="24"/>
        </w:rPr>
      </w:pPr>
      <w:bookmarkStart w:id="266" w:name="_Ref467379657"/>
      <w:r>
        <w:rPr>
          <w:rFonts w:hint="eastAsia" w:ascii="仿宋" w:hAnsi="仿宋" w:eastAsia="仿宋"/>
          <w:sz w:val="24"/>
        </w:rPr>
        <w:t>2.4</w:t>
      </w:r>
      <w:r>
        <w:rPr>
          <w:rFonts w:ascii="仿宋" w:hAnsi="仿宋" w:eastAsia="仿宋"/>
          <w:sz w:val="24"/>
        </w:rPr>
        <w:t>.1</w:t>
      </w:r>
      <w:bookmarkEnd w:id="266"/>
      <w:bookmarkStart w:id="267" w:name="_Toc186431854"/>
      <w:bookmarkStart w:id="268" w:name="_Toc279701247"/>
      <w:bookmarkStart w:id="269" w:name="_Ref467379807"/>
      <w:bookmarkStart w:id="270" w:name="_Ref467379793"/>
      <w:bookmarkStart w:id="271" w:name="_Toc487900357"/>
      <w:bookmarkStart w:id="272" w:name="_Toc259093676"/>
      <w:r>
        <w:rPr>
          <w:rFonts w:ascii="仿宋" w:hAnsi="仿宋" w:eastAsia="仿宋"/>
          <w:sz w:val="24"/>
        </w:rPr>
        <w:t>甲方</w:t>
      </w:r>
      <w:r>
        <w:rPr>
          <w:rFonts w:hint="eastAsia" w:ascii="仿宋" w:hAnsi="仿宋" w:eastAsia="仿宋"/>
          <w:sz w:val="24"/>
        </w:rPr>
        <w:t>有权</w:t>
      </w:r>
      <w:r>
        <w:rPr>
          <w:rFonts w:ascii="仿宋" w:hAnsi="仿宋" w:eastAsia="仿宋"/>
          <w:sz w:val="24"/>
        </w:rPr>
        <w:t>在其认为必要时</w:t>
      </w:r>
      <w:r>
        <w:rPr>
          <w:rFonts w:hint="eastAsia" w:ascii="仿宋" w:hAnsi="仿宋" w:eastAsia="仿宋"/>
          <w:sz w:val="24"/>
        </w:rPr>
        <w:t>，对乙方是否能够按照合同约定提供服务进行履约检查，以确保乙方所提供的服务能够依约满足甲方之项目需求，但不得因履约检查妨碍乙方的正常工作，乙方应予积极配合；</w:t>
      </w:r>
    </w:p>
    <w:p w14:paraId="626EA1AF">
      <w:pPr>
        <w:spacing w:line="360" w:lineRule="auto"/>
        <w:ind w:firstLine="480" w:firstLineChars="200"/>
        <w:rPr>
          <w:rFonts w:ascii="仿宋" w:hAnsi="仿宋" w:eastAsia="仿宋"/>
          <w:sz w:val="24"/>
        </w:rPr>
      </w:pPr>
      <w:r>
        <w:rPr>
          <w:rFonts w:hint="eastAsia" w:ascii="仿宋" w:hAnsi="仿宋" w:eastAsia="仿宋"/>
          <w:sz w:val="24"/>
        </w:rPr>
        <w:t>2.4.2 合同履行期间，甲方有权将履行过程中出现的问题反馈给乙方，双方当事人应以书面形式约定需要完善和改进的内容</w:t>
      </w:r>
      <w:bookmarkEnd w:id="267"/>
      <w:bookmarkStart w:id="273" w:name="_Toc186431855"/>
      <w:r>
        <w:rPr>
          <w:rFonts w:hint="eastAsia" w:ascii="仿宋" w:hAnsi="仿宋" w:eastAsia="仿宋"/>
          <w:sz w:val="24"/>
        </w:rPr>
        <w:t>。</w:t>
      </w:r>
    </w:p>
    <w:bookmarkEnd w:id="273"/>
    <w:p w14:paraId="20529778">
      <w:pPr>
        <w:keepNext/>
        <w:keepLines/>
        <w:spacing w:before="120" w:beforeLines="50" w:after="120" w:afterLines="50"/>
        <w:outlineLvl w:val="2"/>
        <w:rPr>
          <w:rFonts w:ascii="仿宋" w:hAnsi="仿宋" w:eastAsia="仿宋"/>
          <w:b/>
          <w:bCs/>
          <w:sz w:val="30"/>
          <w:szCs w:val="32"/>
        </w:rPr>
      </w:pPr>
      <w:bookmarkStart w:id="274" w:name="_Toc26555"/>
      <w:bookmarkStart w:id="275" w:name="_Toc31233"/>
      <w:bookmarkStart w:id="276" w:name="_Toc256000138"/>
      <w:bookmarkStart w:id="277" w:name="_Toc36659892"/>
      <w:bookmarkStart w:id="278" w:name="_Toc534649441"/>
      <w:bookmarkStart w:id="279" w:name="_Toc256000065"/>
      <w:bookmarkStart w:id="280" w:name="_Toc15876"/>
      <w:bookmarkStart w:id="281" w:name="_Toc15447"/>
      <w:bookmarkStart w:id="282" w:name="_Toc256000033"/>
      <w:bookmarkStart w:id="283" w:name="_Toc22011"/>
      <w:bookmarkStart w:id="284" w:name="_Toc32670"/>
      <w:bookmarkStart w:id="285" w:name="_Toc256000093"/>
      <w:r>
        <w:rPr>
          <w:rFonts w:hint="eastAsia" w:ascii="仿宋" w:hAnsi="仿宋" w:eastAsia="仿宋"/>
          <w:b/>
          <w:bCs/>
          <w:sz w:val="30"/>
          <w:szCs w:val="32"/>
        </w:rPr>
        <w:t xml:space="preserve">2.5 </w:t>
      </w:r>
      <w:r>
        <w:rPr>
          <w:rFonts w:ascii="仿宋" w:hAnsi="仿宋" w:eastAsia="仿宋"/>
          <w:b/>
          <w:bCs/>
          <w:sz w:val="30"/>
          <w:szCs w:val="32"/>
        </w:rPr>
        <w:t>结算方式和付款条件</w:t>
      </w:r>
      <w:bookmarkEnd w:id="268"/>
      <w:bookmarkEnd w:id="269"/>
      <w:bookmarkEnd w:id="270"/>
      <w:bookmarkEnd w:id="271"/>
      <w:bookmarkEnd w:id="272"/>
      <w:bookmarkEnd w:id="274"/>
      <w:bookmarkEnd w:id="275"/>
      <w:bookmarkEnd w:id="276"/>
      <w:bookmarkEnd w:id="277"/>
      <w:bookmarkEnd w:id="278"/>
      <w:bookmarkEnd w:id="279"/>
      <w:bookmarkEnd w:id="280"/>
      <w:bookmarkEnd w:id="281"/>
      <w:bookmarkEnd w:id="282"/>
      <w:bookmarkEnd w:id="283"/>
      <w:bookmarkEnd w:id="284"/>
      <w:bookmarkEnd w:id="285"/>
    </w:p>
    <w:p w14:paraId="388453EC">
      <w:pPr>
        <w:spacing w:line="360" w:lineRule="auto"/>
        <w:ind w:firstLine="480" w:firstLineChars="200"/>
        <w:rPr>
          <w:rFonts w:ascii="仿宋" w:hAnsi="仿宋" w:eastAsia="仿宋"/>
          <w:sz w:val="24"/>
        </w:rPr>
      </w:pP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14:paraId="52B0547A">
      <w:pPr>
        <w:keepNext/>
        <w:keepLines/>
        <w:spacing w:before="120" w:beforeLines="50" w:after="120" w:afterLines="50"/>
        <w:outlineLvl w:val="2"/>
        <w:rPr>
          <w:rFonts w:ascii="仿宋" w:hAnsi="仿宋" w:eastAsia="仿宋"/>
          <w:b/>
          <w:bCs/>
          <w:sz w:val="30"/>
          <w:szCs w:val="32"/>
        </w:rPr>
      </w:pPr>
      <w:bookmarkStart w:id="286" w:name="_Ref467379852"/>
      <w:bookmarkStart w:id="287" w:name="_Ref467379863"/>
      <w:bookmarkStart w:id="288" w:name="_Ref467379923"/>
      <w:bookmarkStart w:id="289" w:name="_Toc279701248"/>
      <w:bookmarkStart w:id="290" w:name="_Toc259093677"/>
      <w:bookmarkStart w:id="291" w:name="_Toc487900358"/>
      <w:bookmarkStart w:id="292" w:name="_Toc256000094"/>
      <w:bookmarkStart w:id="293" w:name="_Toc13154"/>
      <w:bookmarkStart w:id="294" w:name="_Toc16163"/>
      <w:bookmarkStart w:id="295" w:name="_Toc256000066"/>
      <w:bookmarkStart w:id="296" w:name="_Toc256000034"/>
      <w:bookmarkStart w:id="297" w:name="_Toc256000139"/>
      <w:bookmarkStart w:id="298" w:name="_Toc36659893"/>
      <w:bookmarkStart w:id="299" w:name="_Toc10464"/>
      <w:bookmarkStart w:id="300" w:name="_Toc18990"/>
      <w:bookmarkStart w:id="301" w:name="_Toc534649442"/>
      <w:bookmarkStart w:id="302" w:name="_Toc30507"/>
      <w:bookmarkStart w:id="303" w:name="_Toc13467"/>
      <w:r>
        <w:rPr>
          <w:rFonts w:hint="eastAsia" w:ascii="仿宋" w:hAnsi="仿宋" w:eastAsia="仿宋"/>
          <w:b/>
          <w:bCs/>
          <w:sz w:val="30"/>
          <w:szCs w:val="32"/>
        </w:rPr>
        <w:t xml:space="preserve">2.6 </w:t>
      </w:r>
      <w:r>
        <w:rPr>
          <w:rFonts w:ascii="仿宋" w:hAnsi="仿宋" w:eastAsia="仿宋"/>
          <w:b/>
          <w:bCs/>
          <w:sz w:val="30"/>
          <w:szCs w:val="32"/>
        </w:rPr>
        <w:t>技术资料</w:t>
      </w:r>
      <w:bookmarkEnd w:id="286"/>
      <w:bookmarkEnd w:id="287"/>
      <w:bookmarkEnd w:id="288"/>
      <w:bookmarkEnd w:id="289"/>
      <w:bookmarkEnd w:id="290"/>
      <w:bookmarkEnd w:id="291"/>
      <w:r>
        <w:rPr>
          <w:rFonts w:ascii="仿宋" w:hAnsi="仿宋" w:eastAsia="仿宋"/>
          <w:b/>
          <w:bCs/>
          <w:sz w:val="30"/>
          <w:szCs w:val="32"/>
        </w:rPr>
        <w:t>和保密义务</w:t>
      </w:r>
      <w:bookmarkEnd w:id="292"/>
      <w:bookmarkEnd w:id="293"/>
      <w:bookmarkEnd w:id="294"/>
      <w:bookmarkEnd w:id="295"/>
      <w:bookmarkEnd w:id="296"/>
      <w:bookmarkEnd w:id="297"/>
      <w:bookmarkEnd w:id="298"/>
      <w:bookmarkEnd w:id="299"/>
      <w:bookmarkEnd w:id="300"/>
      <w:bookmarkEnd w:id="301"/>
      <w:bookmarkEnd w:id="302"/>
      <w:bookmarkEnd w:id="303"/>
    </w:p>
    <w:p w14:paraId="33D61607">
      <w:pPr>
        <w:spacing w:line="360" w:lineRule="auto"/>
        <w:ind w:firstLine="480" w:firstLineChars="200"/>
        <w:rPr>
          <w:rFonts w:ascii="仿宋" w:hAnsi="仿宋" w:eastAsia="仿宋"/>
          <w:sz w:val="24"/>
        </w:rPr>
      </w:pPr>
      <w:r>
        <w:rPr>
          <w:rFonts w:hint="eastAsia" w:ascii="仿宋" w:hAnsi="仿宋" w:eastAsia="仿宋"/>
          <w:sz w:val="24"/>
        </w:rPr>
        <w:t>2.6</w:t>
      </w:r>
      <w:r>
        <w:rPr>
          <w:rFonts w:ascii="仿宋" w:hAnsi="仿宋" w:eastAsia="仿宋"/>
          <w:sz w:val="24"/>
        </w:rPr>
        <w:t>.1</w:t>
      </w:r>
      <w:r>
        <w:rPr>
          <w:rFonts w:hint="eastAsia" w:ascii="仿宋" w:hAnsi="仿宋" w:eastAsia="仿宋"/>
          <w:sz w:val="24"/>
        </w:rPr>
        <w:t xml:space="preserve"> 乙方有权依据合同约定和项目需要，向甲方了解有关情况，调阅有关资料等，甲方应予积极配合；</w:t>
      </w:r>
    </w:p>
    <w:p w14:paraId="325EBBEA">
      <w:pPr>
        <w:spacing w:line="360" w:lineRule="auto"/>
        <w:ind w:firstLine="480" w:firstLineChars="200"/>
        <w:rPr>
          <w:rFonts w:ascii="仿宋" w:hAnsi="仿宋" w:eastAsia="仿宋"/>
          <w:sz w:val="24"/>
        </w:rPr>
      </w:pPr>
      <w:r>
        <w:rPr>
          <w:rFonts w:hint="eastAsia" w:ascii="仿宋" w:hAnsi="仿宋" w:eastAsia="仿宋"/>
          <w:sz w:val="24"/>
        </w:rPr>
        <w:t>2.6.2 乙方有义务妥善保管和保护由甲方提供的前款信息和资料等；</w:t>
      </w:r>
    </w:p>
    <w:p w14:paraId="0C55F2F9">
      <w:pPr>
        <w:spacing w:line="360" w:lineRule="auto"/>
        <w:ind w:firstLine="480" w:firstLineChars="200"/>
        <w:rPr>
          <w:rFonts w:ascii="仿宋" w:hAnsi="仿宋" w:eastAsia="仿宋"/>
          <w:sz w:val="24"/>
        </w:rPr>
      </w:pPr>
      <w:r>
        <w:rPr>
          <w:rFonts w:hint="eastAsia" w:ascii="仿宋" w:hAnsi="仿宋" w:eastAsia="仿宋"/>
          <w:sz w:val="24"/>
        </w:rPr>
        <w:t>2.6</w:t>
      </w:r>
      <w:r>
        <w:rPr>
          <w:rFonts w:ascii="仿宋" w:hAnsi="仿宋" w:eastAsia="仿宋"/>
          <w:sz w:val="24"/>
        </w:rPr>
        <w:t>.</w:t>
      </w:r>
      <w:r>
        <w:rPr>
          <w:rFonts w:hint="eastAsia" w:ascii="仿宋" w:hAnsi="仿宋" w:eastAsia="仿宋"/>
          <w:sz w:val="24"/>
        </w:rPr>
        <w:t>3 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sz w:val="24"/>
        </w:rPr>
        <w:t>技术情报</w:t>
      </w:r>
      <w:r>
        <w:rPr>
          <w:rFonts w:hint="eastAsia" w:ascii="仿宋" w:hAnsi="仿宋" w:eastAsia="仿宋"/>
          <w:sz w:val="24"/>
        </w:rPr>
        <w:t>、</w:t>
      </w:r>
      <w:r>
        <w:rPr>
          <w:rFonts w:ascii="仿宋" w:hAnsi="仿宋" w:eastAsia="仿宋"/>
          <w:sz w:val="24"/>
        </w:rPr>
        <w:t>技术资料</w:t>
      </w:r>
      <w:r>
        <w:rPr>
          <w:rFonts w:hint="eastAsia" w:ascii="仿宋" w:hAnsi="仿宋" w:eastAsia="仿宋"/>
          <w:sz w:val="24"/>
        </w:rPr>
        <w:t>、商业秘密和商业信息等，并采取一切合理和必要措施和方式防止任何第三方接触到对方当事人的上述保密信息和资料。</w:t>
      </w:r>
    </w:p>
    <w:p w14:paraId="4E0ADC1F">
      <w:pPr>
        <w:keepNext/>
        <w:keepLines/>
        <w:spacing w:before="120" w:beforeLines="50" w:after="120" w:afterLines="50"/>
        <w:outlineLvl w:val="2"/>
        <w:rPr>
          <w:rFonts w:ascii="仿宋" w:hAnsi="仿宋" w:eastAsia="仿宋"/>
          <w:b/>
          <w:bCs/>
          <w:sz w:val="30"/>
          <w:szCs w:val="32"/>
        </w:rPr>
      </w:pPr>
      <w:bookmarkStart w:id="304" w:name="_Toc19069"/>
      <w:bookmarkStart w:id="305" w:name="_Toc36659894"/>
      <w:bookmarkStart w:id="306" w:name="_Toc256000067"/>
      <w:bookmarkStart w:id="307" w:name="_Toc11060"/>
      <w:bookmarkStart w:id="308" w:name="_Toc534649443"/>
      <w:bookmarkStart w:id="309" w:name="_Toc256000095"/>
      <w:bookmarkStart w:id="310" w:name="_Toc256000035"/>
      <w:bookmarkStart w:id="311" w:name="_Toc256000140"/>
      <w:bookmarkStart w:id="312" w:name="_Toc259093681"/>
      <w:bookmarkStart w:id="313" w:name="_Toc487900362"/>
      <w:bookmarkStart w:id="314" w:name="_Toc279701252"/>
      <w:r>
        <w:rPr>
          <w:rFonts w:hint="eastAsia" w:ascii="仿宋" w:hAnsi="仿宋" w:eastAsia="仿宋"/>
          <w:b/>
          <w:bCs/>
          <w:sz w:val="30"/>
          <w:szCs w:val="32"/>
        </w:rPr>
        <w:t>2.7 质量保证</w:t>
      </w:r>
      <w:bookmarkEnd w:id="304"/>
      <w:bookmarkEnd w:id="305"/>
      <w:bookmarkEnd w:id="306"/>
      <w:bookmarkEnd w:id="307"/>
      <w:bookmarkEnd w:id="308"/>
      <w:bookmarkEnd w:id="309"/>
      <w:bookmarkEnd w:id="310"/>
      <w:bookmarkEnd w:id="311"/>
    </w:p>
    <w:p w14:paraId="5BE3F281">
      <w:pPr>
        <w:spacing w:line="360" w:lineRule="auto"/>
        <w:ind w:firstLine="480" w:firstLineChars="200"/>
        <w:rPr>
          <w:rFonts w:ascii="仿宋" w:hAnsi="仿宋" w:eastAsia="仿宋"/>
          <w:sz w:val="24"/>
        </w:rPr>
      </w:pPr>
      <w:r>
        <w:rPr>
          <w:rFonts w:hint="eastAsia" w:ascii="仿宋" w:hAnsi="仿宋" w:eastAsia="仿宋"/>
          <w:sz w:val="24"/>
        </w:rPr>
        <w:t>2.7.1 乙方应建立和完善履行合同的内部质量保证体系，并提供相关内部规章制度给甲方，以便甲方进行监督检查；</w:t>
      </w:r>
    </w:p>
    <w:p w14:paraId="5C027196">
      <w:pPr>
        <w:spacing w:line="360" w:lineRule="auto"/>
        <w:ind w:firstLine="480" w:firstLineChars="200"/>
        <w:rPr>
          <w:rFonts w:ascii="仿宋" w:hAnsi="仿宋" w:eastAsia="仿宋"/>
          <w:sz w:val="24"/>
        </w:rPr>
      </w:pPr>
      <w:r>
        <w:rPr>
          <w:rFonts w:hint="eastAsia" w:ascii="仿宋" w:hAnsi="仿宋" w:eastAsia="仿宋"/>
          <w:sz w:val="24"/>
        </w:rPr>
        <w:t>2.7.2 乙方应保证履行合同的人员数量和素质、软件和硬件设备的配置、场地、环境和设施等满足全面履行合同的要求，并应接受甲方的监督检查。</w:t>
      </w:r>
    </w:p>
    <w:p w14:paraId="08BAF144">
      <w:pPr>
        <w:keepNext/>
        <w:keepLines/>
        <w:spacing w:before="120" w:beforeLines="50" w:after="120" w:afterLines="50"/>
        <w:outlineLvl w:val="2"/>
        <w:rPr>
          <w:rFonts w:ascii="仿宋" w:hAnsi="仿宋" w:eastAsia="仿宋"/>
          <w:b/>
          <w:bCs/>
          <w:sz w:val="30"/>
          <w:szCs w:val="32"/>
        </w:rPr>
      </w:pPr>
      <w:bookmarkStart w:id="315" w:name="_Toc36659895"/>
      <w:bookmarkStart w:id="316" w:name="_Toc256000068"/>
      <w:bookmarkStart w:id="317" w:name="_Toc18282"/>
      <w:bookmarkStart w:id="318" w:name="_Toc256000036"/>
      <w:bookmarkStart w:id="319" w:name="_Toc22267"/>
      <w:bookmarkStart w:id="320" w:name="_Toc534649444"/>
      <w:bookmarkStart w:id="321" w:name="_Toc256000141"/>
      <w:bookmarkStart w:id="322" w:name="_Toc256000096"/>
      <w:r>
        <w:rPr>
          <w:rFonts w:hint="eastAsia" w:ascii="仿宋" w:hAnsi="仿宋" w:eastAsia="仿宋"/>
          <w:b/>
          <w:bCs/>
          <w:sz w:val="30"/>
          <w:szCs w:val="32"/>
        </w:rPr>
        <w:t>2.8 延迟</w:t>
      </w:r>
      <w:bookmarkEnd w:id="312"/>
      <w:bookmarkEnd w:id="313"/>
      <w:bookmarkEnd w:id="314"/>
      <w:r>
        <w:rPr>
          <w:rFonts w:hint="eastAsia" w:ascii="仿宋" w:hAnsi="仿宋" w:eastAsia="仿宋"/>
          <w:b/>
          <w:bCs/>
          <w:sz w:val="30"/>
          <w:szCs w:val="32"/>
        </w:rPr>
        <w:t>履行</w:t>
      </w:r>
      <w:bookmarkEnd w:id="315"/>
      <w:bookmarkEnd w:id="316"/>
      <w:bookmarkEnd w:id="317"/>
      <w:bookmarkEnd w:id="318"/>
      <w:bookmarkEnd w:id="319"/>
      <w:bookmarkEnd w:id="320"/>
      <w:bookmarkEnd w:id="321"/>
      <w:bookmarkEnd w:id="322"/>
    </w:p>
    <w:p w14:paraId="04B936E8">
      <w:pPr>
        <w:spacing w:line="360" w:lineRule="auto"/>
        <w:ind w:firstLine="480" w:firstLineChars="200"/>
        <w:rPr>
          <w:rFonts w:ascii="仿宋" w:hAnsi="仿宋" w:eastAsia="仿宋"/>
          <w:sz w:val="24"/>
        </w:rPr>
      </w:pPr>
      <w:r>
        <w:rPr>
          <w:rFonts w:ascii="仿宋" w:hAnsi="仿宋" w:eastAsia="仿宋"/>
          <w:sz w:val="24"/>
        </w:rPr>
        <w:t>在合同履行过程中，如果乙方遇到不能按时</w:t>
      </w:r>
      <w:r>
        <w:rPr>
          <w:rFonts w:hint="eastAsia" w:ascii="仿宋" w:hAnsi="仿宋" w:eastAsia="仿宋"/>
          <w:sz w:val="24"/>
        </w:rPr>
        <w:t>提供服务</w:t>
      </w:r>
      <w:r>
        <w:rPr>
          <w:rFonts w:ascii="仿宋" w:hAnsi="仿宋" w:eastAsia="仿宋"/>
          <w:sz w:val="24"/>
        </w:rPr>
        <w:t>的情况，应及时以书面形式将不能按时</w:t>
      </w:r>
      <w:r>
        <w:rPr>
          <w:rFonts w:hint="eastAsia" w:ascii="仿宋" w:hAnsi="仿宋" w:eastAsia="仿宋"/>
          <w:sz w:val="24"/>
        </w:rPr>
        <w:t>提供服务</w:t>
      </w:r>
      <w:r>
        <w:rPr>
          <w:rFonts w:ascii="仿宋" w:hAnsi="仿宋" w:eastAsia="仿宋"/>
          <w:sz w:val="24"/>
        </w:rPr>
        <w:t>的理由、预期延误时间通知甲方</w:t>
      </w:r>
      <w:r>
        <w:rPr>
          <w:rFonts w:hint="eastAsia" w:ascii="仿宋" w:hAnsi="仿宋" w:eastAsia="仿宋"/>
          <w:sz w:val="24"/>
        </w:rPr>
        <w:t>；甲</w:t>
      </w:r>
      <w:r>
        <w:rPr>
          <w:rFonts w:ascii="仿宋" w:hAnsi="仿宋" w:eastAsia="仿宋"/>
          <w:sz w:val="24"/>
        </w:rPr>
        <w:t>方收到乙方通知后，认为其理由正当的，可以书面形式酌情同意乙方可以延长</w:t>
      </w:r>
      <w:r>
        <w:rPr>
          <w:rFonts w:hint="eastAsia" w:ascii="仿宋" w:hAnsi="仿宋" w:eastAsia="仿宋"/>
          <w:sz w:val="24"/>
        </w:rPr>
        <w:t>履行</w:t>
      </w:r>
      <w:r>
        <w:rPr>
          <w:rFonts w:ascii="仿宋" w:hAnsi="仿宋" w:eastAsia="仿宋"/>
          <w:sz w:val="24"/>
        </w:rPr>
        <w:t>的具体时间。</w:t>
      </w:r>
    </w:p>
    <w:p w14:paraId="5A055D7E">
      <w:pPr>
        <w:keepNext/>
        <w:keepLines/>
        <w:spacing w:before="120" w:beforeLines="50" w:after="120" w:afterLines="50"/>
        <w:outlineLvl w:val="2"/>
        <w:rPr>
          <w:rFonts w:ascii="仿宋" w:hAnsi="仿宋" w:eastAsia="仿宋"/>
          <w:b/>
          <w:bCs/>
          <w:sz w:val="30"/>
          <w:szCs w:val="32"/>
        </w:rPr>
      </w:pPr>
      <w:bookmarkStart w:id="323" w:name="_Toc36659896"/>
      <w:bookmarkStart w:id="324" w:name="_Toc256000142"/>
      <w:bookmarkStart w:id="325" w:name="_Toc256000069"/>
      <w:bookmarkStart w:id="326" w:name="_Toc256000037"/>
      <w:bookmarkStart w:id="327" w:name="_Toc1379"/>
      <w:bookmarkStart w:id="328" w:name="_Toc10611"/>
      <w:bookmarkStart w:id="329" w:name="_Toc534649445"/>
      <w:bookmarkStart w:id="330" w:name="_Toc256000097"/>
      <w:bookmarkStart w:id="331" w:name="_Toc279701254"/>
      <w:bookmarkStart w:id="332" w:name="_Toc259093683"/>
      <w:bookmarkStart w:id="333" w:name="_Toc487900364"/>
      <w:bookmarkStart w:id="334" w:name="_Ref467378121"/>
      <w:r>
        <w:rPr>
          <w:rFonts w:hint="eastAsia" w:ascii="仿宋" w:hAnsi="仿宋" w:eastAsia="仿宋"/>
          <w:b/>
          <w:bCs/>
          <w:sz w:val="30"/>
          <w:szCs w:val="32"/>
        </w:rPr>
        <w:t>2.9 合同变更</w:t>
      </w:r>
      <w:bookmarkEnd w:id="323"/>
      <w:bookmarkEnd w:id="324"/>
      <w:bookmarkEnd w:id="325"/>
      <w:bookmarkEnd w:id="326"/>
      <w:bookmarkEnd w:id="327"/>
      <w:bookmarkEnd w:id="328"/>
      <w:bookmarkEnd w:id="329"/>
      <w:bookmarkEnd w:id="330"/>
    </w:p>
    <w:p w14:paraId="135BB75B">
      <w:pPr>
        <w:spacing w:line="360" w:lineRule="auto"/>
        <w:ind w:firstLine="480" w:firstLineChars="200"/>
        <w:rPr>
          <w:rFonts w:ascii="仿宋" w:hAnsi="仿宋" w:eastAsia="仿宋"/>
          <w:sz w:val="24"/>
        </w:rPr>
      </w:pPr>
      <w:r>
        <w:rPr>
          <w:rFonts w:hint="eastAsia" w:ascii="仿宋" w:hAnsi="仿宋" w:eastAsia="仿宋"/>
          <w:sz w:val="24"/>
        </w:rPr>
        <w:t>2.9.1 双方当事人协商一致，可以签订书面补充合同的形式变更合同，但不得违背采购文件确定的事项，且如果系追加与合同标的相同的服务的，那么所有补充合同的采购金额不得超过原合同价的10%；</w:t>
      </w:r>
    </w:p>
    <w:p w14:paraId="016334C1">
      <w:pPr>
        <w:spacing w:line="360" w:lineRule="auto"/>
        <w:ind w:firstLine="480" w:firstLineChars="200"/>
        <w:rPr>
          <w:rFonts w:ascii="仿宋" w:hAnsi="仿宋" w:eastAsia="仿宋"/>
          <w:sz w:val="24"/>
        </w:rPr>
      </w:pPr>
      <w:r>
        <w:rPr>
          <w:rFonts w:hint="eastAsia" w:ascii="仿宋" w:hAnsi="仿宋" w:eastAsia="仿宋"/>
          <w:sz w:val="24"/>
        </w:rPr>
        <w:t>2.9.2 合同继续履行将损害国家利益和社会公共利益的，双方当事人应当以书面形式变更合同。有过错的一方应当承担赔偿责任，双方当事人都有过错的，各自承担相应的责任。</w:t>
      </w:r>
      <w:bookmarkStart w:id="335" w:name="_Toc487900369"/>
      <w:bookmarkStart w:id="336" w:name="_Toc279701259"/>
      <w:bookmarkStart w:id="337" w:name="_Toc259093688"/>
    </w:p>
    <w:p w14:paraId="2A5E366A">
      <w:pPr>
        <w:keepNext/>
        <w:keepLines/>
        <w:spacing w:before="120" w:beforeLines="50" w:after="120" w:afterLines="50"/>
        <w:outlineLvl w:val="2"/>
        <w:rPr>
          <w:rFonts w:ascii="仿宋" w:hAnsi="仿宋" w:eastAsia="仿宋"/>
          <w:b/>
          <w:bCs/>
          <w:sz w:val="30"/>
          <w:szCs w:val="32"/>
        </w:rPr>
      </w:pPr>
      <w:bookmarkStart w:id="338" w:name="_Toc26689"/>
      <w:bookmarkStart w:id="339" w:name="_Toc10663"/>
      <w:bookmarkStart w:id="340" w:name="_Toc534649446"/>
      <w:bookmarkStart w:id="341" w:name="_Toc256000143"/>
      <w:bookmarkStart w:id="342" w:name="_Toc256000098"/>
      <w:bookmarkStart w:id="343" w:name="_Toc23368"/>
      <w:bookmarkStart w:id="344" w:name="_Toc36659897"/>
      <w:bookmarkStart w:id="345" w:name="_Toc24340"/>
      <w:bookmarkStart w:id="346" w:name="_Toc256000038"/>
      <w:bookmarkStart w:id="347" w:name="_Toc42"/>
      <w:bookmarkStart w:id="348" w:name="_Toc256000070"/>
      <w:bookmarkStart w:id="349" w:name="_Toc21830"/>
      <w:r>
        <w:rPr>
          <w:rFonts w:hint="eastAsia" w:ascii="仿宋" w:hAnsi="仿宋" w:eastAsia="仿宋"/>
          <w:b/>
          <w:bCs/>
          <w:sz w:val="30"/>
          <w:szCs w:val="32"/>
        </w:rPr>
        <w:t xml:space="preserve">2.10 </w:t>
      </w:r>
      <w:r>
        <w:rPr>
          <w:rFonts w:ascii="仿宋" w:hAnsi="仿宋" w:eastAsia="仿宋"/>
          <w:b/>
          <w:bCs/>
          <w:sz w:val="30"/>
          <w:szCs w:val="32"/>
        </w:rPr>
        <w:t>合同转让</w:t>
      </w:r>
      <w:bookmarkEnd w:id="335"/>
      <w:bookmarkEnd w:id="336"/>
      <w:bookmarkEnd w:id="337"/>
      <w:r>
        <w:rPr>
          <w:rFonts w:ascii="仿宋" w:hAnsi="仿宋" w:eastAsia="仿宋"/>
          <w:b/>
          <w:bCs/>
          <w:sz w:val="30"/>
          <w:szCs w:val="32"/>
        </w:rPr>
        <w:t>和分包</w:t>
      </w:r>
      <w:bookmarkEnd w:id="338"/>
      <w:bookmarkEnd w:id="339"/>
      <w:bookmarkEnd w:id="340"/>
      <w:bookmarkEnd w:id="341"/>
      <w:bookmarkEnd w:id="342"/>
      <w:bookmarkEnd w:id="343"/>
      <w:bookmarkEnd w:id="344"/>
      <w:bookmarkEnd w:id="345"/>
      <w:bookmarkEnd w:id="346"/>
      <w:bookmarkEnd w:id="347"/>
      <w:bookmarkEnd w:id="348"/>
      <w:bookmarkEnd w:id="349"/>
    </w:p>
    <w:p w14:paraId="0C6B2D0D">
      <w:pPr>
        <w:spacing w:line="360" w:lineRule="auto"/>
        <w:ind w:firstLine="480" w:firstLineChars="200"/>
        <w:rPr>
          <w:rFonts w:ascii="仿宋" w:hAnsi="仿宋" w:eastAsia="仿宋"/>
          <w:sz w:val="24"/>
        </w:rPr>
      </w:pPr>
      <w:r>
        <w:rPr>
          <w:rFonts w:ascii="仿宋" w:hAnsi="仿宋" w:eastAsia="仿宋"/>
          <w:sz w:val="24"/>
        </w:rPr>
        <w:t>合同的权利义务依法不</w:t>
      </w:r>
      <w:r>
        <w:rPr>
          <w:rFonts w:hint="eastAsia" w:ascii="仿宋" w:hAnsi="仿宋" w:eastAsia="仿宋"/>
          <w:sz w:val="24"/>
        </w:rPr>
        <w:t>得</w:t>
      </w:r>
      <w:r>
        <w:rPr>
          <w:rFonts w:ascii="仿宋" w:hAnsi="仿宋" w:eastAsia="仿宋"/>
          <w:sz w:val="24"/>
        </w:rPr>
        <w:t>转让</w:t>
      </w:r>
      <w:r>
        <w:rPr>
          <w:rFonts w:hint="eastAsia" w:ascii="仿宋" w:hAnsi="仿宋" w:eastAsia="仿宋"/>
          <w:sz w:val="24"/>
        </w:rPr>
        <w:t>，</w:t>
      </w:r>
      <w:r>
        <w:rPr>
          <w:rFonts w:ascii="仿宋" w:hAnsi="仿宋" w:eastAsia="仿宋"/>
          <w:sz w:val="24"/>
        </w:rPr>
        <w:t>但经甲方</w:t>
      </w:r>
      <w:r>
        <w:rPr>
          <w:rFonts w:hint="eastAsia" w:ascii="仿宋" w:hAnsi="仿宋" w:eastAsia="仿宋"/>
          <w:sz w:val="24"/>
        </w:rPr>
        <w:t>同意，乙方可以依法采取分包方式履行合同，即：依法可以</w:t>
      </w:r>
      <w:r>
        <w:rPr>
          <w:rFonts w:ascii="仿宋" w:hAnsi="仿宋" w:eastAsia="仿宋"/>
          <w:sz w:val="24"/>
        </w:rPr>
        <w:t>将合同项下的部分非主体、非关键性工作分包给他人完成</w:t>
      </w:r>
      <w:r>
        <w:rPr>
          <w:rFonts w:hint="eastAsia" w:ascii="仿宋" w:hAnsi="仿宋" w:eastAsia="仿宋"/>
          <w:sz w:val="24"/>
        </w:rPr>
        <w:t>，</w:t>
      </w:r>
      <w:r>
        <w:rPr>
          <w:rFonts w:ascii="仿宋" w:hAnsi="仿宋" w:eastAsia="仿宋"/>
          <w:sz w:val="24"/>
        </w:rPr>
        <w:t>接受分包的人应当具备相应的资格条件，并不得再次分包</w:t>
      </w:r>
      <w:r>
        <w:rPr>
          <w:rFonts w:hint="eastAsia" w:ascii="仿宋" w:hAnsi="仿宋" w:eastAsia="仿宋"/>
          <w:sz w:val="24"/>
        </w:rPr>
        <w:t>，</w:t>
      </w:r>
      <w:r>
        <w:rPr>
          <w:rFonts w:ascii="仿宋" w:hAnsi="仿宋" w:eastAsia="仿宋"/>
          <w:sz w:val="24"/>
        </w:rPr>
        <w:t>且乙方应就分包项目向甲方负责</w:t>
      </w:r>
      <w:r>
        <w:rPr>
          <w:rFonts w:hint="eastAsia" w:ascii="仿宋" w:hAnsi="仿宋" w:eastAsia="仿宋"/>
          <w:sz w:val="24"/>
        </w:rPr>
        <w:t>，</w:t>
      </w:r>
      <w:r>
        <w:rPr>
          <w:rFonts w:ascii="仿宋" w:hAnsi="仿宋" w:eastAsia="仿宋"/>
          <w:sz w:val="24"/>
        </w:rPr>
        <w:t>并</w:t>
      </w:r>
      <w:r>
        <w:rPr>
          <w:rFonts w:hint="eastAsia" w:ascii="仿宋" w:hAnsi="仿宋" w:eastAsia="仿宋"/>
          <w:sz w:val="24"/>
        </w:rPr>
        <w:t>与分包供应商就分包项目向甲方承担连带责任。</w:t>
      </w:r>
    </w:p>
    <w:p w14:paraId="204C4347">
      <w:pPr>
        <w:keepNext/>
        <w:keepLines/>
        <w:spacing w:before="120" w:beforeLines="50" w:after="120" w:afterLines="50"/>
        <w:outlineLvl w:val="2"/>
        <w:rPr>
          <w:rFonts w:ascii="仿宋" w:hAnsi="仿宋" w:eastAsia="仿宋"/>
          <w:b/>
          <w:bCs/>
          <w:sz w:val="30"/>
          <w:szCs w:val="32"/>
        </w:rPr>
      </w:pPr>
      <w:bookmarkStart w:id="350" w:name="_Toc26633"/>
      <w:bookmarkStart w:id="351" w:name="_Toc256000039"/>
      <w:bookmarkStart w:id="352" w:name="_Toc32494"/>
      <w:bookmarkStart w:id="353" w:name="_Toc256000099"/>
      <w:bookmarkStart w:id="354" w:name="_Toc534649447"/>
      <w:bookmarkStart w:id="355" w:name="_Toc29919"/>
      <w:bookmarkStart w:id="356" w:name="_Toc4720"/>
      <w:bookmarkStart w:id="357" w:name="_Toc36659898"/>
      <w:bookmarkStart w:id="358" w:name="_Toc256000071"/>
      <w:bookmarkStart w:id="359" w:name="_Toc25571"/>
      <w:bookmarkStart w:id="360" w:name="_Toc14371"/>
      <w:bookmarkStart w:id="361" w:name="_Toc256000144"/>
      <w:r>
        <w:rPr>
          <w:rFonts w:hint="eastAsia" w:ascii="仿宋" w:hAnsi="仿宋" w:eastAsia="仿宋"/>
          <w:b/>
          <w:bCs/>
          <w:sz w:val="30"/>
          <w:szCs w:val="32"/>
        </w:rPr>
        <w:t>2.11</w:t>
      </w:r>
      <w:r>
        <w:rPr>
          <w:rFonts w:ascii="仿宋" w:hAnsi="仿宋" w:eastAsia="仿宋"/>
          <w:b/>
          <w:bCs/>
          <w:sz w:val="30"/>
          <w:szCs w:val="32"/>
        </w:rPr>
        <w:t xml:space="preserve"> 不可抗力</w:t>
      </w:r>
      <w:bookmarkEnd w:id="350"/>
      <w:bookmarkEnd w:id="351"/>
      <w:bookmarkEnd w:id="352"/>
      <w:bookmarkEnd w:id="353"/>
      <w:bookmarkEnd w:id="354"/>
      <w:bookmarkEnd w:id="355"/>
      <w:bookmarkEnd w:id="356"/>
      <w:bookmarkEnd w:id="357"/>
      <w:bookmarkEnd w:id="358"/>
      <w:bookmarkEnd w:id="359"/>
      <w:bookmarkEnd w:id="360"/>
      <w:bookmarkEnd w:id="361"/>
    </w:p>
    <w:p w14:paraId="37D874CC">
      <w:pPr>
        <w:spacing w:line="360" w:lineRule="auto"/>
        <w:ind w:firstLine="480" w:firstLineChars="200"/>
        <w:rPr>
          <w:rFonts w:ascii="仿宋" w:hAnsi="仿宋" w:eastAsia="仿宋"/>
          <w:sz w:val="24"/>
        </w:rPr>
      </w:pPr>
      <w:r>
        <w:rPr>
          <w:rFonts w:hint="eastAsia" w:ascii="仿宋" w:hAnsi="仿宋" w:eastAsia="仿宋"/>
          <w:sz w:val="24"/>
        </w:rPr>
        <w:t>2.11</w:t>
      </w:r>
      <w:r>
        <w:rPr>
          <w:rFonts w:ascii="仿宋" w:hAnsi="仿宋" w:eastAsia="仿宋"/>
          <w:sz w:val="24"/>
        </w:rPr>
        <w:t>.1如果任何一方遭遇法律规定的不可抗力，致使合同履行受阻时，履行合同的期限应予延长，延长的期限应相当于不可抗力所影响的时间</w:t>
      </w:r>
      <w:r>
        <w:rPr>
          <w:rFonts w:hint="eastAsia" w:ascii="仿宋" w:hAnsi="仿宋" w:eastAsia="仿宋"/>
          <w:sz w:val="24"/>
        </w:rPr>
        <w:t>；</w:t>
      </w:r>
    </w:p>
    <w:p w14:paraId="7FD16EC7">
      <w:pPr>
        <w:spacing w:line="360" w:lineRule="auto"/>
        <w:ind w:firstLine="480" w:firstLineChars="200"/>
        <w:rPr>
          <w:rFonts w:ascii="仿宋" w:hAnsi="仿宋" w:eastAsia="仿宋"/>
          <w:sz w:val="24"/>
        </w:rPr>
      </w:pPr>
      <w:r>
        <w:rPr>
          <w:rFonts w:hint="eastAsia" w:ascii="仿宋" w:hAnsi="仿宋" w:eastAsia="仿宋"/>
          <w:sz w:val="24"/>
        </w:rPr>
        <w:t>2.11.2 因不可抗力致使不能实现合同目的的，当事人可以解除合同；</w:t>
      </w:r>
    </w:p>
    <w:p w14:paraId="55759243">
      <w:pPr>
        <w:spacing w:line="360" w:lineRule="auto"/>
        <w:ind w:firstLine="480" w:firstLineChars="200"/>
        <w:rPr>
          <w:rFonts w:ascii="仿宋" w:hAnsi="仿宋" w:eastAsia="仿宋"/>
          <w:sz w:val="24"/>
        </w:rPr>
      </w:pPr>
      <w:r>
        <w:rPr>
          <w:rFonts w:hint="eastAsia" w:ascii="仿宋" w:hAnsi="仿宋" w:eastAsia="仿宋"/>
          <w:sz w:val="24"/>
        </w:rPr>
        <w:t>2.11.3 因</w:t>
      </w:r>
      <w:r>
        <w:rPr>
          <w:rFonts w:ascii="仿宋" w:hAnsi="仿宋" w:eastAsia="仿宋"/>
          <w:sz w:val="24"/>
        </w:rPr>
        <w:t>不可抗力致使合同有变更必要的，双方当事人应在</w:t>
      </w:r>
      <w:r>
        <w:rPr>
          <w:rFonts w:ascii="仿宋" w:hAnsi="仿宋" w:eastAsia="仿宋"/>
          <w:b/>
          <w:i/>
          <w:sz w:val="24"/>
          <w:u w:val="single"/>
        </w:rPr>
        <w:t>合同专用条款</w:t>
      </w:r>
      <w:r>
        <w:rPr>
          <w:rFonts w:ascii="仿宋" w:hAnsi="仿宋" w:eastAsia="仿宋"/>
          <w:sz w:val="24"/>
        </w:rPr>
        <w:t>约定时间内以书面形式变更合同</w:t>
      </w:r>
      <w:r>
        <w:rPr>
          <w:rFonts w:hint="eastAsia" w:ascii="仿宋" w:hAnsi="仿宋" w:eastAsia="仿宋"/>
          <w:sz w:val="24"/>
        </w:rPr>
        <w:t>；</w:t>
      </w:r>
    </w:p>
    <w:p w14:paraId="583AB7F8">
      <w:pPr>
        <w:spacing w:line="360" w:lineRule="auto"/>
        <w:ind w:firstLine="480" w:firstLineChars="200"/>
        <w:rPr>
          <w:rFonts w:ascii="仿宋" w:hAnsi="仿宋" w:eastAsia="仿宋"/>
          <w:sz w:val="24"/>
        </w:rPr>
      </w:pPr>
      <w:r>
        <w:rPr>
          <w:rFonts w:hint="eastAsia" w:ascii="仿宋" w:hAnsi="仿宋" w:eastAsia="仿宋"/>
          <w:sz w:val="24"/>
        </w:rPr>
        <w:t>2.11</w:t>
      </w:r>
      <w:r>
        <w:rPr>
          <w:rFonts w:ascii="仿宋" w:hAnsi="仿宋" w:eastAsia="仿宋"/>
          <w:sz w:val="24"/>
        </w:rPr>
        <w:t>.</w:t>
      </w:r>
      <w:r>
        <w:rPr>
          <w:rFonts w:hint="eastAsia" w:ascii="仿宋" w:hAnsi="仿宋" w:eastAsia="仿宋"/>
          <w:sz w:val="24"/>
        </w:rPr>
        <w:t>4</w:t>
      </w:r>
      <w:r>
        <w:rPr>
          <w:rFonts w:ascii="仿宋" w:hAnsi="仿宋" w:eastAsia="仿宋"/>
          <w:sz w:val="24"/>
        </w:rPr>
        <w:t>受</w:t>
      </w:r>
      <w:r>
        <w:rPr>
          <w:rFonts w:hint="eastAsia" w:ascii="仿宋" w:hAnsi="仿宋" w:eastAsia="仿宋"/>
          <w:sz w:val="24"/>
        </w:rPr>
        <w:t>不可抗力</w:t>
      </w:r>
      <w:r>
        <w:rPr>
          <w:rFonts w:ascii="仿宋" w:hAnsi="仿宋" w:eastAsia="仿宋"/>
          <w:sz w:val="24"/>
        </w:rPr>
        <w:t>影响的一方在不可抗力发生后</w:t>
      </w:r>
      <w:r>
        <w:rPr>
          <w:rFonts w:hint="eastAsia" w:ascii="仿宋" w:hAnsi="仿宋" w:eastAsia="仿宋"/>
          <w:sz w:val="24"/>
        </w:rPr>
        <w:t>，</w:t>
      </w:r>
      <w:r>
        <w:rPr>
          <w:rFonts w:ascii="仿宋" w:hAnsi="仿宋" w:eastAsia="仿宋"/>
          <w:sz w:val="24"/>
        </w:rPr>
        <w:t>应在</w:t>
      </w:r>
      <w:r>
        <w:rPr>
          <w:rFonts w:ascii="仿宋" w:hAnsi="仿宋" w:eastAsia="仿宋"/>
          <w:b/>
          <w:i/>
          <w:sz w:val="24"/>
          <w:u w:val="single"/>
        </w:rPr>
        <w:t>合同专用条款</w:t>
      </w:r>
      <w:r>
        <w:rPr>
          <w:rFonts w:ascii="仿宋" w:hAnsi="仿宋" w:eastAsia="仿宋"/>
          <w:sz w:val="24"/>
        </w:rPr>
        <w:t>约定时间内以书面形式通知</w:t>
      </w:r>
      <w:r>
        <w:rPr>
          <w:rFonts w:hint="eastAsia" w:ascii="仿宋" w:hAnsi="仿宋" w:eastAsia="仿宋"/>
          <w:sz w:val="24"/>
        </w:rPr>
        <w:t>对</w:t>
      </w:r>
      <w:r>
        <w:rPr>
          <w:rFonts w:ascii="仿宋" w:hAnsi="仿宋" w:eastAsia="仿宋"/>
          <w:sz w:val="24"/>
        </w:rPr>
        <w:t>方当事人，并在</w:t>
      </w:r>
      <w:r>
        <w:rPr>
          <w:rFonts w:ascii="仿宋" w:hAnsi="仿宋" w:eastAsia="仿宋"/>
          <w:b/>
          <w:i/>
          <w:sz w:val="24"/>
          <w:u w:val="single"/>
        </w:rPr>
        <w:t>合同专用条款</w:t>
      </w:r>
      <w:r>
        <w:rPr>
          <w:rFonts w:ascii="仿宋" w:hAnsi="仿宋" w:eastAsia="仿宋"/>
          <w:sz w:val="24"/>
        </w:rPr>
        <w:t>约定时间内，将有关部门出具的证明文件送达</w:t>
      </w:r>
      <w:r>
        <w:rPr>
          <w:rFonts w:hint="eastAsia" w:ascii="仿宋" w:hAnsi="仿宋" w:eastAsia="仿宋"/>
          <w:sz w:val="24"/>
        </w:rPr>
        <w:t>对方当事人</w:t>
      </w:r>
      <w:r>
        <w:rPr>
          <w:rFonts w:ascii="仿宋" w:hAnsi="仿宋" w:eastAsia="仿宋"/>
          <w:sz w:val="24"/>
        </w:rPr>
        <w:t>。</w:t>
      </w:r>
    </w:p>
    <w:p w14:paraId="3F7DEB30">
      <w:pPr>
        <w:keepNext/>
        <w:keepLines/>
        <w:spacing w:before="120" w:beforeLines="50" w:after="120" w:afterLines="50" w:line="312" w:lineRule="auto"/>
        <w:outlineLvl w:val="2"/>
        <w:rPr>
          <w:rFonts w:ascii="仿宋" w:hAnsi="仿宋" w:eastAsia="仿宋"/>
          <w:b/>
          <w:bCs/>
          <w:sz w:val="30"/>
          <w:szCs w:val="32"/>
        </w:rPr>
      </w:pPr>
      <w:bookmarkStart w:id="362" w:name="_Toc256000100"/>
      <w:bookmarkStart w:id="363" w:name="_Toc534649448"/>
      <w:bookmarkStart w:id="364" w:name="_Toc25783"/>
      <w:bookmarkStart w:id="365" w:name="_Toc36659899"/>
      <w:bookmarkStart w:id="366" w:name="_Toc3638"/>
      <w:bookmarkStart w:id="367" w:name="_Toc23854"/>
      <w:bookmarkStart w:id="368" w:name="_Toc24465"/>
      <w:bookmarkStart w:id="369" w:name="_Toc279701255"/>
      <w:bookmarkStart w:id="370" w:name="_Toc487900365"/>
      <w:bookmarkStart w:id="371" w:name="_Toc256000145"/>
      <w:bookmarkStart w:id="372" w:name="_Toc29144"/>
      <w:bookmarkStart w:id="373" w:name="_Toc259093684"/>
      <w:bookmarkStart w:id="374" w:name="_Toc14115"/>
      <w:bookmarkStart w:id="375" w:name="_Toc256000072"/>
      <w:bookmarkStart w:id="376" w:name="_Toc256000040"/>
      <w:r>
        <w:rPr>
          <w:rFonts w:hint="eastAsia" w:ascii="仿宋" w:hAnsi="仿宋" w:eastAsia="仿宋"/>
          <w:b/>
          <w:bCs/>
          <w:sz w:val="30"/>
          <w:szCs w:val="32"/>
        </w:rPr>
        <w:t>2.</w:t>
      </w:r>
      <w:r>
        <w:rPr>
          <w:rFonts w:ascii="仿宋" w:hAnsi="仿宋" w:eastAsia="仿宋"/>
          <w:b/>
          <w:bCs/>
          <w:sz w:val="30"/>
          <w:szCs w:val="32"/>
        </w:rPr>
        <w:t>1</w:t>
      </w:r>
      <w:r>
        <w:rPr>
          <w:rFonts w:hint="eastAsia" w:ascii="仿宋" w:hAnsi="仿宋" w:eastAsia="仿宋"/>
          <w:b/>
          <w:bCs/>
          <w:sz w:val="30"/>
          <w:szCs w:val="32"/>
        </w:rPr>
        <w:t xml:space="preserve">2 </w:t>
      </w:r>
      <w:r>
        <w:rPr>
          <w:rFonts w:ascii="仿宋" w:hAnsi="仿宋" w:eastAsia="仿宋"/>
          <w:b/>
          <w:bCs/>
          <w:sz w:val="30"/>
          <w:szCs w:val="32"/>
        </w:rPr>
        <w:t>税费</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34451C02">
      <w:pPr>
        <w:spacing w:line="312" w:lineRule="auto"/>
        <w:ind w:firstLine="480" w:firstLineChars="200"/>
        <w:rPr>
          <w:rFonts w:ascii="仿宋" w:hAnsi="仿宋" w:eastAsia="仿宋"/>
          <w:sz w:val="24"/>
        </w:rPr>
      </w:pPr>
      <w:r>
        <w:rPr>
          <w:rFonts w:ascii="仿宋" w:hAnsi="仿宋" w:eastAsia="仿宋"/>
          <w:sz w:val="24"/>
        </w:rPr>
        <w:t>与合同有关的一切税费</w:t>
      </w:r>
      <w:r>
        <w:rPr>
          <w:rFonts w:hint="eastAsia" w:ascii="仿宋" w:hAnsi="仿宋" w:eastAsia="仿宋"/>
          <w:sz w:val="24"/>
        </w:rPr>
        <w:t>，</w:t>
      </w:r>
      <w:r>
        <w:rPr>
          <w:rFonts w:ascii="仿宋" w:hAnsi="仿宋" w:eastAsia="仿宋"/>
          <w:sz w:val="24"/>
        </w:rPr>
        <w:t>均按照中华人民共和国法律的相关规定缴纳。</w:t>
      </w:r>
    </w:p>
    <w:p w14:paraId="5A06778E">
      <w:pPr>
        <w:keepNext/>
        <w:keepLines/>
        <w:spacing w:before="120" w:beforeLines="50" w:after="120" w:afterLines="50" w:line="312" w:lineRule="auto"/>
        <w:outlineLvl w:val="2"/>
        <w:rPr>
          <w:rFonts w:ascii="仿宋" w:hAnsi="仿宋" w:eastAsia="仿宋"/>
          <w:b/>
          <w:bCs/>
          <w:sz w:val="30"/>
          <w:szCs w:val="32"/>
        </w:rPr>
      </w:pPr>
      <w:bookmarkStart w:id="377" w:name="_Toc7315"/>
      <w:bookmarkStart w:id="378" w:name="_Toc279701258"/>
      <w:bookmarkStart w:id="379" w:name="_Toc256000146"/>
      <w:bookmarkStart w:id="380" w:name="_Toc487900368"/>
      <w:bookmarkStart w:id="381" w:name="_Toc256000073"/>
      <w:bookmarkStart w:id="382" w:name="_Toc26883"/>
      <w:bookmarkStart w:id="383" w:name="_Toc30105"/>
      <w:bookmarkStart w:id="384" w:name="_Toc14814"/>
      <w:bookmarkStart w:id="385" w:name="_Toc25525"/>
      <w:bookmarkStart w:id="386" w:name="_Toc259093687"/>
      <w:bookmarkStart w:id="387" w:name="_Toc2835"/>
      <w:bookmarkStart w:id="388" w:name="_Toc36659900"/>
      <w:bookmarkStart w:id="389" w:name="_Toc534649449"/>
      <w:bookmarkStart w:id="390" w:name="_Toc256000101"/>
      <w:bookmarkStart w:id="391" w:name="_Toc256000041"/>
      <w:r>
        <w:rPr>
          <w:rFonts w:hint="eastAsia" w:ascii="仿宋" w:hAnsi="仿宋" w:eastAsia="仿宋"/>
          <w:b/>
          <w:bCs/>
          <w:sz w:val="30"/>
          <w:szCs w:val="32"/>
        </w:rPr>
        <w:t>2.</w:t>
      </w:r>
      <w:r>
        <w:rPr>
          <w:rFonts w:ascii="仿宋" w:hAnsi="仿宋" w:eastAsia="仿宋"/>
          <w:b/>
          <w:bCs/>
          <w:sz w:val="30"/>
          <w:szCs w:val="32"/>
        </w:rPr>
        <w:t>1</w:t>
      </w:r>
      <w:r>
        <w:rPr>
          <w:rFonts w:hint="eastAsia" w:ascii="仿宋" w:hAnsi="仿宋" w:eastAsia="仿宋"/>
          <w:b/>
          <w:bCs/>
          <w:sz w:val="30"/>
          <w:szCs w:val="32"/>
        </w:rPr>
        <w:t xml:space="preserve">3 </w:t>
      </w:r>
      <w:r>
        <w:rPr>
          <w:rFonts w:ascii="仿宋" w:hAnsi="仿宋" w:eastAsia="仿宋"/>
          <w:b/>
          <w:bCs/>
          <w:sz w:val="30"/>
          <w:szCs w:val="32"/>
        </w:rPr>
        <w:t>乙方破产</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38A0AA56">
      <w:pPr>
        <w:spacing w:line="312" w:lineRule="auto"/>
        <w:ind w:firstLine="480" w:firstLineChars="200"/>
        <w:rPr>
          <w:rFonts w:ascii="仿宋" w:hAnsi="仿宋" w:eastAsia="仿宋"/>
          <w:sz w:val="24"/>
        </w:rPr>
      </w:pPr>
      <w:r>
        <w:rPr>
          <w:rFonts w:ascii="仿宋" w:hAnsi="仿宋" w:eastAsia="仿宋"/>
          <w:sz w:val="24"/>
        </w:rPr>
        <w:t>如果乙方破产导致合同无法履行时，甲方可以书面形式通知乙方终止合同且不给予乙方任何补偿和赔偿</w:t>
      </w:r>
      <w:r>
        <w:rPr>
          <w:rFonts w:hint="eastAsia" w:ascii="仿宋" w:hAnsi="仿宋" w:eastAsia="仿宋"/>
          <w:sz w:val="24"/>
        </w:rPr>
        <w:t>，但合同的</w:t>
      </w:r>
      <w:r>
        <w:rPr>
          <w:rFonts w:ascii="仿宋" w:hAnsi="仿宋" w:eastAsia="仿宋"/>
          <w:sz w:val="24"/>
        </w:rPr>
        <w:t>终止不损害或不影响甲方已经采取或将要采取的任何要求乙方支付违约金</w:t>
      </w:r>
      <w:r>
        <w:rPr>
          <w:rFonts w:hint="eastAsia" w:ascii="仿宋" w:hAnsi="仿宋" w:eastAsia="仿宋"/>
          <w:sz w:val="24"/>
        </w:rPr>
        <w:t>、</w:t>
      </w:r>
      <w:r>
        <w:rPr>
          <w:rFonts w:ascii="仿宋" w:hAnsi="仿宋" w:eastAsia="仿宋"/>
          <w:sz w:val="24"/>
        </w:rPr>
        <w:t>赔偿损失等的行动或补救措施的权利</w:t>
      </w:r>
      <w:r>
        <w:rPr>
          <w:rFonts w:hint="eastAsia" w:ascii="仿宋" w:hAnsi="仿宋" w:eastAsia="仿宋"/>
          <w:sz w:val="24"/>
        </w:rPr>
        <w:t>。</w:t>
      </w:r>
    </w:p>
    <w:p w14:paraId="33C009FF">
      <w:pPr>
        <w:keepNext/>
        <w:keepLines/>
        <w:spacing w:before="120" w:beforeLines="50" w:after="120" w:afterLines="50" w:line="312" w:lineRule="auto"/>
        <w:outlineLvl w:val="2"/>
        <w:rPr>
          <w:rFonts w:ascii="仿宋" w:hAnsi="仿宋" w:eastAsia="仿宋"/>
          <w:b/>
          <w:bCs/>
          <w:sz w:val="30"/>
          <w:szCs w:val="32"/>
        </w:rPr>
      </w:pPr>
      <w:bookmarkStart w:id="392" w:name="_Toc534649450"/>
      <w:bookmarkStart w:id="393" w:name="_Toc256000102"/>
      <w:bookmarkStart w:id="394" w:name="_Toc256000042"/>
      <w:bookmarkStart w:id="395" w:name="_Toc1123"/>
      <w:bookmarkStart w:id="396" w:name="_Toc2016"/>
      <w:bookmarkStart w:id="397" w:name="_Toc256000147"/>
      <w:bookmarkStart w:id="398" w:name="_Toc36659901"/>
      <w:bookmarkStart w:id="399" w:name="_Toc28003"/>
      <w:bookmarkStart w:id="400" w:name="_Toc23323"/>
      <w:bookmarkStart w:id="401" w:name="_Toc256000074"/>
      <w:r>
        <w:rPr>
          <w:rFonts w:ascii="仿宋" w:hAnsi="仿宋" w:eastAsia="仿宋"/>
          <w:b/>
          <w:bCs/>
          <w:sz w:val="30"/>
          <w:szCs w:val="32"/>
        </w:rPr>
        <w:t>2.14 合同中止、终止</w:t>
      </w:r>
      <w:bookmarkEnd w:id="392"/>
      <w:bookmarkEnd w:id="393"/>
      <w:bookmarkEnd w:id="394"/>
      <w:bookmarkEnd w:id="395"/>
      <w:bookmarkEnd w:id="396"/>
      <w:bookmarkEnd w:id="397"/>
      <w:bookmarkEnd w:id="398"/>
      <w:bookmarkEnd w:id="399"/>
      <w:bookmarkEnd w:id="400"/>
      <w:bookmarkEnd w:id="401"/>
    </w:p>
    <w:p w14:paraId="65E1942C">
      <w:pPr>
        <w:spacing w:line="312" w:lineRule="auto"/>
        <w:ind w:firstLine="480" w:firstLineChars="200"/>
        <w:rPr>
          <w:rFonts w:ascii="仿宋" w:hAnsi="仿宋" w:eastAsia="仿宋"/>
          <w:sz w:val="24"/>
        </w:rPr>
      </w:pPr>
      <w:r>
        <w:rPr>
          <w:rFonts w:hint="eastAsia" w:ascii="仿宋" w:hAnsi="仿宋" w:eastAsia="仿宋"/>
          <w:sz w:val="24"/>
        </w:rPr>
        <w:t>2.14.1 双方当事人不得擅自中止或者终止合同；</w:t>
      </w:r>
    </w:p>
    <w:p w14:paraId="51C1DEB1">
      <w:pPr>
        <w:spacing w:line="312" w:lineRule="auto"/>
        <w:ind w:firstLine="480" w:firstLineChars="200"/>
        <w:rPr>
          <w:rFonts w:ascii="仿宋" w:hAnsi="仿宋" w:eastAsia="仿宋"/>
          <w:sz w:val="24"/>
        </w:rPr>
      </w:pPr>
      <w:r>
        <w:rPr>
          <w:rFonts w:hint="eastAsia" w:ascii="仿宋" w:hAnsi="仿宋" w:eastAsia="仿宋"/>
          <w:sz w:val="24"/>
        </w:rPr>
        <w:t>2.14.2合同继续履行将损害国家利益和社会公共利益的，双方当事人应当中止或者终止合同。有过错的一方应当承担赔偿责任，双方当事人都有过错的，各自承担相应的责任。</w:t>
      </w:r>
    </w:p>
    <w:p w14:paraId="4213135C">
      <w:pPr>
        <w:keepNext/>
        <w:keepLines/>
        <w:spacing w:before="120" w:beforeLines="50" w:after="120" w:afterLines="50" w:line="312" w:lineRule="auto"/>
        <w:outlineLvl w:val="2"/>
        <w:rPr>
          <w:rFonts w:ascii="仿宋" w:hAnsi="仿宋" w:eastAsia="仿宋"/>
          <w:b/>
          <w:bCs/>
          <w:sz w:val="30"/>
          <w:szCs w:val="32"/>
        </w:rPr>
      </w:pPr>
      <w:bookmarkStart w:id="402" w:name="_Toc24860"/>
      <w:bookmarkStart w:id="403" w:name="_Toc1969"/>
      <w:bookmarkStart w:id="404" w:name="_Toc534649451"/>
      <w:bookmarkStart w:id="405" w:name="_Toc256000148"/>
      <w:bookmarkStart w:id="406" w:name="_Toc256000043"/>
      <w:bookmarkStart w:id="407" w:name="_Toc36659902"/>
      <w:bookmarkStart w:id="408" w:name="_Toc17363"/>
      <w:bookmarkStart w:id="409" w:name="_Toc256000075"/>
      <w:bookmarkStart w:id="410" w:name="_Toc256000103"/>
      <w:bookmarkStart w:id="411" w:name="_Toc14525"/>
      <w:r>
        <w:rPr>
          <w:rFonts w:ascii="仿宋" w:hAnsi="仿宋" w:eastAsia="仿宋"/>
          <w:b/>
          <w:bCs/>
          <w:sz w:val="30"/>
          <w:szCs w:val="32"/>
        </w:rPr>
        <w:t>2.15 检验和验收</w:t>
      </w:r>
      <w:bookmarkEnd w:id="402"/>
      <w:bookmarkEnd w:id="403"/>
      <w:bookmarkEnd w:id="404"/>
      <w:bookmarkEnd w:id="405"/>
      <w:bookmarkEnd w:id="406"/>
      <w:bookmarkEnd w:id="407"/>
      <w:bookmarkEnd w:id="408"/>
      <w:bookmarkEnd w:id="409"/>
      <w:bookmarkEnd w:id="410"/>
      <w:bookmarkEnd w:id="411"/>
    </w:p>
    <w:p w14:paraId="5A456A03">
      <w:pPr>
        <w:tabs>
          <w:tab w:val="left" w:pos="360"/>
          <w:tab w:val="left" w:pos="540"/>
          <w:tab w:val="left" w:pos="1080"/>
        </w:tabs>
        <w:spacing w:line="312"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1</w:t>
      </w:r>
      <w:r>
        <w:rPr>
          <w:rFonts w:hint="eastAsia" w:ascii="仿宋" w:hAnsi="仿宋" w:eastAsia="仿宋"/>
          <w:sz w:val="24"/>
        </w:rPr>
        <w:t>5</w:t>
      </w:r>
      <w:r>
        <w:rPr>
          <w:rFonts w:ascii="仿宋" w:hAnsi="仿宋" w:eastAsia="仿宋"/>
          <w:sz w:val="24"/>
        </w:rPr>
        <w:t>.</w:t>
      </w:r>
      <w:r>
        <w:rPr>
          <w:rFonts w:hint="eastAsia" w:ascii="仿宋" w:hAnsi="仿宋" w:eastAsia="仿宋"/>
          <w:sz w:val="24"/>
        </w:rPr>
        <w:t>1 乙方按照</w:t>
      </w:r>
      <w:r>
        <w:rPr>
          <w:rFonts w:ascii="仿宋" w:hAnsi="仿宋" w:eastAsia="仿宋"/>
          <w:b/>
          <w:i/>
          <w:sz w:val="24"/>
          <w:u w:val="single"/>
        </w:rPr>
        <w:t>合同专用条款</w:t>
      </w:r>
      <w:r>
        <w:rPr>
          <w:rFonts w:ascii="仿宋" w:hAnsi="仿宋" w:eastAsia="仿宋"/>
          <w:sz w:val="24"/>
        </w:rPr>
        <w:t>的约定</w:t>
      </w:r>
      <w:r>
        <w:rPr>
          <w:rFonts w:hint="eastAsia" w:ascii="仿宋" w:hAnsi="仿宋" w:eastAsia="仿宋"/>
          <w:sz w:val="24"/>
        </w:rPr>
        <w:t>，</w:t>
      </w:r>
      <w:r>
        <w:rPr>
          <w:rFonts w:ascii="仿宋" w:hAnsi="仿宋" w:eastAsia="仿宋"/>
          <w:sz w:val="24"/>
        </w:rPr>
        <w:t>定期提交服务报告</w:t>
      </w:r>
      <w:r>
        <w:rPr>
          <w:rFonts w:hint="eastAsia" w:ascii="仿宋" w:hAnsi="仿宋" w:eastAsia="仿宋"/>
          <w:sz w:val="24"/>
        </w:rPr>
        <w:t>，甲方按照</w:t>
      </w:r>
      <w:r>
        <w:rPr>
          <w:rFonts w:ascii="仿宋" w:hAnsi="仿宋" w:eastAsia="仿宋"/>
          <w:b/>
          <w:i/>
          <w:sz w:val="24"/>
          <w:u w:val="single"/>
        </w:rPr>
        <w:t>合同专用条款</w:t>
      </w:r>
      <w:r>
        <w:rPr>
          <w:rFonts w:ascii="仿宋" w:hAnsi="仿宋" w:eastAsia="仿宋"/>
          <w:sz w:val="24"/>
        </w:rPr>
        <w:t>的约定进行定期验收</w:t>
      </w:r>
      <w:r>
        <w:rPr>
          <w:rFonts w:hint="eastAsia" w:ascii="仿宋" w:hAnsi="仿宋" w:eastAsia="仿宋"/>
          <w:sz w:val="24"/>
        </w:rPr>
        <w:t>；</w:t>
      </w:r>
    </w:p>
    <w:p w14:paraId="34576B9B">
      <w:pPr>
        <w:tabs>
          <w:tab w:val="left" w:pos="360"/>
          <w:tab w:val="left" w:pos="540"/>
          <w:tab w:val="left" w:pos="1080"/>
        </w:tabs>
        <w:spacing w:line="312" w:lineRule="auto"/>
        <w:ind w:firstLine="480" w:firstLineChars="200"/>
        <w:rPr>
          <w:rFonts w:ascii="仿宋" w:hAnsi="仿宋" w:eastAsia="仿宋"/>
          <w:sz w:val="24"/>
        </w:rPr>
      </w:pPr>
      <w:r>
        <w:rPr>
          <w:rFonts w:hint="eastAsia" w:ascii="仿宋" w:hAnsi="仿宋" w:eastAsia="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EFCEB6F">
      <w:pPr>
        <w:tabs>
          <w:tab w:val="left" w:pos="360"/>
          <w:tab w:val="left" w:pos="540"/>
          <w:tab w:val="left" w:pos="1080"/>
        </w:tabs>
        <w:spacing w:line="312" w:lineRule="auto"/>
        <w:ind w:firstLine="480" w:firstLineChars="200"/>
        <w:rPr>
          <w:rFonts w:ascii="仿宋" w:hAnsi="仿宋" w:eastAsia="仿宋"/>
          <w:sz w:val="24"/>
        </w:rPr>
      </w:pPr>
      <w:r>
        <w:rPr>
          <w:rFonts w:hint="eastAsia" w:ascii="仿宋" w:hAnsi="仿宋" w:eastAsia="仿宋"/>
          <w:sz w:val="24"/>
        </w:rPr>
        <w:t>2.15.3 检验和验收标准、程序等具体内容以及前述验收书的效力详见</w:t>
      </w:r>
      <w:r>
        <w:rPr>
          <w:rFonts w:ascii="仿宋" w:hAnsi="仿宋" w:eastAsia="仿宋"/>
          <w:b/>
          <w:i/>
          <w:sz w:val="24"/>
          <w:u w:val="single"/>
        </w:rPr>
        <w:t>合同专用条款</w:t>
      </w:r>
      <w:r>
        <w:rPr>
          <w:rFonts w:hint="eastAsia" w:ascii="仿宋" w:hAnsi="仿宋" w:eastAsia="仿宋"/>
          <w:i/>
          <w:sz w:val="24"/>
        </w:rPr>
        <w:t>。</w:t>
      </w:r>
    </w:p>
    <w:bookmarkEnd w:id="331"/>
    <w:bookmarkEnd w:id="332"/>
    <w:bookmarkEnd w:id="333"/>
    <w:bookmarkEnd w:id="334"/>
    <w:p w14:paraId="055867B3">
      <w:pPr>
        <w:keepNext/>
        <w:keepLines/>
        <w:spacing w:before="120" w:beforeLines="50" w:after="120" w:afterLines="50" w:line="312" w:lineRule="auto"/>
        <w:outlineLvl w:val="2"/>
        <w:rPr>
          <w:rFonts w:ascii="仿宋" w:hAnsi="仿宋" w:eastAsia="仿宋"/>
          <w:b/>
          <w:bCs/>
          <w:sz w:val="30"/>
          <w:szCs w:val="32"/>
        </w:rPr>
      </w:pPr>
      <w:bookmarkStart w:id="412" w:name="_Toc259093690"/>
      <w:bookmarkStart w:id="413" w:name="_Toc487900371"/>
      <w:bookmarkStart w:id="414" w:name="_Toc279701261"/>
      <w:bookmarkStart w:id="415" w:name="_Toc9808"/>
      <w:bookmarkStart w:id="416" w:name="_Toc36659903"/>
      <w:bookmarkStart w:id="417" w:name="_Toc256000044"/>
      <w:bookmarkStart w:id="418" w:name="_Toc256000104"/>
      <w:bookmarkStart w:id="419" w:name="_Toc2308"/>
      <w:bookmarkStart w:id="420" w:name="_Toc534649452"/>
      <w:bookmarkStart w:id="421" w:name="_Toc25198"/>
      <w:bookmarkStart w:id="422" w:name="_Toc2014"/>
      <w:bookmarkStart w:id="423" w:name="_Toc31892"/>
      <w:bookmarkStart w:id="424" w:name="_Toc256000149"/>
      <w:bookmarkStart w:id="425" w:name="_Toc12666"/>
      <w:bookmarkStart w:id="426" w:name="_Toc256000076"/>
      <w:r>
        <w:rPr>
          <w:rFonts w:hint="eastAsia" w:ascii="仿宋" w:hAnsi="仿宋" w:eastAsia="仿宋"/>
          <w:b/>
          <w:bCs/>
          <w:sz w:val="30"/>
          <w:szCs w:val="32"/>
        </w:rPr>
        <w:t xml:space="preserve">2.16 </w:t>
      </w:r>
      <w:r>
        <w:rPr>
          <w:rFonts w:ascii="仿宋" w:hAnsi="仿宋" w:eastAsia="仿宋"/>
          <w:b/>
          <w:bCs/>
          <w:sz w:val="30"/>
          <w:szCs w:val="32"/>
        </w:rPr>
        <w:t>通知</w:t>
      </w:r>
      <w:bookmarkEnd w:id="412"/>
      <w:bookmarkEnd w:id="413"/>
      <w:bookmarkEnd w:id="414"/>
      <w:r>
        <w:rPr>
          <w:rFonts w:ascii="仿宋" w:hAnsi="仿宋" w:eastAsia="仿宋"/>
          <w:b/>
          <w:bCs/>
          <w:sz w:val="30"/>
          <w:szCs w:val="32"/>
        </w:rPr>
        <w:t>和送达</w:t>
      </w:r>
      <w:bookmarkEnd w:id="415"/>
      <w:bookmarkEnd w:id="416"/>
      <w:bookmarkEnd w:id="417"/>
      <w:bookmarkEnd w:id="418"/>
      <w:bookmarkEnd w:id="419"/>
      <w:bookmarkEnd w:id="420"/>
      <w:bookmarkEnd w:id="421"/>
      <w:bookmarkEnd w:id="422"/>
      <w:bookmarkEnd w:id="423"/>
      <w:bookmarkEnd w:id="424"/>
      <w:bookmarkEnd w:id="425"/>
      <w:bookmarkEnd w:id="426"/>
    </w:p>
    <w:p w14:paraId="5DD5FCEA">
      <w:pPr>
        <w:spacing w:line="312" w:lineRule="auto"/>
        <w:ind w:firstLine="480" w:firstLineChars="200"/>
        <w:rPr>
          <w:rFonts w:ascii="仿宋" w:hAnsi="仿宋" w:eastAsia="仿宋"/>
          <w:sz w:val="24"/>
        </w:rPr>
      </w:pPr>
      <w:bookmarkStart w:id="427" w:name="_Toc29220"/>
      <w:bookmarkStart w:id="428" w:name="_Toc7073"/>
      <w:bookmarkStart w:id="429" w:name="_Toc259093691"/>
      <w:bookmarkStart w:id="430" w:name="_Toc279701262"/>
      <w:bookmarkStart w:id="431" w:name="_Toc487900372"/>
      <w:r>
        <w:rPr>
          <w:rFonts w:hint="eastAsia" w:ascii="仿宋" w:hAnsi="仿宋" w:eastAsia="仿宋"/>
          <w:sz w:val="24"/>
        </w:rPr>
        <w:t>2.16.1 任何一方因履行合同而以合同第一部分尾部所列明的</w:t>
      </w:r>
      <w:r>
        <w:rPr>
          <w:rFonts w:hint="eastAsia" w:ascii="仿宋" w:hAnsi="仿宋" w:eastAsia="仿宋"/>
          <w:sz w:val="24"/>
          <w:u w:val="single"/>
        </w:rPr>
        <w:t>合同履行地</w:t>
      </w:r>
      <w:r>
        <w:rPr>
          <w:rFonts w:hint="eastAsia" w:ascii="仿宋" w:hAnsi="仿宋" w:eastAsia="仿宋"/>
          <w:sz w:val="24"/>
        </w:rPr>
        <w:t>发出的所有通知、文件、材料，均视为已向对方当事人送达；任何一方变更上述送达方式或者地址的，应于</w:t>
      </w:r>
      <w:r>
        <w:rPr>
          <w:rFonts w:hint="eastAsia" w:ascii="仿宋" w:hAnsi="仿宋" w:eastAsia="仿宋"/>
          <w:sz w:val="24"/>
          <w:u w:val="single"/>
        </w:rPr>
        <w:t xml:space="preserve"> 7 </w:t>
      </w:r>
      <w:r>
        <w:rPr>
          <w:rFonts w:hint="eastAsia" w:ascii="仿宋" w:hAnsi="仿宋" w:eastAsia="仿宋"/>
          <w:sz w:val="24"/>
        </w:rPr>
        <w:t>个工作日内书面通知对方当事人，在对方当事人收到有关变更通知之前，变更前的约定送达方式或者地址仍视为有效。</w:t>
      </w:r>
      <w:bookmarkEnd w:id="427"/>
      <w:bookmarkEnd w:id="428"/>
    </w:p>
    <w:p w14:paraId="4A659FD8">
      <w:pPr>
        <w:spacing w:line="312" w:lineRule="auto"/>
        <w:ind w:firstLine="480" w:firstLineChars="200"/>
        <w:rPr>
          <w:rFonts w:ascii="仿宋" w:hAnsi="仿宋" w:eastAsia="仿宋"/>
          <w:sz w:val="24"/>
        </w:rPr>
      </w:pPr>
      <w:bookmarkStart w:id="432" w:name="_Toc27674"/>
      <w:bookmarkStart w:id="433" w:name="_Toc18401"/>
      <w:r>
        <w:rPr>
          <w:rFonts w:hint="eastAsia" w:ascii="仿宋" w:hAnsi="仿宋" w:eastAsia="仿宋"/>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432"/>
      <w:bookmarkEnd w:id="433"/>
    </w:p>
    <w:bookmarkEnd w:id="429"/>
    <w:bookmarkEnd w:id="430"/>
    <w:bookmarkEnd w:id="431"/>
    <w:p w14:paraId="7AD6C762">
      <w:pPr>
        <w:keepNext/>
        <w:keepLines/>
        <w:spacing w:before="120" w:beforeLines="50" w:after="120" w:afterLines="50" w:line="312" w:lineRule="auto"/>
        <w:outlineLvl w:val="2"/>
        <w:rPr>
          <w:rFonts w:ascii="仿宋" w:hAnsi="仿宋" w:eastAsia="仿宋"/>
          <w:b/>
          <w:bCs/>
          <w:sz w:val="30"/>
          <w:szCs w:val="32"/>
        </w:rPr>
      </w:pPr>
      <w:bookmarkStart w:id="434" w:name="_Toc256000150"/>
      <w:bookmarkStart w:id="435" w:name="_Toc28906"/>
      <w:bookmarkStart w:id="436" w:name="_Toc279701263"/>
      <w:bookmarkStart w:id="437" w:name="_Toc12254"/>
      <w:bookmarkStart w:id="438" w:name="_Toc487900373"/>
      <w:bookmarkStart w:id="439" w:name="_Toc20808"/>
      <w:bookmarkStart w:id="440" w:name="_Toc256000045"/>
      <w:bookmarkStart w:id="441" w:name="_Toc259093692"/>
      <w:bookmarkStart w:id="442" w:name="_Toc256000077"/>
      <w:bookmarkStart w:id="443" w:name="_Toc27644"/>
      <w:bookmarkStart w:id="444" w:name="_Toc5063"/>
      <w:bookmarkStart w:id="445" w:name="_Toc22531"/>
      <w:bookmarkStart w:id="446" w:name="_Toc36659904"/>
      <w:bookmarkStart w:id="447" w:name="_Toc534649453"/>
      <w:bookmarkStart w:id="448" w:name="_Toc256000105"/>
      <w:r>
        <w:rPr>
          <w:rFonts w:hint="eastAsia" w:ascii="仿宋" w:hAnsi="仿宋" w:eastAsia="仿宋"/>
          <w:b/>
          <w:bCs/>
          <w:sz w:val="30"/>
          <w:szCs w:val="32"/>
        </w:rPr>
        <w:t>2.17 合同使用的文字和</w:t>
      </w:r>
      <w:r>
        <w:rPr>
          <w:rFonts w:ascii="仿宋" w:hAnsi="仿宋" w:eastAsia="仿宋"/>
          <w:b/>
          <w:bCs/>
          <w:sz w:val="30"/>
          <w:szCs w:val="32"/>
        </w:rPr>
        <w:t>适用的法律</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68C8873B">
      <w:pPr>
        <w:spacing w:line="312" w:lineRule="auto"/>
        <w:ind w:firstLine="480" w:firstLineChars="200"/>
        <w:rPr>
          <w:rFonts w:ascii="仿宋" w:hAnsi="仿宋" w:eastAsia="仿宋"/>
          <w:sz w:val="24"/>
        </w:rPr>
      </w:pPr>
      <w:r>
        <w:rPr>
          <w:rFonts w:hint="eastAsia" w:ascii="仿宋" w:hAnsi="仿宋" w:eastAsia="仿宋"/>
          <w:sz w:val="24"/>
        </w:rPr>
        <w:t>2.17</w:t>
      </w:r>
      <w:r>
        <w:rPr>
          <w:rFonts w:ascii="仿宋" w:hAnsi="仿宋" w:eastAsia="仿宋"/>
          <w:sz w:val="24"/>
        </w:rPr>
        <w:t>.1</w:t>
      </w:r>
      <w:r>
        <w:rPr>
          <w:rFonts w:hint="eastAsia" w:ascii="仿宋" w:hAnsi="仿宋" w:eastAsia="仿宋"/>
          <w:sz w:val="24"/>
        </w:rPr>
        <w:t xml:space="preserve"> </w:t>
      </w:r>
      <w:r>
        <w:rPr>
          <w:rFonts w:ascii="仿宋" w:hAnsi="仿宋" w:eastAsia="仿宋"/>
          <w:sz w:val="24"/>
        </w:rPr>
        <w:t>合同使用汉语书就</w:t>
      </w:r>
      <w:r>
        <w:rPr>
          <w:rFonts w:hint="eastAsia" w:ascii="仿宋" w:hAnsi="仿宋" w:eastAsia="仿宋"/>
          <w:sz w:val="24"/>
        </w:rPr>
        <w:t>、</w:t>
      </w:r>
      <w:r>
        <w:rPr>
          <w:rFonts w:ascii="仿宋" w:hAnsi="仿宋" w:eastAsia="仿宋"/>
          <w:sz w:val="24"/>
        </w:rPr>
        <w:t>变更和解释</w:t>
      </w:r>
      <w:r>
        <w:rPr>
          <w:rFonts w:hint="eastAsia" w:ascii="仿宋" w:hAnsi="仿宋" w:eastAsia="仿宋"/>
          <w:sz w:val="24"/>
        </w:rPr>
        <w:t>；</w:t>
      </w:r>
    </w:p>
    <w:p w14:paraId="3A2FAD0E">
      <w:pPr>
        <w:spacing w:line="312" w:lineRule="auto"/>
        <w:ind w:firstLine="480" w:firstLineChars="200"/>
        <w:rPr>
          <w:rFonts w:ascii="仿宋" w:hAnsi="仿宋" w:eastAsia="仿宋"/>
          <w:sz w:val="24"/>
        </w:rPr>
      </w:pPr>
      <w:r>
        <w:rPr>
          <w:rFonts w:hint="eastAsia" w:ascii="仿宋" w:hAnsi="仿宋" w:eastAsia="仿宋"/>
          <w:sz w:val="24"/>
        </w:rPr>
        <w:t>2.17.2 合同适用</w:t>
      </w:r>
      <w:r>
        <w:rPr>
          <w:rFonts w:ascii="仿宋" w:hAnsi="仿宋" w:eastAsia="仿宋"/>
          <w:sz w:val="24"/>
        </w:rPr>
        <w:t>中华人民共和国法律。</w:t>
      </w:r>
    </w:p>
    <w:p w14:paraId="27A00477">
      <w:pPr>
        <w:keepNext/>
        <w:keepLines/>
        <w:spacing w:before="120" w:beforeLines="50" w:after="120" w:afterLines="50" w:line="312" w:lineRule="auto"/>
        <w:outlineLvl w:val="2"/>
        <w:rPr>
          <w:rFonts w:ascii="仿宋" w:hAnsi="仿宋" w:eastAsia="仿宋"/>
          <w:b/>
          <w:bCs/>
          <w:sz w:val="30"/>
          <w:szCs w:val="32"/>
        </w:rPr>
      </w:pPr>
      <w:bookmarkStart w:id="449" w:name="_Toc36659905"/>
      <w:bookmarkStart w:id="450" w:name="_Toc256000151"/>
      <w:bookmarkStart w:id="451" w:name="_Toc1492"/>
      <w:bookmarkStart w:id="452" w:name="_Toc256000106"/>
      <w:bookmarkStart w:id="453" w:name="_Toc256000046"/>
      <w:bookmarkStart w:id="454" w:name="_Toc31687"/>
      <w:bookmarkStart w:id="455" w:name="_Toc279701264"/>
      <w:bookmarkStart w:id="456" w:name="_Toc256000078"/>
      <w:bookmarkStart w:id="457" w:name="_Toc27127"/>
      <w:bookmarkStart w:id="458" w:name="_Toc30096"/>
      <w:bookmarkStart w:id="459" w:name="_Toc534649454"/>
      <w:bookmarkStart w:id="460" w:name="_Toc27403"/>
      <w:bookmarkStart w:id="461" w:name="_Toc259093693"/>
      <w:bookmarkStart w:id="462" w:name="_Toc22266"/>
      <w:bookmarkStart w:id="463" w:name="_Toc487900374"/>
      <w:r>
        <w:rPr>
          <w:rFonts w:hint="eastAsia" w:ascii="仿宋" w:hAnsi="仿宋" w:eastAsia="仿宋"/>
          <w:b/>
          <w:bCs/>
          <w:sz w:val="30"/>
          <w:szCs w:val="32"/>
        </w:rPr>
        <w:t xml:space="preserve">2.18 </w:t>
      </w:r>
      <w:r>
        <w:rPr>
          <w:rFonts w:ascii="仿宋" w:hAnsi="仿宋" w:eastAsia="仿宋"/>
          <w:b/>
          <w:bCs/>
          <w:sz w:val="30"/>
          <w:szCs w:val="32"/>
        </w:rPr>
        <w:t>履约保证金</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14:paraId="6D0DCC21">
      <w:pPr>
        <w:spacing w:line="312" w:lineRule="auto"/>
        <w:ind w:firstLine="480" w:firstLineChars="200"/>
        <w:rPr>
          <w:rFonts w:ascii="仿宋" w:hAnsi="仿宋" w:eastAsia="仿宋"/>
          <w:sz w:val="24"/>
        </w:rPr>
      </w:pPr>
      <w:r>
        <w:rPr>
          <w:rFonts w:hint="eastAsia" w:ascii="仿宋" w:hAnsi="仿宋" w:eastAsia="仿宋"/>
          <w:sz w:val="24"/>
        </w:rPr>
        <w:t>2.18.1 采购文件要求乙方提交履约保证金的，乙方</w:t>
      </w:r>
      <w:r>
        <w:rPr>
          <w:rFonts w:ascii="仿宋" w:hAnsi="仿宋" w:eastAsia="仿宋"/>
          <w:sz w:val="24"/>
        </w:rPr>
        <w:t>应按</w:t>
      </w:r>
      <w:r>
        <w:rPr>
          <w:rFonts w:ascii="仿宋" w:hAnsi="仿宋" w:eastAsia="仿宋"/>
          <w:b/>
          <w:i/>
          <w:sz w:val="24"/>
          <w:u w:val="single"/>
        </w:rPr>
        <w:t>合同专用条款</w:t>
      </w:r>
      <w:r>
        <w:rPr>
          <w:rFonts w:ascii="仿宋" w:hAnsi="仿宋" w:eastAsia="仿宋"/>
          <w:sz w:val="24"/>
        </w:rPr>
        <w:t>约定的方式</w:t>
      </w:r>
      <w:r>
        <w:rPr>
          <w:rFonts w:hint="eastAsia" w:ascii="仿宋" w:hAnsi="仿宋" w:eastAsia="仿宋"/>
          <w:sz w:val="24"/>
        </w:rPr>
        <w:t>，以支票、汇票、本票或者金融机构、担保机构出具的保函等非现金形式，提交不超过合同价10%的履约保证金；</w:t>
      </w:r>
    </w:p>
    <w:p w14:paraId="4193663F">
      <w:pPr>
        <w:spacing w:line="312" w:lineRule="auto"/>
        <w:ind w:firstLine="480" w:firstLineChars="200"/>
        <w:rPr>
          <w:rFonts w:ascii="仿宋" w:hAnsi="仿宋" w:eastAsia="仿宋"/>
          <w:sz w:val="24"/>
        </w:rPr>
      </w:pPr>
      <w:r>
        <w:rPr>
          <w:rFonts w:hint="eastAsia" w:ascii="仿宋" w:hAnsi="仿宋" w:eastAsia="仿宋"/>
          <w:sz w:val="24"/>
        </w:rPr>
        <w:t>2.18</w:t>
      </w:r>
      <w:r>
        <w:rPr>
          <w:rFonts w:ascii="仿宋" w:hAnsi="仿宋" w:eastAsia="仿宋"/>
          <w:sz w:val="24"/>
        </w:rPr>
        <w:t>.2</w:t>
      </w:r>
      <w:r>
        <w:rPr>
          <w:rFonts w:hint="eastAsia" w:ascii="仿宋" w:hAnsi="仿宋" w:eastAsia="仿宋"/>
          <w:sz w:val="24"/>
        </w:rPr>
        <w:t xml:space="preserve"> </w:t>
      </w:r>
      <w:r>
        <w:rPr>
          <w:rFonts w:ascii="仿宋" w:hAnsi="仿宋" w:eastAsia="仿宋"/>
          <w:sz w:val="24"/>
        </w:rPr>
        <w:t>履约保证金在</w:t>
      </w:r>
      <w:r>
        <w:rPr>
          <w:rFonts w:ascii="仿宋" w:hAnsi="仿宋" w:eastAsia="仿宋"/>
          <w:b/>
          <w:i/>
          <w:sz w:val="24"/>
          <w:u w:val="single"/>
        </w:rPr>
        <w:t>合同专用条款</w:t>
      </w:r>
      <w:r>
        <w:rPr>
          <w:rFonts w:ascii="仿宋" w:hAnsi="仿宋" w:eastAsia="仿宋"/>
          <w:sz w:val="24"/>
        </w:rPr>
        <w:t>约定期间</w:t>
      </w:r>
      <w:r>
        <w:rPr>
          <w:rFonts w:hint="eastAsia" w:ascii="仿宋" w:hAnsi="仿宋" w:eastAsia="仿宋"/>
          <w:sz w:val="24"/>
        </w:rPr>
        <w:t>内</w:t>
      </w:r>
      <w:r>
        <w:rPr>
          <w:rFonts w:ascii="仿宋" w:hAnsi="仿宋" w:eastAsia="仿宋"/>
          <w:sz w:val="24"/>
        </w:rPr>
        <w:t>不予退还或者应完全有效</w:t>
      </w:r>
      <w:r>
        <w:rPr>
          <w:rFonts w:hint="eastAsia" w:ascii="仿宋" w:hAnsi="仿宋" w:eastAsia="仿宋"/>
          <w:sz w:val="24"/>
        </w:rPr>
        <w:t>，前述约定期间</w:t>
      </w:r>
      <w:r>
        <w:rPr>
          <w:rFonts w:ascii="仿宋" w:hAnsi="仿宋" w:eastAsia="仿宋"/>
          <w:sz w:val="24"/>
        </w:rPr>
        <w:t>届满之日起</w:t>
      </w:r>
      <w:r>
        <w:rPr>
          <w:rFonts w:hint="eastAsia" w:ascii="仿宋" w:hAnsi="仿宋" w:eastAsia="仿宋"/>
          <w:sz w:val="24"/>
          <w:u w:val="single"/>
        </w:rPr>
        <w:t xml:space="preserve"> 30</w:t>
      </w:r>
      <w:r>
        <w:rPr>
          <w:rFonts w:hint="eastAsia" w:ascii="仿宋" w:hAnsi="仿宋" w:eastAsia="仿宋"/>
          <w:sz w:val="24"/>
        </w:rPr>
        <w:t>个</w:t>
      </w:r>
      <w:r>
        <w:rPr>
          <w:rFonts w:ascii="仿宋" w:hAnsi="仿宋" w:eastAsia="仿宋"/>
          <w:sz w:val="24"/>
        </w:rPr>
        <w:t>工作日内，甲方应将履约保证金退还乙方</w:t>
      </w:r>
      <w:r>
        <w:rPr>
          <w:rFonts w:hint="eastAsia" w:ascii="仿宋" w:hAnsi="仿宋" w:eastAsia="仿宋"/>
          <w:sz w:val="24"/>
        </w:rPr>
        <w:t>；</w:t>
      </w:r>
    </w:p>
    <w:p w14:paraId="47CBC964">
      <w:pPr>
        <w:spacing w:line="312" w:lineRule="auto"/>
        <w:ind w:firstLine="480" w:firstLineChars="200"/>
        <w:rPr>
          <w:rFonts w:ascii="仿宋" w:hAnsi="仿宋" w:eastAsia="仿宋"/>
          <w:sz w:val="24"/>
        </w:rPr>
      </w:pPr>
      <w:r>
        <w:rPr>
          <w:rFonts w:hint="eastAsia" w:ascii="仿宋" w:hAnsi="仿宋" w:eastAsia="仿宋"/>
          <w:sz w:val="24"/>
        </w:rPr>
        <w:t xml:space="preserve">2.18.3 </w:t>
      </w:r>
      <w:r>
        <w:rPr>
          <w:rFonts w:ascii="仿宋" w:hAnsi="仿宋" w:eastAsia="仿宋"/>
          <w:sz w:val="24"/>
        </w:rPr>
        <w:t>如果乙方不履行合同</w:t>
      </w:r>
      <w:r>
        <w:rPr>
          <w:rFonts w:hint="eastAsia" w:ascii="仿宋" w:hAnsi="仿宋" w:eastAsia="仿宋"/>
          <w:sz w:val="24"/>
        </w:rPr>
        <w:t>，履约保证金不予退还；如果乙方</w:t>
      </w:r>
      <w:r>
        <w:rPr>
          <w:rFonts w:ascii="仿宋" w:hAnsi="仿宋" w:eastAsia="仿宋"/>
          <w:sz w:val="24"/>
        </w:rPr>
        <w:t>未能按合同</w:t>
      </w:r>
      <w:r>
        <w:rPr>
          <w:rFonts w:hint="eastAsia" w:ascii="仿宋" w:hAnsi="仿宋" w:eastAsia="仿宋"/>
          <w:sz w:val="24"/>
        </w:rPr>
        <w:t>约</w:t>
      </w:r>
      <w:r>
        <w:rPr>
          <w:rFonts w:ascii="仿宋" w:hAnsi="仿宋" w:eastAsia="仿宋"/>
          <w:sz w:val="24"/>
        </w:rPr>
        <w:t>定全面履行义务，那么甲方有权从履约保证金中取得补偿或赔偿</w:t>
      </w:r>
      <w:r>
        <w:rPr>
          <w:rFonts w:hint="eastAsia" w:ascii="仿宋" w:hAnsi="仿宋" w:eastAsia="仿宋"/>
          <w:sz w:val="24"/>
        </w:rPr>
        <w:t>，同时不影响甲方要求乙方承担合同约定的超过履约保证金的违约责任的权利。</w:t>
      </w:r>
    </w:p>
    <w:bookmarkEnd w:id="463"/>
    <w:p w14:paraId="400B5379">
      <w:pPr>
        <w:keepNext/>
        <w:keepLines/>
        <w:spacing w:before="120" w:beforeLines="50" w:after="120" w:afterLines="50" w:line="312" w:lineRule="auto"/>
        <w:outlineLvl w:val="2"/>
        <w:rPr>
          <w:rFonts w:ascii="仿宋" w:hAnsi="仿宋" w:eastAsia="仿宋"/>
          <w:b/>
          <w:bCs/>
          <w:sz w:val="30"/>
          <w:szCs w:val="32"/>
        </w:rPr>
      </w:pPr>
      <w:bookmarkStart w:id="464" w:name="_Toc256000047"/>
      <w:bookmarkStart w:id="465" w:name="_Toc256000107"/>
      <w:bookmarkStart w:id="466" w:name="_Toc256000152"/>
      <w:bookmarkStart w:id="467" w:name="_Toc256000079"/>
      <w:bookmarkStart w:id="468" w:name="_Toc28563"/>
      <w:bookmarkStart w:id="469" w:name="_Toc36659906"/>
      <w:bookmarkStart w:id="470" w:name="_Toc534649455"/>
      <w:r>
        <w:rPr>
          <w:rFonts w:hint="eastAsia" w:ascii="仿宋" w:hAnsi="仿宋" w:eastAsia="仿宋"/>
          <w:b/>
          <w:bCs/>
          <w:sz w:val="30"/>
          <w:szCs w:val="32"/>
        </w:rPr>
        <w:t>2.19 合同份数</w:t>
      </w:r>
      <w:bookmarkEnd w:id="464"/>
      <w:bookmarkEnd w:id="465"/>
      <w:bookmarkEnd w:id="466"/>
      <w:bookmarkEnd w:id="467"/>
      <w:bookmarkEnd w:id="468"/>
      <w:bookmarkEnd w:id="469"/>
      <w:bookmarkEnd w:id="470"/>
    </w:p>
    <w:p w14:paraId="0AF8850D">
      <w:pPr>
        <w:spacing w:line="312" w:lineRule="auto"/>
        <w:ind w:firstLine="480" w:firstLineChars="200"/>
        <w:rPr>
          <w:rFonts w:ascii="仿宋" w:hAnsi="仿宋" w:eastAsia="仿宋"/>
          <w:sz w:val="24"/>
        </w:rPr>
      </w:pPr>
      <w:r>
        <w:rPr>
          <w:rFonts w:ascii="仿宋" w:hAnsi="仿宋" w:eastAsia="仿宋"/>
          <w:sz w:val="24"/>
        </w:rPr>
        <w:t>合同份数按</w:t>
      </w:r>
      <w:r>
        <w:rPr>
          <w:rFonts w:ascii="仿宋" w:hAnsi="仿宋" w:eastAsia="仿宋"/>
          <w:b/>
          <w:i/>
          <w:sz w:val="24"/>
          <w:u w:val="single"/>
        </w:rPr>
        <w:t>合同专用条款</w:t>
      </w:r>
      <w:r>
        <w:rPr>
          <w:rFonts w:ascii="仿宋" w:hAnsi="仿宋" w:eastAsia="仿宋"/>
          <w:sz w:val="24"/>
        </w:rPr>
        <w:t>规定</w:t>
      </w:r>
      <w:r>
        <w:rPr>
          <w:rFonts w:hint="eastAsia" w:ascii="仿宋" w:hAnsi="仿宋" w:eastAsia="仿宋"/>
          <w:sz w:val="24"/>
        </w:rPr>
        <w:t>，</w:t>
      </w:r>
      <w:r>
        <w:rPr>
          <w:rFonts w:ascii="仿宋" w:hAnsi="仿宋" w:eastAsia="仿宋"/>
          <w:sz w:val="24"/>
        </w:rPr>
        <w:t>每份均具有同等法律效力</w:t>
      </w:r>
      <w:r>
        <w:rPr>
          <w:rFonts w:hint="eastAsia" w:ascii="仿宋" w:hAnsi="仿宋" w:eastAsia="仿宋"/>
          <w:sz w:val="24"/>
        </w:rPr>
        <w:t>。</w:t>
      </w:r>
    </w:p>
    <w:p w14:paraId="40B9DE79">
      <w:pPr>
        <w:keepNext/>
        <w:keepLines/>
        <w:spacing w:line="360" w:lineRule="auto"/>
        <w:jc w:val="center"/>
        <w:outlineLvl w:val="1"/>
        <w:rPr>
          <w:rFonts w:ascii="仿宋" w:hAnsi="仿宋" w:eastAsia="仿宋"/>
          <w:b/>
          <w:bCs/>
          <w:sz w:val="32"/>
          <w:szCs w:val="32"/>
        </w:rPr>
      </w:pPr>
      <w:r>
        <w:rPr>
          <w:rFonts w:ascii="仿宋" w:hAnsi="仿宋" w:eastAsia="仿宋"/>
          <w:b/>
          <w:bCs/>
          <w:sz w:val="32"/>
          <w:szCs w:val="32"/>
        </w:rPr>
        <w:br w:type="page"/>
      </w:r>
      <w:bookmarkStart w:id="471" w:name="_Toc25563"/>
      <w:bookmarkStart w:id="472" w:name="_Toc256000080"/>
      <w:bookmarkStart w:id="473" w:name="_Toc331685784"/>
      <w:bookmarkStart w:id="474" w:name="_Toc534649456"/>
      <w:bookmarkStart w:id="475" w:name="_Toc256000153"/>
      <w:bookmarkStart w:id="476" w:name="_Toc256000108"/>
      <w:bookmarkStart w:id="477" w:name="_Toc36659907"/>
      <w:bookmarkStart w:id="478" w:name="_Toc256000048"/>
      <w:r>
        <w:rPr>
          <w:rFonts w:hint="eastAsia" w:ascii="仿宋" w:hAnsi="仿宋" w:eastAsia="仿宋"/>
          <w:b/>
          <w:bCs/>
          <w:sz w:val="32"/>
          <w:szCs w:val="32"/>
        </w:rPr>
        <w:t>第三部分 合同专用条款</w:t>
      </w:r>
      <w:bookmarkEnd w:id="471"/>
      <w:bookmarkEnd w:id="472"/>
      <w:bookmarkEnd w:id="473"/>
      <w:bookmarkEnd w:id="474"/>
      <w:bookmarkEnd w:id="475"/>
      <w:bookmarkEnd w:id="476"/>
      <w:bookmarkEnd w:id="477"/>
      <w:bookmarkEnd w:id="478"/>
    </w:p>
    <w:p w14:paraId="79321321">
      <w:pPr>
        <w:spacing w:line="360" w:lineRule="auto"/>
        <w:ind w:firstLine="480" w:firstLineChars="200"/>
        <w:rPr>
          <w:rFonts w:ascii="仿宋" w:hAnsi="仿宋" w:eastAsia="仿宋"/>
          <w:sz w:val="24"/>
        </w:rPr>
      </w:pPr>
      <w:r>
        <w:rPr>
          <w:rFonts w:hint="eastAsia" w:ascii="仿宋" w:hAnsi="仿宋" w:eastAsia="仿宋"/>
          <w:sz w:val="24"/>
        </w:rPr>
        <w:t>本部分</w:t>
      </w:r>
      <w:r>
        <w:rPr>
          <w:rFonts w:ascii="仿宋" w:hAnsi="仿宋" w:eastAsia="仿宋"/>
          <w:sz w:val="24"/>
        </w:rPr>
        <w:t>是对</w:t>
      </w:r>
      <w:r>
        <w:rPr>
          <w:rFonts w:hint="eastAsia" w:ascii="仿宋" w:hAnsi="仿宋" w:eastAsia="仿宋"/>
          <w:sz w:val="24"/>
        </w:rPr>
        <w:t>前两</w:t>
      </w:r>
      <w:r>
        <w:rPr>
          <w:rFonts w:ascii="仿宋" w:hAnsi="仿宋" w:eastAsia="仿宋"/>
          <w:sz w:val="24"/>
        </w:rPr>
        <w:t>部分的补充和修改</w:t>
      </w:r>
      <w:r>
        <w:rPr>
          <w:rFonts w:hint="eastAsia" w:ascii="仿宋" w:hAnsi="仿宋" w:eastAsia="仿宋"/>
          <w:sz w:val="24"/>
        </w:rPr>
        <w:t>，</w:t>
      </w:r>
      <w:r>
        <w:rPr>
          <w:rFonts w:ascii="仿宋" w:hAnsi="仿宋" w:eastAsia="仿宋"/>
          <w:sz w:val="24"/>
        </w:rPr>
        <w:t>如果</w:t>
      </w:r>
      <w:r>
        <w:rPr>
          <w:rFonts w:hint="eastAsia" w:ascii="仿宋" w:hAnsi="仿宋" w:eastAsia="仿宋"/>
          <w:sz w:val="24"/>
        </w:rPr>
        <w:t>前两</w:t>
      </w:r>
      <w:r>
        <w:rPr>
          <w:rFonts w:ascii="仿宋" w:hAnsi="仿宋" w:eastAsia="仿宋"/>
          <w:sz w:val="24"/>
        </w:rPr>
        <w:t>部分和本部分的约定不一致</w:t>
      </w:r>
      <w:r>
        <w:rPr>
          <w:rFonts w:hint="eastAsia" w:ascii="仿宋" w:hAnsi="仿宋" w:eastAsia="仿宋"/>
          <w:sz w:val="24"/>
        </w:rPr>
        <w:t>，</w:t>
      </w:r>
      <w:r>
        <w:rPr>
          <w:rFonts w:ascii="仿宋" w:hAnsi="仿宋" w:eastAsia="仿宋"/>
          <w:sz w:val="24"/>
        </w:rPr>
        <w:t>应以本部分的约定为准</w:t>
      </w:r>
      <w:r>
        <w:rPr>
          <w:rFonts w:hint="eastAsia" w:ascii="仿宋" w:hAnsi="仿宋" w:eastAsia="仿宋"/>
          <w:sz w:val="24"/>
        </w:rPr>
        <w:t>。</w:t>
      </w:r>
      <w:r>
        <w:rPr>
          <w:rFonts w:ascii="仿宋" w:hAnsi="仿宋" w:eastAsia="仿宋"/>
          <w:sz w:val="24"/>
        </w:rPr>
        <w:t>本部分的条款号应与</w:t>
      </w:r>
      <w:r>
        <w:rPr>
          <w:rFonts w:hint="eastAsia" w:ascii="仿宋" w:hAnsi="仿宋" w:eastAsia="仿宋"/>
          <w:sz w:val="24"/>
        </w:rPr>
        <w:t>前两部分</w:t>
      </w:r>
      <w:r>
        <w:rPr>
          <w:rFonts w:ascii="仿宋" w:hAnsi="仿宋" w:eastAsia="仿宋"/>
          <w:sz w:val="24"/>
        </w:rPr>
        <w:t>的条款号保持对应</w:t>
      </w:r>
      <w:r>
        <w:rPr>
          <w:rFonts w:hint="eastAsia" w:ascii="仿宋" w:hAnsi="仿宋" w:eastAsia="仿宋"/>
          <w:sz w:val="24"/>
        </w:rPr>
        <w:t>；与前两部分</w:t>
      </w:r>
      <w:r>
        <w:rPr>
          <w:rFonts w:ascii="仿宋" w:hAnsi="仿宋" w:eastAsia="仿宋"/>
          <w:sz w:val="24"/>
        </w:rPr>
        <w:t>无对应关系的内容可另行编制条款号</w:t>
      </w:r>
      <w:r>
        <w:rPr>
          <w:rFonts w:hint="eastAsia" w:ascii="仿宋" w:hAnsi="仿宋" w:eastAsia="仿宋"/>
          <w:sz w:val="24"/>
        </w:rPr>
        <w:t>。</w:t>
      </w:r>
    </w:p>
    <w:tbl>
      <w:tblPr>
        <w:tblStyle w:val="4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874"/>
      </w:tblGrid>
      <w:tr w14:paraId="7F4D9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noWrap w:val="0"/>
            <w:vAlign w:val="center"/>
          </w:tcPr>
          <w:p w14:paraId="4E9FD216">
            <w:pPr>
              <w:spacing w:line="560" w:lineRule="exact"/>
              <w:jc w:val="center"/>
              <w:rPr>
                <w:rFonts w:ascii="仿宋" w:hAnsi="仿宋" w:eastAsia="仿宋"/>
                <w:b/>
                <w:sz w:val="24"/>
              </w:rPr>
            </w:pPr>
            <w:r>
              <w:rPr>
                <w:rFonts w:ascii="仿宋" w:hAnsi="仿宋" w:eastAsia="仿宋"/>
                <w:b/>
                <w:sz w:val="24"/>
              </w:rPr>
              <w:t>条款号</w:t>
            </w:r>
          </w:p>
        </w:tc>
        <w:tc>
          <w:tcPr>
            <w:tcW w:w="7874" w:type="dxa"/>
            <w:noWrap w:val="0"/>
            <w:vAlign w:val="center"/>
          </w:tcPr>
          <w:p w14:paraId="7BD4B7FB">
            <w:pPr>
              <w:spacing w:line="560" w:lineRule="exact"/>
              <w:jc w:val="center"/>
              <w:rPr>
                <w:rFonts w:ascii="仿宋" w:hAnsi="仿宋" w:eastAsia="仿宋"/>
                <w:b/>
                <w:sz w:val="24"/>
              </w:rPr>
            </w:pPr>
            <w:r>
              <w:rPr>
                <w:rFonts w:ascii="仿宋" w:hAnsi="仿宋" w:eastAsia="仿宋"/>
                <w:b/>
                <w:sz w:val="24"/>
              </w:rPr>
              <w:t>约定内容</w:t>
            </w:r>
          </w:p>
        </w:tc>
      </w:tr>
      <w:tr w14:paraId="0374E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801" w:type="dxa"/>
            <w:tcBorders>
              <w:left w:val="single" w:color="auto" w:sz="4" w:space="0"/>
            </w:tcBorders>
            <w:noWrap w:val="0"/>
            <w:vAlign w:val="center"/>
          </w:tcPr>
          <w:p w14:paraId="46C5BD31">
            <w:pPr>
              <w:spacing w:line="560" w:lineRule="exact"/>
              <w:rPr>
                <w:rFonts w:ascii="仿宋" w:hAnsi="仿宋" w:eastAsia="仿宋"/>
                <w:sz w:val="24"/>
              </w:rPr>
            </w:pPr>
            <w:r>
              <w:rPr>
                <w:rFonts w:hint="eastAsia" w:ascii="仿宋" w:hAnsi="仿宋" w:eastAsia="仿宋"/>
                <w:sz w:val="24"/>
              </w:rPr>
              <w:t>2.3.2</w:t>
            </w:r>
          </w:p>
        </w:tc>
        <w:tc>
          <w:tcPr>
            <w:tcW w:w="7874" w:type="dxa"/>
            <w:noWrap w:val="0"/>
            <w:vAlign w:val="center"/>
          </w:tcPr>
          <w:p w14:paraId="7AFA6B19">
            <w:pPr>
              <w:spacing w:line="560" w:lineRule="exact"/>
              <w:rPr>
                <w:rFonts w:ascii="仿宋" w:hAnsi="仿宋" w:eastAsia="仿宋"/>
                <w:sz w:val="24"/>
              </w:rPr>
            </w:pPr>
            <w:r>
              <w:rPr>
                <w:rFonts w:hint="eastAsia" w:ascii="仿宋" w:hAnsi="仿宋" w:eastAsia="仿宋"/>
                <w:sz w:val="24"/>
              </w:rPr>
              <w:t>技术成果的归属为甲乙双方共有。由此产生的收益的分成办法由双方协商。</w:t>
            </w:r>
          </w:p>
        </w:tc>
      </w:tr>
      <w:tr w14:paraId="7783F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801" w:type="dxa"/>
            <w:tcBorders>
              <w:left w:val="single" w:color="auto" w:sz="4" w:space="0"/>
            </w:tcBorders>
            <w:noWrap w:val="0"/>
            <w:vAlign w:val="center"/>
          </w:tcPr>
          <w:p w14:paraId="555C6E21">
            <w:pPr>
              <w:rPr>
                <w:rFonts w:ascii="仿宋" w:hAnsi="仿宋" w:eastAsia="仿宋"/>
                <w:sz w:val="22"/>
                <w:szCs w:val="28"/>
              </w:rPr>
            </w:pPr>
            <w:r>
              <w:rPr>
                <w:rFonts w:hint="eastAsia" w:ascii="仿宋" w:hAnsi="仿宋" w:eastAsia="仿宋"/>
                <w:sz w:val="22"/>
                <w:szCs w:val="28"/>
              </w:rPr>
              <w:t>2.5</w:t>
            </w:r>
          </w:p>
        </w:tc>
        <w:tc>
          <w:tcPr>
            <w:tcW w:w="7874" w:type="dxa"/>
            <w:noWrap w:val="0"/>
            <w:vAlign w:val="center"/>
          </w:tcPr>
          <w:p w14:paraId="3BF2B4A2">
            <w:pPr>
              <w:rPr>
                <w:rFonts w:hint="eastAsia" w:ascii="仿宋" w:hAnsi="仿宋" w:eastAsia="仿宋"/>
                <w:sz w:val="22"/>
                <w:szCs w:val="28"/>
              </w:rPr>
            </w:pPr>
            <w:r>
              <w:rPr>
                <w:rFonts w:hint="eastAsia" w:ascii="仿宋" w:hAnsi="仿宋" w:eastAsia="仿宋"/>
                <w:sz w:val="22"/>
                <w:szCs w:val="28"/>
              </w:rPr>
              <w:t>本合同甲乙双方之间发生的一切费用均以人民币结算及支付，根据进度分次付款。</w:t>
            </w:r>
          </w:p>
        </w:tc>
      </w:tr>
      <w:tr w14:paraId="0B7F5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801" w:type="dxa"/>
            <w:tcBorders>
              <w:left w:val="single" w:color="auto" w:sz="4" w:space="0"/>
            </w:tcBorders>
            <w:noWrap w:val="0"/>
            <w:vAlign w:val="center"/>
          </w:tcPr>
          <w:p w14:paraId="404903C9">
            <w:pPr>
              <w:spacing w:line="560" w:lineRule="exact"/>
              <w:rPr>
                <w:rFonts w:ascii="仿宋" w:hAnsi="仿宋" w:eastAsia="仿宋"/>
                <w:sz w:val="24"/>
              </w:rPr>
            </w:pPr>
            <w:r>
              <w:rPr>
                <w:rFonts w:hint="eastAsia" w:ascii="仿宋" w:hAnsi="仿宋" w:eastAsia="仿宋"/>
                <w:sz w:val="24"/>
              </w:rPr>
              <w:t>2.11.3</w:t>
            </w:r>
          </w:p>
        </w:tc>
        <w:tc>
          <w:tcPr>
            <w:tcW w:w="7874" w:type="dxa"/>
            <w:noWrap w:val="0"/>
            <w:vAlign w:val="center"/>
          </w:tcPr>
          <w:p w14:paraId="3A97F9CB">
            <w:pPr>
              <w:spacing w:line="560" w:lineRule="exact"/>
              <w:rPr>
                <w:rFonts w:ascii="仿宋" w:hAnsi="仿宋" w:eastAsia="仿宋"/>
                <w:sz w:val="24"/>
              </w:rPr>
            </w:pPr>
            <w:r>
              <w:rPr>
                <w:rFonts w:hint="eastAsia" w:ascii="仿宋" w:hAnsi="仿宋" w:eastAsia="仿宋"/>
                <w:sz w:val="24"/>
              </w:rPr>
              <w:t>双方通过协商在7日内达成进一步履行合同的协议，因不可抗力致使合同不能履行的，合同终止。</w:t>
            </w:r>
          </w:p>
        </w:tc>
      </w:tr>
      <w:tr w14:paraId="2C68F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801" w:type="dxa"/>
            <w:tcBorders>
              <w:left w:val="single" w:color="auto" w:sz="4" w:space="0"/>
            </w:tcBorders>
            <w:noWrap w:val="0"/>
            <w:vAlign w:val="center"/>
          </w:tcPr>
          <w:p w14:paraId="4DB716D0">
            <w:pPr>
              <w:spacing w:line="560" w:lineRule="exact"/>
              <w:rPr>
                <w:rFonts w:ascii="仿宋" w:hAnsi="仿宋" w:eastAsia="仿宋"/>
                <w:sz w:val="24"/>
              </w:rPr>
            </w:pPr>
            <w:r>
              <w:rPr>
                <w:rFonts w:hint="eastAsia" w:ascii="仿宋" w:hAnsi="仿宋" w:eastAsia="仿宋"/>
                <w:sz w:val="24"/>
              </w:rPr>
              <w:t>2.11.4</w:t>
            </w:r>
          </w:p>
        </w:tc>
        <w:tc>
          <w:tcPr>
            <w:tcW w:w="7874" w:type="dxa"/>
            <w:noWrap w:val="0"/>
            <w:vAlign w:val="center"/>
          </w:tcPr>
          <w:p w14:paraId="6CCC8DF7">
            <w:pPr>
              <w:spacing w:line="560" w:lineRule="exact"/>
              <w:rPr>
                <w:rFonts w:ascii="仿宋" w:hAnsi="仿宋" w:eastAsia="仿宋"/>
                <w:sz w:val="24"/>
              </w:rPr>
            </w:pPr>
            <w:r>
              <w:rPr>
                <w:rFonts w:ascii="仿宋" w:hAnsi="仿宋" w:eastAsia="仿宋"/>
                <w:sz w:val="24"/>
              </w:rPr>
              <w:t>受</w:t>
            </w:r>
            <w:r>
              <w:rPr>
                <w:rFonts w:hint="eastAsia" w:ascii="仿宋" w:hAnsi="仿宋" w:eastAsia="仿宋"/>
                <w:sz w:val="24"/>
              </w:rPr>
              <w:t>不可抗力</w:t>
            </w:r>
            <w:r>
              <w:rPr>
                <w:rFonts w:ascii="仿宋" w:hAnsi="仿宋" w:eastAsia="仿宋"/>
                <w:sz w:val="24"/>
              </w:rPr>
              <w:t>影响的一方在不可抗力发生后</w:t>
            </w:r>
            <w:r>
              <w:rPr>
                <w:rFonts w:hint="eastAsia" w:ascii="仿宋" w:hAnsi="仿宋" w:eastAsia="仿宋"/>
                <w:sz w:val="24"/>
              </w:rPr>
              <w:t>，在24小时内以书面形式通知对方当事人；事故发生后3天内,将有关部门出具的证明文件送达另一方。</w:t>
            </w:r>
          </w:p>
        </w:tc>
      </w:tr>
      <w:tr w14:paraId="5FA06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801" w:type="dxa"/>
            <w:tcBorders>
              <w:left w:val="single" w:color="auto" w:sz="4" w:space="0"/>
            </w:tcBorders>
            <w:noWrap w:val="0"/>
            <w:vAlign w:val="center"/>
          </w:tcPr>
          <w:p w14:paraId="02FDA93E">
            <w:pPr>
              <w:spacing w:line="560" w:lineRule="exact"/>
              <w:rPr>
                <w:rFonts w:ascii="仿宋" w:hAnsi="仿宋" w:eastAsia="仿宋"/>
                <w:sz w:val="24"/>
              </w:rPr>
            </w:pPr>
            <w:r>
              <w:rPr>
                <w:rFonts w:hint="eastAsia" w:ascii="仿宋" w:hAnsi="仿宋" w:eastAsia="仿宋"/>
                <w:sz w:val="24"/>
              </w:rPr>
              <w:t>2.18.1</w:t>
            </w:r>
          </w:p>
        </w:tc>
        <w:tc>
          <w:tcPr>
            <w:tcW w:w="7874" w:type="dxa"/>
            <w:noWrap w:val="0"/>
            <w:vAlign w:val="center"/>
          </w:tcPr>
          <w:p w14:paraId="16627E93">
            <w:pPr>
              <w:spacing w:line="560" w:lineRule="exact"/>
              <w:rPr>
                <w:rFonts w:ascii="仿宋" w:hAnsi="仿宋" w:eastAsia="仿宋"/>
                <w:sz w:val="24"/>
                <w:u w:val="single"/>
              </w:rPr>
            </w:pPr>
            <w:r>
              <w:rPr>
                <w:rFonts w:hint="eastAsia" w:ascii="仿宋" w:hAnsi="仿宋" w:eastAsia="仿宋"/>
                <w:sz w:val="24"/>
              </w:rPr>
              <w:t>乙方在签订合同后5个工作日内，以支票、汇票、本票等非现金形式，提交不超过合同价5%的履约保证金。</w:t>
            </w:r>
          </w:p>
        </w:tc>
      </w:tr>
      <w:tr w14:paraId="5E953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801" w:type="dxa"/>
            <w:tcBorders>
              <w:left w:val="single" w:color="auto" w:sz="4" w:space="0"/>
            </w:tcBorders>
            <w:noWrap w:val="0"/>
            <w:vAlign w:val="center"/>
          </w:tcPr>
          <w:p w14:paraId="3D106722">
            <w:pPr>
              <w:spacing w:line="560" w:lineRule="exact"/>
              <w:rPr>
                <w:rFonts w:ascii="仿宋" w:hAnsi="仿宋" w:eastAsia="仿宋"/>
                <w:sz w:val="24"/>
              </w:rPr>
            </w:pPr>
            <w:r>
              <w:rPr>
                <w:rFonts w:hint="eastAsia" w:ascii="仿宋" w:hAnsi="仿宋" w:eastAsia="仿宋"/>
                <w:sz w:val="24"/>
              </w:rPr>
              <w:t>2.18.2</w:t>
            </w:r>
          </w:p>
        </w:tc>
        <w:tc>
          <w:tcPr>
            <w:tcW w:w="7874" w:type="dxa"/>
            <w:noWrap w:val="0"/>
            <w:vAlign w:val="center"/>
          </w:tcPr>
          <w:p w14:paraId="3BC19E4E">
            <w:pPr>
              <w:spacing w:line="560" w:lineRule="exact"/>
              <w:rPr>
                <w:rFonts w:ascii="仿宋" w:hAnsi="仿宋" w:eastAsia="仿宋"/>
                <w:sz w:val="24"/>
              </w:rPr>
            </w:pPr>
            <w:r>
              <w:rPr>
                <w:rFonts w:hint="eastAsia" w:ascii="仿宋" w:hAnsi="仿宋" w:eastAsia="仿宋"/>
                <w:sz w:val="24"/>
              </w:rPr>
              <w:t>履约保证金在合同履行期内不予退还或者完全有效。</w:t>
            </w:r>
          </w:p>
        </w:tc>
      </w:tr>
      <w:tr w14:paraId="05A57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801" w:type="dxa"/>
            <w:tcBorders>
              <w:left w:val="single" w:color="auto" w:sz="4" w:space="0"/>
            </w:tcBorders>
            <w:noWrap w:val="0"/>
            <w:vAlign w:val="center"/>
          </w:tcPr>
          <w:p w14:paraId="2291BB3C">
            <w:pPr>
              <w:spacing w:line="560" w:lineRule="exact"/>
              <w:rPr>
                <w:rFonts w:ascii="仿宋" w:hAnsi="仿宋" w:eastAsia="仿宋"/>
                <w:sz w:val="24"/>
              </w:rPr>
            </w:pPr>
            <w:r>
              <w:rPr>
                <w:rFonts w:hint="eastAsia" w:ascii="仿宋" w:hAnsi="仿宋" w:eastAsia="仿宋"/>
                <w:sz w:val="24"/>
              </w:rPr>
              <w:t>2.19</w:t>
            </w:r>
          </w:p>
        </w:tc>
        <w:tc>
          <w:tcPr>
            <w:tcW w:w="7874" w:type="dxa"/>
            <w:noWrap w:val="0"/>
            <w:vAlign w:val="center"/>
          </w:tcPr>
          <w:p w14:paraId="6AB5895C">
            <w:pPr>
              <w:spacing w:line="560" w:lineRule="exact"/>
              <w:rPr>
                <w:rFonts w:ascii="仿宋" w:hAnsi="仿宋" w:eastAsia="仿宋"/>
                <w:sz w:val="24"/>
              </w:rPr>
            </w:pPr>
            <w:r>
              <w:rPr>
                <w:rFonts w:hint="eastAsia" w:ascii="仿宋" w:hAnsi="仿宋" w:eastAsia="仿宋"/>
                <w:sz w:val="24"/>
              </w:rPr>
              <w:t>合同份数：一式伍份，每份均具有同等法律效力。</w:t>
            </w:r>
          </w:p>
        </w:tc>
      </w:tr>
    </w:tbl>
    <w:p w14:paraId="489B4D32">
      <w:pPr>
        <w:pStyle w:val="2"/>
        <w:keepNext/>
        <w:keepLines w:val="0"/>
        <w:pageBreakBefore w:val="0"/>
        <w:widowControl w:val="0"/>
        <w:numPr>
          <w:ilvl w:val="0"/>
          <w:numId w:val="5"/>
        </w:numPr>
        <w:kinsoku/>
        <w:wordWrap/>
        <w:overflowPunct/>
        <w:topLinePunct w:val="0"/>
        <w:autoSpaceDE/>
        <w:autoSpaceDN/>
        <w:bidi w:val="0"/>
        <w:adjustRightInd/>
        <w:snapToGrid/>
        <w:ind w:leftChars="0"/>
        <w:jc w:val="center"/>
        <w:textAlignment w:val="auto"/>
        <w:rPr>
          <w:rFonts w:hint="eastAsia" w:ascii="宋体" w:hAnsi="宋体" w:cs="宋体"/>
          <w:b/>
          <w:kern w:val="0"/>
          <w:sz w:val="36"/>
          <w:szCs w:val="36"/>
          <w:lang w:val="en-US" w:eastAsia="zh-CN"/>
        </w:rPr>
      </w:pPr>
      <w:r>
        <w:rPr>
          <w:rFonts w:hint="eastAsia" w:ascii="宋体" w:hAnsi="宋体" w:cs="宋体"/>
          <w:highlight w:val="white"/>
        </w:rPr>
        <w:br w:type="page"/>
      </w:r>
      <w:bookmarkStart w:id="479" w:name="_Hlk98324385"/>
      <w:r>
        <w:rPr>
          <w:rFonts w:hint="eastAsia" w:ascii="宋体" w:hAnsi="宋体" w:cs="宋体"/>
          <w:b/>
          <w:kern w:val="0"/>
          <w:sz w:val="36"/>
          <w:szCs w:val="36"/>
          <w:lang w:val="en-US" w:eastAsia="zh-CN"/>
        </w:rPr>
        <w:t>采购人需求</w:t>
      </w:r>
    </w:p>
    <w:p w14:paraId="1D575874">
      <w:pPr>
        <w:numPr>
          <w:ilvl w:val="0"/>
          <w:numId w:val="0"/>
        </w:numPr>
        <w:rPr>
          <w:rFonts w:hint="eastAsia"/>
          <w:lang w:val="en-US" w:eastAsia="zh-CN"/>
        </w:rPr>
      </w:pPr>
    </w:p>
    <w:p w14:paraId="371237AE">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b/>
          <w:bCs/>
          <w:sz w:val="28"/>
          <w:szCs w:val="28"/>
          <w:lang w:val="en-US" w:eastAsia="zh-CN"/>
        </w:rPr>
      </w:pPr>
      <w:r>
        <w:rPr>
          <w:rFonts w:hint="default"/>
          <w:b/>
          <w:bCs/>
          <w:sz w:val="28"/>
          <w:szCs w:val="28"/>
          <w:lang w:val="en-US" w:eastAsia="zh-CN"/>
        </w:rPr>
        <w:t>一、项目概况</w:t>
      </w:r>
    </w:p>
    <w:p w14:paraId="75154B8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sz w:val="28"/>
          <w:szCs w:val="28"/>
          <w:lang w:val="en-US" w:eastAsia="zh-CN"/>
        </w:rPr>
      </w:pPr>
      <w:r>
        <w:rPr>
          <w:rFonts w:hint="default"/>
          <w:sz w:val="28"/>
          <w:szCs w:val="28"/>
          <w:lang w:val="en-US" w:eastAsia="zh-CN"/>
        </w:rPr>
        <w:t>项目名称：伊吾县气象防灾减灾运行维护服务项目</w:t>
      </w:r>
    </w:p>
    <w:p w14:paraId="4F2C146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sz w:val="28"/>
          <w:szCs w:val="28"/>
          <w:lang w:val="en-US" w:eastAsia="zh-CN"/>
        </w:rPr>
      </w:pPr>
      <w:r>
        <w:rPr>
          <w:rFonts w:hint="default"/>
          <w:sz w:val="28"/>
          <w:szCs w:val="28"/>
          <w:lang w:val="en-US" w:eastAsia="zh-CN"/>
        </w:rPr>
        <w:t>项目地点：伊吾县</w:t>
      </w:r>
    </w:p>
    <w:p w14:paraId="53158B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sz w:val="28"/>
          <w:szCs w:val="28"/>
          <w:lang w:val="en-US" w:eastAsia="zh-CN"/>
        </w:rPr>
      </w:pPr>
      <w:r>
        <w:rPr>
          <w:rFonts w:hint="default"/>
          <w:sz w:val="28"/>
          <w:szCs w:val="28"/>
          <w:lang w:val="en-US" w:eastAsia="zh-CN"/>
        </w:rPr>
        <w:t>项目内容：对县域内现有的雷达、气象防灾减灾业务平台、高山测雪监测站、应用观测站等进行运行维护及更新</w:t>
      </w:r>
      <w:r>
        <w:rPr>
          <w:rFonts w:hint="eastAsia"/>
          <w:sz w:val="28"/>
          <w:szCs w:val="28"/>
          <w:lang w:val="en-US" w:eastAsia="zh-CN"/>
        </w:rPr>
        <w:t>，气象数据必须接入新疆气象信息中心中心站软件，传输数据必须由新疆气象信息中心中心站进行质检</w:t>
      </w:r>
      <w:r>
        <w:rPr>
          <w:rFonts w:hint="default"/>
          <w:sz w:val="28"/>
          <w:szCs w:val="28"/>
          <w:lang w:val="en-US" w:eastAsia="zh-CN"/>
        </w:rPr>
        <w:t>。</w:t>
      </w:r>
    </w:p>
    <w:p w14:paraId="331212B0">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b/>
          <w:bCs/>
          <w:sz w:val="28"/>
          <w:szCs w:val="28"/>
          <w:lang w:val="en-US" w:eastAsia="zh-CN"/>
        </w:rPr>
      </w:pPr>
      <w:r>
        <w:rPr>
          <w:rFonts w:hint="default"/>
          <w:b/>
          <w:bCs/>
          <w:sz w:val="28"/>
          <w:szCs w:val="28"/>
          <w:lang w:val="en-US" w:eastAsia="zh-CN"/>
        </w:rPr>
        <w:t>二、本次服务采购目的</w:t>
      </w:r>
    </w:p>
    <w:p w14:paraId="419A146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sz w:val="28"/>
          <w:szCs w:val="28"/>
          <w:lang w:val="en-US" w:eastAsia="zh-CN"/>
        </w:rPr>
      </w:pPr>
      <w:r>
        <w:rPr>
          <w:rFonts w:hint="default"/>
          <w:sz w:val="28"/>
          <w:szCs w:val="28"/>
          <w:lang w:val="en-US" w:eastAsia="zh-CN"/>
        </w:rPr>
        <w:t>根据甲方具体要求，乙方对甲方现有的雷达、气象防灾减灾业务平台、高山测雪监测站、应用观测站等进行运行维护及更新，气象数据必须接入新疆气象信息中心中心站软件，传输数据必须由新疆气象信息中心中心站进行质检</w:t>
      </w:r>
      <w:r>
        <w:rPr>
          <w:rFonts w:hint="eastAsia"/>
          <w:sz w:val="28"/>
          <w:szCs w:val="28"/>
          <w:lang w:val="en-US" w:eastAsia="zh-CN"/>
        </w:rPr>
        <w:t>，</w:t>
      </w:r>
      <w:r>
        <w:rPr>
          <w:rFonts w:hint="default"/>
          <w:sz w:val="28"/>
          <w:szCs w:val="28"/>
          <w:lang w:val="en-US" w:eastAsia="zh-CN"/>
        </w:rPr>
        <w:t>并在出现紧急情况下临时维护相结合。维护工作应符合甲方工作要求标准。</w:t>
      </w:r>
    </w:p>
    <w:p w14:paraId="1153F1F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sz w:val="28"/>
          <w:szCs w:val="28"/>
          <w:lang w:val="en-US" w:eastAsia="zh-CN"/>
        </w:rPr>
      </w:pPr>
      <w:r>
        <w:rPr>
          <w:rFonts w:hint="default"/>
          <w:sz w:val="28"/>
          <w:szCs w:val="28"/>
          <w:lang w:val="en-US" w:eastAsia="zh-CN"/>
        </w:rPr>
        <w:t>定期维护周期：季度维护</w:t>
      </w:r>
    </w:p>
    <w:p w14:paraId="46F780F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sz w:val="28"/>
          <w:szCs w:val="28"/>
          <w:lang w:val="en-US" w:eastAsia="zh-CN"/>
        </w:rPr>
      </w:pPr>
      <w:r>
        <w:rPr>
          <w:rFonts w:hint="default"/>
          <w:sz w:val="28"/>
          <w:szCs w:val="28"/>
          <w:lang w:val="en-US" w:eastAsia="zh-CN"/>
        </w:rPr>
        <w:t>不定期维护：出现故障问题随时维护</w:t>
      </w:r>
    </w:p>
    <w:p w14:paraId="29984CAB">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b/>
          <w:bCs/>
          <w:sz w:val="28"/>
          <w:szCs w:val="28"/>
          <w:lang w:val="en-US" w:eastAsia="zh-CN"/>
        </w:rPr>
      </w:pPr>
      <w:r>
        <w:rPr>
          <w:rFonts w:hint="default"/>
          <w:b/>
          <w:bCs/>
          <w:sz w:val="28"/>
          <w:szCs w:val="28"/>
          <w:lang w:val="en-US" w:eastAsia="zh-CN"/>
        </w:rPr>
        <w:t>三、注意事项</w:t>
      </w:r>
    </w:p>
    <w:p w14:paraId="5CF9F1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sz w:val="28"/>
          <w:szCs w:val="28"/>
          <w:lang w:val="en-US" w:eastAsia="zh-CN"/>
        </w:rPr>
      </w:pPr>
      <w:r>
        <w:rPr>
          <w:rFonts w:hint="default"/>
          <w:sz w:val="28"/>
          <w:szCs w:val="28"/>
          <w:lang w:val="en-US" w:eastAsia="zh-CN"/>
        </w:rPr>
        <w:t>1.需要定期对运行情况进行检查和评估，以找出和解决可能存在的问题。</w:t>
      </w:r>
    </w:p>
    <w:p w14:paraId="136989F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sz w:val="28"/>
          <w:szCs w:val="28"/>
          <w:lang w:val="en-US" w:eastAsia="zh-CN"/>
        </w:rPr>
      </w:pPr>
      <w:r>
        <w:rPr>
          <w:rFonts w:hint="default"/>
          <w:sz w:val="28"/>
          <w:szCs w:val="28"/>
          <w:lang w:val="en-US" w:eastAsia="zh-CN"/>
        </w:rPr>
        <w:t>2.应加强人员的培训和管理，确保运维人员具备足够的技能和知识，能够有效地进行维护和管理。</w:t>
      </w:r>
    </w:p>
    <w:p w14:paraId="26F7254D">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b/>
          <w:bCs/>
          <w:sz w:val="28"/>
          <w:szCs w:val="28"/>
          <w:lang w:val="en-US" w:eastAsia="zh-CN"/>
        </w:rPr>
      </w:pPr>
      <w:r>
        <w:rPr>
          <w:rFonts w:hint="default"/>
          <w:b/>
          <w:bCs/>
          <w:sz w:val="28"/>
          <w:szCs w:val="28"/>
          <w:lang w:val="en-US" w:eastAsia="zh-CN"/>
        </w:rPr>
        <w:t>四、需求明细</w:t>
      </w:r>
    </w:p>
    <w:tbl>
      <w:tblPr>
        <w:tblStyle w:val="47"/>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4129"/>
        <w:gridCol w:w="984"/>
        <w:gridCol w:w="1097"/>
        <w:gridCol w:w="887"/>
        <w:gridCol w:w="1177"/>
      </w:tblGrid>
      <w:tr w14:paraId="7269F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04" w:type="dxa"/>
            <w:vAlign w:val="center"/>
          </w:tcPr>
          <w:p w14:paraId="217F3C54">
            <w:pPr>
              <w:jc w:val="center"/>
              <w:rPr>
                <w:rFonts w:hint="default"/>
                <w:sz w:val="24"/>
                <w:szCs w:val="24"/>
                <w:vertAlign w:val="baseline"/>
                <w:lang w:val="en-US" w:eastAsia="zh-CN"/>
              </w:rPr>
            </w:pPr>
            <w:r>
              <w:rPr>
                <w:rFonts w:hint="default"/>
                <w:sz w:val="24"/>
                <w:szCs w:val="24"/>
                <w:vertAlign w:val="baseline"/>
                <w:lang w:val="en-US" w:eastAsia="zh-CN"/>
              </w:rPr>
              <w:t>序号</w:t>
            </w:r>
          </w:p>
        </w:tc>
        <w:tc>
          <w:tcPr>
            <w:tcW w:w="4129" w:type="dxa"/>
            <w:vAlign w:val="center"/>
          </w:tcPr>
          <w:p w14:paraId="1833D745">
            <w:pPr>
              <w:jc w:val="center"/>
              <w:rPr>
                <w:rFonts w:hint="default"/>
                <w:sz w:val="24"/>
                <w:szCs w:val="24"/>
                <w:vertAlign w:val="baseline"/>
                <w:lang w:val="en-US" w:eastAsia="zh-CN"/>
              </w:rPr>
            </w:pPr>
            <w:r>
              <w:rPr>
                <w:rFonts w:hint="default"/>
                <w:sz w:val="24"/>
                <w:szCs w:val="24"/>
                <w:vertAlign w:val="baseline"/>
                <w:lang w:val="en-US" w:eastAsia="zh-CN"/>
              </w:rPr>
              <w:t>站名</w:t>
            </w:r>
          </w:p>
        </w:tc>
        <w:tc>
          <w:tcPr>
            <w:tcW w:w="984" w:type="dxa"/>
            <w:vAlign w:val="center"/>
          </w:tcPr>
          <w:p w14:paraId="0E58B52D">
            <w:pPr>
              <w:jc w:val="center"/>
              <w:rPr>
                <w:rFonts w:hint="default"/>
                <w:sz w:val="24"/>
                <w:szCs w:val="24"/>
                <w:vertAlign w:val="baseline"/>
                <w:lang w:val="en-US" w:eastAsia="zh-CN"/>
              </w:rPr>
            </w:pPr>
            <w:r>
              <w:rPr>
                <w:rFonts w:hint="default"/>
                <w:sz w:val="24"/>
                <w:szCs w:val="24"/>
                <w:vertAlign w:val="baseline"/>
                <w:lang w:val="en-US" w:eastAsia="zh-CN"/>
              </w:rPr>
              <w:t>站号</w:t>
            </w:r>
          </w:p>
        </w:tc>
        <w:tc>
          <w:tcPr>
            <w:tcW w:w="1097" w:type="dxa"/>
            <w:vAlign w:val="center"/>
          </w:tcPr>
          <w:p w14:paraId="6614CD07">
            <w:pPr>
              <w:jc w:val="center"/>
              <w:rPr>
                <w:rFonts w:hint="default"/>
                <w:sz w:val="24"/>
                <w:szCs w:val="24"/>
                <w:vertAlign w:val="baseline"/>
                <w:lang w:val="en-US" w:eastAsia="zh-CN"/>
              </w:rPr>
            </w:pPr>
            <w:r>
              <w:rPr>
                <w:rFonts w:hint="default"/>
                <w:sz w:val="24"/>
                <w:szCs w:val="24"/>
                <w:vertAlign w:val="baseline"/>
                <w:lang w:val="en-US" w:eastAsia="zh-CN"/>
              </w:rPr>
              <w:t>分类</w:t>
            </w:r>
          </w:p>
        </w:tc>
        <w:tc>
          <w:tcPr>
            <w:tcW w:w="887" w:type="dxa"/>
            <w:vAlign w:val="center"/>
          </w:tcPr>
          <w:p w14:paraId="2E30F232">
            <w:pPr>
              <w:jc w:val="center"/>
              <w:rPr>
                <w:rFonts w:hint="default"/>
                <w:sz w:val="24"/>
                <w:szCs w:val="24"/>
                <w:vertAlign w:val="baseline"/>
                <w:lang w:val="en-US" w:eastAsia="zh-CN"/>
              </w:rPr>
            </w:pPr>
            <w:r>
              <w:rPr>
                <w:rFonts w:hint="default"/>
                <w:sz w:val="24"/>
                <w:szCs w:val="24"/>
                <w:vertAlign w:val="baseline"/>
                <w:lang w:val="en-US" w:eastAsia="zh-CN"/>
              </w:rPr>
              <w:t>数量</w:t>
            </w:r>
          </w:p>
        </w:tc>
        <w:tc>
          <w:tcPr>
            <w:tcW w:w="1177" w:type="dxa"/>
            <w:vAlign w:val="center"/>
          </w:tcPr>
          <w:p w14:paraId="1707CB35">
            <w:pPr>
              <w:jc w:val="center"/>
              <w:rPr>
                <w:rFonts w:hint="default"/>
                <w:sz w:val="24"/>
                <w:szCs w:val="24"/>
                <w:vertAlign w:val="baseline"/>
                <w:lang w:val="en-US" w:eastAsia="zh-CN"/>
              </w:rPr>
            </w:pPr>
            <w:r>
              <w:rPr>
                <w:rFonts w:hint="default"/>
                <w:sz w:val="24"/>
                <w:szCs w:val="24"/>
                <w:vertAlign w:val="baseline"/>
                <w:lang w:val="en-US" w:eastAsia="zh-CN"/>
              </w:rPr>
              <w:t>备注</w:t>
            </w:r>
          </w:p>
        </w:tc>
      </w:tr>
      <w:tr w14:paraId="1630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078" w:type="dxa"/>
            <w:gridSpan w:val="6"/>
            <w:vAlign w:val="center"/>
          </w:tcPr>
          <w:p w14:paraId="24468FFC">
            <w:pPr>
              <w:jc w:val="left"/>
              <w:rPr>
                <w:rFonts w:hint="default"/>
                <w:sz w:val="24"/>
                <w:szCs w:val="24"/>
                <w:vertAlign w:val="baseline"/>
                <w:lang w:val="en-US" w:eastAsia="zh-CN"/>
              </w:rPr>
            </w:pPr>
            <w:r>
              <w:rPr>
                <w:rFonts w:hint="default"/>
                <w:sz w:val="24"/>
                <w:szCs w:val="24"/>
                <w:vertAlign w:val="baseline"/>
                <w:lang w:val="en-US" w:eastAsia="zh-CN"/>
              </w:rPr>
              <w:t>一、气象自动站</w:t>
            </w:r>
          </w:p>
        </w:tc>
      </w:tr>
      <w:tr w14:paraId="0D3F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04" w:type="dxa"/>
            <w:vAlign w:val="center"/>
          </w:tcPr>
          <w:p w14:paraId="24248CE6">
            <w:pPr>
              <w:jc w:val="center"/>
              <w:rPr>
                <w:rFonts w:hint="default"/>
                <w:sz w:val="24"/>
                <w:szCs w:val="24"/>
                <w:vertAlign w:val="baseline"/>
                <w:lang w:val="en-US" w:eastAsia="zh-CN"/>
              </w:rPr>
            </w:pPr>
            <w:r>
              <w:rPr>
                <w:rFonts w:hint="default"/>
                <w:sz w:val="24"/>
                <w:szCs w:val="24"/>
                <w:vertAlign w:val="baseline"/>
                <w:lang w:val="en-US" w:eastAsia="zh-CN"/>
              </w:rPr>
              <w:t>1</w:t>
            </w:r>
          </w:p>
        </w:tc>
        <w:tc>
          <w:tcPr>
            <w:tcW w:w="4129" w:type="dxa"/>
            <w:vAlign w:val="center"/>
          </w:tcPr>
          <w:p w14:paraId="1DA1839B">
            <w:pPr>
              <w:jc w:val="center"/>
              <w:rPr>
                <w:rFonts w:hint="default"/>
                <w:sz w:val="24"/>
                <w:szCs w:val="24"/>
                <w:vertAlign w:val="baseline"/>
                <w:lang w:val="en-US" w:eastAsia="zh-CN"/>
              </w:rPr>
            </w:pPr>
            <w:r>
              <w:rPr>
                <w:rFonts w:hint="default"/>
                <w:sz w:val="24"/>
                <w:szCs w:val="24"/>
                <w:vertAlign w:val="baseline"/>
                <w:lang w:val="en-US" w:eastAsia="zh-CN"/>
              </w:rPr>
              <w:t>伊吾县军马场应用气象观测站（农业）</w:t>
            </w:r>
          </w:p>
        </w:tc>
        <w:tc>
          <w:tcPr>
            <w:tcW w:w="984" w:type="dxa"/>
            <w:vAlign w:val="center"/>
          </w:tcPr>
          <w:p w14:paraId="6DBEE2F4">
            <w:pPr>
              <w:jc w:val="center"/>
              <w:rPr>
                <w:rFonts w:hint="default"/>
                <w:sz w:val="24"/>
                <w:szCs w:val="24"/>
                <w:vertAlign w:val="baseline"/>
                <w:lang w:val="en-US" w:eastAsia="zh-CN"/>
              </w:rPr>
            </w:pPr>
            <w:r>
              <w:rPr>
                <w:rFonts w:hint="default"/>
                <w:sz w:val="24"/>
                <w:szCs w:val="24"/>
                <w:vertAlign w:val="baseline"/>
                <w:lang w:val="en-US" w:eastAsia="zh-CN"/>
              </w:rPr>
              <w:t>Y9997</w:t>
            </w:r>
          </w:p>
        </w:tc>
        <w:tc>
          <w:tcPr>
            <w:tcW w:w="1097" w:type="dxa"/>
            <w:vAlign w:val="center"/>
          </w:tcPr>
          <w:p w14:paraId="68E1EA01">
            <w:pPr>
              <w:jc w:val="center"/>
              <w:rPr>
                <w:rFonts w:hint="default"/>
                <w:sz w:val="24"/>
                <w:szCs w:val="24"/>
                <w:vertAlign w:val="baseline"/>
                <w:lang w:val="en-US" w:eastAsia="zh-CN"/>
              </w:rPr>
            </w:pPr>
            <w:r>
              <w:rPr>
                <w:rFonts w:hint="default"/>
                <w:sz w:val="24"/>
                <w:szCs w:val="24"/>
                <w:vertAlign w:val="baseline"/>
                <w:lang w:val="en-US" w:eastAsia="zh-CN"/>
              </w:rPr>
              <w:t>农田小气候站</w:t>
            </w:r>
          </w:p>
        </w:tc>
        <w:tc>
          <w:tcPr>
            <w:tcW w:w="887" w:type="dxa"/>
            <w:vAlign w:val="center"/>
          </w:tcPr>
          <w:p w14:paraId="0F21CFE0">
            <w:pPr>
              <w:jc w:val="center"/>
              <w:rPr>
                <w:rFonts w:hint="default"/>
                <w:sz w:val="24"/>
                <w:szCs w:val="24"/>
                <w:vertAlign w:val="baseline"/>
                <w:lang w:val="en-US" w:eastAsia="zh-CN"/>
              </w:rPr>
            </w:pPr>
            <w:r>
              <w:rPr>
                <w:rFonts w:hint="eastAsia"/>
                <w:sz w:val="24"/>
                <w:szCs w:val="24"/>
                <w:vertAlign w:val="baseline"/>
                <w:lang w:val="en-US" w:eastAsia="zh-CN"/>
              </w:rPr>
              <w:t>1</w:t>
            </w:r>
          </w:p>
        </w:tc>
        <w:tc>
          <w:tcPr>
            <w:tcW w:w="1177" w:type="dxa"/>
            <w:vAlign w:val="center"/>
          </w:tcPr>
          <w:p w14:paraId="57B91A5C">
            <w:pPr>
              <w:jc w:val="center"/>
              <w:rPr>
                <w:rFonts w:hint="default"/>
                <w:sz w:val="24"/>
                <w:szCs w:val="24"/>
                <w:vertAlign w:val="baseline"/>
                <w:lang w:val="en-US" w:eastAsia="zh-CN"/>
              </w:rPr>
            </w:pPr>
          </w:p>
        </w:tc>
      </w:tr>
      <w:tr w14:paraId="1C973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2A20334E">
            <w:pPr>
              <w:jc w:val="center"/>
              <w:rPr>
                <w:rFonts w:hint="default"/>
                <w:sz w:val="24"/>
                <w:szCs w:val="24"/>
                <w:vertAlign w:val="baseline"/>
                <w:lang w:val="en-US" w:eastAsia="zh-CN"/>
              </w:rPr>
            </w:pPr>
            <w:r>
              <w:rPr>
                <w:rFonts w:hint="default"/>
                <w:sz w:val="24"/>
                <w:szCs w:val="24"/>
                <w:vertAlign w:val="baseline"/>
                <w:lang w:val="en-US" w:eastAsia="zh-CN"/>
              </w:rPr>
              <w:t>2</w:t>
            </w:r>
          </w:p>
        </w:tc>
        <w:tc>
          <w:tcPr>
            <w:tcW w:w="4129" w:type="dxa"/>
            <w:vAlign w:val="center"/>
          </w:tcPr>
          <w:p w14:paraId="0D90D1E2">
            <w:pPr>
              <w:jc w:val="center"/>
              <w:rPr>
                <w:rFonts w:hint="default"/>
                <w:sz w:val="24"/>
                <w:szCs w:val="24"/>
                <w:vertAlign w:val="baseline"/>
                <w:lang w:val="en-US" w:eastAsia="zh-CN"/>
              </w:rPr>
            </w:pPr>
            <w:r>
              <w:rPr>
                <w:rFonts w:hint="default"/>
                <w:sz w:val="24"/>
                <w:szCs w:val="24"/>
                <w:vertAlign w:val="baseline"/>
                <w:lang w:val="en-US" w:eastAsia="zh-CN"/>
              </w:rPr>
              <w:t>伊吾县吐葫芦乡应用气象观测站（农</w:t>
            </w:r>
          </w:p>
          <w:p w14:paraId="5BB478B5">
            <w:pPr>
              <w:jc w:val="center"/>
              <w:rPr>
                <w:rFonts w:hint="default"/>
                <w:sz w:val="24"/>
                <w:szCs w:val="24"/>
                <w:vertAlign w:val="baseline"/>
                <w:lang w:val="en-US" w:eastAsia="zh-CN"/>
              </w:rPr>
            </w:pPr>
            <w:r>
              <w:rPr>
                <w:rFonts w:hint="default"/>
                <w:sz w:val="24"/>
                <w:szCs w:val="24"/>
                <w:vertAlign w:val="baseline"/>
                <w:lang w:val="en-US" w:eastAsia="zh-CN"/>
              </w:rPr>
              <w:t>业）</w:t>
            </w:r>
          </w:p>
        </w:tc>
        <w:tc>
          <w:tcPr>
            <w:tcW w:w="984" w:type="dxa"/>
            <w:vAlign w:val="center"/>
          </w:tcPr>
          <w:p w14:paraId="0845F4A3">
            <w:pPr>
              <w:jc w:val="center"/>
              <w:rPr>
                <w:rFonts w:hint="default"/>
                <w:sz w:val="24"/>
                <w:szCs w:val="24"/>
                <w:vertAlign w:val="baseline"/>
                <w:lang w:val="en-US" w:eastAsia="zh-CN"/>
              </w:rPr>
            </w:pPr>
            <w:r>
              <w:rPr>
                <w:rFonts w:hint="default"/>
                <w:sz w:val="24"/>
                <w:szCs w:val="24"/>
                <w:vertAlign w:val="baseline"/>
                <w:lang w:val="en-US" w:eastAsia="zh-CN"/>
              </w:rPr>
              <w:t>Y9996</w:t>
            </w:r>
          </w:p>
        </w:tc>
        <w:tc>
          <w:tcPr>
            <w:tcW w:w="1097" w:type="dxa"/>
            <w:vAlign w:val="center"/>
          </w:tcPr>
          <w:p w14:paraId="3B450DB3">
            <w:pPr>
              <w:jc w:val="center"/>
              <w:rPr>
                <w:rFonts w:hint="default"/>
                <w:sz w:val="24"/>
                <w:szCs w:val="24"/>
                <w:vertAlign w:val="baseline"/>
                <w:lang w:val="en-US" w:eastAsia="zh-CN"/>
              </w:rPr>
            </w:pPr>
            <w:r>
              <w:rPr>
                <w:rFonts w:hint="default"/>
                <w:sz w:val="24"/>
                <w:szCs w:val="24"/>
                <w:vertAlign w:val="baseline"/>
                <w:lang w:val="en-US" w:eastAsia="zh-CN"/>
              </w:rPr>
              <w:t>农田小</w:t>
            </w:r>
          </w:p>
          <w:p w14:paraId="1C68D37A">
            <w:pPr>
              <w:jc w:val="center"/>
              <w:rPr>
                <w:rFonts w:hint="default"/>
                <w:sz w:val="24"/>
                <w:szCs w:val="24"/>
                <w:vertAlign w:val="baseline"/>
                <w:lang w:val="en-US" w:eastAsia="zh-CN"/>
              </w:rPr>
            </w:pPr>
            <w:r>
              <w:rPr>
                <w:rFonts w:hint="default"/>
                <w:sz w:val="24"/>
                <w:szCs w:val="24"/>
                <w:vertAlign w:val="baseline"/>
                <w:lang w:val="en-US" w:eastAsia="zh-CN"/>
              </w:rPr>
              <w:t>气候站</w:t>
            </w:r>
          </w:p>
        </w:tc>
        <w:tc>
          <w:tcPr>
            <w:tcW w:w="887" w:type="dxa"/>
            <w:vAlign w:val="center"/>
          </w:tcPr>
          <w:p w14:paraId="5BDC8ABD">
            <w:pPr>
              <w:jc w:val="center"/>
              <w:rPr>
                <w:rFonts w:hint="default"/>
                <w:sz w:val="24"/>
                <w:szCs w:val="24"/>
                <w:vertAlign w:val="baseline"/>
                <w:lang w:val="en-US" w:eastAsia="zh-CN"/>
              </w:rPr>
            </w:pPr>
            <w:r>
              <w:rPr>
                <w:rFonts w:hint="eastAsia"/>
                <w:sz w:val="24"/>
                <w:szCs w:val="24"/>
                <w:vertAlign w:val="baseline"/>
                <w:lang w:val="en-US" w:eastAsia="zh-CN"/>
              </w:rPr>
              <w:t>1</w:t>
            </w:r>
          </w:p>
        </w:tc>
        <w:tc>
          <w:tcPr>
            <w:tcW w:w="1177" w:type="dxa"/>
            <w:vAlign w:val="center"/>
          </w:tcPr>
          <w:p w14:paraId="332BAC17">
            <w:pPr>
              <w:jc w:val="center"/>
              <w:rPr>
                <w:rFonts w:hint="default"/>
                <w:sz w:val="24"/>
                <w:szCs w:val="24"/>
                <w:vertAlign w:val="baseline"/>
                <w:lang w:val="en-US" w:eastAsia="zh-CN"/>
              </w:rPr>
            </w:pPr>
          </w:p>
        </w:tc>
      </w:tr>
      <w:tr w14:paraId="6FC5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2B79276A">
            <w:pPr>
              <w:jc w:val="center"/>
              <w:rPr>
                <w:rFonts w:hint="default"/>
                <w:sz w:val="24"/>
                <w:szCs w:val="24"/>
                <w:vertAlign w:val="baseline"/>
                <w:lang w:val="en-US" w:eastAsia="zh-CN"/>
              </w:rPr>
            </w:pPr>
            <w:r>
              <w:rPr>
                <w:rFonts w:hint="eastAsia"/>
                <w:sz w:val="24"/>
                <w:szCs w:val="24"/>
                <w:vertAlign w:val="baseline"/>
                <w:lang w:val="en-US" w:eastAsia="zh-CN"/>
              </w:rPr>
              <w:t>3</w:t>
            </w:r>
          </w:p>
        </w:tc>
        <w:tc>
          <w:tcPr>
            <w:tcW w:w="4129" w:type="dxa"/>
            <w:vAlign w:val="center"/>
          </w:tcPr>
          <w:p w14:paraId="0D550101">
            <w:pPr>
              <w:jc w:val="center"/>
              <w:rPr>
                <w:rFonts w:hint="default"/>
                <w:sz w:val="24"/>
                <w:szCs w:val="24"/>
                <w:vertAlign w:val="baseline"/>
                <w:lang w:val="en-US" w:eastAsia="zh-CN"/>
              </w:rPr>
            </w:pPr>
            <w:r>
              <w:rPr>
                <w:rFonts w:hint="default"/>
                <w:sz w:val="24"/>
                <w:szCs w:val="24"/>
                <w:vertAlign w:val="baseline"/>
                <w:lang w:val="en-US" w:eastAsia="zh-CN"/>
              </w:rPr>
              <w:t>伊吾县气象局负氧离子站</w:t>
            </w:r>
          </w:p>
        </w:tc>
        <w:tc>
          <w:tcPr>
            <w:tcW w:w="984" w:type="dxa"/>
            <w:vAlign w:val="center"/>
          </w:tcPr>
          <w:p w14:paraId="447F1B65">
            <w:pPr>
              <w:jc w:val="center"/>
              <w:rPr>
                <w:rFonts w:hint="default"/>
                <w:sz w:val="24"/>
                <w:szCs w:val="24"/>
                <w:vertAlign w:val="baseline"/>
                <w:lang w:val="en-US" w:eastAsia="zh-CN"/>
              </w:rPr>
            </w:pPr>
            <w:r>
              <w:rPr>
                <w:rFonts w:hint="default"/>
                <w:sz w:val="24"/>
                <w:szCs w:val="24"/>
                <w:vertAlign w:val="baseline"/>
                <w:lang w:val="en-US" w:eastAsia="zh-CN"/>
              </w:rPr>
              <w:t>A1249001</w:t>
            </w:r>
          </w:p>
        </w:tc>
        <w:tc>
          <w:tcPr>
            <w:tcW w:w="1097" w:type="dxa"/>
            <w:vAlign w:val="center"/>
          </w:tcPr>
          <w:p w14:paraId="31603DA4">
            <w:pPr>
              <w:jc w:val="center"/>
              <w:rPr>
                <w:rFonts w:hint="default"/>
                <w:sz w:val="24"/>
                <w:szCs w:val="24"/>
                <w:vertAlign w:val="baseline"/>
                <w:lang w:val="en-US" w:eastAsia="zh-CN"/>
              </w:rPr>
            </w:pPr>
            <w:r>
              <w:rPr>
                <w:rFonts w:hint="default"/>
                <w:sz w:val="24"/>
                <w:szCs w:val="24"/>
                <w:vertAlign w:val="baseline"/>
                <w:lang w:val="en-US" w:eastAsia="zh-CN"/>
              </w:rPr>
              <w:t>负氧离</w:t>
            </w:r>
          </w:p>
          <w:p w14:paraId="2CC46477">
            <w:pPr>
              <w:jc w:val="center"/>
              <w:rPr>
                <w:rFonts w:hint="default"/>
                <w:sz w:val="24"/>
                <w:szCs w:val="24"/>
                <w:vertAlign w:val="baseline"/>
                <w:lang w:val="en-US" w:eastAsia="zh-CN"/>
              </w:rPr>
            </w:pPr>
            <w:r>
              <w:rPr>
                <w:rFonts w:hint="default"/>
                <w:sz w:val="24"/>
                <w:szCs w:val="24"/>
                <w:vertAlign w:val="baseline"/>
                <w:lang w:val="en-US" w:eastAsia="zh-CN"/>
              </w:rPr>
              <w:t>子站</w:t>
            </w:r>
          </w:p>
        </w:tc>
        <w:tc>
          <w:tcPr>
            <w:tcW w:w="887" w:type="dxa"/>
            <w:vAlign w:val="center"/>
          </w:tcPr>
          <w:p w14:paraId="7478EC2F">
            <w:pPr>
              <w:jc w:val="center"/>
              <w:rPr>
                <w:rFonts w:hint="default"/>
                <w:sz w:val="24"/>
                <w:szCs w:val="24"/>
                <w:vertAlign w:val="baseline"/>
                <w:lang w:val="en-US" w:eastAsia="zh-CN"/>
              </w:rPr>
            </w:pPr>
            <w:r>
              <w:rPr>
                <w:rFonts w:hint="eastAsia"/>
                <w:sz w:val="24"/>
                <w:szCs w:val="24"/>
                <w:vertAlign w:val="baseline"/>
                <w:lang w:val="en-US" w:eastAsia="zh-CN"/>
              </w:rPr>
              <w:t>1</w:t>
            </w:r>
          </w:p>
        </w:tc>
        <w:tc>
          <w:tcPr>
            <w:tcW w:w="1177" w:type="dxa"/>
            <w:vAlign w:val="center"/>
          </w:tcPr>
          <w:p w14:paraId="5C9360A6">
            <w:pPr>
              <w:jc w:val="center"/>
              <w:rPr>
                <w:rFonts w:hint="default"/>
                <w:sz w:val="24"/>
                <w:szCs w:val="24"/>
                <w:vertAlign w:val="baseline"/>
                <w:lang w:val="en-US" w:eastAsia="zh-CN"/>
              </w:rPr>
            </w:pPr>
            <w:r>
              <w:rPr>
                <w:rFonts w:hint="default"/>
                <w:sz w:val="24"/>
                <w:szCs w:val="24"/>
                <w:vertAlign w:val="baseline"/>
                <w:lang w:val="en-US" w:eastAsia="zh-CN"/>
              </w:rPr>
              <w:t>特殊要素</w:t>
            </w:r>
          </w:p>
        </w:tc>
      </w:tr>
      <w:tr w14:paraId="38971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48824112">
            <w:pPr>
              <w:jc w:val="center"/>
              <w:rPr>
                <w:rFonts w:hint="default"/>
                <w:sz w:val="24"/>
                <w:szCs w:val="24"/>
                <w:vertAlign w:val="baseline"/>
                <w:lang w:val="en-US" w:eastAsia="zh-CN"/>
              </w:rPr>
            </w:pPr>
            <w:r>
              <w:rPr>
                <w:rFonts w:hint="eastAsia"/>
                <w:sz w:val="24"/>
                <w:szCs w:val="24"/>
                <w:vertAlign w:val="baseline"/>
                <w:lang w:val="en-US" w:eastAsia="zh-CN"/>
              </w:rPr>
              <w:t>4</w:t>
            </w:r>
          </w:p>
        </w:tc>
        <w:tc>
          <w:tcPr>
            <w:tcW w:w="4129" w:type="dxa"/>
            <w:vAlign w:val="center"/>
          </w:tcPr>
          <w:p w14:paraId="4C188DE3">
            <w:pPr>
              <w:jc w:val="center"/>
              <w:rPr>
                <w:rFonts w:hint="default"/>
                <w:sz w:val="24"/>
                <w:szCs w:val="24"/>
                <w:vertAlign w:val="baseline"/>
                <w:lang w:val="en-US" w:eastAsia="zh-CN"/>
              </w:rPr>
            </w:pPr>
            <w:r>
              <w:rPr>
                <w:rFonts w:hint="default"/>
                <w:sz w:val="24"/>
                <w:szCs w:val="24"/>
                <w:vertAlign w:val="baseline"/>
                <w:lang w:val="en-US" w:eastAsia="zh-CN"/>
              </w:rPr>
              <w:t>淖毛湖煤化工产业园气象灾害监测站（大气电场仪）</w:t>
            </w:r>
          </w:p>
        </w:tc>
        <w:tc>
          <w:tcPr>
            <w:tcW w:w="984" w:type="dxa"/>
            <w:vAlign w:val="center"/>
          </w:tcPr>
          <w:p w14:paraId="364C2A5F">
            <w:pPr>
              <w:jc w:val="center"/>
              <w:rPr>
                <w:rFonts w:hint="default"/>
                <w:sz w:val="24"/>
                <w:szCs w:val="24"/>
                <w:vertAlign w:val="baseline"/>
                <w:lang w:val="en-US" w:eastAsia="zh-CN"/>
              </w:rPr>
            </w:pPr>
            <w:r>
              <w:rPr>
                <w:rFonts w:hint="default"/>
                <w:sz w:val="24"/>
                <w:szCs w:val="24"/>
                <w:vertAlign w:val="baseline"/>
                <w:lang w:val="en-US" w:eastAsia="zh-CN"/>
              </w:rPr>
              <w:t>Y9824</w:t>
            </w:r>
          </w:p>
        </w:tc>
        <w:tc>
          <w:tcPr>
            <w:tcW w:w="1097" w:type="dxa"/>
            <w:vAlign w:val="center"/>
          </w:tcPr>
          <w:p w14:paraId="694ACECE">
            <w:pPr>
              <w:jc w:val="center"/>
              <w:rPr>
                <w:rFonts w:hint="default"/>
                <w:sz w:val="24"/>
                <w:szCs w:val="24"/>
                <w:vertAlign w:val="baseline"/>
                <w:lang w:val="en-US" w:eastAsia="zh-CN"/>
              </w:rPr>
            </w:pPr>
            <w:r>
              <w:rPr>
                <w:rFonts w:hint="default"/>
                <w:sz w:val="24"/>
                <w:szCs w:val="24"/>
                <w:vertAlign w:val="baseline"/>
                <w:lang w:val="en-US" w:eastAsia="zh-CN"/>
              </w:rPr>
              <w:t>大气电场站</w:t>
            </w:r>
          </w:p>
        </w:tc>
        <w:tc>
          <w:tcPr>
            <w:tcW w:w="887" w:type="dxa"/>
            <w:vAlign w:val="center"/>
          </w:tcPr>
          <w:p w14:paraId="549216BE">
            <w:pPr>
              <w:jc w:val="center"/>
              <w:rPr>
                <w:rFonts w:hint="default"/>
                <w:sz w:val="24"/>
                <w:szCs w:val="24"/>
                <w:vertAlign w:val="baseline"/>
                <w:lang w:val="en-US" w:eastAsia="zh-CN"/>
              </w:rPr>
            </w:pPr>
            <w:r>
              <w:rPr>
                <w:rFonts w:hint="eastAsia"/>
                <w:sz w:val="24"/>
                <w:szCs w:val="24"/>
                <w:vertAlign w:val="baseline"/>
                <w:lang w:val="en-US" w:eastAsia="zh-CN"/>
              </w:rPr>
              <w:t>1</w:t>
            </w:r>
          </w:p>
        </w:tc>
        <w:tc>
          <w:tcPr>
            <w:tcW w:w="1177" w:type="dxa"/>
            <w:vAlign w:val="center"/>
          </w:tcPr>
          <w:p w14:paraId="2929FA9F">
            <w:pPr>
              <w:jc w:val="center"/>
              <w:rPr>
                <w:rFonts w:hint="default"/>
                <w:sz w:val="24"/>
                <w:szCs w:val="24"/>
                <w:vertAlign w:val="baseline"/>
                <w:lang w:val="en-US" w:eastAsia="zh-CN"/>
              </w:rPr>
            </w:pPr>
            <w:r>
              <w:rPr>
                <w:rFonts w:hint="default"/>
                <w:sz w:val="24"/>
                <w:szCs w:val="24"/>
                <w:vertAlign w:val="baseline"/>
                <w:lang w:val="en-US" w:eastAsia="zh-CN"/>
              </w:rPr>
              <w:t>特殊要素</w:t>
            </w:r>
          </w:p>
        </w:tc>
      </w:tr>
      <w:tr w14:paraId="0CBC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1F18BDC8">
            <w:pPr>
              <w:jc w:val="center"/>
              <w:rPr>
                <w:rFonts w:hint="default"/>
                <w:sz w:val="24"/>
                <w:szCs w:val="24"/>
                <w:vertAlign w:val="baseline"/>
                <w:lang w:val="en-US" w:eastAsia="zh-CN"/>
              </w:rPr>
            </w:pPr>
            <w:r>
              <w:rPr>
                <w:rFonts w:hint="eastAsia"/>
                <w:sz w:val="24"/>
                <w:szCs w:val="24"/>
                <w:vertAlign w:val="baseline"/>
                <w:lang w:val="en-US" w:eastAsia="zh-CN"/>
              </w:rPr>
              <w:t>5</w:t>
            </w:r>
          </w:p>
        </w:tc>
        <w:tc>
          <w:tcPr>
            <w:tcW w:w="4129" w:type="dxa"/>
            <w:vAlign w:val="center"/>
          </w:tcPr>
          <w:p w14:paraId="38260E64">
            <w:pPr>
              <w:jc w:val="center"/>
              <w:rPr>
                <w:rFonts w:hint="default"/>
                <w:sz w:val="24"/>
                <w:szCs w:val="24"/>
                <w:vertAlign w:val="baseline"/>
                <w:lang w:val="en-US" w:eastAsia="zh-CN"/>
              </w:rPr>
            </w:pPr>
            <w:r>
              <w:rPr>
                <w:rFonts w:hint="default"/>
                <w:sz w:val="24"/>
                <w:szCs w:val="24"/>
                <w:vertAlign w:val="baseline"/>
                <w:lang w:val="en-US" w:eastAsia="zh-CN"/>
              </w:rPr>
              <w:t>白石湖煤炭高效产业园气象灾害监测站（大气电场仪）</w:t>
            </w:r>
          </w:p>
        </w:tc>
        <w:tc>
          <w:tcPr>
            <w:tcW w:w="984" w:type="dxa"/>
            <w:vAlign w:val="center"/>
          </w:tcPr>
          <w:p w14:paraId="12A735D5">
            <w:pPr>
              <w:jc w:val="center"/>
              <w:rPr>
                <w:rFonts w:hint="default"/>
                <w:sz w:val="24"/>
                <w:szCs w:val="24"/>
                <w:vertAlign w:val="baseline"/>
                <w:lang w:val="en-US" w:eastAsia="zh-CN"/>
              </w:rPr>
            </w:pPr>
            <w:r>
              <w:rPr>
                <w:rFonts w:hint="default"/>
                <w:sz w:val="24"/>
                <w:szCs w:val="24"/>
                <w:vertAlign w:val="baseline"/>
                <w:lang w:val="en-US" w:eastAsia="zh-CN"/>
              </w:rPr>
              <w:t>Y9825</w:t>
            </w:r>
          </w:p>
        </w:tc>
        <w:tc>
          <w:tcPr>
            <w:tcW w:w="1097" w:type="dxa"/>
            <w:vAlign w:val="center"/>
          </w:tcPr>
          <w:p w14:paraId="0B090ECB">
            <w:pPr>
              <w:jc w:val="center"/>
              <w:rPr>
                <w:rFonts w:hint="default"/>
                <w:sz w:val="24"/>
                <w:szCs w:val="24"/>
                <w:vertAlign w:val="baseline"/>
                <w:lang w:val="en-US" w:eastAsia="zh-CN"/>
              </w:rPr>
            </w:pPr>
            <w:r>
              <w:rPr>
                <w:rFonts w:hint="default"/>
                <w:sz w:val="24"/>
                <w:szCs w:val="24"/>
                <w:vertAlign w:val="baseline"/>
                <w:lang w:val="en-US" w:eastAsia="zh-CN"/>
              </w:rPr>
              <w:t>大气电</w:t>
            </w:r>
          </w:p>
          <w:p w14:paraId="36CEFE23">
            <w:pPr>
              <w:jc w:val="center"/>
              <w:rPr>
                <w:rFonts w:hint="default"/>
                <w:sz w:val="24"/>
                <w:szCs w:val="24"/>
                <w:vertAlign w:val="baseline"/>
                <w:lang w:val="en-US" w:eastAsia="zh-CN"/>
              </w:rPr>
            </w:pPr>
            <w:r>
              <w:rPr>
                <w:rFonts w:hint="default"/>
                <w:sz w:val="24"/>
                <w:szCs w:val="24"/>
                <w:vertAlign w:val="baseline"/>
                <w:lang w:val="en-US" w:eastAsia="zh-CN"/>
              </w:rPr>
              <w:t>场站</w:t>
            </w:r>
          </w:p>
        </w:tc>
        <w:tc>
          <w:tcPr>
            <w:tcW w:w="887" w:type="dxa"/>
            <w:vAlign w:val="center"/>
          </w:tcPr>
          <w:p w14:paraId="08921A75">
            <w:pPr>
              <w:jc w:val="center"/>
              <w:rPr>
                <w:rFonts w:hint="default"/>
                <w:sz w:val="24"/>
                <w:szCs w:val="24"/>
                <w:vertAlign w:val="baseline"/>
                <w:lang w:val="en-US" w:eastAsia="zh-CN"/>
              </w:rPr>
            </w:pPr>
            <w:r>
              <w:rPr>
                <w:rFonts w:hint="eastAsia"/>
                <w:sz w:val="24"/>
                <w:szCs w:val="24"/>
                <w:vertAlign w:val="baseline"/>
                <w:lang w:val="en-US" w:eastAsia="zh-CN"/>
              </w:rPr>
              <w:t>1</w:t>
            </w:r>
          </w:p>
        </w:tc>
        <w:tc>
          <w:tcPr>
            <w:tcW w:w="1177" w:type="dxa"/>
            <w:vAlign w:val="center"/>
          </w:tcPr>
          <w:p w14:paraId="493B12AF">
            <w:pPr>
              <w:jc w:val="center"/>
              <w:rPr>
                <w:rFonts w:hint="default"/>
                <w:sz w:val="24"/>
                <w:szCs w:val="24"/>
                <w:vertAlign w:val="baseline"/>
                <w:lang w:val="en-US" w:eastAsia="zh-CN"/>
              </w:rPr>
            </w:pPr>
            <w:r>
              <w:rPr>
                <w:rFonts w:hint="default"/>
                <w:sz w:val="24"/>
                <w:szCs w:val="24"/>
                <w:vertAlign w:val="baseline"/>
                <w:lang w:val="en-US" w:eastAsia="zh-CN"/>
              </w:rPr>
              <w:t>特殊要素</w:t>
            </w:r>
          </w:p>
        </w:tc>
      </w:tr>
      <w:tr w14:paraId="53153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04" w:type="dxa"/>
            <w:vAlign w:val="center"/>
          </w:tcPr>
          <w:p w14:paraId="5EB97F6B">
            <w:pPr>
              <w:jc w:val="center"/>
              <w:rPr>
                <w:rFonts w:hint="default"/>
                <w:sz w:val="24"/>
                <w:szCs w:val="24"/>
                <w:vertAlign w:val="baseline"/>
                <w:lang w:val="en-US" w:eastAsia="zh-CN"/>
              </w:rPr>
            </w:pPr>
            <w:r>
              <w:rPr>
                <w:rFonts w:hint="eastAsia"/>
                <w:sz w:val="24"/>
                <w:szCs w:val="24"/>
                <w:vertAlign w:val="baseline"/>
                <w:lang w:val="en-US" w:eastAsia="zh-CN"/>
              </w:rPr>
              <w:t>6</w:t>
            </w:r>
          </w:p>
        </w:tc>
        <w:tc>
          <w:tcPr>
            <w:tcW w:w="4129" w:type="dxa"/>
            <w:vAlign w:val="center"/>
          </w:tcPr>
          <w:p w14:paraId="287D21EB">
            <w:pPr>
              <w:jc w:val="center"/>
              <w:rPr>
                <w:rFonts w:hint="default"/>
                <w:sz w:val="24"/>
                <w:szCs w:val="24"/>
                <w:vertAlign w:val="baseline"/>
                <w:lang w:val="en-US" w:eastAsia="zh-CN"/>
              </w:rPr>
            </w:pPr>
            <w:r>
              <w:rPr>
                <w:rFonts w:hint="default"/>
                <w:sz w:val="24"/>
                <w:szCs w:val="24"/>
                <w:vertAlign w:val="baseline"/>
                <w:lang w:val="en-US" w:eastAsia="zh-CN"/>
              </w:rPr>
              <w:t>库木克齐克冰川站</w:t>
            </w:r>
          </w:p>
        </w:tc>
        <w:tc>
          <w:tcPr>
            <w:tcW w:w="984" w:type="dxa"/>
            <w:vAlign w:val="center"/>
          </w:tcPr>
          <w:p w14:paraId="54B3933B">
            <w:pPr>
              <w:jc w:val="center"/>
              <w:rPr>
                <w:rFonts w:hint="default"/>
                <w:sz w:val="24"/>
                <w:szCs w:val="24"/>
                <w:vertAlign w:val="baseline"/>
                <w:lang w:val="en-US" w:eastAsia="zh-CN"/>
              </w:rPr>
            </w:pPr>
            <w:r>
              <w:rPr>
                <w:rFonts w:hint="default"/>
                <w:sz w:val="24"/>
                <w:szCs w:val="24"/>
                <w:vertAlign w:val="baseline"/>
                <w:lang w:val="en-US" w:eastAsia="zh-CN"/>
              </w:rPr>
              <w:t>YM005</w:t>
            </w:r>
          </w:p>
        </w:tc>
        <w:tc>
          <w:tcPr>
            <w:tcW w:w="1097" w:type="dxa"/>
            <w:vAlign w:val="center"/>
          </w:tcPr>
          <w:p w14:paraId="424BD5A8">
            <w:pPr>
              <w:jc w:val="center"/>
              <w:rPr>
                <w:rFonts w:hint="default"/>
                <w:sz w:val="24"/>
                <w:szCs w:val="24"/>
                <w:vertAlign w:val="baseline"/>
                <w:lang w:val="en-US" w:eastAsia="zh-CN"/>
              </w:rPr>
            </w:pPr>
            <w:r>
              <w:rPr>
                <w:rFonts w:hint="eastAsia"/>
                <w:sz w:val="24"/>
                <w:szCs w:val="24"/>
                <w:vertAlign w:val="baseline"/>
                <w:lang w:val="en-US" w:eastAsia="zh-CN"/>
              </w:rPr>
              <w:t>/</w:t>
            </w:r>
          </w:p>
        </w:tc>
        <w:tc>
          <w:tcPr>
            <w:tcW w:w="887" w:type="dxa"/>
            <w:vAlign w:val="center"/>
          </w:tcPr>
          <w:p w14:paraId="65CACD9D">
            <w:pPr>
              <w:jc w:val="center"/>
              <w:rPr>
                <w:rFonts w:hint="default"/>
                <w:sz w:val="24"/>
                <w:szCs w:val="24"/>
                <w:vertAlign w:val="baseline"/>
                <w:lang w:val="en-US" w:eastAsia="zh-CN"/>
              </w:rPr>
            </w:pPr>
            <w:r>
              <w:rPr>
                <w:rFonts w:hint="eastAsia"/>
                <w:sz w:val="24"/>
                <w:szCs w:val="24"/>
                <w:vertAlign w:val="baseline"/>
                <w:lang w:val="en-US" w:eastAsia="zh-CN"/>
              </w:rPr>
              <w:t>1</w:t>
            </w:r>
          </w:p>
        </w:tc>
        <w:tc>
          <w:tcPr>
            <w:tcW w:w="1177" w:type="dxa"/>
            <w:vAlign w:val="center"/>
          </w:tcPr>
          <w:p w14:paraId="0CE78E92">
            <w:pPr>
              <w:jc w:val="center"/>
              <w:rPr>
                <w:rFonts w:hint="default"/>
                <w:sz w:val="24"/>
                <w:szCs w:val="24"/>
                <w:vertAlign w:val="baseline"/>
                <w:lang w:val="en-US" w:eastAsia="zh-CN"/>
              </w:rPr>
            </w:pPr>
          </w:p>
        </w:tc>
      </w:tr>
      <w:tr w14:paraId="7800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04" w:type="dxa"/>
            <w:vAlign w:val="center"/>
          </w:tcPr>
          <w:p w14:paraId="2038E60A">
            <w:pPr>
              <w:jc w:val="center"/>
              <w:rPr>
                <w:rFonts w:hint="default"/>
                <w:sz w:val="24"/>
                <w:szCs w:val="24"/>
                <w:vertAlign w:val="baseline"/>
                <w:lang w:val="en-US" w:eastAsia="zh-CN"/>
              </w:rPr>
            </w:pPr>
            <w:r>
              <w:rPr>
                <w:rFonts w:hint="eastAsia"/>
                <w:sz w:val="24"/>
                <w:szCs w:val="24"/>
                <w:vertAlign w:val="baseline"/>
                <w:lang w:val="en-US" w:eastAsia="zh-CN"/>
              </w:rPr>
              <w:t>7</w:t>
            </w:r>
          </w:p>
        </w:tc>
        <w:tc>
          <w:tcPr>
            <w:tcW w:w="4129" w:type="dxa"/>
            <w:vAlign w:val="center"/>
          </w:tcPr>
          <w:p w14:paraId="6CA6D7FC">
            <w:pPr>
              <w:jc w:val="center"/>
              <w:rPr>
                <w:rFonts w:hint="default"/>
                <w:sz w:val="24"/>
                <w:szCs w:val="24"/>
                <w:vertAlign w:val="baseline"/>
                <w:lang w:val="en-US" w:eastAsia="zh-CN"/>
              </w:rPr>
            </w:pPr>
            <w:r>
              <w:rPr>
                <w:rFonts w:hint="default"/>
                <w:sz w:val="24"/>
                <w:szCs w:val="24"/>
                <w:vertAlign w:val="baseline"/>
                <w:lang w:val="en-US" w:eastAsia="zh-CN"/>
              </w:rPr>
              <w:t>恰达冰川站</w:t>
            </w:r>
          </w:p>
        </w:tc>
        <w:tc>
          <w:tcPr>
            <w:tcW w:w="984" w:type="dxa"/>
            <w:vAlign w:val="center"/>
          </w:tcPr>
          <w:p w14:paraId="28BA7784">
            <w:pPr>
              <w:jc w:val="center"/>
              <w:rPr>
                <w:rFonts w:hint="default"/>
                <w:sz w:val="24"/>
                <w:szCs w:val="24"/>
                <w:vertAlign w:val="baseline"/>
                <w:lang w:val="en-US" w:eastAsia="zh-CN"/>
              </w:rPr>
            </w:pPr>
            <w:r>
              <w:rPr>
                <w:rFonts w:hint="default"/>
                <w:sz w:val="24"/>
                <w:szCs w:val="24"/>
                <w:vertAlign w:val="baseline"/>
                <w:lang w:val="en-US" w:eastAsia="zh-CN"/>
              </w:rPr>
              <w:t>YM006</w:t>
            </w:r>
          </w:p>
        </w:tc>
        <w:tc>
          <w:tcPr>
            <w:tcW w:w="1097" w:type="dxa"/>
            <w:vAlign w:val="center"/>
          </w:tcPr>
          <w:p w14:paraId="7FAD7A71">
            <w:pPr>
              <w:jc w:val="center"/>
              <w:rPr>
                <w:rFonts w:hint="default"/>
                <w:sz w:val="24"/>
                <w:szCs w:val="24"/>
                <w:vertAlign w:val="baseline"/>
                <w:lang w:val="en-US" w:eastAsia="zh-CN"/>
              </w:rPr>
            </w:pPr>
            <w:r>
              <w:rPr>
                <w:rFonts w:hint="eastAsia"/>
                <w:sz w:val="24"/>
                <w:szCs w:val="24"/>
                <w:vertAlign w:val="baseline"/>
                <w:lang w:val="en-US" w:eastAsia="zh-CN"/>
              </w:rPr>
              <w:t>/</w:t>
            </w:r>
          </w:p>
        </w:tc>
        <w:tc>
          <w:tcPr>
            <w:tcW w:w="887" w:type="dxa"/>
            <w:vAlign w:val="center"/>
          </w:tcPr>
          <w:p w14:paraId="177227B8">
            <w:pPr>
              <w:jc w:val="center"/>
              <w:rPr>
                <w:rFonts w:hint="default"/>
                <w:sz w:val="24"/>
                <w:szCs w:val="24"/>
                <w:vertAlign w:val="baseline"/>
                <w:lang w:val="en-US" w:eastAsia="zh-CN"/>
              </w:rPr>
            </w:pPr>
            <w:r>
              <w:rPr>
                <w:rFonts w:hint="eastAsia"/>
                <w:sz w:val="24"/>
                <w:szCs w:val="24"/>
                <w:vertAlign w:val="baseline"/>
                <w:lang w:val="en-US" w:eastAsia="zh-CN"/>
              </w:rPr>
              <w:t>1</w:t>
            </w:r>
          </w:p>
        </w:tc>
        <w:tc>
          <w:tcPr>
            <w:tcW w:w="1177" w:type="dxa"/>
            <w:vAlign w:val="center"/>
          </w:tcPr>
          <w:p w14:paraId="33557D45">
            <w:pPr>
              <w:jc w:val="center"/>
              <w:rPr>
                <w:rFonts w:hint="default"/>
                <w:sz w:val="24"/>
                <w:szCs w:val="24"/>
                <w:vertAlign w:val="baseline"/>
                <w:lang w:val="en-US" w:eastAsia="zh-CN"/>
              </w:rPr>
            </w:pPr>
          </w:p>
        </w:tc>
      </w:tr>
      <w:tr w14:paraId="7F8DC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04" w:type="dxa"/>
            <w:vAlign w:val="center"/>
          </w:tcPr>
          <w:p w14:paraId="5A818879">
            <w:pPr>
              <w:jc w:val="center"/>
              <w:rPr>
                <w:rFonts w:hint="default"/>
                <w:sz w:val="24"/>
                <w:szCs w:val="24"/>
                <w:vertAlign w:val="baseline"/>
                <w:lang w:val="en-US" w:eastAsia="zh-CN"/>
              </w:rPr>
            </w:pPr>
            <w:r>
              <w:rPr>
                <w:rFonts w:hint="eastAsia"/>
                <w:sz w:val="24"/>
                <w:szCs w:val="24"/>
                <w:vertAlign w:val="baseline"/>
                <w:lang w:val="en-US" w:eastAsia="zh-CN"/>
              </w:rPr>
              <w:t>8</w:t>
            </w:r>
          </w:p>
        </w:tc>
        <w:tc>
          <w:tcPr>
            <w:tcW w:w="4129" w:type="dxa"/>
            <w:vAlign w:val="center"/>
          </w:tcPr>
          <w:p w14:paraId="111FA8C8">
            <w:pPr>
              <w:jc w:val="center"/>
              <w:rPr>
                <w:rFonts w:hint="default"/>
                <w:sz w:val="24"/>
                <w:szCs w:val="24"/>
                <w:vertAlign w:val="baseline"/>
                <w:lang w:val="en-US" w:eastAsia="zh-CN"/>
              </w:rPr>
            </w:pPr>
            <w:r>
              <w:rPr>
                <w:rFonts w:hint="default"/>
                <w:sz w:val="24"/>
                <w:szCs w:val="24"/>
                <w:vertAlign w:val="baseline"/>
                <w:lang w:val="en-US" w:eastAsia="zh-CN"/>
              </w:rPr>
              <w:t>科克亚尔永川站</w:t>
            </w:r>
          </w:p>
        </w:tc>
        <w:tc>
          <w:tcPr>
            <w:tcW w:w="984" w:type="dxa"/>
            <w:vAlign w:val="center"/>
          </w:tcPr>
          <w:p w14:paraId="775A7A38">
            <w:pPr>
              <w:jc w:val="center"/>
              <w:rPr>
                <w:rFonts w:hint="default"/>
                <w:sz w:val="24"/>
                <w:szCs w:val="24"/>
                <w:vertAlign w:val="baseline"/>
                <w:lang w:val="en-US" w:eastAsia="zh-CN"/>
              </w:rPr>
            </w:pPr>
            <w:r>
              <w:rPr>
                <w:rFonts w:hint="default"/>
                <w:sz w:val="24"/>
                <w:szCs w:val="24"/>
                <w:vertAlign w:val="baseline"/>
                <w:lang w:val="en-US" w:eastAsia="zh-CN"/>
              </w:rPr>
              <w:t>YM007</w:t>
            </w:r>
          </w:p>
        </w:tc>
        <w:tc>
          <w:tcPr>
            <w:tcW w:w="1097" w:type="dxa"/>
            <w:vAlign w:val="center"/>
          </w:tcPr>
          <w:p w14:paraId="4A341571">
            <w:pPr>
              <w:jc w:val="center"/>
              <w:rPr>
                <w:rFonts w:hint="default"/>
                <w:sz w:val="24"/>
                <w:szCs w:val="24"/>
                <w:vertAlign w:val="baseline"/>
                <w:lang w:val="en-US" w:eastAsia="zh-CN"/>
              </w:rPr>
            </w:pPr>
            <w:r>
              <w:rPr>
                <w:rFonts w:hint="eastAsia"/>
                <w:sz w:val="24"/>
                <w:szCs w:val="24"/>
                <w:vertAlign w:val="baseline"/>
                <w:lang w:val="en-US" w:eastAsia="zh-CN"/>
              </w:rPr>
              <w:t>/</w:t>
            </w:r>
          </w:p>
        </w:tc>
        <w:tc>
          <w:tcPr>
            <w:tcW w:w="887" w:type="dxa"/>
            <w:vAlign w:val="center"/>
          </w:tcPr>
          <w:p w14:paraId="758F9BC1">
            <w:pPr>
              <w:jc w:val="center"/>
              <w:rPr>
                <w:rFonts w:hint="default"/>
                <w:sz w:val="24"/>
                <w:szCs w:val="24"/>
                <w:vertAlign w:val="baseline"/>
                <w:lang w:val="en-US" w:eastAsia="zh-CN"/>
              </w:rPr>
            </w:pPr>
            <w:r>
              <w:rPr>
                <w:rFonts w:hint="eastAsia"/>
                <w:sz w:val="24"/>
                <w:szCs w:val="24"/>
                <w:vertAlign w:val="baseline"/>
                <w:lang w:val="en-US" w:eastAsia="zh-CN"/>
              </w:rPr>
              <w:t>1</w:t>
            </w:r>
          </w:p>
        </w:tc>
        <w:tc>
          <w:tcPr>
            <w:tcW w:w="1177" w:type="dxa"/>
            <w:vAlign w:val="center"/>
          </w:tcPr>
          <w:p w14:paraId="5F3D3070">
            <w:pPr>
              <w:jc w:val="center"/>
              <w:rPr>
                <w:rFonts w:hint="default"/>
                <w:sz w:val="24"/>
                <w:szCs w:val="24"/>
                <w:vertAlign w:val="baseline"/>
                <w:lang w:val="en-US" w:eastAsia="zh-CN"/>
              </w:rPr>
            </w:pPr>
          </w:p>
        </w:tc>
      </w:tr>
      <w:tr w14:paraId="170D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78" w:type="dxa"/>
            <w:gridSpan w:val="6"/>
            <w:vAlign w:val="center"/>
          </w:tcPr>
          <w:p w14:paraId="0167E639">
            <w:pPr>
              <w:jc w:val="left"/>
              <w:rPr>
                <w:rFonts w:hint="default"/>
                <w:sz w:val="24"/>
                <w:szCs w:val="24"/>
                <w:vertAlign w:val="baseline"/>
                <w:lang w:val="en-US" w:eastAsia="zh-CN"/>
              </w:rPr>
            </w:pPr>
            <w:r>
              <w:rPr>
                <w:rFonts w:hint="default"/>
                <w:sz w:val="24"/>
                <w:szCs w:val="24"/>
                <w:vertAlign w:val="baseline"/>
                <w:lang w:val="en-US" w:eastAsia="zh-CN"/>
              </w:rPr>
              <w:t>二、测雪站</w:t>
            </w:r>
          </w:p>
        </w:tc>
      </w:tr>
      <w:tr w14:paraId="2E731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04" w:type="dxa"/>
            <w:vAlign w:val="center"/>
          </w:tcPr>
          <w:p w14:paraId="55A452B0">
            <w:pPr>
              <w:jc w:val="center"/>
              <w:rPr>
                <w:rFonts w:hint="default"/>
                <w:sz w:val="24"/>
                <w:szCs w:val="24"/>
                <w:vertAlign w:val="baseline"/>
                <w:lang w:val="en-US" w:eastAsia="zh-CN"/>
              </w:rPr>
            </w:pPr>
            <w:r>
              <w:rPr>
                <w:rFonts w:hint="eastAsia"/>
                <w:sz w:val="24"/>
                <w:szCs w:val="24"/>
                <w:vertAlign w:val="baseline"/>
                <w:lang w:val="en-US" w:eastAsia="zh-CN"/>
              </w:rPr>
              <w:t>1</w:t>
            </w:r>
          </w:p>
        </w:tc>
        <w:tc>
          <w:tcPr>
            <w:tcW w:w="4129" w:type="dxa"/>
            <w:vAlign w:val="center"/>
          </w:tcPr>
          <w:p w14:paraId="2100E72B">
            <w:pPr>
              <w:jc w:val="center"/>
              <w:rPr>
                <w:rFonts w:hint="default"/>
                <w:sz w:val="24"/>
                <w:szCs w:val="24"/>
                <w:vertAlign w:val="baseline"/>
                <w:lang w:val="en-US" w:eastAsia="zh-CN"/>
              </w:rPr>
            </w:pPr>
            <w:r>
              <w:rPr>
                <w:rFonts w:hint="default"/>
                <w:sz w:val="24"/>
                <w:szCs w:val="24"/>
                <w:vertAlign w:val="baseline"/>
                <w:lang w:val="en-US" w:eastAsia="zh-CN"/>
              </w:rPr>
              <w:t>测雪站</w:t>
            </w:r>
          </w:p>
        </w:tc>
        <w:tc>
          <w:tcPr>
            <w:tcW w:w="984" w:type="dxa"/>
            <w:vAlign w:val="center"/>
          </w:tcPr>
          <w:p w14:paraId="1D424CA1">
            <w:pPr>
              <w:jc w:val="center"/>
              <w:rPr>
                <w:rFonts w:hint="default"/>
                <w:sz w:val="24"/>
                <w:szCs w:val="24"/>
                <w:vertAlign w:val="baseline"/>
                <w:lang w:val="en-US" w:eastAsia="zh-CN"/>
              </w:rPr>
            </w:pPr>
          </w:p>
        </w:tc>
        <w:tc>
          <w:tcPr>
            <w:tcW w:w="1097" w:type="dxa"/>
            <w:vAlign w:val="center"/>
          </w:tcPr>
          <w:p w14:paraId="66F7D154">
            <w:pPr>
              <w:jc w:val="center"/>
              <w:rPr>
                <w:rFonts w:hint="default"/>
                <w:sz w:val="24"/>
                <w:szCs w:val="24"/>
                <w:vertAlign w:val="baseline"/>
                <w:lang w:val="en-US" w:eastAsia="zh-CN"/>
              </w:rPr>
            </w:pPr>
          </w:p>
        </w:tc>
        <w:tc>
          <w:tcPr>
            <w:tcW w:w="887" w:type="dxa"/>
            <w:vAlign w:val="center"/>
          </w:tcPr>
          <w:p w14:paraId="1E6241FE">
            <w:pPr>
              <w:jc w:val="center"/>
              <w:rPr>
                <w:rFonts w:hint="default"/>
                <w:sz w:val="24"/>
                <w:szCs w:val="24"/>
                <w:vertAlign w:val="baseline"/>
                <w:lang w:val="en-US" w:eastAsia="zh-CN"/>
              </w:rPr>
            </w:pPr>
            <w:r>
              <w:rPr>
                <w:rFonts w:hint="eastAsia"/>
                <w:sz w:val="24"/>
                <w:szCs w:val="24"/>
                <w:vertAlign w:val="baseline"/>
                <w:lang w:val="en-US" w:eastAsia="zh-CN"/>
              </w:rPr>
              <w:t>6</w:t>
            </w:r>
          </w:p>
        </w:tc>
        <w:tc>
          <w:tcPr>
            <w:tcW w:w="1177" w:type="dxa"/>
            <w:vAlign w:val="center"/>
          </w:tcPr>
          <w:p w14:paraId="70A1C29B">
            <w:pPr>
              <w:jc w:val="center"/>
              <w:rPr>
                <w:rFonts w:hint="default"/>
                <w:sz w:val="24"/>
                <w:szCs w:val="24"/>
                <w:vertAlign w:val="baseline"/>
                <w:lang w:val="en-US" w:eastAsia="zh-CN"/>
              </w:rPr>
            </w:pPr>
          </w:p>
        </w:tc>
      </w:tr>
      <w:tr w14:paraId="689B6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78" w:type="dxa"/>
            <w:gridSpan w:val="6"/>
            <w:vAlign w:val="center"/>
          </w:tcPr>
          <w:p w14:paraId="3AE15C24">
            <w:pPr>
              <w:jc w:val="left"/>
              <w:rPr>
                <w:rFonts w:hint="default"/>
                <w:sz w:val="24"/>
                <w:szCs w:val="24"/>
                <w:vertAlign w:val="baseline"/>
                <w:lang w:val="en-US" w:eastAsia="zh-CN"/>
              </w:rPr>
            </w:pPr>
            <w:r>
              <w:rPr>
                <w:rFonts w:hint="default"/>
                <w:sz w:val="24"/>
                <w:szCs w:val="24"/>
                <w:vertAlign w:val="baseline"/>
                <w:lang w:val="en-US" w:eastAsia="zh-CN"/>
              </w:rPr>
              <w:t>三、业务平台</w:t>
            </w:r>
          </w:p>
        </w:tc>
      </w:tr>
      <w:tr w14:paraId="4597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04" w:type="dxa"/>
            <w:vAlign w:val="center"/>
          </w:tcPr>
          <w:p w14:paraId="436E8DF8">
            <w:pPr>
              <w:jc w:val="center"/>
              <w:rPr>
                <w:rFonts w:hint="default"/>
                <w:sz w:val="24"/>
                <w:szCs w:val="24"/>
                <w:vertAlign w:val="baseline"/>
                <w:lang w:val="en-US" w:eastAsia="zh-CN"/>
              </w:rPr>
            </w:pPr>
            <w:r>
              <w:rPr>
                <w:rFonts w:hint="eastAsia"/>
                <w:sz w:val="24"/>
                <w:szCs w:val="24"/>
                <w:vertAlign w:val="baseline"/>
                <w:lang w:val="en-US" w:eastAsia="zh-CN"/>
              </w:rPr>
              <w:t>1</w:t>
            </w:r>
          </w:p>
        </w:tc>
        <w:tc>
          <w:tcPr>
            <w:tcW w:w="4129" w:type="dxa"/>
            <w:vAlign w:val="center"/>
          </w:tcPr>
          <w:p w14:paraId="02E0546A">
            <w:pPr>
              <w:jc w:val="center"/>
              <w:rPr>
                <w:rFonts w:hint="default"/>
                <w:sz w:val="24"/>
                <w:szCs w:val="24"/>
                <w:vertAlign w:val="baseline"/>
                <w:lang w:val="en-US" w:eastAsia="zh-CN"/>
              </w:rPr>
            </w:pPr>
            <w:r>
              <w:rPr>
                <w:rFonts w:hint="default"/>
                <w:sz w:val="24"/>
                <w:szCs w:val="24"/>
                <w:vertAlign w:val="baseline"/>
                <w:lang w:val="en-US" w:eastAsia="zh-CN"/>
              </w:rPr>
              <w:t>业务平台</w:t>
            </w:r>
          </w:p>
        </w:tc>
        <w:tc>
          <w:tcPr>
            <w:tcW w:w="984" w:type="dxa"/>
            <w:vAlign w:val="center"/>
          </w:tcPr>
          <w:p w14:paraId="5C610E43">
            <w:pPr>
              <w:jc w:val="center"/>
              <w:rPr>
                <w:rFonts w:hint="default"/>
                <w:sz w:val="24"/>
                <w:szCs w:val="24"/>
                <w:vertAlign w:val="baseline"/>
                <w:lang w:val="en-US" w:eastAsia="zh-CN"/>
              </w:rPr>
            </w:pPr>
          </w:p>
        </w:tc>
        <w:tc>
          <w:tcPr>
            <w:tcW w:w="1097" w:type="dxa"/>
            <w:vAlign w:val="center"/>
          </w:tcPr>
          <w:p w14:paraId="76B4D05B">
            <w:pPr>
              <w:jc w:val="center"/>
              <w:rPr>
                <w:rFonts w:hint="default"/>
                <w:sz w:val="24"/>
                <w:szCs w:val="24"/>
                <w:vertAlign w:val="baseline"/>
                <w:lang w:val="en-US" w:eastAsia="zh-CN"/>
              </w:rPr>
            </w:pPr>
          </w:p>
        </w:tc>
        <w:tc>
          <w:tcPr>
            <w:tcW w:w="887" w:type="dxa"/>
            <w:vAlign w:val="center"/>
          </w:tcPr>
          <w:p w14:paraId="57077476">
            <w:pPr>
              <w:jc w:val="center"/>
              <w:rPr>
                <w:rFonts w:hint="default"/>
                <w:sz w:val="24"/>
                <w:szCs w:val="24"/>
                <w:vertAlign w:val="baseline"/>
                <w:lang w:val="en-US" w:eastAsia="zh-CN"/>
              </w:rPr>
            </w:pPr>
            <w:r>
              <w:rPr>
                <w:rFonts w:hint="eastAsia"/>
                <w:sz w:val="24"/>
                <w:szCs w:val="24"/>
                <w:vertAlign w:val="baseline"/>
                <w:lang w:val="en-US" w:eastAsia="zh-CN"/>
              </w:rPr>
              <w:t>3</w:t>
            </w:r>
          </w:p>
        </w:tc>
        <w:tc>
          <w:tcPr>
            <w:tcW w:w="1177" w:type="dxa"/>
            <w:vAlign w:val="center"/>
          </w:tcPr>
          <w:p w14:paraId="77068DCC">
            <w:pPr>
              <w:jc w:val="center"/>
              <w:rPr>
                <w:rFonts w:hint="default"/>
                <w:sz w:val="24"/>
                <w:szCs w:val="24"/>
                <w:vertAlign w:val="baseline"/>
                <w:lang w:val="en-US" w:eastAsia="zh-CN"/>
              </w:rPr>
            </w:pPr>
          </w:p>
        </w:tc>
      </w:tr>
      <w:tr w14:paraId="0BFF8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78" w:type="dxa"/>
            <w:gridSpan w:val="6"/>
            <w:vAlign w:val="center"/>
          </w:tcPr>
          <w:p w14:paraId="7FDE6A03">
            <w:pPr>
              <w:jc w:val="left"/>
              <w:rPr>
                <w:rFonts w:hint="default"/>
                <w:sz w:val="24"/>
                <w:szCs w:val="24"/>
                <w:vertAlign w:val="baseline"/>
                <w:lang w:val="en-US" w:eastAsia="zh-CN"/>
              </w:rPr>
            </w:pPr>
            <w:r>
              <w:rPr>
                <w:rFonts w:hint="default"/>
                <w:sz w:val="24"/>
                <w:szCs w:val="24"/>
                <w:vertAlign w:val="baseline"/>
                <w:lang w:val="en-US" w:eastAsia="zh-CN"/>
              </w:rPr>
              <w:t>四、雷达</w:t>
            </w:r>
          </w:p>
        </w:tc>
      </w:tr>
      <w:tr w14:paraId="448C8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04" w:type="dxa"/>
            <w:vAlign w:val="center"/>
          </w:tcPr>
          <w:p w14:paraId="2D5E485B">
            <w:pPr>
              <w:jc w:val="center"/>
              <w:rPr>
                <w:rFonts w:hint="default"/>
                <w:sz w:val="24"/>
                <w:szCs w:val="24"/>
                <w:vertAlign w:val="baseline"/>
                <w:lang w:val="en-US" w:eastAsia="zh-CN"/>
              </w:rPr>
            </w:pPr>
            <w:r>
              <w:rPr>
                <w:rFonts w:hint="eastAsia"/>
                <w:sz w:val="24"/>
                <w:szCs w:val="24"/>
                <w:vertAlign w:val="baseline"/>
                <w:lang w:val="en-US" w:eastAsia="zh-CN"/>
              </w:rPr>
              <w:t>1</w:t>
            </w:r>
          </w:p>
        </w:tc>
        <w:tc>
          <w:tcPr>
            <w:tcW w:w="4129" w:type="dxa"/>
            <w:vAlign w:val="center"/>
          </w:tcPr>
          <w:p w14:paraId="6A2B621D">
            <w:pPr>
              <w:jc w:val="center"/>
              <w:rPr>
                <w:rFonts w:hint="default"/>
                <w:sz w:val="24"/>
                <w:szCs w:val="24"/>
                <w:vertAlign w:val="baseline"/>
                <w:lang w:val="en-US" w:eastAsia="zh-CN"/>
              </w:rPr>
            </w:pPr>
            <w:r>
              <w:rPr>
                <w:rFonts w:hint="default"/>
                <w:sz w:val="24"/>
                <w:szCs w:val="24"/>
                <w:vertAlign w:val="baseline"/>
                <w:lang w:val="en-US" w:eastAsia="zh-CN"/>
              </w:rPr>
              <w:t>雷达</w:t>
            </w:r>
          </w:p>
        </w:tc>
        <w:tc>
          <w:tcPr>
            <w:tcW w:w="984" w:type="dxa"/>
            <w:vAlign w:val="center"/>
          </w:tcPr>
          <w:p w14:paraId="59BFF044">
            <w:pPr>
              <w:jc w:val="center"/>
              <w:rPr>
                <w:rFonts w:hint="default"/>
                <w:sz w:val="24"/>
                <w:szCs w:val="24"/>
                <w:vertAlign w:val="baseline"/>
                <w:lang w:val="en-US" w:eastAsia="zh-CN"/>
              </w:rPr>
            </w:pPr>
          </w:p>
        </w:tc>
        <w:tc>
          <w:tcPr>
            <w:tcW w:w="1097" w:type="dxa"/>
            <w:vAlign w:val="center"/>
          </w:tcPr>
          <w:p w14:paraId="09B71DE5">
            <w:pPr>
              <w:jc w:val="center"/>
              <w:rPr>
                <w:rFonts w:hint="default"/>
                <w:sz w:val="24"/>
                <w:szCs w:val="24"/>
                <w:vertAlign w:val="baseline"/>
                <w:lang w:val="en-US" w:eastAsia="zh-CN"/>
              </w:rPr>
            </w:pPr>
          </w:p>
        </w:tc>
        <w:tc>
          <w:tcPr>
            <w:tcW w:w="887" w:type="dxa"/>
            <w:vAlign w:val="center"/>
          </w:tcPr>
          <w:p w14:paraId="6BE8DA64">
            <w:pPr>
              <w:jc w:val="center"/>
              <w:rPr>
                <w:rFonts w:hint="default"/>
                <w:sz w:val="24"/>
                <w:szCs w:val="24"/>
                <w:vertAlign w:val="baseline"/>
                <w:lang w:val="en-US" w:eastAsia="zh-CN"/>
              </w:rPr>
            </w:pPr>
            <w:r>
              <w:rPr>
                <w:rFonts w:hint="eastAsia"/>
                <w:sz w:val="24"/>
                <w:szCs w:val="24"/>
                <w:vertAlign w:val="baseline"/>
                <w:lang w:val="en-US" w:eastAsia="zh-CN"/>
              </w:rPr>
              <w:t>1</w:t>
            </w:r>
          </w:p>
        </w:tc>
        <w:tc>
          <w:tcPr>
            <w:tcW w:w="1177" w:type="dxa"/>
            <w:vAlign w:val="center"/>
          </w:tcPr>
          <w:p w14:paraId="478B860A">
            <w:pPr>
              <w:jc w:val="center"/>
              <w:rPr>
                <w:rFonts w:hint="default"/>
                <w:sz w:val="24"/>
                <w:szCs w:val="24"/>
                <w:vertAlign w:val="baseline"/>
                <w:lang w:val="en-US" w:eastAsia="zh-CN"/>
              </w:rPr>
            </w:pPr>
          </w:p>
        </w:tc>
      </w:tr>
    </w:tbl>
    <w:p w14:paraId="006B2259">
      <w:pPr>
        <w:ind w:firstLine="560" w:firstLineChars="200"/>
        <w:rPr>
          <w:rFonts w:hint="default"/>
          <w:sz w:val="28"/>
          <w:szCs w:val="28"/>
          <w:lang w:val="en-US" w:eastAsia="zh-CN"/>
        </w:rPr>
      </w:pPr>
    </w:p>
    <w:bookmarkEnd w:id="479"/>
    <w:p w14:paraId="4D9E43CF">
      <w:pPr>
        <w:pStyle w:val="2"/>
        <w:pageBreakBefore/>
        <w:rPr>
          <w:rFonts w:hint="eastAsia" w:ascii="宋体" w:hAnsi="宋体" w:cs="宋体"/>
          <w:highlight w:val="red"/>
        </w:rPr>
      </w:pPr>
      <w:bookmarkStart w:id="480" w:name="_Toc8374"/>
      <w:bookmarkStart w:id="481" w:name="_Toc16170"/>
      <w:bookmarkStart w:id="482" w:name="_Toc529952602"/>
      <w:r>
        <w:rPr>
          <w:rFonts w:hint="eastAsia" w:ascii="宋体" w:hAnsi="宋体" w:cs="宋体"/>
          <w:sz w:val="36"/>
          <w:szCs w:val="36"/>
          <w:highlight w:val="white"/>
        </w:rPr>
        <w:t>第六章 响应文件格式</w:t>
      </w:r>
      <w:bookmarkEnd w:id="480"/>
      <w:bookmarkEnd w:id="481"/>
      <w:bookmarkEnd w:id="482"/>
      <w:bookmarkStart w:id="483" w:name="EB77e84d16e8514e3d843450083f22a83d"/>
    </w:p>
    <w:p w14:paraId="31F042A9">
      <w:pPr>
        <w:pStyle w:val="154"/>
        <w:keepNext w:val="0"/>
        <w:keepLines w:val="0"/>
        <w:pageBreakBefore w:val="0"/>
        <w:widowControl/>
        <w:kinsoku/>
        <w:wordWrap/>
        <w:overflowPunct/>
        <w:topLinePunct w:val="0"/>
        <w:autoSpaceDE/>
        <w:autoSpaceDN/>
        <w:bidi w:val="0"/>
        <w:adjustRightInd/>
        <w:snapToGrid/>
        <w:spacing w:after="100" w:afterAutospacing="1" w:line="240" w:lineRule="auto"/>
        <w:jc w:val="center"/>
        <w:textAlignment w:val="auto"/>
        <w:outlineLvl w:val="0"/>
        <w:rPr>
          <w:rFonts w:hint="eastAsia" w:ascii="宋体" w:hAnsi="宋体" w:eastAsia="宋体" w:cs="宋体"/>
        </w:rPr>
      </w:pPr>
      <w:bookmarkStart w:id="484" w:name="_Toc106276273"/>
      <w:bookmarkStart w:id="485" w:name="_Toc21410"/>
      <w:bookmarkStart w:id="486" w:name="_Toc22030"/>
      <w:r>
        <w:rPr>
          <w:rFonts w:hint="eastAsia" w:ascii="宋体" w:hAnsi="宋体" w:eastAsia="宋体" w:cs="宋体"/>
          <w:sz w:val="40"/>
        </w:rPr>
        <w:t>目</w:t>
      </w:r>
      <w:r>
        <w:rPr>
          <w:rFonts w:hint="eastAsia" w:ascii="宋体" w:hAnsi="宋体" w:eastAsia="宋体" w:cs="宋体"/>
          <w:sz w:val="40"/>
          <w:lang w:eastAsia="zh-CN"/>
        </w:rPr>
        <w:t xml:space="preserve">  </w:t>
      </w:r>
      <w:r>
        <w:rPr>
          <w:rFonts w:hint="eastAsia" w:ascii="宋体" w:hAnsi="宋体" w:eastAsia="宋体" w:cs="宋体"/>
          <w:sz w:val="40"/>
        </w:rPr>
        <w:t>录</w:t>
      </w:r>
      <w:bookmarkEnd w:id="484"/>
      <w:bookmarkEnd w:id="485"/>
      <w:bookmarkEnd w:id="486"/>
    </w:p>
    <w:p w14:paraId="3C2AD016">
      <w:pPr>
        <w:pStyle w:val="154"/>
        <w:numPr>
          <w:ilvl w:val="0"/>
          <w:numId w:val="0"/>
        </w:numPr>
        <w:spacing w:line="360" w:lineRule="auto"/>
        <w:outlineLvl w:val="0"/>
        <w:rPr>
          <w:rFonts w:hint="eastAsia" w:ascii="宋体" w:hAnsi="宋体" w:eastAsia="宋体" w:cs="宋体"/>
        </w:rPr>
      </w:pPr>
      <w:bookmarkStart w:id="487" w:name="_Toc106276274"/>
      <w:bookmarkStart w:id="488" w:name="_Toc9914"/>
      <w:bookmarkStart w:id="489" w:name="_Toc17700"/>
      <w:r>
        <w:rPr>
          <w:rFonts w:hint="eastAsia" w:ascii="宋体" w:hAnsi="宋体" w:eastAsia="宋体" w:cs="宋体"/>
          <w:lang w:val="en-US" w:eastAsia="zh-CN"/>
        </w:rPr>
        <w:t>一、</w:t>
      </w:r>
      <w:r>
        <w:rPr>
          <w:rFonts w:hint="eastAsia" w:ascii="宋体" w:hAnsi="宋体" w:eastAsia="宋体" w:cs="宋体"/>
        </w:rPr>
        <w:t>投标文件封面</w:t>
      </w:r>
      <w:bookmarkEnd w:id="487"/>
      <w:bookmarkEnd w:id="488"/>
      <w:bookmarkEnd w:id="489"/>
    </w:p>
    <w:p w14:paraId="0DCE7248">
      <w:pPr>
        <w:pStyle w:val="154"/>
        <w:numPr>
          <w:ilvl w:val="0"/>
          <w:numId w:val="0"/>
        </w:numPr>
        <w:spacing w:line="360" w:lineRule="auto"/>
        <w:outlineLvl w:val="0"/>
        <w:rPr>
          <w:rFonts w:hint="eastAsia" w:ascii="宋体" w:hAnsi="宋体" w:eastAsia="宋体" w:cs="宋体"/>
          <w:lang w:eastAsia="zh-CN"/>
        </w:rPr>
      </w:pPr>
      <w:bookmarkStart w:id="490" w:name="_Toc106276275"/>
      <w:bookmarkStart w:id="491" w:name="_Toc19676"/>
      <w:bookmarkStart w:id="492" w:name="_Toc21481"/>
      <w:r>
        <w:rPr>
          <w:rFonts w:hint="eastAsia" w:ascii="宋体" w:hAnsi="宋体" w:eastAsia="宋体" w:cs="宋体"/>
          <w:lang w:val="en-US" w:eastAsia="zh-CN"/>
        </w:rPr>
        <w:t>二、</w:t>
      </w:r>
      <w:r>
        <w:rPr>
          <w:rFonts w:hint="eastAsia" w:ascii="宋体" w:hAnsi="宋体" w:eastAsia="宋体" w:cs="宋体"/>
          <w:lang w:eastAsia="zh-CN"/>
        </w:rPr>
        <w:t>资格响应文件</w:t>
      </w:r>
      <w:bookmarkEnd w:id="490"/>
      <w:bookmarkEnd w:id="491"/>
      <w:bookmarkEnd w:id="492"/>
    </w:p>
    <w:p w14:paraId="42238727">
      <w:pPr>
        <w:pStyle w:val="154"/>
        <w:spacing w:line="360" w:lineRule="auto"/>
        <w:rPr>
          <w:rFonts w:hint="eastAsia" w:ascii="宋体" w:hAnsi="宋体" w:eastAsia="宋体" w:cs="宋体"/>
        </w:rPr>
      </w:pPr>
      <w:r>
        <w:rPr>
          <w:rFonts w:hint="eastAsia" w:ascii="宋体" w:hAnsi="宋体" w:eastAsia="宋体" w:cs="宋体"/>
          <w:lang w:eastAsia="zh-CN"/>
        </w:rPr>
        <w:t>（一）</w:t>
      </w:r>
      <w:r>
        <w:rPr>
          <w:rFonts w:hint="eastAsia" w:ascii="宋体" w:hAnsi="宋体" w:eastAsia="宋体" w:cs="宋体"/>
        </w:rPr>
        <w:t>供应商资格声明</w:t>
      </w:r>
    </w:p>
    <w:p w14:paraId="1FB0FC78">
      <w:pPr>
        <w:pStyle w:val="154"/>
        <w:spacing w:line="360" w:lineRule="auto"/>
        <w:rPr>
          <w:rFonts w:hint="eastAsia" w:ascii="宋体" w:hAnsi="宋体" w:eastAsia="宋体" w:cs="宋体"/>
        </w:rPr>
      </w:pPr>
      <w:r>
        <w:rPr>
          <w:rFonts w:hint="eastAsia" w:ascii="宋体" w:hAnsi="宋体" w:eastAsia="宋体" w:cs="宋体"/>
          <w:lang w:eastAsia="zh-CN"/>
        </w:rPr>
        <w:t>（二）</w:t>
      </w:r>
      <w:r>
        <w:rPr>
          <w:rFonts w:hint="eastAsia" w:ascii="宋体" w:hAnsi="宋体" w:eastAsia="宋体" w:cs="宋体"/>
        </w:rPr>
        <w:t>法定代表人身份证明或附有法定代表人身份证明的授权书</w:t>
      </w:r>
    </w:p>
    <w:p w14:paraId="0ED3EFBD">
      <w:pPr>
        <w:pStyle w:val="154"/>
        <w:spacing w:line="360" w:lineRule="auto"/>
        <w:rPr>
          <w:rFonts w:hint="eastAsia" w:ascii="宋体" w:hAnsi="宋体" w:eastAsia="宋体" w:cs="宋体"/>
        </w:rPr>
      </w:pPr>
      <w:r>
        <w:rPr>
          <w:rFonts w:hint="eastAsia" w:ascii="宋体" w:hAnsi="宋体" w:eastAsia="宋体" w:cs="宋体"/>
          <w:lang w:eastAsia="zh-CN"/>
        </w:rPr>
        <w:t>（三）</w:t>
      </w:r>
      <w:r>
        <w:rPr>
          <w:rFonts w:hint="eastAsia" w:ascii="宋体" w:hAnsi="宋体" w:eastAsia="宋体" w:cs="宋体"/>
        </w:rPr>
        <w:t>其他资格证明文件</w:t>
      </w:r>
    </w:p>
    <w:p w14:paraId="5B491C5D">
      <w:pPr>
        <w:pStyle w:val="154"/>
        <w:spacing w:line="360" w:lineRule="auto"/>
        <w:rPr>
          <w:rFonts w:hint="eastAsia" w:ascii="宋体" w:hAnsi="宋体" w:eastAsia="宋体" w:cs="宋体"/>
        </w:rPr>
      </w:pPr>
      <w:r>
        <w:rPr>
          <w:rFonts w:hint="eastAsia" w:ascii="宋体" w:hAnsi="宋体" w:eastAsia="宋体" w:cs="宋体"/>
          <w:lang w:eastAsia="zh-CN"/>
        </w:rPr>
        <w:t>（四）</w:t>
      </w:r>
      <w:r>
        <w:rPr>
          <w:rFonts w:hint="eastAsia" w:ascii="宋体" w:hAnsi="宋体" w:eastAsia="宋体" w:cs="宋体"/>
        </w:rPr>
        <w:t>不参与围标串标承诺书</w:t>
      </w:r>
    </w:p>
    <w:p w14:paraId="56E1FAE2">
      <w:pPr>
        <w:pStyle w:val="154"/>
        <w:spacing w:line="360" w:lineRule="auto"/>
        <w:rPr>
          <w:rFonts w:hint="eastAsia" w:ascii="宋体" w:hAnsi="宋体" w:eastAsia="宋体" w:cs="宋体"/>
        </w:rPr>
      </w:pPr>
      <w:r>
        <w:rPr>
          <w:rFonts w:hint="eastAsia" w:ascii="宋体" w:hAnsi="宋体" w:eastAsia="宋体" w:cs="宋体"/>
          <w:lang w:eastAsia="zh-CN"/>
        </w:rPr>
        <w:t>（五）</w:t>
      </w:r>
      <w:r>
        <w:rPr>
          <w:rFonts w:hint="eastAsia" w:ascii="宋体" w:hAnsi="宋体" w:eastAsia="宋体" w:cs="宋体"/>
        </w:rPr>
        <w:t>投标保证金</w:t>
      </w:r>
    </w:p>
    <w:p w14:paraId="6BA19F04">
      <w:pPr>
        <w:pStyle w:val="154"/>
        <w:spacing w:line="360" w:lineRule="auto"/>
        <w:rPr>
          <w:rFonts w:hint="eastAsia" w:ascii="宋体" w:hAnsi="宋体" w:eastAsia="宋体" w:cs="宋体"/>
        </w:rPr>
      </w:pPr>
      <w:r>
        <w:rPr>
          <w:rFonts w:hint="eastAsia" w:ascii="宋体" w:hAnsi="宋体" w:eastAsia="宋体" w:cs="宋体"/>
          <w:lang w:eastAsia="zh-CN"/>
        </w:rPr>
        <w:t>（六）</w:t>
      </w:r>
      <w:r>
        <w:rPr>
          <w:rFonts w:hint="eastAsia" w:ascii="宋体" w:hAnsi="宋体" w:eastAsia="宋体" w:cs="宋体"/>
        </w:rPr>
        <w:t>中、小微企业声明函</w:t>
      </w:r>
    </w:p>
    <w:p w14:paraId="4FAD2881">
      <w:pPr>
        <w:pStyle w:val="154"/>
        <w:spacing w:line="360" w:lineRule="auto"/>
        <w:outlineLvl w:val="0"/>
        <w:rPr>
          <w:rFonts w:hint="eastAsia" w:ascii="宋体" w:hAnsi="宋体" w:eastAsia="宋体" w:cs="宋体"/>
          <w:lang w:eastAsia="zh-CN"/>
        </w:rPr>
      </w:pPr>
      <w:bookmarkStart w:id="493" w:name="_Toc106276276"/>
      <w:bookmarkStart w:id="494" w:name="_Toc5673"/>
      <w:bookmarkStart w:id="495" w:name="_Toc18800"/>
      <w:r>
        <w:rPr>
          <w:rFonts w:hint="eastAsia" w:ascii="宋体" w:hAnsi="宋体" w:eastAsia="宋体" w:cs="宋体"/>
          <w:lang w:eastAsia="zh-CN"/>
        </w:rPr>
        <w:t>三、报价响应文件</w:t>
      </w:r>
      <w:bookmarkEnd w:id="493"/>
      <w:bookmarkEnd w:id="494"/>
      <w:bookmarkEnd w:id="495"/>
    </w:p>
    <w:p w14:paraId="1BDE99C8">
      <w:pPr>
        <w:pStyle w:val="154"/>
        <w:spacing w:line="360" w:lineRule="auto"/>
        <w:rPr>
          <w:rFonts w:hint="eastAsia" w:ascii="宋体" w:hAnsi="宋体" w:eastAsia="宋体" w:cs="宋体"/>
        </w:rPr>
      </w:pPr>
      <w:r>
        <w:rPr>
          <w:rFonts w:hint="eastAsia" w:ascii="宋体" w:hAnsi="宋体" w:eastAsia="宋体" w:cs="宋体"/>
          <w:lang w:eastAsia="zh-CN"/>
        </w:rPr>
        <w:t>（一）开标一览表</w:t>
      </w:r>
    </w:p>
    <w:p w14:paraId="4DFCA7B4">
      <w:pPr>
        <w:pStyle w:val="154"/>
        <w:spacing w:line="360" w:lineRule="auto"/>
        <w:outlineLvl w:val="0"/>
        <w:rPr>
          <w:rFonts w:hint="eastAsia" w:ascii="宋体" w:hAnsi="宋体" w:eastAsia="宋体" w:cs="宋体"/>
          <w:lang w:eastAsia="zh-CN"/>
        </w:rPr>
      </w:pPr>
      <w:bookmarkStart w:id="496" w:name="_Toc31343"/>
      <w:bookmarkStart w:id="497" w:name="_Toc106276277"/>
      <w:bookmarkStart w:id="498" w:name="_Toc8309"/>
      <w:r>
        <w:rPr>
          <w:rFonts w:hint="eastAsia" w:ascii="宋体" w:hAnsi="宋体" w:eastAsia="宋体" w:cs="宋体"/>
          <w:lang w:eastAsia="zh-CN"/>
        </w:rPr>
        <w:t>四、商务、技术响应文件</w:t>
      </w:r>
      <w:bookmarkEnd w:id="496"/>
      <w:bookmarkEnd w:id="497"/>
      <w:bookmarkEnd w:id="498"/>
    </w:p>
    <w:p w14:paraId="703E92C8">
      <w:pPr>
        <w:pStyle w:val="154"/>
        <w:spacing w:line="360" w:lineRule="auto"/>
        <w:rPr>
          <w:rFonts w:hint="eastAsia" w:ascii="宋体" w:hAnsi="宋体" w:eastAsia="宋体" w:cs="宋体"/>
          <w:color w:val="000000"/>
        </w:rPr>
      </w:pPr>
      <w:r>
        <w:rPr>
          <w:rFonts w:hint="eastAsia" w:ascii="宋体" w:hAnsi="宋体" w:eastAsia="宋体" w:cs="宋体"/>
          <w:color w:val="000000"/>
          <w:lang w:eastAsia="zh-CN"/>
        </w:rPr>
        <w:t>（一）</w:t>
      </w:r>
      <w:r>
        <w:rPr>
          <w:rFonts w:hint="eastAsia" w:ascii="宋体" w:hAnsi="宋体" w:eastAsia="宋体" w:cs="宋体"/>
          <w:color w:val="000000"/>
        </w:rPr>
        <w:t>磋商申请</w:t>
      </w:r>
    </w:p>
    <w:p w14:paraId="2B8DDF3B">
      <w:pPr>
        <w:pStyle w:val="154"/>
        <w:spacing w:line="360" w:lineRule="auto"/>
        <w:rPr>
          <w:rFonts w:hint="eastAsia" w:ascii="宋体" w:hAnsi="宋体" w:eastAsia="宋体" w:cs="宋体"/>
          <w:color w:val="000000"/>
          <w:lang w:eastAsia="zh-CN"/>
        </w:rPr>
      </w:pPr>
      <w:r>
        <w:rPr>
          <w:rFonts w:hint="eastAsia" w:ascii="宋体" w:hAnsi="宋体" w:eastAsia="宋体" w:cs="宋体"/>
          <w:color w:val="000000"/>
          <w:lang w:eastAsia="zh-CN"/>
        </w:rPr>
        <w:t>（二）商务</w:t>
      </w:r>
      <w:r>
        <w:rPr>
          <w:rFonts w:hint="eastAsia" w:ascii="宋体" w:hAnsi="宋体" w:eastAsia="宋体" w:cs="宋体"/>
          <w:color w:val="000000"/>
        </w:rPr>
        <w:t>部分</w:t>
      </w:r>
    </w:p>
    <w:p w14:paraId="6613E0B0">
      <w:pPr>
        <w:pStyle w:val="154"/>
        <w:spacing w:line="360" w:lineRule="auto"/>
        <w:rPr>
          <w:rFonts w:hint="eastAsia" w:ascii="宋体" w:hAnsi="宋体" w:eastAsia="宋体" w:cs="宋体"/>
          <w:color w:val="000000"/>
          <w:lang w:eastAsia="zh-CN"/>
        </w:rPr>
      </w:pPr>
      <w:r>
        <w:rPr>
          <w:rFonts w:hint="eastAsia" w:ascii="宋体" w:hAnsi="宋体" w:eastAsia="宋体" w:cs="宋体"/>
          <w:color w:val="000000"/>
          <w:lang w:eastAsia="zh-CN"/>
        </w:rPr>
        <w:t>1、业绩</w:t>
      </w:r>
    </w:p>
    <w:p w14:paraId="676415E1">
      <w:pPr>
        <w:pStyle w:val="154"/>
        <w:spacing w:line="360" w:lineRule="auto"/>
        <w:rPr>
          <w:rFonts w:hint="eastAsia" w:ascii="宋体" w:hAnsi="宋体" w:eastAsia="宋体" w:cs="宋体"/>
          <w:color w:val="000000"/>
          <w:lang w:eastAsia="zh-CN"/>
        </w:rPr>
      </w:pPr>
      <w:r>
        <w:rPr>
          <w:rFonts w:hint="eastAsia" w:ascii="宋体" w:hAnsi="宋体" w:eastAsia="宋体" w:cs="宋体"/>
          <w:color w:val="000000"/>
          <w:lang w:eastAsia="zh-CN"/>
        </w:rPr>
        <w:t>（三）技术</w:t>
      </w:r>
      <w:r>
        <w:rPr>
          <w:rFonts w:hint="eastAsia" w:ascii="宋体" w:hAnsi="宋体" w:eastAsia="宋体" w:cs="宋体"/>
          <w:color w:val="000000"/>
        </w:rPr>
        <w:t>部分</w:t>
      </w:r>
    </w:p>
    <w:p w14:paraId="760A5F82">
      <w:pPr>
        <w:pStyle w:val="154"/>
        <w:spacing w:line="360" w:lineRule="auto"/>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总体方案</w:t>
      </w:r>
    </w:p>
    <w:p w14:paraId="05E2E8D2">
      <w:pPr>
        <w:pStyle w:val="154"/>
        <w:spacing w:line="360" w:lineRule="auto"/>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项目团队人员</w:t>
      </w:r>
    </w:p>
    <w:p w14:paraId="6A8DD4F7">
      <w:pPr>
        <w:pStyle w:val="154"/>
        <w:spacing w:line="360" w:lineRule="auto"/>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硬件设备</w:t>
      </w:r>
    </w:p>
    <w:p w14:paraId="79A5A054">
      <w:pPr>
        <w:pStyle w:val="154"/>
        <w:spacing w:line="360" w:lineRule="auto"/>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服务承诺</w:t>
      </w:r>
    </w:p>
    <w:p w14:paraId="21BF9E67">
      <w:pPr>
        <w:pStyle w:val="154"/>
        <w:spacing w:line="360" w:lineRule="auto"/>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优惠条件</w:t>
      </w:r>
    </w:p>
    <w:p w14:paraId="584E66DC">
      <w:pPr>
        <w:pStyle w:val="154"/>
        <w:spacing w:line="360" w:lineRule="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对磋商文件响应情况</w:t>
      </w:r>
    </w:p>
    <w:p w14:paraId="019C7E65">
      <w:pPr>
        <w:spacing w:line="440" w:lineRule="exact"/>
        <w:ind w:firstLine="482" w:firstLineChars="200"/>
        <w:rPr>
          <w:rFonts w:hint="eastAsia" w:ascii="宋体" w:hAnsi="宋体" w:eastAsia="宋体" w:cs="宋体"/>
          <w:b/>
          <w:bCs w:val="0"/>
          <w:color w:val="000000"/>
          <w:highlight w:val="darkGray"/>
        </w:rPr>
      </w:pPr>
      <w:r>
        <w:rPr>
          <w:b/>
          <w:bCs w:val="0"/>
          <w:sz w:val="24"/>
          <w:highlight w:val="darkGray"/>
        </w:rPr>
        <w:t>响应文件包括但不仅限于上述内容，如有不足，请自行补充提供。</w:t>
      </w:r>
    </w:p>
    <w:p w14:paraId="3BC722B5">
      <w:pPr>
        <w:pStyle w:val="3"/>
        <w:bidi w:val="0"/>
        <w:rPr>
          <w:rFonts w:hint="eastAsia" w:ascii="宋体" w:hAnsi="宋体" w:cs="宋体"/>
          <w:color w:val="FF0000"/>
          <w:kern w:val="0"/>
          <w:szCs w:val="24"/>
        </w:rPr>
      </w:pPr>
      <w:r>
        <w:rPr>
          <w:rFonts w:hint="eastAsia" w:ascii="宋体" w:hAnsi="宋体" w:cs="宋体"/>
        </w:rPr>
        <w:br w:type="page"/>
      </w:r>
      <w:bookmarkStart w:id="499" w:name="_Toc29053"/>
      <w:bookmarkStart w:id="500" w:name="_Toc21071"/>
      <w:r>
        <w:rPr>
          <w:rStyle w:val="55"/>
          <w:rFonts w:hint="eastAsia"/>
          <w:b/>
          <w:bCs/>
          <w:sz w:val="36"/>
          <w:szCs w:val="44"/>
          <w:lang w:eastAsia="zh-CN"/>
        </w:rPr>
        <w:t>一、响应文件封面</w:t>
      </w:r>
      <w:bookmarkEnd w:id="499"/>
      <w:bookmarkEnd w:id="500"/>
    </w:p>
    <w:p w14:paraId="4A4FC125">
      <w:pPr>
        <w:pStyle w:val="128"/>
        <w:spacing w:line="360" w:lineRule="auto"/>
        <w:rPr>
          <w:rFonts w:hint="eastAsia" w:ascii="宋体" w:hAnsi="宋体" w:cs="宋体"/>
          <w:b/>
          <w:color w:val="000000"/>
          <w:sz w:val="24"/>
        </w:rPr>
      </w:pPr>
    </w:p>
    <w:p w14:paraId="6BB26799">
      <w:pPr>
        <w:pStyle w:val="128"/>
        <w:spacing w:line="360" w:lineRule="auto"/>
        <w:jc w:val="center"/>
        <w:rPr>
          <w:rFonts w:hint="eastAsia" w:ascii="宋体" w:hAnsi="宋体" w:cs="宋体"/>
          <w:color w:val="000000"/>
          <w:sz w:val="24"/>
        </w:rPr>
      </w:pPr>
    </w:p>
    <w:p w14:paraId="5412ABC6">
      <w:pPr>
        <w:bidi w:val="0"/>
        <w:rPr>
          <w:rFonts w:hint="eastAsia"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u w:val="single"/>
        </w:rPr>
        <w:t xml:space="preserve">                        </w:t>
      </w:r>
      <w:bookmarkStart w:id="501" w:name="_Toc106276278"/>
      <w:bookmarkStart w:id="502" w:name="_Toc14830"/>
      <w:r>
        <w:rPr>
          <w:rFonts w:hint="eastAsia" w:ascii="宋体" w:hAnsi="宋体" w:cs="宋体"/>
          <w:color w:val="000000"/>
          <w:sz w:val="28"/>
          <w:szCs w:val="28"/>
        </w:rPr>
        <w:t>（项目名称）</w:t>
      </w:r>
      <w:bookmarkEnd w:id="501"/>
      <w:bookmarkEnd w:id="502"/>
    </w:p>
    <w:p w14:paraId="41D1E502">
      <w:pPr>
        <w:pStyle w:val="128"/>
        <w:spacing w:line="360" w:lineRule="auto"/>
        <w:jc w:val="center"/>
        <w:rPr>
          <w:rFonts w:hint="eastAsia" w:ascii="宋体" w:hAnsi="宋体" w:cs="宋体"/>
          <w:color w:val="000000"/>
          <w:sz w:val="28"/>
          <w:szCs w:val="28"/>
        </w:rPr>
      </w:pPr>
    </w:p>
    <w:p w14:paraId="28A61BF9">
      <w:pPr>
        <w:pStyle w:val="128"/>
        <w:spacing w:line="360" w:lineRule="auto"/>
        <w:ind w:firstLine="1680" w:firstLineChars="600"/>
        <w:rPr>
          <w:rFonts w:hint="eastAsia" w:ascii="宋体" w:hAnsi="宋体" w:cs="宋体"/>
          <w:color w:val="000000"/>
          <w:sz w:val="28"/>
          <w:szCs w:val="28"/>
        </w:rPr>
      </w:pPr>
      <w:r>
        <w:rPr>
          <w:rFonts w:hint="eastAsia" w:ascii="宋体" w:hAnsi="宋体" w:cs="宋体"/>
          <w:color w:val="000000"/>
          <w:sz w:val="28"/>
          <w:szCs w:val="28"/>
        </w:rPr>
        <w:t xml:space="preserve">  </w:t>
      </w:r>
    </w:p>
    <w:p w14:paraId="43A93B96">
      <w:pPr>
        <w:pStyle w:val="128"/>
        <w:spacing w:line="360" w:lineRule="auto"/>
        <w:jc w:val="center"/>
        <w:rPr>
          <w:rFonts w:hint="eastAsia" w:ascii="宋体" w:hAnsi="宋体" w:cs="宋体"/>
          <w:color w:val="000000"/>
          <w:sz w:val="24"/>
        </w:rPr>
      </w:pPr>
    </w:p>
    <w:p w14:paraId="151342F0">
      <w:pPr>
        <w:pStyle w:val="128"/>
        <w:spacing w:line="360" w:lineRule="auto"/>
        <w:jc w:val="center"/>
        <w:rPr>
          <w:rFonts w:hint="eastAsia" w:ascii="宋体" w:hAnsi="宋体" w:cs="宋体"/>
          <w:color w:val="000000"/>
          <w:sz w:val="24"/>
        </w:rPr>
      </w:pPr>
    </w:p>
    <w:p w14:paraId="2B3AFE5C">
      <w:pPr>
        <w:pStyle w:val="128"/>
        <w:spacing w:line="360" w:lineRule="auto"/>
        <w:jc w:val="center"/>
        <w:rPr>
          <w:rFonts w:hint="eastAsia" w:ascii="宋体" w:hAnsi="宋体" w:cs="宋体"/>
          <w:b/>
          <w:sz w:val="52"/>
          <w:szCs w:val="52"/>
        </w:rPr>
      </w:pPr>
      <w:r>
        <w:rPr>
          <w:rFonts w:hint="eastAsia" w:ascii="宋体" w:hAnsi="宋体" w:cs="宋体"/>
          <w:b/>
          <w:sz w:val="52"/>
          <w:szCs w:val="52"/>
        </w:rPr>
        <w:t>响应文件</w:t>
      </w:r>
    </w:p>
    <w:p w14:paraId="3B78B4C6">
      <w:pPr>
        <w:pStyle w:val="128"/>
        <w:spacing w:line="360" w:lineRule="auto"/>
        <w:jc w:val="center"/>
        <w:rPr>
          <w:rFonts w:hint="eastAsia" w:ascii="宋体" w:hAnsi="宋体" w:cs="宋体"/>
          <w:color w:val="000000"/>
          <w:sz w:val="24"/>
        </w:rPr>
      </w:pPr>
    </w:p>
    <w:p w14:paraId="524806EA">
      <w:pPr>
        <w:pStyle w:val="128"/>
        <w:spacing w:line="360" w:lineRule="auto"/>
        <w:jc w:val="center"/>
        <w:rPr>
          <w:rFonts w:hint="eastAsia" w:ascii="宋体" w:hAnsi="宋体" w:cs="宋体"/>
          <w:color w:val="000000"/>
          <w:sz w:val="24"/>
        </w:rPr>
      </w:pPr>
    </w:p>
    <w:p w14:paraId="1F1677FF">
      <w:pPr>
        <w:pStyle w:val="128"/>
        <w:spacing w:line="360" w:lineRule="auto"/>
        <w:jc w:val="center"/>
        <w:rPr>
          <w:rFonts w:hint="eastAsia" w:ascii="宋体" w:hAnsi="宋体" w:cs="宋体"/>
          <w:b/>
          <w:color w:val="000000"/>
          <w:sz w:val="24"/>
        </w:rPr>
      </w:pPr>
    </w:p>
    <w:p w14:paraId="3A9BEB7A">
      <w:pPr>
        <w:pStyle w:val="128"/>
        <w:spacing w:line="360" w:lineRule="auto"/>
        <w:jc w:val="center"/>
        <w:rPr>
          <w:rFonts w:hint="eastAsia" w:ascii="宋体" w:hAnsi="宋体" w:cs="宋体"/>
          <w:b/>
          <w:color w:val="000000"/>
          <w:sz w:val="24"/>
        </w:rPr>
      </w:pPr>
    </w:p>
    <w:p w14:paraId="6624ED05">
      <w:pPr>
        <w:pStyle w:val="128"/>
        <w:spacing w:line="360" w:lineRule="auto"/>
        <w:jc w:val="center"/>
        <w:rPr>
          <w:rFonts w:hint="eastAsia" w:ascii="宋体" w:hAnsi="宋体" w:cs="宋体"/>
          <w:b/>
          <w:color w:val="000000"/>
          <w:sz w:val="24"/>
        </w:rPr>
      </w:pPr>
    </w:p>
    <w:p w14:paraId="633099A7">
      <w:pPr>
        <w:pStyle w:val="128"/>
        <w:spacing w:line="360" w:lineRule="auto"/>
        <w:jc w:val="center"/>
        <w:rPr>
          <w:rFonts w:hint="eastAsia" w:ascii="宋体" w:hAnsi="宋体" w:cs="宋体"/>
          <w:b/>
          <w:color w:val="000000"/>
          <w:sz w:val="24"/>
        </w:rPr>
      </w:pPr>
    </w:p>
    <w:p w14:paraId="5E2A7AA9">
      <w:pPr>
        <w:pStyle w:val="128"/>
        <w:spacing w:line="360" w:lineRule="auto"/>
        <w:jc w:val="center"/>
        <w:rPr>
          <w:rFonts w:hint="eastAsia" w:ascii="宋体" w:hAnsi="宋体" w:cs="宋体"/>
          <w:b/>
          <w:color w:val="000000"/>
          <w:sz w:val="24"/>
        </w:rPr>
      </w:pPr>
    </w:p>
    <w:p w14:paraId="364D21FD">
      <w:pPr>
        <w:pStyle w:val="128"/>
        <w:spacing w:line="360" w:lineRule="auto"/>
        <w:jc w:val="center"/>
        <w:rPr>
          <w:rFonts w:hint="eastAsia" w:ascii="宋体" w:hAnsi="宋体" w:cs="宋体"/>
          <w:b/>
          <w:color w:val="000000"/>
          <w:sz w:val="24"/>
        </w:rPr>
      </w:pPr>
    </w:p>
    <w:p w14:paraId="0684CC80">
      <w:pPr>
        <w:pStyle w:val="128"/>
        <w:spacing w:line="360" w:lineRule="auto"/>
        <w:jc w:val="center"/>
        <w:rPr>
          <w:rFonts w:hint="eastAsia" w:ascii="宋体" w:hAnsi="宋体" w:cs="宋体"/>
          <w:color w:val="000000"/>
          <w:sz w:val="28"/>
          <w:szCs w:val="28"/>
          <w:u w:val="single"/>
        </w:rPr>
      </w:pP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供应商</w:t>
      </w:r>
      <w:r>
        <w:rPr>
          <w:rFonts w:hint="eastAsia" w:ascii="宋体" w:hAnsi="宋体" w:cs="宋体"/>
          <w:color w:val="000000"/>
          <w:sz w:val="28"/>
          <w:szCs w:val="28"/>
          <w:lang w:eastAsia="zh-CN"/>
        </w:rPr>
        <w:t>：</w:t>
      </w:r>
      <w:r>
        <w:rPr>
          <w:rFonts w:hint="eastAsia" w:ascii="宋体" w:hAnsi="宋体" w:cs="宋体"/>
          <w:color w:val="000000"/>
          <w:sz w:val="28"/>
          <w:szCs w:val="28"/>
          <w:u w:val="single"/>
        </w:rPr>
        <w:t xml:space="preserve">                     </w:t>
      </w:r>
      <w:r>
        <w:rPr>
          <w:rFonts w:hint="eastAsia" w:ascii="宋体" w:hAnsi="宋体" w:cs="宋体"/>
          <w:sz w:val="28"/>
          <w:szCs w:val="28"/>
        </w:rPr>
        <w:t>（电子签章）</w:t>
      </w:r>
    </w:p>
    <w:p w14:paraId="58095A4F">
      <w:pPr>
        <w:bidi w:val="0"/>
        <w:ind w:firstLine="1680" w:firstLineChars="600"/>
        <w:rPr>
          <w:rFonts w:hint="eastAsia" w:ascii="宋体" w:hAnsi="宋体" w:cs="宋体"/>
          <w:color w:val="000000"/>
          <w:sz w:val="28"/>
          <w:szCs w:val="28"/>
        </w:rPr>
      </w:pPr>
      <w:bookmarkStart w:id="503" w:name="_Toc28221"/>
      <w:bookmarkStart w:id="504" w:name="_Toc106276279"/>
      <w:r>
        <w:rPr>
          <w:rFonts w:hint="eastAsia" w:ascii="宋体" w:hAnsi="宋体" w:cs="宋体"/>
          <w:color w:val="000000"/>
          <w:sz w:val="28"/>
          <w:szCs w:val="28"/>
        </w:rPr>
        <w:t>法定代表人</w:t>
      </w:r>
      <w:r>
        <w:rPr>
          <w:rFonts w:hint="eastAsia" w:ascii="宋体" w:hAnsi="宋体" w:cs="宋体"/>
          <w:color w:val="000000"/>
          <w:sz w:val="28"/>
          <w:szCs w:val="28"/>
          <w:lang w:eastAsia="zh-CN"/>
        </w:rPr>
        <w:t>：</w:t>
      </w:r>
      <w:r>
        <w:rPr>
          <w:rFonts w:hint="eastAsia" w:ascii="宋体" w:hAnsi="宋体" w:cs="宋体"/>
          <w:color w:val="000000"/>
          <w:sz w:val="28"/>
          <w:szCs w:val="28"/>
          <w:u w:val="single"/>
        </w:rPr>
        <w:t xml:space="preserve">                   </w:t>
      </w:r>
      <w:r>
        <w:rPr>
          <w:rFonts w:hint="eastAsia" w:ascii="宋体" w:hAnsi="宋体" w:cs="宋体"/>
          <w:color w:val="000000"/>
          <w:sz w:val="28"/>
          <w:szCs w:val="28"/>
        </w:rPr>
        <w:t>（电子签名</w:t>
      </w:r>
      <w:r>
        <w:rPr>
          <w:rFonts w:hint="eastAsia" w:ascii="宋体" w:hAnsi="宋体" w:cs="宋体"/>
          <w:color w:val="000000"/>
          <w:sz w:val="28"/>
          <w:szCs w:val="28"/>
          <w:lang w:val="en-US" w:eastAsia="zh-CN"/>
        </w:rPr>
        <w:t>或电子章</w:t>
      </w:r>
      <w:r>
        <w:rPr>
          <w:rFonts w:hint="eastAsia" w:ascii="宋体" w:hAnsi="宋体" w:cs="宋体"/>
          <w:color w:val="000000"/>
          <w:sz w:val="28"/>
          <w:szCs w:val="28"/>
        </w:rPr>
        <w:t>）</w:t>
      </w:r>
      <w:bookmarkEnd w:id="503"/>
      <w:bookmarkEnd w:id="504"/>
    </w:p>
    <w:p w14:paraId="0539B8A2">
      <w:pPr>
        <w:pStyle w:val="204"/>
        <w:ind w:firstLine="1680" w:firstLineChars="600"/>
        <w:rPr>
          <w:rFonts w:ascii="宋体" w:hAnsi="宋体" w:cs="宋体"/>
          <w:sz w:val="28"/>
          <w:szCs w:val="28"/>
          <w:u w:val="single"/>
        </w:rPr>
      </w:pPr>
      <w:r>
        <w:rPr>
          <w:rFonts w:hint="eastAsia" w:ascii="宋体" w:hAnsi="宋体" w:cs="宋体"/>
          <w:sz w:val="28"/>
          <w:szCs w:val="28"/>
        </w:rPr>
        <w:t>联系人：</w:t>
      </w:r>
      <w:r>
        <w:rPr>
          <w:rFonts w:hint="eastAsia" w:ascii="宋体" w:hAnsi="宋体" w:cs="宋体"/>
          <w:sz w:val="28"/>
          <w:szCs w:val="28"/>
          <w:u w:val="single"/>
        </w:rPr>
        <w:t xml:space="preserve">                      </w:t>
      </w:r>
    </w:p>
    <w:p w14:paraId="610220AC">
      <w:pPr>
        <w:pStyle w:val="204"/>
        <w:ind w:firstLine="1680" w:firstLineChars="600"/>
        <w:rPr>
          <w:rFonts w:hint="eastAsia" w:ascii="宋体" w:hAnsi="宋体" w:cs="宋体"/>
          <w:sz w:val="28"/>
          <w:szCs w:val="28"/>
          <w:u w:val="single"/>
        </w:rPr>
      </w:pPr>
      <w:r>
        <w:rPr>
          <w:rFonts w:hint="eastAsia" w:ascii="宋体" w:hAnsi="宋体" w:cs="宋体"/>
          <w:sz w:val="28"/>
          <w:szCs w:val="28"/>
        </w:rPr>
        <w:t>联系电话：</w:t>
      </w:r>
      <w:r>
        <w:rPr>
          <w:rFonts w:hint="eastAsia" w:ascii="宋体" w:hAnsi="宋体" w:cs="宋体"/>
          <w:sz w:val="28"/>
          <w:szCs w:val="28"/>
          <w:u w:val="single"/>
        </w:rPr>
        <w:t xml:space="preserve">                    </w:t>
      </w:r>
    </w:p>
    <w:p w14:paraId="06EB60A5">
      <w:pPr>
        <w:pStyle w:val="128"/>
        <w:spacing w:line="360" w:lineRule="auto"/>
        <w:ind w:firstLine="1680" w:firstLineChars="600"/>
        <w:jc w:val="both"/>
        <w:rPr>
          <w:rFonts w:hint="eastAsia" w:ascii="宋体" w:hAnsi="宋体" w:eastAsia="宋体" w:cs="宋体"/>
          <w:lang w:eastAsia="zh-CN"/>
        </w:rPr>
        <w:sectPr>
          <w:footerReference r:id="rId8" w:type="default"/>
          <w:pgSz w:w="11906" w:h="16838"/>
          <w:pgMar w:top="1440" w:right="1531" w:bottom="1440" w:left="1531" w:header="851" w:footer="992" w:gutter="0"/>
          <w:pgNumType w:fmt="decimal" w:start="1"/>
          <w:cols w:space="720" w:num="1"/>
          <w:docGrid w:type="lines" w:linePitch="312" w:charSpace="0"/>
        </w:sectPr>
      </w:pPr>
      <w:r>
        <w:rPr>
          <w:rFonts w:hint="eastAsia" w:ascii="宋体" w:hAnsi="宋体" w:cs="宋体"/>
          <w:color w:val="000000"/>
          <w:sz w:val="28"/>
          <w:szCs w:val="28"/>
        </w:rPr>
        <w:t>日期</w:t>
      </w:r>
      <w:r>
        <w:rPr>
          <w:rFonts w:hint="eastAsia" w:ascii="宋体" w:hAnsi="宋体" w:cs="宋体"/>
          <w:color w:val="000000"/>
          <w:sz w:val="28"/>
          <w:szCs w:val="28"/>
          <w:lang w:eastAsia="zh-CN"/>
        </w:rPr>
        <w:t>：</w:t>
      </w:r>
      <w:r>
        <w:rPr>
          <w:rFonts w:hint="eastAsia" w:ascii="宋体" w:hAnsi="宋体" w:cs="宋体"/>
          <w:color w:val="000000"/>
          <w:sz w:val="28"/>
          <w:szCs w:val="28"/>
          <w:u w:val="single"/>
        </w:rPr>
        <w:t xml:space="preserve">                   </w:t>
      </w:r>
      <w:r>
        <w:rPr>
          <w:rFonts w:hint="eastAsia" w:ascii="宋体" w:hAnsi="宋体" w:cs="宋体"/>
          <w:color w:val="000000"/>
          <w:sz w:val="28"/>
          <w:szCs w:val="28"/>
        </w:rPr>
        <w:t>（年/月/日）</w:t>
      </w:r>
      <w:r>
        <w:rPr>
          <w:rFonts w:hint="eastAsia" w:ascii="宋体" w:hAnsi="宋体" w:eastAsia="宋体" w:cs="宋体"/>
          <w:lang w:eastAsia="zh-CN"/>
        </w:rPr>
        <w:t xml:space="preserve"> </w:t>
      </w:r>
    </w:p>
    <w:p w14:paraId="5F4A147C">
      <w:pPr>
        <w:pStyle w:val="3"/>
        <w:bidi w:val="0"/>
        <w:rPr>
          <w:rFonts w:hint="eastAsia"/>
          <w:sz w:val="36"/>
          <w:szCs w:val="44"/>
          <w:lang w:eastAsia="zh-CN"/>
        </w:rPr>
      </w:pPr>
      <w:bookmarkStart w:id="505" w:name="_Toc106276280"/>
      <w:bookmarkStart w:id="506" w:name="_Toc6840"/>
      <w:bookmarkStart w:id="507" w:name="_Toc2129"/>
      <w:r>
        <w:rPr>
          <w:rFonts w:hint="eastAsia"/>
          <w:sz w:val="36"/>
          <w:szCs w:val="44"/>
          <w:lang w:eastAsia="zh-CN"/>
        </w:rPr>
        <w:t>二、</w:t>
      </w:r>
      <w:r>
        <w:rPr>
          <w:rFonts w:hint="eastAsia"/>
          <w:sz w:val="36"/>
          <w:szCs w:val="44"/>
        </w:rPr>
        <w:t>资格</w:t>
      </w:r>
      <w:r>
        <w:rPr>
          <w:rFonts w:hint="eastAsia"/>
          <w:sz w:val="36"/>
          <w:szCs w:val="44"/>
          <w:lang w:eastAsia="zh-CN"/>
        </w:rPr>
        <w:t>响应</w:t>
      </w:r>
      <w:bookmarkEnd w:id="505"/>
      <w:bookmarkEnd w:id="506"/>
    </w:p>
    <w:p w14:paraId="3CDCD84A">
      <w:pPr>
        <w:pStyle w:val="3"/>
        <w:bidi w:val="0"/>
        <w:rPr>
          <w:rFonts w:hint="eastAsia" w:ascii="宋体" w:hAnsi="宋体" w:eastAsia="宋体" w:cs="宋体"/>
          <w:b/>
          <w:sz w:val="30"/>
          <w:szCs w:val="30"/>
          <w:lang w:bidi="ar-SA"/>
        </w:rPr>
      </w:pPr>
      <w:bookmarkStart w:id="508" w:name="_Toc3324"/>
      <w:bookmarkStart w:id="509" w:name="_Toc106276281"/>
      <w:r>
        <w:rPr>
          <w:rFonts w:hint="eastAsia" w:ascii="宋体" w:hAnsi="宋体" w:eastAsia="宋体" w:cs="宋体"/>
          <w:b/>
          <w:sz w:val="30"/>
          <w:szCs w:val="30"/>
          <w:lang w:eastAsia="zh-CN" w:bidi="ar-SA"/>
        </w:rPr>
        <w:t>（</w:t>
      </w:r>
      <w:r>
        <w:rPr>
          <w:rFonts w:hint="eastAsia" w:ascii="宋体" w:hAnsi="宋体" w:eastAsia="宋体" w:cs="宋体"/>
          <w:b/>
          <w:sz w:val="30"/>
          <w:szCs w:val="30"/>
          <w:lang w:val="en-US" w:eastAsia="zh-CN" w:bidi="ar-SA"/>
        </w:rPr>
        <w:t>一</w:t>
      </w:r>
      <w:r>
        <w:rPr>
          <w:rFonts w:hint="eastAsia" w:ascii="宋体" w:hAnsi="宋体" w:eastAsia="宋体" w:cs="宋体"/>
          <w:b/>
          <w:sz w:val="30"/>
          <w:szCs w:val="30"/>
          <w:lang w:eastAsia="zh-CN" w:bidi="ar-SA"/>
        </w:rPr>
        <w:t>）</w:t>
      </w:r>
      <w:r>
        <w:rPr>
          <w:rFonts w:hint="eastAsia" w:ascii="宋体" w:hAnsi="宋体" w:eastAsia="宋体" w:cs="宋体"/>
          <w:b/>
          <w:sz w:val="30"/>
          <w:szCs w:val="30"/>
          <w:lang w:bidi="ar-SA"/>
        </w:rPr>
        <w:t>投标供应商资格要求</w:t>
      </w:r>
      <w:bookmarkEnd w:id="508"/>
    </w:p>
    <w:p w14:paraId="1ACC7E12">
      <w:pPr>
        <w:pStyle w:val="21"/>
        <w:spacing w:line="360" w:lineRule="auto"/>
        <w:rPr>
          <w:rFonts w:hint="eastAsia" w:ascii="宋体" w:hAnsi="宋体" w:eastAsia="宋体" w:cs="宋体"/>
          <w:sz w:val="32"/>
          <w:szCs w:val="32"/>
        </w:rPr>
      </w:pPr>
      <w:r>
        <w:rPr>
          <w:rFonts w:hint="eastAsia" w:ascii="宋体" w:hAnsi="宋体" w:eastAsia="宋体" w:cs="宋体"/>
          <w:b/>
          <w:bCs/>
          <w:sz w:val="32"/>
          <w:szCs w:val="32"/>
          <w:lang w:val="en-US" w:eastAsia="zh-CN"/>
        </w:rPr>
        <w:t>1.</w:t>
      </w:r>
      <w:r>
        <w:rPr>
          <w:rFonts w:hint="eastAsia" w:ascii="宋体" w:hAnsi="宋体" w:eastAsia="宋体" w:cs="宋体"/>
          <w:b/>
          <w:bCs/>
          <w:sz w:val="32"/>
          <w:szCs w:val="32"/>
        </w:rPr>
        <w:t>满足《中华人民共和国政府采购法》第二十二条规定</w:t>
      </w:r>
      <w:r>
        <w:rPr>
          <w:rFonts w:hint="eastAsia" w:ascii="宋体" w:hAnsi="宋体" w:eastAsia="宋体" w:cs="宋体"/>
          <w:b/>
          <w:bCs/>
          <w:sz w:val="32"/>
          <w:szCs w:val="32"/>
          <w:lang w:eastAsia="zh-CN"/>
        </w:rPr>
        <w:t>：</w:t>
      </w:r>
      <w:r>
        <w:rPr>
          <w:rFonts w:hint="eastAsia" w:ascii="宋体" w:hAnsi="宋体" w:eastAsia="宋体" w:cs="宋体"/>
          <w:sz w:val="32"/>
          <w:szCs w:val="32"/>
        </w:rPr>
        <w:t xml:space="preserve">  </w:t>
      </w:r>
    </w:p>
    <w:p w14:paraId="28A33A3F">
      <w:pPr>
        <w:pStyle w:val="21"/>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rPr>
        <w:t>一、合法有效的法人营业执照</w:t>
      </w:r>
    </w:p>
    <w:p w14:paraId="451CB0D3">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E009FD4">
      <w:pPr>
        <w:autoSpaceDE w:val="0"/>
        <w:autoSpaceDN w:val="0"/>
        <w:spacing w:line="360" w:lineRule="auto"/>
        <w:ind w:firstLine="6120" w:firstLineChars="255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39144DE9">
      <w:pPr>
        <w:pStyle w:val="21"/>
        <w:spacing w:line="360" w:lineRule="auto"/>
        <w:ind w:firstLine="602" w:firstLineChars="200"/>
        <w:rPr>
          <w:rFonts w:ascii="宋体" w:hAnsi="宋体"/>
          <w:szCs w:val="21"/>
        </w:rPr>
      </w:pPr>
      <w:r>
        <w:rPr>
          <w:rFonts w:hint="eastAsia" w:ascii="仿宋" w:hAnsi="仿宋" w:eastAsia="仿宋" w:cs="仿宋_GB2312"/>
          <w:b/>
          <w:sz w:val="30"/>
          <w:szCs w:val="30"/>
        </w:rPr>
        <w:t>二、提供2023年度或2024年度经会计师事务所审计的完整财务报告，成立不足一年的提供成立至今的财务报表</w:t>
      </w:r>
    </w:p>
    <w:p w14:paraId="4AB64250">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2346ED0B">
      <w:pPr>
        <w:autoSpaceDE w:val="0"/>
        <w:autoSpaceDN w:val="0"/>
        <w:spacing w:line="360" w:lineRule="auto"/>
        <w:ind w:firstLine="6120" w:firstLineChars="2550"/>
        <w:rPr>
          <w:rFonts w:ascii="宋体" w:hAnsi="宋体"/>
          <w:szCs w:val="21"/>
        </w:rPr>
      </w:pPr>
      <w:r>
        <w:rPr>
          <w:rFonts w:hint="eastAsia" w:ascii="仿宋_GB2312" w:hAnsi="仿宋" w:eastAsia="仿宋_GB2312" w:cs="仿宋_GB2312"/>
          <w:kern w:val="0"/>
          <w:sz w:val="24"/>
          <w:lang w:val="zh-CN"/>
        </w:rPr>
        <w:t>日期：  年  月   日</w:t>
      </w:r>
    </w:p>
    <w:p w14:paraId="1D481B33">
      <w:pPr>
        <w:spacing w:line="300" w:lineRule="auto"/>
        <w:ind w:firstLine="596" w:firstLineChars="198"/>
        <w:rPr>
          <w:rFonts w:ascii="宋体" w:hAnsi="宋体"/>
          <w:szCs w:val="21"/>
        </w:rPr>
      </w:pPr>
      <w:r>
        <w:rPr>
          <w:rFonts w:hint="eastAsia" w:ascii="仿宋" w:hAnsi="仿宋" w:eastAsia="仿宋" w:cs="仿宋_GB2312"/>
          <w:b/>
          <w:kern w:val="0"/>
          <w:sz w:val="30"/>
          <w:szCs w:val="30"/>
        </w:rPr>
        <w:t>三、根据项目需求提供履行合同所必需的设备和专业技术能力的加盖单位公章的书面承诺函。</w:t>
      </w:r>
    </w:p>
    <w:p w14:paraId="6FF99A56">
      <w:pPr>
        <w:bidi w:val="0"/>
        <w:jc w:val="center"/>
        <w:rPr>
          <w:rFonts w:hint="eastAsia" w:ascii="仿宋" w:hAnsi="仿宋" w:eastAsia="仿宋" w:cs="仿宋"/>
          <w:b/>
          <w:bCs/>
          <w:sz w:val="24"/>
          <w:szCs w:val="32"/>
        </w:rPr>
      </w:pPr>
      <w:r>
        <w:rPr>
          <w:rFonts w:hint="eastAsia" w:ascii="仿宋" w:hAnsi="仿宋" w:eastAsia="仿宋" w:cs="仿宋"/>
          <w:b/>
          <w:bCs/>
          <w:sz w:val="24"/>
          <w:szCs w:val="32"/>
        </w:rPr>
        <w:t>具有履行合同所必需的设备和专业技术能力书面声明</w:t>
      </w:r>
    </w:p>
    <w:p w14:paraId="46DBA722">
      <w:pPr>
        <w:tabs>
          <w:tab w:val="left" w:pos="6300"/>
        </w:tabs>
        <w:snapToGrid w:val="0"/>
        <w:spacing w:before="312" w:beforeLines="100" w:after="312" w:afterLines="100" w:line="500" w:lineRule="exact"/>
        <w:rPr>
          <w:rFonts w:hint="eastAsia" w:ascii="仿宋" w:hAnsi="仿宋" w:eastAsia="仿宋" w:cs="仿宋"/>
          <w:sz w:val="24"/>
          <w:szCs w:val="20"/>
        </w:rPr>
      </w:pPr>
      <w:r>
        <w:rPr>
          <w:rFonts w:hint="eastAsia" w:ascii="仿宋" w:hAnsi="仿宋" w:eastAsia="仿宋" w:cs="仿宋"/>
          <w:sz w:val="24"/>
          <w:szCs w:val="20"/>
        </w:rPr>
        <w:t>致：</w:t>
      </w:r>
      <w:r>
        <w:rPr>
          <w:rFonts w:hint="eastAsia" w:ascii="仿宋" w:hAnsi="仿宋" w:eastAsia="仿宋" w:cs="仿宋"/>
          <w:sz w:val="24"/>
          <w:szCs w:val="20"/>
          <w:u w:val="single"/>
        </w:rPr>
        <w:t xml:space="preserve">                   </w:t>
      </w:r>
      <w:r>
        <w:rPr>
          <w:rFonts w:hint="eastAsia" w:ascii="仿宋" w:hAnsi="仿宋" w:eastAsia="仿宋" w:cs="仿宋"/>
          <w:sz w:val="24"/>
          <w:szCs w:val="20"/>
        </w:rPr>
        <w:t>（采购人）：</w:t>
      </w:r>
    </w:p>
    <w:p w14:paraId="59D7CE33">
      <w:pPr>
        <w:tabs>
          <w:tab w:val="left" w:pos="6300"/>
        </w:tabs>
        <w:snapToGrid w:val="0"/>
        <w:spacing w:line="360" w:lineRule="auto"/>
        <w:ind w:firstLine="480" w:firstLineChars="200"/>
        <w:rPr>
          <w:rFonts w:hint="eastAsia" w:ascii="仿宋" w:hAnsi="仿宋" w:eastAsia="仿宋" w:cs="仿宋"/>
          <w:sz w:val="24"/>
          <w:szCs w:val="20"/>
        </w:rPr>
      </w:pPr>
      <w:r>
        <w:rPr>
          <w:rFonts w:hint="eastAsia" w:ascii="仿宋" w:hAnsi="仿宋" w:eastAsia="仿宋" w:cs="仿宋"/>
          <w:sz w:val="24"/>
          <w:szCs w:val="20"/>
          <w:u w:val="single"/>
        </w:rPr>
        <w:t xml:space="preserve">                      </w:t>
      </w:r>
      <w:r>
        <w:rPr>
          <w:rFonts w:hint="eastAsia" w:ascii="仿宋" w:hAnsi="仿宋" w:eastAsia="仿宋" w:cs="仿宋"/>
          <w:sz w:val="24"/>
          <w:szCs w:val="20"/>
        </w:rPr>
        <w:t>（投标人名称）郑重声明，我公司具有良好的商业信誉，具有履行合同所必需的设备和专业技术能力，并随时接受采购人、采购代理机构的检查验证，符合《政府采购法》规定的投标人资格条件。我方对以上声明负全部法律责任。</w:t>
      </w:r>
    </w:p>
    <w:p w14:paraId="7058F637">
      <w:pPr>
        <w:tabs>
          <w:tab w:val="left" w:pos="6300"/>
        </w:tabs>
        <w:snapToGrid w:val="0"/>
        <w:spacing w:line="360" w:lineRule="auto"/>
        <w:ind w:firstLine="480" w:firstLineChars="200"/>
      </w:pPr>
      <w:r>
        <w:rPr>
          <w:rFonts w:hint="eastAsia" w:ascii="仿宋" w:hAnsi="仿宋" w:eastAsia="仿宋" w:cs="仿宋"/>
          <w:sz w:val="24"/>
          <w:szCs w:val="20"/>
        </w:rPr>
        <w:t>特此声明。</w:t>
      </w:r>
    </w:p>
    <w:p w14:paraId="4FEE27D8">
      <w:pPr>
        <w:autoSpaceDE w:val="0"/>
        <w:autoSpaceDN w:val="0"/>
        <w:spacing w:line="360" w:lineRule="auto"/>
        <w:ind w:left="4364" w:leftChars="1964"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供应商名称（电子章）：</w:t>
      </w:r>
    </w:p>
    <w:p w14:paraId="4986E025">
      <w:pPr>
        <w:autoSpaceDE w:val="0"/>
        <w:autoSpaceDN w:val="0"/>
        <w:spacing w:line="360" w:lineRule="auto"/>
        <w:ind w:firstLine="6120" w:firstLineChars="2550"/>
        <w:rPr>
          <w:rFonts w:ascii="宋体" w:hAnsi="宋体"/>
          <w:b/>
          <w:sz w:val="24"/>
        </w:rPr>
      </w:pPr>
      <w:r>
        <w:rPr>
          <w:rFonts w:hint="eastAsia" w:ascii="仿宋_GB2312" w:hAnsi="仿宋" w:eastAsia="仿宋_GB2312" w:cs="仿宋_GB2312"/>
          <w:kern w:val="0"/>
          <w:sz w:val="24"/>
          <w:lang w:val="zh-CN"/>
        </w:rPr>
        <w:t>日期：  年  月   日</w:t>
      </w:r>
    </w:p>
    <w:p w14:paraId="0C5709A7">
      <w:pPr>
        <w:spacing w:line="360" w:lineRule="auto"/>
        <w:ind w:firstLine="596" w:firstLineChars="198"/>
        <w:rPr>
          <w:rFonts w:ascii="宋体" w:hAnsi="宋体" w:cs="宋体"/>
          <w:sz w:val="24"/>
        </w:rPr>
      </w:pPr>
      <w:r>
        <w:rPr>
          <w:rFonts w:hint="eastAsia" w:ascii="仿宋" w:hAnsi="仿宋" w:eastAsia="仿宋" w:cs="仿宋_GB2312"/>
          <w:b/>
          <w:kern w:val="0"/>
          <w:sz w:val="30"/>
          <w:szCs w:val="30"/>
        </w:rPr>
        <w:t>四、提供参加本次政府采购活动前近</w:t>
      </w:r>
      <w:r>
        <w:rPr>
          <w:rFonts w:ascii="仿宋" w:hAnsi="仿宋" w:eastAsia="仿宋" w:cs="仿宋_GB2312"/>
          <w:b/>
          <w:kern w:val="0"/>
          <w:sz w:val="30"/>
          <w:szCs w:val="30"/>
        </w:rPr>
        <w:t>半年内任意一个月</w:t>
      </w:r>
      <w:r>
        <w:rPr>
          <w:rFonts w:hint="eastAsia" w:ascii="仿宋" w:hAnsi="仿宋" w:eastAsia="仿宋" w:cs="仿宋_GB2312"/>
          <w:b/>
          <w:kern w:val="0"/>
          <w:sz w:val="30"/>
          <w:szCs w:val="30"/>
        </w:rPr>
        <w:t>的依法缴纳税收和社会保障资金的相关材料</w:t>
      </w:r>
    </w:p>
    <w:p w14:paraId="22A37D81">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23A92B12">
      <w:pPr>
        <w:autoSpaceDE w:val="0"/>
        <w:autoSpaceDN w:val="0"/>
        <w:spacing w:line="360" w:lineRule="auto"/>
        <w:ind w:firstLine="6120" w:firstLineChars="2550"/>
        <w:rPr>
          <w:rFonts w:ascii="仿宋" w:hAnsi="仿宋" w:eastAsia="仿宋" w:cs="仿宋_GB2312"/>
          <w:b/>
          <w:kern w:val="0"/>
          <w:sz w:val="30"/>
          <w:szCs w:val="30"/>
        </w:rPr>
      </w:pPr>
      <w:r>
        <w:rPr>
          <w:rFonts w:hint="eastAsia" w:ascii="仿宋_GB2312" w:hAnsi="仿宋" w:eastAsia="仿宋_GB2312" w:cs="仿宋_GB2312"/>
          <w:kern w:val="0"/>
          <w:sz w:val="24"/>
          <w:lang w:val="zh-CN"/>
        </w:rPr>
        <w:t>日期：  年  月   日</w:t>
      </w:r>
    </w:p>
    <w:p w14:paraId="2049534B">
      <w:pPr>
        <w:snapToGrid w:val="0"/>
        <w:ind w:firstLine="596" w:firstLineChars="198"/>
        <w:rPr>
          <w:sz w:val="24"/>
        </w:rPr>
      </w:pPr>
      <w:r>
        <w:rPr>
          <w:rFonts w:hint="eastAsia" w:ascii="仿宋" w:hAnsi="仿宋" w:eastAsia="仿宋" w:cs="仿宋_GB2312"/>
          <w:b/>
          <w:kern w:val="0"/>
          <w:sz w:val="30"/>
          <w:szCs w:val="30"/>
        </w:rPr>
        <w:t>五、提供参加本次政府采购活动前3年内在经营活动中没有重大违法记录的书面承诺函并加盖单位公章</w:t>
      </w:r>
    </w:p>
    <w:p w14:paraId="4DE830A9">
      <w:pPr>
        <w:bidi w:val="0"/>
        <w:jc w:val="center"/>
        <w:rPr>
          <w:rFonts w:hint="eastAsia" w:ascii="仿宋" w:hAnsi="仿宋" w:eastAsia="仿宋" w:cs="仿宋"/>
          <w:b/>
          <w:bCs/>
          <w:sz w:val="24"/>
          <w:szCs w:val="32"/>
        </w:rPr>
      </w:pPr>
      <w:r>
        <w:rPr>
          <w:rFonts w:hint="eastAsia" w:ascii="仿宋" w:hAnsi="仿宋" w:eastAsia="仿宋" w:cs="仿宋"/>
          <w:b/>
          <w:bCs/>
          <w:sz w:val="24"/>
          <w:szCs w:val="32"/>
        </w:rPr>
        <w:t>参与政府采购活动前三年内在经营活动中没有重大违法记录的书面声明函</w:t>
      </w:r>
    </w:p>
    <w:p w14:paraId="74A8A3DF">
      <w:pPr>
        <w:widowControl/>
        <w:spacing w:line="360" w:lineRule="auto"/>
        <w:ind w:firstLine="115" w:firstLineChars="48"/>
        <w:rPr>
          <w:rFonts w:hint="eastAsia" w:ascii="仿宋" w:hAnsi="仿宋" w:eastAsia="仿宋" w:cs="仿宋"/>
          <w:sz w:val="24"/>
        </w:rPr>
      </w:pPr>
      <w:r>
        <w:rPr>
          <w:rFonts w:hint="eastAsia" w:ascii="仿宋" w:hAnsi="仿宋" w:eastAsia="仿宋" w:cs="仿宋"/>
          <w:sz w:val="24"/>
        </w:rPr>
        <w:t>（采购人）:</w:t>
      </w:r>
    </w:p>
    <w:p w14:paraId="2327E9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仿宋" w:hAnsi="仿宋" w:eastAsia="仿宋" w:cs="仿宋"/>
          <w:b/>
          <w:bCs/>
          <w:szCs w:val="21"/>
        </w:rPr>
      </w:pPr>
      <w:r>
        <w:rPr>
          <w:rFonts w:hint="eastAsia" w:ascii="仿宋" w:hAnsi="仿宋" w:eastAsia="仿宋" w:cs="仿宋"/>
          <w:sz w:val="24"/>
        </w:rPr>
        <w:t>我公司承诺，参与政府采购活动前三年内在经营活动中没有重大违法记录现象。如有重大违法记录，由我公司全权负责，如造成严重不良影响的，我公司愿意接受法律法规的处罚。</w:t>
      </w:r>
    </w:p>
    <w:p w14:paraId="4F714981">
      <w:pPr>
        <w:pStyle w:val="11"/>
      </w:pPr>
    </w:p>
    <w:p w14:paraId="029C338F">
      <w:pPr>
        <w:autoSpaceDE w:val="0"/>
        <w:autoSpaceDN w:val="0"/>
        <w:spacing w:line="360" w:lineRule="auto"/>
        <w:ind w:left="4364" w:leftChars="1964"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供应商名称（电子章）：</w:t>
      </w:r>
    </w:p>
    <w:p w14:paraId="74CC9ADA">
      <w:pPr>
        <w:autoSpaceDE w:val="0"/>
        <w:autoSpaceDN w:val="0"/>
        <w:spacing w:line="360" w:lineRule="auto"/>
        <w:ind w:firstLine="6120" w:firstLineChars="25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356D1D57">
      <w:pPr>
        <w:pStyle w:val="11"/>
        <w:ind w:left="0" w:leftChars="0" w:firstLine="602" w:firstLineChars="200"/>
        <w:rPr>
          <w:rFonts w:hint="eastAsia" w:ascii="仿宋" w:hAnsi="仿宋" w:eastAsia="仿宋" w:cs="仿宋_GB2312"/>
          <w:b/>
          <w:kern w:val="0"/>
          <w:sz w:val="30"/>
          <w:szCs w:val="30"/>
          <w:lang w:eastAsia="zh-CN"/>
        </w:rPr>
      </w:pPr>
      <w:r>
        <w:rPr>
          <w:rFonts w:hint="eastAsia" w:ascii="仿宋" w:hAnsi="仿宋" w:eastAsia="仿宋" w:cs="仿宋_GB2312"/>
          <w:b/>
          <w:kern w:val="0"/>
          <w:sz w:val="30"/>
          <w:szCs w:val="30"/>
          <w:lang w:val="en-US" w:eastAsia="zh-CN"/>
        </w:rPr>
        <w:t>六、</w:t>
      </w:r>
      <w:r>
        <w:rPr>
          <w:rFonts w:hint="eastAsia" w:ascii="仿宋" w:hAnsi="仿宋" w:eastAsia="仿宋" w:cs="仿宋_GB2312"/>
          <w:b/>
          <w:kern w:val="0"/>
          <w:sz w:val="30"/>
          <w:szCs w:val="30"/>
        </w:rPr>
        <w:t>法律、行政法规规定的其他条件</w:t>
      </w:r>
      <w:r>
        <w:rPr>
          <w:rFonts w:hint="eastAsia" w:ascii="仿宋" w:hAnsi="仿宋" w:eastAsia="仿宋" w:cs="仿宋_GB2312"/>
          <w:b/>
          <w:kern w:val="0"/>
          <w:sz w:val="30"/>
          <w:szCs w:val="30"/>
          <w:lang w:eastAsia="zh-CN"/>
        </w:rPr>
        <w:t>（</w:t>
      </w:r>
      <w:r>
        <w:rPr>
          <w:rFonts w:hint="eastAsia" w:ascii="仿宋" w:hAnsi="仿宋" w:eastAsia="仿宋" w:cs="仿宋_GB2312"/>
          <w:b/>
          <w:kern w:val="0"/>
          <w:sz w:val="30"/>
          <w:szCs w:val="30"/>
          <w:lang w:val="en-US" w:eastAsia="zh-CN"/>
        </w:rPr>
        <w:t>自行提供</w:t>
      </w:r>
      <w:r>
        <w:rPr>
          <w:rFonts w:hint="eastAsia" w:ascii="仿宋" w:hAnsi="仿宋" w:eastAsia="仿宋" w:cs="仿宋_GB2312"/>
          <w:b/>
          <w:kern w:val="0"/>
          <w:sz w:val="30"/>
          <w:szCs w:val="30"/>
          <w:lang w:eastAsia="zh-CN"/>
        </w:rPr>
        <w:t>）</w:t>
      </w:r>
    </w:p>
    <w:p w14:paraId="2E72448C">
      <w:pPr>
        <w:widowControl/>
        <w:spacing w:line="360" w:lineRule="auto"/>
        <w:ind w:firstLine="116" w:firstLineChars="48"/>
        <w:jc w:val="center"/>
        <w:rPr>
          <w:rFonts w:hint="eastAsia" w:ascii="仿宋" w:hAnsi="仿宋" w:eastAsia="仿宋" w:cs="仿宋"/>
          <w:b/>
          <w:bCs/>
          <w:sz w:val="24"/>
        </w:rPr>
      </w:pPr>
      <w:r>
        <w:rPr>
          <w:rFonts w:hint="eastAsia" w:ascii="仿宋" w:hAnsi="仿宋" w:eastAsia="仿宋" w:cs="仿宋"/>
          <w:b/>
          <w:bCs/>
          <w:sz w:val="24"/>
          <w:szCs w:val="32"/>
        </w:rPr>
        <w:t>法律、行政法规规定的其他条件</w:t>
      </w:r>
    </w:p>
    <w:p w14:paraId="455391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（采购人）:</w:t>
      </w:r>
    </w:p>
    <w:p w14:paraId="32BE5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60" w:firstLineChars="400"/>
        <w:jc w:val="left"/>
        <w:rPr>
          <w:rFonts w:hint="eastAsia" w:ascii="仿宋" w:hAnsi="仿宋" w:eastAsia="仿宋" w:cs="仿宋"/>
          <w:sz w:val="24"/>
        </w:rPr>
      </w:pPr>
      <w:r>
        <w:rPr>
          <w:rFonts w:hint="eastAsia" w:ascii="仿宋" w:hAnsi="仿宋" w:eastAsia="仿宋" w:cs="仿宋"/>
          <w:sz w:val="24"/>
        </w:rPr>
        <w:t>我公司承诺，</w:t>
      </w:r>
      <w:r>
        <w:rPr>
          <w:rFonts w:hint="eastAsia" w:ascii="仿宋" w:hAnsi="仿宋" w:eastAsia="仿宋" w:cs="仿宋"/>
          <w:sz w:val="24"/>
          <w:lang w:val="en-US" w:eastAsia="zh-CN"/>
        </w:rPr>
        <w:t>不存在</w:t>
      </w:r>
      <w:r>
        <w:rPr>
          <w:rFonts w:hint="eastAsia" w:ascii="仿宋" w:hAnsi="仿宋" w:eastAsia="仿宋" w:cs="仿宋"/>
          <w:sz w:val="24"/>
        </w:rPr>
        <w:t>法律、行政法规规定的其他条件</w:t>
      </w:r>
      <w:r>
        <w:rPr>
          <w:rFonts w:hint="eastAsia" w:ascii="仿宋" w:hAnsi="仿宋" w:eastAsia="仿宋" w:cs="仿宋"/>
          <w:sz w:val="24"/>
          <w:lang w:eastAsia="zh-CN"/>
        </w:rPr>
        <w:t>，</w:t>
      </w:r>
      <w:r>
        <w:rPr>
          <w:rFonts w:hint="eastAsia" w:ascii="仿宋" w:hAnsi="仿宋" w:eastAsia="仿宋" w:cs="仿宋"/>
          <w:sz w:val="24"/>
        </w:rPr>
        <w:t>如有，由我公司全权</w:t>
      </w:r>
    </w:p>
    <w:p w14:paraId="78AFB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负责，如造成严重不良影响的，我公司愿意接受法律法规的处罚。</w:t>
      </w:r>
    </w:p>
    <w:p w14:paraId="0A63488E">
      <w:pPr>
        <w:autoSpaceDE w:val="0"/>
        <w:autoSpaceDN w:val="0"/>
        <w:spacing w:line="360" w:lineRule="auto"/>
        <w:ind w:left="4364" w:leftChars="1964" w:hanging="240" w:hangingChars="100"/>
        <w:rPr>
          <w:rFonts w:hint="eastAsia" w:ascii="仿宋_GB2312" w:hAnsi="仿宋" w:eastAsia="仿宋_GB2312" w:cs="仿宋_GB2312"/>
          <w:kern w:val="0"/>
          <w:sz w:val="24"/>
        </w:rPr>
      </w:pPr>
    </w:p>
    <w:p w14:paraId="4F5BDE15">
      <w:pPr>
        <w:autoSpaceDE w:val="0"/>
        <w:autoSpaceDN w:val="0"/>
        <w:spacing w:line="360" w:lineRule="auto"/>
        <w:ind w:left="4364" w:leftChars="1964"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供应商名称（电子章）：</w:t>
      </w:r>
    </w:p>
    <w:p w14:paraId="0D3DFF90">
      <w:pPr>
        <w:autoSpaceDE w:val="0"/>
        <w:autoSpaceDN w:val="0"/>
        <w:spacing w:line="360" w:lineRule="auto"/>
        <w:ind w:firstLine="6120" w:firstLineChars="255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2D17A712">
      <w:pPr>
        <w:rPr>
          <w:rFonts w:hint="eastAsia"/>
        </w:rPr>
      </w:pPr>
    </w:p>
    <w:p w14:paraId="4EDDB935">
      <w:pPr>
        <w:autoSpaceDE w:val="0"/>
        <w:autoSpaceDN w:val="0"/>
        <w:spacing w:line="360" w:lineRule="auto"/>
        <w:rPr>
          <w:rFonts w:ascii="仿宋_GB2312" w:hAnsi="仿宋" w:eastAsia="仿宋_GB2312" w:cs="仿宋_GB2312"/>
          <w:kern w:val="0"/>
          <w:sz w:val="24"/>
          <w:lang w:val="zh-CN"/>
        </w:rPr>
      </w:pPr>
    </w:p>
    <w:p w14:paraId="09762F64">
      <w:pPr>
        <w:autoSpaceDE w:val="0"/>
        <w:autoSpaceDN w:val="0"/>
        <w:spacing w:line="360" w:lineRule="auto"/>
        <w:ind w:firstLine="6480" w:firstLineChars="2700"/>
        <w:rPr>
          <w:rFonts w:ascii="仿宋_GB2312" w:hAnsi="仿宋" w:eastAsia="仿宋_GB2312" w:cs="仿宋_GB2312"/>
          <w:kern w:val="0"/>
          <w:sz w:val="24"/>
          <w:lang w:val="zh-CN"/>
        </w:rPr>
      </w:pPr>
    </w:p>
    <w:p w14:paraId="171B048A">
      <w:pPr>
        <w:widowControl/>
        <w:spacing w:line="360" w:lineRule="auto"/>
        <w:jc w:val="left"/>
        <w:rPr>
          <w:rFonts w:ascii="仿宋_GB2312" w:hAnsi="仿宋" w:eastAsia="仿宋_GB2312" w:cs="仿宋_GB2312"/>
          <w:kern w:val="0"/>
          <w:sz w:val="24"/>
          <w:lang w:val="zh-CN"/>
        </w:rPr>
      </w:pPr>
    </w:p>
    <w:p w14:paraId="7599B494">
      <w:pPr>
        <w:pStyle w:val="29"/>
        <w:numPr>
          <w:ilvl w:val="0"/>
          <w:numId w:val="0"/>
        </w:numPr>
      </w:pPr>
    </w:p>
    <w:p w14:paraId="24BC1FAD">
      <w:pPr>
        <w:pStyle w:val="29"/>
        <w:numPr>
          <w:ilvl w:val="0"/>
          <w:numId w:val="0"/>
        </w:numPr>
      </w:pPr>
    </w:p>
    <w:p w14:paraId="5642071B">
      <w:pPr>
        <w:pStyle w:val="29"/>
        <w:numPr>
          <w:ilvl w:val="0"/>
          <w:numId w:val="0"/>
        </w:numPr>
      </w:pPr>
    </w:p>
    <w:p w14:paraId="2A394DF8">
      <w:pPr>
        <w:pStyle w:val="29"/>
        <w:numPr>
          <w:ilvl w:val="0"/>
          <w:numId w:val="0"/>
        </w:numPr>
      </w:pPr>
    </w:p>
    <w:p w14:paraId="6A38F91B">
      <w:pPr>
        <w:pStyle w:val="29"/>
        <w:numPr>
          <w:ilvl w:val="0"/>
          <w:numId w:val="0"/>
        </w:numPr>
      </w:pPr>
    </w:p>
    <w:p w14:paraId="68544595">
      <w:pPr>
        <w:pStyle w:val="29"/>
        <w:numPr>
          <w:ilvl w:val="0"/>
          <w:numId w:val="0"/>
        </w:numPr>
      </w:pPr>
    </w:p>
    <w:p w14:paraId="57104957">
      <w:pPr>
        <w:pStyle w:val="29"/>
        <w:numPr>
          <w:ilvl w:val="0"/>
          <w:numId w:val="0"/>
        </w:numPr>
      </w:pPr>
    </w:p>
    <w:p w14:paraId="688E1385">
      <w:pPr>
        <w:pStyle w:val="29"/>
        <w:numPr>
          <w:ilvl w:val="0"/>
          <w:numId w:val="0"/>
        </w:numPr>
      </w:pPr>
    </w:p>
    <w:p w14:paraId="00EE650B">
      <w:pPr>
        <w:pStyle w:val="29"/>
        <w:numPr>
          <w:ilvl w:val="0"/>
          <w:numId w:val="0"/>
        </w:numPr>
      </w:pPr>
    </w:p>
    <w:p w14:paraId="0796F566">
      <w:pPr>
        <w:pStyle w:val="29"/>
        <w:numPr>
          <w:ilvl w:val="0"/>
          <w:numId w:val="0"/>
        </w:numPr>
      </w:pPr>
    </w:p>
    <w:p w14:paraId="65BF2471">
      <w:pPr>
        <w:pStyle w:val="29"/>
        <w:numPr>
          <w:ilvl w:val="0"/>
          <w:numId w:val="0"/>
        </w:numPr>
      </w:pPr>
    </w:p>
    <w:p w14:paraId="08F588BA">
      <w:pPr>
        <w:pStyle w:val="29"/>
        <w:numPr>
          <w:ilvl w:val="0"/>
          <w:numId w:val="0"/>
        </w:numPr>
      </w:pPr>
    </w:p>
    <w:p w14:paraId="5AA739A4">
      <w:pPr>
        <w:pStyle w:val="29"/>
        <w:numPr>
          <w:ilvl w:val="0"/>
          <w:numId w:val="0"/>
        </w:numPr>
      </w:pPr>
    </w:p>
    <w:p w14:paraId="18DBD135">
      <w:pPr>
        <w:pStyle w:val="29"/>
        <w:numPr>
          <w:ilvl w:val="0"/>
          <w:numId w:val="0"/>
        </w:numPr>
      </w:pPr>
    </w:p>
    <w:p w14:paraId="4DE22FBA">
      <w:pPr>
        <w:pStyle w:val="29"/>
        <w:numPr>
          <w:ilvl w:val="0"/>
          <w:numId w:val="0"/>
        </w:numPr>
      </w:pPr>
    </w:p>
    <w:p w14:paraId="5C688FCB">
      <w:pPr>
        <w:pStyle w:val="29"/>
        <w:numPr>
          <w:ilvl w:val="0"/>
          <w:numId w:val="0"/>
        </w:numPr>
      </w:pPr>
    </w:p>
    <w:p w14:paraId="5AC27A6D">
      <w:pPr>
        <w:pStyle w:val="29"/>
        <w:numPr>
          <w:ilvl w:val="0"/>
          <w:numId w:val="0"/>
        </w:numPr>
      </w:pPr>
    </w:p>
    <w:p w14:paraId="3B96AAB2">
      <w:pPr>
        <w:pStyle w:val="29"/>
        <w:numPr>
          <w:ilvl w:val="0"/>
          <w:numId w:val="0"/>
        </w:numPr>
      </w:pPr>
    </w:p>
    <w:p w14:paraId="04B1B421">
      <w:pPr>
        <w:pStyle w:val="29"/>
        <w:numPr>
          <w:ilvl w:val="0"/>
          <w:numId w:val="0"/>
        </w:numPr>
      </w:pPr>
    </w:p>
    <w:p w14:paraId="6B2374F0">
      <w:pPr>
        <w:pStyle w:val="158"/>
        <w:outlineLvl w:val="1"/>
        <w:rPr>
          <w:rFonts w:hint="eastAsia" w:ascii="宋体" w:hAnsi="宋体" w:eastAsia="宋体" w:cs="宋体"/>
          <w:sz w:val="30"/>
          <w:szCs w:val="30"/>
        </w:rPr>
      </w:pPr>
      <w:bookmarkStart w:id="510" w:name="_Toc12708"/>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二</w:t>
      </w:r>
      <w:r>
        <w:rPr>
          <w:rFonts w:hint="eastAsia" w:ascii="宋体" w:hAnsi="宋体" w:eastAsia="宋体" w:cs="宋体"/>
          <w:sz w:val="30"/>
          <w:szCs w:val="30"/>
          <w:lang w:eastAsia="zh-CN"/>
        </w:rPr>
        <w:t>）</w:t>
      </w:r>
      <w:r>
        <w:rPr>
          <w:rFonts w:hint="eastAsia" w:ascii="宋体" w:hAnsi="宋体" w:eastAsia="宋体" w:cs="宋体"/>
          <w:sz w:val="30"/>
          <w:szCs w:val="30"/>
        </w:rPr>
        <w:t>供应商资格声明</w:t>
      </w:r>
      <w:bookmarkEnd w:id="507"/>
      <w:bookmarkEnd w:id="509"/>
      <w:bookmarkEnd w:id="510"/>
    </w:p>
    <w:p w14:paraId="57C0C180">
      <w:pPr>
        <w:pStyle w:val="81"/>
        <w:spacing w:line="360" w:lineRule="auto"/>
        <w:ind w:firstLine="420"/>
        <w:rPr>
          <w:rFonts w:hint="eastAsia" w:ascii="宋体" w:hAnsi="宋体" w:cs="宋体"/>
          <w:sz w:val="24"/>
          <w:szCs w:val="24"/>
        </w:rPr>
      </w:pPr>
      <w:r>
        <w:rPr>
          <w:rFonts w:hint="eastAsia" w:ascii="宋体" w:hAnsi="宋体" w:cs="宋体"/>
          <w:sz w:val="24"/>
          <w:szCs w:val="24"/>
        </w:rPr>
        <w:t xml:space="preserve">1．供应商概况：                                   </w:t>
      </w:r>
    </w:p>
    <w:p w14:paraId="4EB12338">
      <w:pPr>
        <w:pStyle w:val="81"/>
        <w:spacing w:line="360" w:lineRule="auto"/>
        <w:ind w:firstLine="420"/>
        <w:rPr>
          <w:rFonts w:hint="eastAsia" w:ascii="宋体" w:hAnsi="宋体" w:cs="宋体"/>
          <w:sz w:val="24"/>
          <w:szCs w:val="24"/>
          <w:u w:val="single"/>
        </w:rPr>
      </w:pPr>
      <w:r>
        <w:rPr>
          <w:rFonts w:hint="eastAsia" w:ascii="宋体" w:hAnsi="宋体" w:cs="宋体"/>
          <w:sz w:val="24"/>
          <w:szCs w:val="24"/>
        </w:rPr>
        <w:t>供应商名称：</w:t>
      </w:r>
      <w:r>
        <w:rPr>
          <w:rFonts w:hint="eastAsia" w:ascii="宋体" w:hAnsi="宋体" w:cs="宋体"/>
          <w:sz w:val="24"/>
          <w:szCs w:val="24"/>
          <w:u w:val="single"/>
        </w:rPr>
        <w:t xml:space="preserve">                               </w:t>
      </w:r>
    </w:p>
    <w:p w14:paraId="5738C4FC">
      <w:pPr>
        <w:pStyle w:val="81"/>
        <w:spacing w:line="360" w:lineRule="auto"/>
        <w:ind w:firstLine="420"/>
        <w:jc w:val="left"/>
        <w:rPr>
          <w:rFonts w:hint="eastAsia" w:ascii="宋体" w:hAnsi="宋体" w:cs="宋体"/>
          <w:sz w:val="24"/>
          <w:szCs w:val="24"/>
          <w:u w:val="single"/>
        </w:rPr>
      </w:pPr>
      <w:r>
        <w:rPr>
          <w:rFonts w:hint="eastAsia" w:ascii="宋体" w:hAnsi="宋体" w:cs="宋体"/>
          <w:sz w:val="24"/>
          <w:szCs w:val="24"/>
        </w:rPr>
        <w:t>注册地址：</w:t>
      </w:r>
      <w:r>
        <w:rPr>
          <w:rFonts w:hint="eastAsia" w:ascii="宋体" w:hAnsi="宋体" w:cs="宋体"/>
          <w:sz w:val="24"/>
          <w:szCs w:val="24"/>
          <w:u w:val="single"/>
        </w:rPr>
        <w:t xml:space="preserve">                                 </w:t>
      </w:r>
    </w:p>
    <w:p w14:paraId="6748D2C7">
      <w:pPr>
        <w:pStyle w:val="81"/>
        <w:spacing w:line="360" w:lineRule="auto"/>
        <w:ind w:firstLine="420"/>
        <w:jc w:val="left"/>
        <w:rPr>
          <w:rFonts w:hint="eastAsia" w:ascii="宋体" w:hAnsi="宋体" w:cs="宋体"/>
          <w:sz w:val="24"/>
          <w:szCs w:val="24"/>
        </w:rPr>
      </w:pPr>
      <w:r>
        <w:rPr>
          <w:rFonts w:hint="eastAsia" w:ascii="宋体" w:hAnsi="宋体" w:cs="宋体"/>
          <w:sz w:val="24"/>
          <w:szCs w:val="24"/>
        </w:rPr>
        <w:t>传真：</w:t>
      </w:r>
      <w:r>
        <w:rPr>
          <w:rFonts w:hint="eastAsia" w:ascii="宋体" w:hAnsi="宋体" w:cs="宋体"/>
          <w:sz w:val="24"/>
          <w:szCs w:val="24"/>
          <w:u w:val="single"/>
        </w:rPr>
        <w:t xml:space="preserve">           </w:t>
      </w:r>
      <w:r>
        <w:rPr>
          <w:rFonts w:hint="eastAsia" w:ascii="宋体" w:hAnsi="宋体" w:cs="宋体"/>
          <w:sz w:val="24"/>
          <w:szCs w:val="24"/>
        </w:rPr>
        <w:t>电话：</w:t>
      </w:r>
      <w:r>
        <w:rPr>
          <w:rFonts w:hint="eastAsia" w:ascii="宋体" w:hAnsi="宋体" w:cs="宋体"/>
          <w:sz w:val="24"/>
          <w:szCs w:val="24"/>
          <w:u w:val="single"/>
        </w:rPr>
        <w:t xml:space="preserve">         </w:t>
      </w:r>
      <w:r>
        <w:rPr>
          <w:rFonts w:hint="eastAsia" w:ascii="宋体" w:hAnsi="宋体" w:cs="宋体"/>
          <w:sz w:val="24"/>
          <w:szCs w:val="24"/>
        </w:rPr>
        <w:t xml:space="preserve">  邮编：</w:t>
      </w:r>
      <w:r>
        <w:rPr>
          <w:rFonts w:hint="eastAsia" w:ascii="宋体" w:hAnsi="宋体" w:cs="宋体"/>
          <w:sz w:val="24"/>
          <w:szCs w:val="24"/>
          <w:u w:val="single"/>
        </w:rPr>
        <w:t xml:space="preserve">         </w:t>
      </w:r>
    </w:p>
    <w:p w14:paraId="1811AC83">
      <w:pPr>
        <w:pStyle w:val="81"/>
        <w:spacing w:line="360" w:lineRule="auto"/>
        <w:ind w:firstLine="420"/>
        <w:jc w:val="left"/>
        <w:rPr>
          <w:rFonts w:hint="eastAsia" w:ascii="宋体" w:hAnsi="宋体" w:cs="宋体"/>
          <w:sz w:val="24"/>
          <w:szCs w:val="24"/>
          <w:u w:val="single"/>
        </w:rPr>
      </w:pPr>
      <w:r>
        <w:rPr>
          <w:rFonts w:hint="eastAsia" w:ascii="宋体" w:hAnsi="宋体" w:cs="宋体"/>
          <w:sz w:val="24"/>
          <w:szCs w:val="24"/>
        </w:rPr>
        <w:t>成立或注册日期：</w:t>
      </w:r>
      <w:r>
        <w:rPr>
          <w:rFonts w:hint="eastAsia" w:ascii="宋体" w:hAnsi="宋体" w:cs="宋体"/>
          <w:sz w:val="24"/>
          <w:szCs w:val="24"/>
          <w:u w:val="single"/>
        </w:rPr>
        <w:t xml:space="preserve">                      </w:t>
      </w:r>
    </w:p>
    <w:p w14:paraId="2A17663D">
      <w:pPr>
        <w:pStyle w:val="81"/>
        <w:spacing w:line="360" w:lineRule="auto"/>
        <w:ind w:firstLine="420"/>
        <w:jc w:val="left"/>
        <w:rPr>
          <w:rFonts w:hint="eastAsia"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u w:val="single"/>
        </w:rPr>
        <w:t xml:space="preserve">                   </w:t>
      </w:r>
      <w:r>
        <w:rPr>
          <w:rFonts w:hint="eastAsia" w:ascii="宋体" w:hAnsi="宋体" w:cs="宋体"/>
          <w:sz w:val="24"/>
          <w:szCs w:val="24"/>
        </w:rPr>
        <w:t>（姓名、职务）</w:t>
      </w:r>
    </w:p>
    <w:p w14:paraId="002DF300">
      <w:pPr>
        <w:pStyle w:val="81"/>
        <w:spacing w:line="360" w:lineRule="auto"/>
        <w:ind w:firstLine="420"/>
        <w:rPr>
          <w:rFonts w:hint="eastAsia" w:ascii="宋体" w:hAnsi="宋体" w:cs="宋体"/>
          <w:sz w:val="24"/>
          <w:szCs w:val="24"/>
        </w:rPr>
      </w:pPr>
      <w:r>
        <w:rPr>
          <w:rFonts w:hint="eastAsia" w:ascii="宋体" w:hAnsi="宋体" w:cs="宋体"/>
          <w:sz w:val="24"/>
          <w:szCs w:val="24"/>
        </w:rPr>
        <w:t>2．我方在此声明，我方具备并满足下列各项条款的规定。本声明如有虚假或不实之处，我方将失去合格供应商资格且我方的磋商保证金将不予退还。</w:t>
      </w:r>
    </w:p>
    <w:p w14:paraId="4F2F8CA9">
      <w:pPr>
        <w:pStyle w:val="81"/>
        <w:spacing w:line="360" w:lineRule="auto"/>
        <w:ind w:firstLine="420"/>
        <w:rPr>
          <w:rFonts w:hint="eastAsia" w:ascii="宋体" w:hAnsi="宋体" w:cs="宋体"/>
          <w:sz w:val="24"/>
          <w:szCs w:val="24"/>
        </w:rPr>
      </w:pPr>
      <w:r>
        <w:rPr>
          <w:rFonts w:hint="eastAsia" w:ascii="宋体" w:hAnsi="宋体" w:cs="宋体"/>
          <w:sz w:val="24"/>
          <w:szCs w:val="24"/>
        </w:rPr>
        <w:t xml:space="preserve">（1）具有独立承担民事责任的能力； </w:t>
      </w:r>
    </w:p>
    <w:p w14:paraId="383907BF">
      <w:pPr>
        <w:pStyle w:val="81"/>
        <w:spacing w:line="360" w:lineRule="auto"/>
        <w:ind w:firstLine="420"/>
        <w:rPr>
          <w:rFonts w:hint="eastAsia" w:ascii="宋体" w:hAnsi="宋体" w:cs="宋体"/>
          <w:sz w:val="24"/>
          <w:szCs w:val="24"/>
        </w:rPr>
      </w:pPr>
      <w:r>
        <w:rPr>
          <w:rFonts w:hint="eastAsia" w:ascii="宋体" w:hAnsi="宋体" w:cs="宋体"/>
          <w:sz w:val="24"/>
          <w:szCs w:val="24"/>
        </w:rPr>
        <w:t xml:space="preserve">（2）具有良好的商业信誉和健全的财务会计制度； </w:t>
      </w:r>
    </w:p>
    <w:p w14:paraId="32464D60">
      <w:pPr>
        <w:pStyle w:val="81"/>
        <w:spacing w:line="360" w:lineRule="auto"/>
        <w:ind w:firstLine="420"/>
        <w:rPr>
          <w:rFonts w:hint="eastAsia" w:ascii="宋体" w:hAnsi="宋体" w:cs="宋体"/>
          <w:sz w:val="24"/>
          <w:szCs w:val="24"/>
        </w:rPr>
      </w:pPr>
      <w:r>
        <w:rPr>
          <w:rFonts w:hint="eastAsia" w:ascii="宋体" w:hAnsi="宋体" w:cs="宋体"/>
          <w:sz w:val="24"/>
          <w:szCs w:val="24"/>
        </w:rPr>
        <w:t xml:space="preserve">（3）具有履行合同所必需的设备和专业技术能力； </w:t>
      </w:r>
    </w:p>
    <w:p w14:paraId="4E5D635E">
      <w:pPr>
        <w:pStyle w:val="81"/>
        <w:spacing w:line="360" w:lineRule="auto"/>
        <w:ind w:firstLine="420"/>
        <w:rPr>
          <w:rFonts w:hint="eastAsia" w:ascii="宋体" w:hAnsi="宋体" w:cs="宋体"/>
          <w:sz w:val="24"/>
          <w:szCs w:val="24"/>
        </w:rPr>
      </w:pPr>
      <w:r>
        <w:rPr>
          <w:rFonts w:hint="eastAsia" w:ascii="宋体" w:hAnsi="宋体" w:cs="宋体"/>
          <w:sz w:val="24"/>
          <w:szCs w:val="24"/>
        </w:rPr>
        <w:t xml:space="preserve">（4）有依法缴纳税收的良好记录； </w:t>
      </w:r>
    </w:p>
    <w:p w14:paraId="63EAAF74">
      <w:pPr>
        <w:pStyle w:val="81"/>
        <w:spacing w:line="360" w:lineRule="auto"/>
        <w:ind w:firstLine="420"/>
        <w:rPr>
          <w:rFonts w:hint="eastAsia" w:ascii="宋体" w:hAnsi="宋体" w:cs="宋体"/>
          <w:sz w:val="24"/>
          <w:szCs w:val="24"/>
        </w:rPr>
      </w:pPr>
      <w:r>
        <w:rPr>
          <w:rFonts w:hint="eastAsia" w:ascii="宋体" w:hAnsi="宋体" w:cs="宋体"/>
          <w:sz w:val="24"/>
          <w:szCs w:val="24"/>
        </w:rPr>
        <w:t xml:space="preserve">（5）近三年内，在经营活动中没有重大违法记录。       </w:t>
      </w:r>
    </w:p>
    <w:p w14:paraId="407D878F">
      <w:pPr>
        <w:pStyle w:val="81"/>
        <w:spacing w:line="360" w:lineRule="auto"/>
        <w:ind w:firstLine="420"/>
        <w:rPr>
          <w:rFonts w:hint="eastAsia" w:ascii="宋体" w:hAnsi="宋体" w:cs="宋体"/>
          <w:sz w:val="24"/>
          <w:szCs w:val="24"/>
        </w:rPr>
      </w:pPr>
      <w:r>
        <w:rPr>
          <w:rFonts w:hint="eastAsia" w:ascii="宋体" w:hAnsi="宋体" w:cs="宋体"/>
          <w:b/>
          <w:sz w:val="24"/>
          <w:szCs w:val="24"/>
        </w:rPr>
        <w:t xml:space="preserve"> 附法人营业执照复印件。</w:t>
      </w:r>
    </w:p>
    <w:p w14:paraId="33993697">
      <w:pPr>
        <w:pStyle w:val="81"/>
        <w:spacing w:line="360" w:lineRule="auto"/>
        <w:ind w:firstLine="420"/>
        <w:rPr>
          <w:rFonts w:hint="eastAsia" w:ascii="宋体" w:hAnsi="宋体" w:cs="宋体"/>
          <w:sz w:val="24"/>
          <w:szCs w:val="24"/>
        </w:rPr>
      </w:pPr>
      <w:r>
        <w:rPr>
          <w:rFonts w:hint="eastAsia" w:ascii="宋体" w:hAnsi="宋体" w:cs="宋体"/>
          <w:sz w:val="24"/>
          <w:szCs w:val="24"/>
        </w:rPr>
        <w:t>就我方全部所知，兹证明上述声明是真实、正确的，并已提供了全部现有资料和数据，我方同意根据贵方要求出示文件予以证实。</w:t>
      </w:r>
    </w:p>
    <w:p w14:paraId="052B6754">
      <w:pPr>
        <w:pStyle w:val="81"/>
        <w:spacing w:line="360" w:lineRule="auto"/>
        <w:ind w:firstLine="420"/>
        <w:rPr>
          <w:rFonts w:hint="eastAsia" w:ascii="宋体" w:hAnsi="宋体" w:cs="宋体"/>
          <w:sz w:val="24"/>
          <w:szCs w:val="24"/>
        </w:rPr>
      </w:pPr>
    </w:p>
    <w:p w14:paraId="2D1865FF">
      <w:pPr>
        <w:pStyle w:val="81"/>
        <w:spacing w:line="360" w:lineRule="auto"/>
        <w:ind w:firstLine="420"/>
        <w:rPr>
          <w:rFonts w:hint="eastAsia" w:ascii="宋体" w:hAnsi="宋体" w:cs="宋体"/>
          <w:sz w:val="24"/>
          <w:szCs w:val="24"/>
        </w:rPr>
      </w:pPr>
      <w:r>
        <w:rPr>
          <w:rFonts w:hint="eastAsia" w:ascii="宋体" w:hAnsi="宋体" w:cs="宋体"/>
          <w:sz w:val="24"/>
          <w:szCs w:val="24"/>
        </w:rPr>
        <w:t xml:space="preserve">  供应商（电子章）：</w:t>
      </w:r>
    </w:p>
    <w:p w14:paraId="48A28B7B">
      <w:pPr>
        <w:pStyle w:val="81"/>
        <w:spacing w:line="360" w:lineRule="auto"/>
        <w:ind w:firstLine="420"/>
        <w:rPr>
          <w:rFonts w:hint="eastAsia" w:ascii="宋体" w:hAnsi="宋体" w:cs="宋体"/>
          <w:sz w:val="24"/>
          <w:szCs w:val="24"/>
          <w:u w:val="single"/>
        </w:rPr>
      </w:pPr>
      <w:r>
        <w:rPr>
          <w:rFonts w:hint="eastAsia" w:ascii="宋体" w:hAnsi="宋体" w:cs="宋体"/>
          <w:sz w:val="24"/>
          <w:szCs w:val="24"/>
        </w:rPr>
        <w:t xml:space="preserve">  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7B809E81">
      <w:pPr>
        <w:pStyle w:val="81"/>
        <w:spacing w:line="360" w:lineRule="auto"/>
        <w:ind w:firstLine="420"/>
        <w:rPr>
          <w:rFonts w:hint="eastAsia" w:ascii="宋体" w:hAnsi="宋体" w:cs="宋体"/>
          <w:sz w:val="24"/>
          <w:szCs w:val="24"/>
        </w:rPr>
      </w:pPr>
      <w:r>
        <w:rPr>
          <w:rFonts w:hint="eastAsia" w:ascii="宋体" w:hAnsi="宋体" w:cs="宋体"/>
          <w:sz w:val="24"/>
          <w:szCs w:val="24"/>
        </w:rPr>
        <w:t xml:space="preserve">  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5FB9B6A4">
      <w:pPr>
        <w:pStyle w:val="81"/>
        <w:spacing w:line="360" w:lineRule="auto"/>
        <w:ind w:firstLine="420"/>
        <w:rPr>
          <w:rFonts w:hint="eastAsia" w:ascii="宋体" w:hAnsi="宋体" w:cs="宋体"/>
          <w:sz w:val="24"/>
          <w:szCs w:val="24"/>
        </w:rPr>
      </w:pPr>
    </w:p>
    <w:p w14:paraId="522D45DA">
      <w:pPr>
        <w:pStyle w:val="93"/>
        <w:outlineLvl w:val="1"/>
        <w:rPr>
          <w:rFonts w:hint="eastAsia" w:ascii="宋体" w:hAnsi="宋体" w:cs="宋体"/>
          <w:szCs w:val="21"/>
        </w:rPr>
      </w:pPr>
      <w:r>
        <w:rPr>
          <w:rFonts w:hint="eastAsia" w:ascii="宋体" w:hAnsi="宋体" w:eastAsia="宋体" w:cs="宋体"/>
        </w:rPr>
        <w:br w:type="page"/>
      </w:r>
      <w:bookmarkStart w:id="511" w:name="_Toc106276282"/>
      <w:bookmarkStart w:id="512" w:name="_Toc30592"/>
      <w:bookmarkStart w:id="513" w:name="_Toc2908"/>
      <w:r>
        <w:rPr>
          <w:rFonts w:hint="eastAsia" w:ascii="宋体" w:hAnsi="宋体" w:eastAsia="宋体" w:cs="宋体"/>
          <w:sz w:val="30"/>
          <w:szCs w:val="30"/>
          <w:lang w:eastAsia="zh-CN"/>
        </w:rPr>
        <w:t>（二）</w:t>
      </w:r>
      <w:r>
        <w:rPr>
          <w:rFonts w:hint="eastAsia" w:ascii="宋体" w:hAnsi="宋体" w:eastAsia="宋体" w:cs="宋体"/>
          <w:sz w:val="30"/>
          <w:szCs w:val="30"/>
        </w:rPr>
        <w:t>法定代表人身份证明或附有法定代表人身份证明的授权书</w:t>
      </w:r>
      <w:bookmarkEnd w:id="511"/>
      <w:bookmarkEnd w:id="512"/>
      <w:bookmarkEnd w:id="513"/>
    </w:p>
    <w:p w14:paraId="60AFB373">
      <w:pPr>
        <w:pStyle w:val="74"/>
        <w:spacing w:line="360" w:lineRule="auto"/>
        <w:jc w:val="center"/>
        <w:rPr>
          <w:rFonts w:hint="eastAsia" w:ascii="宋体" w:hAnsi="宋体" w:cs="宋体"/>
          <w:szCs w:val="21"/>
        </w:rPr>
      </w:pPr>
      <w:r>
        <w:rPr>
          <w:rFonts w:hint="eastAsia" w:ascii="宋体" w:hAnsi="宋体" w:cs="宋体"/>
          <w:b/>
          <w:bCs/>
          <w:sz w:val="24"/>
        </w:rPr>
        <w:t>法定代表人身份证明</w:t>
      </w:r>
    </w:p>
    <w:p w14:paraId="41EAB6F5">
      <w:pPr>
        <w:pStyle w:val="74"/>
        <w:spacing w:line="360" w:lineRule="auto"/>
        <w:ind w:firstLine="420"/>
        <w:rPr>
          <w:rFonts w:hint="eastAsia" w:ascii="宋体" w:hAns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 xml:space="preserve">                                             </w:t>
      </w:r>
    </w:p>
    <w:p w14:paraId="1137921A">
      <w:pPr>
        <w:pStyle w:val="74"/>
        <w:spacing w:line="360" w:lineRule="auto"/>
        <w:ind w:firstLine="420"/>
        <w:rPr>
          <w:rFonts w:hint="eastAsia" w:ascii="宋体" w:hAnsi="宋体" w:cs="宋体"/>
          <w:sz w:val="24"/>
          <w:szCs w:val="24"/>
        </w:rPr>
      </w:pPr>
      <w:r>
        <w:rPr>
          <w:rFonts w:hint="eastAsia" w:ascii="宋体" w:hAnsi="宋体" w:cs="宋体"/>
          <w:sz w:val="24"/>
          <w:szCs w:val="24"/>
        </w:rPr>
        <w:t>单位性质：</w:t>
      </w:r>
      <w:r>
        <w:rPr>
          <w:rFonts w:hint="eastAsia" w:ascii="宋体" w:hAnsi="宋体" w:cs="宋体"/>
          <w:sz w:val="24"/>
          <w:szCs w:val="24"/>
          <w:u w:val="single"/>
        </w:rPr>
        <w:t xml:space="preserve">                                             </w:t>
      </w:r>
    </w:p>
    <w:p w14:paraId="7A9E6B11">
      <w:pPr>
        <w:pStyle w:val="74"/>
        <w:spacing w:line="360" w:lineRule="auto"/>
        <w:ind w:firstLine="420"/>
        <w:rPr>
          <w:rFonts w:hint="eastAsia"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w:t>
      </w:r>
    </w:p>
    <w:p w14:paraId="235C9CE4">
      <w:pPr>
        <w:pStyle w:val="74"/>
        <w:spacing w:line="360" w:lineRule="auto"/>
        <w:ind w:firstLine="420"/>
        <w:rPr>
          <w:rFonts w:hint="eastAsia" w:ascii="宋体" w:hAnsi="宋体" w:cs="宋体"/>
          <w:sz w:val="24"/>
          <w:szCs w:val="24"/>
        </w:rPr>
      </w:pPr>
      <w:r>
        <w:rPr>
          <w:rFonts w:hint="eastAsia" w:ascii="宋体" w:hAnsi="宋体" w:cs="宋体"/>
          <w:sz w:val="24"/>
          <w:szCs w:val="24"/>
        </w:rPr>
        <w:t>成立时间：</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740D5EF9">
      <w:pPr>
        <w:pStyle w:val="74"/>
        <w:spacing w:line="360" w:lineRule="auto"/>
        <w:ind w:firstLine="420"/>
        <w:rPr>
          <w:rFonts w:hint="eastAsia" w:ascii="宋体" w:hAnsi="宋体" w:cs="宋体"/>
          <w:sz w:val="24"/>
          <w:szCs w:val="24"/>
        </w:rPr>
      </w:pPr>
      <w:r>
        <w:rPr>
          <w:rFonts w:hint="eastAsia" w:ascii="宋体" w:hAnsi="宋体" w:cs="宋体"/>
          <w:sz w:val="24"/>
          <w:szCs w:val="24"/>
        </w:rPr>
        <w:t>经营期限：</w:t>
      </w:r>
      <w:r>
        <w:rPr>
          <w:rFonts w:hint="eastAsia" w:ascii="宋体" w:hAnsi="宋体" w:cs="宋体"/>
          <w:sz w:val="24"/>
          <w:szCs w:val="24"/>
          <w:u w:val="single"/>
        </w:rPr>
        <w:t xml:space="preserve">                                             </w:t>
      </w:r>
    </w:p>
    <w:p w14:paraId="40665227">
      <w:pPr>
        <w:pStyle w:val="74"/>
        <w:spacing w:line="360" w:lineRule="auto"/>
        <w:ind w:firstLine="420"/>
        <w:rPr>
          <w:rFonts w:hint="eastAsia" w:ascii="宋体" w:hAnsi="宋体" w:cs="宋体"/>
          <w:sz w:val="24"/>
          <w:szCs w:val="24"/>
        </w:rPr>
      </w:pPr>
      <w:r>
        <w:rPr>
          <w:rFonts w:hint="eastAsia" w:ascii="宋体" w:hAnsi="宋体" w:cs="宋体"/>
          <w:sz w:val="24"/>
          <w:szCs w:val="24"/>
        </w:rPr>
        <w:t>姓    名：</w:t>
      </w:r>
      <w:r>
        <w:rPr>
          <w:rFonts w:hint="eastAsia" w:ascii="宋体" w:hAnsi="宋体" w:cs="宋体"/>
          <w:sz w:val="24"/>
          <w:szCs w:val="24"/>
          <w:u w:val="single"/>
        </w:rPr>
        <w:t xml:space="preserve">                    </w:t>
      </w:r>
      <w:r>
        <w:rPr>
          <w:rFonts w:hint="eastAsia" w:ascii="宋体" w:hAnsi="宋体" w:cs="宋体"/>
          <w:sz w:val="24"/>
          <w:szCs w:val="24"/>
        </w:rPr>
        <w:t>性     别：</w:t>
      </w:r>
      <w:r>
        <w:rPr>
          <w:rFonts w:hint="eastAsia" w:ascii="宋体" w:hAnsi="宋体" w:cs="宋体"/>
          <w:sz w:val="24"/>
          <w:szCs w:val="24"/>
          <w:u w:val="single"/>
        </w:rPr>
        <w:t xml:space="preserve">              </w:t>
      </w:r>
    </w:p>
    <w:p w14:paraId="4A8949F6">
      <w:pPr>
        <w:pStyle w:val="74"/>
        <w:spacing w:line="360" w:lineRule="auto"/>
        <w:ind w:firstLine="420"/>
        <w:rPr>
          <w:rFonts w:hint="eastAsia" w:ascii="宋体" w:hAnsi="宋体" w:cs="宋体"/>
          <w:sz w:val="24"/>
          <w:szCs w:val="24"/>
          <w:u w:val="single"/>
        </w:rPr>
      </w:pPr>
      <w:r>
        <w:rPr>
          <w:rFonts w:hint="eastAsia" w:ascii="宋体" w:hAnsi="宋体" w:cs="宋体"/>
          <w:sz w:val="24"/>
          <w:szCs w:val="24"/>
        </w:rPr>
        <w:t>年    龄：</w:t>
      </w:r>
      <w:r>
        <w:rPr>
          <w:rFonts w:hint="eastAsia" w:ascii="宋体" w:hAnsi="宋体" w:cs="宋体"/>
          <w:sz w:val="24"/>
          <w:szCs w:val="24"/>
          <w:u w:val="single"/>
        </w:rPr>
        <w:t xml:space="preserve">                    </w:t>
      </w:r>
      <w:r>
        <w:rPr>
          <w:rFonts w:hint="eastAsia" w:ascii="宋体" w:hAnsi="宋体" w:cs="宋体"/>
          <w:sz w:val="24"/>
          <w:szCs w:val="24"/>
        </w:rPr>
        <w:t>职     务：</w:t>
      </w:r>
      <w:r>
        <w:rPr>
          <w:rFonts w:hint="eastAsia" w:ascii="宋体" w:hAnsi="宋体" w:cs="宋体"/>
          <w:sz w:val="24"/>
          <w:szCs w:val="24"/>
          <w:u w:val="single"/>
        </w:rPr>
        <w:t xml:space="preserve">              </w:t>
      </w:r>
    </w:p>
    <w:p w14:paraId="7D0F57BA">
      <w:pPr>
        <w:pStyle w:val="74"/>
        <w:spacing w:line="360" w:lineRule="auto"/>
        <w:ind w:firstLine="420"/>
        <w:rPr>
          <w:rFonts w:hint="eastAsia" w:ascii="宋体" w:hAnsi="宋体" w:cs="宋体"/>
          <w:sz w:val="24"/>
          <w:szCs w:val="24"/>
        </w:rPr>
      </w:pPr>
    </w:p>
    <w:p w14:paraId="75330D77">
      <w:pPr>
        <w:pStyle w:val="74"/>
        <w:spacing w:line="360" w:lineRule="auto"/>
        <w:ind w:firstLine="420"/>
        <w:rPr>
          <w:rFonts w:hint="eastAsia" w:ascii="宋体" w:hAnsi="宋体" w:cs="宋体"/>
          <w:sz w:val="24"/>
          <w:szCs w:val="24"/>
        </w:rPr>
      </w:pPr>
      <w:r>
        <w:rPr>
          <w:rFonts w:hint="eastAsia" w:ascii="宋体" w:hAnsi="宋体" w:cs="宋体"/>
          <w:sz w:val="24"/>
          <w:szCs w:val="24"/>
        </w:rPr>
        <w:tab/>
      </w:r>
    </w:p>
    <w:p w14:paraId="5B71E371">
      <w:pPr>
        <w:pStyle w:val="74"/>
        <w:spacing w:line="360" w:lineRule="auto"/>
        <w:ind w:firstLine="420"/>
        <w:rPr>
          <w:rFonts w:hint="eastAsia" w:ascii="宋体" w:hAnsi="宋体" w:cs="宋体"/>
          <w:sz w:val="24"/>
          <w:szCs w:val="24"/>
        </w:rPr>
      </w:pPr>
      <w:r>
        <w:rPr>
          <w:rFonts w:hint="eastAsia" w:ascii="宋体" w:hAnsi="宋体" w:cs="宋体"/>
          <w:sz w:val="24"/>
          <w:szCs w:val="24"/>
        </w:rPr>
        <w:t>系</w:t>
      </w:r>
      <w:r>
        <w:rPr>
          <w:rFonts w:hint="eastAsia" w:ascii="宋体" w:hAnsi="宋体" w:cs="宋体"/>
          <w:sz w:val="24"/>
          <w:szCs w:val="24"/>
          <w:u w:val="single"/>
        </w:rPr>
        <w:t xml:space="preserve">                                     </w:t>
      </w:r>
      <w:r>
        <w:rPr>
          <w:rFonts w:hint="eastAsia" w:ascii="宋体" w:hAnsi="宋体" w:cs="宋体"/>
          <w:sz w:val="24"/>
          <w:szCs w:val="24"/>
        </w:rPr>
        <w:t>（供应商）的法定代表人。</w:t>
      </w:r>
    </w:p>
    <w:p w14:paraId="12B53A67">
      <w:pPr>
        <w:pStyle w:val="74"/>
        <w:spacing w:line="360" w:lineRule="auto"/>
        <w:ind w:firstLine="420"/>
        <w:rPr>
          <w:rFonts w:hint="eastAsia" w:ascii="宋体" w:hAnsi="宋体" w:cs="宋体"/>
          <w:sz w:val="24"/>
          <w:szCs w:val="24"/>
        </w:rPr>
      </w:pPr>
      <w:r>
        <w:rPr>
          <w:rFonts w:hint="eastAsia" w:ascii="宋体" w:hAnsi="宋体" w:cs="宋体"/>
          <w:sz w:val="24"/>
          <w:szCs w:val="24"/>
        </w:rPr>
        <w:t>特此证明。</w:t>
      </w:r>
    </w:p>
    <w:p w14:paraId="4DEC1AC9">
      <w:pPr>
        <w:pStyle w:val="74"/>
        <w:spacing w:line="360" w:lineRule="auto"/>
        <w:ind w:firstLine="420"/>
        <w:rPr>
          <w:rFonts w:hint="eastAsia" w:ascii="宋体" w:hAnsi="宋体" w:cs="宋体"/>
          <w:sz w:val="24"/>
          <w:szCs w:val="24"/>
        </w:rPr>
      </w:pPr>
    </w:p>
    <w:p w14:paraId="6FDC457A">
      <w:pPr>
        <w:pStyle w:val="74"/>
        <w:spacing w:line="360" w:lineRule="auto"/>
        <w:ind w:firstLine="420"/>
        <w:rPr>
          <w:rFonts w:hint="eastAsia" w:ascii="宋体" w:hAnsi="宋体" w:eastAsia="宋体" w:cs="宋体"/>
          <w:sz w:val="24"/>
          <w:szCs w:val="24"/>
          <w:lang w:val="en-US" w:eastAsia="zh-CN"/>
        </w:rPr>
      </w:pPr>
      <w:r>
        <w:rPr>
          <w:rFonts w:hint="eastAsia" w:ascii="宋体" w:hAnsi="宋体" w:cs="宋体"/>
          <w:sz w:val="24"/>
          <w:szCs w:val="24"/>
        </w:rPr>
        <w:t>附：法定代表人身份证复印件</w:t>
      </w:r>
      <w:r>
        <w:rPr>
          <w:rFonts w:hint="eastAsia" w:ascii="宋体" w:hAnsi="宋体" w:cs="宋体"/>
          <w:sz w:val="24"/>
          <w:szCs w:val="24"/>
          <w:lang w:val="en-US" w:eastAsia="zh-CN"/>
        </w:rPr>
        <w:t>双面</w:t>
      </w:r>
    </w:p>
    <w:p w14:paraId="49120E6C">
      <w:pPr>
        <w:pStyle w:val="74"/>
        <w:spacing w:line="360" w:lineRule="auto"/>
        <w:ind w:firstLine="420"/>
        <w:rPr>
          <w:rFonts w:hint="eastAsia" w:ascii="宋体" w:hAnsi="宋体" w:cs="宋体"/>
          <w:sz w:val="24"/>
          <w:szCs w:val="24"/>
        </w:rPr>
      </w:pPr>
    </w:p>
    <w:p w14:paraId="61A4EF66">
      <w:pPr>
        <w:pStyle w:val="74"/>
        <w:spacing w:line="360" w:lineRule="auto"/>
        <w:ind w:firstLine="420"/>
        <w:rPr>
          <w:rFonts w:hint="eastAsia" w:ascii="宋体" w:hAnsi="宋体" w:cs="宋体"/>
          <w:sz w:val="24"/>
          <w:szCs w:val="24"/>
        </w:rPr>
      </w:pPr>
    </w:p>
    <w:p w14:paraId="43C49505">
      <w:pPr>
        <w:pStyle w:val="81"/>
        <w:spacing w:line="360" w:lineRule="auto"/>
        <w:ind w:firstLine="420"/>
        <w:rPr>
          <w:rFonts w:hint="eastAsia" w:ascii="宋体" w:hAnsi="宋体" w:cs="宋体"/>
          <w:sz w:val="24"/>
          <w:szCs w:val="24"/>
        </w:rPr>
      </w:pPr>
      <w:r>
        <w:rPr>
          <w:rFonts w:hint="eastAsia" w:ascii="宋体" w:hAnsi="宋体" w:cs="宋体"/>
          <w:sz w:val="24"/>
          <w:szCs w:val="24"/>
        </w:rPr>
        <w:t xml:space="preserve">  供应商（电子章）：</w:t>
      </w:r>
    </w:p>
    <w:p w14:paraId="69DE2D41">
      <w:pPr>
        <w:pStyle w:val="81"/>
        <w:spacing w:line="360" w:lineRule="auto"/>
        <w:ind w:firstLine="420"/>
        <w:rPr>
          <w:rFonts w:hint="eastAsia" w:ascii="宋体" w:hAnsi="宋体" w:cs="宋体"/>
          <w:sz w:val="24"/>
          <w:szCs w:val="24"/>
          <w:u w:val="single"/>
        </w:rPr>
      </w:pPr>
      <w:r>
        <w:rPr>
          <w:rFonts w:hint="eastAsia" w:ascii="宋体" w:hAnsi="宋体" w:cs="宋体"/>
          <w:sz w:val="24"/>
          <w:szCs w:val="24"/>
        </w:rPr>
        <w:t xml:space="preserve">  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75859836">
      <w:pPr>
        <w:pStyle w:val="81"/>
        <w:spacing w:line="360" w:lineRule="auto"/>
        <w:ind w:firstLine="420"/>
        <w:jc w:val="left"/>
        <w:rPr>
          <w:rFonts w:hint="eastAsia" w:ascii="宋体" w:hAnsi="宋体" w:cs="宋体"/>
          <w:sz w:val="24"/>
          <w:szCs w:val="24"/>
        </w:rPr>
      </w:pPr>
      <w:r>
        <w:rPr>
          <w:rFonts w:hint="eastAsia" w:ascii="宋体" w:hAnsi="宋体" w:cs="宋体"/>
          <w:sz w:val="24"/>
          <w:szCs w:val="24"/>
        </w:rPr>
        <w:t xml:space="preserve">  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37BC95EA">
      <w:pPr>
        <w:pStyle w:val="74"/>
        <w:spacing w:line="360" w:lineRule="auto"/>
        <w:ind w:firstLine="420"/>
        <w:rPr>
          <w:rFonts w:hint="eastAsia" w:ascii="宋体" w:hAnsi="宋体" w:cs="宋体"/>
          <w:szCs w:val="21"/>
        </w:rPr>
      </w:pPr>
      <w:r>
        <w:rPr>
          <w:rFonts w:hint="eastAsia" w:ascii="宋体" w:hAnsi="宋体" w:cs="宋体"/>
          <w:sz w:val="24"/>
          <w:szCs w:val="24"/>
        </w:rPr>
        <w:t xml:space="preserve">  </w:t>
      </w:r>
    </w:p>
    <w:p w14:paraId="693EA50E">
      <w:pPr>
        <w:pStyle w:val="74"/>
        <w:spacing w:line="360" w:lineRule="auto"/>
        <w:ind w:firstLine="420"/>
        <w:rPr>
          <w:rFonts w:hint="eastAsia" w:ascii="宋体" w:hAnsi="宋体" w:cs="宋体"/>
          <w:szCs w:val="21"/>
        </w:rPr>
      </w:pPr>
    </w:p>
    <w:p w14:paraId="52C7D7CF">
      <w:pPr>
        <w:pStyle w:val="74"/>
        <w:spacing w:line="360" w:lineRule="auto"/>
        <w:jc w:val="center"/>
        <w:rPr>
          <w:rFonts w:hint="eastAsia" w:ascii="宋体" w:hAnsi="宋体" w:cs="宋体"/>
          <w:b/>
          <w:bCs/>
          <w:sz w:val="24"/>
          <w:lang w:val="zh-CN"/>
        </w:rPr>
      </w:pPr>
      <w:r>
        <w:rPr>
          <w:rFonts w:hint="eastAsia" w:ascii="宋体" w:hAnsi="宋体" w:cs="宋体"/>
          <w:sz w:val="20"/>
        </w:rPr>
        <w:br w:type="page"/>
      </w:r>
      <w:r>
        <w:rPr>
          <w:rFonts w:hint="eastAsia" w:ascii="宋体" w:hAnsi="宋体" w:cs="宋体"/>
          <w:b/>
          <w:bCs/>
          <w:sz w:val="24"/>
          <w:lang w:val="zh-CN"/>
        </w:rPr>
        <w:t>授权委托书</w:t>
      </w:r>
    </w:p>
    <w:p w14:paraId="01DDFF42">
      <w:pPr>
        <w:pStyle w:val="73"/>
        <w:adjustRightInd w:val="0"/>
        <w:snapToGrid w:val="0"/>
        <w:spacing w:line="360" w:lineRule="auto"/>
        <w:rPr>
          <w:rFonts w:hint="eastAsia" w:hAnsi="宋体" w:cs="宋体"/>
        </w:rPr>
      </w:pPr>
    </w:p>
    <w:p w14:paraId="22B6EA62">
      <w:pPr>
        <w:pStyle w:val="73"/>
        <w:adjustRightInd w:val="0"/>
        <w:snapToGrid w:val="0"/>
        <w:spacing w:line="360" w:lineRule="auto"/>
        <w:ind w:firstLine="480" w:firstLineChars="200"/>
        <w:rPr>
          <w:rFonts w:hint="eastAsia" w:hAnsi="宋体" w:cs="宋体"/>
          <w:sz w:val="24"/>
          <w:szCs w:val="24"/>
        </w:rPr>
      </w:pPr>
      <w:r>
        <w:rPr>
          <w:rFonts w:hint="eastAsia" w:hAnsi="宋体" w:cs="宋体"/>
          <w:sz w:val="24"/>
          <w:szCs w:val="24"/>
        </w:rPr>
        <w:t>本授权委托书声明：我</w:t>
      </w:r>
      <w:r>
        <w:rPr>
          <w:rFonts w:hint="eastAsia" w:hAnsi="宋体" w:cs="宋体"/>
          <w:sz w:val="24"/>
          <w:szCs w:val="24"/>
          <w:u w:val="single"/>
        </w:rPr>
        <w:t xml:space="preserve">        </w:t>
      </w:r>
      <w:r>
        <w:rPr>
          <w:rFonts w:hint="eastAsia" w:hAnsi="宋体" w:cs="宋体"/>
          <w:sz w:val="24"/>
          <w:szCs w:val="24"/>
        </w:rPr>
        <w:t xml:space="preserve"> (姓名)系</w:t>
      </w:r>
      <w:r>
        <w:rPr>
          <w:rFonts w:hint="eastAsia" w:hAnsi="宋体" w:cs="宋体"/>
          <w:sz w:val="24"/>
          <w:szCs w:val="24"/>
          <w:u w:val="single"/>
        </w:rPr>
        <w:t xml:space="preserve">            </w:t>
      </w:r>
      <w:r>
        <w:rPr>
          <w:rFonts w:hint="eastAsia" w:hAnsi="宋体" w:cs="宋体"/>
          <w:sz w:val="24"/>
          <w:szCs w:val="24"/>
        </w:rPr>
        <w:t xml:space="preserve">(供应商名称)的法定代表人，现授权委托 </w:t>
      </w:r>
      <w:r>
        <w:rPr>
          <w:rFonts w:hint="eastAsia" w:hAnsi="宋体" w:cs="宋体"/>
          <w:sz w:val="24"/>
          <w:szCs w:val="24"/>
          <w:u w:val="single"/>
        </w:rPr>
        <w:t xml:space="preserve">         </w:t>
      </w:r>
      <w:r>
        <w:rPr>
          <w:rFonts w:hint="eastAsia" w:hAnsi="宋体" w:cs="宋体"/>
          <w:sz w:val="24"/>
          <w:szCs w:val="24"/>
        </w:rPr>
        <w:t>(姓名)为我公司本次磋商活动的授权代表，参加</w:t>
      </w:r>
      <w:r>
        <w:rPr>
          <w:rFonts w:hint="eastAsia" w:hAnsi="宋体" w:cs="宋体"/>
          <w:sz w:val="24"/>
          <w:szCs w:val="24"/>
          <w:u w:val="single"/>
        </w:rPr>
        <w:t xml:space="preserve">                </w:t>
      </w:r>
      <w:r>
        <w:rPr>
          <w:rFonts w:hint="eastAsia" w:hAnsi="宋体" w:cs="宋体"/>
          <w:sz w:val="24"/>
          <w:szCs w:val="24"/>
        </w:rPr>
        <w:t>(采购人)的</w:t>
      </w:r>
      <w:r>
        <w:rPr>
          <w:rFonts w:hint="eastAsia" w:hAnsi="宋体" w:cs="宋体"/>
          <w:sz w:val="24"/>
          <w:szCs w:val="24"/>
          <w:u w:val="single"/>
        </w:rPr>
        <w:t xml:space="preserve">                    </w:t>
      </w:r>
      <w:r>
        <w:rPr>
          <w:rFonts w:hint="eastAsia" w:hAnsi="宋体" w:cs="宋体"/>
          <w:sz w:val="24"/>
          <w:szCs w:val="24"/>
        </w:rPr>
        <w:t>项目的磋商活动。授权代表在磋商、合同签订过程中所签署的一切文件和处理与之有关的一切事务，我均予以承认。</w:t>
      </w:r>
    </w:p>
    <w:p w14:paraId="3AC2DCA9">
      <w:pPr>
        <w:pStyle w:val="73"/>
        <w:adjustRightInd w:val="0"/>
        <w:snapToGrid w:val="0"/>
        <w:spacing w:line="360" w:lineRule="auto"/>
        <w:rPr>
          <w:rFonts w:hint="eastAsia" w:hAnsi="宋体" w:cs="宋体"/>
          <w:sz w:val="24"/>
          <w:szCs w:val="24"/>
        </w:rPr>
      </w:pPr>
    </w:p>
    <w:p w14:paraId="57B5C0FC">
      <w:pPr>
        <w:pStyle w:val="73"/>
        <w:adjustRightInd w:val="0"/>
        <w:snapToGrid w:val="0"/>
        <w:spacing w:line="360" w:lineRule="auto"/>
        <w:ind w:left="412"/>
        <w:rPr>
          <w:rFonts w:hint="eastAsia" w:hAnsi="宋体" w:cs="宋体"/>
          <w:sz w:val="24"/>
          <w:szCs w:val="24"/>
        </w:rPr>
      </w:pPr>
      <w:r>
        <w:rPr>
          <w:rFonts w:hint="eastAsia" w:hAnsi="宋体" w:cs="宋体"/>
          <w:sz w:val="24"/>
          <w:szCs w:val="24"/>
        </w:rPr>
        <w:t>授权代表无转委托权。特此委托。</w:t>
      </w:r>
    </w:p>
    <w:p w14:paraId="7B5C3433">
      <w:pPr>
        <w:pStyle w:val="73"/>
        <w:adjustRightInd w:val="0"/>
        <w:snapToGrid w:val="0"/>
        <w:spacing w:line="360" w:lineRule="auto"/>
        <w:ind w:left="412"/>
        <w:rPr>
          <w:rFonts w:hint="eastAsia" w:hAnsi="宋体" w:cs="宋体"/>
          <w:sz w:val="24"/>
          <w:szCs w:val="24"/>
        </w:rPr>
      </w:pPr>
    </w:p>
    <w:p w14:paraId="52AF3CD6">
      <w:pPr>
        <w:pStyle w:val="73"/>
        <w:adjustRightInd w:val="0"/>
        <w:snapToGrid w:val="0"/>
        <w:spacing w:line="360" w:lineRule="auto"/>
        <w:ind w:left="412"/>
        <w:rPr>
          <w:rFonts w:hAnsi="宋体" w:cs="宋体"/>
          <w:sz w:val="24"/>
          <w:szCs w:val="24"/>
          <w:u w:val="single"/>
          <w:lang w:val="en-US" w:eastAsia="zh-CN"/>
        </w:rPr>
      </w:pPr>
      <w:r>
        <w:rPr>
          <w:rFonts w:hint="eastAsia" w:hAnsi="宋体" w:cs="宋体"/>
          <w:sz w:val="24"/>
          <w:szCs w:val="24"/>
        </w:rPr>
        <w:t>授权代表（姓名）：</w:t>
      </w:r>
      <w:r>
        <w:rPr>
          <w:rFonts w:hint="eastAsia" w:hAnsi="宋体" w:cs="宋体"/>
          <w:sz w:val="24"/>
          <w:szCs w:val="24"/>
          <w:u w:val="single"/>
        </w:rPr>
        <w:t xml:space="preserve">             </w:t>
      </w:r>
      <w:r>
        <w:rPr>
          <w:rFonts w:hint="eastAsia" w:hAnsi="宋体" w:cs="宋体"/>
          <w:sz w:val="24"/>
          <w:szCs w:val="24"/>
        </w:rPr>
        <w:t xml:space="preserve">  性别：</w:t>
      </w:r>
      <w:r>
        <w:rPr>
          <w:rFonts w:hint="eastAsia" w:hAnsi="宋体" w:cs="宋体"/>
          <w:sz w:val="24"/>
          <w:szCs w:val="24"/>
          <w:u w:val="single"/>
        </w:rPr>
        <w:t xml:space="preserve">              </w:t>
      </w:r>
      <w:r>
        <w:rPr>
          <w:rFonts w:hint="eastAsia" w:hAnsi="宋体" w:cs="宋体"/>
          <w:sz w:val="24"/>
          <w:szCs w:val="24"/>
        </w:rPr>
        <w:t xml:space="preserve">  年龄：</w:t>
      </w:r>
      <w:r>
        <w:rPr>
          <w:rFonts w:hint="eastAsia" w:hAnsi="宋体" w:cs="宋体"/>
          <w:sz w:val="24"/>
          <w:szCs w:val="24"/>
          <w:u w:val="single"/>
        </w:rPr>
        <w:t xml:space="preserve">              </w:t>
      </w:r>
      <w:r>
        <w:rPr>
          <w:rFonts w:hint="eastAsia" w:hAnsi="宋体" w:cs="宋体"/>
          <w:sz w:val="24"/>
          <w:szCs w:val="24"/>
          <w:lang w:val="en-US" w:eastAsia="zh-CN"/>
        </w:rPr>
        <w:t xml:space="preserve">   </w:t>
      </w:r>
    </w:p>
    <w:p w14:paraId="49393462">
      <w:pPr>
        <w:pStyle w:val="73"/>
        <w:adjustRightInd w:val="0"/>
        <w:snapToGrid w:val="0"/>
        <w:spacing w:line="360" w:lineRule="auto"/>
        <w:ind w:firstLine="420"/>
        <w:rPr>
          <w:rFonts w:hint="eastAsia" w:hAnsi="宋体" w:cs="宋体"/>
          <w:sz w:val="24"/>
          <w:szCs w:val="24"/>
          <w:u w:val="single"/>
        </w:rPr>
      </w:pPr>
      <w:r>
        <w:rPr>
          <w:rFonts w:hint="eastAsia" w:hAnsi="宋体" w:cs="宋体"/>
          <w:sz w:val="24"/>
          <w:szCs w:val="24"/>
        </w:rPr>
        <w:t>单           位：</w:t>
      </w:r>
      <w:r>
        <w:rPr>
          <w:rFonts w:hint="eastAsia" w:hAnsi="宋体" w:cs="宋体"/>
          <w:sz w:val="24"/>
          <w:szCs w:val="24"/>
          <w:u w:val="single"/>
        </w:rPr>
        <w:t xml:space="preserve">              </w:t>
      </w:r>
      <w:r>
        <w:rPr>
          <w:rFonts w:hint="eastAsia" w:hAnsi="宋体" w:cs="宋体"/>
          <w:sz w:val="24"/>
          <w:szCs w:val="24"/>
        </w:rPr>
        <w:t xml:space="preserve">  部门：</w:t>
      </w:r>
      <w:r>
        <w:rPr>
          <w:rFonts w:hint="eastAsia" w:hAnsi="宋体" w:cs="宋体"/>
          <w:sz w:val="24"/>
          <w:szCs w:val="24"/>
          <w:u w:val="single"/>
        </w:rPr>
        <w:t xml:space="preserve">              </w:t>
      </w:r>
      <w:r>
        <w:rPr>
          <w:rFonts w:hint="eastAsia" w:hAnsi="宋体" w:cs="宋体"/>
          <w:sz w:val="24"/>
          <w:szCs w:val="24"/>
        </w:rPr>
        <w:t xml:space="preserve">  职务：</w:t>
      </w:r>
      <w:r>
        <w:rPr>
          <w:rFonts w:hint="eastAsia" w:hAnsi="宋体" w:cs="宋体"/>
          <w:sz w:val="24"/>
          <w:szCs w:val="24"/>
          <w:u w:val="single"/>
        </w:rPr>
        <w:t xml:space="preserve">              </w:t>
      </w:r>
    </w:p>
    <w:p w14:paraId="584AD1EF">
      <w:pPr>
        <w:pStyle w:val="73"/>
        <w:adjustRightInd w:val="0"/>
        <w:snapToGrid w:val="0"/>
        <w:spacing w:line="360" w:lineRule="auto"/>
        <w:ind w:firstLine="420"/>
        <w:rPr>
          <w:rFonts w:hint="eastAsia" w:hAnsi="宋体" w:cs="宋体"/>
          <w:sz w:val="24"/>
          <w:szCs w:val="24"/>
          <w:u w:val="single"/>
        </w:rPr>
      </w:pPr>
    </w:p>
    <w:p w14:paraId="1537BBE3">
      <w:pPr>
        <w:pStyle w:val="73"/>
        <w:adjustRightInd w:val="0"/>
        <w:snapToGrid w:val="0"/>
        <w:spacing w:line="360" w:lineRule="auto"/>
        <w:ind w:firstLine="420"/>
        <w:rPr>
          <w:rFonts w:hint="eastAsia" w:hAnsi="宋体" w:eastAsia="宋体" w:cs="宋体"/>
          <w:sz w:val="24"/>
          <w:szCs w:val="24"/>
          <w:lang w:val="en-US" w:eastAsia="zh-CN"/>
        </w:rPr>
      </w:pPr>
      <w:r>
        <w:rPr>
          <w:rFonts w:hint="eastAsia" w:hAnsi="宋体" w:cs="宋体"/>
          <w:sz w:val="24"/>
          <w:szCs w:val="24"/>
        </w:rPr>
        <w:t>附：授权代表身份证复印件</w:t>
      </w:r>
      <w:r>
        <w:rPr>
          <w:rFonts w:hint="eastAsia" w:hAnsi="宋体" w:cs="宋体"/>
          <w:sz w:val="24"/>
          <w:szCs w:val="24"/>
          <w:lang w:val="en-US" w:eastAsia="zh-CN"/>
        </w:rPr>
        <w:t>双面</w:t>
      </w:r>
    </w:p>
    <w:p w14:paraId="20909702">
      <w:pPr>
        <w:pStyle w:val="73"/>
        <w:adjustRightInd w:val="0"/>
        <w:snapToGrid w:val="0"/>
        <w:spacing w:line="360" w:lineRule="auto"/>
        <w:ind w:firstLine="420"/>
        <w:rPr>
          <w:rFonts w:hint="eastAsia" w:hAnsi="宋体" w:cs="宋体"/>
          <w:sz w:val="24"/>
          <w:szCs w:val="24"/>
        </w:rPr>
      </w:pPr>
    </w:p>
    <w:p w14:paraId="79CE19BD">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供应商（电子章）：</w:t>
      </w:r>
    </w:p>
    <w:p w14:paraId="12D1340B">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07C47CE6">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79128AF0">
      <w:pPr>
        <w:pStyle w:val="152"/>
        <w:outlineLvl w:val="1"/>
        <w:rPr>
          <w:rFonts w:hint="eastAsia" w:ascii="宋体" w:hAnsi="宋体" w:eastAsia="宋体" w:cs="宋体"/>
        </w:rPr>
      </w:pPr>
      <w:r>
        <w:rPr>
          <w:rFonts w:hint="eastAsia" w:ascii="宋体" w:hAnsi="宋体" w:eastAsia="宋体" w:cs="宋体"/>
        </w:rPr>
        <w:br w:type="page"/>
      </w:r>
      <w:bookmarkStart w:id="514" w:name="_Toc18333"/>
      <w:bookmarkStart w:id="515" w:name="_Toc106276283"/>
      <w:bookmarkStart w:id="516" w:name="_Toc22495"/>
      <w:r>
        <w:rPr>
          <w:rFonts w:hint="eastAsia" w:ascii="宋体" w:hAnsi="宋体" w:eastAsia="宋体" w:cs="宋体"/>
          <w:sz w:val="30"/>
          <w:szCs w:val="30"/>
          <w:lang w:eastAsia="zh-CN"/>
        </w:rPr>
        <w:t>（三）</w:t>
      </w:r>
      <w:bookmarkEnd w:id="514"/>
      <w:bookmarkEnd w:id="515"/>
      <w:bookmarkStart w:id="517" w:name="_Toc3747"/>
      <w:bookmarkStart w:id="518" w:name="_Toc106276284"/>
      <w:r>
        <w:rPr>
          <w:rStyle w:val="56"/>
          <w:rFonts w:hint="eastAsia"/>
          <w:b/>
        </w:rPr>
        <w:t>不参与围标串标承诺书</w:t>
      </w:r>
      <w:bookmarkEnd w:id="516"/>
      <w:bookmarkEnd w:id="517"/>
      <w:bookmarkEnd w:id="518"/>
    </w:p>
    <w:p w14:paraId="4515AEAE">
      <w:pPr>
        <w:pStyle w:val="170"/>
        <w:spacing w:line="640" w:lineRule="exact"/>
        <w:ind w:firstLine="426" w:firstLineChars="177"/>
        <w:jc w:val="center"/>
        <w:rPr>
          <w:rFonts w:hint="eastAsia" w:ascii="宋体" w:hAnsi="宋体" w:cs="宋体"/>
          <w:sz w:val="24"/>
        </w:rPr>
      </w:pPr>
      <w:r>
        <w:rPr>
          <w:rFonts w:hint="eastAsia" w:ascii="宋体" w:hAnsi="宋体" w:cs="宋体"/>
          <w:b/>
          <w:bCs/>
          <w:sz w:val="24"/>
        </w:rPr>
        <w:t>不参与围标串标承诺书</w:t>
      </w:r>
    </w:p>
    <w:p w14:paraId="58550E2D">
      <w:pPr>
        <w:pStyle w:val="170"/>
        <w:spacing w:line="640" w:lineRule="exact"/>
        <w:jc w:val="left"/>
        <w:rPr>
          <w:rFonts w:hint="eastAsia" w:ascii="宋体" w:hAnsi="宋体" w:cs="宋体"/>
          <w:sz w:val="24"/>
        </w:rPr>
      </w:pPr>
    </w:p>
    <w:p w14:paraId="70560E5B">
      <w:pPr>
        <w:pStyle w:val="170"/>
        <w:spacing w:line="640" w:lineRule="exact"/>
        <w:ind w:firstLine="480" w:firstLineChars="200"/>
        <w:rPr>
          <w:rFonts w:hint="eastAsia" w:ascii="宋体" w:hAnsi="宋体" w:cs="宋体"/>
          <w:sz w:val="24"/>
        </w:rPr>
      </w:pPr>
      <w:r>
        <w:rPr>
          <w:rFonts w:hint="eastAsia" w:ascii="宋体" w:hAnsi="宋体" w:cs="宋体"/>
          <w:sz w:val="24"/>
        </w:rPr>
        <w:t>本人作为</w:t>
      </w:r>
      <w:r>
        <w:rPr>
          <w:rFonts w:hint="eastAsia" w:ascii="宋体" w:hAnsi="宋体" w:cs="宋体"/>
          <w:sz w:val="24"/>
          <w:u w:val="single"/>
        </w:rPr>
        <w:t xml:space="preserve">（单位名称）                    </w:t>
      </w:r>
      <w:r>
        <w:rPr>
          <w:rFonts w:hint="eastAsia" w:ascii="宋体" w:hAnsi="宋体" w:cs="宋体"/>
          <w:sz w:val="24"/>
        </w:rPr>
        <w:t>的法人，清楚知晓我公司本项目投标活动，对以下事项作出承诺：</w:t>
      </w:r>
    </w:p>
    <w:p w14:paraId="655657B0">
      <w:pPr>
        <w:pStyle w:val="170"/>
        <w:spacing w:line="640" w:lineRule="exact"/>
        <w:ind w:firstLine="480" w:firstLineChars="200"/>
        <w:rPr>
          <w:rFonts w:hint="eastAsia" w:ascii="宋体" w:hAnsi="宋体" w:cs="宋体"/>
          <w:sz w:val="24"/>
        </w:rPr>
      </w:pPr>
      <w:r>
        <w:rPr>
          <w:rFonts w:hint="eastAsia" w:ascii="宋体" w:hAnsi="宋体" w:cs="宋体"/>
          <w:sz w:val="24"/>
        </w:rPr>
        <w:t>一、我单位遵循公开、公平、公正、诚实守信的原则，依法依规参与本项目竞标。</w:t>
      </w:r>
    </w:p>
    <w:p w14:paraId="35D3D8C5">
      <w:pPr>
        <w:pStyle w:val="170"/>
        <w:spacing w:line="640" w:lineRule="exact"/>
        <w:ind w:firstLine="480" w:firstLineChars="200"/>
        <w:rPr>
          <w:rFonts w:hint="eastAsia" w:ascii="宋体" w:hAnsi="宋体" w:cs="宋体"/>
          <w:sz w:val="24"/>
        </w:rPr>
      </w:pPr>
      <w:r>
        <w:rPr>
          <w:rFonts w:hint="eastAsia" w:ascii="宋体" w:hAnsi="宋体" w:cs="宋体"/>
          <w:sz w:val="24"/>
        </w:rPr>
        <w:t>二、我单位在本项目招标投标活动中，未参与围标串标。</w:t>
      </w:r>
    </w:p>
    <w:p w14:paraId="2DDB3883">
      <w:pPr>
        <w:pStyle w:val="170"/>
        <w:spacing w:line="640" w:lineRule="exact"/>
        <w:ind w:firstLine="480" w:firstLineChars="200"/>
        <w:rPr>
          <w:rFonts w:hint="eastAsia" w:ascii="宋体" w:hAnsi="宋体" w:cs="宋体"/>
          <w:b/>
          <w:sz w:val="24"/>
        </w:rPr>
      </w:pPr>
      <w:r>
        <w:rPr>
          <w:rFonts w:hint="eastAsia" w:ascii="宋体" w:hAnsi="宋体" w:cs="宋体"/>
          <w:sz w:val="24"/>
        </w:rPr>
        <w:t>三、我单位如被查实在本项目招标投标活动中存在围标串标的，递交投标文件行为作为实施串通投标违法行为的关键环节，本人承担直接责任人员法律责任，接受相应行政处罚和失信惩戒。</w:t>
      </w:r>
    </w:p>
    <w:p w14:paraId="09DCBF57">
      <w:pPr>
        <w:pStyle w:val="170"/>
        <w:spacing w:line="360" w:lineRule="auto"/>
        <w:jc w:val="left"/>
        <w:rPr>
          <w:rFonts w:hint="eastAsia" w:ascii="宋体" w:hAnsi="宋体" w:cs="宋体"/>
          <w:sz w:val="24"/>
        </w:rPr>
      </w:pPr>
    </w:p>
    <w:p w14:paraId="006EAB19">
      <w:pPr>
        <w:pStyle w:val="170"/>
        <w:spacing w:line="360" w:lineRule="auto"/>
        <w:jc w:val="left"/>
        <w:rPr>
          <w:rFonts w:hint="eastAsia" w:ascii="宋体" w:hAnsi="宋体" w:cs="宋体"/>
          <w:sz w:val="24"/>
        </w:rPr>
      </w:pPr>
      <w:r>
        <w:rPr>
          <w:rFonts w:hint="eastAsia" w:ascii="宋体" w:hAnsi="宋体" w:cs="宋体"/>
          <w:sz w:val="24"/>
        </w:rPr>
        <w:t xml:space="preserve">     </w:t>
      </w:r>
    </w:p>
    <w:p w14:paraId="6EB769C9">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供应商（电子章）：</w:t>
      </w:r>
    </w:p>
    <w:p w14:paraId="7E1E4336">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19084561">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457D34CD">
      <w:pPr>
        <w:pStyle w:val="170"/>
        <w:spacing w:line="640" w:lineRule="exact"/>
        <w:jc w:val="left"/>
        <w:rPr>
          <w:rFonts w:hint="eastAsia" w:ascii="宋体" w:hAnsi="宋体" w:cs="宋体"/>
          <w:sz w:val="24"/>
        </w:rPr>
      </w:pPr>
      <w:r>
        <w:rPr>
          <w:rFonts w:hint="eastAsia" w:ascii="宋体" w:hAnsi="宋体" w:cs="宋体"/>
          <w:sz w:val="24"/>
        </w:rPr>
        <w:t xml:space="preserve">                                  </w:t>
      </w:r>
    </w:p>
    <w:p w14:paraId="2FF1875C">
      <w:pPr>
        <w:pStyle w:val="170"/>
        <w:spacing w:line="640" w:lineRule="exact"/>
        <w:jc w:val="left"/>
        <w:rPr>
          <w:rFonts w:hint="eastAsia" w:ascii="宋体" w:hAnsi="宋体" w:cs="宋体"/>
          <w:sz w:val="24"/>
        </w:rPr>
      </w:pPr>
    </w:p>
    <w:p w14:paraId="128F46A3">
      <w:pPr>
        <w:pStyle w:val="170"/>
        <w:spacing w:line="640" w:lineRule="exact"/>
        <w:ind w:firstLine="4080" w:firstLineChars="1700"/>
        <w:jc w:val="left"/>
        <w:rPr>
          <w:rFonts w:hint="eastAsia" w:ascii="宋体" w:hAnsi="宋体" w:cs="宋体"/>
          <w:sz w:val="24"/>
        </w:rPr>
      </w:pPr>
      <w:r>
        <w:rPr>
          <w:rFonts w:hint="eastAsia" w:ascii="宋体" w:hAnsi="宋体" w:cs="宋体"/>
          <w:sz w:val="24"/>
        </w:rPr>
        <w:t xml:space="preserve">  </w:t>
      </w:r>
    </w:p>
    <w:p w14:paraId="33A126A0">
      <w:pPr>
        <w:pStyle w:val="91"/>
        <w:outlineLvl w:val="1"/>
        <w:rPr>
          <w:rFonts w:hint="eastAsia" w:ascii="宋体" w:hAnsi="宋体" w:eastAsia="宋体" w:cs="宋体"/>
        </w:rPr>
      </w:pPr>
      <w:r>
        <w:rPr>
          <w:rFonts w:hint="eastAsia" w:ascii="宋体" w:hAnsi="宋体" w:eastAsia="宋体" w:cs="宋体"/>
        </w:rPr>
        <w:br w:type="page"/>
      </w:r>
      <w:bookmarkStart w:id="519" w:name="_Toc106276285"/>
      <w:bookmarkStart w:id="520" w:name="_Toc8804"/>
      <w:bookmarkStart w:id="521" w:name="_Toc30875"/>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四</w:t>
      </w:r>
      <w:r>
        <w:rPr>
          <w:rFonts w:hint="eastAsia" w:ascii="宋体" w:hAnsi="宋体" w:eastAsia="宋体" w:cs="宋体"/>
          <w:sz w:val="30"/>
          <w:szCs w:val="30"/>
          <w:lang w:eastAsia="zh-CN"/>
        </w:rPr>
        <w:t>）</w:t>
      </w:r>
      <w:r>
        <w:rPr>
          <w:rFonts w:hint="eastAsia" w:ascii="宋体" w:hAnsi="宋体" w:eastAsia="宋体" w:cs="宋体"/>
          <w:sz w:val="30"/>
          <w:szCs w:val="30"/>
        </w:rPr>
        <w:t>投标保证金</w:t>
      </w:r>
      <w:bookmarkEnd w:id="519"/>
      <w:bookmarkEnd w:id="520"/>
      <w:bookmarkEnd w:id="521"/>
    </w:p>
    <w:p w14:paraId="02D0BA32">
      <w:pPr>
        <w:pStyle w:val="124"/>
        <w:spacing w:line="360" w:lineRule="auto"/>
        <w:ind w:firstLine="480" w:firstLineChars="200"/>
        <w:rPr>
          <w:rFonts w:hint="eastAsia" w:ascii="宋体" w:hAnsi="宋体" w:cs="宋体"/>
          <w:sz w:val="24"/>
          <w:szCs w:val="24"/>
        </w:rPr>
      </w:pPr>
      <w:r>
        <w:rPr>
          <w:rFonts w:hint="eastAsia" w:ascii="宋体" w:hAnsi="宋体" w:cs="宋体"/>
          <w:sz w:val="24"/>
          <w:szCs w:val="24"/>
        </w:rPr>
        <w:t>说明：1、此处上传投标保证金缴纳证明文件。</w:t>
      </w:r>
      <w:r>
        <w:rPr>
          <w:rFonts w:hint="eastAsia" w:ascii="宋体" w:hAnsi="宋体" w:cs="宋体"/>
          <w:sz w:val="24"/>
          <w:szCs w:val="24"/>
          <w:lang w:eastAsia="zh-CN"/>
        </w:rPr>
        <w:t>（</w:t>
      </w:r>
      <w:r>
        <w:rPr>
          <w:rFonts w:hint="eastAsia" w:ascii="宋体" w:hAnsi="宋体" w:cs="宋体"/>
          <w:b/>
          <w:bCs/>
          <w:color w:val="FF0000"/>
          <w:sz w:val="32"/>
          <w:szCs w:val="32"/>
          <w:highlight w:val="lightGray"/>
          <w:lang w:val="en-US" w:eastAsia="zh-CN"/>
        </w:rPr>
        <w:t>后附企业基本账户信息</w:t>
      </w:r>
      <w:r>
        <w:rPr>
          <w:rFonts w:hint="eastAsia" w:ascii="宋体" w:hAnsi="宋体" w:cs="宋体"/>
          <w:sz w:val="24"/>
          <w:szCs w:val="24"/>
          <w:lang w:eastAsia="zh-CN"/>
        </w:rPr>
        <w:t>）</w:t>
      </w:r>
    </w:p>
    <w:p w14:paraId="6E8FABBB">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6A238BCD">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28F535A8">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供应商（电子章）：</w:t>
      </w:r>
    </w:p>
    <w:p w14:paraId="43025AF6">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3CEEEACA">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4D41581B">
      <w:pPr>
        <w:pStyle w:val="124"/>
        <w:spacing w:line="360" w:lineRule="auto"/>
        <w:ind w:firstLine="5520" w:firstLineChars="2300"/>
        <w:rPr>
          <w:rFonts w:hint="eastAsia" w:ascii="宋体" w:hAnsi="宋体" w:cs="宋体"/>
          <w:sz w:val="24"/>
          <w:szCs w:val="24"/>
        </w:rPr>
      </w:pPr>
    </w:p>
    <w:p w14:paraId="4D5C1576">
      <w:pPr>
        <w:pStyle w:val="164"/>
        <w:outlineLvl w:val="1"/>
        <w:rPr>
          <w:rFonts w:hint="eastAsia" w:ascii="宋体" w:hAnsi="宋体" w:cs="宋体"/>
        </w:rPr>
      </w:pPr>
      <w:r>
        <w:rPr>
          <w:rFonts w:hint="eastAsia" w:ascii="宋体" w:hAnsi="宋体" w:eastAsia="宋体" w:cs="宋体"/>
        </w:rPr>
        <w:br w:type="page"/>
      </w:r>
      <w:bookmarkStart w:id="522" w:name="_Toc106276286"/>
      <w:bookmarkStart w:id="523" w:name="_Toc22550"/>
      <w:bookmarkStart w:id="524" w:name="_Toc2508"/>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五</w:t>
      </w:r>
      <w:r>
        <w:rPr>
          <w:rFonts w:hint="eastAsia" w:ascii="宋体" w:hAnsi="宋体" w:eastAsia="宋体" w:cs="宋体"/>
          <w:sz w:val="30"/>
          <w:szCs w:val="30"/>
          <w:lang w:eastAsia="zh-CN"/>
        </w:rPr>
        <w:t>）</w:t>
      </w:r>
      <w:r>
        <w:rPr>
          <w:rFonts w:hint="eastAsia" w:ascii="宋体" w:hAnsi="宋体" w:eastAsia="宋体" w:cs="宋体"/>
          <w:sz w:val="30"/>
          <w:szCs w:val="30"/>
        </w:rPr>
        <w:t>中、小微企业声明函</w:t>
      </w:r>
      <w:bookmarkEnd w:id="522"/>
      <w:bookmarkEnd w:id="523"/>
      <w:bookmarkEnd w:id="524"/>
    </w:p>
    <w:p w14:paraId="2DBFE541">
      <w:pPr>
        <w:pStyle w:val="143"/>
        <w:spacing w:line="360" w:lineRule="auto"/>
        <w:ind w:right="-97"/>
        <w:jc w:val="center"/>
        <w:rPr>
          <w:rFonts w:hint="eastAsia" w:ascii="宋体" w:hAnsi="宋体"/>
          <w:b/>
          <w:bCs/>
          <w:sz w:val="24"/>
          <w:szCs w:val="24"/>
        </w:rPr>
      </w:pPr>
      <w:r>
        <w:rPr>
          <w:rFonts w:hint="eastAsia" w:ascii="宋体" w:hAnsi="宋体"/>
          <w:b/>
          <w:bCs/>
          <w:sz w:val="24"/>
          <w:szCs w:val="24"/>
        </w:rPr>
        <w:t>中小企业声明函</w:t>
      </w:r>
    </w:p>
    <w:p w14:paraId="4C421B64">
      <w:pPr>
        <w:pStyle w:val="143"/>
        <w:spacing w:line="360" w:lineRule="auto"/>
        <w:ind w:right="-97" w:firstLine="493" w:firstLineChars="196"/>
        <w:rPr>
          <w:rFonts w:hint="eastAsia" w:ascii="宋体" w:hAnsi="宋体"/>
          <w:color w:val="000000"/>
          <w:spacing w:val="6"/>
          <w:sz w:val="24"/>
          <w:szCs w:val="24"/>
        </w:rPr>
      </w:pPr>
      <w:r>
        <w:rPr>
          <w:rFonts w:hint="eastAsia" w:ascii="宋体" w:hAnsi="宋体"/>
          <w:color w:val="000000"/>
          <w:spacing w:val="6"/>
          <w:sz w:val="24"/>
          <w:szCs w:val="24"/>
        </w:rPr>
        <w:t>本公司郑重声明，根据《政府采购促进中小企业发展暂行办法》（财库[2020]46号）的规定，本公司参加</w:t>
      </w:r>
      <w:r>
        <w:rPr>
          <w:rFonts w:hint="eastAsia" w:ascii="宋体" w:hAnsi="宋体"/>
          <w:color w:val="000000"/>
          <w:spacing w:val="6"/>
          <w:sz w:val="24"/>
          <w:szCs w:val="24"/>
          <w:u w:val="single"/>
        </w:rPr>
        <w:t xml:space="preserve">  （单位名称）  </w:t>
      </w:r>
      <w:r>
        <w:rPr>
          <w:rFonts w:hint="eastAsia" w:ascii="宋体" w:hAnsi="宋体"/>
          <w:color w:val="000000"/>
          <w:spacing w:val="6"/>
          <w:sz w:val="24"/>
          <w:szCs w:val="24"/>
        </w:rPr>
        <w:t>的</w:t>
      </w:r>
      <w:r>
        <w:rPr>
          <w:rFonts w:hint="eastAsia" w:ascii="宋体" w:hAnsi="宋体"/>
          <w:color w:val="000000"/>
          <w:spacing w:val="6"/>
          <w:sz w:val="24"/>
          <w:szCs w:val="24"/>
          <w:u w:val="single"/>
        </w:rPr>
        <w:t xml:space="preserve">  （项目名称）   </w:t>
      </w:r>
      <w:r>
        <w:rPr>
          <w:rFonts w:hint="eastAsia" w:ascii="宋体" w:hAnsi="宋体"/>
          <w:color w:val="000000"/>
          <w:spacing w:val="6"/>
          <w:sz w:val="24"/>
          <w:szCs w:val="24"/>
        </w:rPr>
        <w:t>采购活动，服务</w:t>
      </w:r>
    </w:p>
    <w:p w14:paraId="38CEE47D">
      <w:pPr>
        <w:pStyle w:val="143"/>
        <w:spacing w:line="360" w:lineRule="auto"/>
        <w:ind w:right="-97"/>
        <w:rPr>
          <w:rFonts w:hint="eastAsia" w:ascii="宋体" w:hAnsi="宋体"/>
          <w:b/>
          <w:bCs/>
          <w:color w:val="000000"/>
          <w:sz w:val="24"/>
          <w:szCs w:val="24"/>
        </w:rPr>
      </w:pPr>
      <w:r>
        <w:rPr>
          <w:rFonts w:hint="eastAsia" w:ascii="宋体" w:hAnsi="宋体"/>
          <w:color w:val="000000"/>
          <w:spacing w:val="6"/>
          <w:sz w:val="24"/>
          <w:szCs w:val="24"/>
        </w:rPr>
        <w:t>全部由符合政策要求的中小企业承接。相关企业的具体情况如下：</w:t>
      </w:r>
    </w:p>
    <w:p w14:paraId="5F97B96C">
      <w:pPr>
        <w:pStyle w:val="143"/>
        <w:numPr>
          <w:ilvl w:val="0"/>
          <w:numId w:val="6"/>
        </w:numPr>
        <w:spacing w:line="360" w:lineRule="auto"/>
        <w:ind w:right="-97" w:firstLine="493" w:firstLineChars="196"/>
        <w:rPr>
          <w:rFonts w:hint="eastAsia" w:ascii="宋体" w:hAnsi="宋体"/>
          <w:color w:val="000000"/>
          <w:spacing w:val="6"/>
          <w:sz w:val="24"/>
          <w:szCs w:val="24"/>
        </w:rPr>
      </w:pPr>
      <w:r>
        <w:rPr>
          <w:rFonts w:hint="eastAsia" w:ascii="宋体" w:hAnsi="宋体"/>
          <w:color w:val="000000"/>
          <w:spacing w:val="6"/>
          <w:sz w:val="24"/>
          <w:szCs w:val="24"/>
          <w:u w:val="single"/>
        </w:rPr>
        <w:t xml:space="preserve">   （标的名称）   </w:t>
      </w:r>
      <w:r>
        <w:rPr>
          <w:rFonts w:hint="eastAsia" w:ascii="宋体" w:hAnsi="宋体"/>
          <w:color w:val="000000"/>
          <w:spacing w:val="6"/>
          <w:sz w:val="24"/>
          <w:szCs w:val="24"/>
        </w:rPr>
        <w:t>，属于</w:t>
      </w:r>
      <w:r>
        <w:rPr>
          <w:rFonts w:hint="eastAsia" w:ascii="宋体" w:hAnsi="宋体"/>
          <w:color w:val="000000"/>
          <w:spacing w:val="6"/>
          <w:sz w:val="24"/>
          <w:szCs w:val="24"/>
          <w:u w:val="single"/>
        </w:rPr>
        <w:t xml:space="preserve"> （采购文件中明确的所属行业）  </w:t>
      </w:r>
      <w:r>
        <w:rPr>
          <w:rFonts w:hint="eastAsia" w:ascii="宋体" w:hAnsi="宋体"/>
          <w:color w:val="000000"/>
          <w:spacing w:val="6"/>
          <w:sz w:val="24"/>
          <w:szCs w:val="24"/>
        </w:rPr>
        <w:t>，承接企业为</w:t>
      </w:r>
      <w:r>
        <w:rPr>
          <w:rFonts w:hint="eastAsia" w:ascii="宋体" w:hAnsi="宋体"/>
          <w:color w:val="000000"/>
          <w:spacing w:val="6"/>
          <w:sz w:val="24"/>
          <w:szCs w:val="24"/>
          <w:u w:val="single"/>
        </w:rPr>
        <w:t xml:space="preserve">   （企业名称）  </w:t>
      </w:r>
      <w:r>
        <w:rPr>
          <w:rFonts w:hint="eastAsia" w:ascii="宋体" w:hAnsi="宋体"/>
          <w:color w:val="000000"/>
          <w:spacing w:val="6"/>
          <w:sz w:val="24"/>
          <w:szCs w:val="24"/>
        </w:rPr>
        <w:t>，从业人员</w:t>
      </w:r>
      <w:r>
        <w:rPr>
          <w:rFonts w:hint="eastAsia" w:ascii="宋体" w:hAnsi="宋体"/>
          <w:color w:val="000000"/>
          <w:spacing w:val="6"/>
          <w:sz w:val="24"/>
          <w:szCs w:val="24"/>
          <w:u w:val="single"/>
        </w:rPr>
        <w:t xml:space="preserve">     </w:t>
      </w:r>
      <w:r>
        <w:rPr>
          <w:rFonts w:hint="eastAsia" w:ascii="宋体" w:hAnsi="宋体"/>
          <w:color w:val="000000"/>
          <w:spacing w:val="6"/>
          <w:sz w:val="24"/>
          <w:szCs w:val="24"/>
        </w:rPr>
        <w:t>人，营业收入为</w:t>
      </w:r>
      <w:r>
        <w:rPr>
          <w:rFonts w:hint="eastAsia" w:ascii="宋体" w:hAnsi="宋体"/>
          <w:color w:val="000000"/>
          <w:spacing w:val="6"/>
          <w:sz w:val="24"/>
          <w:szCs w:val="24"/>
          <w:u w:val="single"/>
        </w:rPr>
        <w:t xml:space="preserve">        </w:t>
      </w:r>
      <w:r>
        <w:rPr>
          <w:rFonts w:hint="eastAsia" w:ascii="宋体" w:hAnsi="宋体"/>
          <w:color w:val="000000"/>
          <w:spacing w:val="6"/>
          <w:sz w:val="24"/>
          <w:szCs w:val="24"/>
        </w:rPr>
        <w:t>万元，资产总额为</w:t>
      </w:r>
      <w:r>
        <w:rPr>
          <w:rFonts w:hint="eastAsia" w:ascii="宋体" w:hAnsi="宋体"/>
          <w:color w:val="000000"/>
          <w:spacing w:val="6"/>
          <w:sz w:val="24"/>
          <w:szCs w:val="24"/>
          <w:u w:val="single"/>
        </w:rPr>
        <w:t xml:space="preserve">       </w:t>
      </w:r>
      <w:r>
        <w:rPr>
          <w:rFonts w:hint="eastAsia" w:ascii="宋体" w:hAnsi="宋体"/>
          <w:color w:val="000000"/>
          <w:spacing w:val="6"/>
          <w:sz w:val="24"/>
          <w:szCs w:val="24"/>
        </w:rPr>
        <w:t>万元，属于</w:t>
      </w:r>
      <w:r>
        <w:rPr>
          <w:rFonts w:hint="eastAsia" w:ascii="宋体" w:hAnsi="宋体"/>
          <w:color w:val="000000"/>
          <w:spacing w:val="6"/>
          <w:sz w:val="24"/>
          <w:szCs w:val="24"/>
          <w:u w:val="single"/>
        </w:rPr>
        <w:t xml:space="preserve"> （中型企业、小型企业、微型企业）  </w:t>
      </w:r>
      <w:r>
        <w:rPr>
          <w:rFonts w:hint="eastAsia" w:ascii="宋体" w:hAnsi="宋体"/>
          <w:color w:val="000000"/>
          <w:spacing w:val="6"/>
          <w:sz w:val="24"/>
          <w:szCs w:val="24"/>
        </w:rPr>
        <w:t xml:space="preserve">； </w:t>
      </w:r>
    </w:p>
    <w:p w14:paraId="5320129D">
      <w:pPr>
        <w:pStyle w:val="143"/>
        <w:spacing w:line="360" w:lineRule="auto"/>
        <w:ind w:right="-97"/>
        <w:rPr>
          <w:rFonts w:hint="eastAsia" w:ascii="宋体" w:hAnsi="宋体"/>
          <w:color w:val="000000"/>
          <w:spacing w:val="6"/>
          <w:sz w:val="24"/>
          <w:szCs w:val="24"/>
        </w:rPr>
      </w:pPr>
      <w:r>
        <w:rPr>
          <w:rFonts w:hint="eastAsia" w:ascii="宋体" w:hAnsi="宋体"/>
          <w:color w:val="000000"/>
          <w:spacing w:val="6"/>
          <w:sz w:val="24"/>
          <w:szCs w:val="24"/>
        </w:rPr>
        <w:t xml:space="preserve">   ........</w:t>
      </w:r>
    </w:p>
    <w:p w14:paraId="184EE377">
      <w:pPr>
        <w:pStyle w:val="143"/>
        <w:spacing w:line="360" w:lineRule="auto"/>
        <w:ind w:right="-97" w:firstLine="504" w:firstLineChars="200"/>
        <w:rPr>
          <w:rFonts w:hint="eastAsia" w:ascii="宋体" w:hAnsi="宋体"/>
          <w:color w:val="000000"/>
          <w:spacing w:val="6"/>
          <w:sz w:val="24"/>
          <w:szCs w:val="24"/>
        </w:rPr>
      </w:pPr>
      <w:r>
        <w:rPr>
          <w:rFonts w:hint="eastAsia" w:ascii="宋体" w:hAnsi="宋体"/>
          <w:color w:val="000000"/>
          <w:spacing w:val="6"/>
          <w:sz w:val="24"/>
          <w:szCs w:val="24"/>
        </w:rPr>
        <w:t>本企业对上述声明内容的真实性负责。如有虚假，将依法承担相应责任。</w:t>
      </w:r>
    </w:p>
    <w:p w14:paraId="0EE33B5B">
      <w:pPr>
        <w:pStyle w:val="143"/>
        <w:spacing w:line="360" w:lineRule="auto"/>
        <w:ind w:right="-97"/>
        <w:rPr>
          <w:rFonts w:hint="eastAsia" w:ascii="宋体" w:hAnsi="宋体"/>
          <w:color w:val="000000"/>
          <w:spacing w:val="6"/>
          <w:sz w:val="24"/>
          <w:szCs w:val="24"/>
        </w:rPr>
      </w:pPr>
      <w:r>
        <w:rPr>
          <w:rFonts w:hint="eastAsia" w:ascii="宋体" w:hAnsi="宋体"/>
          <w:color w:val="000000"/>
          <w:spacing w:val="6"/>
          <w:sz w:val="24"/>
          <w:szCs w:val="24"/>
        </w:rPr>
        <w:t>注：</w:t>
      </w:r>
    </w:p>
    <w:p w14:paraId="32DE9703">
      <w:pPr>
        <w:pStyle w:val="143"/>
        <w:spacing w:line="360" w:lineRule="auto"/>
        <w:ind w:right="-97" w:firstLine="252" w:firstLineChars="100"/>
        <w:rPr>
          <w:rFonts w:hint="eastAsia" w:ascii="宋体" w:hAnsi="宋体"/>
          <w:color w:val="000000"/>
          <w:spacing w:val="6"/>
          <w:sz w:val="24"/>
          <w:szCs w:val="24"/>
        </w:rPr>
      </w:pPr>
      <w:r>
        <w:rPr>
          <w:rFonts w:hint="eastAsia" w:ascii="宋体" w:hAnsi="宋体"/>
          <w:color w:val="000000"/>
          <w:spacing w:val="6"/>
          <w:sz w:val="24"/>
          <w:szCs w:val="24"/>
        </w:rPr>
        <w:t>1、以上提及的企业，不属于大企业的分支机构，不存在控股股东为大企业的情形，也不存在与大企业的负责人为同一人的情形。</w:t>
      </w:r>
    </w:p>
    <w:p w14:paraId="3816479A">
      <w:pPr>
        <w:pStyle w:val="143"/>
        <w:spacing w:line="360" w:lineRule="auto"/>
        <w:ind w:right="-97" w:firstLine="252" w:firstLineChars="100"/>
        <w:rPr>
          <w:rFonts w:hint="eastAsia" w:ascii="宋体" w:hAnsi="宋体"/>
          <w:spacing w:val="-2"/>
          <w:sz w:val="24"/>
        </w:rPr>
      </w:pPr>
      <w:r>
        <w:rPr>
          <w:rFonts w:hint="eastAsia" w:ascii="宋体" w:hAnsi="宋体"/>
          <w:color w:val="000000"/>
          <w:spacing w:val="6"/>
          <w:sz w:val="24"/>
          <w:szCs w:val="24"/>
        </w:rPr>
        <w:t>2、标的名称指所投货物、产品、服务的名称。</w:t>
      </w:r>
      <w:r>
        <w:rPr>
          <w:rFonts w:hint="eastAsia" w:ascii="宋体" w:hAnsi="宋体"/>
          <w:spacing w:val="-2"/>
          <w:sz w:val="24"/>
        </w:rPr>
        <w:t>。</w:t>
      </w:r>
    </w:p>
    <w:p w14:paraId="6362C5B9">
      <w:pPr>
        <w:pStyle w:val="44"/>
        <w:spacing w:before="35" w:line="316" w:lineRule="auto"/>
        <w:ind w:right="2166" w:firstLine="4012" w:firstLineChars="1700"/>
        <w:rPr>
          <w:rFonts w:hint="eastAsia" w:ascii="宋体" w:hAnsi="宋体" w:cs="宋体"/>
          <w:spacing w:val="-2"/>
          <w:sz w:val="24"/>
        </w:rPr>
      </w:pPr>
    </w:p>
    <w:p w14:paraId="79F2A4F8">
      <w:pPr>
        <w:pStyle w:val="81"/>
        <w:spacing w:line="360" w:lineRule="auto"/>
        <w:ind w:firstLine="420"/>
        <w:jc w:val="left"/>
        <w:rPr>
          <w:rFonts w:hint="eastAsia" w:ascii="宋体" w:hAnsi="宋体" w:cs="宋体"/>
          <w:sz w:val="24"/>
          <w:szCs w:val="24"/>
          <w:u w:val="single"/>
        </w:rPr>
      </w:pPr>
      <w:bookmarkStart w:id="525" w:name="_Toc25422"/>
      <w:bookmarkStart w:id="526" w:name="_Toc8660"/>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供应商（电子签章）：</w:t>
      </w:r>
    </w:p>
    <w:p w14:paraId="13D5418F">
      <w:pPr>
        <w:pStyle w:val="81"/>
        <w:spacing w:line="360" w:lineRule="auto"/>
        <w:ind w:firstLine="420"/>
        <w:jc w:val="left"/>
        <w:rPr>
          <w:rFonts w:hint="eastAsia" w:ascii="宋体" w:hAnsi="宋体" w:cs="宋体"/>
          <w:sz w:val="24"/>
          <w:szCs w:val="24"/>
        </w:rPr>
      </w:pPr>
      <w:r>
        <w:rPr>
          <w:rFonts w:hint="eastAsia" w:ascii="宋体" w:hAnsi="宋体" w:cs="宋体"/>
          <w:sz w:val="24"/>
          <w:szCs w:val="24"/>
        </w:rPr>
        <w:t xml:space="preserve">  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347CD5C6">
      <w:pPr>
        <w:pStyle w:val="147"/>
        <w:spacing w:line="500" w:lineRule="exact"/>
        <w:ind w:firstLine="4080" w:firstLineChars="1700"/>
        <w:rPr>
          <w:rFonts w:hint="eastAsia" w:ascii="宋体" w:hAnsi="宋体" w:cs="宋体"/>
          <w:sz w:val="24"/>
          <w:szCs w:val="24"/>
          <w:lang w:eastAsia="zh-CN"/>
        </w:rPr>
      </w:pPr>
    </w:p>
    <w:p w14:paraId="56D524D3">
      <w:pPr>
        <w:bidi w:val="0"/>
        <w:ind w:firstLine="504" w:firstLineChars="200"/>
        <w:rPr>
          <w:rFonts w:hint="eastAsia" w:ascii="宋体" w:hAnsi="宋体" w:eastAsia="宋体" w:cs="宋体"/>
          <w:bCs/>
          <w:sz w:val="24"/>
          <w:lang w:val="en-US" w:eastAsia="zh-CN"/>
        </w:rPr>
      </w:pPr>
      <w:bookmarkStart w:id="527" w:name="_Toc106276287"/>
      <w:r>
        <w:rPr>
          <w:rFonts w:hint="eastAsia" w:ascii="宋体" w:hAnsi="宋体" w:eastAsia="宋体" w:cs="宋体"/>
          <w:color w:val="000000"/>
          <w:spacing w:val="6"/>
          <w:kern w:val="2"/>
          <w:sz w:val="24"/>
          <w:szCs w:val="24"/>
          <w:lang w:val="en-US" w:eastAsia="zh-CN" w:bidi="ar-SA"/>
        </w:rPr>
        <w:t>从业人员、营业收入、资产总额填报上一年度数据，无上一年度数据的新成立企业可不填报。</w:t>
      </w:r>
      <w:bookmarkEnd w:id="527"/>
      <w:r>
        <w:rPr>
          <w:rFonts w:hint="eastAsia" w:ascii="宋体" w:hAnsi="宋体" w:eastAsia="宋体" w:cs="宋体"/>
          <w:color w:val="000000"/>
          <w:spacing w:val="6"/>
          <w:kern w:val="2"/>
          <w:sz w:val="24"/>
          <w:szCs w:val="24"/>
          <w:lang w:val="en-US" w:eastAsia="zh-CN" w:bidi="ar-SA"/>
        </w:rPr>
        <w:t xml:space="preserve"> </w:t>
      </w:r>
    </w:p>
    <w:p w14:paraId="3C0E9E20">
      <w:pPr>
        <w:bidi w:val="0"/>
        <w:ind w:firstLine="506" w:firstLineChars="200"/>
        <w:rPr>
          <w:rFonts w:hint="eastAsia" w:ascii="宋体" w:hAnsi="宋体" w:eastAsia="宋体" w:cs="宋体"/>
          <w:b/>
          <w:bCs/>
          <w:color w:val="000000"/>
          <w:spacing w:val="6"/>
          <w:kern w:val="2"/>
          <w:sz w:val="24"/>
          <w:szCs w:val="24"/>
          <w:lang w:val="en-US" w:eastAsia="zh-CN" w:bidi="ar-SA"/>
        </w:rPr>
      </w:pPr>
      <w:bookmarkStart w:id="528" w:name="_Toc106276288"/>
      <w:r>
        <w:rPr>
          <w:rFonts w:hint="eastAsia" w:ascii="宋体" w:hAnsi="宋体" w:eastAsia="宋体" w:cs="宋体"/>
          <w:b/>
          <w:bCs/>
          <w:color w:val="000000"/>
          <w:spacing w:val="6"/>
          <w:kern w:val="2"/>
          <w:sz w:val="24"/>
          <w:szCs w:val="24"/>
          <w:lang w:val="en-US" w:eastAsia="zh-CN" w:bidi="ar-SA"/>
        </w:rPr>
        <w:t>注：</w:t>
      </w:r>
      <w:bookmarkEnd w:id="528"/>
    </w:p>
    <w:p w14:paraId="217A26C1">
      <w:pPr>
        <w:bidi w:val="0"/>
        <w:ind w:firstLine="506" w:firstLineChars="200"/>
        <w:rPr>
          <w:rFonts w:hint="eastAsia" w:ascii="宋体" w:hAnsi="宋体" w:eastAsia="宋体" w:cs="宋体"/>
          <w:b/>
          <w:bCs/>
          <w:color w:val="000000"/>
          <w:spacing w:val="6"/>
          <w:kern w:val="2"/>
          <w:sz w:val="24"/>
          <w:szCs w:val="24"/>
          <w:lang w:val="en-US" w:eastAsia="zh-CN" w:bidi="ar-SA"/>
        </w:rPr>
      </w:pPr>
      <w:bookmarkStart w:id="529" w:name="_Toc106276289"/>
      <w:r>
        <w:rPr>
          <w:rFonts w:hint="eastAsia" w:ascii="宋体" w:hAnsi="宋体" w:eastAsia="宋体" w:cs="宋体"/>
          <w:b/>
          <w:bCs/>
          <w:color w:val="000000"/>
          <w:spacing w:val="6"/>
          <w:kern w:val="2"/>
          <w:sz w:val="24"/>
          <w:szCs w:val="24"/>
          <w:lang w:val="en-US" w:eastAsia="zh-CN" w:bidi="ar-SA"/>
        </w:rPr>
        <w:t>1、所有潜在投标供应商在做出以上声明前，需根据《关于印发中小企业划型标准规定的通知》、《政府采购促进中小企业发展管理办法》的相应内容，确定自身是否可以享受中小企业政策。如可以享受中小企业政策的供应商，按照如上声明函的内容如实填写，若不满足中小企业政策的供应商，请不要填写。</w:t>
      </w:r>
      <w:bookmarkEnd w:id="529"/>
    </w:p>
    <w:p w14:paraId="5C76A989">
      <w:pPr>
        <w:bidi w:val="0"/>
        <w:ind w:firstLine="506" w:firstLineChars="200"/>
        <w:rPr>
          <w:rFonts w:hint="eastAsia" w:ascii="宋体" w:hAnsi="宋体" w:eastAsia="宋体" w:cs="宋体"/>
          <w:b/>
          <w:bCs/>
          <w:color w:val="000000"/>
          <w:spacing w:val="6"/>
          <w:kern w:val="2"/>
          <w:sz w:val="24"/>
          <w:szCs w:val="24"/>
          <w:lang w:val="en-US" w:eastAsia="zh-CN" w:bidi="ar-SA"/>
        </w:rPr>
      </w:pPr>
      <w:bookmarkStart w:id="530" w:name="_Toc106276290"/>
      <w:r>
        <w:rPr>
          <w:rFonts w:hint="eastAsia" w:ascii="宋体" w:hAnsi="宋体" w:eastAsia="宋体" w:cs="宋体"/>
          <w:b/>
          <w:bCs/>
          <w:color w:val="000000"/>
          <w:spacing w:val="6"/>
          <w:kern w:val="2"/>
          <w:sz w:val="24"/>
          <w:szCs w:val="24"/>
          <w:lang w:val="en-US" w:eastAsia="zh-CN" w:bidi="ar-SA"/>
        </w:rPr>
        <w:t>2、如存在虚假声明或未按实际内容填写，供应商需承担由此产生的一切后果及相应的法律责任。</w:t>
      </w:r>
      <w:bookmarkEnd w:id="530"/>
    </w:p>
    <w:p w14:paraId="147396B6">
      <w:pPr>
        <w:bidi w:val="0"/>
        <w:ind w:firstLine="506" w:firstLineChars="200"/>
        <w:rPr>
          <w:rFonts w:hint="eastAsia" w:ascii="宋体" w:hAnsi="宋体" w:eastAsia="宋体" w:cs="宋体"/>
          <w:b/>
          <w:bCs/>
          <w:color w:val="000000"/>
          <w:spacing w:val="6"/>
          <w:kern w:val="2"/>
          <w:sz w:val="24"/>
          <w:szCs w:val="24"/>
          <w:lang w:val="en-US" w:eastAsia="zh-CN" w:bidi="ar-SA"/>
        </w:rPr>
      </w:pPr>
      <w:bookmarkStart w:id="531" w:name="_Toc106276291"/>
      <w:r>
        <w:rPr>
          <w:rFonts w:hint="eastAsia" w:ascii="宋体" w:hAnsi="宋体" w:eastAsia="宋体" w:cs="宋体"/>
          <w:b/>
          <w:bCs/>
          <w:color w:val="000000"/>
          <w:spacing w:val="6"/>
          <w:kern w:val="2"/>
          <w:sz w:val="24"/>
          <w:szCs w:val="24"/>
          <w:lang w:val="en-US" w:eastAsia="zh-CN" w:bidi="ar-SA"/>
        </w:rPr>
        <w:t>3、后附中小企业划型标准的部分内容。详细内容请在中国政府采购网上查询获取。</w:t>
      </w:r>
      <w:bookmarkEnd w:id="531"/>
    </w:p>
    <w:p w14:paraId="750C64E1">
      <w:pPr>
        <w:pStyle w:val="29"/>
        <w:rPr>
          <w:rFonts w:hint="eastAsia" w:ascii="宋体" w:hAnsi="宋体" w:eastAsia="宋体" w:cs="宋体"/>
          <w:b/>
          <w:bCs/>
          <w:color w:val="000000"/>
          <w:spacing w:val="6"/>
          <w:kern w:val="2"/>
          <w:sz w:val="24"/>
          <w:szCs w:val="24"/>
          <w:lang w:val="en-US" w:eastAsia="zh-CN" w:bidi="ar-SA"/>
        </w:rPr>
      </w:pPr>
    </w:p>
    <w:p w14:paraId="7C32F84C">
      <w:pPr>
        <w:pStyle w:val="29"/>
        <w:rPr>
          <w:rFonts w:hint="eastAsia" w:ascii="宋体" w:hAnsi="宋体" w:eastAsia="宋体" w:cs="宋体"/>
          <w:b/>
          <w:bCs/>
          <w:color w:val="000000"/>
          <w:spacing w:val="6"/>
          <w:kern w:val="2"/>
          <w:sz w:val="24"/>
          <w:szCs w:val="24"/>
          <w:lang w:val="en-US" w:eastAsia="zh-CN" w:bidi="ar-SA"/>
        </w:rPr>
      </w:pPr>
    </w:p>
    <w:p w14:paraId="2A7F8FD4">
      <w:pPr>
        <w:pStyle w:val="29"/>
        <w:rPr>
          <w:rFonts w:hint="eastAsia" w:ascii="宋体" w:hAnsi="宋体" w:eastAsia="宋体" w:cs="宋体"/>
          <w:b/>
          <w:bCs/>
          <w:color w:val="000000"/>
          <w:spacing w:val="6"/>
          <w:kern w:val="2"/>
          <w:sz w:val="24"/>
          <w:szCs w:val="24"/>
          <w:lang w:val="en-US" w:eastAsia="zh-CN" w:bidi="ar-SA"/>
        </w:rPr>
      </w:pPr>
    </w:p>
    <w:p w14:paraId="2E737AB2">
      <w:pPr>
        <w:pStyle w:val="29"/>
        <w:rPr>
          <w:rFonts w:hint="eastAsia" w:ascii="宋体" w:hAnsi="宋体" w:eastAsia="宋体" w:cs="宋体"/>
          <w:b/>
          <w:bCs/>
          <w:color w:val="000000"/>
          <w:spacing w:val="6"/>
          <w:kern w:val="2"/>
          <w:sz w:val="24"/>
          <w:szCs w:val="24"/>
          <w:lang w:val="en-US" w:eastAsia="zh-CN" w:bidi="ar-SA"/>
        </w:rPr>
      </w:pPr>
    </w:p>
    <w:p w14:paraId="4A4EF95B">
      <w:pPr>
        <w:spacing w:line="560" w:lineRule="exact"/>
        <w:rPr>
          <w:rFonts w:ascii="Times New Roman" w:hAnsi="Times New Roman"/>
          <w:b/>
          <w:bCs/>
          <w:sz w:val="24"/>
          <w:szCs w:val="24"/>
        </w:rPr>
      </w:pPr>
      <w:r>
        <w:rPr>
          <w:rFonts w:ascii="Times New Roman" w:hAnsi="Times New Roman"/>
          <w:b/>
          <w:bCs/>
          <w:sz w:val="24"/>
          <w:szCs w:val="24"/>
        </w:rPr>
        <w:t>附</w:t>
      </w:r>
      <w:r>
        <w:rPr>
          <w:rFonts w:hint="eastAsia" w:ascii="Times New Roman" w:hAnsi="Times New Roman"/>
          <w:b/>
          <w:bCs/>
          <w:sz w:val="24"/>
          <w:szCs w:val="24"/>
        </w:rPr>
        <w:t>表</w:t>
      </w:r>
      <w:r>
        <w:rPr>
          <w:rFonts w:ascii="Times New Roman" w:hAnsi="Times New Roman"/>
          <w:b/>
          <w:bCs/>
          <w:sz w:val="24"/>
          <w:szCs w:val="24"/>
        </w:rPr>
        <w:t>：</w:t>
      </w:r>
      <w:r>
        <w:rPr>
          <w:rFonts w:hint="eastAsia" w:ascii="Times New Roman" w:hAnsi="Times New Roman"/>
          <w:b/>
          <w:bCs/>
          <w:sz w:val="24"/>
          <w:szCs w:val="24"/>
        </w:rPr>
        <w:t>大中小微型企业划分标准</w:t>
      </w:r>
    </w:p>
    <w:tbl>
      <w:tblPr>
        <w:tblStyle w:val="46"/>
        <w:tblW w:w="9764" w:type="dxa"/>
        <w:jc w:val="center"/>
        <w:tblLayout w:type="fixed"/>
        <w:tblCellMar>
          <w:top w:w="0" w:type="dxa"/>
          <w:left w:w="108" w:type="dxa"/>
          <w:bottom w:w="0" w:type="dxa"/>
          <w:right w:w="108" w:type="dxa"/>
        </w:tblCellMar>
      </w:tblPr>
      <w:tblGrid>
        <w:gridCol w:w="2023"/>
        <w:gridCol w:w="1369"/>
        <w:gridCol w:w="709"/>
        <w:gridCol w:w="1125"/>
        <w:gridCol w:w="1828"/>
        <w:gridCol w:w="1588"/>
        <w:gridCol w:w="1122"/>
      </w:tblGrid>
      <w:tr w14:paraId="7A7A9C8C">
        <w:tblPrEx>
          <w:tblCellMar>
            <w:top w:w="0" w:type="dxa"/>
            <w:left w:w="108" w:type="dxa"/>
            <w:bottom w:w="0" w:type="dxa"/>
            <w:right w:w="108" w:type="dxa"/>
          </w:tblCellMar>
        </w:tblPrEx>
        <w:trPr>
          <w:trHeight w:val="622" w:hRule="exact"/>
          <w:jc w:val="center"/>
        </w:trPr>
        <w:tc>
          <w:tcPr>
            <w:tcW w:w="2023" w:type="dxa"/>
            <w:tcBorders>
              <w:top w:val="single" w:color="auto" w:sz="4" w:space="0"/>
              <w:left w:val="nil"/>
              <w:bottom w:val="single" w:color="auto" w:sz="4" w:space="0"/>
              <w:right w:val="single" w:color="auto" w:sz="4" w:space="0"/>
            </w:tcBorders>
            <w:noWrap/>
            <w:vAlign w:val="center"/>
          </w:tcPr>
          <w:p w14:paraId="0CB3876B">
            <w:pPr>
              <w:widowControl/>
              <w:spacing w:line="240" w:lineRule="exact"/>
              <w:jc w:val="center"/>
              <w:rPr>
                <w:rFonts w:ascii="Times New Roman" w:hAnsi="Times New Roman"/>
                <w:b/>
                <w:bCs/>
                <w:kern w:val="0"/>
                <w:sz w:val="20"/>
              </w:rPr>
            </w:pPr>
            <w:r>
              <w:rPr>
                <w:rFonts w:ascii="Times New Roman" w:hAnsi="Times New Roman"/>
                <w:b/>
                <w:bCs/>
                <w:kern w:val="0"/>
                <w:sz w:val="20"/>
              </w:rPr>
              <w:t>行业名称</w:t>
            </w:r>
          </w:p>
        </w:tc>
        <w:tc>
          <w:tcPr>
            <w:tcW w:w="1369" w:type="dxa"/>
            <w:tcBorders>
              <w:top w:val="single" w:color="auto" w:sz="4" w:space="0"/>
              <w:left w:val="nil"/>
              <w:bottom w:val="single" w:color="auto" w:sz="4" w:space="0"/>
              <w:right w:val="single" w:color="auto" w:sz="4" w:space="0"/>
            </w:tcBorders>
            <w:noWrap/>
            <w:vAlign w:val="center"/>
          </w:tcPr>
          <w:p w14:paraId="602786F8">
            <w:pPr>
              <w:widowControl/>
              <w:jc w:val="center"/>
              <w:rPr>
                <w:rFonts w:ascii="Times New Roman" w:hAnsi="Times New Roman"/>
                <w:b/>
                <w:bCs/>
                <w:kern w:val="0"/>
                <w:sz w:val="20"/>
                <w:szCs w:val="20"/>
              </w:rPr>
            </w:pPr>
            <w:r>
              <w:rPr>
                <w:rFonts w:ascii="Times New Roman" w:hAnsi="Times New Roman"/>
                <w:b/>
                <w:bCs/>
                <w:kern w:val="0"/>
                <w:sz w:val="20"/>
                <w:szCs w:val="20"/>
              </w:rPr>
              <w:t>指标名称</w:t>
            </w:r>
          </w:p>
        </w:tc>
        <w:tc>
          <w:tcPr>
            <w:tcW w:w="709" w:type="dxa"/>
            <w:tcBorders>
              <w:top w:val="single" w:color="auto" w:sz="4" w:space="0"/>
              <w:left w:val="nil"/>
              <w:bottom w:val="single" w:color="auto" w:sz="4" w:space="0"/>
              <w:right w:val="single" w:color="auto" w:sz="4" w:space="0"/>
            </w:tcBorders>
            <w:noWrap/>
            <w:vAlign w:val="center"/>
          </w:tcPr>
          <w:p w14:paraId="09E633C1">
            <w:pPr>
              <w:widowControl/>
              <w:jc w:val="center"/>
              <w:rPr>
                <w:rFonts w:hint="eastAsia" w:ascii="Times New Roman" w:hAnsi="Times New Roman" w:eastAsia="宋体"/>
                <w:b/>
                <w:bCs/>
                <w:kern w:val="0"/>
                <w:sz w:val="20"/>
                <w:szCs w:val="20"/>
                <w:lang w:eastAsia="zh-CN"/>
              </w:rPr>
            </w:pPr>
            <w:r>
              <w:rPr>
                <w:rFonts w:ascii="Times New Roman" w:hAnsi="Times New Roman"/>
                <w:b/>
                <w:bCs/>
                <w:kern w:val="0"/>
                <w:sz w:val="20"/>
                <w:szCs w:val="20"/>
              </w:rPr>
              <w:t>计量</w:t>
            </w:r>
          </w:p>
          <w:p w14:paraId="5EBADC30">
            <w:pPr>
              <w:widowControl/>
              <w:jc w:val="center"/>
              <w:rPr>
                <w:rFonts w:ascii="Times New Roman" w:hAnsi="Times New Roman"/>
                <w:b/>
                <w:bCs/>
                <w:kern w:val="0"/>
                <w:sz w:val="20"/>
                <w:szCs w:val="20"/>
              </w:rPr>
            </w:pPr>
            <w:r>
              <w:rPr>
                <w:rFonts w:ascii="Times New Roman" w:hAnsi="Times New Roman"/>
                <w:b/>
                <w:bCs/>
                <w:kern w:val="0"/>
                <w:sz w:val="20"/>
                <w:szCs w:val="20"/>
              </w:rPr>
              <w:t>单位</w:t>
            </w:r>
          </w:p>
        </w:tc>
        <w:tc>
          <w:tcPr>
            <w:tcW w:w="1125" w:type="dxa"/>
            <w:tcBorders>
              <w:top w:val="single" w:color="auto" w:sz="4" w:space="0"/>
              <w:left w:val="nil"/>
              <w:bottom w:val="single" w:color="auto" w:sz="4" w:space="0"/>
              <w:right w:val="single" w:color="auto" w:sz="4" w:space="0"/>
            </w:tcBorders>
            <w:noWrap/>
            <w:vAlign w:val="center"/>
          </w:tcPr>
          <w:p w14:paraId="5268CCBA">
            <w:pPr>
              <w:widowControl/>
              <w:jc w:val="center"/>
              <w:rPr>
                <w:rFonts w:ascii="Times New Roman" w:hAnsi="Times New Roman"/>
                <w:b/>
                <w:bCs/>
                <w:kern w:val="0"/>
                <w:sz w:val="20"/>
                <w:szCs w:val="20"/>
              </w:rPr>
            </w:pPr>
            <w:r>
              <w:rPr>
                <w:rFonts w:ascii="Times New Roman" w:hAnsi="Times New Roman"/>
                <w:b/>
                <w:bCs/>
                <w:kern w:val="0"/>
                <w:sz w:val="20"/>
                <w:szCs w:val="20"/>
              </w:rPr>
              <w:t>大型</w:t>
            </w:r>
          </w:p>
        </w:tc>
        <w:tc>
          <w:tcPr>
            <w:tcW w:w="1828" w:type="dxa"/>
            <w:tcBorders>
              <w:top w:val="single" w:color="auto" w:sz="4" w:space="0"/>
              <w:left w:val="nil"/>
              <w:bottom w:val="single" w:color="auto" w:sz="4" w:space="0"/>
              <w:right w:val="single" w:color="auto" w:sz="4" w:space="0"/>
            </w:tcBorders>
            <w:noWrap/>
            <w:vAlign w:val="center"/>
          </w:tcPr>
          <w:p w14:paraId="3CCB4886">
            <w:pPr>
              <w:widowControl/>
              <w:jc w:val="center"/>
              <w:rPr>
                <w:rFonts w:ascii="Times New Roman" w:hAnsi="Times New Roman"/>
                <w:b/>
                <w:bCs/>
                <w:kern w:val="0"/>
                <w:sz w:val="20"/>
                <w:szCs w:val="20"/>
              </w:rPr>
            </w:pPr>
            <w:r>
              <w:rPr>
                <w:rFonts w:ascii="Times New Roman" w:hAnsi="Times New Roman"/>
                <w:b/>
                <w:bCs/>
                <w:kern w:val="0"/>
                <w:sz w:val="20"/>
                <w:szCs w:val="20"/>
              </w:rPr>
              <w:t>中型</w:t>
            </w:r>
          </w:p>
        </w:tc>
        <w:tc>
          <w:tcPr>
            <w:tcW w:w="1588" w:type="dxa"/>
            <w:tcBorders>
              <w:top w:val="single" w:color="auto" w:sz="4" w:space="0"/>
              <w:left w:val="nil"/>
              <w:bottom w:val="single" w:color="auto" w:sz="4" w:space="0"/>
              <w:right w:val="single" w:color="auto" w:sz="4" w:space="0"/>
            </w:tcBorders>
            <w:noWrap/>
            <w:vAlign w:val="center"/>
          </w:tcPr>
          <w:p w14:paraId="31E26145">
            <w:pPr>
              <w:widowControl/>
              <w:jc w:val="center"/>
              <w:rPr>
                <w:rFonts w:ascii="Times New Roman" w:hAnsi="Times New Roman"/>
                <w:b/>
                <w:bCs/>
                <w:kern w:val="0"/>
                <w:sz w:val="20"/>
                <w:szCs w:val="20"/>
              </w:rPr>
            </w:pPr>
            <w:r>
              <w:rPr>
                <w:rFonts w:ascii="Times New Roman" w:hAnsi="Times New Roman"/>
                <w:b/>
                <w:bCs/>
                <w:kern w:val="0"/>
                <w:sz w:val="20"/>
                <w:szCs w:val="20"/>
              </w:rPr>
              <w:t>小型</w:t>
            </w:r>
          </w:p>
        </w:tc>
        <w:tc>
          <w:tcPr>
            <w:tcW w:w="1122" w:type="dxa"/>
            <w:tcBorders>
              <w:top w:val="single" w:color="auto" w:sz="4" w:space="0"/>
              <w:left w:val="nil"/>
              <w:bottom w:val="single" w:color="auto" w:sz="4" w:space="0"/>
              <w:right w:val="nil"/>
            </w:tcBorders>
            <w:noWrap/>
            <w:vAlign w:val="center"/>
          </w:tcPr>
          <w:p w14:paraId="1E5A9374">
            <w:pPr>
              <w:widowControl/>
              <w:jc w:val="center"/>
              <w:rPr>
                <w:rFonts w:ascii="Times New Roman" w:hAnsi="Times New Roman"/>
                <w:b/>
                <w:bCs/>
                <w:kern w:val="0"/>
                <w:sz w:val="20"/>
                <w:szCs w:val="20"/>
              </w:rPr>
            </w:pPr>
            <w:r>
              <w:rPr>
                <w:rFonts w:ascii="Times New Roman" w:hAnsi="Times New Roman"/>
                <w:b/>
                <w:bCs/>
                <w:kern w:val="0"/>
                <w:sz w:val="20"/>
                <w:szCs w:val="20"/>
              </w:rPr>
              <w:t>微型</w:t>
            </w:r>
          </w:p>
        </w:tc>
      </w:tr>
      <w:tr w14:paraId="3DD30A70">
        <w:tblPrEx>
          <w:tblCellMar>
            <w:top w:w="0" w:type="dxa"/>
            <w:left w:w="108" w:type="dxa"/>
            <w:bottom w:w="0" w:type="dxa"/>
            <w:right w:w="108" w:type="dxa"/>
          </w:tblCellMar>
        </w:tblPrEx>
        <w:trPr>
          <w:trHeight w:val="397" w:hRule="exact"/>
          <w:jc w:val="center"/>
        </w:trPr>
        <w:tc>
          <w:tcPr>
            <w:tcW w:w="2023" w:type="dxa"/>
            <w:tcBorders>
              <w:top w:val="nil"/>
              <w:left w:val="nil"/>
              <w:bottom w:val="single" w:color="auto" w:sz="4" w:space="0"/>
              <w:right w:val="single" w:color="auto" w:sz="4" w:space="0"/>
            </w:tcBorders>
            <w:noWrap/>
            <w:vAlign w:val="center"/>
          </w:tcPr>
          <w:p w14:paraId="72A4777D">
            <w:pPr>
              <w:widowControl/>
              <w:spacing w:line="240" w:lineRule="exact"/>
              <w:jc w:val="left"/>
              <w:rPr>
                <w:rFonts w:ascii="Times New Roman" w:hAnsi="Times New Roman"/>
                <w:kern w:val="0"/>
                <w:sz w:val="20"/>
                <w:szCs w:val="20"/>
              </w:rPr>
            </w:pPr>
            <w:r>
              <w:rPr>
                <w:rFonts w:ascii="Times New Roman" w:hAnsi="Times New Roman"/>
                <w:kern w:val="0"/>
                <w:sz w:val="20"/>
                <w:szCs w:val="20"/>
              </w:rPr>
              <w:t>农、林、牧、渔业</w:t>
            </w:r>
          </w:p>
        </w:tc>
        <w:tc>
          <w:tcPr>
            <w:tcW w:w="1369" w:type="dxa"/>
            <w:tcBorders>
              <w:top w:val="nil"/>
              <w:left w:val="nil"/>
              <w:bottom w:val="single" w:color="auto" w:sz="4" w:space="0"/>
              <w:right w:val="single" w:color="auto" w:sz="4" w:space="0"/>
            </w:tcBorders>
            <w:noWrap/>
            <w:vAlign w:val="center"/>
          </w:tcPr>
          <w:p w14:paraId="37900BFF">
            <w:pPr>
              <w:widowControl/>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0B7F85E2">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531F685C">
            <w:pPr>
              <w:widowControl/>
              <w:jc w:val="center"/>
              <w:rPr>
                <w:rFonts w:ascii="Times New Roman" w:hAnsi="Times New Roman"/>
                <w:kern w:val="0"/>
                <w:sz w:val="20"/>
                <w:szCs w:val="20"/>
              </w:rPr>
            </w:pPr>
            <w:r>
              <w:rPr>
                <w:rFonts w:ascii="Times New Roman" w:hAnsi="Times New Roman"/>
                <w:kern w:val="0"/>
                <w:sz w:val="20"/>
                <w:szCs w:val="20"/>
              </w:rPr>
              <w:t>Y≥20000</w:t>
            </w:r>
          </w:p>
        </w:tc>
        <w:tc>
          <w:tcPr>
            <w:tcW w:w="1828" w:type="dxa"/>
            <w:tcBorders>
              <w:top w:val="nil"/>
              <w:left w:val="nil"/>
              <w:bottom w:val="single" w:color="auto" w:sz="4" w:space="0"/>
              <w:right w:val="single" w:color="auto" w:sz="4" w:space="0"/>
            </w:tcBorders>
            <w:noWrap/>
            <w:vAlign w:val="center"/>
          </w:tcPr>
          <w:p w14:paraId="142EE67E">
            <w:pPr>
              <w:widowControl/>
              <w:jc w:val="center"/>
              <w:rPr>
                <w:rFonts w:ascii="Times New Roman" w:hAnsi="Times New Roman"/>
                <w:kern w:val="0"/>
                <w:sz w:val="20"/>
                <w:szCs w:val="20"/>
              </w:rPr>
            </w:pPr>
            <w:r>
              <w:rPr>
                <w:rFonts w:ascii="Times New Roman" w:hAnsi="Times New Roman"/>
                <w:kern w:val="0"/>
                <w:sz w:val="20"/>
                <w:szCs w:val="20"/>
              </w:rPr>
              <w:t xml:space="preserve"> 500≤Y＜20000</w:t>
            </w:r>
          </w:p>
        </w:tc>
        <w:tc>
          <w:tcPr>
            <w:tcW w:w="1588" w:type="dxa"/>
            <w:tcBorders>
              <w:top w:val="nil"/>
              <w:left w:val="nil"/>
              <w:bottom w:val="single" w:color="auto" w:sz="4" w:space="0"/>
              <w:right w:val="single" w:color="auto" w:sz="4" w:space="0"/>
            </w:tcBorders>
            <w:noWrap/>
            <w:vAlign w:val="center"/>
          </w:tcPr>
          <w:p w14:paraId="3D72F5E4">
            <w:pPr>
              <w:widowControl/>
              <w:jc w:val="center"/>
              <w:rPr>
                <w:rFonts w:ascii="Times New Roman" w:hAnsi="Times New Roman"/>
                <w:kern w:val="0"/>
                <w:sz w:val="20"/>
                <w:szCs w:val="20"/>
              </w:rPr>
            </w:pPr>
            <w:r>
              <w:rPr>
                <w:rFonts w:ascii="Times New Roman" w:hAnsi="Times New Roman"/>
                <w:kern w:val="0"/>
                <w:sz w:val="20"/>
                <w:szCs w:val="20"/>
              </w:rPr>
              <w:t xml:space="preserve"> 50≤Y＜500</w:t>
            </w:r>
          </w:p>
        </w:tc>
        <w:tc>
          <w:tcPr>
            <w:tcW w:w="1122" w:type="dxa"/>
            <w:tcBorders>
              <w:top w:val="nil"/>
              <w:left w:val="nil"/>
              <w:bottom w:val="single" w:color="auto" w:sz="4" w:space="0"/>
              <w:right w:val="nil"/>
            </w:tcBorders>
            <w:noWrap/>
            <w:vAlign w:val="center"/>
          </w:tcPr>
          <w:p w14:paraId="17CF912D">
            <w:pPr>
              <w:widowControl/>
              <w:jc w:val="center"/>
              <w:rPr>
                <w:rFonts w:ascii="Times New Roman" w:hAnsi="Times New Roman"/>
                <w:kern w:val="0"/>
                <w:sz w:val="20"/>
                <w:szCs w:val="20"/>
              </w:rPr>
            </w:pPr>
            <w:r>
              <w:rPr>
                <w:rFonts w:ascii="Times New Roman" w:hAnsi="Times New Roman"/>
                <w:kern w:val="0"/>
                <w:sz w:val="20"/>
                <w:szCs w:val="20"/>
              </w:rPr>
              <w:t>Y＜50</w:t>
            </w:r>
          </w:p>
        </w:tc>
      </w:tr>
      <w:tr w14:paraId="04F93EF1">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7DA77E39">
            <w:pPr>
              <w:widowControl/>
              <w:spacing w:line="240" w:lineRule="exact"/>
              <w:jc w:val="left"/>
              <w:rPr>
                <w:rFonts w:ascii="Times New Roman" w:hAnsi="Times New Roman"/>
                <w:kern w:val="0"/>
                <w:sz w:val="20"/>
                <w:szCs w:val="20"/>
              </w:rPr>
            </w:pPr>
            <w:r>
              <w:rPr>
                <w:rFonts w:ascii="Times New Roman" w:hAnsi="Times New Roman"/>
                <w:kern w:val="0"/>
                <w:sz w:val="20"/>
                <w:szCs w:val="20"/>
              </w:rPr>
              <w:t>工业 *</w:t>
            </w:r>
          </w:p>
        </w:tc>
        <w:tc>
          <w:tcPr>
            <w:tcW w:w="1369" w:type="dxa"/>
            <w:tcBorders>
              <w:top w:val="nil"/>
              <w:left w:val="nil"/>
              <w:bottom w:val="nil"/>
              <w:right w:val="single" w:color="auto" w:sz="4" w:space="0"/>
            </w:tcBorders>
            <w:noWrap/>
            <w:vAlign w:val="center"/>
          </w:tcPr>
          <w:p w14:paraId="599A0706">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5FF89FE9">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66136263">
            <w:pPr>
              <w:widowControl/>
              <w:jc w:val="center"/>
              <w:rPr>
                <w:rFonts w:ascii="Times New Roman" w:hAnsi="Times New Roman"/>
                <w:kern w:val="0"/>
                <w:sz w:val="20"/>
                <w:szCs w:val="20"/>
              </w:rPr>
            </w:pPr>
            <w:r>
              <w:rPr>
                <w:rFonts w:ascii="Times New Roman" w:hAnsi="Times New Roman"/>
                <w:kern w:val="0"/>
                <w:sz w:val="20"/>
                <w:szCs w:val="20"/>
              </w:rPr>
              <w:t>X≥1000</w:t>
            </w:r>
          </w:p>
        </w:tc>
        <w:tc>
          <w:tcPr>
            <w:tcW w:w="1828" w:type="dxa"/>
            <w:tcBorders>
              <w:top w:val="nil"/>
              <w:left w:val="nil"/>
              <w:bottom w:val="nil"/>
              <w:right w:val="single" w:color="auto" w:sz="4" w:space="0"/>
            </w:tcBorders>
            <w:noWrap/>
            <w:vAlign w:val="center"/>
          </w:tcPr>
          <w:p w14:paraId="7A629E7F">
            <w:pPr>
              <w:widowControl/>
              <w:jc w:val="center"/>
              <w:rPr>
                <w:rFonts w:ascii="Times New Roman" w:hAnsi="Times New Roman"/>
                <w:kern w:val="0"/>
                <w:sz w:val="20"/>
                <w:szCs w:val="20"/>
              </w:rPr>
            </w:pPr>
            <w:r>
              <w:rPr>
                <w:rFonts w:ascii="Times New Roman" w:hAnsi="Times New Roman"/>
                <w:kern w:val="0"/>
                <w:sz w:val="20"/>
                <w:szCs w:val="20"/>
              </w:rPr>
              <w:t>300≤X＜1000</w:t>
            </w:r>
          </w:p>
        </w:tc>
        <w:tc>
          <w:tcPr>
            <w:tcW w:w="1588" w:type="dxa"/>
            <w:tcBorders>
              <w:top w:val="nil"/>
              <w:left w:val="nil"/>
              <w:bottom w:val="nil"/>
              <w:right w:val="single" w:color="auto" w:sz="4" w:space="0"/>
            </w:tcBorders>
            <w:noWrap/>
            <w:vAlign w:val="center"/>
          </w:tcPr>
          <w:p w14:paraId="64FDE1BF">
            <w:pPr>
              <w:widowControl/>
              <w:jc w:val="center"/>
              <w:rPr>
                <w:rFonts w:ascii="Times New Roman" w:hAnsi="Times New Roman"/>
                <w:kern w:val="0"/>
                <w:sz w:val="20"/>
                <w:szCs w:val="20"/>
              </w:rPr>
            </w:pPr>
            <w:r>
              <w:rPr>
                <w:rFonts w:ascii="Times New Roman" w:hAnsi="Times New Roman"/>
                <w:kern w:val="0"/>
                <w:sz w:val="20"/>
                <w:szCs w:val="20"/>
              </w:rPr>
              <w:t xml:space="preserve"> 20≤X＜300</w:t>
            </w:r>
          </w:p>
        </w:tc>
        <w:tc>
          <w:tcPr>
            <w:tcW w:w="1122" w:type="dxa"/>
            <w:tcBorders>
              <w:top w:val="nil"/>
              <w:left w:val="nil"/>
              <w:bottom w:val="nil"/>
              <w:right w:val="nil"/>
            </w:tcBorders>
            <w:noWrap/>
            <w:vAlign w:val="center"/>
          </w:tcPr>
          <w:p w14:paraId="4E7CB2B5">
            <w:pPr>
              <w:widowControl/>
              <w:jc w:val="center"/>
              <w:rPr>
                <w:rFonts w:ascii="Times New Roman" w:hAnsi="Times New Roman"/>
                <w:kern w:val="0"/>
                <w:sz w:val="20"/>
                <w:szCs w:val="20"/>
              </w:rPr>
            </w:pPr>
            <w:r>
              <w:rPr>
                <w:rFonts w:ascii="Times New Roman" w:hAnsi="Times New Roman"/>
                <w:kern w:val="0"/>
                <w:sz w:val="20"/>
                <w:szCs w:val="20"/>
              </w:rPr>
              <w:t>X＜20</w:t>
            </w:r>
          </w:p>
        </w:tc>
      </w:tr>
      <w:tr w14:paraId="5273D801">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4C081060">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3A5FA533">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08A6711C">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0CAF16A7">
            <w:pPr>
              <w:widowControl/>
              <w:jc w:val="center"/>
              <w:rPr>
                <w:rFonts w:ascii="Times New Roman" w:hAnsi="Times New Roman"/>
                <w:kern w:val="0"/>
                <w:sz w:val="20"/>
                <w:szCs w:val="20"/>
              </w:rPr>
            </w:pPr>
            <w:r>
              <w:rPr>
                <w:rFonts w:ascii="Times New Roman" w:hAnsi="Times New Roman"/>
                <w:kern w:val="0"/>
                <w:sz w:val="20"/>
                <w:szCs w:val="20"/>
              </w:rPr>
              <w:t>Y≥40000</w:t>
            </w:r>
          </w:p>
        </w:tc>
        <w:tc>
          <w:tcPr>
            <w:tcW w:w="1828" w:type="dxa"/>
            <w:tcBorders>
              <w:top w:val="nil"/>
              <w:left w:val="nil"/>
              <w:bottom w:val="single" w:color="auto" w:sz="4" w:space="0"/>
              <w:right w:val="single" w:color="auto" w:sz="4" w:space="0"/>
            </w:tcBorders>
            <w:noWrap/>
            <w:vAlign w:val="center"/>
          </w:tcPr>
          <w:p w14:paraId="5F8A2BF3">
            <w:pPr>
              <w:widowControl/>
              <w:jc w:val="center"/>
              <w:rPr>
                <w:rFonts w:ascii="Times New Roman" w:hAnsi="Times New Roman"/>
                <w:kern w:val="0"/>
                <w:sz w:val="20"/>
                <w:szCs w:val="20"/>
              </w:rPr>
            </w:pPr>
            <w:r>
              <w:rPr>
                <w:rFonts w:ascii="Times New Roman" w:hAnsi="Times New Roman"/>
                <w:kern w:val="0"/>
                <w:sz w:val="20"/>
                <w:szCs w:val="20"/>
              </w:rPr>
              <w:t>2000≤Y＜40000</w:t>
            </w:r>
          </w:p>
        </w:tc>
        <w:tc>
          <w:tcPr>
            <w:tcW w:w="1588" w:type="dxa"/>
            <w:tcBorders>
              <w:top w:val="nil"/>
              <w:left w:val="nil"/>
              <w:bottom w:val="single" w:color="auto" w:sz="4" w:space="0"/>
              <w:right w:val="single" w:color="auto" w:sz="4" w:space="0"/>
            </w:tcBorders>
            <w:noWrap/>
            <w:vAlign w:val="center"/>
          </w:tcPr>
          <w:p w14:paraId="58F071FA">
            <w:pPr>
              <w:widowControl/>
              <w:jc w:val="center"/>
              <w:rPr>
                <w:rFonts w:ascii="Times New Roman" w:hAnsi="Times New Roman"/>
                <w:kern w:val="0"/>
                <w:sz w:val="20"/>
                <w:szCs w:val="20"/>
              </w:rPr>
            </w:pPr>
            <w:r>
              <w:rPr>
                <w:rFonts w:ascii="Times New Roman" w:hAnsi="Times New Roman"/>
                <w:kern w:val="0"/>
                <w:sz w:val="20"/>
                <w:szCs w:val="20"/>
              </w:rPr>
              <w:t xml:space="preserve"> 300≤Y＜2000</w:t>
            </w:r>
          </w:p>
        </w:tc>
        <w:tc>
          <w:tcPr>
            <w:tcW w:w="1122" w:type="dxa"/>
            <w:tcBorders>
              <w:top w:val="nil"/>
              <w:left w:val="nil"/>
              <w:bottom w:val="single" w:color="auto" w:sz="4" w:space="0"/>
              <w:right w:val="nil"/>
            </w:tcBorders>
            <w:noWrap/>
            <w:vAlign w:val="center"/>
          </w:tcPr>
          <w:p w14:paraId="27965E6B">
            <w:pPr>
              <w:widowControl/>
              <w:jc w:val="center"/>
              <w:rPr>
                <w:rFonts w:ascii="Times New Roman" w:hAnsi="Times New Roman"/>
                <w:kern w:val="0"/>
                <w:sz w:val="20"/>
                <w:szCs w:val="20"/>
              </w:rPr>
            </w:pPr>
            <w:r>
              <w:rPr>
                <w:rFonts w:ascii="Times New Roman" w:hAnsi="Times New Roman"/>
                <w:kern w:val="0"/>
                <w:sz w:val="20"/>
                <w:szCs w:val="20"/>
              </w:rPr>
              <w:t>Y＜300</w:t>
            </w:r>
          </w:p>
        </w:tc>
      </w:tr>
      <w:tr w14:paraId="48BAC588">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5459D9C8">
            <w:pPr>
              <w:widowControl/>
              <w:spacing w:line="240" w:lineRule="exact"/>
              <w:jc w:val="left"/>
              <w:rPr>
                <w:rFonts w:ascii="Times New Roman" w:hAnsi="Times New Roman"/>
                <w:kern w:val="0"/>
                <w:sz w:val="20"/>
                <w:szCs w:val="20"/>
              </w:rPr>
            </w:pPr>
            <w:r>
              <w:rPr>
                <w:rFonts w:ascii="Times New Roman" w:hAnsi="Times New Roman"/>
                <w:kern w:val="0"/>
                <w:sz w:val="20"/>
                <w:szCs w:val="20"/>
              </w:rPr>
              <w:t>建筑业</w:t>
            </w:r>
          </w:p>
        </w:tc>
        <w:tc>
          <w:tcPr>
            <w:tcW w:w="1369" w:type="dxa"/>
            <w:tcBorders>
              <w:top w:val="nil"/>
              <w:left w:val="nil"/>
              <w:bottom w:val="nil"/>
              <w:right w:val="single" w:color="auto" w:sz="4" w:space="0"/>
            </w:tcBorders>
            <w:noWrap/>
            <w:vAlign w:val="center"/>
          </w:tcPr>
          <w:p w14:paraId="2F2AACE2">
            <w:pPr>
              <w:widowControl/>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nil"/>
              <w:right w:val="single" w:color="auto" w:sz="4" w:space="0"/>
            </w:tcBorders>
            <w:noWrap/>
            <w:vAlign w:val="center"/>
          </w:tcPr>
          <w:p w14:paraId="5CC90403">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nil"/>
              <w:right w:val="single" w:color="auto" w:sz="4" w:space="0"/>
            </w:tcBorders>
            <w:noWrap/>
            <w:vAlign w:val="center"/>
          </w:tcPr>
          <w:p w14:paraId="031EC572">
            <w:pPr>
              <w:widowControl/>
              <w:jc w:val="center"/>
              <w:rPr>
                <w:rFonts w:ascii="Times New Roman" w:hAnsi="Times New Roman"/>
                <w:kern w:val="0"/>
                <w:sz w:val="20"/>
                <w:szCs w:val="20"/>
              </w:rPr>
            </w:pPr>
            <w:r>
              <w:rPr>
                <w:rFonts w:ascii="Times New Roman" w:hAnsi="Times New Roman"/>
                <w:kern w:val="0"/>
                <w:sz w:val="20"/>
                <w:szCs w:val="20"/>
              </w:rPr>
              <w:t>Y≥80000</w:t>
            </w:r>
          </w:p>
        </w:tc>
        <w:tc>
          <w:tcPr>
            <w:tcW w:w="1828" w:type="dxa"/>
            <w:tcBorders>
              <w:top w:val="nil"/>
              <w:left w:val="nil"/>
              <w:bottom w:val="nil"/>
              <w:right w:val="single" w:color="auto" w:sz="4" w:space="0"/>
            </w:tcBorders>
            <w:noWrap/>
            <w:vAlign w:val="center"/>
          </w:tcPr>
          <w:p w14:paraId="545D6F8E">
            <w:pPr>
              <w:widowControl/>
              <w:jc w:val="center"/>
              <w:rPr>
                <w:rFonts w:ascii="Times New Roman" w:hAnsi="Times New Roman"/>
                <w:kern w:val="0"/>
                <w:sz w:val="20"/>
                <w:szCs w:val="20"/>
              </w:rPr>
            </w:pPr>
            <w:r>
              <w:rPr>
                <w:rFonts w:ascii="Times New Roman" w:hAnsi="Times New Roman"/>
                <w:kern w:val="0"/>
                <w:sz w:val="20"/>
                <w:szCs w:val="20"/>
              </w:rPr>
              <w:t>6000≤Y＜80000</w:t>
            </w:r>
          </w:p>
        </w:tc>
        <w:tc>
          <w:tcPr>
            <w:tcW w:w="1588" w:type="dxa"/>
            <w:tcBorders>
              <w:top w:val="nil"/>
              <w:left w:val="nil"/>
              <w:bottom w:val="nil"/>
              <w:right w:val="single" w:color="auto" w:sz="4" w:space="0"/>
            </w:tcBorders>
            <w:noWrap/>
            <w:vAlign w:val="center"/>
          </w:tcPr>
          <w:p w14:paraId="21DB3E7B">
            <w:pPr>
              <w:widowControl/>
              <w:jc w:val="center"/>
              <w:rPr>
                <w:rFonts w:ascii="Times New Roman" w:hAnsi="Times New Roman"/>
                <w:kern w:val="0"/>
                <w:sz w:val="20"/>
                <w:szCs w:val="20"/>
              </w:rPr>
            </w:pPr>
            <w:r>
              <w:rPr>
                <w:rFonts w:ascii="Times New Roman" w:hAnsi="Times New Roman"/>
                <w:kern w:val="0"/>
                <w:sz w:val="20"/>
                <w:szCs w:val="20"/>
              </w:rPr>
              <w:t xml:space="preserve"> 300≤Y＜6000</w:t>
            </w:r>
          </w:p>
        </w:tc>
        <w:tc>
          <w:tcPr>
            <w:tcW w:w="1122" w:type="dxa"/>
            <w:tcBorders>
              <w:top w:val="nil"/>
              <w:left w:val="nil"/>
              <w:bottom w:val="nil"/>
              <w:right w:val="nil"/>
            </w:tcBorders>
            <w:noWrap/>
            <w:vAlign w:val="center"/>
          </w:tcPr>
          <w:p w14:paraId="421EBB30">
            <w:pPr>
              <w:widowControl/>
              <w:jc w:val="center"/>
              <w:rPr>
                <w:rFonts w:ascii="Times New Roman" w:hAnsi="Times New Roman"/>
                <w:kern w:val="0"/>
                <w:sz w:val="20"/>
                <w:szCs w:val="20"/>
              </w:rPr>
            </w:pPr>
            <w:r>
              <w:rPr>
                <w:rFonts w:ascii="Times New Roman" w:hAnsi="Times New Roman"/>
                <w:kern w:val="0"/>
                <w:sz w:val="20"/>
                <w:szCs w:val="20"/>
              </w:rPr>
              <w:t>Y＜300</w:t>
            </w:r>
          </w:p>
        </w:tc>
      </w:tr>
      <w:tr w14:paraId="16290396">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3A4ADDF8">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09C33F9D">
            <w:pPr>
              <w:widowControl/>
              <w:spacing w:line="240" w:lineRule="exact"/>
              <w:jc w:val="center"/>
              <w:rPr>
                <w:rFonts w:ascii="Times New Roman" w:hAnsi="Times New Roman"/>
                <w:kern w:val="0"/>
                <w:sz w:val="20"/>
                <w:szCs w:val="20"/>
              </w:rPr>
            </w:pPr>
            <w:r>
              <w:rPr>
                <w:rFonts w:ascii="Times New Roman" w:hAnsi="Times New Roman"/>
                <w:kern w:val="0"/>
                <w:sz w:val="20"/>
                <w:szCs w:val="20"/>
              </w:rPr>
              <w:t>资产总额(Z)</w:t>
            </w:r>
          </w:p>
        </w:tc>
        <w:tc>
          <w:tcPr>
            <w:tcW w:w="709" w:type="dxa"/>
            <w:tcBorders>
              <w:top w:val="nil"/>
              <w:left w:val="nil"/>
              <w:bottom w:val="single" w:color="auto" w:sz="4" w:space="0"/>
              <w:right w:val="single" w:color="auto" w:sz="4" w:space="0"/>
            </w:tcBorders>
            <w:noWrap/>
            <w:vAlign w:val="center"/>
          </w:tcPr>
          <w:p w14:paraId="6211B8D0">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349FBF30">
            <w:pPr>
              <w:widowControl/>
              <w:jc w:val="center"/>
              <w:rPr>
                <w:rFonts w:ascii="Times New Roman" w:hAnsi="Times New Roman"/>
                <w:kern w:val="0"/>
                <w:sz w:val="20"/>
                <w:szCs w:val="20"/>
              </w:rPr>
            </w:pPr>
            <w:r>
              <w:rPr>
                <w:rFonts w:ascii="Times New Roman" w:hAnsi="Times New Roman"/>
                <w:kern w:val="0"/>
                <w:sz w:val="20"/>
                <w:szCs w:val="20"/>
              </w:rPr>
              <w:t>Z≥80000</w:t>
            </w:r>
          </w:p>
        </w:tc>
        <w:tc>
          <w:tcPr>
            <w:tcW w:w="1828" w:type="dxa"/>
            <w:tcBorders>
              <w:top w:val="nil"/>
              <w:left w:val="nil"/>
              <w:bottom w:val="single" w:color="auto" w:sz="4" w:space="0"/>
              <w:right w:val="single" w:color="auto" w:sz="4" w:space="0"/>
            </w:tcBorders>
            <w:noWrap/>
            <w:vAlign w:val="center"/>
          </w:tcPr>
          <w:p w14:paraId="14798A0E">
            <w:pPr>
              <w:widowControl/>
              <w:jc w:val="center"/>
              <w:rPr>
                <w:rFonts w:ascii="Times New Roman" w:hAnsi="Times New Roman"/>
                <w:kern w:val="0"/>
                <w:sz w:val="20"/>
                <w:szCs w:val="20"/>
              </w:rPr>
            </w:pPr>
            <w:r>
              <w:rPr>
                <w:rFonts w:ascii="Times New Roman" w:hAnsi="Times New Roman"/>
                <w:kern w:val="0"/>
                <w:sz w:val="20"/>
                <w:szCs w:val="20"/>
              </w:rPr>
              <w:t>5000≤Z＜80000</w:t>
            </w:r>
          </w:p>
        </w:tc>
        <w:tc>
          <w:tcPr>
            <w:tcW w:w="1588" w:type="dxa"/>
            <w:tcBorders>
              <w:top w:val="nil"/>
              <w:left w:val="nil"/>
              <w:bottom w:val="single" w:color="auto" w:sz="4" w:space="0"/>
              <w:right w:val="single" w:color="auto" w:sz="4" w:space="0"/>
            </w:tcBorders>
            <w:noWrap/>
            <w:vAlign w:val="center"/>
          </w:tcPr>
          <w:p w14:paraId="4DDD04C6">
            <w:pPr>
              <w:widowControl/>
              <w:jc w:val="center"/>
              <w:rPr>
                <w:rFonts w:ascii="Times New Roman" w:hAnsi="Times New Roman"/>
                <w:kern w:val="0"/>
                <w:sz w:val="20"/>
                <w:szCs w:val="20"/>
              </w:rPr>
            </w:pPr>
            <w:r>
              <w:rPr>
                <w:rFonts w:ascii="Times New Roman" w:hAnsi="Times New Roman"/>
                <w:kern w:val="0"/>
                <w:sz w:val="20"/>
                <w:szCs w:val="20"/>
              </w:rPr>
              <w:t xml:space="preserve"> 300≤Z＜5000</w:t>
            </w:r>
          </w:p>
        </w:tc>
        <w:tc>
          <w:tcPr>
            <w:tcW w:w="1122" w:type="dxa"/>
            <w:tcBorders>
              <w:top w:val="nil"/>
              <w:left w:val="nil"/>
              <w:bottom w:val="single" w:color="auto" w:sz="4" w:space="0"/>
              <w:right w:val="nil"/>
            </w:tcBorders>
            <w:noWrap/>
            <w:vAlign w:val="center"/>
          </w:tcPr>
          <w:p w14:paraId="1E3A995E">
            <w:pPr>
              <w:widowControl/>
              <w:jc w:val="center"/>
              <w:rPr>
                <w:rFonts w:ascii="Times New Roman" w:hAnsi="Times New Roman"/>
                <w:kern w:val="0"/>
                <w:sz w:val="20"/>
                <w:szCs w:val="20"/>
              </w:rPr>
            </w:pPr>
            <w:r>
              <w:rPr>
                <w:rFonts w:ascii="Times New Roman" w:hAnsi="Times New Roman"/>
                <w:kern w:val="0"/>
                <w:sz w:val="20"/>
                <w:szCs w:val="20"/>
              </w:rPr>
              <w:t>Z＜300</w:t>
            </w:r>
          </w:p>
        </w:tc>
      </w:tr>
      <w:tr w14:paraId="04733843">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461DB05F">
            <w:pPr>
              <w:widowControl/>
              <w:spacing w:line="240" w:lineRule="exact"/>
              <w:jc w:val="left"/>
              <w:rPr>
                <w:rFonts w:ascii="Times New Roman" w:hAnsi="Times New Roman"/>
                <w:kern w:val="0"/>
                <w:sz w:val="20"/>
                <w:szCs w:val="20"/>
              </w:rPr>
            </w:pPr>
            <w:r>
              <w:rPr>
                <w:rFonts w:ascii="Times New Roman" w:hAnsi="Times New Roman"/>
                <w:kern w:val="0"/>
                <w:sz w:val="20"/>
                <w:szCs w:val="20"/>
              </w:rPr>
              <w:t>批发业</w:t>
            </w:r>
          </w:p>
        </w:tc>
        <w:tc>
          <w:tcPr>
            <w:tcW w:w="1369" w:type="dxa"/>
            <w:tcBorders>
              <w:top w:val="nil"/>
              <w:left w:val="nil"/>
              <w:bottom w:val="nil"/>
              <w:right w:val="single" w:color="auto" w:sz="4" w:space="0"/>
            </w:tcBorders>
            <w:noWrap/>
            <w:vAlign w:val="center"/>
          </w:tcPr>
          <w:p w14:paraId="0D0228B3">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365DD488">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25D0D3F6">
            <w:pPr>
              <w:widowControl/>
              <w:jc w:val="center"/>
              <w:rPr>
                <w:rFonts w:ascii="Times New Roman" w:hAnsi="Times New Roman"/>
                <w:kern w:val="0"/>
                <w:sz w:val="20"/>
                <w:szCs w:val="20"/>
              </w:rPr>
            </w:pPr>
            <w:r>
              <w:rPr>
                <w:rFonts w:ascii="Times New Roman" w:hAnsi="Times New Roman"/>
                <w:kern w:val="0"/>
                <w:sz w:val="20"/>
                <w:szCs w:val="20"/>
              </w:rPr>
              <w:t>X≥200</w:t>
            </w:r>
          </w:p>
        </w:tc>
        <w:tc>
          <w:tcPr>
            <w:tcW w:w="1828" w:type="dxa"/>
            <w:tcBorders>
              <w:top w:val="nil"/>
              <w:left w:val="nil"/>
              <w:bottom w:val="nil"/>
              <w:right w:val="single" w:color="auto" w:sz="4" w:space="0"/>
            </w:tcBorders>
            <w:noWrap/>
            <w:vAlign w:val="center"/>
          </w:tcPr>
          <w:p w14:paraId="3F9D8A9F">
            <w:pPr>
              <w:widowControl/>
              <w:jc w:val="center"/>
              <w:rPr>
                <w:rFonts w:ascii="Times New Roman" w:hAnsi="Times New Roman"/>
                <w:kern w:val="0"/>
                <w:sz w:val="20"/>
                <w:szCs w:val="20"/>
              </w:rPr>
            </w:pPr>
            <w:r>
              <w:rPr>
                <w:rFonts w:ascii="Times New Roman" w:hAnsi="Times New Roman"/>
                <w:kern w:val="0"/>
                <w:sz w:val="20"/>
                <w:szCs w:val="20"/>
              </w:rPr>
              <w:t>20≤X＜200</w:t>
            </w:r>
          </w:p>
        </w:tc>
        <w:tc>
          <w:tcPr>
            <w:tcW w:w="1588" w:type="dxa"/>
            <w:tcBorders>
              <w:top w:val="nil"/>
              <w:left w:val="nil"/>
              <w:bottom w:val="nil"/>
              <w:right w:val="single" w:color="auto" w:sz="4" w:space="0"/>
            </w:tcBorders>
            <w:noWrap/>
            <w:vAlign w:val="center"/>
          </w:tcPr>
          <w:p w14:paraId="0BCD5815">
            <w:pPr>
              <w:widowControl/>
              <w:jc w:val="center"/>
              <w:rPr>
                <w:rFonts w:ascii="Times New Roman" w:hAnsi="Times New Roman"/>
                <w:kern w:val="0"/>
                <w:sz w:val="20"/>
                <w:szCs w:val="20"/>
              </w:rPr>
            </w:pPr>
            <w:r>
              <w:rPr>
                <w:rFonts w:ascii="Times New Roman" w:hAnsi="Times New Roman"/>
                <w:kern w:val="0"/>
                <w:sz w:val="20"/>
                <w:szCs w:val="20"/>
              </w:rPr>
              <w:t xml:space="preserve"> 5≤X＜20</w:t>
            </w:r>
          </w:p>
        </w:tc>
        <w:tc>
          <w:tcPr>
            <w:tcW w:w="1122" w:type="dxa"/>
            <w:tcBorders>
              <w:top w:val="nil"/>
              <w:left w:val="nil"/>
              <w:bottom w:val="nil"/>
              <w:right w:val="nil"/>
            </w:tcBorders>
            <w:noWrap/>
            <w:vAlign w:val="center"/>
          </w:tcPr>
          <w:p w14:paraId="40A4CC98">
            <w:pPr>
              <w:widowControl/>
              <w:jc w:val="center"/>
              <w:rPr>
                <w:rFonts w:ascii="Times New Roman" w:hAnsi="Times New Roman"/>
                <w:kern w:val="0"/>
                <w:sz w:val="20"/>
                <w:szCs w:val="20"/>
              </w:rPr>
            </w:pPr>
            <w:r>
              <w:rPr>
                <w:rFonts w:ascii="Times New Roman" w:hAnsi="Times New Roman"/>
                <w:kern w:val="0"/>
                <w:sz w:val="20"/>
                <w:szCs w:val="20"/>
              </w:rPr>
              <w:t>X＜5</w:t>
            </w:r>
          </w:p>
        </w:tc>
      </w:tr>
      <w:tr w14:paraId="666B6617">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6F8842E1">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3FCE4227">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4AD5BB8F">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5A992577">
            <w:pPr>
              <w:widowControl/>
              <w:jc w:val="center"/>
              <w:rPr>
                <w:rFonts w:ascii="Times New Roman" w:hAnsi="Times New Roman"/>
                <w:kern w:val="0"/>
                <w:sz w:val="20"/>
                <w:szCs w:val="20"/>
              </w:rPr>
            </w:pPr>
            <w:r>
              <w:rPr>
                <w:rFonts w:ascii="Times New Roman" w:hAnsi="Times New Roman"/>
                <w:kern w:val="0"/>
                <w:sz w:val="20"/>
                <w:szCs w:val="20"/>
              </w:rPr>
              <w:t>Y≥40000</w:t>
            </w:r>
          </w:p>
        </w:tc>
        <w:tc>
          <w:tcPr>
            <w:tcW w:w="1828" w:type="dxa"/>
            <w:tcBorders>
              <w:top w:val="nil"/>
              <w:left w:val="nil"/>
              <w:bottom w:val="single" w:color="auto" w:sz="4" w:space="0"/>
              <w:right w:val="single" w:color="auto" w:sz="4" w:space="0"/>
            </w:tcBorders>
            <w:noWrap/>
            <w:vAlign w:val="center"/>
          </w:tcPr>
          <w:p w14:paraId="2D08BEF2">
            <w:pPr>
              <w:widowControl/>
              <w:jc w:val="center"/>
              <w:rPr>
                <w:rFonts w:ascii="Times New Roman" w:hAnsi="Times New Roman"/>
                <w:kern w:val="0"/>
                <w:sz w:val="20"/>
                <w:szCs w:val="20"/>
              </w:rPr>
            </w:pPr>
            <w:r>
              <w:rPr>
                <w:rFonts w:ascii="Times New Roman" w:hAnsi="Times New Roman"/>
                <w:kern w:val="0"/>
                <w:sz w:val="20"/>
                <w:szCs w:val="20"/>
              </w:rPr>
              <w:t>5000≤Y＜40000</w:t>
            </w:r>
          </w:p>
        </w:tc>
        <w:tc>
          <w:tcPr>
            <w:tcW w:w="1588" w:type="dxa"/>
            <w:tcBorders>
              <w:top w:val="nil"/>
              <w:left w:val="nil"/>
              <w:bottom w:val="single" w:color="auto" w:sz="4" w:space="0"/>
              <w:right w:val="single" w:color="auto" w:sz="4" w:space="0"/>
            </w:tcBorders>
            <w:noWrap/>
            <w:vAlign w:val="center"/>
          </w:tcPr>
          <w:p w14:paraId="1E47828A">
            <w:pPr>
              <w:widowControl/>
              <w:ind w:left="-1" w:leftChars="-1" w:hanging="1"/>
              <w:jc w:val="center"/>
              <w:rPr>
                <w:rFonts w:ascii="Times New Roman" w:hAnsi="Times New Roman"/>
                <w:kern w:val="0"/>
                <w:sz w:val="20"/>
                <w:szCs w:val="20"/>
              </w:rPr>
            </w:pPr>
            <w:r>
              <w:rPr>
                <w:rFonts w:ascii="Times New Roman" w:hAnsi="Times New Roman"/>
                <w:kern w:val="0"/>
                <w:sz w:val="20"/>
                <w:szCs w:val="20"/>
              </w:rPr>
              <w:t>1000≤Y＜5000</w:t>
            </w:r>
          </w:p>
        </w:tc>
        <w:tc>
          <w:tcPr>
            <w:tcW w:w="1122" w:type="dxa"/>
            <w:tcBorders>
              <w:top w:val="nil"/>
              <w:left w:val="nil"/>
              <w:bottom w:val="single" w:color="auto" w:sz="4" w:space="0"/>
              <w:right w:val="nil"/>
            </w:tcBorders>
            <w:noWrap/>
            <w:vAlign w:val="center"/>
          </w:tcPr>
          <w:p w14:paraId="32D10B1E">
            <w:pPr>
              <w:widowControl/>
              <w:jc w:val="center"/>
              <w:rPr>
                <w:rFonts w:ascii="Times New Roman" w:hAnsi="Times New Roman"/>
                <w:kern w:val="0"/>
                <w:sz w:val="20"/>
                <w:szCs w:val="20"/>
              </w:rPr>
            </w:pPr>
            <w:r>
              <w:rPr>
                <w:rFonts w:ascii="Times New Roman" w:hAnsi="Times New Roman"/>
                <w:kern w:val="0"/>
                <w:sz w:val="20"/>
                <w:szCs w:val="20"/>
              </w:rPr>
              <w:t>Y＜1000</w:t>
            </w:r>
          </w:p>
        </w:tc>
      </w:tr>
      <w:tr w14:paraId="22A9F06C">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410BAFE2">
            <w:pPr>
              <w:widowControl/>
              <w:spacing w:line="240" w:lineRule="exact"/>
              <w:jc w:val="left"/>
              <w:rPr>
                <w:rFonts w:ascii="Times New Roman" w:hAnsi="Times New Roman"/>
                <w:kern w:val="0"/>
                <w:sz w:val="20"/>
                <w:szCs w:val="20"/>
              </w:rPr>
            </w:pPr>
            <w:r>
              <w:rPr>
                <w:rFonts w:ascii="Times New Roman" w:hAnsi="Times New Roman"/>
                <w:kern w:val="0"/>
                <w:sz w:val="20"/>
                <w:szCs w:val="20"/>
              </w:rPr>
              <w:t>零售业</w:t>
            </w:r>
          </w:p>
        </w:tc>
        <w:tc>
          <w:tcPr>
            <w:tcW w:w="1369" w:type="dxa"/>
            <w:tcBorders>
              <w:top w:val="nil"/>
              <w:left w:val="nil"/>
              <w:bottom w:val="nil"/>
              <w:right w:val="single" w:color="auto" w:sz="4" w:space="0"/>
            </w:tcBorders>
            <w:noWrap/>
            <w:vAlign w:val="center"/>
          </w:tcPr>
          <w:p w14:paraId="77AFFA65">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35725636">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3F49C6D4">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ign w:val="center"/>
          </w:tcPr>
          <w:p w14:paraId="01F827B8">
            <w:pPr>
              <w:widowControl/>
              <w:jc w:val="center"/>
              <w:rPr>
                <w:rFonts w:ascii="Times New Roman" w:hAnsi="Times New Roman"/>
                <w:kern w:val="0"/>
                <w:sz w:val="20"/>
                <w:szCs w:val="20"/>
              </w:rPr>
            </w:pPr>
            <w:r>
              <w:rPr>
                <w:rFonts w:ascii="Times New Roman" w:hAnsi="Times New Roman"/>
                <w:kern w:val="0"/>
                <w:sz w:val="20"/>
                <w:szCs w:val="20"/>
              </w:rPr>
              <w:t>50≤X＜300</w:t>
            </w:r>
          </w:p>
        </w:tc>
        <w:tc>
          <w:tcPr>
            <w:tcW w:w="1588" w:type="dxa"/>
            <w:tcBorders>
              <w:top w:val="nil"/>
              <w:left w:val="nil"/>
              <w:bottom w:val="nil"/>
              <w:right w:val="single" w:color="auto" w:sz="4" w:space="0"/>
            </w:tcBorders>
            <w:noWrap/>
            <w:vAlign w:val="center"/>
          </w:tcPr>
          <w:p w14:paraId="2FECBCC3">
            <w:pPr>
              <w:widowControl/>
              <w:ind w:left="-1" w:leftChars="-1" w:hanging="1"/>
              <w:jc w:val="center"/>
              <w:rPr>
                <w:rFonts w:ascii="Times New Roman" w:hAnsi="Times New Roman"/>
                <w:kern w:val="0"/>
                <w:sz w:val="20"/>
                <w:szCs w:val="20"/>
              </w:rPr>
            </w:pPr>
            <w:r>
              <w:rPr>
                <w:rFonts w:ascii="Times New Roman" w:hAnsi="Times New Roman"/>
                <w:kern w:val="0"/>
                <w:sz w:val="20"/>
                <w:szCs w:val="20"/>
              </w:rPr>
              <w:t xml:space="preserve">10≤X＜50 </w:t>
            </w:r>
          </w:p>
        </w:tc>
        <w:tc>
          <w:tcPr>
            <w:tcW w:w="1122" w:type="dxa"/>
            <w:tcBorders>
              <w:top w:val="nil"/>
              <w:left w:val="nil"/>
              <w:bottom w:val="nil"/>
              <w:right w:val="nil"/>
            </w:tcBorders>
            <w:noWrap/>
            <w:vAlign w:val="center"/>
          </w:tcPr>
          <w:p w14:paraId="32D912AE">
            <w:pPr>
              <w:widowControl/>
              <w:jc w:val="center"/>
              <w:rPr>
                <w:rFonts w:ascii="Times New Roman" w:hAnsi="Times New Roman"/>
                <w:kern w:val="0"/>
                <w:sz w:val="20"/>
                <w:szCs w:val="20"/>
              </w:rPr>
            </w:pPr>
            <w:r>
              <w:rPr>
                <w:rFonts w:ascii="Times New Roman" w:hAnsi="Times New Roman"/>
                <w:kern w:val="0"/>
                <w:sz w:val="20"/>
                <w:szCs w:val="20"/>
              </w:rPr>
              <w:t>X＜10</w:t>
            </w:r>
          </w:p>
        </w:tc>
      </w:tr>
      <w:tr w14:paraId="7C613DDC">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31056763">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16E4C938">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66112878">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0C1F834D">
            <w:pPr>
              <w:widowControl/>
              <w:jc w:val="center"/>
              <w:rPr>
                <w:rFonts w:ascii="Times New Roman" w:hAnsi="Times New Roman"/>
                <w:kern w:val="0"/>
                <w:sz w:val="20"/>
                <w:szCs w:val="20"/>
              </w:rPr>
            </w:pPr>
            <w:r>
              <w:rPr>
                <w:rFonts w:ascii="Times New Roman" w:hAnsi="Times New Roman"/>
                <w:kern w:val="0"/>
                <w:sz w:val="20"/>
                <w:szCs w:val="20"/>
              </w:rPr>
              <w:t>Y≥20000</w:t>
            </w:r>
          </w:p>
        </w:tc>
        <w:tc>
          <w:tcPr>
            <w:tcW w:w="1828" w:type="dxa"/>
            <w:tcBorders>
              <w:top w:val="nil"/>
              <w:left w:val="nil"/>
              <w:bottom w:val="single" w:color="auto" w:sz="4" w:space="0"/>
              <w:right w:val="single" w:color="auto" w:sz="4" w:space="0"/>
            </w:tcBorders>
            <w:noWrap/>
            <w:vAlign w:val="center"/>
          </w:tcPr>
          <w:p w14:paraId="7D75D1A7">
            <w:pPr>
              <w:widowControl/>
              <w:jc w:val="center"/>
              <w:rPr>
                <w:rFonts w:ascii="Times New Roman" w:hAnsi="Times New Roman"/>
                <w:kern w:val="0"/>
                <w:sz w:val="20"/>
                <w:szCs w:val="20"/>
              </w:rPr>
            </w:pPr>
            <w:r>
              <w:rPr>
                <w:rFonts w:ascii="Times New Roman" w:hAnsi="Times New Roman"/>
                <w:kern w:val="0"/>
                <w:sz w:val="20"/>
                <w:szCs w:val="20"/>
              </w:rPr>
              <w:t xml:space="preserve"> 500≤Y＜20000</w:t>
            </w:r>
          </w:p>
        </w:tc>
        <w:tc>
          <w:tcPr>
            <w:tcW w:w="1588" w:type="dxa"/>
            <w:tcBorders>
              <w:top w:val="nil"/>
              <w:left w:val="nil"/>
              <w:bottom w:val="single" w:color="auto" w:sz="4" w:space="0"/>
              <w:right w:val="single" w:color="auto" w:sz="4" w:space="0"/>
            </w:tcBorders>
            <w:noWrap/>
            <w:vAlign w:val="center"/>
          </w:tcPr>
          <w:p w14:paraId="13241C3C">
            <w:pPr>
              <w:widowControl/>
              <w:ind w:left="-1" w:leftChars="-1" w:hanging="1"/>
              <w:jc w:val="center"/>
              <w:rPr>
                <w:rFonts w:ascii="Times New Roman" w:hAnsi="Times New Roman"/>
                <w:kern w:val="0"/>
                <w:sz w:val="20"/>
                <w:szCs w:val="20"/>
              </w:rPr>
            </w:pPr>
            <w:r>
              <w:rPr>
                <w:rFonts w:ascii="Times New Roman" w:hAnsi="Times New Roman"/>
                <w:kern w:val="0"/>
                <w:sz w:val="20"/>
                <w:szCs w:val="20"/>
              </w:rPr>
              <w:t xml:space="preserve">100≤Y＜500 </w:t>
            </w:r>
          </w:p>
        </w:tc>
        <w:tc>
          <w:tcPr>
            <w:tcW w:w="1122" w:type="dxa"/>
            <w:tcBorders>
              <w:top w:val="nil"/>
              <w:left w:val="nil"/>
              <w:bottom w:val="single" w:color="auto" w:sz="4" w:space="0"/>
              <w:right w:val="nil"/>
            </w:tcBorders>
            <w:noWrap/>
            <w:vAlign w:val="center"/>
          </w:tcPr>
          <w:p w14:paraId="6CA5D280">
            <w:pPr>
              <w:widowControl/>
              <w:jc w:val="center"/>
              <w:rPr>
                <w:rFonts w:ascii="Times New Roman" w:hAnsi="Times New Roman"/>
                <w:kern w:val="0"/>
                <w:sz w:val="20"/>
                <w:szCs w:val="20"/>
              </w:rPr>
            </w:pPr>
            <w:r>
              <w:rPr>
                <w:rFonts w:ascii="Times New Roman" w:hAnsi="Times New Roman"/>
                <w:kern w:val="0"/>
                <w:sz w:val="20"/>
                <w:szCs w:val="20"/>
              </w:rPr>
              <w:t>Y＜100</w:t>
            </w:r>
          </w:p>
        </w:tc>
      </w:tr>
      <w:tr w14:paraId="453CFAD7">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374358C7">
            <w:pPr>
              <w:widowControl/>
              <w:spacing w:line="240" w:lineRule="exact"/>
              <w:jc w:val="left"/>
              <w:rPr>
                <w:rFonts w:ascii="Times New Roman" w:hAnsi="Times New Roman"/>
                <w:kern w:val="0"/>
                <w:sz w:val="20"/>
                <w:szCs w:val="20"/>
              </w:rPr>
            </w:pPr>
            <w:r>
              <w:rPr>
                <w:rFonts w:ascii="Times New Roman" w:hAnsi="Times New Roman"/>
                <w:kern w:val="0"/>
                <w:sz w:val="20"/>
                <w:szCs w:val="20"/>
              </w:rPr>
              <w:t>交通运输业 *</w:t>
            </w:r>
          </w:p>
        </w:tc>
        <w:tc>
          <w:tcPr>
            <w:tcW w:w="1369" w:type="dxa"/>
            <w:tcBorders>
              <w:top w:val="nil"/>
              <w:left w:val="nil"/>
              <w:bottom w:val="nil"/>
              <w:right w:val="single" w:color="auto" w:sz="4" w:space="0"/>
            </w:tcBorders>
            <w:noWrap/>
            <w:vAlign w:val="center"/>
          </w:tcPr>
          <w:p w14:paraId="2E084015">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3B3454B9">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60583D1D">
            <w:pPr>
              <w:widowControl/>
              <w:jc w:val="center"/>
              <w:rPr>
                <w:rFonts w:ascii="Times New Roman" w:hAnsi="Times New Roman"/>
                <w:kern w:val="0"/>
                <w:sz w:val="20"/>
                <w:szCs w:val="20"/>
              </w:rPr>
            </w:pPr>
            <w:r>
              <w:rPr>
                <w:rFonts w:ascii="Times New Roman" w:hAnsi="Times New Roman"/>
                <w:kern w:val="0"/>
                <w:sz w:val="20"/>
                <w:szCs w:val="20"/>
              </w:rPr>
              <w:t>X≥1000</w:t>
            </w:r>
          </w:p>
        </w:tc>
        <w:tc>
          <w:tcPr>
            <w:tcW w:w="1828" w:type="dxa"/>
            <w:tcBorders>
              <w:top w:val="nil"/>
              <w:left w:val="nil"/>
              <w:bottom w:val="nil"/>
              <w:right w:val="single" w:color="auto" w:sz="4" w:space="0"/>
            </w:tcBorders>
            <w:noWrap/>
            <w:vAlign w:val="center"/>
          </w:tcPr>
          <w:p w14:paraId="0433197A">
            <w:pPr>
              <w:widowControl/>
              <w:jc w:val="center"/>
              <w:rPr>
                <w:rFonts w:ascii="Times New Roman" w:hAnsi="Times New Roman"/>
                <w:kern w:val="0"/>
                <w:sz w:val="20"/>
                <w:szCs w:val="20"/>
              </w:rPr>
            </w:pPr>
            <w:r>
              <w:rPr>
                <w:rFonts w:ascii="Times New Roman" w:hAnsi="Times New Roman"/>
                <w:kern w:val="0"/>
                <w:sz w:val="20"/>
                <w:szCs w:val="20"/>
              </w:rPr>
              <w:t>300≤X＜1000</w:t>
            </w:r>
          </w:p>
        </w:tc>
        <w:tc>
          <w:tcPr>
            <w:tcW w:w="1588" w:type="dxa"/>
            <w:tcBorders>
              <w:top w:val="nil"/>
              <w:left w:val="nil"/>
              <w:bottom w:val="nil"/>
              <w:right w:val="single" w:color="auto" w:sz="4" w:space="0"/>
            </w:tcBorders>
            <w:noWrap/>
            <w:vAlign w:val="center"/>
          </w:tcPr>
          <w:p w14:paraId="2F2C2176">
            <w:pPr>
              <w:widowControl/>
              <w:jc w:val="center"/>
              <w:rPr>
                <w:rFonts w:ascii="Times New Roman" w:hAnsi="Times New Roman"/>
                <w:kern w:val="0"/>
                <w:sz w:val="20"/>
                <w:szCs w:val="20"/>
              </w:rPr>
            </w:pPr>
            <w:r>
              <w:rPr>
                <w:rFonts w:ascii="Times New Roman" w:hAnsi="Times New Roman"/>
                <w:kern w:val="0"/>
                <w:sz w:val="20"/>
                <w:szCs w:val="20"/>
              </w:rPr>
              <w:t xml:space="preserve"> 20≤X＜300</w:t>
            </w:r>
          </w:p>
        </w:tc>
        <w:tc>
          <w:tcPr>
            <w:tcW w:w="1122" w:type="dxa"/>
            <w:tcBorders>
              <w:top w:val="nil"/>
              <w:left w:val="nil"/>
              <w:bottom w:val="nil"/>
              <w:right w:val="nil"/>
            </w:tcBorders>
            <w:noWrap/>
            <w:vAlign w:val="center"/>
          </w:tcPr>
          <w:p w14:paraId="7BB6751E">
            <w:pPr>
              <w:widowControl/>
              <w:jc w:val="center"/>
              <w:rPr>
                <w:rFonts w:ascii="Times New Roman" w:hAnsi="Times New Roman"/>
                <w:kern w:val="0"/>
                <w:sz w:val="20"/>
                <w:szCs w:val="20"/>
              </w:rPr>
            </w:pPr>
            <w:r>
              <w:rPr>
                <w:rFonts w:ascii="Times New Roman" w:hAnsi="Times New Roman"/>
                <w:kern w:val="0"/>
                <w:sz w:val="20"/>
                <w:szCs w:val="20"/>
              </w:rPr>
              <w:t>X＜20</w:t>
            </w:r>
          </w:p>
        </w:tc>
      </w:tr>
      <w:tr w14:paraId="006CEFA8">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39E775C8">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54F5252F">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20BA6C6F">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0E30CCE7">
            <w:pPr>
              <w:widowControl/>
              <w:jc w:val="center"/>
              <w:rPr>
                <w:rFonts w:ascii="Times New Roman" w:hAnsi="Times New Roman"/>
                <w:kern w:val="0"/>
                <w:sz w:val="20"/>
                <w:szCs w:val="20"/>
              </w:rPr>
            </w:pPr>
            <w:r>
              <w:rPr>
                <w:rFonts w:ascii="Times New Roman" w:hAnsi="Times New Roman"/>
                <w:kern w:val="0"/>
                <w:sz w:val="20"/>
                <w:szCs w:val="20"/>
              </w:rPr>
              <w:t>Y≥30000</w:t>
            </w:r>
          </w:p>
        </w:tc>
        <w:tc>
          <w:tcPr>
            <w:tcW w:w="1828" w:type="dxa"/>
            <w:tcBorders>
              <w:top w:val="nil"/>
              <w:left w:val="nil"/>
              <w:bottom w:val="single" w:color="auto" w:sz="4" w:space="0"/>
              <w:right w:val="single" w:color="auto" w:sz="4" w:space="0"/>
            </w:tcBorders>
            <w:noWrap/>
            <w:vAlign w:val="center"/>
          </w:tcPr>
          <w:p w14:paraId="382CAEE1">
            <w:pPr>
              <w:widowControl/>
              <w:jc w:val="center"/>
              <w:rPr>
                <w:rFonts w:ascii="Times New Roman" w:hAnsi="Times New Roman"/>
                <w:kern w:val="0"/>
                <w:sz w:val="20"/>
                <w:szCs w:val="20"/>
              </w:rPr>
            </w:pPr>
            <w:r>
              <w:rPr>
                <w:rFonts w:ascii="Times New Roman" w:hAnsi="Times New Roman"/>
                <w:kern w:val="0"/>
                <w:sz w:val="20"/>
                <w:szCs w:val="20"/>
              </w:rPr>
              <w:t>3000≤Y＜30000</w:t>
            </w:r>
          </w:p>
        </w:tc>
        <w:tc>
          <w:tcPr>
            <w:tcW w:w="1588" w:type="dxa"/>
            <w:tcBorders>
              <w:top w:val="nil"/>
              <w:left w:val="nil"/>
              <w:bottom w:val="single" w:color="auto" w:sz="4" w:space="0"/>
              <w:right w:val="single" w:color="auto" w:sz="4" w:space="0"/>
            </w:tcBorders>
            <w:noWrap/>
            <w:vAlign w:val="center"/>
          </w:tcPr>
          <w:p w14:paraId="07F7B8AB">
            <w:pPr>
              <w:widowControl/>
              <w:jc w:val="center"/>
              <w:rPr>
                <w:rFonts w:ascii="Times New Roman" w:hAnsi="Times New Roman"/>
                <w:kern w:val="0"/>
                <w:sz w:val="20"/>
                <w:szCs w:val="20"/>
              </w:rPr>
            </w:pPr>
            <w:r>
              <w:rPr>
                <w:rFonts w:ascii="Times New Roman" w:hAnsi="Times New Roman"/>
                <w:kern w:val="0"/>
                <w:sz w:val="20"/>
                <w:szCs w:val="20"/>
              </w:rPr>
              <w:t xml:space="preserve"> 200≤Y＜3000</w:t>
            </w:r>
          </w:p>
        </w:tc>
        <w:tc>
          <w:tcPr>
            <w:tcW w:w="1122" w:type="dxa"/>
            <w:tcBorders>
              <w:top w:val="nil"/>
              <w:left w:val="nil"/>
              <w:bottom w:val="single" w:color="auto" w:sz="4" w:space="0"/>
              <w:right w:val="nil"/>
            </w:tcBorders>
            <w:noWrap/>
            <w:vAlign w:val="center"/>
          </w:tcPr>
          <w:p w14:paraId="7B5FFADB">
            <w:pPr>
              <w:widowControl/>
              <w:jc w:val="center"/>
              <w:rPr>
                <w:rFonts w:ascii="Times New Roman" w:hAnsi="Times New Roman"/>
                <w:kern w:val="0"/>
                <w:sz w:val="20"/>
                <w:szCs w:val="20"/>
              </w:rPr>
            </w:pPr>
            <w:r>
              <w:rPr>
                <w:rFonts w:ascii="Times New Roman" w:hAnsi="Times New Roman"/>
                <w:kern w:val="0"/>
                <w:sz w:val="20"/>
                <w:szCs w:val="20"/>
              </w:rPr>
              <w:t>Y＜200</w:t>
            </w:r>
          </w:p>
        </w:tc>
      </w:tr>
      <w:tr w14:paraId="13C706B9">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405FFDA1">
            <w:pPr>
              <w:widowControl/>
              <w:spacing w:line="240" w:lineRule="exact"/>
              <w:jc w:val="left"/>
              <w:rPr>
                <w:rFonts w:ascii="Times New Roman" w:hAnsi="Times New Roman"/>
                <w:kern w:val="0"/>
                <w:sz w:val="20"/>
                <w:szCs w:val="20"/>
              </w:rPr>
            </w:pPr>
            <w:r>
              <w:rPr>
                <w:rFonts w:ascii="Times New Roman" w:hAnsi="Times New Roman"/>
                <w:kern w:val="0"/>
                <w:sz w:val="20"/>
                <w:szCs w:val="20"/>
              </w:rPr>
              <w:t>仓储业*</w:t>
            </w:r>
          </w:p>
        </w:tc>
        <w:tc>
          <w:tcPr>
            <w:tcW w:w="1369" w:type="dxa"/>
            <w:tcBorders>
              <w:top w:val="nil"/>
              <w:left w:val="nil"/>
              <w:bottom w:val="nil"/>
              <w:right w:val="single" w:color="auto" w:sz="4" w:space="0"/>
            </w:tcBorders>
            <w:noWrap/>
            <w:vAlign w:val="center"/>
          </w:tcPr>
          <w:p w14:paraId="188DADCF">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146CBD86">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69318F56">
            <w:pPr>
              <w:widowControl/>
              <w:jc w:val="center"/>
              <w:rPr>
                <w:rFonts w:ascii="Times New Roman" w:hAnsi="Times New Roman"/>
                <w:kern w:val="0"/>
                <w:sz w:val="20"/>
                <w:szCs w:val="20"/>
              </w:rPr>
            </w:pPr>
            <w:r>
              <w:rPr>
                <w:rFonts w:ascii="Times New Roman" w:hAnsi="Times New Roman"/>
                <w:kern w:val="0"/>
                <w:sz w:val="20"/>
                <w:szCs w:val="20"/>
              </w:rPr>
              <w:t>X≥200</w:t>
            </w:r>
          </w:p>
        </w:tc>
        <w:tc>
          <w:tcPr>
            <w:tcW w:w="1828" w:type="dxa"/>
            <w:tcBorders>
              <w:top w:val="nil"/>
              <w:left w:val="nil"/>
              <w:bottom w:val="nil"/>
              <w:right w:val="single" w:color="auto" w:sz="4" w:space="0"/>
            </w:tcBorders>
            <w:noWrap/>
            <w:vAlign w:val="center"/>
          </w:tcPr>
          <w:p w14:paraId="406AE989">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100≤X＜200</w:t>
            </w:r>
          </w:p>
        </w:tc>
        <w:tc>
          <w:tcPr>
            <w:tcW w:w="1588" w:type="dxa"/>
            <w:tcBorders>
              <w:top w:val="nil"/>
              <w:left w:val="nil"/>
              <w:bottom w:val="nil"/>
              <w:right w:val="single" w:color="auto" w:sz="4" w:space="0"/>
            </w:tcBorders>
            <w:noWrap/>
            <w:vAlign w:val="center"/>
          </w:tcPr>
          <w:p w14:paraId="31D70E78">
            <w:pPr>
              <w:widowControl/>
              <w:jc w:val="center"/>
              <w:rPr>
                <w:rFonts w:ascii="Times New Roman" w:hAnsi="Times New Roman"/>
                <w:kern w:val="0"/>
                <w:sz w:val="20"/>
                <w:szCs w:val="20"/>
              </w:rPr>
            </w:pPr>
            <w:r>
              <w:rPr>
                <w:rFonts w:ascii="Times New Roman" w:hAnsi="Times New Roman"/>
                <w:kern w:val="0"/>
                <w:sz w:val="20"/>
                <w:szCs w:val="20"/>
              </w:rPr>
              <w:t xml:space="preserve"> 20≤X＜100</w:t>
            </w:r>
          </w:p>
        </w:tc>
        <w:tc>
          <w:tcPr>
            <w:tcW w:w="1122" w:type="dxa"/>
            <w:tcBorders>
              <w:top w:val="nil"/>
              <w:left w:val="nil"/>
              <w:bottom w:val="nil"/>
              <w:right w:val="nil"/>
            </w:tcBorders>
            <w:noWrap/>
            <w:vAlign w:val="center"/>
          </w:tcPr>
          <w:p w14:paraId="5422BDDF">
            <w:pPr>
              <w:widowControl/>
              <w:jc w:val="center"/>
              <w:rPr>
                <w:rFonts w:ascii="Times New Roman" w:hAnsi="Times New Roman"/>
                <w:kern w:val="0"/>
                <w:sz w:val="20"/>
                <w:szCs w:val="20"/>
              </w:rPr>
            </w:pPr>
            <w:r>
              <w:rPr>
                <w:rFonts w:ascii="Times New Roman" w:hAnsi="Times New Roman"/>
                <w:kern w:val="0"/>
                <w:sz w:val="20"/>
                <w:szCs w:val="20"/>
              </w:rPr>
              <w:t>X＜20</w:t>
            </w:r>
          </w:p>
        </w:tc>
      </w:tr>
      <w:tr w14:paraId="64377A77">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28DAE0BA">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0BAF7A19">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77B6945F">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283C5504">
            <w:pPr>
              <w:widowControl/>
              <w:jc w:val="center"/>
              <w:rPr>
                <w:rFonts w:ascii="Times New Roman" w:hAnsi="Times New Roman"/>
                <w:kern w:val="0"/>
                <w:sz w:val="20"/>
                <w:szCs w:val="20"/>
              </w:rPr>
            </w:pPr>
            <w:r>
              <w:rPr>
                <w:rFonts w:ascii="Times New Roman" w:hAnsi="Times New Roman"/>
                <w:kern w:val="0"/>
                <w:sz w:val="20"/>
                <w:szCs w:val="20"/>
              </w:rPr>
              <w:t>Y≥30000</w:t>
            </w:r>
          </w:p>
        </w:tc>
        <w:tc>
          <w:tcPr>
            <w:tcW w:w="1828" w:type="dxa"/>
            <w:tcBorders>
              <w:top w:val="nil"/>
              <w:left w:val="nil"/>
              <w:bottom w:val="single" w:color="auto" w:sz="4" w:space="0"/>
              <w:right w:val="single" w:color="auto" w:sz="4" w:space="0"/>
            </w:tcBorders>
            <w:noWrap/>
            <w:vAlign w:val="center"/>
          </w:tcPr>
          <w:p w14:paraId="3E9CA11A">
            <w:pPr>
              <w:widowControl/>
              <w:jc w:val="center"/>
              <w:rPr>
                <w:rFonts w:ascii="Times New Roman" w:hAnsi="Times New Roman"/>
                <w:kern w:val="0"/>
                <w:sz w:val="20"/>
                <w:szCs w:val="20"/>
              </w:rPr>
            </w:pPr>
            <w:r>
              <w:rPr>
                <w:rFonts w:ascii="Times New Roman" w:hAnsi="Times New Roman"/>
                <w:kern w:val="0"/>
                <w:sz w:val="20"/>
                <w:szCs w:val="20"/>
              </w:rPr>
              <w:t>1000≤Y＜30000</w:t>
            </w:r>
          </w:p>
        </w:tc>
        <w:tc>
          <w:tcPr>
            <w:tcW w:w="1588" w:type="dxa"/>
            <w:tcBorders>
              <w:top w:val="nil"/>
              <w:left w:val="nil"/>
              <w:bottom w:val="single" w:color="auto" w:sz="4" w:space="0"/>
              <w:right w:val="single" w:color="auto" w:sz="4" w:space="0"/>
            </w:tcBorders>
            <w:noWrap/>
            <w:vAlign w:val="center"/>
          </w:tcPr>
          <w:p w14:paraId="189E3884">
            <w:pPr>
              <w:widowControl/>
              <w:jc w:val="center"/>
              <w:rPr>
                <w:rFonts w:ascii="Times New Roman" w:hAnsi="Times New Roman"/>
                <w:kern w:val="0"/>
                <w:sz w:val="20"/>
                <w:szCs w:val="20"/>
              </w:rPr>
            </w:pPr>
            <w:r>
              <w:rPr>
                <w:rFonts w:ascii="Times New Roman" w:hAnsi="Times New Roman"/>
                <w:kern w:val="0"/>
                <w:sz w:val="20"/>
                <w:szCs w:val="20"/>
              </w:rPr>
              <w:t xml:space="preserve"> 100≤Y＜1000</w:t>
            </w:r>
          </w:p>
        </w:tc>
        <w:tc>
          <w:tcPr>
            <w:tcW w:w="1122" w:type="dxa"/>
            <w:tcBorders>
              <w:top w:val="nil"/>
              <w:left w:val="nil"/>
              <w:bottom w:val="single" w:color="auto" w:sz="4" w:space="0"/>
              <w:right w:val="nil"/>
            </w:tcBorders>
            <w:noWrap/>
            <w:vAlign w:val="center"/>
          </w:tcPr>
          <w:p w14:paraId="1F3CF46B">
            <w:pPr>
              <w:widowControl/>
              <w:jc w:val="center"/>
              <w:rPr>
                <w:rFonts w:ascii="Times New Roman" w:hAnsi="Times New Roman"/>
                <w:kern w:val="0"/>
                <w:sz w:val="20"/>
                <w:szCs w:val="20"/>
              </w:rPr>
            </w:pPr>
            <w:r>
              <w:rPr>
                <w:rFonts w:ascii="Times New Roman" w:hAnsi="Times New Roman"/>
                <w:kern w:val="0"/>
                <w:sz w:val="20"/>
                <w:szCs w:val="20"/>
              </w:rPr>
              <w:t>Y＜100</w:t>
            </w:r>
          </w:p>
        </w:tc>
      </w:tr>
      <w:tr w14:paraId="0C52EB76">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7D0A11AA">
            <w:pPr>
              <w:widowControl/>
              <w:spacing w:line="240" w:lineRule="exact"/>
              <w:jc w:val="left"/>
              <w:rPr>
                <w:rFonts w:ascii="Times New Roman" w:hAnsi="Times New Roman"/>
                <w:kern w:val="0"/>
                <w:sz w:val="20"/>
                <w:szCs w:val="20"/>
              </w:rPr>
            </w:pPr>
            <w:r>
              <w:rPr>
                <w:rFonts w:ascii="Times New Roman" w:hAnsi="Times New Roman"/>
                <w:kern w:val="0"/>
                <w:sz w:val="20"/>
                <w:szCs w:val="20"/>
              </w:rPr>
              <w:t>邮政业</w:t>
            </w:r>
          </w:p>
        </w:tc>
        <w:tc>
          <w:tcPr>
            <w:tcW w:w="1369" w:type="dxa"/>
            <w:tcBorders>
              <w:top w:val="nil"/>
              <w:left w:val="nil"/>
              <w:bottom w:val="nil"/>
              <w:right w:val="single" w:color="auto" w:sz="4" w:space="0"/>
            </w:tcBorders>
            <w:noWrap/>
            <w:vAlign w:val="center"/>
          </w:tcPr>
          <w:p w14:paraId="4A8E41FF">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5CC8B40B">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676EC5BD">
            <w:pPr>
              <w:widowControl/>
              <w:jc w:val="center"/>
              <w:rPr>
                <w:rFonts w:ascii="Times New Roman" w:hAnsi="Times New Roman"/>
                <w:kern w:val="0"/>
                <w:sz w:val="20"/>
                <w:szCs w:val="20"/>
              </w:rPr>
            </w:pPr>
            <w:r>
              <w:rPr>
                <w:rFonts w:ascii="Times New Roman" w:hAnsi="Times New Roman"/>
                <w:kern w:val="0"/>
                <w:sz w:val="20"/>
                <w:szCs w:val="20"/>
              </w:rPr>
              <w:t>X≥1000</w:t>
            </w:r>
          </w:p>
        </w:tc>
        <w:tc>
          <w:tcPr>
            <w:tcW w:w="1828" w:type="dxa"/>
            <w:tcBorders>
              <w:top w:val="nil"/>
              <w:left w:val="nil"/>
              <w:bottom w:val="nil"/>
              <w:right w:val="single" w:color="auto" w:sz="4" w:space="0"/>
            </w:tcBorders>
            <w:noWrap/>
            <w:vAlign w:val="center"/>
          </w:tcPr>
          <w:p w14:paraId="089B6E34">
            <w:pPr>
              <w:widowControl/>
              <w:jc w:val="center"/>
              <w:rPr>
                <w:rFonts w:ascii="Times New Roman" w:hAnsi="Times New Roman"/>
                <w:kern w:val="0"/>
                <w:sz w:val="20"/>
                <w:szCs w:val="20"/>
              </w:rPr>
            </w:pPr>
            <w:r>
              <w:rPr>
                <w:rFonts w:ascii="Times New Roman" w:hAnsi="Times New Roman"/>
                <w:kern w:val="0"/>
                <w:sz w:val="20"/>
                <w:szCs w:val="20"/>
              </w:rPr>
              <w:t>300≤X＜1000</w:t>
            </w:r>
          </w:p>
        </w:tc>
        <w:tc>
          <w:tcPr>
            <w:tcW w:w="1588" w:type="dxa"/>
            <w:tcBorders>
              <w:top w:val="nil"/>
              <w:left w:val="nil"/>
              <w:bottom w:val="nil"/>
              <w:right w:val="single" w:color="auto" w:sz="4" w:space="0"/>
            </w:tcBorders>
            <w:noWrap/>
            <w:vAlign w:val="center"/>
          </w:tcPr>
          <w:p w14:paraId="56B41077">
            <w:pPr>
              <w:widowControl/>
              <w:jc w:val="center"/>
              <w:rPr>
                <w:rFonts w:ascii="Times New Roman" w:hAnsi="Times New Roman"/>
                <w:kern w:val="0"/>
                <w:sz w:val="20"/>
                <w:szCs w:val="20"/>
              </w:rPr>
            </w:pPr>
            <w:r>
              <w:rPr>
                <w:rFonts w:ascii="Times New Roman" w:hAnsi="Times New Roman"/>
                <w:kern w:val="0"/>
                <w:sz w:val="20"/>
                <w:szCs w:val="20"/>
              </w:rPr>
              <w:t xml:space="preserve"> 20≤X＜300</w:t>
            </w:r>
          </w:p>
        </w:tc>
        <w:tc>
          <w:tcPr>
            <w:tcW w:w="1122" w:type="dxa"/>
            <w:tcBorders>
              <w:top w:val="nil"/>
              <w:left w:val="nil"/>
              <w:bottom w:val="nil"/>
              <w:right w:val="nil"/>
            </w:tcBorders>
            <w:noWrap/>
            <w:vAlign w:val="center"/>
          </w:tcPr>
          <w:p w14:paraId="5A4A35B1">
            <w:pPr>
              <w:widowControl/>
              <w:jc w:val="center"/>
              <w:rPr>
                <w:rFonts w:ascii="Times New Roman" w:hAnsi="Times New Roman"/>
                <w:kern w:val="0"/>
                <w:sz w:val="20"/>
                <w:szCs w:val="20"/>
              </w:rPr>
            </w:pPr>
            <w:r>
              <w:rPr>
                <w:rFonts w:ascii="Times New Roman" w:hAnsi="Times New Roman"/>
                <w:kern w:val="0"/>
                <w:sz w:val="20"/>
                <w:szCs w:val="20"/>
              </w:rPr>
              <w:t>X＜20</w:t>
            </w:r>
          </w:p>
        </w:tc>
      </w:tr>
      <w:tr w14:paraId="1778522A">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5C060665">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4AB11A80">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0BE132F9">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23B8FA73">
            <w:pPr>
              <w:widowControl/>
              <w:jc w:val="center"/>
              <w:rPr>
                <w:rFonts w:ascii="Times New Roman" w:hAnsi="Times New Roman"/>
                <w:kern w:val="0"/>
                <w:sz w:val="20"/>
                <w:szCs w:val="20"/>
              </w:rPr>
            </w:pPr>
            <w:r>
              <w:rPr>
                <w:rFonts w:ascii="Times New Roman" w:hAnsi="Times New Roman"/>
                <w:kern w:val="0"/>
                <w:sz w:val="20"/>
                <w:szCs w:val="20"/>
              </w:rPr>
              <w:t>Y≥30000</w:t>
            </w:r>
          </w:p>
        </w:tc>
        <w:tc>
          <w:tcPr>
            <w:tcW w:w="1828" w:type="dxa"/>
            <w:tcBorders>
              <w:top w:val="nil"/>
              <w:left w:val="nil"/>
              <w:bottom w:val="single" w:color="auto" w:sz="4" w:space="0"/>
              <w:right w:val="single" w:color="auto" w:sz="4" w:space="0"/>
            </w:tcBorders>
            <w:noWrap/>
            <w:vAlign w:val="center"/>
          </w:tcPr>
          <w:p w14:paraId="24178369">
            <w:pPr>
              <w:widowControl/>
              <w:jc w:val="center"/>
              <w:rPr>
                <w:rFonts w:ascii="Times New Roman" w:hAnsi="Times New Roman"/>
                <w:kern w:val="0"/>
                <w:sz w:val="20"/>
                <w:szCs w:val="20"/>
              </w:rPr>
            </w:pPr>
            <w:r>
              <w:rPr>
                <w:rFonts w:ascii="Times New Roman" w:hAnsi="Times New Roman"/>
                <w:kern w:val="0"/>
                <w:sz w:val="20"/>
                <w:szCs w:val="20"/>
              </w:rPr>
              <w:t>2000≤Y＜30000</w:t>
            </w:r>
          </w:p>
        </w:tc>
        <w:tc>
          <w:tcPr>
            <w:tcW w:w="1588" w:type="dxa"/>
            <w:tcBorders>
              <w:top w:val="nil"/>
              <w:left w:val="nil"/>
              <w:bottom w:val="single" w:color="auto" w:sz="4" w:space="0"/>
              <w:right w:val="single" w:color="auto" w:sz="4" w:space="0"/>
            </w:tcBorders>
            <w:noWrap/>
            <w:vAlign w:val="center"/>
          </w:tcPr>
          <w:p w14:paraId="0000D010">
            <w:pPr>
              <w:widowControl/>
              <w:jc w:val="center"/>
              <w:rPr>
                <w:rFonts w:ascii="Times New Roman" w:hAnsi="Times New Roman"/>
                <w:kern w:val="0"/>
                <w:sz w:val="20"/>
                <w:szCs w:val="20"/>
              </w:rPr>
            </w:pPr>
            <w:r>
              <w:rPr>
                <w:rFonts w:ascii="Times New Roman" w:hAnsi="Times New Roman"/>
                <w:kern w:val="0"/>
                <w:sz w:val="20"/>
                <w:szCs w:val="20"/>
              </w:rPr>
              <w:t xml:space="preserve"> 100≤Y＜2000</w:t>
            </w:r>
          </w:p>
        </w:tc>
        <w:tc>
          <w:tcPr>
            <w:tcW w:w="1122" w:type="dxa"/>
            <w:tcBorders>
              <w:top w:val="nil"/>
              <w:left w:val="nil"/>
              <w:bottom w:val="single" w:color="auto" w:sz="4" w:space="0"/>
              <w:right w:val="nil"/>
            </w:tcBorders>
            <w:noWrap/>
            <w:vAlign w:val="center"/>
          </w:tcPr>
          <w:p w14:paraId="58A42875">
            <w:pPr>
              <w:widowControl/>
              <w:jc w:val="center"/>
              <w:rPr>
                <w:rFonts w:ascii="Times New Roman" w:hAnsi="Times New Roman"/>
                <w:kern w:val="0"/>
                <w:sz w:val="20"/>
                <w:szCs w:val="20"/>
              </w:rPr>
            </w:pPr>
            <w:r>
              <w:rPr>
                <w:rFonts w:ascii="Times New Roman" w:hAnsi="Times New Roman"/>
                <w:kern w:val="0"/>
                <w:sz w:val="20"/>
                <w:szCs w:val="20"/>
              </w:rPr>
              <w:t>Y＜100</w:t>
            </w:r>
          </w:p>
        </w:tc>
      </w:tr>
      <w:tr w14:paraId="7C342B40">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0CBD4D50">
            <w:pPr>
              <w:widowControl/>
              <w:spacing w:line="240" w:lineRule="exact"/>
              <w:jc w:val="left"/>
              <w:rPr>
                <w:rFonts w:ascii="Times New Roman" w:hAnsi="Times New Roman"/>
                <w:kern w:val="0"/>
                <w:sz w:val="20"/>
                <w:szCs w:val="20"/>
              </w:rPr>
            </w:pPr>
            <w:r>
              <w:rPr>
                <w:rFonts w:ascii="Times New Roman" w:hAnsi="Times New Roman"/>
                <w:kern w:val="0"/>
                <w:sz w:val="20"/>
                <w:szCs w:val="20"/>
              </w:rPr>
              <w:t>住宿业</w:t>
            </w:r>
          </w:p>
        </w:tc>
        <w:tc>
          <w:tcPr>
            <w:tcW w:w="1369" w:type="dxa"/>
            <w:tcBorders>
              <w:top w:val="nil"/>
              <w:left w:val="nil"/>
              <w:bottom w:val="nil"/>
              <w:right w:val="single" w:color="auto" w:sz="4" w:space="0"/>
            </w:tcBorders>
            <w:noWrap/>
            <w:vAlign w:val="center"/>
          </w:tcPr>
          <w:p w14:paraId="0A1A1B1C">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36B05FA3">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5B87D0DC">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ign w:val="center"/>
          </w:tcPr>
          <w:p w14:paraId="7A44501D">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nil"/>
              <w:right w:val="single" w:color="auto" w:sz="4" w:space="0"/>
            </w:tcBorders>
            <w:noWrap/>
            <w:vAlign w:val="center"/>
          </w:tcPr>
          <w:p w14:paraId="09C2E54C">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ign w:val="center"/>
          </w:tcPr>
          <w:p w14:paraId="06CABBC7">
            <w:pPr>
              <w:widowControl/>
              <w:jc w:val="center"/>
              <w:rPr>
                <w:rFonts w:ascii="Times New Roman" w:hAnsi="Times New Roman"/>
                <w:kern w:val="0"/>
                <w:sz w:val="20"/>
                <w:szCs w:val="20"/>
              </w:rPr>
            </w:pPr>
            <w:r>
              <w:rPr>
                <w:rFonts w:ascii="Times New Roman" w:hAnsi="Times New Roman"/>
                <w:kern w:val="0"/>
                <w:sz w:val="20"/>
                <w:szCs w:val="20"/>
              </w:rPr>
              <w:t>X＜10</w:t>
            </w:r>
          </w:p>
        </w:tc>
      </w:tr>
      <w:tr w14:paraId="2860B1B7">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41A0F080">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206F6D90">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1B018B3C">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7966F4D2">
            <w:pPr>
              <w:widowControl/>
              <w:jc w:val="center"/>
              <w:rPr>
                <w:rFonts w:ascii="Times New Roman" w:hAnsi="Times New Roman"/>
                <w:kern w:val="0"/>
                <w:sz w:val="20"/>
                <w:szCs w:val="20"/>
              </w:rPr>
            </w:pPr>
            <w:r>
              <w:rPr>
                <w:rFonts w:ascii="Times New Roman" w:hAnsi="Times New Roman"/>
                <w:kern w:val="0"/>
                <w:sz w:val="20"/>
                <w:szCs w:val="20"/>
              </w:rPr>
              <w:t>Y≥10000</w:t>
            </w:r>
          </w:p>
        </w:tc>
        <w:tc>
          <w:tcPr>
            <w:tcW w:w="1828" w:type="dxa"/>
            <w:tcBorders>
              <w:top w:val="nil"/>
              <w:left w:val="nil"/>
              <w:bottom w:val="single" w:color="auto" w:sz="4" w:space="0"/>
              <w:right w:val="single" w:color="auto" w:sz="4" w:space="0"/>
            </w:tcBorders>
            <w:noWrap/>
            <w:vAlign w:val="center"/>
          </w:tcPr>
          <w:p w14:paraId="6EF7968A">
            <w:pPr>
              <w:widowControl/>
              <w:jc w:val="center"/>
              <w:rPr>
                <w:rFonts w:ascii="Times New Roman" w:hAnsi="Times New Roman"/>
                <w:kern w:val="0"/>
                <w:sz w:val="20"/>
                <w:szCs w:val="20"/>
              </w:rPr>
            </w:pPr>
            <w:r>
              <w:rPr>
                <w:rFonts w:ascii="Times New Roman" w:hAnsi="Times New Roman"/>
                <w:kern w:val="0"/>
                <w:sz w:val="20"/>
                <w:szCs w:val="20"/>
              </w:rPr>
              <w:t>2000≤Y＜10000</w:t>
            </w:r>
          </w:p>
        </w:tc>
        <w:tc>
          <w:tcPr>
            <w:tcW w:w="1588" w:type="dxa"/>
            <w:tcBorders>
              <w:top w:val="nil"/>
              <w:left w:val="nil"/>
              <w:bottom w:val="single" w:color="auto" w:sz="4" w:space="0"/>
              <w:right w:val="single" w:color="auto" w:sz="4" w:space="0"/>
            </w:tcBorders>
            <w:noWrap/>
            <w:vAlign w:val="center"/>
          </w:tcPr>
          <w:p w14:paraId="6FD03322">
            <w:pPr>
              <w:widowControl/>
              <w:jc w:val="center"/>
              <w:rPr>
                <w:rFonts w:ascii="Times New Roman" w:hAnsi="Times New Roman"/>
                <w:kern w:val="0"/>
                <w:sz w:val="20"/>
                <w:szCs w:val="20"/>
              </w:rPr>
            </w:pPr>
            <w:r>
              <w:rPr>
                <w:rFonts w:ascii="Times New Roman" w:hAnsi="Times New Roman"/>
                <w:kern w:val="0"/>
                <w:sz w:val="20"/>
                <w:szCs w:val="20"/>
              </w:rPr>
              <w:t xml:space="preserve"> 100≤Y＜2000</w:t>
            </w:r>
          </w:p>
        </w:tc>
        <w:tc>
          <w:tcPr>
            <w:tcW w:w="1122" w:type="dxa"/>
            <w:tcBorders>
              <w:top w:val="nil"/>
              <w:left w:val="nil"/>
              <w:bottom w:val="single" w:color="auto" w:sz="4" w:space="0"/>
              <w:right w:val="nil"/>
            </w:tcBorders>
            <w:noWrap/>
            <w:vAlign w:val="center"/>
          </w:tcPr>
          <w:p w14:paraId="308BC90A">
            <w:pPr>
              <w:widowControl/>
              <w:jc w:val="center"/>
              <w:rPr>
                <w:rFonts w:ascii="Times New Roman" w:hAnsi="Times New Roman"/>
                <w:kern w:val="0"/>
                <w:sz w:val="20"/>
                <w:szCs w:val="20"/>
              </w:rPr>
            </w:pPr>
            <w:r>
              <w:rPr>
                <w:rFonts w:ascii="Times New Roman" w:hAnsi="Times New Roman"/>
                <w:kern w:val="0"/>
                <w:sz w:val="20"/>
                <w:szCs w:val="20"/>
              </w:rPr>
              <w:t>Y＜100</w:t>
            </w:r>
          </w:p>
        </w:tc>
      </w:tr>
      <w:tr w14:paraId="7A0F8034">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3631AC06">
            <w:pPr>
              <w:widowControl/>
              <w:spacing w:line="240" w:lineRule="exact"/>
              <w:jc w:val="left"/>
              <w:rPr>
                <w:rFonts w:ascii="Times New Roman" w:hAnsi="Times New Roman"/>
                <w:kern w:val="0"/>
                <w:sz w:val="20"/>
                <w:szCs w:val="20"/>
              </w:rPr>
            </w:pPr>
            <w:r>
              <w:rPr>
                <w:rFonts w:ascii="Times New Roman" w:hAnsi="Times New Roman"/>
                <w:kern w:val="0"/>
                <w:sz w:val="20"/>
                <w:szCs w:val="20"/>
              </w:rPr>
              <w:t>餐饮业</w:t>
            </w:r>
          </w:p>
        </w:tc>
        <w:tc>
          <w:tcPr>
            <w:tcW w:w="1369" w:type="dxa"/>
            <w:tcBorders>
              <w:top w:val="nil"/>
              <w:left w:val="nil"/>
              <w:bottom w:val="nil"/>
              <w:right w:val="single" w:color="auto" w:sz="4" w:space="0"/>
            </w:tcBorders>
            <w:noWrap/>
            <w:vAlign w:val="center"/>
          </w:tcPr>
          <w:p w14:paraId="0A380921">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358CD4FA">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10E19B72">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ign w:val="center"/>
          </w:tcPr>
          <w:p w14:paraId="4133F3D5">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nil"/>
              <w:right w:val="single" w:color="auto" w:sz="4" w:space="0"/>
            </w:tcBorders>
            <w:noWrap/>
            <w:vAlign w:val="center"/>
          </w:tcPr>
          <w:p w14:paraId="31492B2C">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ign w:val="center"/>
          </w:tcPr>
          <w:p w14:paraId="7B337008">
            <w:pPr>
              <w:widowControl/>
              <w:jc w:val="center"/>
              <w:rPr>
                <w:rFonts w:ascii="Times New Roman" w:hAnsi="Times New Roman"/>
                <w:kern w:val="0"/>
                <w:sz w:val="20"/>
                <w:szCs w:val="20"/>
              </w:rPr>
            </w:pPr>
            <w:r>
              <w:rPr>
                <w:rFonts w:ascii="Times New Roman" w:hAnsi="Times New Roman"/>
                <w:kern w:val="0"/>
                <w:sz w:val="20"/>
                <w:szCs w:val="20"/>
              </w:rPr>
              <w:t>X＜10</w:t>
            </w:r>
          </w:p>
        </w:tc>
      </w:tr>
      <w:tr w14:paraId="4D196F10">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19352F5A">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78AD5477">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46EBA09D">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4E0C8685">
            <w:pPr>
              <w:widowControl/>
              <w:jc w:val="center"/>
              <w:rPr>
                <w:rFonts w:ascii="Times New Roman" w:hAnsi="Times New Roman"/>
                <w:kern w:val="0"/>
                <w:sz w:val="20"/>
                <w:szCs w:val="20"/>
              </w:rPr>
            </w:pPr>
            <w:r>
              <w:rPr>
                <w:rFonts w:ascii="Times New Roman" w:hAnsi="Times New Roman"/>
                <w:kern w:val="0"/>
                <w:sz w:val="20"/>
                <w:szCs w:val="20"/>
              </w:rPr>
              <w:t>Y≥10000</w:t>
            </w:r>
          </w:p>
        </w:tc>
        <w:tc>
          <w:tcPr>
            <w:tcW w:w="1828" w:type="dxa"/>
            <w:tcBorders>
              <w:top w:val="nil"/>
              <w:left w:val="nil"/>
              <w:bottom w:val="single" w:color="auto" w:sz="4" w:space="0"/>
              <w:right w:val="single" w:color="auto" w:sz="4" w:space="0"/>
            </w:tcBorders>
            <w:noWrap/>
            <w:vAlign w:val="center"/>
          </w:tcPr>
          <w:p w14:paraId="25ADC234">
            <w:pPr>
              <w:widowControl/>
              <w:jc w:val="center"/>
              <w:rPr>
                <w:rFonts w:ascii="Times New Roman" w:hAnsi="Times New Roman"/>
                <w:kern w:val="0"/>
                <w:sz w:val="20"/>
                <w:szCs w:val="20"/>
              </w:rPr>
            </w:pPr>
            <w:r>
              <w:rPr>
                <w:rFonts w:ascii="Times New Roman" w:hAnsi="Times New Roman"/>
                <w:kern w:val="0"/>
                <w:sz w:val="20"/>
                <w:szCs w:val="20"/>
              </w:rPr>
              <w:t>2000≤Y＜10000</w:t>
            </w:r>
          </w:p>
        </w:tc>
        <w:tc>
          <w:tcPr>
            <w:tcW w:w="1588" w:type="dxa"/>
            <w:tcBorders>
              <w:top w:val="nil"/>
              <w:left w:val="nil"/>
              <w:bottom w:val="single" w:color="auto" w:sz="4" w:space="0"/>
              <w:right w:val="single" w:color="auto" w:sz="4" w:space="0"/>
            </w:tcBorders>
            <w:noWrap/>
            <w:vAlign w:val="center"/>
          </w:tcPr>
          <w:p w14:paraId="6A5C9DA8">
            <w:pPr>
              <w:widowControl/>
              <w:jc w:val="center"/>
              <w:rPr>
                <w:rFonts w:ascii="Times New Roman" w:hAnsi="Times New Roman"/>
                <w:kern w:val="0"/>
                <w:sz w:val="20"/>
                <w:szCs w:val="20"/>
              </w:rPr>
            </w:pPr>
            <w:r>
              <w:rPr>
                <w:rFonts w:ascii="Times New Roman" w:hAnsi="Times New Roman"/>
                <w:kern w:val="0"/>
                <w:sz w:val="20"/>
                <w:szCs w:val="20"/>
              </w:rPr>
              <w:t xml:space="preserve"> 100≤Y＜2000</w:t>
            </w:r>
          </w:p>
        </w:tc>
        <w:tc>
          <w:tcPr>
            <w:tcW w:w="1122" w:type="dxa"/>
            <w:tcBorders>
              <w:top w:val="nil"/>
              <w:left w:val="nil"/>
              <w:bottom w:val="single" w:color="auto" w:sz="4" w:space="0"/>
              <w:right w:val="nil"/>
            </w:tcBorders>
            <w:noWrap/>
            <w:vAlign w:val="center"/>
          </w:tcPr>
          <w:p w14:paraId="064E4DCC">
            <w:pPr>
              <w:widowControl/>
              <w:jc w:val="center"/>
              <w:rPr>
                <w:rFonts w:ascii="Times New Roman" w:hAnsi="Times New Roman"/>
                <w:kern w:val="0"/>
                <w:sz w:val="20"/>
                <w:szCs w:val="20"/>
              </w:rPr>
            </w:pPr>
            <w:r>
              <w:rPr>
                <w:rFonts w:ascii="Times New Roman" w:hAnsi="Times New Roman"/>
                <w:kern w:val="0"/>
                <w:sz w:val="20"/>
                <w:szCs w:val="20"/>
              </w:rPr>
              <w:t>Y＜100</w:t>
            </w:r>
          </w:p>
        </w:tc>
      </w:tr>
      <w:tr w14:paraId="52395596">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5ED7BCA0">
            <w:pPr>
              <w:widowControl/>
              <w:spacing w:line="240" w:lineRule="exact"/>
              <w:jc w:val="left"/>
              <w:rPr>
                <w:rFonts w:ascii="Times New Roman" w:hAnsi="Times New Roman"/>
                <w:kern w:val="0"/>
                <w:sz w:val="20"/>
                <w:szCs w:val="20"/>
              </w:rPr>
            </w:pPr>
            <w:r>
              <w:rPr>
                <w:rFonts w:ascii="Times New Roman" w:hAnsi="Times New Roman"/>
                <w:kern w:val="0"/>
                <w:sz w:val="20"/>
                <w:szCs w:val="20"/>
              </w:rPr>
              <w:t>信息传输业 *</w:t>
            </w:r>
          </w:p>
        </w:tc>
        <w:tc>
          <w:tcPr>
            <w:tcW w:w="1369" w:type="dxa"/>
            <w:tcBorders>
              <w:top w:val="nil"/>
              <w:left w:val="nil"/>
              <w:bottom w:val="nil"/>
              <w:right w:val="single" w:color="auto" w:sz="4" w:space="0"/>
            </w:tcBorders>
            <w:noWrap/>
            <w:vAlign w:val="center"/>
          </w:tcPr>
          <w:p w14:paraId="5B710BB3">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49FF0EE0">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28FD36A7">
            <w:pPr>
              <w:widowControl/>
              <w:jc w:val="center"/>
              <w:rPr>
                <w:rFonts w:ascii="Times New Roman" w:hAnsi="Times New Roman"/>
                <w:kern w:val="0"/>
                <w:sz w:val="20"/>
                <w:szCs w:val="20"/>
              </w:rPr>
            </w:pPr>
            <w:r>
              <w:rPr>
                <w:rFonts w:ascii="Times New Roman" w:hAnsi="Times New Roman"/>
                <w:kern w:val="0"/>
                <w:sz w:val="20"/>
                <w:szCs w:val="20"/>
              </w:rPr>
              <w:t>X≥2000</w:t>
            </w:r>
          </w:p>
        </w:tc>
        <w:tc>
          <w:tcPr>
            <w:tcW w:w="1828" w:type="dxa"/>
            <w:tcBorders>
              <w:top w:val="nil"/>
              <w:left w:val="nil"/>
              <w:bottom w:val="nil"/>
              <w:right w:val="single" w:color="auto" w:sz="4" w:space="0"/>
            </w:tcBorders>
            <w:noWrap/>
            <w:vAlign w:val="center"/>
          </w:tcPr>
          <w:p w14:paraId="3478B439">
            <w:pPr>
              <w:widowControl/>
              <w:jc w:val="center"/>
              <w:rPr>
                <w:rFonts w:ascii="Times New Roman" w:hAnsi="Times New Roman"/>
                <w:kern w:val="0"/>
                <w:sz w:val="20"/>
                <w:szCs w:val="20"/>
              </w:rPr>
            </w:pPr>
            <w:r>
              <w:rPr>
                <w:rFonts w:ascii="Times New Roman" w:hAnsi="Times New Roman"/>
                <w:kern w:val="0"/>
                <w:sz w:val="20"/>
                <w:szCs w:val="20"/>
              </w:rPr>
              <w:t>100≤X＜2000</w:t>
            </w:r>
          </w:p>
        </w:tc>
        <w:tc>
          <w:tcPr>
            <w:tcW w:w="1588" w:type="dxa"/>
            <w:tcBorders>
              <w:top w:val="nil"/>
              <w:left w:val="nil"/>
              <w:bottom w:val="nil"/>
              <w:right w:val="single" w:color="auto" w:sz="4" w:space="0"/>
            </w:tcBorders>
            <w:noWrap/>
            <w:vAlign w:val="center"/>
          </w:tcPr>
          <w:p w14:paraId="14857BA8">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ign w:val="center"/>
          </w:tcPr>
          <w:p w14:paraId="74359AD9">
            <w:pPr>
              <w:widowControl/>
              <w:jc w:val="center"/>
              <w:rPr>
                <w:rFonts w:ascii="Times New Roman" w:hAnsi="Times New Roman"/>
                <w:kern w:val="0"/>
                <w:sz w:val="20"/>
                <w:szCs w:val="20"/>
              </w:rPr>
            </w:pPr>
            <w:r>
              <w:rPr>
                <w:rFonts w:ascii="Times New Roman" w:hAnsi="Times New Roman"/>
                <w:kern w:val="0"/>
                <w:sz w:val="20"/>
                <w:szCs w:val="20"/>
              </w:rPr>
              <w:t>X＜10</w:t>
            </w:r>
          </w:p>
        </w:tc>
      </w:tr>
      <w:tr w14:paraId="235D2747">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4074E2DC">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3A1D0C24">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56ED96EF">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5D75191F">
            <w:pPr>
              <w:widowControl/>
              <w:jc w:val="center"/>
              <w:rPr>
                <w:rFonts w:ascii="Times New Roman" w:hAnsi="Times New Roman"/>
                <w:kern w:val="0"/>
                <w:sz w:val="20"/>
                <w:szCs w:val="20"/>
              </w:rPr>
            </w:pPr>
            <w:r>
              <w:rPr>
                <w:rFonts w:ascii="Times New Roman" w:hAnsi="Times New Roman"/>
                <w:kern w:val="0"/>
                <w:sz w:val="20"/>
                <w:szCs w:val="20"/>
              </w:rPr>
              <w:t>Y≥100000</w:t>
            </w:r>
          </w:p>
        </w:tc>
        <w:tc>
          <w:tcPr>
            <w:tcW w:w="1828" w:type="dxa"/>
            <w:tcBorders>
              <w:top w:val="nil"/>
              <w:left w:val="nil"/>
              <w:bottom w:val="single" w:color="auto" w:sz="4" w:space="0"/>
              <w:right w:val="single" w:color="auto" w:sz="4" w:space="0"/>
            </w:tcBorders>
            <w:noWrap/>
            <w:vAlign w:val="center"/>
          </w:tcPr>
          <w:p w14:paraId="2B7E0C19">
            <w:pPr>
              <w:widowControl/>
              <w:jc w:val="center"/>
              <w:rPr>
                <w:rFonts w:ascii="Times New Roman" w:hAnsi="Times New Roman"/>
                <w:kern w:val="0"/>
                <w:sz w:val="20"/>
                <w:szCs w:val="20"/>
              </w:rPr>
            </w:pPr>
            <w:r>
              <w:rPr>
                <w:rFonts w:ascii="Times New Roman" w:hAnsi="Times New Roman"/>
                <w:kern w:val="0"/>
                <w:sz w:val="20"/>
                <w:szCs w:val="20"/>
              </w:rPr>
              <w:t xml:space="preserve"> 1000≤Y＜100000</w:t>
            </w:r>
          </w:p>
        </w:tc>
        <w:tc>
          <w:tcPr>
            <w:tcW w:w="1588" w:type="dxa"/>
            <w:tcBorders>
              <w:top w:val="nil"/>
              <w:left w:val="nil"/>
              <w:bottom w:val="single" w:color="auto" w:sz="4" w:space="0"/>
              <w:right w:val="single" w:color="auto" w:sz="4" w:space="0"/>
            </w:tcBorders>
            <w:noWrap/>
            <w:vAlign w:val="center"/>
          </w:tcPr>
          <w:p w14:paraId="7413A7EA">
            <w:pPr>
              <w:widowControl/>
              <w:jc w:val="center"/>
              <w:rPr>
                <w:rFonts w:ascii="Times New Roman" w:hAnsi="Times New Roman"/>
                <w:kern w:val="0"/>
                <w:sz w:val="20"/>
                <w:szCs w:val="20"/>
              </w:rPr>
            </w:pPr>
            <w:r>
              <w:rPr>
                <w:rFonts w:ascii="Times New Roman" w:hAnsi="Times New Roman"/>
                <w:kern w:val="0"/>
                <w:sz w:val="20"/>
                <w:szCs w:val="20"/>
              </w:rPr>
              <w:t xml:space="preserve"> 100≤Y＜1000</w:t>
            </w:r>
          </w:p>
        </w:tc>
        <w:tc>
          <w:tcPr>
            <w:tcW w:w="1122" w:type="dxa"/>
            <w:tcBorders>
              <w:top w:val="nil"/>
              <w:left w:val="nil"/>
              <w:bottom w:val="single" w:color="auto" w:sz="4" w:space="0"/>
              <w:right w:val="nil"/>
            </w:tcBorders>
            <w:noWrap/>
            <w:vAlign w:val="center"/>
          </w:tcPr>
          <w:p w14:paraId="53485D62">
            <w:pPr>
              <w:widowControl/>
              <w:jc w:val="center"/>
              <w:rPr>
                <w:rFonts w:ascii="Times New Roman" w:hAnsi="Times New Roman"/>
                <w:kern w:val="0"/>
                <w:sz w:val="20"/>
                <w:szCs w:val="20"/>
              </w:rPr>
            </w:pPr>
            <w:r>
              <w:rPr>
                <w:rFonts w:ascii="Times New Roman" w:hAnsi="Times New Roman"/>
                <w:kern w:val="0"/>
                <w:sz w:val="20"/>
                <w:szCs w:val="20"/>
              </w:rPr>
              <w:t>Y＜100</w:t>
            </w:r>
          </w:p>
        </w:tc>
      </w:tr>
      <w:tr w14:paraId="1B4F33CC">
        <w:tblPrEx>
          <w:tblCellMar>
            <w:top w:w="0" w:type="dxa"/>
            <w:left w:w="108" w:type="dxa"/>
            <w:bottom w:w="0" w:type="dxa"/>
            <w:right w:w="108" w:type="dxa"/>
          </w:tblCellMar>
        </w:tblPrEx>
        <w:trPr>
          <w:trHeight w:val="340" w:hRule="exact"/>
          <w:jc w:val="center"/>
        </w:trPr>
        <w:tc>
          <w:tcPr>
            <w:tcW w:w="2023" w:type="dxa"/>
            <w:vMerge w:val="restart"/>
            <w:tcBorders>
              <w:top w:val="single" w:color="auto" w:sz="4" w:space="0"/>
              <w:left w:val="nil"/>
              <w:bottom w:val="single" w:color="auto" w:sz="4" w:space="0"/>
              <w:right w:val="single" w:color="auto" w:sz="4" w:space="0"/>
            </w:tcBorders>
            <w:noWrap/>
            <w:vAlign w:val="center"/>
          </w:tcPr>
          <w:p w14:paraId="43E36453">
            <w:pPr>
              <w:widowControl/>
              <w:spacing w:line="240" w:lineRule="exact"/>
              <w:jc w:val="left"/>
              <w:rPr>
                <w:rFonts w:ascii="Times New Roman" w:hAnsi="Times New Roman"/>
                <w:spacing w:val="-12"/>
                <w:kern w:val="0"/>
                <w:sz w:val="20"/>
                <w:szCs w:val="20"/>
              </w:rPr>
            </w:pPr>
            <w:r>
              <w:rPr>
                <w:rFonts w:ascii="Times New Roman" w:hAnsi="Times New Roman"/>
                <w:spacing w:val="-12"/>
                <w:kern w:val="0"/>
                <w:sz w:val="20"/>
                <w:szCs w:val="20"/>
              </w:rPr>
              <w:t>软件和信息技术服</w:t>
            </w:r>
            <w:r>
              <w:rPr>
                <w:rFonts w:ascii="Times New Roman" w:hAnsi="Times New Roman"/>
                <w:kern w:val="0"/>
                <w:sz w:val="20"/>
                <w:szCs w:val="20"/>
              </w:rPr>
              <w:t>务业</w:t>
            </w:r>
          </w:p>
        </w:tc>
        <w:tc>
          <w:tcPr>
            <w:tcW w:w="1369" w:type="dxa"/>
            <w:tcBorders>
              <w:top w:val="nil"/>
              <w:left w:val="nil"/>
              <w:bottom w:val="nil"/>
              <w:right w:val="single" w:color="auto" w:sz="4" w:space="0"/>
            </w:tcBorders>
            <w:noWrap/>
            <w:vAlign w:val="center"/>
          </w:tcPr>
          <w:p w14:paraId="527B1B29">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7CDED0F0">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310741FB">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ign w:val="center"/>
          </w:tcPr>
          <w:p w14:paraId="0E762716">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nil"/>
              <w:right w:val="single" w:color="auto" w:sz="4" w:space="0"/>
            </w:tcBorders>
            <w:noWrap/>
            <w:vAlign w:val="center"/>
          </w:tcPr>
          <w:p w14:paraId="07190132">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ign w:val="center"/>
          </w:tcPr>
          <w:p w14:paraId="3175E945">
            <w:pPr>
              <w:widowControl/>
              <w:jc w:val="center"/>
              <w:rPr>
                <w:rFonts w:ascii="Times New Roman" w:hAnsi="Times New Roman"/>
                <w:kern w:val="0"/>
                <w:sz w:val="20"/>
                <w:szCs w:val="20"/>
              </w:rPr>
            </w:pPr>
            <w:r>
              <w:rPr>
                <w:rFonts w:ascii="Times New Roman" w:hAnsi="Times New Roman"/>
                <w:kern w:val="0"/>
                <w:sz w:val="20"/>
                <w:szCs w:val="20"/>
              </w:rPr>
              <w:t>X＜10</w:t>
            </w:r>
          </w:p>
        </w:tc>
      </w:tr>
      <w:tr w14:paraId="3DAB50F5">
        <w:tblPrEx>
          <w:tblCellMar>
            <w:top w:w="0" w:type="dxa"/>
            <w:left w:w="108" w:type="dxa"/>
            <w:bottom w:w="0" w:type="dxa"/>
            <w:right w:w="108" w:type="dxa"/>
          </w:tblCellMar>
        </w:tblPrEx>
        <w:trPr>
          <w:trHeight w:val="340" w:hRule="exact"/>
          <w:jc w:val="center"/>
        </w:trPr>
        <w:tc>
          <w:tcPr>
            <w:tcW w:w="2023" w:type="dxa"/>
            <w:vMerge w:val="continue"/>
            <w:tcBorders>
              <w:top w:val="single" w:color="auto" w:sz="4" w:space="0"/>
              <w:left w:val="nil"/>
              <w:bottom w:val="single" w:color="auto" w:sz="4" w:space="0"/>
              <w:right w:val="single" w:color="auto" w:sz="4" w:space="0"/>
            </w:tcBorders>
            <w:noWrap/>
            <w:vAlign w:val="center"/>
          </w:tcPr>
          <w:p w14:paraId="296C2FAD">
            <w:pPr>
              <w:widowControl/>
              <w:jc w:val="left"/>
              <w:rPr>
                <w:rFonts w:ascii="Times New Roman" w:hAnsi="Times New Roman"/>
                <w:spacing w:val="-12"/>
                <w:kern w:val="0"/>
                <w:sz w:val="20"/>
                <w:szCs w:val="20"/>
              </w:rPr>
            </w:pPr>
          </w:p>
        </w:tc>
        <w:tc>
          <w:tcPr>
            <w:tcW w:w="1369" w:type="dxa"/>
            <w:tcBorders>
              <w:top w:val="nil"/>
              <w:left w:val="nil"/>
              <w:bottom w:val="single" w:color="auto" w:sz="4" w:space="0"/>
              <w:right w:val="single" w:color="auto" w:sz="4" w:space="0"/>
            </w:tcBorders>
            <w:noWrap/>
            <w:vAlign w:val="center"/>
          </w:tcPr>
          <w:p w14:paraId="79E1DBCA">
            <w:pPr>
              <w:widowControl/>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60952273">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494D7C61">
            <w:pPr>
              <w:widowControl/>
              <w:jc w:val="center"/>
              <w:rPr>
                <w:rFonts w:ascii="Times New Roman" w:hAnsi="Times New Roman"/>
                <w:kern w:val="0"/>
                <w:sz w:val="20"/>
                <w:szCs w:val="20"/>
              </w:rPr>
            </w:pPr>
            <w:r>
              <w:rPr>
                <w:rFonts w:ascii="Times New Roman" w:hAnsi="Times New Roman"/>
                <w:kern w:val="0"/>
                <w:sz w:val="20"/>
                <w:szCs w:val="20"/>
              </w:rPr>
              <w:t>Y≥10000</w:t>
            </w:r>
          </w:p>
        </w:tc>
        <w:tc>
          <w:tcPr>
            <w:tcW w:w="1828" w:type="dxa"/>
            <w:tcBorders>
              <w:top w:val="nil"/>
              <w:left w:val="nil"/>
              <w:bottom w:val="single" w:color="auto" w:sz="4" w:space="0"/>
              <w:right w:val="single" w:color="auto" w:sz="4" w:space="0"/>
            </w:tcBorders>
            <w:noWrap/>
            <w:vAlign w:val="center"/>
          </w:tcPr>
          <w:p w14:paraId="70C01F77">
            <w:pPr>
              <w:widowControl/>
              <w:jc w:val="center"/>
              <w:rPr>
                <w:rFonts w:ascii="Times New Roman" w:hAnsi="Times New Roman"/>
                <w:kern w:val="0"/>
                <w:sz w:val="20"/>
                <w:szCs w:val="20"/>
              </w:rPr>
            </w:pPr>
            <w:r>
              <w:rPr>
                <w:rFonts w:ascii="Times New Roman" w:hAnsi="Times New Roman"/>
                <w:kern w:val="0"/>
                <w:sz w:val="20"/>
                <w:szCs w:val="20"/>
              </w:rPr>
              <w:t>1000≤Y＜10000</w:t>
            </w:r>
          </w:p>
        </w:tc>
        <w:tc>
          <w:tcPr>
            <w:tcW w:w="1588" w:type="dxa"/>
            <w:tcBorders>
              <w:top w:val="nil"/>
              <w:left w:val="nil"/>
              <w:bottom w:val="single" w:color="auto" w:sz="4" w:space="0"/>
              <w:right w:val="single" w:color="auto" w:sz="4" w:space="0"/>
            </w:tcBorders>
            <w:noWrap/>
            <w:vAlign w:val="center"/>
          </w:tcPr>
          <w:p w14:paraId="4A7C5C54">
            <w:pPr>
              <w:widowControl/>
              <w:jc w:val="center"/>
              <w:rPr>
                <w:rFonts w:ascii="Times New Roman" w:hAnsi="Times New Roman"/>
                <w:kern w:val="0"/>
                <w:sz w:val="20"/>
                <w:szCs w:val="20"/>
              </w:rPr>
            </w:pPr>
            <w:r>
              <w:rPr>
                <w:rFonts w:ascii="Times New Roman" w:hAnsi="Times New Roman"/>
                <w:kern w:val="0"/>
                <w:sz w:val="20"/>
                <w:szCs w:val="20"/>
              </w:rPr>
              <w:t xml:space="preserve">  50≤Y＜1000</w:t>
            </w:r>
          </w:p>
        </w:tc>
        <w:tc>
          <w:tcPr>
            <w:tcW w:w="1122" w:type="dxa"/>
            <w:tcBorders>
              <w:top w:val="nil"/>
              <w:left w:val="nil"/>
              <w:bottom w:val="single" w:color="auto" w:sz="4" w:space="0"/>
              <w:right w:val="nil"/>
            </w:tcBorders>
            <w:noWrap/>
            <w:vAlign w:val="center"/>
          </w:tcPr>
          <w:p w14:paraId="130B3F1B">
            <w:pPr>
              <w:widowControl/>
              <w:jc w:val="center"/>
              <w:rPr>
                <w:rFonts w:ascii="Times New Roman" w:hAnsi="Times New Roman"/>
                <w:kern w:val="0"/>
                <w:sz w:val="20"/>
                <w:szCs w:val="20"/>
              </w:rPr>
            </w:pPr>
            <w:r>
              <w:rPr>
                <w:rFonts w:ascii="Times New Roman" w:hAnsi="Times New Roman"/>
                <w:kern w:val="0"/>
                <w:sz w:val="20"/>
                <w:szCs w:val="20"/>
              </w:rPr>
              <w:t>Y＜50</w:t>
            </w:r>
          </w:p>
        </w:tc>
      </w:tr>
      <w:tr w14:paraId="0013851C">
        <w:tblPrEx>
          <w:tblCellMar>
            <w:top w:w="0" w:type="dxa"/>
            <w:left w:w="108" w:type="dxa"/>
            <w:bottom w:w="0" w:type="dxa"/>
            <w:right w:w="108" w:type="dxa"/>
          </w:tblCellMar>
        </w:tblPrEx>
        <w:trPr>
          <w:trHeight w:val="340" w:hRule="exact"/>
          <w:jc w:val="center"/>
        </w:trPr>
        <w:tc>
          <w:tcPr>
            <w:tcW w:w="2023" w:type="dxa"/>
            <w:vMerge w:val="restart"/>
            <w:tcBorders>
              <w:top w:val="nil"/>
              <w:left w:val="nil"/>
              <w:bottom w:val="single" w:color="auto" w:sz="4" w:space="0"/>
              <w:right w:val="single" w:color="auto" w:sz="4" w:space="0"/>
            </w:tcBorders>
            <w:noWrap/>
            <w:vAlign w:val="center"/>
          </w:tcPr>
          <w:p w14:paraId="35A55127">
            <w:pPr>
              <w:widowControl/>
              <w:spacing w:line="240" w:lineRule="exact"/>
              <w:jc w:val="left"/>
              <w:rPr>
                <w:rFonts w:ascii="Times New Roman" w:hAnsi="Times New Roman"/>
                <w:kern w:val="0"/>
                <w:sz w:val="20"/>
                <w:szCs w:val="20"/>
              </w:rPr>
            </w:pPr>
            <w:r>
              <w:rPr>
                <w:rFonts w:ascii="Times New Roman" w:hAnsi="Times New Roman"/>
                <w:kern w:val="0"/>
                <w:sz w:val="20"/>
                <w:szCs w:val="20"/>
              </w:rPr>
              <w:t>房地产开发经营</w:t>
            </w:r>
          </w:p>
        </w:tc>
        <w:tc>
          <w:tcPr>
            <w:tcW w:w="1369" w:type="dxa"/>
            <w:tcBorders>
              <w:top w:val="nil"/>
              <w:left w:val="nil"/>
              <w:bottom w:val="nil"/>
              <w:right w:val="single" w:color="auto" w:sz="4" w:space="0"/>
            </w:tcBorders>
            <w:noWrap/>
            <w:vAlign w:val="center"/>
          </w:tcPr>
          <w:p w14:paraId="2BC69132">
            <w:pPr>
              <w:widowControl/>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nil"/>
              <w:right w:val="single" w:color="auto" w:sz="4" w:space="0"/>
            </w:tcBorders>
            <w:noWrap/>
            <w:vAlign w:val="center"/>
          </w:tcPr>
          <w:p w14:paraId="72B3B8D0">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nil"/>
              <w:right w:val="single" w:color="auto" w:sz="4" w:space="0"/>
            </w:tcBorders>
            <w:noWrap/>
            <w:vAlign w:val="center"/>
          </w:tcPr>
          <w:p w14:paraId="7296B95D">
            <w:pPr>
              <w:widowControl/>
              <w:jc w:val="center"/>
              <w:rPr>
                <w:rFonts w:ascii="Times New Roman" w:hAnsi="Times New Roman"/>
                <w:kern w:val="0"/>
                <w:sz w:val="20"/>
                <w:szCs w:val="20"/>
              </w:rPr>
            </w:pPr>
            <w:r>
              <w:rPr>
                <w:rFonts w:ascii="Times New Roman" w:hAnsi="Times New Roman"/>
                <w:kern w:val="0"/>
                <w:sz w:val="20"/>
                <w:szCs w:val="20"/>
              </w:rPr>
              <w:t>Y≥200000</w:t>
            </w:r>
          </w:p>
        </w:tc>
        <w:tc>
          <w:tcPr>
            <w:tcW w:w="1828" w:type="dxa"/>
            <w:tcBorders>
              <w:top w:val="nil"/>
              <w:left w:val="nil"/>
              <w:bottom w:val="nil"/>
              <w:right w:val="single" w:color="auto" w:sz="4" w:space="0"/>
            </w:tcBorders>
            <w:noWrap/>
            <w:vAlign w:val="center"/>
          </w:tcPr>
          <w:p w14:paraId="3BBF6454">
            <w:pPr>
              <w:widowControl/>
              <w:jc w:val="center"/>
              <w:rPr>
                <w:rFonts w:ascii="Times New Roman" w:hAnsi="Times New Roman"/>
                <w:kern w:val="0"/>
                <w:sz w:val="20"/>
                <w:szCs w:val="20"/>
              </w:rPr>
            </w:pPr>
            <w:r>
              <w:rPr>
                <w:rFonts w:ascii="Times New Roman" w:hAnsi="Times New Roman"/>
                <w:kern w:val="0"/>
                <w:sz w:val="20"/>
                <w:szCs w:val="20"/>
              </w:rPr>
              <w:t xml:space="preserve"> 1000≤Y＜200000</w:t>
            </w:r>
          </w:p>
        </w:tc>
        <w:tc>
          <w:tcPr>
            <w:tcW w:w="1588" w:type="dxa"/>
            <w:tcBorders>
              <w:top w:val="nil"/>
              <w:left w:val="nil"/>
              <w:bottom w:val="nil"/>
              <w:right w:val="single" w:color="auto" w:sz="4" w:space="0"/>
            </w:tcBorders>
            <w:noWrap/>
            <w:vAlign w:val="center"/>
          </w:tcPr>
          <w:p w14:paraId="5E008863">
            <w:pPr>
              <w:widowControl/>
              <w:jc w:val="center"/>
              <w:rPr>
                <w:rFonts w:ascii="Times New Roman" w:hAnsi="Times New Roman"/>
                <w:kern w:val="0"/>
                <w:sz w:val="20"/>
                <w:szCs w:val="20"/>
              </w:rPr>
            </w:pPr>
            <w:r>
              <w:rPr>
                <w:rFonts w:ascii="Times New Roman" w:hAnsi="Times New Roman"/>
                <w:kern w:val="0"/>
                <w:sz w:val="20"/>
                <w:szCs w:val="20"/>
              </w:rPr>
              <w:t xml:space="preserve"> 100≤Y＜1000</w:t>
            </w:r>
          </w:p>
        </w:tc>
        <w:tc>
          <w:tcPr>
            <w:tcW w:w="1122" w:type="dxa"/>
            <w:tcBorders>
              <w:top w:val="nil"/>
              <w:left w:val="nil"/>
              <w:bottom w:val="nil"/>
              <w:right w:val="nil"/>
            </w:tcBorders>
            <w:noWrap/>
            <w:vAlign w:val="center"/>
          </w:tcPr>
          <w:p w14:paraId="09C37289">
            <w:pPr>
              <w:widowControl/>
              <w:jc w:val="center"/>
              <w:rPr>
                <w:rFonts w:ascii="Times New Roman" w:hAnsi="Times New Roman"/>
                <w:kern w:val="0"/>
                <w:sz w:val="20"/>
                <w:szCs w:val="20"/>
              </w:rPr>
            </w:pPr>
            <w:r>
              <w:rPr>
                <w:rFonts w:ascii="Times New Roman" w:hAnsi="Times New Roman"/>
                <w:kern w:val="0"/>
                <w:sz w:val="20"/>
                <w:szCs w:val="20"/>
              </w:rPr>
              <w:t>Y＜100</w:t>
            </w:r>
          </w:p>
        </w:tc>
      </w:tr>
      <w:tr w14:paraId="15802EB8">
        <w:tblPrEx>
          <w:tblCellMar>
            <w:top w:w="0" w:type="dxa"/>
            <w:left w:w="108" w:type="dxa"/>
            <w:bottom w:w="0" w:type="dxa"/>
            <w:right w:w="108" w:type="dxa"/>
          </w:tblCellMar>
        </w:tblPrEx>
        <w:trPr>
          <w:trHeight w:val="340" w:hRule="exact"/>
          <w:jc w:val="center"/>
        </w:trPr>
        <w:tc>
          <w:tcPr>
            <w:tcW w:w="2023" w:type="dxa"/>
            <w:vMerge w:val="continue"/>
            <w:tcBorders>
              <w:top w:val="nil"/>
              <w:left w:val="nil"/>
              <w:bottom w:val="single" w:color="auto" w:sz="4" w:space="0"/>
              <w:right w:val="single" w:color="auto" w:sz="4" w:space="0"/>
            </w:tcBorders>
            <w:noWrap/>
            <w:vAlign w:val="center"/>
          </w:tcPr>
          <w:p w14:paraId="6BACE61A">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4354355E">
            <w:pPr>
              <w:widowControl/>
              <w:spacing w:line="240" w:lineRule="exact"/>
              <w:jc w:val="center"/>
              <w:rPr>
                <w:rFonts w:ascii="Times New Roman" w:hAnsi="Times New Roman"/>
                <w:kern w:val="0"/>
                <w:sz w:val="20"/>
                <w:szCs w:val="20"/>
              </w:rPr>
            </w:pPr>
            <w:r>
              <w:rPr>
                <w:rFonts w:ascii="Times New Roman" w:hAnsi="Times New Roman"/>
                <w:kern w:val="0"/>
                <w:sz w:val="20"/>
                <w:szCs w:val="20"/>
              </w:rPr>
              <w:t>资产总额(Z)</w:t>
            </w:r>
          </w:p>
        </w:tc>
        <w:tc>
          <w:tcPr>
            <w:tcW w:w="709" w:type="dxa"/>
            <w:tcBorders>
              <w:top w:val="nil"/>
              <w:left w:val="nil"/>
              <w:bottom w:val="single" w:color="auto" w:sz="4" w:space="0"/>
              <w:right w:val="single" w:color="auto" w:sz="4" w:space="0"/>
            </w:tcBorders>
            <w:noWrap/>
            <w:vAlign w:val="center"/>
          </w:tcPr>
          <w:p w14:paraId="351FDD54">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7C3A3222">
            <w:pPr>
              <w:widowControl/>
              <w:jc w:val="center"/>
              <w:rPr>
                <w:rFonts w:ascii="Times New Roman" w:hAnsi="Times New Roman"/>
                <w:kern w:val="0"/>
                <w:sz w:val="20"/>
                <w:szCs w:val="20"/>
              </w:rPr>
            </w:pPr>
            <w:r>
              <w:rPr>
                <w:rFonts w:ascii="Times New Roman" w:hAnsi="Times New Roman"/>
                <w:kern w:val="0"/>
                <w:sz w:val="20"/>
                <w:szCs w:val="20"/>
              </w:rPr>
              <w:t>Z≥10000</w:t>
            </w:r>
          </w:p>
        </w:tc>
        <w:tc>
          <w:tcPr>
            <w:tcW w:w="1828" w:type="dxa"/>
            <w:tcBorders>
              <w:top w:val="nil"/>
              <w:left w:val="nil"/>
              <w:bottom w:val="single" w:color="auto" w:sz="4" w:space="0"/>
              <w:right w:val="single" w:color="auto" w:sz="4" w:space="0"/>
            </w:tcBorders>
            <w:noWrap/>
            <w:vAlign w:val="center"/>
          </w:tcPr>
          <w:p w14:paraId="26536811">
            <w:pPr>
              <w:widowControl/>
              <w:jc w:val="center"/>
              <w:rPr>
                <w:rFonts w:ascii="Times New Roman" w:hAnsi="Times New Roman"/>
                <w:kern w:val="0"/>
                <w:sz w:val="20"/>
                <w:szCs w:val="20"/>
              </w:rPr>
            </w:pPr>
            <w:r>
              <w:rPr>
                <w:rFonts w:ascii="Times New Roman" w:hAnsi="Times New Roman"/>
                <w:kern w:val="0"/>
                <w:sz w:val="20"/>
                <w:szCs w:val="20"/>
              </w:rPr>
              <w:t>5000≤Z＜10000</w:t>
            </w:r>
          </w:p>
        </w:tc>
        <w:tc>
          <w:tcPr>
            <w:tcW w:w="1588" w:type="dxa"/>
            <w:tcBorders>
              <w:top w:val="nil"/>
              <w:left w:val="nil"/>
              <w:bottom w:val="single" w:color="auto" w:sz="4" w:space="0"/>
              <w:right w:val="single" w:color="auto" w:sz="4" w:space="0"/>
            </w:tcBorders>
            <w:noWrap/>
            <w:vAlign w:val="center"/>
          </w:tcPr>
          <w:p w14:paraId="7E46EA7D">
            <w:pPr>
              <w:widowControl/>
              <w:jc w:val="center"/>
              <w:rPr>
                <w:rFonts w:ascii="Times New Roman" w:hAnsi="Times New Roman"/>
                <w:kern w:val="0"/>
                <w:sz w:val="20"/>
                <w:szCs w:val="20"/>
              </w:rPr>
            </w:pPr>
            <w:r>
              <w:rPr>
                <w:rFonts w:ascii="Times New Roman" w:hAnsi="Times New Roman"/>
                <w:kern w:val="0"/>
                <w:sz w:val="20"/>
                <w:szCs w:val="20"/>
              </w:rPr>
              <w:t xml:space="preserve">2000≤Z＜5000   </w:t>
            </w:r>
          </w:p>
        </w:tc>
        <w:tc>
          <w:tcPr>
            <w:tcW w:w="1122" w:type="dxa"/>
            <w:tcBorders>
              <w:top w:val="nil"/>
              <w:left w:val="nil"/>
              <w:bottom w:val="single" w:color="auto" w:sz="4" w:space="0"/>
              <w:right w:val="nil"/>
            </w:tcBorders>
            <w:noWrap/>
            <w:vAlign w:val="center"/>
          </w:tcPr>
          <w:p w14:paraId="307A3F00">
            <w:pPr>
              <w:widowControl/>
              <w:jc w:val="center"/>
              <w:rPr>
                <w:rFonts w:ascii="Times New Roman" w:hAnsi="Times New Roman"/>
                <w:kern w:val="0"/>
                <w:sz w:val="20"/>
                <w:szCs w:val="20"/>
              </w:rPr>
            </w:pPr>
            <w:r>
              <w:rPr>
                <w:rFonts w:ascii="Times New Roman" w:hAnsi="Times New Roman"/>
                <w:kern w:val="0"/>
                <w:sz w:val="20"/>
                <w:szCs w:val="20"/>
              </w:rPr>
              <w:t>Z＜2000</w:t>
            </w:r>
          </w:p>
        </w:tc>
      </w:tr>
      <w:tr w14:paraId="429ED53B">
        <w:tblPrEx>
          <w:tblCellMar>
            <w:top w:w="0" w:type="dxa"/>
            <w:left w:w="108" w:type="dxa"/>
            <w:bottom w:w="0" w:type="dxa"/>
            <w:right w:w="108" w:type="dxa"/>
          </w:tblCellMar>
        </w:tblPrEx>
        <w:trPr>
          <w:trHeight w:val="340" w:hRule="exact"/>
          <w:jc w:val="center"/>
        </w:trPr>
        <w:tc>
          <w:tcPr>
            <w:tcW w:w="2023" w:type="dxa"/>
            <w:vMerge w:val="restart"/>
            <w:tcBorders>
              <w:top w:val="nil"/>
              <w:left w:val="nil"/>
              <w:bottom w:val="single" w:color="auto" w:sz="4" w:space="0"/>
              <w:right w:val="single" w:color="auto" w:sz="4" w:space="0"/>
            </w:tcBorders>
            <w:noWrap/>
            <w:vAlign w:val="center"/>
          </w:tcPr>
          <w:p w14:paraId="192373EF">
            <w:pPr>
              <w:widowControl/>
              <w:spacing w:line="240" w:lineRule="exact"/>
              <w:jc w:val="left"/>
              <w:rPr>
                <w:rFonts w:ascii="Times New Roman" w:hAnsi="Times New Roman"/>
                <w:kern w:val="0"/>
                <w:sz w:val="20"/>
                <w:szCs w:val="20"/>
              </w:rPr>
            </w:pPr>
            <w:r>
              <w:rPr>
                <w:rFonts w:ascii="Times New Roman" w:hAnsi="Times New Roman"/>
                <w:kern w:val="0"/>
                <w:sz w:val="20"/>
                <w:szCs w:val="20"/>
              </w:rPr>
              <w:t>物业管理</w:t>
            </w:r>
          </w:p>
        </w:tc>
        <w:tc>
          <w:tcPr>
            <w:tcW w:w="1369" w:type="dxa"/>
            <w:tcBorders>
              <w:top w:val="nil"/>
              <w:left w:val="nil"/>
              <w:bottom w:val="nil"/>
              <w:right w:val="single" w:color="auto" w:sz="4" w:space="0"/>
            </w:tcBorders>
            <w:noWrap/>
            <w:vAlign w:val="center"/>
          </w:tcPr>
          <w:p w14:paraId="7E4DC603">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51929D0B">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538C6536">
            <w:pPr>
              <w:widowControl/>
              <w:jc w:val="center"/>
              <w:rPr>
                <w:rFonts w:ascii="Times New Roman" w:hAnsi="Times New Roman"/>
                <w:kern w:val="0"/>
                <w:sz w:val="20"/>
                <w:szCs w:val="20"/>
              </w:rPr>
            </w:pPr>
            <w:r>
              <w:rPr>
                <w:rFonts w:ascii="Times New Roman" w:hAnsi="Times New Roman"/>
                <w:kern w:val="0"/>
                <w:sz w:val="20"/>
                <w:szCs w:val="20"/>
              </w:rPr>
              <w:t>X≥1000</w:t>
            </w:r>
          </w:p>
        </w:tc>
        <w:tc>
          <w:tcPr>
            <w:tcW w:w="1828" w:type="dxa"/>
            <w:tcBorders>
              <w:top w:val="nil"/>
              <w:left w:val="nil"/>
              <w:bottom w:val="nil"/>
              <w:right w:val="single" w:color="auto" w:sz="4" w:space="0"/>
            </w:tcBorders>
            <w:noWrap/>
            <w:vAlign w:val="center"/>
          </w:tcPr>
          <w:p w14:paraId="3BD1B7DA">
            <w:pPr>
              <w:widowControl/>
              <w:jc w:val="center"/>
              <w:rPr>
                <w:rFonts w:ascii="Times New Roman" w:hAnsi="Times New Roman"/>
                <w:kern w:val="0"/>
                <w:sz w:val="20"/>
                <w:szCs w:val="20"/>
              </w:rPr>
            </w:pPr>
            <w:r>
              <w:rPr>
                <w:rFonts w:ascii="Times New Roman" w:hAnsi="Times New Roman"/>
                <w:kern w:val="0"/>
                <w:sz w:val="20"/>
                <w:szCs w:val="20"/>
              </w:rPr>
              <w:t>300≤X＜1000</w:t>
            </w:r>
          </w:p>
        </w:tc>
        <w:tc>
          <w:tcPr>
            <w:tcW w:w="1588" w:type="dxa"/>
            <w:tcBorders>
              <w:top w:val="nil"/>
              <w:left w:val="nil"/>
              <w:bottom w:val="nil"/>
              <w:right w:val="single" w:color="auto" w:sz="4" w:space="0"/>
            </w:tcBorders>
            <w:noWrap/>
            <w:vAlign w:val="center"/>
          </w:tcPr>
          <w:p w14:paraId="5816FF54">
            <w:pPr>
              <w:widowControl/>
              <w:jc w:val="center"/>
              <w:rPr>
                <w:rFonts w:ascii="Times New Roman" w:hAnsi="Times New Roman"/>
                <w:kern w:val="0"/>
                <w:sz w:val="20"/>
                <w:szCs w:val="20"/>
              </w:rPr>
            </w:pPr>
            <w:r>
              <w:rPr>
                <w:rFonts w:ascii="Times New Roman" w:hAnsi="Times New Roman"/>
                <w:kern w:val="0"/>
                <w:sz w:val="20"/>
                <w:szCs w:val="20"/>
              </w:rPr>
              <w:t xml:space="preserve">100≤X＜300 </w:t>
            </w:r>
          </w:p>
        </w:tc>
        <w:tc>
          <w:tcPr>
            <w:tcW w:w="1122" w:type="dxa"/>
            <w:tcBorders>
              <w:top w:val="nil"/>
              <w:left w:val="nil"/>
              <w:bottom w:val="nil"/>
              <w:right w:val="nil"/>
            </w:tcBorders>
            <w:noWrap/>
            <w:vAlign w:val="center"/>
          </w:tcPr>
          <w:p w14:paraId="7AFB4572">
            <w:pPr>
              <w:widowControl/>
              <w:jc w:val="center"/>
              <w:rPr>
                <w:rFonts w:ascii="Times New Roman" w:hAnsi="Times New Roman"/>
                <w:kern w:val="0"/>
                <w:sz w:val="20"/>
                <w:szCs w:val="20"/>
              </w:rPr>
            </w:pPr>
            <w:r>
              <w:rPr>
                <w:rFonts w:ascii="Times New Roman" w:hAnsi="Times New Roman"/>
                <w:kern w:val="0"/>
                <w:sz w:val="20"/>
                <w:szCs w:val="20"/>
              </w:rPr>
              <w:t>X＜100</w:t>
            </w:r>
          </w:p>
        </w:tc>
      </w:tr>
      <w:tr w14:paraId="48F9F511">
        <w:tblPrEx>
          <w:tblCellMar>
            <w:top w:w="0" w:type="dxa"/>
            <w:left w:w="108" w:type="dxa"/>
            <w:bottom w:w="0" w:type="dxa"/>
            <w:right w:w="108" w:type="dxa"/>
          </w:tblCellMar>
        </w:tblPrEx>
        <w:trPr>
          <w:trHeight w:val="340" w:hRule="exact"/>
          <w:jc w:val="center"/>
        </w:trPr>
        <w:tc>
          <w:tcPr>
            <w:tcW w:w="2023" w:type="dxa"/>
            <w:vMerge w:val="continue"/>
            <w:tcBorders>
              <w:top w:val="nil"/>
              <w:left w:val="nil"/>
              <w:bottom w:val="single" w:color="auto" w:sz="4" w:space="0"/>
              <w:right w:val="single" w:color="auto" w:sz="4" w:space="0"/>
            </w:tcBorders>
            <w:noWrap/>
            <w:vAlign w:val="center"/>
          </w:tcPr>
          <w:p w14:paraId="6E0D20F7">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2A5331F0">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155A8015">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67CF484E">
            <w:pPr>
              <w:widowControl/>
              <w:jc w:val="center"/>
              <w:rPr>
                <w:rFonts w:ascii="Times New Roman" w:hAnsi="Times New Roman"/>
                <w:kern w:val="0"/>
                <w:sz w:val="20"/>
                <w:szCs w:val="20"/>
              </w:rPr>
            </w:pPr>
            <w:r>
              <w:rPr>
                <w:rFonts w:ascii="Times New Roman" w:hAnsi="Times New Roman"/>
                <w:kern w:val="0"/>
                <w:sz w:val="20"/>
                <w:szCs w:val="20"/>
              </w:rPr>
              <w:t>Y≥5000</w:t>
            </w:r>
          </w:p>
        </w:tc>
        <w:tc>
          <w:tcPr>
            <w:tcW w:w="1828" w:type="dxa"/>
            <w:tcBorders>
              <w:top w:val="nil"/>
              <w:left w:val="nil"/>
              <w:bottom w:val="single" w:color="auto" w:sz="4" w:space="0"/>
              <w:right w:val="single" w:color="auto" w:sz="4" w:space="0"/>
            </w:tcBorders>
            <w:noWrap/>
            <w:vAlign w:val="center"/>
          </w:tcPr>
          <w:p w14:paraId="6CEAD049">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1000≤Y＜5000 </w:t>
            </w:r>
          </w:p>
        </w:tc>
        <w:tc>
          <w:tcPr>
            <w:tcW w:w="1588" w:type="dxa"/>
            <w:tcBorders>
              <w:top w:val="nil"/>
              <w:left w:val="nil"/>
              <w:bottom w:val="single" w:color="auto" w:sz="4" w:space="0"/>
              <w:right w:val="single" w:color="auto" w:sz="4" w:space="0"/>
            </w:tcBorders>
            <w:noWrap/>
            <w:vAlign w:val="center"/>
          </w:tcPr>
          <w:p w14:paraId="1291D334">
            <w:pPr>
              <w:widowControl/>
              <w:jc w:val="center"/>
              <w:rPr>
                <w:rFonts w:ascii="Times New Roman" w:hAnsi="Times New Roman"/>
                <w:kern w:val="0"/>
                <w:sz w:val="20"/>
                <w:szCs w:val="20"/>
              </w:rPr>
            </w:pPr>
            <w:r>
              <w:rPr>
                <w:rFonts w:ascii="Times New Roman" w:hAnsi="Times New Roman"/>
                <w:kern w:val="0"/>
                <w:sz w:val="20"/>
                <w:szCs w:val="20"/>
              </w:rPr>
              <w:t xml:space="preserve"> 500≤Y＜1000</w:t>
            </w:r>
          </w:p>
        </w:tc>
        <w:tc>
          <w:tcPr>
            <w:tcW w:w="1122" w:type="dxa"/>
            <w:tcBorders>
              <w:top w:val="nil"/>
              <w:left w:val="nil"/>
              <w:bottom w:val="single" w:color="auto" w:sz="4" w:space="0"/>
              <w:right w:val="nil"/>
            </w:tcBorders>
            <w:noWrap/>
            <w:vAlign w:val="center"/>
          </w:tcPr>
          <w:p w14:paraId="4131E31E">
            <w:pPr>
              <w:widowControl/>
              <w:jc w:val="center"/>
              <w:rPr>
                <w:rFonts w:ascii="Times New Roman" w:hAnsi="Times New Roman"/>
                <w:kern w:val="0"/>
                <w:sz w:val="20"/>
                <w:szCs w:val="20"/>
              </w:rPr>
            </w:pPr>
            <w:r>
              <w:rPr>
                <w:rFonts w:ascii="Times New Roman" w:hAnsi="Times New Roman"/>
                <w:kern w:val="0"/>
                <w:sz w:val="20"/>
                <w:szCs w:val="20"/>
              </w:rPr>
              <w:t>Y＜500</w:t>
            </w:r>
          </w:p>
        </w:tc>
      </w:tr>
      <w:tr w14:paraId="3566B03B">
        <w:tblPrEx>
          <w:tblCellMar>
            <w:top w:w="0" w:type="dxa"/>
            <w:left w:w="108" w:type="dxa"/>
            <w:bottom w:w="0" w:type="dxa"/>
            <w:right w:w="108" w:type="dxa"/>
          </w:tblCellMar>
        </w:tblPrEx>
        <w:trPr>
          <w:trHeight w:val="340" w:hRule="exact"/>
          <w:jc w:val="center"/>
        </w:trPr>
        <w:tc>
          <w:tcPr>
            <w:tcW w:w="2023" w:type="dxa"/>
            <w:vMerge w:val="restart"/>
            <w:tcBorders>
              <w:top w:val="nil"/>
              <w:left w:val="nil"/>
              <w:bottom w:val="single" w:color="auto" w:sz="4" w:space="0"/>
              <w:right w:val="single" w:color="auto" w:sz="4" w:space="0"/>
            </w:tcBorders>
            <w:noWrap/>
            <w:vAlign w:val="center"/>
          </w:tcPr>
          <w:p w14:paraId="48638E88">
            <w:pPr>
              <w:widowControl/>
              <w:spacing w:line="240" w:lineRule="exact"/>
              <w:jc w:val="left"/>
              <w:rPr>
                <w:rFonts w:ascii="Times New Roman" w:hAnsi="Times New Roman"/>
                <w:kern w:val="0"/>
                <w:sz w:val="20"/>
                <w:szCs w:val="20"/>
              </w:rPr>
            </w:pPr>
            <w:r>
              <w:rPr>
                <w:rFonts w:ascii="Times New Roman" w:hAnsi="Times New Roman"/>
                <w:kern w:val="0"/>
                <w:sz w:val="20"/>
                <w:szCs w:val="20"/>
              </w:rPr>
              <w:t>租赁和商务服务业</w:t>
            </w:r>
          </w:p>
        </w:tc>
        <w:tc>
          <w:tcPr>
            <w:tcW w:w="1369" w:type="dxa"/>
            <w:tcBorders>
              <w:top w:val="nil"/>
              <w:left w:val="nil"/>
              <w:bottom w:val="nil"/>
              <w:right w:val="single" w:color="auto" w:sz="4" w:space="0"/>
            </w:tcBorders>
            <w:noWrap/>
            <w:vAlign w:val="center"/>
          </w:tcPr>
          <w:p w14:paraId="4FC61F4E">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48DE5882">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0622E726">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ign w:val="center"/>
          </w:tcPr>
          <w:p w14:paraId="3B757B05">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nil"/>
              <w:right w:val="single" w:color="auto" w:sz="4" w:space="0"/>
            </w:tcBorders>
            <w:noWrap/>
            <w:vAlign w:val="center"/>
          </w:tcPr>
          <w:p w14:paraId="7FD3860D">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ign w:val="center"/>
          </w:tcPr>
          <w:p w14:paraId="5253105B">
            <w:pPr>
              <w:widowControl/>
              <w:jc w:val="center"/>
              <w:rPr>
                <w:rFonts w:ascii="Times New Roman" w:hAnsi="Times New Roman"/>
                <w:kern w:val="0"/>
                <w:sz w:val="20"/>
                <w:szCs w:val="20"/>
              </w:rPr>
            </w:pPr>
            <w:r>
              <w:rPr>
                <w:rFonts w:ascii="Times New Roman" w:hAnsi="Times New Roman"/>
                <w:kern w:val="0"/>
                <w:sz w:val="20"/>
                <w:szCs w:val="20"/>
              </w:rPr>
              <w:t>X＜10</w:t>
            </w:r>
          </w:p>
        </w:tc>
      </w:tr>
      <w:tr w14:paraId="351E8903">
        <w:tblPrEx>
          <w:tblCellMar>
            <w:top w:w="0" w:type="dxa"/>
            <w:left w:w="108" w:type="dxa"/>
            <w:bottom w:w="0" w:type="dxa"/>
            <w:right w:w="108" w:type="dxa"/>
          </w:tblCellMar>
        </w:tblPrEx>
        <w:trPr>
          <w:trHeight w:val="340" w:hRule="exact"/>
          <w:jc w:val="center"/>
        </w:trPr>
        <w:tc>
          <w:tcPr>
            <w:tcW w:w="2023" w:type="dxa"/>
            <w:vMerge w:val="continue"/>
            <w:tcBorders>
              <w:top w:val="nil"/>
              <w:left w:val="nil"/>
              <w:bottom w:val="single" w:color="auto" w:sz="4" w:space="0"/>
              <w:right w:val="single" w:color="auto" w:sz="4" w:space="0"/>
            </w:tcBorders>
            <w:noWrap/>
            <w:vAlign w:val="center"/>
          </w:tcPr>
          <w:p w14:paraId="2A64C3A6">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4613CD1A">
            <w:pPr>
              <w:widowControl/>
              <w:spacing w:line="240" w:lineRule="exact"/>
              <w:jc w:val="center"/>
              <w:rPr>
                <w:rFonts w:ascii="Times New Roman" w:hAnsi="Times New Roman"/>
                <w:kern w:val="0"/>
                <w:sz w:val="20"/>
                <w:szCs w:val="20"/>
              </w:rPr>
            </w:pPr>
            <w:r>
              <w:rPr>
                <w:rFonts w:ascii="Times New Roman" w:hAnsi="Times New Roman"/>
                <w:kern w:val="0"/>
                <w:sz w:val="20"/>
                <w:szCs w:val="20"/>
              </w:rPr>
              <w:t>资产总额(Z)</w:t>
            </w:r>
          </w:p>
        </w:tc>
        <w:tc>
          <w:tcPr>
            <w:tcW w:w="709" w:type="dxa"/>
            <w:tcBorders>
              <w:top w:val="nil"/>
              <w:left w:val="nil"/>
              <w:bottom w:val="single" w:color="auto" w:sz="4" w:space="0"/>
              <w:right w:val="single" w:color="auto" w:sz="4" w:space="0"/>
            </w:tcBorders>
            <w:noWrap/>
            <w:vAlign w:val="center"/>
          </w:tcPr>
          <w:p w14:paraId="44F91A9A">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747C7A95">
            <w:pPr>
              <w:widowControl/>
              <w:jc w:val="center"/>
              <w:rPr>
                <w:rFonts w:ascii="Times New Roman" w:hAnsi="Times New Roman"/>
                <w:kern w:val="0"/>
                <w:sz w:val="20"/>
                <w:szCs w:val="20"/>
              </w:rPr>
            </w:pPr>
            <w:r>
              <w:rPr>
                <w:rFonts w:ascii="Times New Roman" w:hAnsi="Times New Roman"/>
                <w:kern w:val="0"/>
                <w:sz w:val="20"/>
                <w:szCs w:val="20"/>
              </w:rPr>
              <w:t>Z≥120000</w:t>
            </w:r>
          </w:p>
        </w:tc>
        <w:tc>
          <w:tcPr>
            <w:tcW w:w="1828" w:type="dxa"/>
            <w:tcBorders>
              <w:top w:val="nil"/>
              <w:left w:val="nil"/>
              <w:bottom w:val="single" w:color="auto" w:sz="4" w:space="0"/>
              <w:right w:val="single" w:color="auto" w:sz="4" w:space="0"/>
            </w:tcBorders>
            <w:noWrap/>
            <w:vAlign w:val="center"/>
          </w:tcPr>
          <w:p w14:paraId="46B6DA9A">
            <w:pPr>
              <w:widowControl/>
              <w:jc w:val="center"/>
              <w:rPr>
                <w:rFonts w:ascii="Times New Roman" w:hAnsi="Times New Roman"/>
                <w:kern w:val="0"/>
                <w:sz w:val="20"/>
                <w:szCs w:val="20"/>
              </w:rPr>
            </w:pPr>
            <w:r>
              <w:rPr>
                <w:rFonts w:ascii="Times New Roman" w:hAnsi="Times New Roman"/>
                <w:kern w:val="0"/>
                <w:sz w:val="20"/>
                <w:szCs w:val="20"/>
              </w:rPr>
              <w:t xml:space="preserve"> 8000≤Z＜120000</w:t>
            </w:r>
          </w:p>
        </w:tc>
        <w:tc>
          <w:tcPr>
            <w:tcW w:w="1588" w:type="dxa"/>
            <w:tcBorders>
              <w:top w:val="nil"/>
              <w:left w:val="nil"/>
              <w:bottom w:val="single" w:color="auto" w:sz="4" w:space="0"/>
              <w:right w:val="single" w:color="auto" w:sz="4" w:space="0"/>
            </w:tcBorders>
            <w:noWrap/>
            <w:vAlign w:val="center"/>
          </w:tcPr>
          <w:p w14:paraId="5D8FB262">
            <w:pPr>
              <w:widowControl/>
              <w:jc w:val="center"/>
              <w:rPr>
                <w:rFonts w:ascii="Times New Roman" w:hAnsi="Times New Roman"/>
                <w:kern w:val="0"/>
                <w:sz w:val="20"/>
                <w:szCs w:val="20"/>
              </w:rPr>
            </w:pPr>
            <w:r>
              <w:rPr>
                <w:rFonts w:ascii="Times New Roman" w:hAnsi="Times New Roman"/>
                <w:kern w:val="0"/>
                <w:sz w:val="20"/>
                <w:szCs w:val="20"/>
              </w:rPr>
              <w:t xml:space="preserve"> 100≤Z＜8000</w:t>
            </w:r>
          </w:p>
        </w:tc>
        <w:tc>
          <w:tcPr>
            <w:tcW w:w="1122" w:type="dxa"/>
            <w:tcBorders>
              <w:top w:val="nil"/>
              <w:left w:val="nil"/>
              <w:bottom w:val="single" w:color="auto" w:sz="4" w:space="0"/>
              <w:right w:val="nil"/>
            </w:tcBorders>
            <w:noWrap/>
            <w:vAlign w:val="center"/>
          </w:tcPr>
          <w:p w14:paraId="4EEAC929">
            <w:pPr>
              <w:widowControl/>
              <w:jc w:val="center"/>
              <w:rPr>
                <w:rFonts w:ascii="Times New Roman" w:hAnsi="Times New Roman"/>
                <w:kern w:val="0"/>
                <w:sz w:val="20"/>
                <w:szCs w:val="20"/>
              </w:rPr>
            </w:pPr>
            <w:r>
              <w:rPr>
                <w:rFonts w:ascii="Times New Roman" w:hAnsi="Times New Roman"/>
                <w:kern w:val="0"/>
                <w:sz w:val="20"/>
                <w:szCs w:val="20"/>
              </w:rPr>
              <w:t>Z＜100</w:t>
            </w:r>
          </w:p>
        </w:tc>
      </w:tr>
      <w:tr w14:paraId="693DB9F1">
        <w:tblPrEx>
          <w:tblCellMar>
            <w:top w:w="0" w:type="dxa"/>
            <w:left w:w="108" w:type="dxa"/>
            <w:bottom w:w="0" w:type="dxa"/>
            <w:right w:w="108" w:type="dxa"/>
          </w:tblCellMar>
        </w:tblPrEx>
        <w:trPr>
          <w:trHeight w:val="397" w:hRule="exact"/>
          <w:jc w:val="center"/>
        </w:trPr>
        <w:tc>
          <w:tcPr>
            <w:tcW w:w="2023" w:type="dxa"/>
            <w:tcBorders>
              <w:top w:val="nil"/>
              <w:left w:val="nil"/>
              <w:bottom w:val="single" w:color="auto" w:sz="4" w:space="0"/>
              <w:right w:val="single" w:color="auto" w:sz="4" w:space="0"/>
            </w:tcBorders>
            <w:noWrap/>
            <w:vAlign w:val="center"/>
          </w:tcPr>
          <w:p w14:paraId="1A607F30">
            <w:pPr>
              <w:widowControl/>
              <w:spacing w:line="240" w:lineRule="exact"/>
              <w:jc w:val="left"/>
              <w:rPr>
                <w:rFonts w:ascii="Times New Roman" w:hAnsi="Times New Roman"/>
                <w:kern w:val="0"/>
                <w:sz w:val="20"/>
                <w:szCs w:val="20"/>
              </w:rPr>
            </w:pPr>
            <w:r>
              <w:rPr>
                <w:rFonts w:ascii="Times New Roman" w:hAnsi="Times New Roman"/>
                <w:kern w:val="0"/>
                <w:sz w:val="20"/>
                <w:szCs w:val="20"/>
              </w:rPr>
              <w:t>其他未列明行业 *</w:t>
            </w:r>
          </w:p>
        </w:tc>
        <w:tc>
          <w:tcPr>
            <w:tcW w:w="1369" w:type="dxa"/>
            <w:tcBorders>
              <w:top w:val="nil"/>
              <w:left w:val="nil"/>
              <w:bottom w:val="single" w:color="auto" w:sz="4" w:space="0"/>
              <w:right w:val="single" w:color="auto" w:sz="4" w:space="0"/>
            </w:tcBorders>
            <w:noWrap/>
            <w:vAlign w:val="center"/>
          </w:tcPr>
          <w:p w14:paraId="666574BD">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single" w:color="auto" w:sz="4" w:space="0"/>
              <w:right w:val="single" w:color="auto" w:sz="4" w:space="0"/>
            </w:tcBorders>
            <w:noWrap/>
            <w:vAlign w:val="center"/>
          </w:tcPr>
          <w:p w14:paraId="4ACB13EF">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single" w:color="auto" w:sz="4" w:space="0"/>
              <w:right w:val="single" w:color="auto" w:sz="4" w:space="0"/>
            </w:tcBorders>
            <w:noWrap/>
            <w:vAlign w:val="center"/>
          </w:tcPr>
          <w:p w14:paraId="5994B881">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single" w:color="auto" w:sz="4" w:space="0"/>
              <w:right w:val="single" w:color="auto" w:sz="4" w:space="0"/>
            </w:tcBorders>
            <w:noWrap/>
            <w:vAlign w:val="center"/>
          </w:tcPr>
          <w:p w14:paraId="32CD804A">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single" w:color="auto" w:sz="4" w:space="0"/>
              <w:right w:val="single" w:color="auto" w:sz="4" w:space="0"/>
            </w:tcBorders>
            <w:noWrap/>
            <w:vAlign w:val="center"/>
          </w:tcPr>
          <w:p w14:paraId="0AE11C12">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single" w:color="auto" w:sz="4" w:space="0"/>
              <w:right w:val="nil"/>
            </w:tcBorders>
            <w:noWrap/>
            <w:vAlign w:val="center"/>
          </w:tcPr>
          <w:p w14:paraId="61D8C0DF">
            <w:pPr>
              <w:widowControl/>
              <w:jc w:val="center"/>
              <w:rPr>
                <w:rFonts w:ascii="Times New Roman" w:hAnsi="Times New Roman"/>
                <w:kern w:val="0"/>
                <w:sz w:val="20"/>
                <w:szCs w:val="20"/>
              </w:rPr>
            </w:pPr>
            <w:r>
              <w:rPr>
                <w:rFonts w:ascii="Times New Roman" w:hAnsi="Times New Roman"/>
                <w:kern w:val="0"/>
                <w:sz w:val="20"/>
                <w:szCs w:val="20"/>
              </w:rPr>
              <w:t>X＜10</w:t>
            </w:r>
          </w:p>
        </w:tc>
      </w:tr>
    </w:tbl>
    <w:p w14:paraId="42753079">
      <w:pPr>
        <w:pStyle w:val="29"/>
        <w:rPr>
          <w:rFonts w:hint="eastAsia" w:ascii="宋体" w:hAnsi="宋体" w:eastAsia="宋体" w:cs="宋体"/>
          <w:b/>
          <w:bCs/>
          <w:color w:val="000000"/>
          <w:spacing w:val="6"/>
          <w:kern w:val="2"/>
          <w:sz w:val="24"/>
          <w:szCs w:val="24"/>
          <w:lang w:val="en-US" w:eastAsia="zh-CN" w:bidi="ar-SA"/>
        </w:rPr>
      </w:pPr>
    </w:p>
    <w:p w14:paraId="20985D39">
      <w:pPr>
        <w:pStyle w:val="29"/>
        <w:rPr>
          <w:rFonts w:hint="eastAsia" w:ascii="宋体" w:hAnsi="宋体" w:eastAsia="宋体" w:cs="宋体"/>
          <w:b/>
          <w:bCs/>
          <w:color w:val="000000"/>
          <w:spacing w:val="6"/>
          <w:kern w:val="2"/>
          <w:sz w:val="24"/>
          <w:szCs w:val="24"/>
          <w:lang w:val="en-US" w:eastAsia="zh-CN" w:bidi="ar-SA"/>
        </w:rPr>
      </w:pPr>
    </w:p>
    <w:p w14:paraId="7048F43A">
      <w:pPr>
        <w:pStyle w:val="29"/>
        <w:rPr>
          <w:rFonts w:hint="eastAsia" w:ascii="宋体" w:hAnsi="宋体" w:eastAsia="宋体" w:cs="宋体"/>
          <w:b/>
          <w:bCs/>
          <w:color w:val="000000"/>
          <w:spacing w:val="6"/>
          <w:kern w:val="2"/>
          <w:sz w:val="24"/>
          <w:szCs w:val="24"/>
          <w:lang w:val="en-US" w:eastAsia="zh-CN" w:bidi="ar-SA"/>
        </w:rPr>
      </w:pPr>
    </w:p>
    <w:p w14:paraId="69FEFCC5">
      <w:pPr>
        <w:pStyle w:val="29"/>
        <w:rPr>
          <w:rFonts w:hint="eastAsia" w:ascii="宋体" w:hAnsi="宋体" w:eastAsia="宋体" w:cs="宋体"/>
          <w:b/>
          <w:bCs/>
          <w:color w:val="000000"/>
          <w:spacing w:val="6"/>
          <w:kern w:val="2"/>
          <w:sz w:val="24"/>
          <w:szCs w:val="24"/>
          <w:lang w:val="en-US" w:eastAsia="zh-CN" w:bidi="ar-SA"/>
        </w:rPr>
      </w:pPr>
    </w:p>
    <w:p w14:paraId="55076E23">
      <w:pPr>
        <w:pStyle w:val="3"/>
        <w:bidi w:val="0"/>
        <w:rPr>
          <w:rFonts w:hint="eastAsia"/>
          <w:sz w:val="30"/>
          <w:szCs w:val="30"/>
        </w:rPr>
      </w:pPr>
      <w:bookmarkStart w:id="532" w:name="_Toc4414"/>
      <w:r>
        <w:rPr>
          <w:rFonts w:hint="eastAsia"/>
          <w:sz w:val="30"/>
          <w:szCs w:val="30"/>
          <w:lang w:eastAsia="zh-CN"/>
        </w:rPr>
        <w:t>（</w:t>
      </w:r>
      <w:r>
        <w:rPr>
          <w:rFonts w:hint="eastAsia"/>
          <w:sz w:val="30"/>
          <w:szCs w:val="30"/>
          <w:lang w:val="en-US" w:eastAsia="zh-CN"/>
        </w:rPr>
        <w:t>六</w:t>
      </w:r>
      <w:r>
        <w:rPr>
          <w:rFonts w:hint="eastAsia"/>
          <w:sz w:val="30"/>
          <w:szCs w:val="30"/>
          <w:lang w:eastAsia="zh-CN"/>
        </w:rPr>
        <w:t>）</w:t>
      </w:r>
      <w:r>
        <w:rPr>
          <w:rFonts w:hint="eastAsia"/>
          <w:sz w:val="30"/>
          <w:szCs w:val="30"/>
        </w:rPr>
        <w:t>其他资格证明文件</w:t>
      </w:r>
      <w:bookmarkEnd w:id="532"/>
    </w:p>
    <w:p w14:paraId="3976DF27">
      <w:pPr>
        <w:pStyle w:val="81"/>
        <w:numPr>
          <w:ilvl w:val="0"/>
          <w:numId w:val="0"/>
        </w:numPr>
        <w:spacing w:line="360" w:lineRule="auto"/>
        <w:ind w:firstLine="480" w:firstLineChars="200"/>
        <w:jc w:val="left"/>
        <w:rPr>
          <w:rFonts w:hint="eastAsia"/>
          <w:kern w:val="0"/>
          <w:sz w:val="24"/>
        </w:rPr>
      </w:pPr>
      <w:r>
        <w:rPr>
          <w:rFonts w:hint="eastAsia"/>
          <w:kern w:val="0"/>
          <w:sz w:val="24"/>
        </w:rPr>
        <w:t>其他说明：（</w:t>
      </w:r>
      <w:r>
        <w:rPr>
          <w:rFonts w:hint="eastAsia"/>
          <w:kern w:val="0"/>
          <w:sz w:val="24"/>
          <w:lang w:val="en-US" w:eastAsia="zh-CN"/>
        </w:rPr>
        <w:t>1</w:t>
      </w:r>
      <w:r>
        <w:rPr>
          <w:rFonts w:hint="eastAsia"/>
          <w:kern w:val="0"/>
          <w:sz w:val="24"/>
        </w:rPr>
        <w:t>）与</w:t>
      </w:r>
      <w:r>
        <w:rPr>
          <w:rFonts w:hint="eastAsia"/>
          <w:kern w:val="0"/>
          <w:sz w:val="24"/>
          <w:lang w:eastAsia="zh-CN"/>
        </w:rPr>
        <w:t>采购人</w:t>
      </w:r>
      <w:r>
        <w:rPr>
          <w:rFonts w:hint="eastAsia"/>
          <w:kern w:val="0"/>
          <w:sz w:val="24"/>
        </w:rPr>
        <w:t>存在利害关系可能影响招标公正性的法人、其他组织或者个人，不得参加投标（</w:t>
      </w:r>
      <w:r>
        <w:rPr>
          <w:rFonts w:hint="eastAsia"/>
          <w:kern w:val="0"/>
          <w:sz w:val="24"/>
          <w:lang w:val="en-US" w:eastAsia="zh-CN"/>
        </w:rPr>
        <w:t>2</w:t>
      </w:r>
      <w:r>
        <w:rPr>
          <w:rFonts w:hint="eastAsia"/>
          <w:kern w:val="0"/>
          <w:sz w:val="24"/>
        </w:rPr>
        <w:t>）单位负责人为同一人或者存在控股、管理关系的不同单位，不得参加同一标段投标或者未划分标段的同一招标项目投标，违反前两款规定的，相关投标均无效；</w:t>
      </w:r>
    </w:p>
    <w:p w14:paraId="012C4118">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无利害关系承诺书</w:t>
      </w:r>
    </w:p>
    <w:p w14:paraId="1ED6A842">
      <w:pPr>
        <w:jc w:val="left"/>
        <w:rPr>
          <w:rFonts w:hint="eastAsia" w:ascii="宋体" w:hAnsi="宋体" w:eastAsia="宋体" w:cs="宋体"/>
          <w:bCs/>
          <w:color w:val="auto"/>
          <w:spacing w:val="14"/>
          <w:sz w:val="24"/>
          <w:szCs w:val="24"/>
        </w:rPr>
      </w:pPr>
    </w:p>
    <w:p w14:paraId="062C9364">
      <w:pPr>
        <w:spacing w:line="360" w:lineRule="auto"/>
        <w:jc w:val="left"/>
        <w:rPr>
          <w:rFonts w:hint="eastAsia" w:ascii="宋体" w:hAnsi="宋体" w:eastAsia="宋体" w:cs="宋体"/>
          <w:bCs/>
          <w:color w:val="auto"/>
          <w:spacing w:val="14"/>
          <w:sz w:val="24"/>
          <w:szCs w:val="24"/>
          <w:u w:val="single"/>
        </w:rPr>
      </w:pPr>
      <w:r>
        <w:rPr>
          <w:rFonts w:hint="eastAsia" w:ascii="宋体" w:hAnsi="宋体" w:eastAsia="宋体" w:cs="宋体"/>
          <w:color w:val="auto"/>
          <w:sz w:val="24"/>
          <w:szCs w:val="24"/>
          <w:u w:val="single"/>
        </w:rPr>
        <w:t xml:space="preserve">                （采购人）</w:t>
      </w:r>
      <w:r>
        <w:rPr>
          <w:rFonts w:hint="eastAsia" w:ascii="宋体" w:hAnsi="宋体" w:eastAsia="宋体" w:cs="宋体"/>
          <w:bCs/>
          <w:color w:val="auto"/>
          <w:spacing w:val="14"/>
          <w:sz w:val="24"/>
          <w:szCs w:val="24"/>
          <w:u w:val="single"/>
        </w:rPr>
        <w:t>：</w:t>
      </w:r>
    </w:p>
    <w:p w14:paraId="5867DE2D">
      <w:pPr>
        <w:spacing w:line="360" w:lineRule="auto"/>
        <w:ind w:firstLine="536" w:firstLineChars="200"/>
        <w:rPr>
          <w:rFonts w:hint="eastAsia" w:ascii="宋体" w:hAnsi="宋体" w:eastAsia="宋体" w:cs="宋体"/>
          <w:bCs/>
          <w:color w:val="auto"/>
          <w:kern w:val="0"/>
          <w:sz w:val="24"/>
          <w:szCs w:val="24"/>
        </w:rPr>
      </w:pPr>
      <w:r>
        <w:rPr>
          <w:rFonts w:hint="eastAsia" w:ascii="宋体" w:hAnsi="宋体" w:eastAsia="宋体" w:cs="宋体"/>
          <w:bCs/>
          <w:color w:val="auto"/>
          <w:spacing w:val="14"/>
          <w:sz w:val="24"/>
          <w:szCs w:val="24"/>
        </w:rPr>
        <w:t>我公司参加你单位的</w:t>
      </w:r>
      <w:r>
        <w:rPr>
          <w:rFonts w:hint="eastAsia" w:ascii="宋体" w:hAnsi="宋体" w:eastAsia="宋体" w:cs="宋体"/>
          <w:b/>
          <w:color w:val="auto"/>
          <w:spacing w:val="14"/>
          <w:sz w:val="24"/>
          <w:szCs w:val="24"/>
          <w:u w:val="single"/>
        </w:rPr>
        <w:t xml:space="preserve">                项目</w:t>
      </w:r>
      <w:r>
        <w:rPr>
          <w:rFonts w:hint="eastAsia" w:ascii="宋体" w:hAnsi="宋体" w:eastAsia="宋体" w:cs="宋体"/>
          <w:bCs/>
          <w:color w:val="auto"/>
          <w:kern w:val="0"/>
          <w:sz w:val="24"/>
          <w:szCs w:val="24"/>
        </w:rPr>
        <w:t>的投标，我公司与你单位不存在控股、管理等利害关系。特此承诺，我单位对本次承诺真实性负责，并承担相应法律责任。</w:t>
      </w:r>
    </w:p>
    <w:p w14:paraId="25883179">
      <w:pPr>
        <w:spacing w:line="360" w:lineRule="auto"/>
        <w:ind w:firstLine="480" w:firstLineChars="200"/>
        <w:rPr>
          <w:rFonts w:hint="eastAsia" w:ascii="宋体" w:hAnsi="宋体" w:eastAsia="宋体" w:cs="宋体"/>
          <w:bCs/>
          <w:color w:val="auto"/>
          <w:kern w:val="0"/>
          <w:sz w:val="24"/>
          <w:szCs w:val="24"/>
        </w:rPr>
      </w:pPr>
    </w:p>
    <w:p w14:paraId="1FE5B8BC">
      <w:pPr>
        <w:spacing w:line="360" w:lineRule="auto"/>
        <w:ind w:firstLine="480" w:firstLineChars="200"/>
        <w:rPr>
          <w:rFonts w:hint="eastAsia" w:ascii="宋体" w:hAnsi="宋体" w:eastAsia="宋体" w:cs="宋体"/>
          <w:bCs/>
          <w:color w:val="auto"/>
          <w:kern w:val="0"/>
          <w:sz w:val="24"/>
          <w:szCs w:val="24"/>
        </w:rPr>
      </w:pPr>
    </w:p>
    <w:p w14:paraId="6705B970">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供应商（电子章）：</w:t>
      </w:r>
    </w:p>
    <w:p w14:paraId="5EFDAEC4">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0D72DA95">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075E4A5C">
      <w:pPr>
        <w:ind w:firstLine="480"/>
        <w:jc w:val="center"/>
        <w:rPr>
          <w:rFonts w:hint="eastAsia" w:ascii="宋体" w:hAnsi="宋体" w:eastAsia="宋体" w:cs="宋体"/>
          <w:b/>
          <w:bCs/>
          <w:color w:val="auto"/>
          <w:sz w:val="24"/>
          <w:szCs w:val="24"/>
        </w:rPr>
      </w:pPr>
    </w:p>
    <w:p w14:paraId="4427062C">
      <w:pPr>
        <w:ind w:firstLine="48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不存在与参加本项目的其它</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负责人为同一人或者存在</w:t>
      </w:r>
    </w:p>
    <w:p w14:paraId="7B45A01F">
      <w:pPr>
        <w:pStyle w:val="2"/>
        <w:keepNext w:val="0"/>
        <w:keepLines w:val="0"/>
        <w:numPr>
          <w:ilvl w:val="0"/>
          <w:numId w:val="0"/>
        </w:numPr>
        <w:spacing w:before="0" w:after="0" w:line="504" w:lineRule="atLeast"/>
        <w:jc w:val="center"/>
        <w:textAlignment w:val="baseline"/>
        <w:rPr>
          <w:rFonts w:hint="eastAsia" w:ascii="宋体" w:hAnsi="宋体" w:eastAsia="宋体" w:cs="宋体"/>
          <w:bCs/>
          <w:color w:val="auto"/>
          <w:sz w:val="24"/>
          <w:szCs w:val="24"/>
        </w:rPr>
      </w:pPr>
      <w:bookmarkStart w:id="533" w:name="_Toc10263"/>
      <w:bookmarkStart w:id="534" w:name="_Toc6081"/>
      <w:bookmarkStart w:id="535" w:name="_Toc19014"/>
      <w:r>
        <w:rPr>
          <w:rFonts w:hint="eastAsia" w:ascii="宋体" w:hAnsi="宋体" w:eastAsia="宋体" w:cs="宋体"/>
          <w:bCs/>
          <w:color w:val="auto"/>
          <w:sz w:val="24"/>
          <w:szCs w:val="24"/>
        </w:rPr>
        <w:t>直接控股、管理关系承诺</w:t>
      </w:r>
      <w:bookmarkEnd w:id="533"/>
      <w:bookmarkEnd w:id="534"/>
      <w:bookmarkEnd w:id="535"/>
    </w:p>
    <w:p w14:paraId="19C42AE4">
      <w:pPr>
        <w:rPr>
          <w:rFonts w:hint="eastAsia" w:ascii="宋体" w:hAnsi="宋体" w:eastAsia="宋体" w:cs="宋体"/>
          <w:color w:val="auto"/>
          <w:sz w:val="24"/>
          <w:szCs w:val="24"/>
        </w:rPr>
      </w:pPr>
    </w:p>
    <w:p w14:paraId="21E977FE">
      <w:pPr>
        <w:spacing w:line="360" w:lineRule="auto"/>
        <w:jc w:val="left"/>
        <w:rPr>
          <w:rFonts w:hint="eastAsia" w:ascii="宋体" w:hAnsi="宋体" w:eastAsia="宋体" w:cs="宋体"/>
          <w:bCs/>
          <w:color w:val="auto"/>
          <w:spacing w:val="14"/>
          <w:sz w:val="24"/>
          <w:szCs w:val="24"/>
          <w:u w:val="single"/>
        </w:rPr>
      </w:pPr>
      <w:r>
        <w:rPr>
          <w:rFonts w:hint="eastAsia" w:ascii="宋体" w:hAnsi="宋体" w:eastAsia="宋体" w:cs="宋体"/>
          <w:color w:val="auto"/>
          <w:sz w:val="24"/>
          <w:szCs w:val="24"/>
          <w:u w:val="single"/>
        </w:rPr>
        <w:t xml:space="preserve">                     （采购人）</w:t>
      </w:r>
      <w:r>
        <w:rPr>
          <w:rFonts w:hint="eastAsia" w:ascii="宋体" w:hAnsi="宋体" w:eastAsia="宋体" w:cs="宋体"/>
          <w:bCs/>
          <w:color w:val="auto"/>
          <w:spacing w:val="14"/>
          <w:sz w:val="24"/>
          <w:szCs w:val="24"/>
          <w:u w:val="single"/>
        </w:rPr>
        <w:t>：</w:t>
      </w:r>
    </w:p>
    <w:p w14:paraId="2BFAEDC3">
      <w:pPr>
        <w:spacing w:line="360" w:lineRule="auto"/>
        <w:ind w:firstLine="536" w:firstLineChars="200"/>
        <w:jc w:val="left"/>
        <w:rPr>
          <w:rFonts w:hint="eastAsia" w:ascii="宋体" w:hAnsi="宋体" w:eastAsia="宋体" w:cs="宋体"/>
          <w:color w:val="auto"/>
          <w:sz w:val="24"/>
          <w:szCs w:val="24"/>
        </w:rPr>
      </w:pPr>
      <w:r>
        <w:rPr>
          <w:rFonts w:hint="eastAsia" w:ascii="宋体" w:hAnsi="宋体" w:eastAsia="宋体" w:cs="宋体"/>
          <w:bCs/>
          <w:color w:val="auto"/>
          <w:spacing w:val="14"/>
          <w:sz w:val="24"/>
          <w:szCs w:val="24"/>
        </w:rPr>
        <w:t>我</w:t>
      </w:r>
      <w:r>
        <w:rPr>
          <w:rFonts w:hint="eastAsia" w:ascii="宋体" w:hAnsi="宋体" w:eastAsia="宋体" w:cs="宋体"/>
          <w:color w:val="auto"/>
          <w:sz w:val="24"/>
          <w:szCs w:val="24"/>
        </w:rPr>
        <w:t>公司参加贵单位组织的</w:t>
      </w:r>
      <w:r>
        <w:rPr>
          <w:rFonts w:hint="eastAsia" w:ascii="宋体" w:hAnsi="宋体" w:eastAsia="宋体" w:cs="宋体"/>
          <w:b/>
          <w:bCs/>
          <w:color w:val="auto"/>
          <w:sz w:val="24"/>
          <w:szCs w:val="24"/>
          <w:u w:val="single"/>
        </w:rPr>
        <w:t xml:space="preserve">            项目</w:t>
      </w:r>
      <w:r>
        <w:rPr>
          <w:rFonts w:hint="eastAsia" w:ascii="宋体" w:hAnsi="宋体" w:eastAsia="宋体" w:cs="宋体"/>
          <w:color w:val="auto"/>
          <w:sz w:val="24"/>
          <w:szCs w:val="24"/>
        </w:rPr>
        <w:t>招标活动，郑重承诺：在参加本项目里不存在与参加本项目的其它</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负责人为同一人或者存在直接控股、管理关系。我公司对上述承诺的真实性负责。如有虚假，将依法承担相应责任。特此承诺！</w:t>
      </w:r>
    </w:p>
    <w:p w14:paraId="20F6F578">
      <w:pPr>
        <w:spacing w:line="360" w:lineRule="auto"/>
        <w:ind w:firstLine="480" w:firstLineChars="200"/>
        <w:rPr>
          <w:rFonts w:hint="eastAsia" w:ascii="宋体" w:hAnsi="宋体" w:eastAsia="宋体" w:cs="宋体"/>
          <w:bCs/>
          <w:color w:val="auto"/>
          <w:kern w:val="0"/>
          <w:sz w:val="24"/>
          <w:szCs w:val="24"/>
        </w:rPr>
      </w:pPr>
    </w:p>
    <w:p w14:paraId="170C61EA">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供应商（电子章）：</w:t>
      </w:r>
    </w:p>
    <w:p w14:paraId="49F50E99">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64EF1EA3">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1326B0A9">
      <w:pPr>
        <w:pStyle w:val="29"/>
        <w:rPr>
          <w:rFonts w:hint="eastAsia"/>
          <w:kern w:val="0"/>
          <w:sz w:val="24"/>
          <w:lang w:val="en-US" w:eastAsia="zh-CN"/>
        </w:rPr>
      </w:pPr>
    </w:p>
    <w:p w14:paraId="58EF73CA">
      <w:pPr>
        <w:pStyle w:val="29"/>
        <w:rPr>
          <w:rFonts w:hint="default"/>
          <w:lang w:val="en-US" w:eastAsia="zh-CN"/>
        </w:rPr>
      </w:pPr>
    </w:p>
    <w:p w14:paraId="4B5FB9C2">
      <w:pPr>
        <w:pStyle w:val="3"/>
        <w:numPr>
          <w:ilvl w:val="0"/>
          <w:numId w:val="2"/>
        </w:numPr>
        <w:bidi w:val="0"/>
        <w:ind w:left="510" w:leftChars="0" w:hanging="510" w:firstLineChars="0"/>
        <w:rPr>
          <w:rFonts w:hint="eastAsia"/>
          <w:b/>
          <w:bCs w:val="0"/>
          <w:sz w:val="32"/>
        </w:rPr>
      </w:pPr>
      <w:r>
        <w:rPr>
          <w:sz w:val="24"/>
        </w:rPr>
        <w:br w:type="page"/>
      </w:r>
      <w:bookmarkStart w:id="536" w:name="_Toc28607"/>
      <w:r>
        <w:rPr>
          <w:rFonts w:hint="eastAsia"/>
          <w:b/>
          <w:bCs w:val="0"/>
          <w:sz w:val="32"/>
          <w:lang w:val="en-US" w:eastAsia="zh-CN"/>
        </w:rPr>
        <w:t>报价</w:t>
      </w:r>
      <w:r>
        <w:rPr>
          <w:rFonts w:hint="eastAsia"/>
          <w:b/>
          <w:bCs w:val="0"/>
          <w:sz w:val="32"/>
        </w:rPr>
        <w:t>响应文件</w:t>
      </w:r>
      <w:bookmarkEnd w:id="525"/>
      <w:bookmarkEnd w:id="536"/>
      <w:bookmarkStart w:id="537" w:name="_Toc106276292"/>
      <w:bookmarkStart w:id="538" w:name="_Toc8324"/>
    </w:p>
    <w:p w14:paraId="79703244">
      <w:pPr>
        <w:pStyle w:val="3"/>
        <w:numPr>
          <w:ilvl w:val="0"/>
          <w:numId w:val="0"/>
        </w:numPr>
        <w:bidi w:val="0"/>
        <w:ind w:leftChars="0"/>
        <w:rPr>
          <w:rFonts w:hint="eastAsia" w:ascii="宋体" w:hAnsi="宋体" w:eastAsia="宋体" w:cs="宋体"/>
          <w:bCs w:val="0"/>
          <w:sz w:val="28"/>
          <w:szCs w:val="28"/>
        </w:rPr>
      </w:pPr>
      <w:bookmarkStart w:id="539" w:name="_Toc4502"/>
      <w:r>
        <w:rPr>
          <w:rFonts w:hint="eastAsia" w:ascii="宋体" w:hAnsi="宋体" w:eastAsia="宋体" w:cs="宋体"/>
          <w:bCs w:val="0"/>
          <w:sz w:val="28"/>
          <w:szCs w:val="28"/>
          <w:lang w:eastAsia="zh-CN"/>
        </w:rPr>
        <w:t>（一）</w:t>
      </w:r>
      <w:r>
        <w:rPr>
          <w:rFonts w:hint="eastAsia" w:ascii="宋体" w:hAnsi="宋体" w:eastAsia="宋体" w:cs="宋体"/>
          <w:bCs w:val="0"/>
          <w:sz w:val="28"/>
          <w:szCs w:val="28"/>
        </w:rPr>
        <w:t>开标一览表</w:t>
      </w:r>
      <w:bookmarkEnd w:id="537"/>
      <w:bookmarkEnd w:id="538"/>
      <w:bookmarkEnd w:id="539"/>
    </w:p>
    <w:tbl>
      <w:tblPr>
        <w:tblStyle w:val="4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2F62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5F20DA9">
            <w:pPr>
              <w:pStyle w:val="132"/>
              <w:spacing w:line="360" w:lineRule="auto"/>
              <w:jc w:val="center"/>
              <w:rPr>
                <w:rFonts w:hint="eastAsia" w:ascii="宋体" w:hAnsi="宋体"/>
                <w:sz w:val="24"/>
                <w:szCs w:val="24"/>
              </w:rPr>
            </w:pPr>
            <w:r>
              <w:rPr>
                <w:rFonts w:hint="eastAsia" w:ascii="宋体" w:hAnsi="宋体"/>
                <w:sz w:val="24"/>
                <w:szCs w:val="24"/>
              </w:rPr>
              <w:t>项目名称</w:t>
            </w:r>
          </w:p>
        </w:tc>
        <w:tc>
          <w:tcPr>
            <w:tcW w:w="6770" w:type="dxa"/>
            <w:tcBorders>
              <w:top w:val="single" w:color="auto" w:sz="4" w:space="0"/>
              <w:left w:val="nil"/>
              <w:bottom w:val="single" w:color="auto" w:sz="4" w:space="0"/>
              <w:right w:val="single" w:color="auto" w:sz="4" w:space="0"/>
            </w:tcBorders>
            <w:noWrap w:val="0"/>
            <w:vAlign w:val="center"/>
          </w:tcPr>
          <w:p w14:paraId="087EE755">
            <w:pPr>
              <w:pStyle w:val="132"/>
              <w:spacing w:line="360" w:lineRule="auto"/>
              <w:jc w:val="center"/>
              <w:rPr>
                <w:rFonts w:hint="eastAsia" w:ascii="宋体" w:hAnsi="宋体"/>
                <w:sz w:val="24"/>
                <w:szCs w:val="24"/>
              </w:rPr>
            </w:pPr>
          </w:p>
        </w:tc>
      </w:tr>
      <w:tr w14:paraId="29BE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358D03D">
            <w:pPr>
              <w:pStyle w:val="132"/>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项目编号</w:t>
            </w:r>
          </w:p>
        </w:tc>
        <w:tc>
          <w:tcPr>
            <w:tcW w:w="6770" w:type="dxa"/>
            <w:tcBorders>
              <w:top w:val="single" w:color="auto" w:sz="4" w:space="0"/>
              <w:left w:val="nil"/>
              <w:bottom w:val="single" w:color="auto" w:sz="4" w:space="0"/>
              <w:right w:val="single" w:color="auto" w:sz="4" w:space="0"/>
            </w:tcBorders>
            <w:noWrap w:val="0"/>
            <w:vAlign w:val="center"/>
          </w:tcPr>
          <w:p w14:paraId="5CF47DEB">
            <w:pPr>
              <w:pStyle w:val="132"/>
              <w:spacing w:line="360" w:lineRule="auto"/>
              <w:jc w:val="center"/>
              <w:rPr>
                <w:rFonts w:hint="eastAsia" w:ascii="宋体" w:hAnsi="宋体"/>
                <w:sz w:val="24"/>
                <w:szCs w:val="24"/>
              </w:rPr>
            </w:pPr>
          </w:p>
        </w:tc>
      </w:tr>
      <w:tr w14:paraId="01B2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0" w:hRule="atLeast"/>
          <w:jc w:val="center"/>
        </w:trPr>
        <w:tc>
          <w:tcPr>
            <w:tcW w:w="2410" w:type="dxa"/>
            <w:tcBorders>
              <w:top w:val="nil"/>
              <w:left w:val="single" w:color="auto" w:sz="4" w:space="0"/>
              <w:right w:val="single" w:color="auto" w:sz="4" w:space="0"/>
            </w:tcBorders>
            <w:noWrap w:val="0"/>
            <w:vAlign w:val="center"/>
          </w:tcPr>
          <w:p w14:paraId="27F7A939">
            <w:pPr>
              <w:pStyle w:val="132"/>
              <w:spacing w:line="360" w:lineRule="auto"/>
              <w:jc w:val="center"/>
              <w:rPr>
                <w:rFonts w:hint="eastAsia" w:ascii="宋体" w:hAnsi="宋体"/>
                <w:sz w:val="24"/>
                <w:szCs w:val="24"/>
                <w:lang w:eastAsia="zh-CN"/>
              </w:rPr>
            </w:pPr>
            <w:r>
              <w:rPr>
                <w:rFonts w:hint="eastAsia" w:ascii="宋体" w:hAnsi="宋体"/>
                <w:sz w:val="24"/>
                <w:szCs w:val="24"/>
              </w:rPr>
              <w:t>报价</w:t>
            </w:r>
            <w:r>
              <w:rPr>
                <w:rFonts w:hint="eastAsia" w:ascii="宋体" w:hAnsi="宋体"/>
                <w:sz w:val="24"/>
                <w:szCs w:val="24"/>
                <w:lang w:eastAsia="zh-CN"/>
              </w:rPr>
              <w:t>（元）</w:t>
            </w:r>
          </w:p>
        </w:tc>
        <w:tc>
          <w:tcPr>
            <w:tcW w:w="6770" w:type="dxa"/>
            <w:tcBorders>
              <w:top w:val="single" w:color="auto" w:sz="4" w:space="0"/>
              <w:left w:val="nil"/>
              <w:right w:val="single" w:color="auto" w:sz="4" w:space="0"/>
            </w:tcBorders>
            <w:noWrap w:val="0"/>
            <w:vAlign w:val="center"/>
          </w:tcPr>
          <w:p w14:paraId="5B1B026B">
            <w:pPr>
              <w:pStyle w:val="132"/>
              <w:spacing w:line="360" w:lineRule="auto"/>
              <w:jc w:val="left"/>
              <w:rPr>
                <w:rFonts w:hint="eastAsia" w:ascii="宋体" w:hAnsi="宋体"/>
                <w:sz w:val="24"/>
                <w:szCs w:val="24"/>
                <w:u w:val="single"/>
              </w:rPr>
            </w:pPr>
            <w:r>
              <w:rPr>
                <w:rFonts w:hint="eastAsia" w:ascii="宋体" w:hAnsi="宋体"/>
                <w:sz w:val="24"/>
                <w:szCs w:val="24"/>
              </w:rPr>
              <w:t>小写：</w:t>
            </w:r>
            <w:r>
              <w:rPr>
                <w:rFonts w:hint="eastAsia" w:ascii="宋体" w:hAnsi="宋体"/>
                <w:sz w:val="24"/>
                <w:szCs w:val="24"/>
                <w:u w:val="single"/>
              </w:rPr>
              <w:t xml:space="preserve">                                    </w:t>
            </w:r>
          </w:p>
          <w:p w14:paraId="11FB4705">
            <w:pPr>
              <w:pStyle w:val="132"/>
              <w:spacing w:line="360" w:lineRule="auto"/>
              <w:jc w:val="left"/>
              <w:rPr>
                <w:rFonts w:hint="eastAsia" w:ascii="宋体" w:hAnsi="宋体"/>
                <w:sz w:val="24"/>
                <w:szCs w:val="24"/>
              </w:rPr>
            </w:pPr>
            <w:r>
              <w:rPr>
                <w:rFonts w:hint="eastAsia" w:ascii="宋体" w:hAnsi="宋体"/>
                <w:sz w:val="24"/>
                <w:szCs w:val="24"/>
              </w:rPr>
              <w:t>大写：</w:t>
            </w:r>
            <w:r>
              <w:rPr>
                <w:rFonts w:hint="eastAsia" w:ascii="宋体" w:hAnsi="宋体"/>
                <w:sz w:val="24"/>
                <w:szCs w:val="24"/>
                <w:u w:val="single"/>
              </w:rPr>
              <w:t xml:space="preserve">                                    </w:t>
            </w:r>
            <w:r>
              <w:rPr>
                <w:rFonts w:hint="eastAsia" w:ascii="宋体" w:hAnsi="宋体"/>
                <w:sz w:val="24"/>
                <w:szCs w:val="24"/>
              </w:rPr>
              <w:t xml:space="preserve">                    </w:t>
            </w:r>
          </w:p>
        </w:tc>
      </w:tr>
      <w:tr w14:paraId="2D04D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4EA99DD">
            <w:pPr>
              <w:pStyle w:val="132"/>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服务期</w:t>
            </w:r>
          </w:p>
        </w:tc>
        <w:tc>
          <w:tcPr>
            <w:tcW w:w="6770" w:type="dxa"/>
            <w:tcBorders>
              <w:top w:val="single" w:color="auto" w:sz="4" w:space="0"/>
              <w:left w:val="nil"/>
              <w:bottom w:val="single" w:color="auto" w:sz="4" w:space="0"/>
              <w:right w:val="single" w:color="auto" w:sz="4" w:space="0"/>
            </w:tcBorders>
            <w:noWrap w:val="0"/>
            <w:vAlign w:val="top"/>
          </w:tcPr>
          <w:p w14:paraId="13B3353D">
            <w:pPr>
              <w:pStyle w:val="132"/>
              <w:spacing w:line="360" w:lineRule="auto"/>
              <w:rPr>
                <w:rFonts w:hint="eastAsia" w:ascii="宋体" w:hAnsi="宋体"/>
                <w:color w:val="000000"/>
                <w:sz w:val="24"/>
                <w:szCs w:val="24"/>
                <w:lang w:eastAsia="zh-CN"/>
              </w:rPr>
            </w:pPr>
          </w:p>
        </w:tc>
      </w:tr>
      <w:tr w14:paraId="72E7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tcBorders>
              <w:top w:val="single" w:color="auto" w:sz="4" w:space="0"/>
              <w:left w:val="single" w:color="auto" w:sz="4" w:space="0"/>
              <w:bottom w:val="single" w:color="auto" w:sz="4" w:space="0"/>
              <w:right w:val="single" w:color="auto" w:sz="4" w:space="0"/>
            </w:tcBorders>
            <w:noWrap w:val="0"/>
            <w:vAlign w:val="top"/>
          </w:tcPr>
          <w:p w14:paraId="3DABF0DE">
            <w:pPr>
              <w:pStyle w:val="132"/>
              <w:spacing w:line="360" w:lineRule="auto"/>
              <w:rPr>
                <w:rFonts w:hint="eastAsia" w:ascii="宋体" w:hAnsi="宋体"/>
                <w:sz w:val="24"/>
                <w:szCs w:val="24"/>
              </w:rPr>
            </w:pPr>
            <w:r>
              <w:rPr>
                <w:rFonts w:hint="eastAsia" w:ascii="宋体" w:hAnsi="宋体"/>
                <w:sz w:val="24"/>
                <w:szCs w:val="24"/>
              </w:rPr>
              <w:t>备注：</w:t>
            </w:r>
          </w:p>
        </w:tc>
      </w:tr>
    </w:tbl>
    <w:p w14:paraId="3BCE7AB9">
      <w:pPr>
        <w:pStyle w:val="133"/>
        <w:spacing w:line="360" w:lineRule="auto"/>
        <w:rPr>
          <w:rFonts w:hint="eastAsia" w:ascii="宋体" w:hAnsi="宋体" w:cs="宋体"/>
          <w:sz w:val="24"/>
        </w:rPr>
      </w:pPr>
      <w:r>
        <w:rPr>
          <w:rFonts w:hint="eastAsia" w:ascii="宋体" w:hAnsi="宋体" w:cs="宋体"/>
          <w:sz w:val="24"/>
        </w:rPr>
        <w:t>说明：1、</w:t>
      </w:r>
      <w:r>
        <w:rPr>
          <w:rFonts w:hint="eastAsia" w:ascii="宋体" w:hAnsi="宋体" w:cs="宋体"/>
          <w:sz w:val="24"/>
          <w:lang w:eastAsia="zh-CN"/>
        </w:rPr>
        <w:t>供应商</w:t>
      </w:r>
      <w:r>
        <w:rPr>
          <w:rFonts w:hint="eastAsia" w:ascii="宋体" w:hAnsi="宋体" w:cs="宋体"/>
          <w:sz w:val="24"/>
        </w:rPr>
        <w:t xml:space="preserve">严格按照规定的格式填写。      </w:t>
      </w:r>
    </w:p>
    <w:p w14:paraId="3665C562">
      <w:pPr>
        <w:pStyle w:val="133"/>
        <w:spacing w:line="360" w:lineRule="auto"/>
        <w:ind w:firstLine="720" w:firstLineChars="300"/>
        <w:rPr>
          <w:rFonts w:hint="eastAsia" w:ascii="宋体" w:hAnsi="宋体" w:cs="宋体"/>
          <w:sz w:val="24"/>
        </w:rPr>
      </w:pPr>
      <w:r>
        <w:rPr>
          <w:rFonts w:hint="eastAsia" w:ascii="宋体" w:hAnsi="宋体" w:cs="宋体"/>
          <w:sz w:val="24"/>
        </w:rPr>
        <w:t>2、任何有选择或有条件的投标报价或表中某一包填写多个报价，均将导致投标被拒绝。</w:t>
      </w:r>
    </w:p>
    <w:p w14:paraId="6C714FDC">
      <w:pPr>
        <w:pStyle w:val="133"/>
        <w:spacing w:line="360" w:lineRule="auto"/>
        <w:ind w:firstLine="480" w:firstLineChars="200"/>
        <w:rPr>
          <w:rFonts w:hint="eastAsia" w:ascii="宋体" w:hAnsi="宋体" w:cs="宋体"/>
          <w:sz w:val="24"/>
        </w:rPr>
      </w:pPr>
    </w:p>
    <w:p w14:paraId="36DD2ED3">
      <w:pPr>
        <w:pStyle w:val="133"/>
        <w:spacing w:line="360" w:lineRule="auto"/>
        <w:ind w:firstLine="480" w:firstLineChars="200"/>
        <w:rPr>
          <w:rFonts w:hint="eastAsia" w:ascii="宋体" w:hAnsi="宋体" w:cs="宋体"/>
          <w:sz w:val="24"/>
          <w:u w:val="single"/>
        </w:rPr>
      </w:pPr>
    </w:p>
    <w:p w14:paraId="4F77B41A">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供应商（电子章）：</w:t>
      </w:r>
    </w:p>
    <w:p w14:paraId="6A0295EC">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45E9852A">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0DEB1065">
      <w:pPr>
        <w:pStyle w:val="125"/>
        <w:spacing w:line="360" w:lineRule="auto"/>
        <w:ind w:firstLine="480" w:firstLineChars="200"/>
        <w:rPr>
          <w:rFonts w:hint="eastAsia" w:ascii="宋体" w:hAnsi="宋体" w:cs="宋体"/>
          <w:sz w:val="24"/>
        </w:rPr>
      </w:pPr>
    </w:p>
    <w:p w14:paraId="10FE2A74">
      <w:pPr>
        <w:pStyle w:val="125"/>
        <w:spacing w:line="360" w:lineRule="auto"/>
        <w:ind w:firstLine="480" w:firstLineChars="200"/>
        <w:rPr>
          <w:rFonts w:hint="eastAsia" w:ascii="宋体" w:hAnsi="宋体" w:cs="宋体"/>
          <w:sz w:val="24"/>
        </w:rPr>
      </w:pPr>
    </w:p>
    <w:p w14:paraId="54213753">
      <w:pPr>
        <w:pStyle w:val="125"/>
        <w:spacing w:line="360" w:lineRule="auto"/>
        <w:ind w:firstLine="480" w:firstLineChars="200"/>
        <w:rPr>
          <w:rFonts w:hint="eastAsia" w:ascii="宋体" w:hAnsi="宋体" w:cs="宋体"/>
          <w:sz w:val="24"/>
        </w:rPr>
      </w:pPr>
    </w:p>
    <w:p w14:paraId="529892E1">
      <w:pPr>
        <w:pStyle w:val="125"/>
        <w:spacing w:line="360" w:lineRule="auto"/>
        <w:ind w:firstLine="480" w:firstLineChars="200"/>
        <w:rPr>
          <w:rFonts w:hint="eastAsia" w:ascii="宋体" w:hAnsi="宋体" w:cs="宋体"/>
          <w:sz w:val="24"/>
        </w:rPr>
      </w:pPr>
    </w:p>
    <w:p w14:paraId="1176762E">
      <w:pPr>
        <w:pStyle w:val="125"/>
        <w:spacing w:line="360" w:lineRule="auto"/>
        <w:ind w:firstLine="480" w:firstLineChars="200"/>
        <w:rPr>
          <w:rFonts w:hint="eastAsia" w:ascii="宋体" w:hAnsi="宋体" w:cs="宋体"/>
          <w:sz w:val="24"/>
        </w:rPr>
      </w:pPr>
    </w:p>
    <w:p w14:paraId="1D17A403">
      <w:pPr>
        <w:pStyle w:val="3"/>
        <w:numPr>
          <w:ilvl w:val="0"/>
          <w:numId w:val="0"/>
        </w:numPr>
        <w:bidi w:val="0"/>
        <w:ind w:leftChars="0"/>
        <w:rPr>
          <w:rFonts w:hint="eastAsia" w:ascii="宋体" w:hAnsi="宋体" w:eastAsia="宋体" w:cs="宋体"/>
          <w:sz w:val="30"/>
          <w:szCs w:val="30"/>
        </w:rPr>
      </w:pPr>
      <w:bookmarkStart w:id="540" w:name="_Toc10626"/>
      <w:bookmarkStart w:id="541" w:name="_Toc106276294"/>
      <w:r>
        <w:rPr>
          <w:rFonts w:hint="eastAsia" w:ascii="宋体" w:hAnsi="宋体" w:eastAsia="宋体" w:cs="宋体"/>
          <w:sz w:val="30"/>
          <w:szCs w:val="30"/>
          <w:lang w:val="en-US" w:eastAsia="zh-CN"/>
        </w:rPr>
        <w:t>四、</w:t>
      </w:r>
      <w:r>
        <w:rPr>
          <w:rFonts w:hint="eastAsia" w:ascii="宋体" w:hAnsi="宋体" w:eastAsia="宋体" w:cs="宋体"/>
          <w:sz w:val="30"/>
          <w:szCs w:val="30"/>
        </w:rPr>
        <w:t>商务</w:t>
      </w:r>
      <w:r>
        <w:rPr>
          <w:rFonts w:hint="eastAsia" w:ascii="宋体" w:hAnsi="宋体" w:eastAsia="宋体" w:cs="宋体"/>
          <w:sz w:val="30"/>
          <w:szCs w:val="30"/>
          <w:lang w:eastAsia="zh-CN"/>
        </w:rPr>
        <w:t>、技术响应</w:t>
      </w:r>
      <w:r>
        <w:rPr>
          <w:rFonts w:hint="eastAsia" w:ascii="宋体" w:hAnsi="宋体" w:eastAsia="宋体" w:cs="宋体"/>
          <w:sz w:val="30"/>
          <w:szCs w:val="30"/>
        </w:rPr>
        <w:t>文件</w:t>
      </w:r>
      <w:bookmarkEnd w:id="526"/>
      <w:bookmarkEnd w:id="540"/>
      <w:bookmarkEnd w:id="541"/>
      <w:bookmarkStart w:id="542" w:name="_Toc106276295"/>
      <w:bookmarkStart w:id="543" w:name="_Toc2827"/>
    </w:p>
    <w:p w14:paraId="6DA01D7A">
      <w:pPr>
        <w:pStyle w:val="3"/>
        <w:numPr>
          <w:ilvl w:val="0"/>
          <w:numId w:val="0"/>
        </w:numPr>
        <w:bidi w:val="0"/>
        <w:ind w:leftChars="0"/>
        <w:rPr>
          <w:rFonts w:hint="eastAsia" w:ascii="宋体" w:hAnsi="宋体" w:eastAsia="宋体" w:cs="宋体"/>
          <w:sz w:val="30"/>
          <w:szCs w:val="30"/>
        </w:rPr>
      </w:pPr>
      <w:bookmarkStart w:id="544" w:name="_Toc3286"/>
      <w:r>
        <w:rPr>
          <w:rFonts w:hint="eastAsia" w:ascii="宋体" w:hAnsi="宋体" w:eastAsia="宋体" w:cs="宋体"/>
          <w:sz w:val="30"/>
          <w:szCs w:val="30"/>
          <w:lang w:eastAsia="zh-CN"/>
        </w:rPr>
        <w:t>（一）</w:t>
      </w:r>
      <w:r>
        <w:rPr>
          <w:rFonts w:hint="eastAsia" w:ascii="宋体" w:hAnsi="宋体" w:eastAsia="宋体" w:cs="宋体"/>
          <w:sz w:val="30"/>
          <w:szCs w:val="30"/>
        </w:rPr>
        <w:t>磋商申请</w:t>
      </w:r>
      <w:bookmarkEnd w:id="542"/>
      <w:bookmarkEnd w:id="543"/>
      <w:bookmarkEnd w:id="544"/>
    </w:p>
    <w:p w14:paraId="589A9ADD">
      <w:pPr>
        <w:pStyle w:val="162"/>
        <w:autoSpaceDE w:val="0"/>
        <w:autoSpaceDN w:val="0"/>
        <w:adjustRightInd w:val="0"/>
        <w:spacing w:line="360" w:lineRule="auto"/>
        <w:rPr>
          <w:rFonts w:hint="eastAsia" w:ascii="宋体" w:hAnsi="宋体" w:cs="宋体"/>
          <w:sz w:val="24"/>
          <w:szCs w:val="24"/>
          <w:lang w:val="zh-CN"/>
        </w:rPr>
      </w:pPr>
      <w:r>
        <w:rPr>
          <w:rFonts w:hint="eastAsia" w:ascii="宋体" w:hAnsi="宋体" w:cs="宋体"/>
          <w:sz w:val="24"/>
          <w:szCs w:val="24"/>
          <w:lang w:val="zh-CN"/>
        </w:rPr>
        <w:t>致：</w:t>
      </w:r>
      <w:r>
        <w:rPr>
          <w:rFonts w:hint="eastAsia" w:ascii="宋体" w:hAnsi="宋体" w:cs="宋体"/>
          <w:sz w:val="24"/>
          <w:szCs w:val="24"/>
          <w:u w:val="single"/>
          <w:lang w:val="zh-CN"/>
        </w:rPr>
        <w:t xml:space="preserve">                         </w:t>
      </w:r>
      <w:r>
        <w:rPr>
          <w:rFonts w:hint="eastAsia" w:ascii="宋体" w:hAnsi="宋体" w:cs="宋体"/>
          <w:sz w:val="24"/>
          <w:szCs w:val="24"/>
          <w:lang w:val="zh-CN"/>
        </w:rPr>
        <w:t>（采购单位）</w:t>
      </w:r>
    </w:p>
    <w:p w14:paraId="5BD99123">
      <w:pPr>
        <w:pStyle w:val="161"/>
        <w:autoSpaceDE w:val="0"/>
        <w:autoSpaceDN w:val="0"/>
        <w:adjustRightInd w:val="0"/>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lang w:val="zh-CN"/>
        </w:rPr>
        <w:t>根据贵方</w:t>
      </w:r>
      <w:r>
        <w:rPr>
          <w:rFonts w:hint="eastAsia" w:ascii="宋体" w:hAnsi="宋体" w:cs="宋体"/>
          <w:sz w:val="24"/>
          <w:szCs w:val="24"/>
          <w:lang w:val="en-US" w:eastAsia="zh-CN"/>
        </w:rPr>
        <w:t>项目名称</w:t>
      </w:r>
      <w:r>
        <w:rPr>
          <w:rFonts w:hint="eastAsia" w:ascii="宋体" w:hAnsi="宋体" w:cs="宋体"/>
          <w:sz w:val="24"/>
          <w:szCs w:val="24"/>
          <w:u w:val="single"/>
          <w:lang w:val="en-US" w:eastAsia="zh-CN"/>
        </w:rPr>
        <w:t xml:space="preserve">           </w:t>
      </w:r>
      <w:r>
        <w:rPr>
          <w:rFonts w:hint="eastAsia" w:ascii="宋体" w:hAnsi="宋体" w:cs="宋体"/>
          <w:sz w:val="24"/>
          <w:szCs w:val="24"/>
          <w:lang w:val="zh-CN"/>
        </w:rPr>
        <w:t>项目编号</w:t>
      </w:r>
      <w:r>
        <w:rPr>
          <w:rFonts w:hint="eastAsia" w:ascii="宋体" w:hAnsi="宋体" w:cs="宋体"/>
          <w:sz w:val="24"/>
          <w:szCs w:val="24"/>
          <w:u w:val="single"/>
          <w:lang w:val="zh-CN"/>
        </w:rPr>
        <w:t xml:space="preserve">           </w:t>
      </w:r>
      <w:r>
        <w:rPr>
          <w:rFonts w:hint="eastAsia" w:ascii="宋体" w:hAnsi="宋体" w:cs="宋体"/>
          <w:sz w:val="24"/>
          <w:szCs w:val="24"/>
          <w:lang w:val="zh-CN"/>
        </w:rPr>
        <w:t>的磋商文件，</w:t>
      </w:r>
      <w:r>
        <w:rPr>
          <w:rFonts w:hint="eastAsia" w:ascii="宋体" w:hAnsi="宋体" w:cs="宋体"/>
          <w:sz w:val="24"/>
          <w:szCs w:val="24"/>
        </w:rPr>
        <w:t>我方正式提交在</w:t>
      </w:r>
      <w:r>
        <w:rPr>
          <w:rFonts w:hint="eastAsia" w:ascii="宋体" w:hAnsi="宋体" w:cs="宋体"/>
          <w:sz w:val="24"/>
          <w:szCs w:val="24"/>
          <w:lang w:eastAsia="zh-CN"/>
        </w:rPr>
        <w:t>政采云平台</w:t>
      </w:r>
      <w:r>
        <w:rPr>
          <w:rFonts w:hint="eastAsia" w:ascii="宋体" w:hAnsi="宋体" w:cs="宋体"/>
          <w:sz w:val="24"/>
          <w:szCs w:val="24"/>
        </w:rPr>
        <w:t>上传电子磋商响应文件一份。</w:t>
      </w:r>
    </w:p>
    <w:p w14:paraId="7EE7FD61">
      <w:pPr>
        <w:pStyle w:val="162"/>
        <w:autoSpaceDE w:val="0"/>
        <w:autoSpaceDN w:val="0"/>
        <w:adjustRightInd w:val="0"/>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据此函，签字人兹同意如下：</w:t>
      </w:r>
    </w:p>
    <w:p w14:paraId="21E5F6F4">
      <w:pPr>
        <w:pStyle w:val="162"/>
        <w:spacing w:line="360" w:lineRule="auto"/>
        <w:ind w:firstLine="480" w:firstLineChars="200"/>
        <w:rPr>
          <w:rFonts w:hint="eastAsia" w:ascii="宋体" w:hAnsi="宋体" w:cs="宋体"/>
          <w:color w:val="000000"/>
          <w:sz w:val="24"/>
          <w:szCs w:val="24"/>
        </w:rPr>
      </w:pPr>
      <w:r>
        <w:rPr>
          <w:rFonts w:hint="eastAsia" w:ascii="宋体" w:hAnsi="宋体" w:cs="宋体"/>
          <w:sz w:val="24"/>
          <w:szCs w:val="24"/>
        </w:rPr>
        <w:t>1、总报价为（大写</w:t>
      </w:r>
      <w:r>
        <w:rPr>
          <w:rFonts w:hint="eastAsia" w:ascii="宋体" w:hAnsi="宋体" w:cs="宋体"/>
          <w:sz w:val="24"/>
          <w:szCs w:val="24"/>
          <w:lang w:eastAsia="zh-CN"/>
        </w:rPr>
        <w:t>：</w:t>
      </w:r>
      <w:r>
        <w:rPr>
          <w:rFonts w:hint="eastAsia" w:ascii="宋体" w:hAnsi="宋体" w:cs="宋体"/>
          <w:sz w:val="24"/>
          <w:szCs w:val="24"/>
          <w:u w:val="single"/>
          <w:lang w:val="en-US" w:eastAsia="zh-CN"/>
        </w:rPr>
        <w:t xml:space="preserve">                </w:t>
      </w:r>
      <w:r>
        <w:rPr>
          <w:rFonts w:hint="eastAsia" w:ascii="宋体" w:hAnsi="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小写：</w:t>
      </w:r>
      <w:r>
        <w:rPr>
          <w:rFonts w:hint="eastAsia" w:ascii="宋体" w:hAnsi="宋体" w:cs="宋体"/>
          <w:b/>
          <w:sz w:val="24"/>
          <w:szCs w:val="24"/>
          <w:u w:val="single"/>
        </w:rPr>
        <w:t xml:space="preserve">             </w:t>
      </w:r>
      <w:r>
        <w:rPr>
          <w:rFonts w:hint="eastAsia" w:ascii="宋体" w:hAnsi="宋体" w:cs="宋体"/>
          <w:sz w:val="24"/>
          <w:szCs w:val="24"/>
        </w:rPr>
        <w:t>元</w:t>
      </w:r>
      <w:r>
        <w:rPr>
          <w:rFonts w:hint="eastAsia" w:ascii="宋体" w:hAnsi="宋体" w:cs="宋体"/>
          <w:sz w:val="24"/>
          <w:szCs w:val="24"/>
          <w:lang w:eastAsia="zh-CN"/>
        </w:rPr>
        <w:t>）（</w:t>
      </w:r>
      <w:r>
        <w:rPr>
          <w:rFonts w:hint="eastAsia" w:ascii="宋体" w:hAnsi="宋体" w:cs="宋体"/>
          <w:sz w:val="24"/>
          <w:szCs w:val="24"/>
          <w:lang w:val="en-US" w:eastAsia="zh-CN"/>
        </w:rPr>
        <w:t>保留两位小数</w:t>
      </w:r>
      <w:r>
        <w:rPr>
          <w:rFonts w:hint="eastAsia" w:ascii="宋体" w:hAnsi="宋体" w:cs="宋体"/>
          <w:sz w:val="24"/>
          <w:szCs w:val="24"/>
          <w:lang w:eastAsia="zh-CN"/>
        </w:rPr>
        <w:t>）</w:t>
      </w:r>
      <w:r>
        <w:rPr>
          <w:rFonts w:hint="eastAsia" w:ascii="宋体" w:hAnsi="宋体" w:cs="宋体"/>
          <w:sz w:val="24"/>
          <w:szCs w:val="24"/>
        </w:rPr>
        <w:t>人民币，</w:t>
      </w:r>
      <w:r>
        <w:rPr>
          <w:rFonts w:hint="eastAsia" w:ascii="宋体" w:hAnsi="宋体" w:cs="宋体"/>
          <w:sz w:val="24"/>
          <w:szCs w:val="24"/>
          <w:lang w:val="en-US" w:eastAsia="zh-CN"/>
        </w:rPr>
        <w:t>服务期</w:t>
      </w:r>
      <w:r>
        <w:rPr>
          <w:rFonts w:hint="eastAsia" w:ascii="宋体" w:hAnsi="宋体" w:cs="宋体"/>
          <w:sz w:val="24"/>
          <w:szCs w:val="24"/>
        </w:rPr>
        <w:t>：</w:t>
      </w:r>
      <w:r>
        <w:rPr>
          <w:rFonts w:hint="eastAsia" w:ascii="宋体" w:hAnsi="宋体" w:cs="宋体"/>
          <w:sz w:val="24"/>
          <w:szCs w:val="24"/>
          <w:u w:val="single"/>
          <w:lang w:val="en-US" w:eastAsia="zh-CN"/>
        </w:rPr>
        <w:t xml:space="preserve">              </w:t>
      </w:r>
      <w:r>
        <w:rPr>
          <w:rFonts w:hint="eastAsia" w:ascii="宋体" w:hAnsi="宋体" w:cs="宋体"/>
          <w:color w:val="000000"/>
          <w:sz w:val="24"/>
          <w:szCs w:val="24"/>
        </w:rPr>
        <w:t>。</w:t>
      </w:r>
    </w:p>
    <w:p w14:paraId="7772D0A4">
      <w:pPr>
        <w:pStyle w:val="162"/>
        <w:spacing w:line="360" w:lineRule="auto"/>
        <w:ind w:firstLine="480" w:firstLineChars="200"/>
        <w:rPr>
          <w:rFonts w:hint="eastAsia" w:ascii="宋体" w:hAnsi="宋体" w:cs="宋体"/>
          <w:sz w:val="24"/>
          <w:szCs w:val="24"/>
        </w:rPr>
      </w:pPr>
      <w:r>
        <w:rPr>
          <w:rFonts w:hint="eastAsia" w:ascii="宋体" w:hAnsi="宋体" w:cs="宋体"/>
          <w:sz w:val="24"/>
          <w:szCs w:val="24"/>
        </w:rPr>
        <w:t>2、我们同意提供贵方可能要求的与本次磋商有关的任何证据或资料。</w:t>
      </w:r>
    </w:p>
    <w:p w14:paraId="5D1F6EEA">
      <w:pPr>
        <w:pStyle w:val="162"/>
        <w:spacing w:line="360" w:lineRule="auto"/>
        <w:ind w:firstLine="480" w:firstLineChars="200"/>
        <w:rPr>
          <w:rFonts w:hint="eastAsia" w:ascii="宋体" w:hAnsi="宋体" w:cs="宋体"/>
          <w:sz w:val="24"/>
          <w:szCs w:val="24"/>
        </w:rPr>
      </w:pPr>
      <w:r>
        <w:rPr>
          <w:rFonts w:hint="eastAsia" w:ascii="宋体" w:hAnsi="宋体" w:cs="宋体"/>
          <w:sz w:val="24"/>
          <w:szCs w:val="24"/>
        </w:rPr>
        <w:t>3、一旦我方成交，我方承诺将根据磋商文件与贵方签订书面合同，并严格履行合同义务。</w:t>
      </w:r>
    </w:p>
    <w:p w14:paraId="60202A0D">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4、如果我方中标，我方承诺在投标有效期内不修改、撤销投标文件，投标有效期</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天（日历天）；</w:t>
      </w:r>
    </w:p>
    <w:p w14:paraId="0BCC96FB">
      <w:pPr>
        <w:pStyle w:val="162"/>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我方决不提供虚假材料谋取成交，决不采取不正当手段诋毁、排挤其他供应商，决不与采购人、其它供应商恶意串通，决不向采购人及磋商小组进行商业贿赂。如有违反，愿无条件接受贵方及相关管理部门的处罚。</w:t>
      </w:r>
    </w:p>
    <w:p w14:paraId="2C5E17C7">
      <w:pPr>
        <w:pStyle w:val="162"/>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、随本申请递交的磋商申请附录是本申请的组成部分，对我方构成约束力。</w:t>
      </w:r>
    </w:p>
    <w:p w14:paraId="4D45A8A8">
      <w:pPr>
        <w:pStyle w:val="162"/>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、与本申请有关的正式通讯地址为：</w:t>
      </w:r>
    </w:p>
    <w:p w14:paraId="27FA2377">
      <w:pPr>
        <w:pStyle w:val="162"/>
        <w:spacing w:line="360" w:lineRule="auto"/>
        <w:ind w:firstLine="480" w:firstLineChars="200"/>
        <w:rPr>
          <w:rFonts w:hint="eastAsia" w:ascii="宋体" w:hAnsi="宋体" w:cs="宋体"/>
          <w:sz w:val="24"/>
          <w:szCs w:val="24"/>
          <w:u w:val="single"/>
        </w:rPr>
      </w:pPr>
      <w:r>
        <w:rPr>
          <w:rFonts w:hint="eastAsia" w:ascii="宋体" w:hAnsi="宋体" w:cs="宋体"/>
          <w:sz w:val="24"/>
          <w:szCs w:val="24"/>
        </w:rPr>
        <w:t>地   址：</w:t>
      </w:r>
      <w:r>
        <w:rPr>
          <w:rFonts w:hint="eastAsia" w:ascii="宋体" w:hAnsi="宋体" w:cs="宋体"/>
          <w:sz w:val="24"/>
          <w:szCs w:val="24"/>
          <w:u w:val="single"/>
        </w:rPr>
        <w:t xml:space="preserve">                       </w:t>
      </w:r>
    </w:p>
    <w:p w14:paraId="01FBDC5F">
      <w:pPr>
        <w:pStyle w:val="162"/>
        <w:spacing w:line="360" w:lineRule="auto"/>
        <w:ind w:firstLine="480" w:firstLineChars="200"/>
        <w:rPr>
          <w:rFonts w:hint="eastAsia" w:ascii="宋体" w:hAnsi="宋体" w:cs="宋体"/>
          <w:sz w:val="24"/>
          <w:szCs w:val="24"/>
          <w:u w:val="single"/>
        </w:rPr>
      </w:pPr>
      <w:r>
        <w:rPr>
          <w:rFonts w:hint="eastAsia" w:ascii="宋体" w:hAnsi="宋体" w:cs="宋体"/>
          <w:sz w:val="24"/>
          <w:szCs w:val="24"/>
        </w:rPr>
        <w:t>电   话：</w:t>
      </w:r>
      <w:r>
        <w:rPr>
          <w:rFonts w:hint="eastAsia" w:ascii="宋体" w:hAnsi="宋体" w:cs="宋体"/>
          <w:sz w:val="24"/>
          <w:szCs w:val="24"/>
          <w:u w:val="single"/>
        </w:rPr>
        <w:t xml:space="preserve">                       </w:t>
      </w:r>
    </w:p>
    <w:p w14:paraId="045979E2">
      <w:pPr>
        <w:pStyle w:val="162"/>
        <w:spacing w:line="360" w:lineRule="auto"/>
        <w:ind w:firstLine="480" w:firstLineChars="200"/>
        <w:rPr>
          <w:rFonts w:hint="eastAsia" w:ascii="宋体" w:hAnsi="宋体" w:cs="宋体"/>
          <w:sz w:val="24"/>
          <w:szCs w:val="24"/>
          <w:u w:val="single"/>
        </w:rPr>
      </w:pPr>
      <w:r>
        <w:rPr>
          <w:rFonts w:hint="eastAsia" w:ascii="宋体" w:hAnsi="宋体" w:cs="宋体"/>
          <w:sz w:val="24"/>
          <w:szCs w:val="24"/>
        </w:rPr>
        <w:t>传   真：</w:t>
      </w:r>
      <w:r>
        <w:rPr>
          <w:rFonts w:hint="eastAsia" w:ascii="宋体" w:hAnsi="宋体" w:cs="宋体"/>
          <w:sz w:val="24"/>
          <w:szCs w:val="24"/>
          <w:u w:val="single"/>
        </w:rPr>
        <w:t xml:space="preserve">                       </w:t>
      </w:r>
    </w:p>
    <w:p w14:paraId="0BA042F2">
      <w:pPr>
        <w:pStyle w:val="162"/>
        <w:spacing w:line="360" w:lineRule="auto"/>
        <w:ind w:firstLine="480" w:firstLineChars="200"/>
        <w:rPr>
          <w:rFonts w:hint="eastAsia" w:ascii="宋体" w:hAnsi="宋体" w:cs="宋体"/>
          <w:sz w:val="24"/>
          <w:szCs w:val="24"/>
        </w:rPr>
      </w:pPr>
    </w:p>
    <w:p w14:paraId="2CB42A13">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供应商（电子章）：</w:t>
      </w:r>
    </w:p>
    <w:p w14:paraId="4DA27597">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4F5ABC90">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44C40855">
      <w:pPr>
        <w:pStyle w:val="162"/>
        <w:spacing w:line="360" w:lineRule="auto"/>
        <w:ind w:firstLine="480" w:firstLineChars="200"/>
        <w:rPr>
          <w:rFonts w:hint="eastAsia" w:ascii="宋体" w:hAnsi="宋体" w:cs="宋体"/>
          <w:sz w:val="24"/>
          <w:szCs w:val="24"/>
        </w:rPr>
      </w:pPr>
    </w:p>
    <w:p w14:paraId="6147E4FA">
      <w:pPr>
        <w:pStyle w:val="162"/>
        <w:spacing w:line="360" w:lineRule="auto"/>
        <w:ind w:firstLine="480" w:firstLineChars="200"/>
        <w:rPr>
          <w:rFonts w:hint="eastAsia" w:ascii="宋体" w:hAnsi="宋体" w:cs="宋体"/>
          <w:sz w:val="24"/>
          <w:szCs w:val="24"/>
        </w:rPr>
      </w:pPr>
    </w:p>
    <w:p w14:paraId="5073A7CB">
      <w:pPr>
        <w:pStyle w:val="162"/>
        <w:spacing w:line="360" w:lineRule="auto"/>
        <w:rPr>
          <w:rFonts w:hint="eastAsia" w:ascii="宋体" w:hAnsi="宋体" w:cs="宋体"/>
          <w:sz w:val="24"/>
          <w:szCs w:val="24"/>
        </w:rPr>
      </w:pPr>
    </w:p>
    <w:p w14:paraId="3D0B574F">
      <w:pPr>
        <w:pStyle w:val="123"/>
        <w:outlineLvl w:val="1"/>
        <w:rPr>
          <w:rFonts w:hint="eastAsia" w:ascii="宋体" w:hAnsi="宋体" w:cs="宋体"/>
          <w:b w:val="0"/>
          <w:sz w:val="30"/>
          <w:szCs w:val="30"/>
          <w:lang w:eastAsia="zh-CN"/>
        </w:rPr>
      </w:pPr>
      <w:bookmarkStart w:id="545" w:name="_Toc14143"/>
      <w:bookmarkStart w:id="546" w:name="_Toc106276296"/>
      <w:bookmarkStart w:id="547" w:name="_Toc15041"/>
      <w:r>
        <w:rPr>
          <w:rFonts w:hint="eastAsia" w:ascii="宋体" w:hAnsi="宋体" w:eastAsia="宋体" w:cs="宋体"/>
          <w:sz w:val="30"/>
          <w:szCs w:val="30"/>
          <w:lang w:eastAsia="zh-CN"/>
        </w:rPr>
        <w:t>（二）商务部分</w:t>
      </w:r>
      <w:bookmarkEnd w:id="545"/>
      <w:bookmarkEnd w:id="546"/>
    </w:p>
    <w:p w14:paraId="4FDCD793">
      <w:pPr>
        <w:pStyle w:val="148"/>
        <w:autoSpaceDE w:val="0"/>
        <w:spacing w:line="460" w:lineRule="exact"/>
        <w:outlineLvl w:val="1"/>
        <w:rPr>
          <w:rFonts w:hint="eastAsia" w:ascii="宋体" w:hAnsi="宋体" w:cs="宋体"/>
          <w:b/>
          <w:sz w:val="30"/>
          <w:szCs w:val="30"/>
          <w:lang w:eastAsia="zh-CN"/>
        </w:rPr>
      </w:pPr>
      <w:bookmarkStart w:id="548" w:name="_Toc106276298"/>
      <w:bookmarkStart w:id="549" w:name="_Toc31179"/>
      <w:r>
        <w:rPr>
          <w:rFonts w:hint="eastAsia" w:ascii="宋体" w:hAnsi="宋体" w:cs="宋体"/>
          <w:b/>
          <w:sz w:val="30"/>
          <w:szCs w:val="30"/>
          <w:lang w:eastAsia="zh-CN"/>
        </w:rPr>
        <w:t>1、业绩</w:t>
      </w:r>
      <w:bookmarkEnd w:id="547"/>
      <w:bookmarkEnd w:id="548"/>
      <w:bookmarkEnd w:id="549"/>
      <w:r>
        <w:rPr>
          <w:rFonts w:hint="eastAsia"/>
          <w:lang w:eastAsia="zh-CN"/>
        </w:rPr>
        <w:t xml:space="preserve"> </w:t>
      </w:r>
    </w:p>
    <w:tbl>
      <w:tblPr>
        <w:tblStyle w:val="46"/>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7200"/>
      </w:tblGrid>
      <w:tr w14:paraId="1A46D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14:paraId="636F2597">
            <w:pPr>
              <w:pStyle w:val="147"/>
              <w:jc w:val="center"/>
              <w:rPr>
                <w:rFonts w:hint="eastAsia" w:ascii="宋体" w:hAnsi="宋体" w:cs="宋体"/>
                <w:sz w:val="24"/>
                <w:szCs w:val="24"/>
              </w:rPr>
            </w:pPr>
            <w:r>
              <w:rPr>
                <w:rFonts w:hint="eastAsia" w:ascii="宋体" w:hAnsi="宋体" w:cs="宋体"/>
                <w:sz w:val="24"/>
                <w:szCs w:val="24"/>
              </w:rPr>
              <w:t>项目名称</w:t>
            </w:r>
          </w:p>
        </w:tc>
        <w:tc>
          <w:tcPr>
            <w:tcW w:w="7200" w:type="dxa"/>
            <w:tcBorders>
              <w:top w:val="single" w:color="auto" w:sz="4" w:space="0"/>
              <w:left w:val="nil"/>
              <w:bottom w:val="single" w:color="auto" w:sz="4" w:space="0"/>
              <w:right w:val="single" w:color="auto" w:sz="4" w:space="0"/>
            </w:tcBorders>
            <w:noWrap w:val="0"/>
            <w:vAlign w:val="top"/>
          </w:tcPr>
          <w:p w14:paraId="7F22AECF">
            <w:pPr>
              <w:pStyle w:val="147"/>
              <w:rPr>
                <w:rFonts w:hint="eastAsia" w:ascii="宋体" w:hAnsi="宋体" w:cs="宋体"/>
                <w:sz w:val="24"/>
                <w:szCs w:val="24"/>
              </w:rPr>
            </w:pPr>
            <w:r>
              <w:rPr>
                <w:rFonts w:hint="eastAsia" w:ascii="宋体" w:hAnsi="宋体" w:cs="宋体"/>
                <w:sz w:val="24"/>
                <w:szCs w:val="24"/>
              </w:rPr>
              <w:tab/>
            </w:r>
          </w:p>
        </w:tc>
      </w:tr>
      <w:tr w14:paraId="32466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14:paraId="5FAA0488">
            <w:pPr>
              <w:pStyle w:val="147"/>
              <w:jc w:val="center"/>
              <w:rPr>
                <w:rFonts w:hint="eastAsia" w:ascii="宋体" w:hAnsi="宋体" w:cs="宋体"/>
                <w:sz w:val="24"/>
                <w:szCs w:val="24"/>
              </w:rPr>
            </w:pPr>
            <w:r>
              <w:rPr>
                <w:rFonts w:hint="eastAsia" w:ascii="宋体" w:hAnsi="宋体" w:cs="宋体"/>
                <w:sz w:val="24"/>
                <w:szCs w:val="24"/>
              </w:rPr>
              <w:t>项目单位名称</w:t>
            </w:r>
          </w:p>
        </w:tc>
        <w:tc>
          <w:tcPr>
            <w:tcW w:w="7200" w:type="dxa"/>
            <w:tcBorders>
              <w:top w:val="single" w:color="auto" w:sz="4" w:space="0"/>
              <w:left w:val="nil"/>
              <w:bottom w:val="single" w:color="auto" w:sz="4" w:space="0"/>
              <w:right w:val="single" w:color="auto" w:sz="4" w:space="0"/>
            </w:tcBorders>
            <w:noWrap w:val="0"/>
            <w:vAlign w:val="top"/>
          </w:tcPr>
          <w:p w14:paraId="47C04824">
            <w:pPr>
              <w:pStyle w:val="147"/>
              <w:jc w:val="center"/>
              <w:rPr>
                <w:rFonts w:hint="eastAsia" w:ascii="宋体" w:hAnsi="宋体" w:cs="宋体"/>
                <w:sz w:val="24"/>
                <w:szCs w:val="24"/>
              </w:rPr>
            </w:pPr>
          </w:p>
        </w:tc>
      </w:tr>
      <w:tr w14:paraId="37A8F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14:paraId="278E163E">
            <w:pPr>
              <w:pStyle w:val="147"/>
              <w:jc w:val="center"/>
              <w:rPr>
                <w:rFonts w:hint="eastAsia" w:ascii="宋体" w:hAnsi="宋体" w:cs="宋体"/>
                <w:sz w:val="24"/>
                <w:szCs w:val="24"/>
              </w:rPr>
            </w:pPr>
            <w:r>
              <w:rPr>
                <w:rFonts w:hint="eastAsia" w:ascii="宋体" w:hAnsi="宋体" w:cs="宋体"/>
                <w:sz w:val="24"/>
                <w:szCs w:val="24"/>
              </w:rPr>
              <w:t>项目单位联系人姓名及联系方式</w:t>
            </w:r>
          </w:p>
        </w:tc>
        <w:tc>
          <w:tcPr>
            <w:tcW w:w="7200" w:type="dxa"/>
            <w:tcBorders>
              <w:top w:val="single" w:color="auto" w:sz="4" w:space="0"/>
              <w:left w:val="nil"/>
              <w:bottom w:val="single" w:color="auto" w:sz="4" w:space="0"/>
              <w:right w:val="single" w:color="auto" w:sz="4" w:space="0"/>
            </w:tcBorders>
            <w:noWrap w:val="0"/>
            <w:vAlign w:val="top"/>
          </w:tcPr>
          <w:p w14:paraId="78566E66">
            <w:pPr>
              <w:pStyle w:val="147"/>
              <w:jc w:val="center"/>
              <w:rPr>
                <w:rFonts w:hint="eastAsia" w:ascii="宋体" w:hAnsi="宋体" w:cs="宋体"/>
                <w:sz w:val="24"/>
                <w:szCs w:val="24"/>
              </w:rPr>
            </w:pPr>
          </w:p>
        </w:tc>
      </w:tr>
      <w:tr w14:paraId="4A8EB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14:paraId="60D4E69B">
            <w:pPr>
              <w:pStyle w:val="147"/>
              <w:jc w:val="center"/>
              <w:rPr>
                <w:rFonts w:hint="eastAsia" w:ascii="宋体" w:hAnsi="宋体" w:cs="宋体"/>
                <w:sz w:val="24"/>
                <w:szCs w:val="24"/>
              </w:rPr>
            </w:pPr>
            <w:r>
              <w:rPr>
                <w:rFonts w:hint="eastAsia" w:ascii="宋体" w:hAnsi="宋体" w:cs="宋体"/>
                <w:sz w:val="24"/>
                <w:szCs w:val="24"/>
              </w:rPr>
              <w:t>合同金额</w:t>
            </w:r>
          </w:p>
        </w:tc>
        <w:tc>
          <w:tcPr>
            <w:tcW w:w="7200" w:type="dxa"/>
            <w:tcBorders>
              <w:top w:val="single" w:color="auto" w:sz="4" w:space="0"/>
              <w:left w:val="nil"/>
              <w:bottom w:val="single" w:color="auto" w:sz="4" w:space="0"/>
              <w:right w:val="single" w:color="auto" w:sz="4" w:space="0"/>
            </w:tcBorders>
            <w:noWrap w:val="0"/>
            <w:vAlign w:val="top"/>
          </w:tcPr>
          <w:p w14:paraId="022DB511">
            <w:pPr>
              <w:pStyle w:val="147"/>
              <w:jc w:val="center"/>
              <w:rPr>
                <w:rFonts w:hint="eastAsia" w:ascii="宋体" w:hAnsi="宋体" w:cs="宋体"/>
                <w:sz w:val="24"/>
                <w:szCs w:val="24"/>
              </w:rPr>
            </w:pPr>
          </w:p>
        </w:tc>
      </w:tr>
      <w:tr w14:paraId="5E11B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14:paraId="1F6C1475">
            <w:pPr>
              <w:pStyle w:val="147"/>
              <w:jc w:val="center"/>
              <w:rPr>
                <w:rFonts w:hint="eastAsia" w:ascii="宋体" w:hAnsi="宋体" w:cs="宋体"/>
                <w:sz w:val="24"/>
                <w:szCs w:val="24"/>
              </w:rPr>
            </w:pPr>
            <w:r>
              <w:rPr>
                <w:rFonts w:hint="eastAsia" w:ascii="宋体" w:hAnsi="宋体" w:cs="宋体"/>
                <w:sz w:val="24"/>
                <w:szCs w:val="24"/>
              </w:rPr>
              <w:t>项目实施时间</w:t>
            </w:r>
          </w:p>
        </w:tc>
        <w:tc>
          <w:tcPr>
            <w:tcW w:w="7200" w:type="dxa"/>
            <w:tcBorders>
              <w:top w:val="single" w:color="auto" w:sz="4" w:space="0"/>
              <w:left w:val="nil"/>
              <w:bottom w:val="single" w:color="auto" w:sz="4" w:space="0"/>
              <w:right w:val="single" w:color="auto" w:sz="4" w:space="0"/>
            </w:tcBorders>
            <w:noWrap w:val="0"/>
            <w:vAlign w:val="top"/>
          </w:tcPr>
          <w:p w14:paraId="7D18715D">
            <w:pPr>
              <w:pStyle w:val="147"/>
              <w:jc w:val="center"/>
              <w:rPr>
                <w:rFonts w:hint="eastAsia" w:ascii="宋体" w:hAnsi="宋体" w:cs="宋体"/>
                <w:sz w:val="24"/>
                <w:szCs w:val="24"/>
              </w:rPr>
            </w:pPr>
          </w:p>
        </w:tc>
      </w:tr>
      <w:tr w14:paraId="3CF7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14:paraId="79D4F44D">
            <w:pPr>
              <w:pStyle w:val="147"/>
              <w:jc w:val="center"/>
              <w:rPr>
                <w:rFonts w:hint="eastAsia" w:ascii="宋体" w:hAnsi="宋体" w:cs="宋体"/>
                <w:sz w:val="24"/>
                <w:szCs w:val="24"/>
              </w:rPr>
            </w:pPr>
            <w:r>
              <w:rPr>
                <w:rFonts w:hint="eastAsia" w:ascii="宋体" w:hAnsi="宋体" w:cs="宋体"/>
                <w:sz w:val="24"/>
                <w:szCs w:val="24"/>
              </w:rPr>
              <w:t>项目内容说明</w:t>
            </w:r>
          </w:p>
        </w:tc>
        <w:tc>
          <w:tcPr>
            <w:tcW w:w="7200" w:type="dxa"/>
            <w:tcBorders>
              <w:top w:val="single" w:color="auto" w:sz="4" w:space="0"/>
              <w:left w:val="nil"/>
              <w:bottom w:val="single" w:color="auto" w:sz="4" w:space="0"/>
              <w:right w:val="single" w:color="auto" w:sz="4" w:space="0"/>
            </w:tcBorders>
            <w:noWrap w:val="0"/>
            <w:vAlign w:val="top"/>
          </w:tcPr>
          <w:p w14:paraId="6577EA3D">
            <w:pPr>
              <w:pStyle w:val="147"/>
              <w:jc w:val="center"/>
              <w:rPr>
                <w:rFonts w:hint="eastAsia" w:ascii="宋体" w:hAnsi="宋体" w:cs="宋体"/>
                <w:sz w:val="24"/>
                <w:szCs w:val="24"/>
              </w:rPr>
            </w:pPr>
          </w:p>
        </w:tc>
      </w:tr>
    </w:tbl>
    <w:p w14:paraId="38804BE9">
      <w:pPr>
        <w:pStyle w:val="147"/>
        <w:autoSpaceDE w:val="0"/>
        <w:autoSpaceDN w:val="0"/>
        <w:spacing w:line="360" w:lineRule="auto"/>
        <w:rPr>
          <w:rFonts w:hint="eastAsia" w:ascii="宋体" w:hAnsi="宋体" w:cs="宋体"/>
          <w:sz w:val="24"/>
          <w:szCs w:val="24"/>
        </w:rPr>
      </w:pPr>
      <w:r>
        <w:rPr>
          <w:rFonts w:hint="eastAsia" w:ascii="宋体" w:hAnsi="宋体" w:cs="宋体"/>
          <w:sz w:val="24"/>
          <w:szCs w:val="24"/>
        </w:rPr>
        <w:t>说明：1</w:t>
      </w:r>
      <w:r>
        <w:rPr>
          <w:rFonts w:hint="eastAsia" w:ascii="宋体" w:hAnsi="宋体" w:cs="宋体"/>
          <w:sz w:val="24"/>
          <w:szCs w:val="24"/>
          <w:lang w:eastAsia="zh-CN"/>
        </w:rPr>
        <w:t>、</w:t>
      </w:r>
      <w:r>
        <w:rPr>
          <w:rFonts w:hint="eastAsia" w:ascii="宋体" w:hAnsi="宋体" w:cs="宋体"/>
          <w:sz w:val="24"/>
          <w:szCs w:val="24"/>
        </w:rPr>
        <w:t>每个</w:t>
      </w:r>
      <w:r>
        <w:rPr>
          <w:rFonts w:hint="eastAsia" w:ascii="宋体" w:hAnsi="宋体" w:cs="宋体"/>
          <w:sz w:val="24"/>
          <w:szCs w:val="24"/>
          <w:lang w:eastAsia="zh-CN"/>
        </w:rPr>
        <w:t>业绩</w:t>
      </w:r>
      <w:r>
        <w:rPr>
          <w:rFonts w:hint="eastAsia" w:ascii="宋体" w:hAnsi="宋体" w:cs="宋体"/>
          <w:sz w:val="24"/>
          <w:szCs w:val="24"/>
        </w:rPr>
        <w:t>须单独附表，并附上合同或中标通知书，否则专家在评审时将不予采信；</w:t>
      </w:r>
    </w:p>
    <w:p w14:paraId="4B6EFAB7">
      <w:pPr>
        <w:pStyle w:val="147"/>
        <w:spacing w:line="360" w:lineRule="auto"/>
        <w:ind w:firstLine="720" w:firstLineChars="3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rPr>
        <w:t>项目内容请详细说明所承担的具体工作内容等；</w:t>
      </w:r>
    </w:p>
    <w:p w14:paraId="1A82BFA1">
      <w:pPr>
        <w:pStyle w:val="147"/>
        <w:spacing w:line="360" w:lineRule="auto"/>
        <w:ind w:firstLine="720" w:firstLineChars="300"/>
        <w:rPr>
          <w:rFonts w:hint="eastAsia" w:ascii="宋体" w:hAnsi="宋体" w:cs="宋体"/>
          <w:sz w:val="24"/>
          <w:szCs w:val="24"/>
        </w:rPr>
      </w:pPr>
      <w:r>
        <w:rPr>
          <w:rFonts w:hint="eastAsia" w:ascii="宋体" w:hAnsi="宋体" w:cs="宋体"/>
          <w:sz w:val="24"/>
          <w:szCs w:val="24"/>
        </w:rPr>
        <w:t>3、业绩为近三年业绩。（近三年指20</w:t>
      </w:r>
      <w:r>
        <w:rPr>
          <w:rFonts w:hint="eastAsia" w:ascii="宋体" w:hAnsi="宋体" w:cs="宋体"/>
          <w:sz w:val="24"/>
          <w:szCs w:val="24"/>
          <w:lang w:val="en-US" w:eastAsia="zh-CN"/>
        </w:rPr>
        <w:t>22</w:t>
      </w:r>
      <w:r>
        <w:rPr>
          <w:rFonts w:hint="eastAsia" w:ascii="宋体" w:hAnsi="宋体" w:cs="宋体"/>
          <w:sz w:val="24"/>
          <w:szCs w:val="24"/>
        </w:rPr>
        <w:t>年1月1日起至今）</w:t>
      </w:r>
    </w:p>
    <w:p w14:paraId="75195CFE">
      <w:pPr>
        <w:pStyle w:val="147"/>
        <w:spacing w:line="360" w:lineRule="auto"/>
        <w:ind w:firstLine="720" w:firstLineChars="300"/>
        <w:rPr>
          <w:rFonts w:hint="eastAsia" w:ascii="宋体" w:hAnsi="宋体" w:cs="宋体"/>
          <w:sz w:val="24"/>
          <w:szCs w:val="24"/>
        </w:rPr>
      </w:pPr>
      <w:r>
        <w:rPr>
          <w:rFonts w:hint="eastAsia" w:ascii="宋体" w:hAnsi="宋体" w:cs="宋体"/>
          <w:sz w:val="24"/>
          <w:szCs w:val="24"/>
        </w:rPr>
        <w:t xml:space="preserve"> </w:t>
      </w:r>
    </w:p>
    <w:p w14:paraId="511F562A">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供应商（电子章）：</w:t>
      </w:r>
    </w:p>
    <w:p w14:paraId="3EB119FB">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5DA07CA2">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792C1E1B">
      <w:pPr>
        <w:pStyle w:val="3"/>
        <w:bidi w:val="0"/>
        <w:rPr>
          <w:rFonts w:hint="eastAsia" w:ascii="宋体" w:hAnsi="宋体" w:eastAsia="宋体" w:cs="宋体"/>
          <w:sz w:val="30"/>
          <w:szCs w:val="30"/>
          <w:lang w:eastAsia="zh-CN"/>
        </w:rPr>
      </w:pPr>
      <w:r>
        <w:rPr>
          <w:rFonts w:ascii="宋体" w:hAnsi="宋体" w:cs="宋体"/>
          <w:sz w:val="24"/>
          <w:lang w:eastAsia="zh-CN"/>
        </w:rPr>
        <w:br w:type="page"/>
      </w:r>
      <w:bookmarkStart w:id="550" w:name="_Toc28672"/>
      <w:bookmarkStart w:id="551" w:name="_Toc106276301"/>
      <w:bookmarkStart w:id="552" w:name="_Toc21190"/>
      <w:bookmarkStart w:id="553" w:name="_Toc2422"/>
      <w:r>
        <w:rPr>
          <w:rStyle w:val="55"/>
          <w:rFonts w:hint="eastAsia"/>
          <w:b/>
          <w:bCs/>
          <w:sz w:val="30"/>
          <w:szCs w:val="30"/>
          <w:lang w:eastAsia="zh-CN"/>
        </w:rPr>
        <w:t>（三）技术部分</w:t>
      </w:r>
      <w:bookmarkEnd w:id="550"/>
      <w:bookmarkEnd w:id="551"/>
    </w:p>
    <w:bookmarkEnd w:id="552"/>
    <w:bookmarkEnd w:id="553"/>
    <w:p w14:paraId="7DCA2337">
      <w:pPr>
        <w:pStyle w:val="154"/>
        <w:spacing w:line="360" w:lineRule="auto"/>
        <w:rPr>
          <w:rFonts w:hint="eastAsia" w:ascii="宋体" w:hAnsi="宋体" w:eastAsia="宋体" w:cs="宋体"/>
          <w:color w:val="000000"/>
          <w:kern w:val="0"/>
          <w:sz w:val="24"/>
          <w:szCs w:val="24"/>
          <w:lang w:val="en-US" w:eastAsia="zh-CN" w:bidi="ar-SA"/>
        </w:rPr>
      </w:pPr>
    </w:p>
    <w:p w14:paraId="266AB06E">
      <w:pPr>
        <w:bidi w:val="0"/>
        <w:rPr>
          <w:rFonts w:hint="eastAsia"/>
          <w:b/>
          <w:bCs/>
          <w:sz w:val="28"/>
          <w:szCs w:val="32"/>
        </w:rPr>
      </w:pPr>
    </w:p>
    <w:p w14:paraId="603EF44C">
      <w:pPr>
        <w:pStyle w:val="63"/>
        <w:ind w:firstLine="0"/>
        <w:rPr>
          <w:rFonts w:ascii="Times New Roman" w:hAnsi="Times New Roman"/>
          <w:sz w:val="24"/>
          <w:szCs w:val="24"/>
        </w:rPr>
      </w:pPr>
    </w:p>
    <w:bookmarkEnd w:id="483"/>
    <w:p w14:paraId="458B1EF9">
      <w:pPr>
        <w:pStyle w:val="126"/>
        <w:spacing w:line="500" w:lineRule="exact"/>
        <w:ind w:firstLine="458" w:firstLineChars="152"/>
        <w:rPr>
          <w:rFonts w:hint="eastAsia" w:ascii="宋体" w:hAnsi="宋体" w:cs="宋体"/>
          <w:b/>
          <w:sz w:val="30"/>
          <w:szCs w:val="30"/>
          <w:lang w:eastAsia="zh-CN"/>
        </w:rPr>
      </w:pPr>
    </w:p>
    <w:sectPr>
      <w:pgSz w:w="11906" w:h="16838"/>
      <w:pgMar w:top="1440" w:right="1531" w:bottom="1440"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FA382">
    <w:pPr>
      <w:pStyle w:val="25"/>
      <w:ind w:left="180" w:hanging="180" w:hangingChars="100"/>
      <w:jc w:val="right"/>
      <w:rPr>
        <w:rFonts w:hint="eastAsia" w:eastAsia="楷体_GB2312"/>
      </w:rPr>
    </w:pPr>
    <w:r>
      <w:rPr>
        <w:rFonts w:hint="eastAsia" w:eastAsia="楷体_GB2312"/>
        <w:highlight w:val="white"/>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FDDE5">
    <w:pPr>
      <w:pStyle w:val="25"/>
      <w:rPr>
        <w:rFonts w:hint="eastAsia" w:eastAsia="楷体_GB2312"/>
      </w:rPr>
    </w:pPr>
    <w:r>
      <w:rPr>
        <w:rFonts w:hint="eastAsia" w:eastAsia="楷体_GB2312"/>
        <w:highlight w:val="white"/>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1EBE0">
    <w:pPr>
      <w:pStyle w:val="25"/>
      <w:rPr>
        <w:rFonts w:hint="eastAsia" w:eastAsia="楷体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E996EC">
                          <w:pPr>
                            <w:pStyle w:val="2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Cva0P3dAQAAvgMAAA4AAAAAAAAA&#10;AQAgAAAAHgEAAGRycy9lMm9Eb2MueG1sUEsFBgAAAAAGAAYAWQEAAG0FAAAAAA==&#10;">
              <v:fill on="f" focussize="0,0"/>
              <v:stroke on="f"/>
              <v:imagedata o:title=""/>
              <o:lock v:ext="edit" aspectratio="f"/>
              <v:textbox inset="0mm,0mm,0mm,0mm" style="mso-fit-shape-to-text:t;">
                <w:txbxContent>
                  <w:p w14:paraId="2AE996EC">
                    <w:pPr>
                      <w:pStyle w:val="2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楷体_GB2312"/>
        <w:highlight w:val="white"/>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804A2">
    <w:pPr>
      <w:pStyle w:val="26"/>
      <w:pBdr>
        <w:bottom w:val="none" w:color="auto" w:sz="0" w:space="1"/>
      </w:pBdr>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4D712">
    <w:pPr>
      <w:rPr>
        <w:rFonts w:hint="eastAsia"/>
        <w:sz w:val="18"/>
        <w:szCs w:val="18"/>
      </w:rPr>
    </w:pPr>
    <w:r>
      <w:pict>
        <v:shape id="PowerPlusWaterMarkObject48289329" o:spid="_x0000_s4097" o:spt="136" type="#_x0000_t136" style="position:absolute;left:0pt;height:36.65pt;width:586.8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新疆生产建设兵团公共资源交易中心" style="font-family:宋体;font-size:8pt;v-same-letter-heights:f;v-text-align:center;"/>
        </v:shape>
      </w:pict>
    </w:r>
    <w:r>
      <w:rPr>
        <w:rFonts w:hint="eastAsia"/>
        <w:sz w:val="18"/>
        <w:szCs w:val="18"/>
        <w:highlight w:val="whit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D57AF">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BB8B3D"/>
    <w:multiLevelType w:val="singleLevel"/>
    <w:tmpl w:val="A8BB8B3D"/>
    <w:lvl w:ilvl="0" w:tentative="0">
      <w:start w:val="1"/>
      <w:numFmt w:val="decimal"/>
      <w:suff w:val="space"/>
      <w:lvlText w:val="%1."/>
      <w:lvlJc w:val="left"/>
    </w:lvl>
  </w:abstractNum>
  <w:abstractNum w:abstractNumId="1">
    <w:nsid w:val="D0458AD6"/>
    <w:multiLevelType w:val="singleLevel"/>
    <w:tmpl w:val="D0458AD6"/>
    <w:lvl w:ilvl="0" w:tentative="0">
      <w:start w:val="5"/>
      <w:numFmt w:val="chineseCounting"/>
      <w:suff w:val="space"/>
      <w:lvlText w:val="第%1章"/>
      <w:lvlJc w:val="left"/>
      <w:rPr>
        <w:rFonts w:hint="eastAsia"/>
      </w:rPr>
    </w:lvl>
  </w:abstractNum>
  <w:abstractNum w:abstractNumId="2">
    <w:nsid w:val="FA20225E"/>
    <w:multiLevelType w:val="singleLevel"/>
    <w:tmpl w:val="FA20225E"/>
    <w:lvl w:ilvl="0" w:tentative="0">
      <w:start w:val="1"/>
      <w:numFmt w:val="decimal"/>
      <w:suff w:val="nothing"/>
      <w:lvlText w:val="%1、"/>
      <w:lvlJc w:val="left"/>
    </w:lvl>
  </w:abstractNum>
  <w:abstractNum w:abstractNumId="3">
    <w:nsid w:val="34611AC1"/>
    <w:multiLevelType w:val="multilevel"/>
    <w:tmpl w:val="34611AC1"/>
    <w:lvl w:ilvl="0" w:tentative="0">
      <w:start w:val="1"/>
      <w:numFmt w:val="chineseCountingThousand"/>
      <w:lvlText w:val="第%1章"/>
      <w:lvlJc w:val="center"/>
      <w:pPr>
        <w:tabs>
          <w:tab w:val="left" w:pos="3257"/>
        </w:tabs>
        <w:ind w:left="3257" w:hanging="279"/>
      </w:pPr>
      <w:rPr>
        <w:rFonts w:hint="eastAsia"/>
      </w:rPr>
    </w:lvl>
    <w:lvl w:ilvl="1" w:tentative="0">
      <w:start w:val="1"/>
      <w:numFmt w:val="chineseCountingThousand"/>
      <w:suff w:val="space"/>
      <w:lvlText w:val="%2、"/>
      <w:lvlJc w:val="left"/>
      <w:pPr>
        <w:ind w:left="3258" w:firstLine="0"/>
      </w:pPr>
      <w:rPr>
        <w:rFonts w:hint="eastAsia"/>
      </w:rPr>
    </w:lvl>
    <w:lvl w:ilvl="2" w:tentative="0">
      <w:start w:val="1"/>
      <w:numFmt w:val="decimal"/>
      <w:pStyle w:val="206"/>
      <w:suff w:val="space"/>
      <w:lvlText w:val="%3、"/>
      <w:lvlJc w:val="left"/>
      <w:pPr>
        <w:ind w:left="4675" w:firstLine="0"/>
      </w:pPr>
    </w:lvl>
    <w:lvl w:ilvl="3" w:tentative="0">
      <w:start w:val="1"/>
      <w:numFmt w:val="decimal"/>
      <w:pStyle w:val="207"/>
      <w:suff w:val="space"/>
      <w:lvlText w:val="%3.%4"/>
      <w:lvlJc w:val="left"/>
      <w:pPr>
        <w:ind w:left="480" w:firstLine="0"/>
      </w:pPr>
      <w:rPr>
        <w:rFonts w:hint="eastAsia" w:cs="Times New Roman"/>
        <w:i w:val="0"/>
        <w:iCs w:val="0"/>
        <w:caps w:val="0"/>
        <w:smallCaps w:val="0"/>
        <w:strike w:val="0"/>
        <w:dstrike w:val="0"/>
        <w:outline w:val="0"/>
        <w:shadow w:val="0"/>
        <w:emboss w:val="0"/>
        <w:imprint w:val="0"/>
        <w:vanish w:val="0"/>
        <w:color w:val="000000"/>
        <w:spacing w:val="0"/>
        <w:kern w:val="0"/>
        <w:position w:val="0"/>
        <w:u w:val="none"/>
        <w:vertAlign w:val="baseline"/>
      </w:rPr>
    </w:lvl>
    <w:lvl w:ilvl="4" w:tentative="0">
      <w:start w:val="1"/>
      <w:numFmt w:val="decimal"/>
      <w:suff w:val="space"/>
      <w:lvlText w:val="%4.%3.%5"/>
      <w:lvlJc w:val="left"/>
      <w:pPr>
        <w:ind w:left="2690" w:firstLine="0"/>
      </w:pPr>
      <w:rPr>
        <w:rFonts w:hint="eastAsia"/>
      </w:rPr>
    </w:lvl>
    <w:lvl w:ilvl="5" w:tentative="0">
      <w:start w:val="1"/>
      <w:numFmt w:val="none"/>
      <w:suff w:val="nothing"/>
      <w:lvlText w:val=""/>
      <w:lvlJc w:val="left"/>
      <w:pPr>
        <w:ind w:left="2690" w:firstLine="0"/>
      </w:pPr>
      <w:rPr>
        <w:rFonts w:hint="eastAsia"/>
      </w:rPr>
    </w:lvl>
    <w:lvl w:ilvl="6" w:tentative="0">
      <w:start w:val="1"/>
      <w:numFmt w:val="none"/>
      <w:suff w:val="nothing"/>
      <w:lvlText w:val=""/>
      <w:lvlJc w:val="left"/>
      <w:pPr>
        <w:ind w:left="2690" w:firstLine="0"/>
      </w:pPr>
      <w:rPr>
        <w:rFonts w:hint="eastAsia"/>
      </w:rPr>
    </w:lvl>
    <w:lvl w:ilvl="7" w:tentative="0">
      <w:start w:val="1"/>
      <w:numFmt w:val="none"/>
      <w:suff w:val="nothing"/>
      <w:lvlText w:val=""/>
      <w:lvlJc w:val="left"/>
      <w:pPr>
        <w:ind w:left="2690" w:firstLine="0"/>
      </w:pPr>
      <w:rPr>
        <w:rFonts w:hint="eastAsia"/>
      </w:rPr>
    </w:lvl>
    <w:lvl w:ilvl="8" w:tentative="0">
      <w:start w:val="1"/>
      <w:numFmt w:val="none"/>
      <w:suff w:val="nothing"/>
      <w:lvlText w:val=""/>
      <w:lvlJc w:val="left"/>
      <w:pPr>
        <w:ind w:left="2690" w:firstLine="0"/>
      </w:pPr>
      <w:rPr>
        <w:rFonts w:hint="eastAsia"/>
      </w:rPr>
    </w:lvl>
  </w:abstractNum>
  <w:abstractNum w:abstractNumId="4">
    <w:nsid w:val="6430444F"/>
    <w:multiLevelType w:val="multilevel"/>
    <w:tmpl w:val="6430444F"/>
    <w:lvl w:ilvl="0" w:tentative="0">
      <w:start w:val="4"/>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656D6134"/>
    <w:multiLevelType w:val="multilevel"/>
    <w:tmpl w:val="656D6134"/>
    <w:lvl w:ilvl="0" w:tentative="0">
      <w:start w:val="1"/>
      <w:numFmt w:val="japaneseCounting"/>
      <w:lvlText w:val="%1、"/>
      <w:lvlJc w:val="left"/>
      <w:pPr>
        <w:ind w:left="510" w:hanging="51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3"/>
  </w:num>
  <w:num w:numId="2">
    <w:abstractNumId w:val="5"/>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NWY1NGExNmNkOTg1ZWRiNDU0MTBjMWNkZjliZGMifQ=="/>
  </w:docVars>
  <w:rsids>
    <w:rsidRoot w:val="00172A27"/>
    <w:rsid w:val="0004793A"/>
    <w:rsid w:val="00055D4F"/>
    <w:rsid w:val="00067FFD"/>
    <w:rsid w:val="00082B92"/>
    <w:rsid w:val="000861A4"/>
    <w:rsid w:val="000931DE"/>
    <w:rsid w:val="00096F79"/>
    <w:rsid w:val="000B1056"/>
    <w:rsid w:val="001322EC"/>
    <w:rsid w:val="00135D71"/>
    <w:rsid w:val="00155EDD"/>
    <w:rsid w:val="0017664F"/>
    <w:rsid w:val="001A3EEC"/>
    <w:rsid w:val="001E3531"/>
    <w:rsid w:val="00214581"/>
    <w:rsid w:val="00231382"/>
    <w:rsid w:val="002377B8"/>
    <w:rsid w:val="00247BC3"/>
    <w:rsid w:val="0029468E"/>
    <w:rsid w:val="002A2B13"/>
    <w:rsid w:val="002C054B"/>
    <w:rsid w:val="002C669E"/>
    <w:rsid w:val="002E3718"/>
    <w:rsid w:val="002E5302"/>
    <w:rsid w:val="00310687"/>
    <w:rsid w:val="00317CB4"/>
    <w:rsid w:val="00362590"/>
    <w:rsid w:val="00385B88"/>
    <w:rsid w:val="003944D8"/>
    <w:rsid w:val="003C45BC"/>
    <w:rsid w:val="003C727A"/>
    <w:rsid w:val="00400D32"/>
    <w:rsid w:val="00416889"/>
    <w:rsid w:val="004300B5"/>
    <w:rsid w:val="004411D5"/>
    <w:rsid w:val="004743A7"/>
    <w:rsid w:val="00482485"/>
    <w:rsid w:val="0049043D"/>
    <w:rsid w:val="004A7833"/>
    <w:rsid w:val="004B6D62"/>
    <w:rsid w:val="004D2BEF"/>
    <w:rsid w:val="004F209D"/>
    <w:rsid w:val="00505065"/>
    <w:rsid w:val="00506BE2"/>
    <w:rsid w:val="00521C3D"/>
    <w:rsid w:val="00524166"/>
    <w:rsid w:val="005355CD"/>
    <w:rsid w:val="005470C0"/>
    <w:rsid w:val="00551174"/>
    <w:rsid w:val="00551CBB"/>
    <w:rsid w:val="00570762"/>
    <w:rsid w:val="005758D0"/>
    <w:rsid w:val="005826E9"/>
    <w:rsid w:val="0058539D"/>
    <w:rsid w:val="005B2CAF"/>
    <w:rsid w:val="005B6E6C"/>
    <w:rsid w:val="005E408D"/>
    <w:rsid w:val="005F1DD9"/>
    <w:rsid w:val="006313FE"/>
    <w:rsid w:val="00632744"/>
    <w:rsid w:val="00635203"/>
    <w:rsid w:val="00636B16"/>
    <w:rsid w:val="00656665"/>
    <w:rsid w:val="00676A52"/>
    <w:rsid w:val="00682776"/>
    <w:rsid w:val="00685752"/>
    <w:rsid w:val="006D5537"/>
    <w:rsid w:val="006F61E8"/>
    <w:rsid w:val="006F6A7A"/>
    <w:rsid w:val="007329FB"/>
    <w:rsid w:val="007423FA"/>
    <w:rsid w:val="0074706C"/>
    <w:rsid w:val="00762580"/>
    <w:rsid w:val="00762BCB"/>
    <w:rsid w:val="007670C8"/>
    <w:rsid w:val="00783503"/>
    <w:rsid w:val="00790E09"/>
    <w:rsid w:val="00797940"/>
    <w:rsid w:val="007A7AD9"/>
    <w:rsid w:val="007C63EE"/>
    <w:rsid w:val="007C70A0"/>
    <w:rsid w:val="007D49EF"/>
    <w:rsid w:val="007F2CA2"/>
    <w:rsid w:val="00827C3B"/>
    <w:rsid w:val="00827E80"/>
    <w:rsid w:val="00837B48"/>
    <w:rsid w:val="00857E15"/>
    <w:rsid w:val="00877776"/>
    <w:rsid w:val="008C7A97"/>
    <w:rsid w:val="008D1D5A"/>
    <w:rsid w:val="008E36CC"/>
    <w:rsid w:val="008E7B91"/>
    <w:rsid w:val="008F012D"/>
    <w:rsid w:val="00911F1E"/>
    <w:rsid w:val="00947636"/>
    <w:rsid w:val="00952A1B"/>
    <w:rsid w:val="009626BA"/>
    <w:rsid w:val="00972F63"/>
    <w:rsid w:val="00993D2E"/>
    <w:rsid w:val="009958A2"/>
    <w:rsid w:val="009F0CC5"/>
    <w:rsid w:val="00A0231A"/>
    <w:rsid w:val="00A36717"/>
    <w:rsid w:val="00A44868"/>
    <w:rsid w:val="00A9418D"/>
    <w:rsid w:val="00A97A31"/>
    <w:rsid w:val="00B0238E"/>
    <w:rsid w:val="00B254FF"/>
    <w:rsid w:val="00B42916"/>
    <w:rsid w:val="00B459D2"/>
    <w:rsid w:val="00B66A7F"/>
    <w:rsid w:val="00B759DB"/>
    <w:rsid w:val="00B76080"/>
    <w:rsid w:val="00BD43FF"/>
    <w:rsid w:val="00C41F94"/>
    <w:rsid w:val="00C74AFE"/>
    <w:rsid w:val="00C754F9"/>
    <w:rsid w:val="00CD678E"/>
    <w:rsid w:val="00CE05A6"/>
    <w:rsid w:val="00CE4A48"/>
    <w:rsid w:val="00CF3B86"/>
    <w:rsid w:val="00D01244"/>
    <w:rsid w:val="00D049E8"/>
    <w:rsid w:val="00D12490"/>
    <w:rsid w:val="00D47DF7"/>
    <w:rsid w:val="00D5767F"/>
    <w:rsid w:val="00D93AD2"/>
    <w:rsid w:val="00DA282B"/>
    <w:rsid w:val="00DD4535"/>
    <w:rsid w:val="00DE0F25"/>
    <w:rsid w:val="00DF324E"/>
    <w:rsid w:val="00E15AED"/>
    <w:rsid w:val="00E40669"/>
    <w:rsid w:val="00E472D4"/>
    <w:rsid w:val="00E51B7B"/>
    <w:rsid w:val="00E7005D"/>
    <w:rsid w:val="00E722D3"/>
    <w:rsid w:val="00E93AB0"/>
    <w:rsid w:val="00EA402C"/>
    <w:rsid w:val="00ED2566"/>
    <w:rsid w:val="00EF591D"/>
    <w:rsid w:val="00F0316F"/>
    <w:rsid w:val="00F43857"/>
    <w:rsid w:val="00F65EBA"/>
    <w:rsid w:val="00F87449"/>
    <w:rsid w:val="00FC4C9E"/>
    <w:rsid w:val="00FD4ED9"/>
    <w:rsid w:val="01331CA1"/>
    <w:rsid w:val="01647AB5"/>
    <w:rsid w:val="02995DBE"/>
    <w:rsid w:val="03A5079A"/>
    <w:rsid w:val="03DD16FC"/>
    <w:rsid w:val="0428489A"/>
    <w:rsid w:val="04E9415B"/>
    <w:rsid w:val="04EE23D5"/>
    <w:rsid w:val="04FE63B4"/>
    <w:rsid w:val="055C73B3"/>
    <w:rsid w:val="059B232E"/>
    <w:rsid w:val="05B92CAB"/>
    <w:rsid w:val="0607343F"/>
    <w:rsid w:val="06992F97"/>
    <w:rsid w:val="07B21C5B"/>
    <w:rsid w:val="07CC7361"/>
    <w:rsid w:val="07E50FC2"/>
    <w:rsid w:val="0815758C"/>
    <w:rsid w:val="0869623A"/>
    <w:rsid w:val="089304B2"/>
    <w:rsid w:val="08946E7E"/>
    <w:rsid w:val="08A06AA4"/>
    <w:rsid w:val="091619D2"/>
    <w:rsid w:val="092D1746"/>
    <w:rsid w:val="09D0590B"/>
    <w:rsid w:val="09DD0A9F"/>
    <w:rsid w:val="09E27524"/>
    <w:rsid w:val="09FD6637"/>
    <w:rsid w:val="0A2E4E23"/>
    <w:rsid w:val="0AB87736"/>
    <w:rsid w:val="0B133AA6"/>
    <w:rsid w:val="0B495B6E"/>
    <w:rsid w:val="0B552AA6"/>
    <w:rsid w:val="0B9D780A"/>
    <w:rsid w:val="0BE14637"/>
    <w:rsid w:val="0BE20FDE"/>
    <w:rsid w:val="0C12372F"/>
    <w:rsid w:val="0CF40D80"/>
    <w:rsid w:val="0D3F67B3"/>
    <w:rsid w:val="0D487503"/>
    <w:rsid w:val="0D6772F9"/>
    <w:rsid w:val="0DAE46EF"/>
    <w:rsid w:val="0E8611C8"/>
    <w:rsid w:val="0EB43F56"/>
    <w:rsid w:val="0EBC2B96"/>
    <w:rsid w:val="0F1A71C3"/>
    <w:rsid w:val="0F3815B6"/>
    <w:rsid w:val="10EC33B1"/>
    <w:rsid w:val="1172043C"/>
    <w:rsid w:val="11927ACE"/>
    <w:rsid w:val="11E81C3A"/>
    <w:rsid w:val="124F71BE"/>
    <w:rsid w:val="12EE23C9"/>
    <w:rsid w:val="133765A8"/>
    <w:rsid w:val="13521C6E"/>
    <w:rsid w:val="13C647E5"/>
    <w:rsid w:val="146A3563"/>
    <w:rsid w:val="14B40A57"/>
    <w:rsid w:val="14E169FA"/>
    <w:rsid w:val="15A249BF"/>
    <w:rsid w:val="15EE6D8A"/>
    <w:rsid w:val="162B19DB"/>
    <w:rsid w:val="169678F8"/>
    <w:rsid w:val="16B93A37"/>
    <w:rsid w:val="170A48EF"/>
    <w:rsid w:val="170A6E3A"/>
    <w:rsid w:val="170C256E"/>
    <w:rsid w:val="173C071C"/>
    <w:rsid w:val="179B23DA"/>
    <w:rsid w:val="17AC7EF2"/>
    <w:rsid w:val="17C039AE"/>
    <w:rsid w:val="17F87F34"/>
    <w:rsid w:val="18A01472"/>
    <w:rsid w:val="18AD5EA9"/>
    <w:rsid w:val="18D12BFA"/>
    <w:rsid w:val="19194927"/>
    <w:rsid w:val="19723D07"/>
    <w:rsid w:val="197B7BA5"/>
    <w:rsid w:val="19AC2F0F"/>
    <w:rsid w:val="1B702916"/>
    <w:rsid w:val="1C1322AF"/>
    <w:rsid w:val="1C9B0535"/>
    <w:rsid w:val="1CDA1254"/>
    <w:rsid w:val="1D307397"/>
    <w:rsid w:val="1D7577C1"/>
    <w:rsid w:val="1D787211"/>
    <w:rsid w:val="1DDC467B"/>
    <w:rsid w:val="1E95351D"/>
    <w:rsid w:val="1E9E10AA"/>
    <w:rsid w:val="1EB40935"/>
    <w:rsid w:val="1F2368D5"/>
    <w:rsid w:val="1F4A3A6D"/>
    <w:rsid w:val="1F633C68"/>
    <w:rsid w:val="1FBE260C"/>
    <w:rsid w:val="200A1C59"/>
    <w:rsid w:val="202E3FC3"/>
    <w:rsid w:val="206E70E5"/>
    <w:rsid w:val="209035FF"/>
    <w:rsid w:val="21F7620D"/>
    <w:rsid w:val="2206734E"/>
    <w:rsid w:val="22644D6C"/>
    <w:rsid w:val="228E1487"/>
    <w:rsid w:val="22C738DF"/>
    <w:rsid w:val="233162CE"/>
    <w:rsid w:val="237B5DEF"/>
    <w:rsid w:val="23D022C7"/>
    <w:rsid w:val="240019B9"/>
    <w:rsid w:val="24386B22"/>
    <w:rsid w:val="244F2CE6"/>
    <w:rsid w:val="24C543A1"/>
    <w:rsid w:val="250B730B"/>
    <w:rsid w:val="25284340"/>
    <w:rsid w:val="25502BD5"/>
    <w:rsid w:val="258D5765"/>
    <w:rsid w:val="25C67A7F"/>
    <w:rsid w:val="26154EB4"/>
    <w:rsid w:val="263711B3"/>
    <w:rsid w:val="26BC3CF7"/>
    <w:rsid w:val="26EF3AFD"/>
    <w:rsid w:val="271C3232"/>
    <w:rsid w:val="27A15F8C"/>
    <w:rsid w:val="27A265D6"/>
    <w:rsid w:val="27B41490"/>
    <w:rsid w:val="282360D1"/>
    <w:rsid w:val="28B05368"/>
    <w:rsid w:val="294743DC"/>
    <w:rsid w:val="29E07F05"/>
    <w:rsid w:val="2A377C84"/>
    <w:rsid w:val="2A4D4ACB"/>
    <w:rsid w:val="2AE6612C"/>
    <w:rsid w:val="2B114F82"/>
    <w:rsid w:val="2B252C55"/>
    <w:rsid w:val="2BBF1716"/>
    <w:rsid w:val="2C7E70E0"/>
    <w:rsid w:val="2C9B2B22"/>
    <w:rsid w:val="2DC86006"/>
    <w:rsid w:val="2DFA32CC"/>
    <w:rsid w:val="2E0918C1"/>
    <w:rsid w:val="2F27767D"/>
    <w:rsid w:val="2F3C73BE"/>
    <w:rsid w:val="2F4F4849"/>
    <w:rsid w:val="2FD37FA3"/>
    <w:rsid w:val="2FDB65CE"/>
    <w:rsid w:val="30326598"/>
    <w:rsid w:val="30B209D5"/>
    <w:rsid w:val="30EC388A"/>
    <w:rsid w:val="31A10999"/>
    <w:rsid w:val="32CE2FBA"/>
    <w:rsid w:val="32F601CA"/>
    <w:rsid w:val="33264A29"/>
    <w:rsid w:val="33391B7C"/>
    <w:rsid w:val="33891B0D"/>
    <w:rsid w:val="33BF537C"/>
    <w:rsid w:val="33CD5EE4"/>
    <w:rsid w:val="33F32A01"/>
    <w:rsid w:val="346C7D92"/>
    <w:rsid w:val="34AA710F"/>
    <w:rsid w:val="351C6E8B"/>
    <w:rsid w:val="354E0AF3"/>
    <w:rsid w:val="3579182A"/>
    <w:rsid w:val="35E37219"/>
    <w:rsid w:val="36391DBD"/>
    <w:rsid w:val="36B956B8"/>
    <w:rsid w:val="378A604B"/>
    <w:rsid w:val="37C005F5"/>
    <w:rsid w:val="37CA5F50"/>
    <w:rsid w:val="37CF5D34"/>
    <w:rsid w:val="37D83F87"/>
    <w:rsid w:val="38B61943"/>
    <w:rsid w:val="38E843C0"/>
    <w:rsid w:val="38E96690"/>
    <w:rsid w:val="38F1053C"/>
    <w:rsid w:val="393975F6"/>
    <w:rsid w:val="39642A9D"/>
    <w:rsid w:val="39F32A88"/>
    <w:rsid w:val="3A0C102D"/>
    <w:rsid w:val="3A1E2D62"/>
    <w:rsid w:val="3A437DEA"/>
    <w:rsid w:val="3A507278"/>
    <w:rsid w:val="3A63721A"/>
    <w:rsid w:val="3B180C07"/>
    <w:rsid w:val="3BE467B5"/>
    <w:rsid w:val="3D0417C3"/>
    <w:rsid w:val="3D165452"/>
    <w:rsid w:val="3DAE7C70"/>
    <w:rsid w:val="3DDE4A3D"/>
    <w:rsid w:val="3E4B437C"/>
    <w:rsid w:val="3ED3371B"/>
    <w:rsid w:val="3F197155"/>
    <w:rsid w:val="3F977E85"/>
    <w:rsid w:val="3FD35B6F"/>
    <w:rsid w:val="4056111A"/>
    <w:rsid w:val="40C74929"/>
    <w:rsid w:val="40FD136D"/>
    <w:rsid w:val="410B6C36"/>
    <w:rsid w:val="4150687E"/>
    <w:rsid w:val="417D129D"/>
    <w:rsid w:val="41D852BC"/>
    <w:rsid w:val="41D95A67"/>
    <w:rsid w:val="424E3A2A"/>
    <w:rsid w:val="42A64657"/>
    <w:rsid w:val="433A4212"/>
    <w:rsid w:val="43553585"/>
    <w:rsid w:val="43FA1947"/>
    <w:rsid w:val="44550098"/>
    <w:rsid w:val="446A6C18"/>
    <w:rsid w:val="446D453C"/>
    <w:rsid w:val="459D49A0"/>
    <w:rsid w:val="45BE253D"/>
    <w:rsid w:val="45CE75B2"/>
    <w:rsid w:val="45D8787B"/>
    <w:rsid w:val="46150F46"/>
    <w:rsid w:val="466843D7"/>
    <w:rsid w:val="47836BBD"/>
    <w:rsid w:val="484A6D1B"/>
    <w:rsid w:val="48590214"/>
    <w:rsid w:val="48661B17"/>
    <w:rsid w:val="49725211"/>
    <w:rsid w:val="49972201"/>
    <w:rsid w:val="499D774C"/>
    <w:rsid w:val="4A243541"/>
    <w:rsid w:val="4A392FB7"/>
    <w:rsid w:val="4AD23300"/>
    <w:rsid w:val="4AE4048A"/>
    <w:rsid w:val="4AEC0950"/>
    <w:rsid w:val="4B051049"/>
    <w:rsid w:val="4B3D0A12"/>
    <w:rsid w:val="4B4735E6"/>
    <w:rsid w:val="4B7438A3"/>
    <w:rsid w:val="4BC66365"/>
    <w:rsid w:val="4BE731E7"/>
    <w:rsid w:val="4C3A0410"/>
    <w:rsid w:val="4C805398"/>
    <w:rsid w:val="4C832686"/>
    <w:rsid w:val="4D4E4FC6"/>
    <w:rsid w:val="4DA8771A"/>
    <w:rsid w:val="4E166DB7"/>
    <w:rsid w:val="4E3C6BD2"/>
    <w:rsid w:val="4E3E522B"/>
    <w:rsid w:val="4EB736EA"/>
    <w:rsid w:val="4ED240DA"/>
    <w:rsid w:val="4F966E28"/>
    <w:rsid w:val="50166421"/>
    <w:rsid w:val="50447E19"/>
    <w:rsid w:val="50E83951"/>
    <w:rsid w:val="516C73DE"/>
    <w:rsid w:val="51A470E8"/>
    <w:rsid w:val="524264D8"/>
    <w:rsid w:val="52440CC1"/>
    <w:rsid w:val="52572351"/>
    <w:rsid w:val="532654B9"/>
    <w:rsid w:val="537D6979"/>
    <w:rsid w:val="54442B94"/>
    <w:rsid w:val="54482212"/>
    <w:rsid w:val="545250DB"/>
    <w:rsid w:val="54767491"/>
    <w:rsid w:val="548351F6"/>
    <w:rsid w:val="54F72943"/>
    <w:rsid w:val="556547D6"/>
    <w:rsid w:val="55F92746"/>
    <w:rsid w:val="567F5A62"/>
    <w:rsid w:val="569557CA"/>
    <w:rsid w:val="57137177"/>
    <w:rsid w:val="576C1FE6"/>
    <w:rsid w:val="57870C8B"/>
    <w:rsid w:val="57D52252"/>
    <w:rsid w:val="58D25A26"/>
    <w:rsid w:val="58EC2411"/>
    <w:rsid w:val="59593F31"/>
    <w:rsid w:val="59594ADC"/>
    <w:rsid w:val="59C66B69"/>
    <w:rsid w:val="5AE20B01"/>
    <w:rsid w:val="5B2B24A8"/>
    <w:rsid w:val="5C4F6692"/>
    <w:rsid w:val="5C5C32A2"/>
    <w:rsid w:val="5C7E5C9B"/>
    <w:rsid w:val="5CC70A16"/>
    <w:rsid w:val="5D447B81"/>
    <w:rsid w:val="5D7D6E0A"/>
    <w:rsid w:val="5D9B1FA1"/>
    <w:rsid w:val="5E0B1525"/>
    <w:rsid w:val="5E3C1F0B"/>
    <w:rsid w:val="5E8C31F3"/>
    <w:rsid w:val="5EAA0066"/>
    <w:rsid w:val="5F3853B6"/>
    <w:rsid w:val="5F3F41ED"/>
    <w:rsid w:val="60360ECF"/>
    <w:rsid w:val="60E46BFC"/>
    <w:rsid w:val="61097711"/>
    <w:rsid w:val="610B4000"/>
    <w:rsid w:val="61117DA1"/>
    <w:rsid w:val="61BF5C93"/>
    <w:rsid w:val="628272CD"/>
    <w:rsid w:val="62B51C36"/>
    <w:rsid w:val="63FD0456"/>
    <w:rsid w:val="642170D0"/>
    <w:rsid w:val="646771B0"/>
    <w:rsid w:val="647769E4"/>
    <w:rsid w:val="64C619D4"/>
    <w:rsid w:val="65C96BA3"/>
    <w:rsid w:val="66007AEC"/>
    <w:rsid w:val="669B5422"/>
    <w:rsid w:val="66B35C9A"/>
    <w:rsid w:val="66BD1492"/>
    <w:rsid w:val="678706EA"/>
    <w:rsid w:val="67912C71"/>
    <w:rsid w:val="67A15BBB"/>
    <w:rsid w:val="67A842CD"/>
    <w:rsid w:val="67B97879"/>
    <w:rsid w:val="67BF772A"/>
    <w:rsid w:val="67CA14AF"/>
    <w:rsid w:val="68C12039"/>
    <w:rsid w:val="695009A4"/>
    <w:rsid w:val="697D4CFC"/>
    <w:rsid w:val="69E02E33"/>
    <w:rsid w:val="69E77B18"/>
    <w:rsid w:val="6A2922A9"/>
    <w:rsid w:val="6A926DD4"/>
    <w:rsid w:val="6AA31E73"/>
    <w:rsid w:val="6AF95C09"/>
    <w:rsid w:val="6BBF2EC5"/>
    <w:rsid w:val="6BD75409"/>
    <w:rsid w:val="6C22670E"/>
    <w:rsid w:val="6C33740F"/>
    <w:rsid w:val="6C8B72D8"/>
    <w:rsid w:val="6CA36342"/>
    <w:rsid w:val="6CC870E3"/>
    <w:rsid w:val="6CE13383"/>
    <w:rsid w:val="6DD66D68"/>
    <w:rsid w:val="6E1217FB"/>
    <w:rsid w:val="6E5E1A84"/>
    <w:rsid w:val="6E724DC9"/>
    <w:rsid w:val="6E817B49"/>
    <w:rsid w:val="6E923585"/>
    <w:rsid w:val="6EE844E0"/>
    <w:rsid w:val="6F091E01"/>
    <w:rsid w:val="6F78006E"/>
    <w:rsid w:val="6FA10B33"/>
    <w:rsid w:val="6FBE7FAE"/>
    <w:rsid w:val="700F3EE3"/>
    <w:rsid w:val="70790D75"/>
    <w:rsid w:val="709F427B"/>
    <w:rsid w:val="71716E01"/>
    <w:rsid w:val="719B1CDE"/>
    <w:rsid w:val="71C83836"/>
    <w:rsid w:val="720311A4"/>
    <w:rsid w:val="72180CA6"/>
    <w:rsid w:val="724529EE"/>
    <w:rsid w:val="726579FF"/>
    <w:rsid w:val="72983C16"/>
    <w:rsid w:val="72C6502D"/>
    <w:rsid w:val="730D5E2B"/>
    <w:rsid w:val="73517D1C"/>
    <w:rsid w:val="736005A0"/>
    <w:rsid w:val="737C67A2"/>
    <w:rsid w:val="73B928EF"/>
    <w:rsid w:val="75176A80"/>
    <w:rsid w:val="755F7632"/>
    <w:rsid w:val="757954CE"/>
    <w:rsid w:val="75874F92"/>
    <w:rsid w:val="759F3AFB"/>
    <w:rsid w:val="75BC6BEE"/>
    <w:rsid w:val="75DD0E5C"/>
    <w:rsid w:val="76257DC8"/>
    <w:rsid w:val="76572B7C"/>
    <w:rsid w:val="774E06D7"/>
    <w:rsid w:val="77822FF8"/>
    <w:rsid w:val="77923E1B"/>
    <w:rsid w:val="780D6AC8"/>
    <w:rsid w:val="785706F8"/>
    <w:rsid w:val="78A43DB0"/>
    <w:rsid w:val="78B710C1"/>
    <w:rsid w:val="7938112E"/>
    <w:rsid w:val="7A235E7D"/>
    <w:rsid w:val="7A2465E9"/>
    <w:rsid w:val="7A60658D"/>
    <w:rsid w:val="7B0C6B8B"/>
    <w:rsid w:val="7B491FCE"/>
    <w:rsid w:val="7B554F5B"/>
    <w:rsid w:val="7BB00101"/>
    <w:rsid w:val="7C16417C"/>
    <w:rsid w:val="7C344B28"/>
    <w:rsid w:val="7D5A408A"/>
    <w:rsid w:val="7D8C1B21"/>
    <w:rsid w:val="7E1B283D"/>
    <w:rsid w:val="7E1D5219"/>
    <w:rsid w:val="7E4E0CB7"/>
    <w:rsid w:val="7F2268D6"/>
    <w:rsid w:val="7FA86024"/>
    <w:rsid w:val="7FD038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4"/>
    <w:qFormat/>
    <w:uiPriority w:val="0"/>
    <w:pPr>
      <w:keepNext/>
      <w:jc w:val="center"/>
      <w:outlineLvl w:val="0"/>
    </w:pPr>
    <w:rPr>
      <w:b/>
      <w:bCs/>
      <w:sz w:val="24"/>
      <w:szCs w:val="20"/>
    </w:rPr>
  </w:style>
  <w:style w:type="paragraph" w:styleId="3">
    <w:name w:val="heading 2"/>
    <w:basedOn w:val="1"/>
    <w:next w:val="1"/>
    <w:link w:val="55"/>
    <w:qFormat/>
    <w:uiPriority w:val="0"/>
    <w:pPr>
      <w:keepNext/>
      <w:keepLines/>
      <w:spacing w:line="360" w:lineRule="auto"/>
      <w:outlineLvl w:val="1"/>
    </w:pPr>
    <w:rPr>
      <w:rFonts w:ascii="Arial" w:hAnsi="Arial"/>
      <w:b/>
      <w:bCs/>
      <w:sz w:val="24"/>
      <w:szCs w:val="32"/>
    </w:rPr>
  </w:style>
  <w:style w:type="paragraph" w:styleId="4">
    <w:name w:val="heading 3"/>
    <w:basedOn w:val="1"/>
    <w:next w:val="1"/>
    <w:link w:val="56"/>
    <w:qFormat/>
    <w:uiPriority w:val="0"/>
    <w:pPr>
      <w:keepNext/>
      <w:keepLines/>
      <w:spacing w:before="260" w:beforeLines="0" w:after="260" w:afterLines="0" w:line="413" w:lineRule="auto"/>
      <w:outlineLvl w:val="2"/>
    </w:pPr>
    <w:rPr>
      <w:b/>
      <w:bCs/>
      <w:sz w:val="32"/>
      <w:szCs w:val="32"/>
    </w:rPr>
  </w:style>
  <w:style w:type="paragraph" w:styleId="5">
    <w:name w:val="heading 4"/>
    <w:basedOn w:val="1"/>
    <w:next w:val="1"/>
    <w:qFormat/>
    <w:uiPriority w:val="0"/>
    <w:pPr>
      <w:keepNext/>
      <w:keepLines/>
      <w:spacing w:before="280" w:beforeLines="0" w:after="290" w:afterLines="0" w:line="372" w:lineRule="auto"/>
      <w:outlineLvl w:val="3"/>
    </w:pPr>
    <w:rPr>
      <w:rFonts w:ascii="Arial" w:hAnsi="Arial" w:eastAsia="黑体"/>
      <w:b/>
      <w:bCs/>
      <w:sz w:val="28"/>
      <w:szCs w:val="28"/>
    </w:rPr>
  </w:style>
  <w:style w:type="paragraph" w:styleId="6">
    <w:name w:val="heading 5"/>
    <w:basedOn w:val="1"/>
    <w:next w:val="1"/>
    <w:qFormat/>
    <w:uiPriority w:val="0"/>
    <w:pPr>
      <w:keepNext/>
      <w:keepLines/>
      <w:adjustRightInd w:val="0"/>
      <w:spacing w:before="280" w:beforeLines="0" w:after="290" w:afterLines="0" w:line="376" w:lineRule="atLeast"/>
      <w:jc w:val="left"/>
      <w:textAlignment w:val="baseline"/>
      <w:outlineLvl w:val="4"/>
    </w:pPr>
    <w:rPr>
      <w:b/>
      <w:bCs/>
      <w:kern w:val="0"/>
      <w:sz w:val="28"/>
      <w:szCs w:val="28"/>
    </w:rPr>
  </w:style>
  <w:style w:type="paragraph" w:styleId="7">
    <w:name w:val="heading 6"/>
    <w:basedOn w:val="1"/>
    <w:next w:val="1"/>
    <w:qFormat/>
    <w:uiPriority w:val="0"/>
    <w:pPr>
      <w:keepNext/>
      <w:keepLines/>
      <w:adjustRightInd w:val="0"/>
      <w:spacing w:before="240" w:beforeLines="0" w:after="64" w:afterLines="0" w:line="320" w:lineRule="atLeast"/>
      <w:jc w:val="left"/>
      <w:textAlignment w:val="baseline"/>
      <w:outlineLvl w:val="5"/>
    </w:pPr>
    <w:rPr>
      <w:rFonts w:ascii="Arial" w:hAnsi="Arial" w:eastAsia="黑体"/>
      <w:b/>
      <w:bCs/>
      <w:kern w:val="0"/>
      <w:sz w:val="24"/>
    </w:rPr>
  </w:style>
  <w:style w:type="paragraph" w:styleId="8">
    <w:name w:val="heading 7"/>
    <w:basedOn w:val="1"/>
    <w:next w:val="1"/>
    <w:qFormat/>
    <w:uiPriority w:val="0"/>
    <w:pPr>
      <w:keepNext/>
      <w:keepLines/>
      <w:adjustRightInd w:val="0"/>
      <w:spacing w:before="240" w:beforeLines="0" w:after="64" w:afterLines="0" w:line="320" w:lineRule="atLeast"/>
      <w:jc w:val="left"/>
      <w:textAlignment w:val="baseline"/>
      <w:outlineLvl w:val="6"/>
    </w:pPr>
    <w:rPr>
      <w:b/>
      <w:bCs/>
      <w:kern w:val="0"/>
      <w:sz w:val="24"/>
    </w:rPr>
  </w:style>
  <w:style w:type="paragraph" w:styleId="9">
    <w:name w:val="heading 8"/>
    <w:basedOn w:val="1"/>
    <w:next w:val="1"/>
    <w:qFormat/>
    <w:uiPriority w:val="0"/>
    <w:pPr>
      <w:keepNext/>
      <w:keepLines/>
      <w:adjustRightInd w:val="0"/>
      <w:spacing w:before="240" w:beforeLines="0" w:after="64" w:afterLines="0" w:line="320" w:lineRule="atLeast"/>
      <w:jc w:val="left"/>
      <w:textAlignment w:val="baseline"/>
      <w:outlineLvl w:val="7"/>
    </w:pPr>
    <w:rPr>
      <w:rFonts w:ascii="Arial" w:hAnsi="Arial" w:eastAsia="黑体"/>
      <w:kern w:val="0"/>
      <w:sz w:val="24"/>
    </w:rPr>
  </w:style>
  <w:style w:type="paragraph" w:styleId="10">
    <w:name w:val="heading 9"/>
    <w:basedOn w:val="1"/>
    <w:next w:val="1"/>
    <w:qFormat/>
    <w:uiPriority w:val="0"/>
    <w:pPr>
      <w:keepNext/>
      <w:keepLines/>
      <w:adjustRightInd w:val="0"/>
      <w:spacing w:before="240" w:beforeLines="0" w:after="64" w:afterLines="0" w:line="320" w:lineRule="atLeast"/>
      <w:jc w:val="left"/>
      <w:textAlignment w:val="baseline"/>
      <w:outlineLvl w:val="8"/>
    </w:pPr>
    <w:rPr>
      <w:rFonts w:ascii="Arial" w:hAnsi="Arial" w:eastAsia="黑体"/>
      <w:kern w:val="0"/>
      <w:szCs w:val="21"/>
    </w:rPr>
  </w:style>
  <w:style w:type="character" w:default="1" w:styleId="48">
    <w:name w:val="Default Paragraph Font"/>
    <w:unhideWhenUsed/>
    <w:qFormat/>
    <w:uiPriority w:val="1"/>
  </w:style>
  <w:style w:type="table" w:default="1" w:styleId="46">
    <w:name w:val="Normal Table"/>
    <w:semiHidden/>
    <w:qFormat/>
    <w:uiPriority w:val="0"/>
    <w:tblPr>
      <w:tblCellMar>
        <w:top w:w="0" w:type="dxa"/>
        <w:left w:w="108" w:type="dxa"/>
        <w:bottom w:w="0" w:type="dxa"/>
        <w:right w:w="108" w:type="dxa"/>
      </w:tblCellMar>
    </w:tblPr>
  </w:style>
  <w:style w:type="paragraph" w:styleId="11">
    <w:name w:val="Normal Indent"/>
    <w:basedOn w:val="1"/>
    <w:next w:val="1"/>
    <w:qFormat/>
    <w:uiPriority w:val="0"/>
    <w:pPr>
      <w:widowControl/>
      <w:ind w:firstLine="420"/>
      <w:jc w:val="left"/>
    </w:pPr>
    <w:rPr>
      <w:kern w:val="0"/>
      <w:sz w:val="20"/>
      <w:szCs w:val="20"/>
    </w:rPr>
  </w:style>
  <w:style w:type="paragraph" w:styleId="12">
    <w:name w:val="Document Map"/>
    <w:basedOn w:val="1"/>
    <w:qFormat/>
    <w:uiPriority w:val="0"/>
    <w:pPr>
      <w:shd w:val="clear" w:color="auto" w:fill="000080"/>
    </w:pPr>
  </w:style>
  <w:style w:type="paragraph" w:styleId="13">
    <w:name w:val="annotation text"/>
    <w:basedOn w:val="1"/>
    <w:link w:val="57"/>
    <w:qFormat/>
    <w:uiPriority w:val="0"/>
    <w:pPr>
      <w:jc w:val="left"/>
    </w:pPr>
  </w:style>
  <w:style w:type="paragraph" w:styleId="14">
    <w:name w:val="index 6"/>
    <w:basedOn w:val="1"/>
    <w:next w:val="1"/>
    <w:qFormat/>
    <w:uiPriority w:val="0"/>
    <w:pPr>
      <w:ind w:left="2100"/>
    </w:pPr>
  </w:style>
  <w:style w:type="paragraph" w:styleId="15">
    <w:name w:val="Salutation"/>
    <w:basedOn w:val="1"/>
    <w:next w:val="1"/>
    <w:qFormat/>
    <w:uiPriority w:val="0"/>
    <w:rPr>
      <w:rFonts w:ascii="仿宋_GB2312" w:eastAsia="仿宋_GB2312"/>
      <w:sz w:val="24"/>
    </w:rPr>
  </w:style>
  <w:style w:type="paragraph" w:styleId="16">
    <w:name w:val="Body Text 3"/>
    <w:basedOn w:val="1"/>
    <w:link w:val="58"/>
    <w:qFormat/>
    <w:uiPriority w:val="0"/>
    <w:pPr>
      <w:spacing w:after="120"/>
    </w:pPr>
    <w:rPr>
      <w:sz w:val="16"/>
      <w:szCs w:val="16"/>
    </w:rPr>
  </w:style>
  <w:style w:type="paragraph" w:styleId="17">
    <w:name w:val="Body Text"/>
    <w:basedOn w:val="1"/>
    <w:link w:val="59"/>
    <w:qFormat/>
    <w:uiPriority w:val="0"/>
    <w:pPr>
      <w:spacing w:after="120" w:afterLines="0"/>
    </w:pPr>
  </w:style>
  <w:style w:type="paragraph" w:styleId="18">
    <w:name w:val="Body Text Indent"/>
    <w:basedOn w:val="1"/>
    <w:qFormat/>
    <w:uiPriority w:val="0"/>
    <w:pPr>
      <w:spacing w:after="120" w:afterLines="0"/>
      <w:ind w:left="420" w:leftChars="200"/>
    </w:pPr>
  </w:style>
  <w:style w:type="paragraph" w:styleId="19">
    <w:name w:val="Block Text"/>
    <w:basedOn w:val="1"/>
    <w:qFormat/>
    <w:uiPriority w:val="0"/>
    <w:pPr>
      <w:ind w:left="1171" w:right="91" w:hanging="1080"/>
    </w:pPr>
    <w:rPr>
      <w:rFonts w:eastAsia="楷体_GB2312"/>
      <w:szCs w:val="20"/>
    </w:rPr>
  </w:style>
  <w:style w:type="paragraph" w:styleId="20">
    <w:name w:val="toc 3"/>
    <w:basedOn w:val="1"/>
    <w:next w:val="1"/>
    <w:qFormat/>
    <w:uiPriority w:val="0"/>
    <w:pPr>
      <w:ind w:left="840" w:leftChars="400"/>
    </w:pPr>
  </w:style>
  <w:style w:type="paragraph" w:styleId="21">
    <w:name w:val="Plain Text"/>
    <w:basedOn w:val="1"/>
    <w:link w:val="60"/>
    <w:qFormat/>
    <w:uiPriority w:val="0"/>
    <w:rPr>
      <w:rFonts w:ascii="宋体" w:hAnsi="Courier New" w:cs="Courier New"/>
      <w:szCs w:val="21"/>
    </w:rPr>
  </w:style>
  <w:style w:type="paragraph" w:styleId="22">
    <w:name w:val="Date"/>
    <w:basedOn w:val="1"/>
    <w:next w:val="1"/>
    <w:qFormat/>
    <w:uiPriority w:val="0"/>
    <w:rPr>
      <w:sz w:val="24"/>
      <w:szCs w:val="20"/>
    </w:rPr>
  </w:style>
  <w:style w:type="paragraph" w:styleId="23">
    <w:name w:val="Body Text Indent 2"/>
    <w:basedOn w:val="1"/>
    <w:qFormat/>
    <w:uiPriority w:val="0"/>
    <w:pPr>
      <w:spacing w:after="120" w:afterLines="0" w:line="480" w:lineRule="auto"/>
      <w:ind w:left="420" w:leftChars="200"/>
    </w:pPr>
  </w:style>
  <w:style w:type="paragraph" w:styleId="24">
    <w:name w:val="Balloon Text"/>
    <w:basedOn w:val="1"/>
    <w:qFormat/>
    <w:uiPriority w:val="0"/>
    <w:rPr>
      <w:sz w:val="18"/>
      <w:szCs w:val="18"/>
    </w:rPr>
  </w:style>
  <w:style w:type="paragraph" w:styleId="25">
    <w:name w:val="footer"/>
    <w:basedOn w:val="1"/>
    <w:link w:val="61"/>
    <w:qFormat/>
    <w:uiPriority w:val="0"/>
    <w:pPr>
      <w:tabs>
        <w:tab w:val="center" w:pos="4153"/>
        <w:tab w:val="right" w:pos="8306"/>
      </w:tabs>
      <w:snapToGrid w:val="0"/>
      <w:jc w:val="left"/>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before="156" w:beforeLines="50"/>
    </w:pPr>
    <w:rPr>
      <w:rFonts w:ascii="仿宋_GB2312" w:eastAsia="仿宋_GB2312"/>
      <w:sz w:val="24"/>
    </w:rPr>
  </w:style>
  <w:style w:type="paragraph" w:styleId="28">
    <w:name w:val="List"/>
    <w:basedOn w:val="1"/>
    <w:semiHidden/>
    <w:qFormat/>
    <w:uiPriority w:val="0"/>
    <w:pPr>
      <w:ind w:left="200" w:hanging="200" w:hangingChars="200"/>
    </w:pPr>
  </w:style>
  <w:style w:type="paragraph" w:styleId="29">
    <w:name w:val="footnote text"/>
    <w:basedOn w:val="1"/>
    <w:qFormat/>
    <w:uiPriority w:val="0"/>
    <w:pPr>
      <w:snapToGrid w:val="0"/>
      <w:jc w:val="left"/>
    </w:pPr>
    <w:rPr>
      <w:sz w:val="18"/>
    </w:rPr>
  </w:style>
  <w:style w:type="paragraph" w:styleId="30">
    <w:name w:val="Body Text Indent 3"/>
    <w:basedOn w:val="1"/>
    <w:qFormat/>
    <w:uiPriority w:val="0"/>
    <w:pPr>
      <w:spacing w:after="120" w:afterLines="0"/>
      <w:ind w:left="420" w:leftChars="200"/>
    </w:pPr>
    <w:rPr>
      <w:sz w:val="16"/>
      <w:szCs w:val="16"/>
    </w:rPr>
  </w:style>
  <w:style w:type="paragraph" w:styleId="31">
    <w:name w:val="toc 2"/>
    <w:basedOn w:val="1"/>
    <w:next w:val="1"/>
    <w:qFormat/>
    <w:uiPriority w:val="39"/>
    <w:pPr>
      <w:ind w:left="420" w:leftChars="200"/>
    </w:pPr>
  </w:style>
  <w:style w:type="paragraph" w:styleId="32">
    <w:name w:val="Body Text 2"/>
    <w:basedOn w:val="1"/>
    <w:qFormat/>
    <w:uiPriority w:val="0"/>
    <w:pPr>
      <w:spacing w:after="120" w:afterLines="0" w:line="480" w:lineRule="auto"/>
    </w:p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4">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35">
    <w:name w:val="index 1"/>
    <w:basedOn w:val="1"/>
    <w:next w:val="1"/>
    <w:qFormat/>
    <w:uiPriority w:val="0"/>
    <w:pPr>
      <w:spacing w:line="220" w:lineRule="exact"/>
      <w:jc w:val="center"/>
    </w:pPr>
    <w:rPr>
      <w:rFonts w:ascii="仿宋_GB2312" w:eastAsia="仿宋_GB2312"/>
      <w:szCs w:val="20"/>
    </w:rPr>
  </w:style>
  <w:style w:type="paragraph" w:styleId="36">
    <w:name w:val="Title"/>
    <w:basedOn w:val="1"/>
    <w:next w:val="1"/>
    <w:link w:val="62"/>
    <w:qFormat/>
    <w:uiPriority w:val="0"/>
    <w:pPr>
      <w:spacing w:line="360" w:lineRule="auto"/>
      <w:jc w:val="center"/>
      <w:outlineLvl w:val="0"/>
    </w:pPr>
    <w:rPr>
      <w:rFonts w:ascii="Cambria" w:hAnsi="Cambria"/>
      <w:b/>
      <w:bCs/>
      <w:sz w:val="36"/>
      <w:szCs w:val="32"/>
    </w:rPr>
  </w:style>
  <w:style w:type="paragraph" w:styleId="37">
    <w:name w:val="annotation subject"/>
    <w:basedOn w:val="13"/>
    <w:next w:val="13"/>
    <w:qFormat/>
    <w:uiPriority w:val="0"/>
    <w:rPr>
      <w:b/>
      <w:bCs/>
    </w:rPr>
  </w:style>
  <w:style w:type="paragraph" w:styleId="38">
    <w:name w:val="Body Text First Indent"/>
    <w:basedOn w:val="39"/>
    <w:unhideWhenUsed/>
    <w:qFormat/>
    <w:uiPriority w:val="99"/>
    <w:pPr>
      <w:ind w:firstLine="420" w:firstLineChars="100"/>
    </w:pPr>
    <w:rPr>
      <w:szCs w:val="22"/>
    </w:rPr>
  </w:style>
  <w:style w:type="paragraph" w:customStyle="1" w:styleId="39">
    <w:name w:val="正文文本_0"/>
    <w:basedOn w:val="40"/>
    <w:semiHidden/>
    <w:qFormat/>
    <w:uiPriority w:val="0"/>
    <w:pPr>
      <w:spacing w:before="100" w:beforeAutospacing="1" w:after="120"/>
    </w:pPr>
    <w:rPr>
      <w:rFonts w:ascii="Calibri" w:hAnsi="Calibri"/>
      <w:szCs w:val="21"/>
    </w:rPr>
  </w:style>
  <w:style w:type="paragraph" w:customStyle="1" w:styleId="40">
    <w:name w:val="正文_1_0"/>
    <w:basedOn w:val="41"/>
    <w:next w:val="43"/>
    <w:qFormat/>
    <w:uiPriority w:val="0"/>
    <w:pPr>
      <w:widowControl w:val="0"/>
      <w:jc w:val="both"/>
    </w:pPr>
    <w:rPr>
      <w:rFonts w:ascii="Calibri" w:hAnsi="Calibri"/>
      <w:kern w:val="2"/>
      <w:sz w:val="21"/>
      <w:szCs w:val="22"/>
      <w:lang w:val="en-US" w:eastAsia="zh-CN" w:bidi="ar-SA"/>
    </w:rPr>
  </w:style>
  <w:style w:type="paragraph" w:customStyle="1" w:styleId="41">
    <w:name w:val="正文_2"/>
    <w:next w:val="4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文本_1"/>
    <w:basedOn w:val="40"/>
    <w:qFormat/>
    <w:uiPriority w:val="0"/>
    <w:pPr>
      <w:adjustRightInd w:val="0"/>
      <w:spacing w:after="60" w:line="360" w:lineRule="atLeast"/>
      <w:ind w:left="72" w:leftChars="30" w:right="30" w:rightChars="30"/>
      <w:jc w:val="center"/>
      <w:textAlignment w:val="baseline"/>
    </w:pPr>
    <w:rPr>
      <w:rFonts w:ascii="Calibri" w:hAnsi="Calibri" w:eastAsia="宋体"/>
    </w:rPr>
  </w:style>
  <w:style w:type="paragraph" w:customStyle="1" w:styleId="43">
    <w:name w:val="正文首行缩进1"/>
    <w:basedOn w:val="44"/>
    <w:unhideWhenUsed/>
    <w:qFormat/>
    <w:uiPriority w:val="99"/>
    <w:pPr>
      <w:ind w:firstLine="420" w:firstLineChars="100"/>
    </w:pPr>
    <w:rPr>
      <w:szCs w:val="22"/>
    </w:rPr>
  </w:style>
  <w:style w:type="paragraph" w:customStyle="1" w:styleId="44">
    <w:name w:val="正文文本_0_0"/>
    <w:basedOn w:val="45"/>
    <w:qFormat/>
    <w:uiPriority w:val="0"/>
    <w:pPr>
      <w:spacing w:before="100" w:beforeAutospacing="1" w:after="120"/>
    </w:pPr>
    <w:rPr>
      <w:rFonts w:ascii="Calibri" w:hAnsi="Calibri"/>
    </w:rPr>
  </w:style>
  <w:style w:type="paragraph" w:customStyle="1" w:styleId="45">
    <w:name w:val="正文_1_3"/>
    <w:qFormat/>
    <w:uiPriority w:val="0"/>
    <w:pPr>
      <w:widowControl w:val="0"/>
      <w:jc w:val="both"/>
    </w:pPr>
    <w:rPr>
      <w:rFonts w:ascii="Calibri" w:hAnsi="Calibri" w:eastAsia="宋体" w:cs="Times New Roman"/>
      <w:kern w:val="2"/>
      <w:sz w:val="21"/>
      <w:szCs w:val="22"/>
      <w:lang w:val="en-US" w:eastAsia="zh-CN" w:bidi="ar-SA"/>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qFormat/>
    <w:uiPriority w:val="0"/>
  </w:style>
  <w:style w:type="character" w:styleId="51">
    <w:name w:val="FollowedHyperlink"/>
    <w:qFormat/>
    <w:uiPriority w:val="0"/>
    <w:rPr>
      <w:color w:val="800080"/>
      <w:u w:val="single"/>
    </w:rPr>
  </w:style>
  <w:style w:type="character" w:styleId="52">
    <w:name w:val="Hyperlink"/>
    <w:qFormat/>
    <w:uiPriority w:val="99"/>
    <w:rPr>
      <w:color w:val="136EC2"/>
      <w:u w:val="single"/>
    </w:rPr>
  </w:style>
  <w:style w:type="character" w:styleId="53">
    <w:name w:val="annotation reference"/>
    <w:qFormat/>
    <w:uiPriority w:val="0"/>
    <w:rPr>
      <w:sz w:val="21"/>
      <w:szCs w:val="21"/>
    </w:rPr>
  </w:style>
  <w:style w:type="character" w:customStyle="1" w:styleId="54">
    <w:name w:val="标题 1 Char"/>
    <w:link w:val="2"/>
    <w:qFormat/>
    <w:uiPriority w:val="0"/>
    <w:rPr>
      <w:b/>
      <w:bCs/>
      <w:sz w:val="24"/>
      <w:szCs w:val="20"/>
    </w:rPr>
  </w:style>
  <w:style w:type="character" w:customStyle="1" w:styleId="55">
    <w:name w:val="标题 2 Char"/>
    <w:link w:val="3"/>
    <w:qFormat/>
    <w:uiPriority w:val="0"/>
    <w:rPr>
      <w:rFonts w:ascii="Arial" w:hAnsi="Arial"/>
      <w:b/>
      <w:bCs/>
      <w:sz w:val="24"/>
      <w:szCs w:val="32"/>
    </w:rPr>
  </w:style>
  <w:style w:type="character" w:customStyle="1" w:styleId="56">
    <w:name w:val="标题 3 Char"/>
    <w:link w:val="4"/>
    <w:qFormat/>
    <w:uiPriority w:val="0"/>
    <w:rPr>
      <w:rFonts w:eastAsia="宋体"/>
      <w:b/>
      <w:bCs/>
      <w:kern w:val="2"/>
      <w:sz w:val="32"/>
      <w:szCs w:val="32"/>
      <w:lang w:val="en-US" w:eastAsia="zh-CN" w:bidi="ar-SA"/>
    </w:rPr>
  </w:style>
  <w:style w:type="character" w:customStyle="1" w:styleId="57">
    <w:name w:val="批注文字 Char"/>
    <w:link w:val="13"/>
    <w:qFormat/>
    <w:uiPriority w:val="0"/>
    <w:rPr>
      <w:kern w:val="2"/>
      <w:sz w:val="21"/>
      <w:szCs w:val="24"/>
    </w:rPr>
  </w:style>
  <w:style w:type="character" w:customStyle="1" w:styleId="58">
    <w:name w:val="正文文本 3 Char"/>
    <w:link w:val="16"/>
    <w:qFormat/>
    <w:uiPriority w:val="0"/>
    <w:rPr>
      <w:kern w:val="2"/>
      <w:sz w:val="16"/>
      <w:szCs w:val="16"/>
    </w:rPr>
  </w:style>
  <w:style w:type="character" w:customStyle="1" w:styleId="59">
    <w:name w:val="正文文本 Char"/>
    <w:link w:val="17"/>
    <w:qFormat/>
    <w:uiPriority w:val="0"/>
    <w:rPr>
      <w:kern w:val="2"/>
      <w:sz w:val="21"/>
      <w:szCs w:val="24"/>
    </w:rPr>
  </w:style>
  <w:style w:type="character" w:customStyle="1" w:styleId="60">
    <w:name w:val="纯文本 Char"/>
    <w:link w:val="21"/>
    <w:qFormat/>
    <w:uiPriority w:val="0"/>
    <w:rPr>
      <w:rFonts w:ascii="宋体" w:hAnsi="Courier New" w:cs="Courier New"/>
      <w:kern w:val="2"/>
      <w:sz w:val="21"/>
      <w:szCs w:val="21"/>
    </w:rPr>
  </w:style>
  <w:style w:type="character" w:customStyle="1" w:styleId="61">
    <w:name w:val="页脚 Char"/>
    <w:link w:val="25"/>
    <w:qFormat/>
    <w:uiPriority w:val="0"/>
    <w:rPr>
      <w:rFonts w:ascii="Calibri" w:hAnsi="Calibri"/>
      <w:kern w:val="2"/>
      <w:sz w:val="18"/>
      <w:szCs w:val="18"/>
    </w:rPr>
  </w:style>
  <w:style w:type="character" w:customStyle="1" w:styleId="62">
    <w:name w:val="标题 Char"/>
    <w:link w:val="36"/>
    <w:qFormat/>
    <w:uiPriority w:val="0"/>
    <w:rPr>
      <w:rFonts w:ascii="Cambria" w:hAnsi="Cambria" w:eastAsia="宋体"/>
      <w:b/>
      <w:bCs/>
      <w:kern w:val="2"/>
      <w:sz w:val="36"/>
      <w:szCs w:val="32"/>
      <w:lang w:val="en-US" w:eastAsia="zh-CN" w:bidi="ar-SA"/>
    </w:rPr>
  </w:style>
  <w:style w:type="paragraph" w:customStyle="1" w:styleId="63">
    <w:name w:val="标准正文-lp"/>
    <w:basedOn w:val="1"/>
    <w:qFormat/>
    <w:uiPriority w:val="0"/>
    <w:pPr>
      <w:ind w:firstLine="480"/>
    </w:pPr>
    <w:rPr>
      <w:rFonts w:ascii="Calibri" w:hAnsi="Calibri" w:eastAsia="仿宋_GB2312"/>
      <w:kern w:val="0"/>
      <w:szCs w:val="20"/>
    </w:rPr>
  </w:style>
  <w:style w:type="character" w:customStyle="1" w:styleId="64">
    <w:name w:val="txt7"/>
    <w:qFormat/>
    <w:uiPriority w:val="0"/>
  </w:style>
  <w:style w:type="character" w:customStyle="1" w:styleId="65">
    <w:name w:val=" Char Char5"/>
    <w:link w:val="66"/>
    <w:semiHidden/>
    <w:qFormat/>
    <w:uiPriority w:val="9"/>
    <w:rPr>
      <w:rFonts w:ascii="Times New Roman" w:hAnsi="Times New Roman" w:eastAsia="宋体" w:cs="Times New Roman"/>
      <w:b/>
      <w:bCs/>
      <w:sz w:val="32"/>
      <w:szCs w:val="32"/>
    </w:rPr>
  </w:style>
  <w:style w:type="paragraph" w:customStyle="1" w:styleId="66">
    <w:name w:val="标题 3_0"/>
    <w:basedOn w:val="67"/>
    <w:next w:val="67"/>
    <w:link w:val="65"/>
    <w:qFormat/>
    <w:uiPriority w:val="9"/>
    <w:pPr>
      <w:keepNext/>
      <w:keepLines/>
      <w:spacing w:before="260" w:after="260" w:line="416" w:lineRule="auto"/>
      <w:outlineLvl w:val="2"/>
    </w:pPr>
    <w:rPr>
      <w:b/>
      <w:bCs/>
      <w:kern w:val="0"/>
      <w:sz w:val="32"/>
      <w:szCs w:val="32"/>
    </w:rPr>
  </w:style>
  <w:style w:type="paragraph" w:customStyle="1" w:styleId="67">
    <w:name w:val="正文_3"/>
    <w:basedOn w:val="41"/>
    <w:next w:val="38"/>
    <w:qFormat/>
    <w:uiPriority w:val="0"/>
    <w:pPr>
      <w:widowControl w:val="0"/>
      <w:jc w:val="both"/>
    </w:pPr>
    <w:rPr>
      <w:kern w:val="2"/>
      <w:sz w:val="21"/>
      <w:szCs w:val="24"/>
      <w:lang w:val="en-US" w:eastAsia="zh-CN" w:bidi="ar-SA"/>
    </w:rPr>
  </w:style>
  <w:style w:type="character" w:customStyle="1" w:styleId="68">
    <w:name w:val=" Char Char3"/>
    <w:link w:val="69"/>
    <w:semiHidden/>
    <w:qFormat/>
    <w:uiPriority w:val="0"/>
    <w:rPr>
      <w:b/>
      <w:bCs/>
      <w:kern w:val="2"/>
      <w:sz w:val="32"/>
      <w:szCs w:val="32"/>
    </w:rPr>
  </w:style>
  <w:style w:type="paragraph" w:customStyle="1" w:styleId="69">
    <w:name w:val="标题 3_1"/>
    <w:basedOn w:val="70"/>
    <w:next w:val="70"/>
    <w:link w:val="68"/>
    <w:qFormat/>
    <w:uiPriority w:val="0"/>
    <w:pPr>
      <w:keepNext/>
      <w:keepLines/>
      <w:spacing w:before="260" w:after="260" w:line="412" w:lineRule="auto"/>
      <w:outlineLvl w:val="2"/>
    </w:pPr>
    <w:rPr>
      <w:rFonts w:ascii="Calibri" w:hAnsi="Calibri" w:eastAsia="宋体" w:cs="Times New Roman"/>
      <w:b/>
      <w:bCs/>
      <w:sz w:val="32"/>
      <w:szCs w:val="32"/>
    </w:rPr>
  </w:style>
  <w:style w:type="paragraph" w:customStyle="1" w:styleId="70">
    <w:name w:val="正文_9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71">
    <w:name w:val="标题 2 Char Char"/>
    <w:qFormat/>
    <w:uiPriority w:val="0"/>
    <w:rPr>
      <w:rFonts w:ascii="Arial" w:hAnsi="Arial" w:eastAsia="黑体" w:cs="Times New Roman"/>
      <w:b/>
      <w:bCs/>
      <w:kern w:val="2"/>
      <w:sz w:val="32"/>
      <w:szCs w:val="32"/>
      <w:lang w:val="en-US" w:eastAsia="zh-CN" w:bidi="ar-SA"/>
    </w:rPr>
  </w:style>
  <w:style w:type="character" w:customStyle="1" w:styleId="72">
    <w:name w:val=" Char Char_0"/>
    <w:link w:val="73"/>
    <w:qFormat/>
    <w:uiPriority w:val="0"/>
    <w:rPr>
      <w:rFonts w:ascii="宋体" w:hAnsi="Courier New" w:cs="Courier New"/>
      <w:kern w:val="2"/>
      <w:sz w:val="21"/>
      <w:szCs w:val="21"/>
    </w:rPr>
  </w:style>
  <w:style w:type="paragraph" w:customStyle="1" w:styleId="73">
    <w:name w:val="纯文本_1"/>
    <w:basedOn w:val="74"/>
    <w:link w:val="72"/>
    <w:qFormat/>
    <w:uiPriority w:val="0"/>
    <w:rPr>
      <w:rFonts w:ascii="宋体" w:hAnsi="Courier New" w:eastAsia="宋体" w:cs="Courier New"/>
      <w:szCs w:val="21"/>
    </w:rPr>
  </w:style>
  <w:style w:type="paragraph" w:customStyle="1" w:styleId="74">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75">
    <w:name w:val="apple-converted-space"/>
    <w:qFormat/>
    <w:uiPriority w:val="0"/>
  </w:style>
  <w:style w:type="character" w:customStyle="1" w:styleId="76">
    <w:name w:val=" Char Char6"/>
    <w:link w:val="77"/>
    <w:qFormat/>
    <w:uiPriority w:val="0"/>
    <w:rPr>
      <w:rFonts w:ascii="Arial" w:hAnsi="Arial" w:eastAsia="宋体" w:cs="Times New Roman"/>
      <w:sz w:val="24"/>
      <w:szCs w:val="32"/>
    </w:rPr>
  </w:style>
  <w:style w:type="paragraph" w:customStyle="1" w:styleId="77">
    <w:name w:val="标题 2_0"/>
    <w:basedOn w:val="66"/>
    <w:next w:val="67"/>
    <w:link w:val="76"/>
    <w:qFormat/>
    <w:uiPriority w:val="0"/>
    <w:pPr>
      <w:spacing w:line="360" w:lineRule="auto"/>
      <w:outlineLvl w:val="1"/>
    </w:pPr>
    <w:rPr>
      <w:rFonts w:ascii="Arial" w:hAnsi="Arial"/>
      <w:b w:val="0"/>
      <w:bCs w:val="0"/>
      <w:sz w:val="24"/>
    </w:rPr>
  </w:style>
  <w:style w:type="character" w:customStyle="1" w:styleId="78">
    <w:name w:val="font01"/>
    <w:qFormat/>
    <w:uiPriority w:val="0"/>
    <w:rPr>
      <w:rFonts w:hint="eastAsia" w:ascii="宋体" w:hAnsi="宋体" w:eastAsia="宋体" w:cs="宋体"/>
      <w:color w:val="000000"/>
      <w:sz w:val="22"/>
      <w:szCs w:val="22"/>
      <w:u w:val="none"/>
      <w:vertAlign w:val="superscript"/>
    </w:rPr>
  </w:style>
  <w:style w:type="character" w:customStyle="1" w:styleId="79">
    <w:name w:val="p0 Char"/>
    <w:link w:val="80"/>
    <w:qFormat/>
    <w:uiPriority w:val="0"/>
    <w:rPr>
      <w:rFonts w:eastAsia="宋体"/>
      <w:sz w:val="21"/>
      <w:szCs w:val="21"/>
      <w:lang w:val="en-US" w:eastAsia="zh-CN" w:bidi="ar-SA"/>
    </w:rPr>
  </w:style>
  <w:style w:type="paragraph" w:customStyle="1" w:styleId="80">
    <w:name w:val="p0"/>
    <w:basedOn w:val="81"/>
    <w:link w:val="79"/>
    <w:qFormat/>
    <w:uiPriority w:val="0"/>
    <w:pPr>
      <w:widowControl/>
    </w:pPr>
    <w:rPr>
      <w:kern w:val="0"/>
      <w:szCs w:val="21"/>
    </w:rPr>
  </w:style>
  <w:style w:type="paragraph" w:customStyle="1" w:styleId="81">
    <w:name w:val="正文_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82">
    <w:name w:val=" Char Char"/>
    <w:link w:val="83"/>
    <w:qFormat/>
    <w:uiPriority w:val="0"/>
    <w:rPr>
      <w:rFonts w:ascii="Times New Roman" w:hAnsi="Times New Roman" w:eastAsia="宋体" w:cs="Times New Roman"/>
      <w:szCs w:val="24"/>
    </w:rPr>
  </w:style>
  <w:style w:type="paragraph" w:customStyle="1" w:styleId="83">
    <w:name w:val="正文文本缩进_0"/>
    <w:basedOn w:val="67"/>
    <w:link w:val="82"/>
    <w:qFormat/>
    <w:uiPriority w:val="0"/>
    <w:pPr>
      <w:spacing w:after="120"/>
      <w:ind w:left="420" w:leftChars="200"/>
    </w:pPr>
    <w:rPr>
      <w:rFonts w:ascii="Calibri" w:hAnsi="Calibri"/>
      <w:kern w:val="0"/>
      <w:sz w:val="20"/>
    </w:rPr>
  </w:style>
  <w:style w:type="character" w:customStyle="1" w:styleId="84">
    <w:name w:val=" Char Char2"/>
    <w:link w:val="85"/>
    <w:qFormat/>
    <w:uiPriority w:val="0"/>
    <w:rPr>
      <w:rFonts w:ascii="宋体" w:hAnsi="Courier New" w:cs="Courier New"/>
      <w:szCs w:val="21"/>
    </w:rPr>
  </w:style>
  <w:style w:type="paragraph" w:customStyle="1" w:styleId="85">
    <w:name w:val="纯文本_0"/>
    <w:basedOn w:val="41"/>
    <w:link w:val="84"/>
    <w:qFormat/>
    <w:uiPriority w:val="0"/>
    <w:rPr>
      <w:rFonts w:ascii="宋体" w:hAnsi="Courier New"/>
      <w:kern w:val="0"/>
      <w:sz w:val="20"/>
      <w:szCs w:val="21"/>
    </w:rPr>
  </w:style>
  <w:style w:type="paragraph" w:customStyle="1" w:styleId="86">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87">
    <w:name w:val="正文_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6_2_0"/>
    <w:basedOn w:val="89"/>
    <w:qFormat/>
    <w:uiPriority w:val="0"/>
    <w:rPr>
      <w:rFonts w:ascii="Calibri" w:hAnsi="Calibri" w:eastAsia="宋体"/>
    </w:rPr>
  </w:style>
  <w:style w:type="paragraph" w:customStyle="1" w:styleId="89">
    <w:name w:val="正文_6_2_1"/>
    <w:basedOn w:val="90"/>
    <w:qFormat/>
    <w:uiPriority w:val="0"/>
    <w:rPr>
      <w:rFonts w:ascii="Calibri" w:hAnsi="Calibri" w:eastAsia="宋体" w:cs="宋体"/>
      <w:szCs w:val="21"/>
    </w:rPr>
  </w:style>
  <w:style w:type="paragraph" w:customStyle="1" w:styleId="90">
    <w:name w:val="正文_6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Normal_5"/>
    <w:link w:val="92"/>
    <w:qFormat/>
    <w:uiPriority w:val="0"/>
    <w:rPr>
      <w:rFonts w:ascii="黑体" w:hAnsi="黑体" w:eastAsia="黑体" w:cs="Times New Roman"/>
      <w:b/>
      <w:sz w:val="32"/>
      <w:szCs w:val="24"/>
      <w:lang w:bidi="ar-SA"/>
    </w:rPr>
  </w:style>
  <w:style w:type="character" w:customStyle="1" w:styleId="92">
    <w:name w:val="Normal_5 Char"/>
    <w:link w:val="91"/>
    <w:qFormat/>
    <w:uiPriority w:val="0"/>
    <w:rPr>
      <w:rFonts w:ascii="黑体" w:hAnsi="黑体" w:eastAsia="黑体"/>
      <w:b/>
      <w:sz w:val="32"/>
      <w:szCs w:val="24"/>
      <w:lang w:bidi="ar-SA"/>
    </w:rPr>
  </w:style>
  <w:style w:type="paragraph" w:customStyle="1" w:styleId="93">
    <w:name w:val="Normal_2"/>
    <w:qFormat/>
    <w:uiPriority w:val="0"/>
    <w:rPr>
      <w:rFonts w:ascii="黑体" w:hAnsi="黑体" w:eastAsia="黑体" w:cs="Times New Roman"/>
      <w:b/>
      <w:sz w:val="32"/>
      <w:szCs w:val="24"/>
      <w:lang w:bidi="ar-SA"/>
    </w:rPr>
  </w:style>
  <w:style w:type="paragraph" w:customStyle="1" w:styleId="94">
    <w:name w:val="Normal"/>
    <w:basedOn w:val="95"/>
    <w:qFormat/>
    <w:uiPriority w:val="0"/>
    <w:pPr>
      <w:jc w:val="both"/>
    </w:pPr>
    <w:rPr>
      <w:kern w:val="2"/>
      <w:sz w:val="21"/>
      <w:szCs w:val="21"/>
      <w:lang w:val="en-US" w:eastAsia="zh-CN" w:bidi="ar-SA"/>
    </w:rPr>
  </w:style>
  <w:style w:type="paragraph" w:customStyle="1" w:styleId="95">
    <w:name w:val="正文_0"/>
    <w:basedOn w:val="96"/>
    <w:qFormat/>
    <w:uiPriority w:val="0"/>
    <w:rPr>
      <w:rFonts w:ascii="Times New Roman" w:hAnsi="Times New Roman"/>
      <w:szCs w:val="21"/>
    </w:rPr>
  </w:style>
  <w:style w:type="paragraph" w:customStyle="1" w:styleId="96">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0"/>
    <w:basedOn w:val="98"/>
    <w:qFormat/>
    <w:uiPriority w:val="0"/>
    <w:pPr>
      <w:widowControl w:val="0"/>
      <w:jc w:val="both"/>
    </w:pPr>
    <w:rPr>
      <w:rFonts w:ascii="Calibri" w:hAnsi="Calibri"/>
      <w:kern w:val="2"/>
      <w:sz w:val="21"/>
      <w:szCs w:val="22"/>
      <w:lang w:val="en-US" w:eastAsia="zh-CN" w:bidi="ar-SA"/>
    </w:rPr>
  </w:style>
  <w:style w:type="paragraph" w:customStyle="1" w:styleId="98">
    <w:name w:val="正文_7"/>
    <w:basedOn w:val="99"/>
    <w:qFormat/>
    <w:uiPriority w:val="0"/>
    <w:rPr>
      <w:rFonts w:ascii="Times New Roman" w:hAnsi="Times New Roman"/>
      <w:szCs w:val="21"/>
    </w:rPr>
  </w:style>
  <w:style w:type="paragraph" w:customStyle="1" w:styleId="99">
    <w:name w:val="正文_6"/>
    <w:next w:val="10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列表_1"/>
    <w:basedOn w:val="99"/>
    <w:semiHidden/>
    <w:qFormat/>
    <w:locked/>
    <w:uiPriority w:val="0"/>
    <w:pPr>
      <w:ind w:left="200" w:hanging="200" w:hangingChars="200"/>
    </w:pPr>
  </w:style>
  <w:style w:type="paragraph" w:customStyle="1" w:styleId="101">
    <w:name w:val=" Char Char Char1 Char"/>
    <w:basedOn w:val="1"/>
    <w:qFormat/>
    <w:uiPriority w:val="0"/>
    <w:pPr>
      <w:tabs>
        <w:tab w:val="left" w:pos="360"/>
      </w:tabs>
      <w:snapToGrid w:val="0"/>
      <w:spacing w:line="360" w:lineRule="auto"/>
    </w:pPr>
    <w:rPr>
      <w:rFonts w:eastAsia="仿宋_GB2312" w:cs="宋体"/>
      <w:sz w:val="24"/>
    </w:rPr>
  </w:style>
  <w:style w:type="paragraph" w:customStyle="1" w:styleId="102">
    <w:name w:val="正文_1_0_0"/>
    <w:basedOn w:val="103"/>
    <w:qFormat/>
    <w:uiPriority w:val="0"/>
    <w:rPr>
      <w:rFonts w:ascii="Times New Roman" w:hAnsi="Times New Roman" w:eastAsia="宋体"/>
      <w:szCs w:val="21"/>
    </w:rPr>
  </w:style>
  <w:style w:type="paragraph" w:customStyle="1" w:styleId="103">
    <w:name w:val="正文_1_1"/>
    <w:basedOn w:val="40"/>
    <w:next w:val="104"/>
    <w:qFormat/>
    <w:uiPriority w:val="0"/>
    <w:pPr>
      <w:widowControl w:val="0"/>
      <w:jc w:val="both"/>
    </w:pPr>
    <w:rPr>
      <w:rFonts w:ascii="Calibri" w:hAnsi="Calibri"/>
      <w:kern w:val="2"/>
      <w:sz w:val="21"/>
      <w:szCs w:val="22"/>
      <w:lang w:val="en-US" w:eastAsia="zh-CN" w:bidi="ar-SA"/>
    </w:rPr>
  </w:style>
  <w:style w:type="paragraph" w:customStyle="1" w:styleId="104">
    <w:name w:val="正文首行缩进_0"/>
    <w:basedOn w:val="105"/>
    <w:unhideWhenUsed/>
    <w:qFormat/>
    <w:uiPriority w:val="99"/>
    <w:pPr>
      <w:ind w:firstLine="420" w:firstLineChars="100"/>
    </w:pPr>
    <w:rPr>
      <w:szCs w:val="22"/>
    </w:rPr>
  </w:style>
  <w:style w:type="paragraph" w:customStyle="1" w:styleId="105">
    <w:name w:val="正文文本_0_1"/>
    <w:basedOn w:val="106"/>
    <w:qFormat/>
    <w:uiPriority w:val="0"/>
    <w:pPr>
      <w:adjustRightInd w:val="0"/>
      <w:spacing w:after="60" w:line="360" w:lineRule="atLeast"/>
      <w:ind w:left="72" w:leftChars="30" w:right="30" w:rightChars="30"/>
      <w:jc w:val="center"/>
      <w:textAlignment w:val="baseline"/>
    </w:pPr>
    <w:rPr>
      <w:rFonts w:ascii="Calibri" w:hAnsi="Calibri" w:eastAsia="宋体"/>
    </w:rPr>
  </w:style>
  <w:style w:type="paragraph" w:customStyle="1" w:styleId="106">
    <w:name w:val="正文_1_0_2"/>
    <w:next w:val="10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Body Text First Indent_1"/>
    <w:basedOn w:val="108"/>
    <w:unhideWhenUsed/>
    <w:qFormat/>
    <w:uiPriority w:val="99"/>
    <w:pPr>
      <w:ind w:firstLine="420" w:firstLineChars="100"/>
    </w:pPr>
    <w:rPr>
      <w:szCs w:val="22"/>
    </w:rPr>
  </w:style>
  <w:style w:type="paragraph" w:customStyle="1" w:styleId="108">
    <w:name w:val="正文文本_0_0_1"/>
    <w:basedOn w:val="109"/>
    <w:qFormat/>
    <w:uiPriority w:val="0"/>
    <w:pPr>
      <w:spacing w:after="120"/>
    </w:pPr>
  </w:style>
  <w:style w:type="paragraph" w:customStyle="1" w:styleId="109">
    <w:name w:val="正文_12_0_1"/>
    <w:basedOn w:val="110"/>
    <w:qFormat/>
    <w:uiPriority w:val="0"/>
    <w:rPr>
      <w:rFonts w:cs="Calibri"/>
      <w:szCs w:val="21"/>
    </w:rPr>
  </w:style>
  <w:style w:type="paragraph" w:customStyle="1" w:styleId="110">
    <w:name w:val="正文_13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
    <w:name w:val="样式1"/>
    <w:basedOn w:val="1"/>
    <w:qFormat/>
    <w:uiPriority w:val="0"/>
    <w:pPr>
      <w:tabs>
        <w:tab w:val="left" w:pos="360"/>
      </w:tabs>
      <w:adjustRightInd w:val="0"/>
      <w:ind w:left="360" w:hanging="360"/>
      <w:textAlignment w:val="baseline"/>
    </w:pPr>
    <w:rPr>
      <w:rFonts w:ascii="宋体" w:hAnsi="宋体"/>
      <w:kern w:val="0"/>
      <w:szCs w:val="21"/>
    </w:rPr>
  </w:style>
  <w:style w:type="paragraph" w:customStyle="1" w:styleId="112">
    <w:name w:val="1"/>
    <w:basedOn w:val="1"/>
    <w:qFormat/>
    <w:uiPriority w:val="0"/>
    <w:pPr>
      <w:spacing w:after="156" w:afterLines="50" w:line="360" w:lineRule="auto"/>
    </w:pPr>
    <w:rPr>
      <w:rFonts w:ascii="宋体" w:hAnsi="宋体"/>
      <w:b/>
      <w:sz w:val="30"/>
      <w:szCs w:val="21"/>
    </w:rPr>
  </w:style>
  <w:style w:type="paragraph" w:customStyle="1" w:styleId="113">
    <w:name w:val="List Paragraph1"/>
    <w:basedOn w:val="95"/>
    <w:qFormat/>
    <w:uiPriority w:val="0"/>
    <w:pPr>
      <w:ind w:firstLine="420" w:firstLineChars="200"/>
    </w:pPr>
  </w:style>
  <w:style w:type="paragraph" w:styleId="114">
    <w:name w:val="List Paragraph"/>
    <w:basedOn w:val="1"/>
    <w:qFormat/>
    <w:uiPriority w:val="34"/>
    <w:pPr>
      <w:ind w:firstLine="420" w:firstLineChars="200"/>
    </w:pPr>
    <w:rPr>
      <w:rFonts w:ascii="Calibri" w:hAnsi="Calibri"/>
      <w:szCs w:val="22"/>
    </w:rPr>
  </w:style>
  <w:style w:type="paragraph" w:customStyle="1" w:styleId="115">
    <w:name w:val="正文_8"/>
    <w:basedOn w:val="116"/>
    <w:qFormat/>
    <w:uiPriority w:val="0"/>
    <w:rPr>
      <w:rFonts w:cs="宋体"/>
      <w:szCs w:val="21"/>
    </w:rPr>
  </w:style>
  <w:style w:type="paragraph" w:customStyle="1" w:styleId="116">
    <w:name w:val="正文_9"/>
    <w:basedOn w:val="97"/>
    <w:qFormat/>
    <w:uiPriority w:val="0"/>
    <w:rPr>
      <w:rFonts w:ascii="Calibri" w:hAnsi="Calibri" w:cs="宋体"/>
      <w:szCs w:val="21"/>
    </w:rPr>
  </w:style>
  <w:style w:type="paragraph" w:customStyle="1" w:styleId="117">
    <w:name w:val="正文_4"/>
    <w:basedOn w:val="118"/>
    <w:qFormat/>
    <w:uiPriority w:val="0"/>
    <w:pPr>
      <w:widowControl w:val="0"/>
      <w:jc w:val="both"/>
    </w:pPr>
    <w:rPr>
      <w:rFonts w:ascii="Calibri" w:hAnsi="Calibri"/>
      <w:kern w:val="2"/>
      <w:sz w:val="21"/>
      <w:szCs w:val="22"/>
      <w:lang w:val="en-US" w:eastAsia="zh-CN" w:bidi="ar-SA"/>
    </w:rPr>
  </w:style>
  <w:style w:type="paragraph" w:customStyle="1" w:styleId="118">
    <w:name w:val="正文_0_1"/>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
    <w:name w:val="正文_6_1"/>
    <w:basedOn w:val="115"/>
    <w:qFormat/>
    <w:uiPriority w:val="0"/>
    <w:rPr>
      <w:rFonts w:ascii="Calibri" w:hAnsi="Calibri"/>
    </w:rPr>
  </w:style>
  <w:style w:type="paragraph" w:customStyle="1" w:styleId="120">
    <w:name w:val="正文_2_0_0_0"/>
    <w:basedOn w:val="121"/>
    <w:qFormat/>
    <w:uiPriority w:val="0"/>
    <w:rPr>
      <w:rFonts w:ascii="等线" w:hAnsi="等线"/>
    </w:rPr>
  </w:style>
  <w:style w:type="paragraph" w:customStyle="1" w:styleId="121">
    <w:name w:val="正文_4_0_0"/>
    <w:basedOn w:val="67"/>
    <w:qFormat/>
    <w:uiPriority w:val="0"/>
    <w:rPr>
      <w:rFonts w:ascii="Calibri" w:hAnsi="Calibri" w:cs="宋体"/>
      <w:szCs w:val="21"/>
    </w:rPr>
  </w:style>
  <w:style w:type="paragraph" w:customStyle="1" w:styleId="122">
    <w:name w:val="Normal_11"/>
    <w:qFormat/>
    <w:uiPriority w:val="0"/>
    <w:rPr>
      <w:rFonts w:ascii="黑体" w:hAnsi="黑体" w:eastAsia="黑体" w:cs="Times New Roman"/>
      <w:b/>
      <w:sz w:val="32"/>
      <w:szCs w:val="24"/>
      <w:lang w:bidi="ar-SA"/>
    </w:rPr>
  </w:style>
  <w:style w:type="paragraph" w:customStyle="1" w:styleId="123">
    <w:name w:val="Normal_6"/>
    <w:qFormat/>
    <w:uiPriority w:val="0"/>
    <w:rPr>
      <w:rFonts w:ascii="黑体" w:hAnsi="黑体" w:eastAsia="黑体" w:cs="Times New Roman"/>
      <w:b/>
      <w:sz w:val="32"/>
      <w:szCs w:val="24"/>
      <w:lang w:bidi="ar-SA"/>
    </w:rPr>
  </w:style>
  <w:style w:type="paragraph" w:customStyle="1" w:styleId="124">
    <w:name w:val="正文_4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正文_7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6">
    <w:name w:val="正文_2_1_1"/>
    <w:basedOn w:val="87"/>
    <w:qFormat/>
    <w:uiPriority w:val="0"/>
    <w:rPr>
      <w:rFonts w:ascii="等线" w:hAnsi="等线" w:eastAsia="宋体"/>
      <w:szCs w:val="21"/>
    </w:rPr>
  </w:style>
  <w:style w:type="paragraph" w:customStyle="1" w:styleId="127">
    <w:name w:val="xl25"/>
    <w:basedOn w:val="1"/>
    <w:qFormat/>
    <w:uiPriority w:val="0"/>
    <w:pPr>
      <w:widowControl/>
      <w:pBdr>
        <w:left w:val="single" w:color="auto" w:sz="4" w:space="0"/>
        <w:bottom w:val="single" w:color="auto" w:sz="4" w:space="0"/>
        <w:right w:val="double" w:color="auto" w:sz="6" w:space="0"/>
      </w:pBdr>
      <w:spacing w:before="100" w:beforeLines="0" w:beforeAutospacing="1" w:after="100" w:afterLines="0" w:afterAutospacing="1"/>
      <w:jc w:val="center"/>
    </w:pPr>
    <w:rPr>
      <w:rFonts w:ascii="Arial Unicode MS" w:hAnsi="Arial Unicode MS" w:eastAsia="Arial Unicode MS" w:cs="Arial Unicode MS"/>
      <w:kern w:val="0"/>
      <w:sz w:val="24"/>
    </w:rPr>
  </w:style>
  <w:style w:type="paragraph" w:customStyle="1" w:styleId="128">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Char Char1 Char Char Char Char Char1 Char Char Char Char"/>
    <w:basedOn w:val="12"/>
    <w:qFormat/>
    <w:uiPriority w:val="0"/>
    <w:rPr>
      <w:rFonts w:ascii="Tahoma" w:hAnsi="Tahoma"/>
    </w:rPr>
  </w:style>
  <w:style w:type="paragraph" w:customStyle="1" w:styleId="130">
    <w:name w:val="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131">
    <w:name w:val="正文_0_1_1"/>
    <w:basedOn w:val="96"/>
    <w:qFormat/>
    <w:uiPriority w:val="0"/>
    <w:rPr>
      <w:rFonts w:ascii="Calibri" w:hAnsi="Calibri" w:eastAsia="等线" w:cs="宋体"/>
      <w:szCs w:val="21"/>
    </w:rPr>
  </w:style>
  <w:style w:type="paragraph" w:customStyle="1" w:styleId="132">
    <w:name w:val="正文_6_1_0"/>
    <w:basedOn w:val="133"/>
    <w:qFormat/>
    <w:uiPriority w:val="0"/>
    <w:rPr>
      <w:rFonts w:ascii="Calibri" w:hAnsi="Calibri" w:eastAsia="宋体" w:cs="宋体"/>
      <w:szCs w:val="21"/>
    </w:rPr>
  </w:style>
  <w:style w:type="paragraph" w:customStyle="1" w:styleId="133">
    <w:name w:val="正文_7_1_0"/>
    <w:basedOn w:val="134"/>
    <w:qFormat/>
    <w:uiPriority w:val="0"/>
    <w:rPr>
      <w:rFonts w:ascii="Calibri" w:hAnsi="Calibri" w:eastAsia="宋体" w:cs="宋体"/>
      <w:szCs w:val="21"/>
    </w:rPr>
  </w:style>
  <w:style w:type="paragraph" w:customStyle="1" w:styleId="134">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
    <w:name w:val="Normal_4"/>
    <w:qFormat/>
    <w:uiPriority w:val="0"/>
    <w:rPr>
      <w:rFonts w:ascii="黑体" w:hAnsi="黑体" w:eastAsia="黑体" w:cs="Times New Roman"/>
      <w:b/>
      <w:sz w:val="32"/>
      <w:szCs w:val="24"/>
      <w:lang w:bidi="ar-SA"/>
    </w:rPr>
  </w:style>
  <w:style w:type="paragraph" w:customStyle="1" w:styleId="136">
    <w:name w:val="标题 4_1"/>
    <w:basedOn w:val="137"/>
    <w:next w:val="137"/>
    <w:qFormat/>
    <w:uiPriority w:val="0"/>
    <w:pPr>
      <w:keepNext/>
      <w:keepLines/>
      <w:spacing w:before="120" w:after="120" w:line="360" w:lineRule="auto"/>
      <w:ind w:left="851" w:hanging="851"/>
      <w:outlineLvl w:val="3"/>
    </w:pPr>
    <w:rPr>
      <w:rFonts w:ascii="Times New Roman" w:hAnsi="Times New Roman" w:cs="Times New Roman"/>
      <w:b/>
      <w:bCs/>
      <w:kern w:val="0"/>
      <w:sz w:val="24"/>
      <w:szCs w:val="24"/>
    </w:rPr>
  </w:style>
  <w:style w:type="paragraph" w:customStyle="1" w:styleId="137">
    <w:name w:val="正文_6_0_0"/>
    <w:basedOn w:val="138"/>
    <w:qFormat/>
    <w:uiPriority w:val="0"/>
    <w:rPr>
      <w:rFonts w:ascii="Calibri" w:hAnsi="Calibri"/>
    </w:rPr>
  </w:style>
  <w:style w:type="paragraph" w:customStyle="1" w:styleId="138">
    <w:name w:val="正文_7_0"/>
    <w:basedOn w:val="139"/>
    <w:qFormat/>
    <w:uiPriority w:val="0"/>
    <w:rPr>
      <w:rFonts w:ascii="Calibri" w:hAnsi="Calibri"/>
    </w:rPr>
  </w:style>
  <w:style w:type="paragraph" w:customStyle="1" w:styleId="139">
    <w:name w:val="正文_7_1"/>
    <w:basedOn w:val="115"/>
    <w:qFormat/>
    <w:uiPriority w:val="0"/>
    <w:pPr>
      <w:widowControl w:val="0"/>
      <w:jc w:val="both"/>
    </w:pPr>
    <w:rPr>
      <w:rFonts w:ascii="Calibri" w:hAnsi="Calibri"/>
      <w:kern w:val="2"/>
      <w:sz w:val="21"/>
      <w:szCs w:val="22"/>
      <w:lang w:val="en-US" w:eastAsia="zh-CN" w:bidi="ar-SA"/>
    </w:rPr>
  </w:style>
  <w:style w:type="paragraph" w:customStyle="1" w:styleId="140">
    <w:name w:val="正文_1_0_0_0"/>
    <w:basedOn w:val="139"/>
    <w:qFormat/>
    <w:uiPriority w:val="0"/>
    <w:rPr>
      <w:rFonts w:ascii="等线" w:hAnsi="等线" w:eastAsia="宋体" w:cs="宋体"/>
      <w:szCs w:val="21"/>
    </w:rPr>
  </w:style>
  <w:style w:type="paragraph" w:customStyle="1" w:styleId="141">
    <w:name w:val="p16"/>
    <w:basedOn w:val="1"/>
    <w:qFormat/>
    <w:uiPriority w:val="0"/>
    <w:pPr>
      <w:widowControl/>
      <w:jc w:val="left"/>
    </w:pPr>
    <w:rPr>
      <w:kern w:val="0"/>
      <w:szCs w:val="21"/>
    </w:rPr>
  </w:style>
  <w:style w:type="paragraph" w:customStyle="1" w:styleId="142">
    <w:name w:val="正文_0_0_3_0"/>
    <w:basedOn w:val="70"/>
    <w:qFormat/>
    <w:uiPriority w:val="0"/>
    <w:rPr>
      <w:rFonts w:ascii="等线" w:hAnsi="等线" w:eastAsia="宋体" w:cs="宋体"/>
      <w:szCs w:val="21"/>
    </w:rPr>
  </w:style>
  <w:style w:type="paragraph" w:customStyle="1" w:styleId="143">
    <w:name w:val="正文_5_0_0"/>
    <w:basedOn w:val="88"/>
    <w:qFormat/>
    <w:uiPriority w:val="0"/>
    <w:rPr>
      <w:rFonts w:ascii="Calibri" w:hAnsi="Calibri" w:eastAsia="宋体"/>
    </w:rPr>
  </w:style>
  <w:style w:type="paragraph" w:customStyle="1" w:styleId="144">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45">
    <w:name w:val="正文_5"/>
    <w:basedOn w:val="99"/>
    <w:qFormat/>
    <w:uiPriority w:val="0"/>
    <w:rPr>
      <w:rFonts w:ascii="Calibri" w:hAnsi="Calibri"/>
      <w:szCs w:val="21"/>
    </w:rPr>
  </w:style>
  <w:style w:type="paragraph" w:customStyle="1" w:styleId="146">
    <w:name w:val="正文文本缩进_1_0"/>
    <w:basedOn w:val="133"/>
    <w:qFormat/>
    <w:uiPriority w:val="0"/>
    <w:pPr>
      <w:spacing w:before="240" w:line="360" w:lineRule="auto"/>
      <w:ind w:firstLine="552" w:firstLineChars="263"/>
    </w:pPr>
    <w:rPr>
      <w:rFonts w:ascii="宋体" w:hAnsi="宋体" w:eastAsia="宋体"/>
      <w:szCs w:val="20"/>
    </w:rPr>
  </w:style>
  <w:style w:type="paragraph" w:customStyle="1" w:styleId="147">
    <w:name w:val="正文_0_0_0_0"/>
    <w:basedOn w:val="103"/>
    <w:qFormat/>
    <w:uiPriority w:val="0"/>
    <w:rPr>
      <w:rFonts w:ascii="Calibri" w:hAnsi="Calibri" w:eastAsia="宋体" w:cs="宋体"/>
      <w:sz w:val="28"/>
      <w:szCs w:val="28"/>
    </w:rPr>
  </w:style>
  <w:style w:type="paragraph" w:customStyle="1" w:styleId="148">
    <w:name w:val="正文_0_0_1"/>
    <w:basedOn w:val="103"/>
    <w:qFormat/>
    <w:uiPriority w:val="0"/>
    <w:rPr>
      <w:rFonts w:ascii="等线" w:hAnsi="等线" w:eastAsia="宋体"/>
      <w:szCs w:val="21"/>
    </w:rPr>
  </w:style>
  <w:style w:type="paragraph" w:customStyle="1" w:styleId="149">
    <w:name w:val="Normal_0_0"/>
    <w:qFormat/>
    <w:uiPriority w:val="0"/>
    <w:rPr>
      <w:rFonts w:ascii="黑体" w:hAnsi="黑体" w:eastAsia="黑体" w:cs="Times New Roman"/>
      <w:b/>
      <w:sz w:val="32"/>
      <w:szCs w:val="24"/>
      <w:lang w:bidi="ar-SA"/>
    </w:rPr>
  </w:style>
  <w:style w:type="paragraph" w:customStyle="1" w:styleId="150">
    <w:name w:val="Char1 Char Char Char 字元 Char Char 字元 Char 字元 Char1 Char Char Char"/>
    <w:basedOn w:val="1"/>
    <w:qFormat/>
    <w:uiPriority w:val="0"/>
    <w:rPr>
      <w:szCs w:val="20"/>
    </w:rPr>
  </w:style>
  <w:style w:type="paragraph" w:customStyle="1" w:styleId="151">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52">
    <w:name w:val="Normal_3"/>
    <w:qFormat/>
    <w:uiPriority w:val="0"/>
    <w:rPr>
      <w:rFonts w:ascii="黑体" w:hAnsi="黑体" w:eastAsia="黑体" w:cs="Times New Roman"/>
      <w:b/>
      <w:sz w:val="32"/>
      <w:szCs w:val="24"/>
      <w:lang w:bidi="ar-SA"/>
    </w:rPr>
  </w:style>
  <w:style w:type="paragraph" w:customStyle="1" w:styleId="153">
    <w:name w:val="正文_7_0_0"/>
    <w:basedOn w:val="138"/>
    <w:qFormat/>
    <w:uiPriority w:val="0"/>
    <w:rPr>
      <w:rFonts w:ascii="Calibri" w:hAnsi="Calibri"/>
    </w:rPr>
  </w:style>
  <w:style w:type="paragraph" w:customStyle="1" w:styleId="154">
    <w:name w:val="Normal_12"/>
    <w:qFormat/>
    <w:uiPriority w:val="0"/>
    <w:rPr>
      <w:rFonts w:ascii="Times New Roman" w:hAnsi="Times New Roman" w:eastAsia="Times New Roman" w:cs="Times New Roman"/>
      <w:sz w:val="24"/>
      <w:szCs w:val="24"/>
      <w:lang w:bidi="ar-SA"/>
    </w:rPr>
  </w:style>
  <w:style w:type="paragraph" w:customStyle="1" w:styleId="155">
    <w:name w:val="Normal_10"/>
    <w:qFormat/>
    <w:uiPriority w:val="0"/>
    <w:rPr>
      <w:rFonts w:ascii="黑体" w:hAnsi="黑体" w:eastAsia="黑体" w:cs="Times New Roman"/>
      <w:b/>
      <w:sz w:val="32"/>
      <w:szCs w:val="24"/>
      <w:lang w:bidi="ar-SA"/>
    </w:rPr>
  </w:style>
  <w:style w:type="paragraph" w:customStyle="1" w:styleId="156">
    <w:name w:val="正文_5_0"/>
    <w:basedOn w:val="67"/>
    <w:qFormat/>
    <w:uiPriority w:val="0"/>
    <w:rPr>
      <w:rFonts w:ascii="Calibri" w:hAnsi="Calibri" w:cs="宋体"/>
      <w:szCs w:val="21"/>
    </w:rPr>
  </w:style>
  <w:style w:type="paragraph" w:customStyle="1" w:styleId="157">
    <w:name w:val="Normal_9"/>
    <w:qFormat/>
    <w:uiPriority w:val="0"/>
    <w:rPr>
      <w:rFonts w:ascii="黑体" w:hAnsi="黑体" w:eastAsia="黑体" w:cs="Times New Roman"/>
      <w:b/>
      <w:sz w:val="32"/>
      <w:szCs w:val="24"/>
      <w:lang w:bidi="ar-SA"/>
    </w:rPr>
  </w:style>
  <w:style w:type="paragraph" w:customStyle="1" w:styleId="158">
    <w:name w:val="Normal_1_0"/>
    <w:qFormat/>
    <w:uiPriority w:val="0"/>
    <w:rPr>
      <w:rFonts w:ascii="黑体" w:hAnsi="黑体" w:eastAsia="黑体" w:cs="Times New Roman"/>
      <w:b/>
      <w:sz w:val="32"/>
      <w:szCs w:val="24"/>
      <w:lang w:bidi="ar-SA"/>
    </w:rPr>
  </w:style>
  <w:style w:type="paragraph" w:customStyle="1" w:styleId="159">
    <w:name w:val="列表_0"/>
    <w:basedOn w:val="96"/>
    <w:semiHidden/>
    <w:qFormat/>
    <w:locked/>
    <w:uiPriority w:val="0"/>
    <w:pPr>
      <w:ind w:left="200" w:hanging="200" w:hangingChars="200"/>
    </w:pPr>
  </w:style>
  <w:style w:type="paragraph" w:customStyle="1" w:styleId="160">
    <w:name w:val="正文_2_0_1"/>
    <w:basedOn w:val="139"/>
    <w:qFormat/>
    <w:uiPriority w:val="0"/>
    <w:rPr>
      <w:rFonts w:ascii="等线" w:hAnsi="等线" w:eastAsia="宋体" w:cs="宋体"/>
      <w:szCs w:val="21"/>
    </w:rPr>
  </w:style>
  <w:style w:type="paragraph" w:customStyle="1" w:styleId="161">
    <w:name w:val="正文_4_1_0"/>
    <w:basedOn w:val="162"/>
    <w:qFormat/>
    <w:uiPriority w:val="0"/>
    <w:rPr>
      <w:rFonts w:ascii="Calibri" w:hAnsi="Calibri" w:eastAsia="宋体" w:cs="宋体"/>
      <w:szCs w:val="21"/>
    </w:rPr>
  </w:style>
  <w:style w:type="paragraph" w:customStyle="1" w:styleId="162">
    <w:name w:val="正文_5_1"/>
    <w:qFormat/>
    <w:uiPriority w:val="0"/>
    <w:pPr>
      <w:widowControl w:val="0"/>
      <w:jc w:val="both"/>
    </w:pPr>
    <w:rPr>
      <w:rFonts w:ascii="Calibri" w:hAnsi="Calibri" w:eastAsia="宋体" w:cs="Times New Roman"/>
      <w:kern w:val="2"/>
      <w:sz w:val="21"/>
      <w:szCs w:val="22"/>
      <w:lang w:val="en-US" w:eastAsia="zh-CN" w:bidi="ar-SA"/>
    </w:rPr>
  </w:style>
  <w:style w:type="paragraph" w:styleId="163">
    <w:name w:val="No Spacing"/>
    <w:qFormat/>
    <w:uiPriority w:val="1"/>
    <w:pPr>
      <w:widowControl w:val="0"/>
      <w:jc w:val="center"/>
    </w:pPr>
    <w:rPr>
      <w:rFonts w:ascii="Times New Roman" w:hAnsi="Times New Roman" w:eastAsia="黑体" w:cs="Times New Roman"/>
      <w:kern w:val="2"/>
      <w:sz w:val="30"/>
      <w:szCs w:val="24"/>
      <w:lang w:val="en-US" w:eastAsia="zh-CN" w:bidi="ar-SA"/>
    </w:rPr>
  </w:style>
  <w:style w:type="paragraph" w:customStyle="1" w:styleId="164">
    <w:name w:val="Normal_7"/>
    <w:qFormat/>
    <w:uiPriority w:val="0"/>
    <w:rPr>
      <w:rFonts w:ascii="黑体" w:hAnsi="黑体" w:eastAsia="黑体" w:cs="Times New Roman"/>
      <w:b/>
      <w:sz w:val="32"/>
      <w:szCs w:val="24"/>
      <w:lang w:bidi="ar-SA"/>
    </w:rPr>
  </w:style>
  <w:style w:type="paragraph" w:customStyle="1" w:styleId="165">
    <w:name w:val="Char"/>
    <w:basedOn w:val="1"/>
    <w:qFormat/>
    <w:uiPriority w:val="0"/>
    <w:pPr>
      <w:tabs>
        <w:tab w:val="left" w:pos="360"/>
      </w:tabs>
      <w:ind w:left="360" w:hanging="360" w:hangingChars="200"/>
    </w:pPr>
    <w:rPr>
      <w:sz w:val="24"/>
    </w:rPr>
  </w:style>
  <w:style w:type="paragraph" w:customStyle="1" w:styleId="166">
    <w:name w:val="Table Paragraph_0"/>
    <w:basedOn w:val="96"/>
    <w:qFormat/>
    <w:uiPriority w:val="0"/>
    <w:pPr>
      <w:jc w:val="left"/>
    </w:pPr>
    <w:rPr>
      <w:rFonts w:ascii="等线" w:hAnsi="等线" w:cs="宋体"/>
      <w:kern w:val="0"/>
      <w:sz w:val="22"/>
      <w:szCs w:val="22"/>
    </w:rPr>
  </w:style>
  <w:style w:type="paragraph" w:customStyle="1" w:styleId="167">
    <w:name w:val="正文_0_4"/>
    <w:basedOn w:val="115"/>
    <w:qFormat/>
    <w:uiPriority w:val="0"/>
    <w:rPr>
      <w:rFonts w:ascii="Times New Roman" w:hAnsi="Times New Roman" w:cs="Times New Roman"/>
    </w:rPr>
  </w:style>
  <w:style w:type="paragraph" w:customStyle="1" w:styleId="168">
    <w:name w:val="p0_0"/>
    <w:basedOn w:val="116"/>
    <w:qFormat/>
    <w:uiPriority w:val="0"/>
    <w:pPr>
      <w:widowControl/>
    </w:pPr>
    <w:rPr>
      <w:rFonts w:ascii="Calibri" w:hAnsi="Calibri"/>
      <w:kern w:val="0"/>
    </w:rPr>
  </w:style>
  <w:style w:type="paragraph" w:customStyle="1" w:styleId="169">
    <w:name w:val="Normal_8"/>
    <w:qFormat/>
    <w:uiPriority w:val="0"/>
    <w:rPr>
      <w:rFonts w:ascii="黑体" w:hAnsi="黑体" w:eastAsia="黑体" w:cs="Times New Roman"/>
      <w:b/>
      <w:sz w:val="32"/>
      <w:szCs w:val="24"/>
      <w:lang w:bidi="ar-SA"/>
    </w:rPr>
  </w:style>
  <w:style w:type="paragraph" w:customStyle="1" w:styleId="170">
    <w:name w:val="正文_3_0"/>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Normal_0"/>
    <w:qFormat/>
    <w:uiPriority w:val="0"/>
    <w:rPr>
      <w:rFonts w:ascii="Times New Roman" w:hAnsi="Times New Roman" w:eastAsia="Times New Roman" w:cs="Times New Roman"/>
      <w:sz w:val="24"/>
      <w:szCs w:val="24"/>
      <w:lang w:bidi="ar-SA"/>
    </w:rPr>
  </w:style>
  <w:style w:type="paragraph" w:customStyle="1" w:styleId="172">
    <w:name w:val="标题 1 +"/>
    <w:basedOn w:val="2"/>
    <w:next w:val="1"/>
    <w:qFormat/>
    <w:uiPriority w:val="0"/>
    <w:pPr>
      <w:keepLines/>
      <w:spacing w:line="600" w:lineRule="auto"/>
    </w:pPr>
    <w:rPr>
      <w:rFonts w:eastAsia="黑体"/>
      <w:kern w:val="0"/>
      <w:sz w:val="32"/>
      <w:szCs w:val="32"/>
    </w:rPr>
  </w:style>
  <w:style w:type="paragraph" w:customStyle="1" w:styleId="173">
    <w:name w:val="样式 标题 2 + 宋体 五号 行距: 单倍行距"/>
    <w:basedOn w:val="3"/>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174">
    <w:name w:val="Normal_1"/>
    <w:qFormat/>
    <w:uiPriority w:val="0"/>
    <w:rPr>
      <w:rFonts w:ascii="黑体" w:hAnsi="黑体" w:eastAsia="黑体" w:cs="Times New Roman"/>
      <w:b/>
      <w:sz w:val="32"/>
      <w:szCs w:val="24"/>
      <w:lang w:val="en-US" w:eastAsia="zh-CN" w:bidi="ar-SA"/>
    </w:rPr>
  </w:style>
  <w:style w:type="paragraph" w:customStyle="1" w:styleId="175">
    <w:name w:val=" Char Char Char Char Char Char Char"/>
    <w:basedOn w:val="1"/>
    <w:qFormat/>
    <w:uiPriority w:val="0"/>
    <w:pPr>
      <w:snapToGrid w:val="0"/>
      <w:spacing w:line="360" w:lineRule="auto"/>
      <w:ind w:firstLine="200" w:firstLineChars="200"/>
    </w:pPr>
    <w:rPr>
      <w:rFonts w:eastAsia="仿宋_GB2312"/>
      <w:sz w:val="24"/>
    </w:rPr>
  </w:style>
  <w:style w:type="paragraph" w:customStyle="1" w:styleId="176">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7">
    <w:name w:val="正文_2_0"/>
    <w:basedOn w:val="96"/>
    <w:qFormat/>
    <w:uiPriority w:val="0"/>
    <w:rPr>
      <w:rFonts w:ascii="等线" w:hAnsi="等线" w:cs="宋体"/>
      <w:szCs w:val="21"/>
    </w:rPr>
  </w:style>
  <w:style w:type="paragraph" w:customStyle="1" w:styleId="178">
    <w:name w:val="xl31"/>
    <w:basedOn w:val="1"/>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79">
    <w:name w:val="Char Char1 Char Char Char Char Char Char Char Char Char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180">
    <w:name w:val="样式 标题 2 + Times New Roman 四号 非加粗 段前: 5 磅 段后: 0 磅 行距: 固定值 20..."/>
    <w:basedOn w:val="3"/>
    <w:qFormat/>
    <w:uiPriority w:val="0"/>
    <w:pPr>
      <w:spacing w:before="100" w:beforeLines="0" w:line="400" w:lineRule="exact"/>
    </w:pPr>
    <w:rPr>
      <w:rFonts w:ascii="Times New Roman" w:hAnsi="Times New Roman" w:eastAsia="黑体"/>
      <w:b w:val="0"/>
      <w:bCs w:val="0"/>
      <w:sz w:val="28"/>
      <w:szCs w:val="20"/>
    </w:rPr>
  </w:style>
  <w:style w:type="paragraph" w:customStyle="1" w:styleId="181">
    <w:name w:val="正文_2_1_0"/>
    <w:basedOn w:val="103"/>
    <w:qFormat/>
    <w:uiPriority w:val="0"/>
    <w:rPr>
      <w:rFonts w:ascii="Calibri" w:hAnsi="Calibri" w:eastAsia="宋体" w:cs="宋体"/>
      <w:szCs w:val="21"/>
    </w:rPr>
  </w:style>
  <w:style w:type="paragraph" w:customStyle="1" w:styleId="182">
    <w:name w:val=" Char Char Char"/>
    <w:basedOn w:val="1"/>
    <w:qFormat/>
    <w:uiPriority w:val="0"/>
    <w:rPr>
      <w:rFonts w:ascii="宋体" w:hAnsi="宋体"/>
      <w:b/>
      <w:sz w:val="28"/>
      <w:szCs w:val="28"/>
    </w:rPr>
  </w:style>
  <w:style w:type="paragraph" w:customStyle="1" w:styleId="183">
    <w:name w:val="表格内容"/>
    <w:basedOn w:val="17"/>
    <w:qFormat/>
    <w:uiPriority w:val="0"/>
    <w:pPr>
      <w:suppressLineNumbers/>
      <w:suppressAutoHyphens/>
      <w:jc w:val="left"/>
    </w:pPr>
    <w:rPr>
      <w:rFonts w:cs="Tahoma"/>
      <w:kern w:val="0"/>
      <w:sz w:val="24"/>
    </w:rPr>
  </w:style>
  <w:style w:type="paragraph" w:customStyle="1" w:styleId="184">
    <w:name w:val="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185">
    <w:name w:val="p0_0_0"/>
    <w:basedOn w:val="153"/>
    <w:qFormat/>
    <w:uiPriority w:val="0"/>
    <w:pPr>
      <w:widowControl/>
    </w:pPr>
    <w:rPr>
      <w:rFonts w:ascii="Calibri" w:hAnsi="Calibri"/>
      <w:kern w:val="0"/>
    </w:rPr>
  </w:style>
  <w:style w:type="paragraph" w:customStyle="1" w:styleId="186">
    <w:name w:val="正文_0_1_0"/>
    <w:basedOn w:val="96"/>
    <w:qFormat/>
    <w:uiPriority w:val="0"/>
    <w:rPr>
      <w:rFonts w:ascii="Calibri" w:hAnsi="Calibri" w:cs="宋体"/>
      <w:szCs w:val="21"/>
    </w:rPr>
  </w:style>
  <w:style w:type="paragraph" w:customStyle="1" w:styleId="187">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beforeLines="0"/>
      <w:ind w:left="840" w:hanging="420"/>
      <w:jc w:val="left"/>
      <w:textAlignment w:val="baseline"/>
      <w:outlineLvl w:val="1"/>
    </w:pPr>
    <w:rPr>
      <w:rFonts w:ascii="宋体" w:hAnsi="宋体"/>
      <w:b/>
      <w:bCs/>
      <w:color w:val="000000"/>
      <w:kern w:val="0"/>
      <w:szCs w:val="20"/>
    </w:rPr>
  </w:style>
  <w:style w:type="paragraph" w:customStyle="1" w:styleId="188">
    <w:name w:val="正文_4_0"/>
    <w:basedOn w:val="67"/>
    <w:qFormat/>
    <w:uiPriority w:val="0"/>
    <w:rPr>
      <w:rFonts w:ascii="Calibri" w:hAnsi="Calibri"/>
      <w:szCs w:val="21"/>
    </w:rPr>
  </w:style>
  <w:style w:type="paragraph" w:customStyle="1" w:styleId="189">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90">
    <w:name w:val="正文_9_0"/>
    <w:basedOn w:val="97"/>
    <w:qFormat/>
    <w:uiPriority w:val="0"/>
    <w:rPr>
      <w:rFonts w:ascii="Calibri" w:hAnsi="Calibri" w:cs="宋体"/>
      <w:szCs w:val="21"/>
    </w:rPr>
  </w:style>
  <w:style w:type="paragraph" w:customStyle="1" w:styleId="191">
    <w:name w:val="Char1"/>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192">
    <w:name w:val="无间隔1"/>
    <w:basedOn w:val="1"/>
    <w:qFormat/>
    <w:uiPriority w:val="1"/>
  </w:style>
  <w:style w:type="paragraph" w:customStyle="1" w:styleId="193">
    <w:name w:val="No Spacing1"/>
    <w:basedOn w:val="1"/>
    <w:qFormat/>
    <w:uiPriority w:val="1"/>
  </w:style>
  <w:style w:type="paragraph" w:customStyle="1" w:styleId="194">
    <w:name w:val="正文_1_0_0_0_0"/>
    <w:basedOn w:val="195"/>
    <w:qFormat/>
    <w:uiPriority w:val="0"/>
    <w:rPr>
      <w:rFonts w:ascii="等线" w:hAnsi="等线" w:eastAsia="宋体" w:cs="宋体"/>
      <w:szCs w:val="21"/>
    </w:rPr>
  </w:style>
  <w:style w:type="paragraph" w:customStyle="1" w:styleId="195">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7">
    <w:name w:val="正文_8_0_0_0"/>
    <w:basedOn w:val="198"/>
    <w:qFormat/>
    <w:uiPriority w:val="0"/>
    <w:rPr>
      <w:rFonts w:ascii="Calibri" w:hAnsi="Calibri" w:eastAsia="宋体" w:cs="宋体"/>
      <w:szCs w:val="21"/>
    </w:rPr>
  </w:style>
  <w:style w:type="paragraph" w:customStyle="1" w:styleId="198">
    <w:name w:val="正文_9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9">
    <w:name w:val="正文_9_0_0_0"/>
    <w:basedOn w:val="200"/>
    <w:qFormat/>
    <w:uiPriority w:val="0"/>
    <w:rPr>
      <w:rFonts w:ascii="Calibri" w:hAnsi="Calibri" w:eastAsia="宋体" w:cs="宋体"/>
      <w:szCs w:val="21"/>
    </w:rPr>
  </w:style>
  <w:style w:type="paragraph" w:customStyle="1" w:styleId="200">
    <w:name w:val="正文_1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1">
    <w:name w:val="WPSOffice手动目录 1"/>
    <w:qFormat/>
    <w:uiPriority w:val="0"/>
    <w:rPr>
      <w:rFonts w:ascii="Times New Roman" w:hAnsi="Times New Roman" w:eastAsia="宋体" w:cs="Times New Roman"/>
      <w:lang w:val="en-US" w:eastAsia="zh-CN" w:bidi="ar-SA"/>
    </w:rPr>
  </w:style>
  <w:style w:type="paragraph" w:customStyle="1" w:styleId="202">
    <w:name w:val="WPSOffice手动目录 2"/>
    <w:qFormat/>
    <w:uiPriority w:val="0"/>
    <w:pPr>
      <w:ind w:leftChars="200"/>
    </w:pPr>
    <w:rPr>
      <w:rFonts w:ascii="Times New Roman" w:hAnsi="Times New Roman" w:eastAsia="宋体" w:cs="Times New Roman"/>
      <w:lang w:val="en-US" w:eastAsia="zh-CN" w:bidi="ar-SA"/>
    </w:rPr>
  </w:style>
  <w:style w:type="paragraph" w:customStyle="1" w:styleId="203">
    <w:name w:val="Default_0"/>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04">
    <w:name w:val="No Spacing_0"/>
    <w:basedOn w:val="145"/>
    <w:qFormat/>
    <w:uiPriority w:val="1"/>
    <w:rPr>
      <w:rFonts w:ascii="Times New Roman" w:hAnsi="Times New Roman"/>
      <w:szCs w:val="24"/>
      <w:lang w:val="en-US" w:eastAsia="zh-CN"/>
    </w:rPr>
  </w:style>
  <w:style w:type="character" w:customStyle="1" w:styleId="205">
    <w:name w:val="纯文本 Char1"/>
    <w:qFormat/>
    <w:uiPriority w:val="0"/>
    <w:rPr>
      <w:rFonts w:ascii="宋体" w:hAnsi="Courier New" w:eastAsia="宋体" w:cs="Times New Roman"/>
      <w:kern w:val="0"/>
      <w:sz w:val="20"/>
      <w:szCs w:val="21"/>
    </w:rPr>
  </w:style>
  <w:style w:type="paragraph" w:customStyle="1" w:styleId="206">
    <w:name w:val="标样式3"/>
    <w:basedOn w:val="4"/>
    <w:qFormat/>
    <w:uiPriority w:val="0"/>
    <w:pPr>
      <w:numPr>
        <w:ilvl w:val="2"/>
        <w:numId w:val="1"/>
      </w:numPr>
      <w:spacing w:after="100" w:afterAutospacing="1"/>
      <w:ind w:left="0" w:right="-117" w:rightChars="-117" w:firstLineChars="0"/>
    </w:pPr>
    <w:rPr>
      <w:color w:val="000000"/>
    </w:rPr>
  </w:style>
  <w:style w:type="paragraph" w:customStyle="1" w:styleId="207">
    <w:name w:val="标样式4"/>
    <w:basedOn w:val="208"/>
    <w:qFormat/>
    <w:uiPriority w:val="0"/>
    <w:pPr>
      <w:numPr>
        <w:ilvl w:val="3"/>
        <w:numId w:val="1"/>
      </w:numPr>
      <w:tabs>
        <w:tab w:val="left" w:pos="1678"/>
      </w:tabs>
      <w:ind w:firstLine="0" w:firstLineChars="0"/>
    </w:pPr>
    <w:rPr>
      <w:color w:val="000000"/>
    </w:rPr>
  </w:style>
  <w:style w:type="paragraph" w:customStyle="1" w:styleId="208">
    <w:name w:val="样式4"/>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53</Pages>
  <Words>7302</Words>
  <Characters>8113</Characters>
  <Lines>381</Lines>
  <Paragraphs>107</Paragraphs>
  <TotalTime>18</TotalTime>
  <ScaleCrop>false</ScaleCrop>
  <LinksUpToDate>false</LinksUpToDate>
  <CharactersWithSpaces>8337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2019-04-10T08:27:00Z</dcterms:created>
  <dc:creator>Lenovo User</dc:creator>
  <cp:lastModifiedBy>、</cp:lastModifiedBy>
  <cp:lastPrinted>2022-06-02T04:58:00Z</cp:lastPrinted>
  <dcterms:modified xsi:type="dcterms:W3CDTF">2025-06-25T08:30:21Z</dcterms:modified>
  <dc:title>竞争性谈判采购公告</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692111C2A4854E0D8D7DFCAFCDCABFB2_13</vt:lpwstr>
  </property>
  <property fmtid="{D5CDD505-2E9C-101B-9397-08002B2CF9AE}" pid="4" name="KSOTemplateDocerSaveRecord">
    <vt:lpwstr>eyJoZGlkIjoiN2Q3NTUyMzQyMjRlZDE0ODAzYzdlMjc5ZjRiNTdlYTYiLCJ1c2VySWQiOiIyODgwMjU3NjUifQ==</vt:lpwstr>
  </property>
</Properties>
</file>