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ind w:right="-319" w:rightChars="-152"/>
        <w:jc w:val="center"/>
        <w:rPr>
          <w:rFonts w:ascii="宋体" w:hAnsi="宋体" w:cs="宋体"/>
          <w:b/>
          <w:bCs/>
          <w:color w:val="auto"/>
          <w:sz w:val="44"/>
          <w:szCs w:val="44"/>
        </w:rPr>
      </w:pPr>
      <w:bookmarkStart w:id="154" w:name="_GoBack"/>
      <w:bookmarkEnd w:id="154"/>
    </w:p>
    <w:p>
      <w:pPr>
        <w:spacing w:line="1000" w:lineRule="exact"/>
        <w:ind w:right="-319" w:rightChars="-152"/>
        <w:jc w:val="center"/>
        <w:rPr>
          <w:rFonts w:ascii="宋体" w:hAnsi="宋体" w:cs="宋体"/>
          <w:b/>
          <w:bCs/>
          <w:color w:val="auto"/>
          <w:sz w:val="44"/>
          <w:szCs w:val="44"/>
        </w:rPr>
      </w:pPr>
      <w:r>
        <w:rPr>
          <w:rFonts w:hint="eastAsia" w:ascii="宋体" w:hAnsi="宋体" w:cs="宋体"/>
          <w:b/>
          <w:bCs/>
          <w:color w:val="auto"/>
          <w:sz w:val="44"/>
          <w:szCs w:val="44"/>
        </w:rPr>
        <w:t>新疆医科大学厚博学院（克拉玛依校区）</w:t>
      </w:r>
    </w:p>
    <w:p>
      <w:pPr>
        <w:spacing w:line="1000" w:lineRule="exact"/>
        <w:ind w:right="-319" w:rightChars="-152"/>
        <w:jc w:val="center"/>
        <w:rPr>
          <w:rFonts w:ascii="宋体" w:hAnsi="宋体" w:cs="宋体"/>
          <w:b/>
          <w:bCs/>
          <w:color w:val="auto"/>
          <w:sz w:val="44"/>
          <w:szCs w:val="44"/>
        </w:rPr>
      </w:pPr>
      <w:r>
        <w:rPr>
          <w:rFonts w:hint="eastAsia" w:ascii="宋体" w:hAnsi="宋体" w:cs="宋体"/>
          <w:b/>
          <w:bCs/>
          <w:color w:val="auto"/>
          <w:sz w:val="44"/>
          <w:szCs w:val="44"/>
        </w:rPr>
        <w:t>消防维保服务</w:t>
      </w:r>
    </w:p>
    <w:p>
      <w:pPr>
        <w:spacing w:line="1000" w:lineRule="exact"/>
        <w:ind w:right="-319" w:rightChars="-152"/>
        <w:jc w:val="center"/>
        <w:rPr>
          <w:rFonts w:ascii="宋体" w:hAnsi="宋体" w:cs="宋体"/>
          <w:b/>
          <w:bCs/>
          <w:color w:val="auto"/>
          <w:sz w:val="44"/>
          <w:szCs w:val="44"/>
        </w:rPr>
      </w:pPr>
      <w:r>
        <w:rPr>
          <w:rFonts w:hint="eastAsia" w:ascii="宋体" w:hAnsi="宋体" w:cs="宋体"/>
          <w:b/>
          <w:bCs/>
          <w:color w:val="auto"/>
          <w:sz w:val="44"/>
          <w:szCs w:val="44"/>
        </w:rPr>
        <w:t>竞争性磋商文件</w:t>
      </w:r>
    </w:p>
    <w:p>
      <w:pPr>
        <w:spacing w:line="360" w:lineRule="auto"/>
        <w:rPr>
          <w:rFonts w:ascii="宋体" w:hAnsi="宋体" w:cs="宋体"/>
          <w:b/>
          <w:color w:val="auto"/>
          <w:sz w:val="30"/>
          <w:szCs w:val="30"/>
        </w:rPr>
      </w:pPr>
    </w:p>
    <w:p>
      <w:pPr>
        <w:spacing w:line="660" w:lineRule="exact"/>
        <w:jc w:val="center"/>
        <w:rPr>
          <w:rFonts w:ascii="宋体" w:hAnsi="宋体" w:cs="宋体"/>
          <w:color w:val="auto"/>
          <w:sz w:val="24"/>
        </w:rPr>
      </w:pPr>
      <w:r>
        <w:rPr>
          <w:rFonts w:hint="eastAsia" w:ascii="宋体" w:hAnsi="宋体" w:cs="宋体"/>
          <w:b/>
          <w:color w:val="auto"/>
          <w:sz w:val="28"/>
          <w:szCs w:val="28"/>
        </w:rPr>
        <w:t>（磋商采购文件编号：YXZB[ZC]2019-04）</w:t>
      </w:r>
    </w:p>
    <w:p>
      <w:pPr>
        <w:pStyle w:val="2"/>
        <w:rPr>
          <w:rFonts w:ascii="宋体" w:hAnsi="宋体" w:cs="宋体"/>
          <w:b/>
          <w:bCs/>
          <w:color w:val="auto"/>
          <w:sz w:val="32"/>
          <w:szCs w:val="32"/>
        </w:rPr>
      </w:pPr>
    </w:p>
    <w:p>
      <w:pPr>
        <w:pStyle w:val="2"/>
        <w:rPr>
          <w:rFonts w:ascii="宋体" w:hAnsi="宋体" w:cs="宋体"/>
          <w:color w:val="auto"/>
        </w:rPr>
      </w:pPr>
    </w:p>
    <w:p>
      <w:pPr>
        <w:pStyle w:val="2"/>
        <w:rPr>
          <w:rFonts w:ascii="宋体" w:hAnsi="宋体" w:cs="宋体"/>
          <w:color w:val="auto"/>
        </w:rPr>
      </w:pPr>
    </w:p>
    <w:p>
      <w:pPr>
        <w:pStyle w:val="2"/>
        <w:rPr>
          <w:rFonts w:ascii="宋体" w:hAnsi="宋体" w:cs="宋体"/>
          <w:color w:val="auto"/>
        </w:rPr>
      </w:pPr>
    </w:p>
    <w:p>
      <w:pPr>
        <w:pStyle w:val="2"/>
        <w:rPr>
          <w:rFonts w:ascii="宋体" w:hAnsi="宋体" w:cs="宋体"/>
          <w:color w:val="auto"/>
        </w:rPr>
      </w:pPr>
    </w:p>
    <w:p>
      <w:pPr>
        <w:pStyle w:val="2"/>
        <w:rPr>
          <w:rFonts w:ascii="宋体" w:hAnsi="宋体" w:cs="宋体"/>
          <w:color w:val="auto"/>
        </w:rPr>
      </w:pPr>
    </w:p>
    <w:p>
      <w:pPr>
        <w:pStyle w:val="2"/>
        <w:rPr>
          <w:rFonts w:ascii="宋体" w:hAnsi="宋体" w:cs="宋体"/>
          <w:color w:val="auto"/>
        </w:rPr>
      </w:pPr>
    </w:p>
    <w:p>
      <w:pPr>
        <w:spacing w:line="480" w:lineRule="auto"/>
        <w:ind w:firstLine="1124" w:firstLineChars="400"/>
        <w:rPr>
          <w:rFonts w:ascii="宋体" w:hAnsi="宋体" w:cs="宋体"/>
          <w:b/>
          <w:bCs/>
          <w:color w:val="auto"/>
          <w:sz w:val="28"/>
          <w:szCs w:val="28"/>
        </w:rPr>
      </w:pPr>
      <w:r>
        <w:rPr>
          <w:rFonts w:hint="eastAsia" w:ascii="宋体" w:hAnsi="宋体" w:cs="宋体"/>
          <w:b/>
          <w:bCs/>
          <w:color w:val="auto"/>
          <w:sz w:val="28"/>
          <w:szCs w:val="28"/>
        </w:rPr>
        <w:t>采 购 人：克拉玛依市卫生健康委员会</w:t>
      </w:r>
    </w:p>
    <w:p>
      <w:pPr>
        <w:spacing w:line="480" w:lineRule="auto"/>
        <w:ind w:firstLine="1124" w:firstLineChars="400"/>
        <w:rPr>
          <w:rFonts w:ascii="宋体" w:hAnsi="宋体" w:cs="宋体"/>
          <w:b/>
          <w:bCs/>
          <w:color w:val="auto"/>
          <w:sz w:val="28"/>
          <w:szCs w:val="28"/>
        </w:rPr>
      </w:pPr>
      <w:r>
        <w:rPr>
          <w:rFonts w:hint="eastAsia" w:ascii="宋体" w:hAnsi="宋体" w:cs="宋体"/>
          <w:b/>
          <w:bCs/>
          <w:color w:val="auto"/>
          <w:sz w:val="28"/>
          <w:szCs w:val="28"/>
        </w:rPr>
        <w:t>联 系 人：俞翔</w:t>
      </w:r>
    </w:p>
    <w:p>
      <w:pPr>
        <w:spacing w:line="480" w:lineRule="auto"/>
        <w:ind w:firstLine="1124" w:firstLineChars="400"/>
        <w:rPr>
          <w:rFonts w:ascii="宋体" w:hAnsi="宋体" w:cs="宋体"/>
          <w:b/>
          <w:bCs/>
          <w:color w:val="auto"/>
          <w:sz w:val="28"/>
          <w:szCs w:val="28"/>
        </w:rPr>
      </w:pPr>
      <w:r>
        <w:rPr>
          <w:rFonts w:hint="eastAsia" w:ascii="宋体" w:hAnsi="宋体" w:cs="宋体"/>
          <w:b/>
          <w:bCs/>
          <w:color w:val="auto"/>
          <w:sz w:val="28"/>
          <w:szCs w:val="28"/>
        </w:rPr>
        <w:t>联系电话：0990-7564826</w:t>
      </w:r>
    </w:p>
    <w:p>
      <w:pPr>
        <w:spacing w:line="480" w:lineRule="auto"/>
        <w:ind w:firstLine="1124" w:firstLineChars="400"/>
        <w:rPr>
          <w:rFonts w:ascii="宋体" w:hAnsi="宋体" w:cs="宋体"/>
          <w:b/>
          <w:bCs/>
          <w:color w:val="auto"/>
          <w:sz w:val="28"/>
          <w:szCs w:val="28"/>
        </w:rPr>
      </w:pPr>
      <w:r>
        <w:rPr>
          <w:rFonts w:hint="eastAsia" w:ascii="宋体" w:hAnsi="宋体" w:cs="宋体"/>
          <w:b/>
          <w:bCs/>
          <w:color w:val="auto"/>
          <w:sz w:val="28"/>
          <w:szCs w:val="28"/>
        </w:rPr>
        <w:t>采购代理机构：新疆永信工程造价咨询有限公司</w:t>
      </w:r>
    </w:p>
    <w:p>
      <w:pPr>
        <w:spacing w:line="480" w:lineRule="auto"/>
        <w:ind w:firstLine="1124" w:firstLineChars="400"/>
        <w:rPr>
          <w:rFonts w:ascii="宋体" w:hAnsi="宋体" w:cs="宋体"/>
          <w:b/>
          <w:bCs/>
          <w:color w:val="auto"/>
          <w:sz w:val="28"/>
          <w:szCs w:val="28"/>
        </w:rPr>
      </w:pPr>
      <w:r>
        <w:rPr>
          <w:rFonts w:hint="eastAsia" w:ascii="宋体" w:hAnsi="宋体" w:cs="宋体"/>
          <w:b/>
          <w:bCs/>
          <w:color w:val="auto"/>
          <w:sz w:val="28"/>
          <w:szCs w:val="28"/>
        </w:rPr>
        <w:t>联 系 人：邵彩霞</w:t>
      </w:r>
    </w:p>
    <w:p>
      <w:pPr>
        <w:spacing w:line="480" w:lineRule="auto"/>
        <w:rPr>
          <w:rFonts w:ascii="宋体" w:hAnsi="宋体" w:cs="宋体"/>
          <w:color w:val="auto"/>
          <w:sz w:val="28"/>
          <w:szCs w:val="28"/>
        </w:rPr>
      </w:pPr>
      <w:r>
        <w:rPr>
          <w:rFonts w:hint="eastAsia" w:ascii="宋体" w:hAnsi="宋体" w:cs="宋体"/>
          <w:b/>
          <w:bCs/>
          <w:color w:val="auto"/>
          <w:sz w:val="28"/>
          <w:szCs w:val="28"/>
        </w:rPr>
        <w:t xml:space="preserve">        联系电话：0990-6883828</w:t>
      </w:r>
    </w:p>
    <w:p>
      <w:pPr>
        <w:spacing w:line="360" w:lineRule="auto"/>
        <w:jc w:val="center"/>
        <w:rPr>
          <w:rFonts w:ascii="宋体" w:hAnsi="宋体" w:cs="宋体"/>
          <w:b/>
          <w:color w:val="auto"/>
          <w:sz w:val="28"/>
          <w:szCs w:val="28"/>
        </w:rPr>
      </w:pPr>
    </w:p>
    <w:p>
      <w:pPr>
        <w:pStyle w:val="2"/>
        <w:rPr>
          <w:rFonts w:ascii="宋体" w:hAnsi="宋体" w:cs="宋体"/>
          <w:color w:val="auto"/>
        </w:rPr>
      </w:pPr>
    </w:p>
    <w:p>
      <w:pPr>
        <w:spacing w:line="360" w:lineRule="auto"/>
        <w:jc w:val="center"/>
        <w:rPr>
          <w:rFonts w:ascii="宋体" w:hAnsi="宋体" w:cs="宋体"/>
          <w:color w:val="auto"/>
        </w:rPr>
      </w:pPr>
      <w:r>
        <w:rPr>
          <w:rFonts w:hint="eastAsia" w:ascii="宋体" w:hAnsi="宋体" w:cs="宋体"/>
          <w:b/>
          <w:color w:val="auto"/>
          <w:sz w:val="28"/>
          <w:szCs w:val="28"/>
        </w:rPr>
        <w:t>2019年6月</w:t>
      </w:r>
    </w:p>
    <w:p>
      <w:pPr>
        <w:pageBreakBefore/>
        <w:spacing w:line="500" w:lineRule="exact"/>
        <w:jc w:val="center"/>
        <w:rPr>
          <w:rFonts w:ascii="宋体" w:hAnsi="宋体" w:cs="宋体"/>
          <w:b/>
          <w:bCs/>
          <w:color w:val="auto"/>
          <w:sz w:val="32"/>
          <w:szCs w:val="32"/>
        </w:rPr>
      </w:pPr>
      <w:r>
        <w:rPr>
          <w:rFonts w:hint="eastAsia" w:ascii="宋体" w:hAnsi="宋体" w:cs="宋体"/>
          <w:b/>
          <w:bCs/>
          <w:color w:val="auto"/>
          <w:sz w:val="32"/>
          <w:szCs w:val="32"/>
        </w:rPr>
        <w:t>总  目  录</w:t>
      </w:r>
    </w:p>
    <w:p>
      <w:pPr>
        <w:pStyle w:val="22"/>
        <w:tabs>
          <w:tab w:val="right" w:leader="dot" w:pos="9185"/>
        </w:tabs>
        <w:spacing w:line="600" w:lineRule="auto"/>
        <w:rPr>
          <w:rFonts w:ascii="宋体" w:hAnsi="宋体" w:cs="宋体"/>
          <w:b/>
          <w:color w:val="auto"/>
          <w:kern w:val="2"/>
          <w:sz w:val="24"/>
          <w:szCs w:val="24"/>
        </w:rPr>
      </w:pPr>
    </w:p>
    <w:p>
      <w:pPr>
        <w:pStyle w:val="22"/>
        <w:tabs>
          <w:tab w:val="right" w:leader="dot" w:pos="9185"/>
        </w:tabs>
        <w:spacing w:line="600" w:lineRule="auto"/>
        <w:rPr>
          <w:rFonts w:ascii="宋体" w:hAnsi="宋体" w:cs="宋体"/>
          <w:b/>
          <w:color w:val="auto"/>
          <w:kern w:val="2"/>
          <w:sz w:val="24"/>
          <w:szCs w:val="24"/>
        </w:rPr>
      </w:pPr>
      <w:r>
        <w:rPr>
          <w:rFonts w:hint="eastAsia" w:ascii="宋体" w:hAnsi="宋体" w:cs="宋体"/>
          <w:b/>
          <w:color w:val="auto"/>
          <w:kern w:val="2"/>
          <w:sz w:val="24"/>
          <w:szCs w:val="24"/>
        </w:rPr>
        <w:t>第一章、竞争性磋商采购公告</w:t>
      </w:r>
      <w:r>
        <w:rPr>
          <w:rFonts w:hint="eastAsia" w:ascii="宋体" w:hAnsi="宋体" w:cs="宋体"/>
          <w:b/>
          <w:color w:val="auto"/>
          <w:kern w:val="2"/>
          <w:sz w:val="24"/>
          <w:szCs w:val="24"/>
        </w:rPr>
        <w:tab/>
      </w:r>
      <w:r>
        <w:rPr>
          <w:rFonts w:hint="eastAsia" w:ascii="宋体" w:hAnsi="宋体" w:cs="宋体"/>
          <w:b/>
          <w:color w:val="auto"/>
          <w:kern w:val="2"/>
          <w:sz w:val="24"/>
          <w:szCs w:val="24"/>
        </w:rPr>
        <w:t>3</w:t>
      </w:r>
    </w:p>
    <w:p>
      <w:pPr>
        <w:pStyle w:val="22"/>
        <w:tabs>
          <w:tab w:val="right" w:leader="dot" w:pos="9185"/>
        </w:tabs>
        <w:spacing w:line="600" w:lineRule="auto"/>
        <w:rPr>
          <w:rFonts w:ascii="宋体" w:hAnsi="宋体" w:cs="宋体"/>
          <w:b/>
          <w:color w:val="auto"/>
          <w:kern w:val="2"/>
          <w:sz w:val="24"/>
          <w:szCs w:val="24"/>
        </w:rPr>
      </w:pPr>
      <w:r>
        <w:rPr>
          <w:rFonts w:hint="eastAsia" w:ascii="宋体" w:hAnsi="宋体" w:cs="宋体"/>
          <w:b/>
          <w:color w:val="auto"/>
          <w:kern w:val="2"/>
          <w:sz w:val="24"/>
          <w:szCs w:val="24"/>
        </w:rPr>
        <w:t>第二章、供应商须知</w:t>
      </w:r>
      <w:r>
        <w:rPr>
          <w:rFonts w:hint="eastAsia" w:ascii="宋体" w:hAnsi="宋体" w:cs="宋体"/>
          <w:b/>
          <w:color w:val="auto"/>
          <w:kern w:val="2"/>
          <w:sz w:val="24"/>
          <w:szCs w:val="24"/>
        </w:rPr>
        <w:tab/>
      </w:r>
      <w:r>
        <w:rPr>
          <w:rFonts w:hint="eastAsia" w:ascii="宋体" w:hAnsi="宋体" w:cs="宋体"/>
          <w:b/>
          <w:color w:val="auto"/>
          <w:kern w:val="2"/>
          <w:sz w:val="24"/>
          <w:szCs w:val="24"/>
        </w:rPr>
        <w:t>6</w:t>
      </w:r>
    </w:p>
    <w:p>
      <w:pPr>
        <w:pStyle w:val="22"/>
        <w:tabs>
          <w:tab w:val="right" w:leader="dot" w:pos="9185"/>
        </w:tabs>
        <w:spacing w:line="600" w:lineRule="auto"/>
        <w:rPr>
          <w:rFonts w:ascii="宋体" w:hAnsi="宋体" w:cs="宋体"/>
          <w:b/>
          <w:color w:val="auto"/>
          <w:kern w:val="2"/>
          <w:sz w:val="24"/>
          <w:szCs w:val="24"/>
        </w:rPr>
      </w:pPr>
      <w:r>
        <w:rPr>
          <w:rFonts w:hint="eastAsia" w:ascii="宋体" w:hAnsi="宋体" w:cs="宋体"/>
          <w:b/>
          <w:color w:val="auto"/>
          <w:kern w:val="2"/>
          <w:sz w:val="24"/>
          <w:szCs w:val="24"/>
        </w:rPr>
        <w:t>第三章、项目采购需求</w:t>
      </w:r>
      <w:r>
        <w:rPr>
          <w:rFonts w:hint="eastAsia" w:ascii="宋体" w:hAnsi="宋体" w:cs="宋体"/>
          <w:b/>
          <w:color w:val="auto"/>
          <w:kern w:val="2"/>
          <w:sz w:val="24"/>
          <w:szCs w:val="24"/>
        </w:rPr>
        <w:tab/>
      </w:r>
      <w:r>
        <w:rPr>
          <w:rFonts w:hint="eastAsia" w:ascii="宋体" w:hAnsi="宋体" w:cs="宋体"/>
          <w:b/>
          <w:color w:val="auto"/>
          <w:kern w:val="2"/>
          <w:sz w:val="24"/>
          <w:szCs w:val="24"/>
        </w:rPr>
        <w:t>24</w:t>
      </w:r>
    </w:p>
    <w:p>
      <w:pPr>
        <w:pStyle w:val="22"/>
        <w:tabs>
          <w:tab w:val="right" w:leader="dot" w:pos="9185"/>
        </w:tabs>
        <w:spacing w:line="600" w:lineRule="auto"/>
        <w:rPr>
          <w:rFonts w:ascii="宋体" w:hAnsi="宋体" w:cs="宋体"/>
          <w:b/>
          <w:color w:val="auto"/>
          <w:kern w:val="2"/>
          <w:sz w:val="24"/>
          <w:szCs w:val="24"/>
        </w:rPr>
      </w:pPr>
      <w:r>
        <w:rPr>
          <w:rFonts w:hint="eastAsia" w:ascii="宋体" w:hAnsi="宋体" w:cs="宋体"/>
          <w:b/>
          <w:color w:val="auto"/>
          <w:kern w:val="2"/>
          <w:sz w:val="24"/>
          <w:szCs w:val="24"/>
        </w:rPr>
        <w:t>第四章、合同协议书</w:t>
      </w:r>
      <w:r>
        <w:rPr>
          <w:rFonts w:hint="eastAsia" w:ascii="宋体" w:hAnsi="宋体" w:cs="宋体"/>
          <w:b/>
          <w:color w:val="auto"/>
          <w:kern w:val="2"/>
          <w:sz w:val="24"/>
          <w:szCs w:val="24"/>
        </w:rPr>
        <w:tab/>
      </w:r>
      <w:r>
        <w:rPr>
          <w:rFonts w:hint="eastAsia" w:ascii="宋体" w:hAnsi="宋体" w:cs="宋体"/>
          <w:b/>
          <w:color w:val="auto"/>
          <w:kern w:val="2"/>
          <w:sz w:val="24"/>
          <w:szCs w:val="24"/>
        </w:rPr>
        <w:t>30</w:t>
      </w:r>
    </w:p>
    <w:p>
      <w:pPr>
        <w:pStyle w:val="22"/>
        <w:tabs>
          <w:tab w:val="right" w:leader="dot" w:pos="9185"/>
        </w:tabs>
        <w:spacing w:line="600" w:lineRule="auto"/>
        <w:rPr>
          <w:rFonts w:ascii="宋体" w:hAnsi="宋体" w:cs="宋体"/>
          <w:b/>
          <w:color w:val="auto"/>
          <w:kern w:val="2"/>
          <w:sz w:val="24"/>
          <w:szCs w:val="24"/>
        </w:rPr>
      </w:pPr>
      <w:r>
        <w:rPr>
          <w:rFonts w:hint="eastAsia" w:ascii="宋体" w:hAnsi="宋体" w:cs="宋体"/>
          <w:b/>
          <w:color w:val="auto"/>
          <w:kern w:val="2"/>
          <w:sz w:val="24"/>
          <w:szCs w:val="24"/>
        </w:rPr>
        <w:t>第五章、响应文件格式</w:t>
      </w:r>
      <w:r>
        <w:rPr>
          <w:rFonts w:hint="eastAsia" w:ascii="宋体" w:hAnsi="宋体" w:cs="宋体"/>
          <w:b/>
          <w:color w:val="auto"/>
          <w:kern w:val="2"/>
          <w:sz w:val="24"/>
          <w:szCs w:val="24"/>
        </w:rPr>
        <w:tab/>
      </w:r>
      <w:r>
        <w:rPr>
          <w:rFonts w:hint="eastAsia" w:ascii="宋体" w:hAnsi="宋体" w:cs="宋体"/>
          <w:b/>
          <w:color w:val="auto"/>
          <w:kern w:val="2"/>
          <w:sz w:val="24"/>
          <w:szCs w:val="24"/>
        </w:rPr>
        <w:t>31</w:t>
      </w:r>
    </w:p>
    <w:p>
      <w:pPr>
        <w:pStyle w:val="22"/>
        <w:tabs>
          <w:tab w:val="right" w:leader="dot" w:pos="9185"/>
        </w:tabs>
        <w:spacing w:line="600" w:lineRule="auto"/>
        <w:rPr>
          <w:rFonts w:ascii="宋体" w:hAnsi="宋体" w:cs="宋体"/>
          <w:b/>
          <w:color w:val="auto"/>
          <w:kern w:val="2"/>
          <w:sz w:val="24"/>
          <w:szCs w:val="24"/>
        </w:rPr>
      </w:pPr>
      <w:r>
        <w:rPr>
          <w:rFonts w:hint="eastAsia" w:ascii="宋体" w:hAnsi="宋体" w:cs="宋体"/>
          <w:b/>
          <w:color w:val="auto"/>
          <w:kern w:val="2"/>
          <w:sz w:val="24"/>
          <w:szCs w:val="24"/>
        </w:rPr>
        <w:t>第六章、评标标准（综合评估法）</w:t>
      </w:r>
      <w:r>
        <w:rPr>
          <w:rFonts w:hint="eastAsia" w:ascii="宋体" w:hAnsi="宋体" w:cs="宋体"/>
          <w:b/>
          <w:color w:val="auto"/>
          <w:kern w:val="2"/>
          <w:sz w:val="24"/>
          <w:szCs w:val="24"/>
        </w:rPr>
        <w:tab/>
      </w:r>
      <w:r>
        <w:rPr>
          <w:rFonts w:hint="eastAsia" w:ascii="宋体" w:hAnsi="宋体" w:cs="宋体"/>
          <w:b/>
          <w:color w:val="auto"/>
          <w:kern w:val="2"/>
          <w:sz w:val="24"/>
          <w:szCs w:val="24"/>
        </w:rPr>
        <w:t>45</w:t>
      </w:r>
    </w:p>
    <w:p>
      <w:pPr>
        <w:spacing w:line="312" w:lineRule="auto"/>
        <w:jc w:val="center"/>
        <w:rPr>
          <w:rFonts w:ascii="宋体" w:hAnsi="宋体" w:cs="宋体"/>
          <w:b/>
          <w:color w:val="auto"/>
          <w:sz w:val="30"/>
          <w:szCs w:val="30"/>
        </w:rPr>
      </w:pPr>
    </w:p>
    <w:p>
      <w:pPr>
        <w:spacing w:line="312" w:lineRule="auto"/>
        <w:jc w:val="center"/>
        <w:rPr>
          <w:rFonts w:ascii="宋体" w:hAnsi="宋体" w:cs="宋体"/>
          <w:b/>
          <w:color w:val="auto"/>
          <w:sz w:val="30"/>
          <w:szCs w:val="30"/>
        </w:rPr>
      </w:pPr>
    </w:p>
    <w:p>
      <w:pPr>
        <w:spacing w:line="312" w:lineRule="auto"/>
        <w:jc w:val="center"/>
        <w:rPr>
          <w:rFonts w:ascii="宋体" w:hAnsi="宋体" w:cs="宋体"/>
          <w:b/>
          <w:color w:val="auto"/>
          <w:sz w:val="30"/>
          <w:szCs w:val="30"/>
        </w:rPr>
      </w:pPr>
    </w:p>
    <w:p>
      <w:pPr>
        <w:spacing w:line="312" w:lineRule="auto"/>
        <w:jc w:val="center"/>
        <w:rPr>
          <w:rFonts w:ascii="宋体" w:hAnsi="宋体" w:cs="宋体"/>
          <w:b/>
          <w:color w:val="auto"/>
          <w:sz w:val="30"/>
          <w:szCs w:val="30"/>
        </w:rPr>
      </w:pPr>
    </w:p>
    <w:p>
      <w:pPr>
        <w:spacing w:line="312" w:lineRule="auto"/>
        <w:jc w:val="center"/>
        <w:rPr>
          <w:rFonts w:ascii="宋体" w:hAnsi="宋体" w:cs="宋体"/>
          <w:b/>
          <w:color w:val="auto"/>
          <w:sz w:val="30"/>
          <w:szCs w:val="30"/>
        </w:rPr>
      </w:pPr>
    </w:p>
    <w:p>
      <w:pPr>
        <w:spacing w:line="312" w:lineRule="auto"/>
        <w:jc w:val="center"/>
        <w:rPr>
          <w:rFonts w:ascii="宋体" w:hAnsi="宋体" w:cs="宋体"/>
          <w:b/>
          <w:color w:val="auto"/>
          <w:sz w:val="30"/>
          <w:szCs w:val="30"/>
        </w:rPr>
      </w:pPr>
    </w:p>
    <w:p>
      <w:pPr>
        <w:tabs>
          <w:tab w:val="left" w:pos="1230"/>
          <w:tab w:val="left" w:pos="1275"/>
        </w:tabs>
        <w:spacing w:line="340" w:lineRule="exact"/>
        <w:jc w:val="center"/>
        <w:rPr>
          <w:rFonts w:ascii="宋体" w:hAnsi="宋体" w:cs="宋体"/>
          <w:b/>
          <w:bCs/>
          <w:color w:val="auto"/>
          <w:sz w:val="24"/>
        </w:rPr>
      </w:pPr>
      <w:r>
        <w:rPr>
          <w:rFonts w:hint="eastAsia" w:ascii="宋体" w:hAnsi="宋体" w:cs="宋体"/>
          <w:b/>
          <w:bCs/>
          <w:color w:val="auto"/>
          <w:sz w:val="32"/>
          <w:szCs w:val="32"/>
        </w:rPr>
        <w:br w:type="page"/>
      </w:r>
      <w:r>
        <w:rPr>
          <w:rFonts w:hint="eastAsia" w:ascii="宋体" w:hAnsi="宋体" w:cs="宋体"/>
          <w:b/>
          <w:bCs/>
          <w:color w:val="auto"/>
          <w:sz w:val="32"/>
          <w:szCs w:val="32"/>
        </w:rPr>
        <w:t>第一章、竞争性磋商公告</w:t>
      </w:r>
    </w:p>
    <w:p>
      <w:pPr>
        <w:pStyle w:val="13"/>
        <w:spacing w:before="75" w:beforeAutospacing="0" w:after="75" w:afterAutospacing="0" w:line="320" w:lineRule="exact"/>
        <w:rPr>
          <w:rFonts w:cs="宋体"/>
          <w:color w:val="auto"/>
          <w:sz w:val="24"/>
          <w:szCs w:val="24"/>
        </w:rPr>
      </w:pPr>
      <w:r>
        <w:rPr>
          <w:rStyle w:val="19"/>
          <w:rFonts w:hint="eastAsia" w:cs="宋体"/>
          <w:color w:val="auto"/>
          <w:sz w:val="24"/>
          <w:szCs w:val="24"/>
        </w:rPr>
        <w:t>一、采购项目编号：</w:t>
      </w:r>
      <w:r>
        <w:rPr>
          <w:rFonts w:hint="eastAsia" w:cs="宋体"/>
          <w:color w:val="auto"/>
          <w:sz w:val="24"/>
          <w:szCs w:val="24"/>
        </w:rPr>
        <w:t>YXZB[ZC]2019-04</w:t>
      </w:r>
    </w:p>
    <w:p>
      <w:pPr>
        <w:pStyle w:val="13"/>
        <w:spacing w:before="75" w:beforeAutospacing="0" w:after="75" w:afterAutospacing="0" w:line="320" w:lineRule="exact"/>
        <w:rPr>
          <w:rFonts w:cs="宋体"/>
          <w:color w:val="auto"/>
          <w:sz w:val="24"/>
          <w:szCs w:val="24"/>
        </w:rPr>
      </w:pPr>
      <w:r>
        <w:rPr>
          <w:rStyle w:val="19"/>
          <w:rFonts w:hint="eastAsia" w:cs="宋体"/>
          <w:color w:val="auto"/>
          <w:sz w:val="24"/>
          <w:szCs w:val="24"/>
        </w:rPr>
        <w:t>二、采购组织类型：</w:t>
      </w:r>
      <w:r>
        <w:rPr>
          <w:rFonts w:hint="eastAsia" w:cs="宋体"/>
          <w:color w:val="auto"/>
          <w:sz w:val="24"/>
          <w:szCs w:val="24"/>
        </w:rPr>
        <w:t>分散采购-分散委托中介 </w:t>
      </w:r>
    </w:p>
    <w:p>
      <w:pPr>
        <w:pStyle w:val="13"/>
        <w:spacing w:before="75" w:beforeAutospacing="0" w:after="75" w:afterAutospacing="0" w:line="320" w:lineRule="exact"/>
        <w:rPr>
          <w:rFonts w:cs="宋体"/>
          <w:color w:val="auto"/>
          <w:sz w:val="24"/>
          <w:szCs w:val="24"/>
        </w:rPr>
      </w:pPr>
      <w:r>
        <w:rPr>
          <w:rStyle w:val="19"/>
          <w:rFonts w:hint="eastAsia" w:cs="宋体"/>
          <w:color w:val="auto"/>
          <w:sz w:val="24"/>
          <w:szCs w:val="24"/>
        </w:rPr>
        <w:t>三、采购项目概况</w:t>
      </w:r>
      <w:r>
        <w:rPr>
          <w:rFonts w:hint="eastAsia" w:cs="宋体"/>
          <w:color w:val="auto"/>
          <w:sz w:val="24"/>
          <w:szCs w:val="24"/>
        </w:rPr>
        <w:t>    </w:t>
      </w:r>
    </w:p>
    <w:tbl>
      <w:tblPr>
        <w:tblStyle w:val="16"/>
        <w:tblW w:w="94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18"/>
        <w:gridCol w:w="2272"/>
        <w:gridCol w:w="858"/>
        <w:gridCol w:w="1350"/>
        <w:gridCol w:w="1293"/>
        <w:gridCol w:w="1454"/>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1018" w:type="dxa"/>
            <w:tcMar>
              <w:top w:w="75" w:type="dxa"/>
              <w:left w:w="150" w:type="dxa"/>
              <w:bottom w:w="75" w:type="dxa"/>
              <w:right w:w="150" w:type="dxa"/>
            </w:tcMar>
            <w:vAlign w:val="center"/>
          </w:tcPr>
          <w:p>
            <w:pPr>
              <w:widowControl/>
              <w:spacing w:line="320" w:lineRule="exact"/>
              <w:jc w:val="center"/>
              <w:rPr>
                <w:rFonts w:ascii="宋体" w:hAnsi="宋体" w:cs="宋体"/>
                <w:color w:val="auto"/>
                <w:kern w:val="0"/>
                <w:sz w:val="24"/>
              </w:rPr>
            </w:pPr>
            <w:r>
              <w:rPr>
                <w:rFonts w:hint="eastAsia" w:ascii="宋体" w:hAnsi="宋体" w:cs="宋体"/>
                <w:color w:val="auto"/>
                <w:kern w:val="0"/>
                <w:sz w:val="24"/>
              </w:rPr>
              <w:t>标项序号</w:t>
            </w:r>
          </w:p>
        </w:tc>
        <w:tc>
          <w:tcPr>
            <w:tcW w:w="2272" w:type="dxa"/>
            <w:tcMar>
              <w:top w:w="75" w:type="dxa"/>
              <w:left w:w="150" w:type="dxa"/>
              <w:bottom w:w="75" w:type="dxa"/>
              <w:right w:w="150" w:type="dxa"/>
            </w:tcMar>
            <w:vAlign w:val="center"/>
          </w:tcPr>
          <w:p>
            <w:pPr>
              <w:widowControl/>
              <w:spacing w:line="320" w:lineRule="exact"/>
              <w:jc w:val="center"/>
              <w:rPr>
                <w:rFonts w:ascii="宋体" w:hAnsi="宋体" w:cs="宋体"/>
                <w:color w:val="auto"/>
                <w:kern w:val="0"/>
                <w:sz w:val="24"/>
              </w:rPr>
            </w:pPr>
            <w:r>
              <w:rPr>
                <w:rFonts w:hint="eastAsia" w:ascii="宋体" w:hAnsi="宋体" w:cs="宋体"/>
                <w:color w:val="auto"/>
                <w:kern w:val="0"/>
                <w:sz w:val="24"/>
              </w:rPr>
              <w:t>标项名称</w:t>
            </w:r>
          </w:p>
        </w:tc>
        <w:tc>
          <w:tcPr>
            <w:tcW w:w="858" w:type="dxa"/>
            <w:tcMar>
              <w:top w:w="75" w:type="dxa"/>
              <w:left w:w="150" w:type="dxa"/>
              <w:bottom w:w="75" w:type="dxa"/>
              <w:right w:w="150" w:type="dxa"/>
            </w:tcMar>
            <w:vAlign w:val="center"/>
          </w:tcPr>
          <w:p>
            <w:pPr>
              <w:widowControl/>
              <w:spacing w:line="320" w:lineRule="exact"/>
              <w:jc w:val="center"/>
              <w:rPr>
                <w:rFonts w:ascii="宋体" w:hAnsi="宋体" w:cs="宋体"/>
                <w:color w:val="auto"/>
                <w:kern w:val="0"/>
                <w:sz w:val="24"/>
              </w:rPr>
            </w:pPr>
            <w:r>
              <w:rPr>
                <w:rFonts w:hint="eastAsia" w:ascii="宋体" w:hAnsi="宋体" w:cs="宋体"/>
                <w:color w:val="auto"/>
                <w:kern w:val="0"/>
                <w:sz w:val="24"/>
              </w:rPr>
              <w:t>数量</w:t>
            </w:r>
          </w:p>
        </w:tc>
        <w:tc>
          <w:tcPr>
            <w:tcW w:w="1350" w:type="dxa"/>
            <w:tcMar>
              <w:top w:w="75" w:type="dxa"/>
              <w:left w:w="150" w:type="dxa"/>
              <w:bottom w:w="75" w:type="dxa"/>
              <w:right w:w="150" w:type="dxa"/>
            </w:tcMar>
            <w:vAlign w:val="center"/>
          </w:tcPr>
          <w:p>
            <w:pPr>
              <w:widowControl/>
              <w:spacing w:line="320" w:lineRule="exact"/>
              <w:jc w:val="center"/>
              <w:rPr>
                <w:rFonts w:ascii="宋体" w:hAnsi="宋体" w:cs="宋体"/>
                <w:color w:val="auto"/>
                <w:kern w:val="0"/>
                <w:sz w:val="24"/>
              </w:rPr>
            </w:pPr>
            <w:r>
              <w:rPr>
                <w:rFonts w:hint="eastAsia" w:ascii="宋体" w:hAnsi="宋体" w:cs="宋体"/>
                <w:color w:val="auto"/>
                <w:kern w:val="0"/>
                <w:sz w:val="24"/>
              </w:rPr>
              <w:t>预算金额(元)</w:t>
            </w:r>
          </w:p>
        </w:tc>
        <w:tc>
          <w:tcPr>
            <w:tcW w:w="1293" w:type="dxa"/>
            <w:tcMar>
              <w:top w:w="75" w:type="dxa"/>
              <w:left w:w="150" w:type="dxa"/>
              <w:bottom w:w="75" w:type="dxa"/>
              <w:right w:w="150" w:type="dxa"/>
            </w:tcMar>
            <w:vAlign w:val="center"/>
          </w:tcPr>
          <w:p>
            <w:pPr>
              <w:widowControl/>
              <w:spacing w:line="320" w:lineRule="exact"/>
              <w:jc w:val="center"/>
              <w:rPr>
                <w:rFonts w:ascii="宋体" w:hAnsi="宋体" w:cs="宋体"/>
                <w:color w:val="auto"/>
                <w:kern w:val="0"/>
                <w:sz w:val="24"/>
              </w:rPr>
            </w:pPr>
            <w:r>
              <w:rPr>
                <w:rFonts w:hint="eastAsia" w:ascii="宋体" w:hAnsi="宋体" w:cs="宋体"/>
                <w:color w:val="auto"/>
                <w:kern w:val="0"/>
                <w:sz w:val="24"/>
              </w:rPr>
              <w:t>单位</w:t>
            </w:r>
          </w:p>
        </w:tc>
        <w:tc>
          <w:tcPr>
            <w:tcW w:w="1454" w:type="dxa"/>
            <w:tcMar>
              <w:top w:w="75" w:type="dxa"/>
              <w:left w:w="150" w:type="dxa"/>
              <w:bottom w:w="75" w:type="dxa"/>
              <w:right w:w="150" w:type="dxa"/>
            </w:tcMar>
            <w:vAlign w:val="center"/>
          </w:tcPr>
          <w:p>
            <w:pPr>
              <w:widowControl/>
              <w:spacing w:line="320" w:lineRule="exact"/>
              <w:jc w:val="center"/>
              <w:rPr>
                <w:rFonts w:ascii="宋体" w:hAnsi="宋体" w:cs="宋体"/>
                <w:color w:val="auto"/>
                <w:kern w:val="0"/>
                <w:sz w:val="24"/>
              </w:rPr>
            </w:pPr>
            <w:r>
              <w:rPr>
                <w:rFonts w:hint="eastAsia" w:ascii="宋体" w:hAnsi="宋体" w:cs="宋体"/>
                <w:color w:val="auto"/>
                <w:kern w:val="0"/>
                <w:sz w:val="24"/>
              </w:rPr>
              <w:t>简要规格描述</w:t>
            </w:r>
          </w:p>
        </w:tc>
        <w:tc>
          <w:tcPr>
            <w:tcW w:w="1196" w:type="dxa"/>
            <w:tcMar>
              <w:top w:w="75" w:type="dxa"/>
              <w:left w:w="150" w:type="dxa"/>
              <w:bottom w:w="75" w:type="dxa"/>
              <w:right w:w="150" w:type="dxa"/>
            </w:tcMar>
            <w:vAlign w:val="center"/>
          </w:tcPr>
          <w:p>
            <w:pPr>
              <w:widowControl/>
              <w:spacing w:line="320" w:lineRule="exact"/>
              <w:jc w:val="center"/>
              <w:rPr>
                <w:rFonts w:ascii="宋体" w:hAnsi="宋体" w:cs="宋体"/>
                <w:color w:val="auto"/>
                <w:kern w:val="0"/>
                <w:sz w:val="24"/>
              </w:rPr>
            </w:pPr>
            <w:r>
              <w:rPr>
                <w:rFonts w:hint="eastAsia" w:ascii="宋体" w:hAnsi="宋体" w:cs="宋体"/>
                <w:color w:val="auto"/>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214" w:hRule="atLeast"/>
          <w:jc w:val="center"/>
        </w:trPr>
        <w:tc>
          <w:tcPr>
            <w:tcW w:w="1018" w:type="dxa"/>
            <w:tcMar>
              <w:top w:w="75" w:type="dxa"/>
              <w:left w:w="150" w:type="dxa"/>
              <w:bottom w:w="75" w:type="dxa"/>
              <w:right w:w="150" w:type="dxa"/>
            </w:tcMar>
            <w:vAlign w:val="center"/>
          </w:tcPr>
          <w:p>
            <w:pPr>
              <w:widowControl/>
              <w:spacing w:line="320" w:lineRule="exact"/>
              <w:jc w:val="center"/>
              <w:rPr>
                <w:rFonts w:ascii="宋体" w:hAnsi="宋体" w:cs="宋体"/>
                <w:color w:val="auto"/>
                <w:kern w:val="0"/>
                <w:sz w:val="24"/>
              </w:rPr>
            </w:pPr>
            <w:r>
              <w:rPr>
                <w:rFonts w:hint="eastAsia" w:ascii="宋体" w:hAnsi="宋体" w:cs="宋体"/>
                <w:color w:val="auto"/>
                <w:kern w:val="0"/>
                <w:sz w:val="24"/>
              </w:rPr>
              <w:t>1</w:t>
            </w:r>
          </w:p>
        </w:tc>
        <w:tc>
          <w:tcPr>
            <w:tcW w:w="2272" w:type="dxa"/>
            <w:tcMar>
              <w:top w:w="75" w:type="dxa"/>
              <w:left w:w="150" w:type="dxa"/>
              <w:bottom w:w="75" w:type="dxa"/>
              <w:right w:w="150" w:type="dxa"/>
            </w:tcMar>
            <w:vAlign w:val="center"/>
          </w:tcPr>
          <w:p>
            <w:pPr>
              <w:widowControl/>
              <w:spacing w:line="320" w:lineRule="exact"/>
              <w:jc w:val="center"/>
              <w:rPr>
                <w:rFonts w:ascii="宋体" w:hAnsi="宋体" w:cs="宋体"/>
                <w:color w:val="auto"/>
                <w:kern w:val="0"/>
                <w:sz w:val="24"/>
              </w:rPr>
            </w:pPr>
            <w:r>
              <w:rPr>
                <w:rFonts w:hint="eastAsia" w:ascii="宋体" w:hAnsi="宋体" w:cs="宋体"/>
                <w:color w:val="auto"/>
                <w:kern w:val="0"/>
                <w:sz w:val="24"/>
              </w:rPr>
              <w:t>新疆医科大学厚博学院（克拉玛依校区）消防维保服务</w:t>
            </w:r>
          </w:p>
        </w:tc>
        <w:tc>
          <w:tcPr>
            <w:tcW w:w="858" w:type="dxa"/>
            <w:tcMar>
              <w:top w:w="75" w:type="dxa"/>
              <w:left w:w="150" w:type="dxa"/>
              <w:bottom w:w="75" w:type="dxa"/>
              <w:right w:w="150" w:type="dxa"/>
            </w:tcMar>
            <w:vAlign w:val="center"/>
          </w:tcPr>
          <w:p>
            <w:pPr>
              <w:widowControl/>
              <w:spacing w:line="320" w:lineRule="exact"/>
              <w:jc w:val="center"/>
              <w:rPr>
                <w:rFonts w:ascii="宋体" w:hAnsi="宋体" w:cs="宋体"/>
                <w:color w:val="auto"/>
                <w:kern w:val="0"/>
                <w:sz w:val="24"/>
              </w:rPr>
            </w:pPr>
            <w:r>
              <w:rPr>
                <w:rFonts w:hint="eastAsia" w:ascii="宋体" w:hAnsi="宋体" w:cs="宋体"/>
                <w:color w:val="auto"/>
                <w:kern w:val="0"/>
                <w:sz w:val="24"/>
              </w:rPr>
              <w:t>1</w:t>
            </w:r>
          </w:p>
        </w:tc>
        <w:tc>
          <w:tcPr>
            <w:tcW w:w="1350" w:type="dxa"/>
            <w:tcMar>
              <w:top w:w="75" w:type="dxa"/>
              <w:left w:w="150" w:type="dxa"/>
              <w:bottom w:w="75" w:type="dxa"/>
              <w:right w:w="150" w:type="dxa"/>
            </w:tcMar>
            <w:vAlign w:val="center"/>
          </w:tcPr>
          <w:p>
            <w:pPr>
              <w:widowControl/>
              <w:spacing w:line="320" w:lineRule="exact"/>
              <w:jc w:val="center"/>
              <w:rPr>
                <w:rFonts w:hint="default" w:ascii="宋体" w:hAnsi="宋体" w:eastAsia="宋体" w:cs="宋体"/>
                <w:color w:val="auto"/>
                <w:kern w:val="0"/>
                <w:sz w:val="24"/>
                <w:lang w:val="en-US" w:eastAsia="zh-CN"/>
              </w:rPr>
            </w:pPr>
            <w:r>
              <w:rPr>
                <w:rFonts w:hint="eastAsia" w:ascii="宋体" w:hAnsi="宋体" w:cs="宋体"/>
                <w:color w:val="auto"/>
                <w:kern w:val="0"/>
                <w:sz w:val="24"/>
              </w:rPr>
              <w:t>280000</w:t>
            </w:r>
            <w:r>
              <w:rPr>
                <w:rFonts w:hint="eastAsia" w:ascii="宋体" w:hAnsi="宋体" w:cs="宋体"/>
                <w:color w:val="auto"/>
                <w:kern w:val="0"/>
                <w:sz w:val="24"/>
                <w:lang w:val="en-US" w:eastAsia="zh-CN"/>
              </w:rPr>
              <w:t>/年</w:t>
            </w:r>
          </w:p>
        </w:tc>
        <w:tc>
          <w:tcPr>
            <w:tcW w:w="1293" w:type="dxa"/>
            <w:tcMar>
              <w:top w:w="75" w:type="dxa"/>
              <w:left w:w="150" w:type="dxa"/>
              <w:bottom w:w="75" w:type="dxa"/>
              <w:right w:w="150" w:type="dxa"/>
            </w:tcMar>
            <w:vAlign w:val="center"/>
          </w:tcPr>
          <w:p>
            <w:pPr>
              <w:widowControl/>
              <w:spacing w:line="320" w:lineRule="exact"/>
              <w:jc w:val="center"/>
              <w:rPr>
                <w:rFonts w:ascii="宋体" w:hAnsi="宋体" w:cs="宋体"/>
                <w:color w:val="auto"/>
                <w:kern w:val="0"/>
                <w:sz w:val="24"/>
              </w:rPr>
            </w:pPr>
            <w:r>
              <w:rPr>
                <w:rFonts w:hint="eastAsia" w:ascii="宋体" w:hAnsi="宋体" w:cs="宋体"/>
                <w:color w:val="auto"/>
                <w:kern w:val="0"/>
                <w:sz w:val="24"/>
              </w:rPr>
              <w:t>批</w:t>
            </w:r>
          </w:p>
        </w:tc>
        <w:tc>
          <w:tcPr>
            <w:tcW w:w="1454" w:type="dxa"/>
            <w:tcMar>
              <w:top w:w="75" w:type="dxa"/>
              <w:left w:w="150" w:type="dxa"/>
              <w:bottom w:w="75" w:type="dxa"/>
              <w:right w:w="150" w:type="dxa"/>
            </w:tcMar>
            <w:vAlign w:val="center"/>
          </w:tcPr>
          <w:p>
            <w:pPr>
              <w:widowControl/>
              <w:spacing w:line="320" w:lineRule="exact"/>
              <w:jc w:val="center"/>
              <w:rPr>
                <w:rFonts w:ascii="宋体" w:hAnsi="宋体" w:cs="宋体"/>
                <w:color w:val="auto"/>
                <w:kern w:val="0"/>
                <w:sz w:val="24"/>
              </w:rPr>
            </w:pPr>
            <w:r>
              <w:rPr>
                <w:rFonts w:hint="eastAsia" w:ascii="宋体" w:hAnsi="宋体" w:cs="宋体"/>
                <w:color w:val="auto"/>
                <w:kern w:val="0"/>
                <w:sz w:val="24"/>
              </w:rPr>
              <w:t>/</w:t>
            </w:r>
          </w:p>
        </w:tc>
        <w:tc>
          <w:tcPr>
            <w:tcW w:w="1196" w:type="dxa"/>
            <w:tcMar>
              <w:top w:w="75" w:type="dxa"/>
              <w:left w:w="150" w:type="dxa"/>
              <w:bottom w:w="75" w:type="dxa"/>
              <w:right w:w="150" w:type="dxa"/>
            </w:tcMar>
            <w:vAlign w:val="center"/>
          </w:tcPr>
          <w:p>
            <w:pPr>
              <w:pStyle w:val="2"/>
              <w:jc w:val="both"/>
              <w:rPr>
                <w:rFonts w:hint="eastAsia" w:ascii="宋体" w:hAnsi="宋体" w:cs="宋体"/>
                <w:color w:val="auto"/>
                <w:lang w:val="en-US" w:eastAsia="zh-CN"/>
              </w:rPr>
            </w:pPr>
          </w:p>
          <w:p>
            <w:pPr>
              <w:pStyle w:val="2"/>
              <w:jc w:val="center"/>
              <w:rPr>
                <w:rFonts w:ascii="宋体" w:hAnsi="宋体" w:cs="宋体"/>
                <w:color w:val="auto"/>
                <w:sz w:val="18"/>
                <w:szCs w:val="18"/>
              </w:rPr>
            </w:pPr>
            <w:r>
              <w:rPr>
                <w:rFonts w:hint="eastAsia" w:ascii="宋体" w:hAnsi="宋体" w:cs="宋体"/>
                <w:color w:val="auto"/>
                <w:kern w:val="0"/>
                <w:sz w:val="24"/>
              </w:rPr>
              <w:t>/</w:t>
            </w:r>
          </w:p>
        </w:tc>
      </w:tr>
    </w:tbl>
    <w:p>
      <w:pPr>
        <w:pStyle w:val="13"/>
        <w:numPr>
          <w:ilvl w:val="0"/>
          <w:numId w:val="2"/>
        </w:numPr>
        <w:spacing w:before="75" w:beforeAutospacing="0" w:after="75" w:afterAutospacing="0" w:line="320" w:lineRule="exact"/>
        <w:rPr>
          <w:rStyle w:val="19"/>
          <w:rFonts w:cs="宋体"/>
          <w:color w:val="auto"/>
          <w:sz w:val="24"/>
          <w:szCs w:val="24"/>
        </w:rPr>
      </w:pPr>
      <w:r>
        <w:rPr>
          <w:rStyle w:val="19"/>
          <w:rFonts w:hint="eastAsia" w:cs="宋体"/>
          <w:color w:val="auto"/>
          <w:sz w:val="24"/>
          <w:szCs w:val="24"/>
        </w:rPr>
        <w:t>磋商供应商资格要求:</w:t>
      </w:r>
    </w:p>
    <w:p>
      <w:pPr>
        <w:tabs>
          <w:tab w:val="left" w:pos="1134"/>
        </w:tabs>
        <w:snapToGrid w:val="0"/>
        <w:spacing w:line="460" w:lineRule="exact"/>
        <w:jc w:val="left"/>
        <w:rPr>
          <w:rFonts w:ascii="宋体" w:hAnsi="宋体" w:cs="宋体"/>
          <w:color w:val="auto"/>
          <w:kern w:val="0"/>
          <w:sz w:val="24"/>
        </w:rPr>
      </w:pPr>
      <w:r>
        <w:rPr>
          <w:rFonts w:hint="eastAsia" w:ascii="宋体" w:hAnsi="宋体" w:cs="宋体"/>
          <w:color w:val="auto"/>
          <w:kern w:val="0"/>
          <w:sz w:val="24"/>
        </w:rPr>
        <w:t>（一）基本资格条件：</w:t>
      </w:r>
    </w:p>
    <w:p>
      <w:pPr>
        <w:tabs>
          <w:tab w:val="left" w:pos="1134"/>
        </w:tabs>
        <w:snapToGrid w:val="0"/>
        <w:spacing w:line="460" w:lineRule="exact"/>
        <w:ind w:firstLine="720" w:firstLineChars="300"/>
        <w:rPr>
          <w:rFonts w:ascii="宋体" w:hAnsi="宋体" w:cs="宋体"/>
          <w:color w:val="auto"/>
          <w:kern w:val="0"/>
          <w:sz w:val="24"/>
        </w:rPr>
      </w:pPr>
      <w:r>
        <w:rPr>
          <w:rFonts w:hint="eastAsia" w:ascii="宋体" w:hAnsi="宋体" w:cs="宋体"/>
          <w:color w:val="auto"/>
          <w:kern w:val="0"/>
          <w:sz w:val="24"/>
        </w:rPr>
        <w:t>1.具有独立承担民事责任的能力；</w:t>
      </w:r>
    </w:p>
    <w:p>
      <w:pPr>
        <w:tabs>
          <w:tab w:val="left" w:pos="0"/>
        </w:tabs>
        <w:snapToGrid w:val="0"/>
        <w:spacing w:line="460" w:lineRule="exact"/>
        <w:ind w:left="9" w:firstLine="698" w:firstLineChars="291"/>
        <w:rPr>
          <w:rFonts w:ascii="宋体" w:hAnsi="宋体" w:cs="宋体"/>
          <w:color w:val="auto"/>
          <w:kern w:val="0"/>
          <w:sz w:val="24"/>
        </w:rPr>
      </w:pPr>
      <w:r>
        <w:rPr>
          <w:rFonts w:hint="eastAsia" w:ascii="宋体" w:hAnsi="宋体" w:cs="宋体"/>
          <w:color w:val="auto"/>
          <w:kern w:val="0"/>
          <w:sz w:val="24"/>
        </w:rPr>
        <w:t>2.具有良好的商业信誉和健全的财务会计制度；</w:t>
      </w:r>
    </w:p>
    <w:p>
      <w:pPr>
        <w:tabs>
          <w:tab w:val="left" w:pos="1134"/>
        </w:tabs>
        <w:snapToGrid w:val="0"/>
        <w:spacing w:line="460" w:lineRule="exact"/>
        <w:ind w:left="709"/>
        <w:rPr>
          <w:rFonts w:ascii="宋体" w:hAnsi="宋体" w:cs="宋体"/>
          <w:color w:val="auto"/>
          <w:kern w:val="0"/>
          <w:sz w:val="24"/>
        </w:rPr>
      </w:pPr>
      <w:r>
        <w:rPr>
          <w:rFonts w:hint="eastAsia" w:ascii="宋体" w:hAnsi="宋体" w:cs="宋体"/>
          <w:color w:val="auto"/>
          <w:kern w:val="0"/>
          <w:sz w:val="24"/>
        </w:rPr>
        <w:t>3.具有履行合同所必需的设备和专业技术能力；</w:t>
      </w:r>
    </w:p>
    <w:p>
      <w:pPr>
        <w:tabs>
          <w:tab w:val="left" w:pos="1134"/>
        </w:tabs>
        <w:snapToGrid w:val="0"/>
        <w:spacing w:line="460" w:lineRule="exact"/>
        <w:ind w:left="709"/>
        <w:rPr>
          <w:rFonts w:ascii="宋体" w:hAnsi="宋体" w:cs="宋体"/>
          <w:color w:val="auto"/>
          <w:kern w:val="0"/>
          <w:sz w:val="24"/>
        </w:rPr>
      </w:pPr>
      <w:r>
        <w:rPr>
          <w:rFonts w:hint="eastAsia" w:ascii="宋体" w:hAnsi="宋体" w:cs="宋体"/>
          <w:color w:val="auto"/>
          <w:kern w:val="0"/>
          <w:sz w:val="24"/>
        </w:rPr>
        <w:t>4.有依法缴纳税收和社会保障资金的良好记录；</w:t>
      </w:r>
    </w:p>
    <w:p>
      <w:pPr>
        <w:tabs>
          <w:tab w:val="left" w:pos="0"/>
        </w:tabs>
        <w:snapToGrid w:val="0"/>
        <w:spacing w:line="460" w:lineRule="exact"/>
        <w:ind w:left="9" w:firstLine="698" w:firstLineChars="291"/>
        <w:rPr>
          <w:rFonts w:ascii="宋体" w:hAnsi="宋体" w:cs="宋体"/>
          <w:color w:val="auto"/>
          <w:kern w:val="0"/>
          <w:sz w:val="24"/>
        </w:rPr>
      </w:pPr>
      <w:r>
        <w:rPr>
          <w:rFonts w:hint="eastAsia" w:ascii="宋体" w:hAnsi="宋体" w:cs="宋体"/>
          <w:color w:val="auto"/>
          <w:kern w:val="0"/>
          <w:sz w:val="24"/>
        </w:rPr>
        <w:t>5.参加政府采购活动前三年内，</w:t>
      </w:r>
      <w:r>
        <w:rPr>
          <w:rFonts w:hint="eastAsia"/>
          <w:color w:val="auto"/>
          <w:sz w:val="24"/>
        </w:rPr>
        <w:t>在经营活动中没有重大违法记录</w:t>
      </w:r>
      <w:r>
        <w:rPr>
          <w:rFonts w:hint="eastAsia" w:ascii="宋体" w:hAnsi="宋体" w:cs="宋体"/>
          <w:color w:val="auto"/>
          <w:kern w:val="0"/>
          <w:sz w:val="24"/>
        </w:rPr>
        <w:t>。</w:t>
      </w:r>
    </w:p>
    <w:p>
      <w:pPr>
        <w:tabs>
          <w:tab w:val="left" w:pos="0"/>
        </w:tabs>
        <w:snapToGrid w:val="0"/>
        <w:spacing w:line="460" w:lineRule="exact"/>
        <w:rPr>
          <w:rFonts w:ascii="宋体" w:hAnsi="宋体" w:cs="宋体"/>
          <w:color w:val="auto"/>
          <w:kern w:val="0"/>
          <w:sz w:val="24"/>
        </w:rPr>
      </w:pPr>
      <w:r>
        <w:rPr>
          <w:rFonts w:hint="eastAsia" w:ascii="宋体" w:hAnsi="宋体" w:cs="宋体"/>
          <w:color w:val="auto"/>
          <w:kern w:val="0"/>
          <w:sz w:val="24"/>
        </w:rPr>
        <w:t>（二）特定资格条件：</w:t>
      </w:r>
    </w:p>
    <w:p>
      <w:pPr>
        <w:tabs>
          <w:tab w:val="left" w:pos="0"/>
        </w:tabs>
        <w:snapToGrid w:val="0"/>
        <w:spacing w:line="460" w:lineRule="exact"/>
        <w:ind w:firstLine="720" w:firstLineChars="300"/>
        <w:rPr>
          <w:color w:val="auto"/>
          <w:sz w:val="24"/>
        </w:rPr>
      </w:pPr>
      <w:r>
        <w:rPr>
          <w:rFonts w:hint="eastAsia" w:ascii="宋体" w:hAnsi="宋体" w:cs="宋体"/>
          <w:color w:val="auto"/>
          <w:kern w:val="0"/>
          <w:sz w:val="24"/>
        </w:rPr>
        <w:t>1、</w:t>
      </w:r>
      <w:r>
        <w:rPr>
          <w:rFonts w:hint="eastAsia"/>
          <w:color w:val="auto"/>
          <w:sz w:val="24"/>
        </w:rPr>
        <w:t>在中华人民共和国境内注册，具有独立法人资格并依法取得企业营业执照且营业执照在有效期内；</w:t>
      </w:r>
    </w:p>
    <w:p>
      <w:pPr>
        <w:tabs>
          <w:tab w:val="left" w:pos="0"/>
        </w:tabs>
        <w:snapToGrid w:val="0"/>
        <w:spacing w:line="460" w:lineRule="exact"/>
        <w:ind w:firstLine="720" w:firstLineChars="300"/>
        <w:rPr>
          <w:color w:val="auto"/>
          <w:sz w:val="24"/>
        </w:rPr>
      </w:pPr>
      <w:r>
        <w:rPr>
          <w:rFonts w:hint="eastAsia"/>
          <w:color w:val="auto"/>
          <w:sz w:val="24"/>
        </w:rPr>
        <w:t>2、具有有效期内的</w:t>
      </w:r>
      <w:r>
        <w:rPr>
          <w:rFonts w:hint="eastAsia" w:asciiTheme="minorEastAsia" w:hAnsiTheme="minorEastAsia" w:eastAsiaTheme="minorEastAsia" w:cstheme="minorEastAsia"/>
          <w:color w:val="auto"/>
          <w:sz w:val="24"/>
        </w:rPr>
        <w:t>消防设施维护保养检测机构</w:t>
      </w:r>
      <w:r>
        <w:rPr>
          <w:rFonts w:hint="eastAsia"/>
          <w:color w:val="auto"/>
          <w:sz w:val="24"/>
        </w:rPr>
        <w:t>二级及以上资质</w:t>
      </w:r>
      <w:r>
        <w:rPr>
          <w:rFonts w:hint="eastAsia"/>
          <w:color w:val="auto"/>
          <w:sz w:val="24"/>
        </w:rPr>
        <w:t>；</w:t>
      </w:r>
    </w:p>
    <w:p>
      <w:pPr>
        <w:tabs>
          <w:tab w:val="left" w:pos="0"/>
        </w:tabs>
        <w:snapToGrid w:val="0"/>
        <w:spacing w:line="460" w:lineRule="exact"/>
        <w:ind w:firstLine="720" w:firstLineChars="300"/>
        <w:rPr>
          <w:color w:val="auto"/>
          <w:sz w:val="24"/>
        </w:rPr>
      </w:pPr>
      <w:r>
        <w:rPr>
          <w:rFonts w:hint="eastAsia"/>
          <w:color w:val="auto"/>
          <w:sz w:val="24"/>
        </w:rPr>
        <w:t>3、在信合联服网站完成诚信注册备案</w:t>
      </w:r>
      <w:r>
        <w:rPr>
          <w:rFonts w:hint="eastAsia"/>
          <w:color w:val="auto"/>
          <w:sz w:val="24"/>
          <w:lang w:eastAsia="zh-CN"/>
        </w:rPr>
        <w:t>，</w:t>
      </w:r>
      <w:r>
        <w:rPr>
          <w:rFonts w:hint="eastAsia"/>
          <w:color w:val="auto"/>
          <w:sz w:val="24"/>
          <w:lang w:val="en-US" w:eastAsia="zh-CN"/>
        </w:rPr>
        <w:t>并且综合信用等级为C级以上（含C级）。</w:t>
      </w:r>
      <w:r>
        <w:rPr>
          <w:rFonts w:hint="eastAsia"/>
          <w:color w:val="auto"/>
          <w:sz w:val="24"/>
        </w:rPr>
        <w:t>（企业备案信息有效期为一年，到期后需进行年度审核。网址：http://www.xhlfzx.com.cn/，地址：克拉玛依市政府2号楼政务服务和公共资源交易大厅信用服务窗口，联系电话：0990-6223850）。</w:t>
      </w:r>
    </w:p>
    <w:p>
      <w:pPr>
        <w:tabs>
          <w:tab w:val="left" w:pos="0"/>
        </w:tabs>
        <w:snapToGrid w:val="0"/>
        <w:spacing w:line="460" w:lineRule="exact"/>
        <w:rPr>
          <w:rFonts w:ascii="宋体" w:hAnsi="宋体" w:cs="宋体"/>
          <w:color w:val="auto"/>
          <w:kern w:val="0"/>
          <w:sz w:val="24"/>
        </w:rPr>
      </w:pPr>
      <w:r>
        <w:rPr>
          <w:rFonts w:hint="eastAsia" w:ascii="宋体" w:hAnsi="宋体" w:cs="宋体"/>
          <w:color w:val="auto"/>
          <w:kern w:val="0"/>
          <w:sz w:val="24"/>
        </w:rPr>
        <w:t>（三）本项目不接受联合体供应商参加磋商活动。</w:t>
      </w:r>
    </w:p>
    <w:p>
      <w:pPr>
        <w:pStyle w:val="13"/>
        <w:spacing w:before="75" w:beforeAutospacing="0" w:after="75" w:afterAutospacing="0" w:line="320" w:lineRule="exact"/>
        <w:rPr>
          <w:rStyle w:val="19"/>
          <w:rFonts w:cs="宋体"/>
          <w:color w:val="auto"/>
          <w:sz w:val="24"/>
          <w:szCs w:val="24"/>
        </w:rPr>
      </w:pPr>
      <w:r>
        <w:rPr>
          <w:rStyle w:val="19"/>
          <w:rFonts w:hint="eastAsia" w:cs="宋体"/>
          <w:color w:val="auto"/>
          <w:sz w:val="24"/>
          <w:szCs w:val="24"/>
        </w:rPr>
        <w:t>五、磋商文件发售时间、地址、</w:t>
      </w:r>
      <w:r>
        <w:rPr>
          <w:rStyle w:val="19"/>
          <w:rFonts w:hint="eastAsia" w:cs="宋体"/>
          <w:color w:val="auto"/>
          <w:sz w:val="24"/>
          <w:szCs w:val="24"/>
        </w:rPr>
        <w:t>方式</w:t>
      </w:r>
      <w:r>
        <w:rPr>
          <w:rStyle w:val="19"/>
          <w:rFonts w:hint="eastAsia" w:cs="宋体"/>
          <w:color w:val="auto"/>
          <w:sz w:val="24"/>
          <w:szCs w:val="24"/>
          <w:lang w:eastAsia="zh-CN"/>
        </w:rPr>
        <w:t>、</w:t>
      </w:r>
      <w:r>
        <w:rPr>
          <w:rStyle w:val="19"/>
          <w:rFonts w:hint="eastAsia" w:cs="宋体"/>
          <w:color w:val="auto"/>
          <w:sz w:val="24"/>
          <w:szCs w:val="24"/>
        </w:rPr>
        <w:t>售价:</w:t>
      </w:r>
    </w:p>
    <w:p>
      <w:pPr>
        <w:pStyle w:val="13"/>
        <w:spacing w:before="75" w:beforeAutospacing="0" w:after="75" w:afterAutospacing="0" w:line="320" w:lineRule="exact"/>
        <w:rPr>
          <w:rFonts w:hint="default" w:eastAsia="宋体" w:cs="宋体"/>
          <w:color w:val="auto"/>
          <w:sz w:val="24"/>
          <w:szCs w:val="24"/>
          <w:lang w:val="en-US" w:eastAsia="zh-CN"/>
        </w:rPr>
      </w:pPr>
      <w:r>
        <w:rPr>
          <w:rStyle w:val="19"/>
          <w:rFonts w:hint="eastAsia" w:cs="宋体"/>
          <w:color w:val="auto"/>
          <w:sz w:val="24"/>
          <w:szCs w:val="24"/>
        </w:rPr>
        <w:t>1. 发售时间：</w:t>
      </w:r>
      <w:r>
        <w:rPr>
          <w:rFonts w:hint="eastAsia" w:cs="宋体"/>
          <w:color w:val="auto"/>
          <w:sz w:val="24"/>
          <w:szCs w:val="24"/>
        </w:rPr>
        <w:t>2019-0</w:t>
      </w:r>
      <w:r>
        <w:rPr>
          <w:rFonts w:hint="eastAsia" w:cs="宋体"/>
          <w:color w:val="auto"/>
          <w:sz w:val="24"/>
          <w:szCs w:val="24"/>
          <w:lang w:val="en-US" w:eastAsia="zh-CN"/>
        </w:rPr>
        <w:t>7</w:t>
      </w:r>
      <w:r>
        <w:rPr>
          <w:rFonts w:hint="eastAsia" w:cs="宋体"/>
          <w:color w:val="auto"/>
          <w:sz w:val="24"/>
          <w:szCs w:val="24"/>
        </w:rPr>
        <w:t>-</w:t>
      </w:r>
      <w:r>
        <w:rPr>
          <w:rFonts w:hint="eastAsia" w:cs="宋体"/>
          <w:color w:val="auto"/>
          <w:sz w:val="24"/>
          <w:szCs w:val="24"/>
          <w:lang w:val="en-US" w:eastAsia="zh-CN"/>
        </w:rPr>
        <w:t>03</w:t>
      </w:r>
      <w:r>
        <w:rPr>
          <w:rFonts w:hint="eastAsia" w:cs="宋体"/>
          <w:color w:val="auto"/>
          <w:sz w:val="24"/>
          <w:szCs w:val="24"/>
        </w:rPr>
        <w:t>至2019-0</w:t>
      </w:r>
      <w:r>
        <w:rPr>
          <w:rFonts w:hint="eastAsia" w:cs="宋体"/>
          <w:color w:val="auto"/>
          <w:sz w:val="24"/>
          <w:szCs w:val="24"/>
          <w:lang w:val="en-US" w:eastAsia="zh-CN"/>
        </w:rPr>
        <w:t>7</w:t>
      </w:r>
      <w:r>
        <w:rPr>
          <w:rFonts w:hint="eastAsia" w:cs="宋体"/>
          <w:color w:val="auto"/>
          <w:sz w:val="24"/>
          <w:szCs w:val="24"/>
        </w:rPr>
        <w:t>-</w:t>
      </w:r>
      <w:r>
        <w:rPr>
          <w:rFonts w:hint="eastAsia" w:cs="宋体"/>
          <w:color w:val="auto"/>
          <w:sz w:val="24"/>
          <w:szCs w:val="24"/>
          <w:lang w:val="en-US" w:eastAsia="zh-CN"/>
        </w:rPr>
        <w:t>09</w:t>
      </w:r>
    </w:p>
    <w:p>
      <w:pPr>
        <w:pStyle w:val="13"/>
        <w:spacing w:before="75" w:beforeAutospacing="0" w:after="75" w:afterAutospacing="0" w:line="320" w:lineRule="exact"/>
        <w:rPr>
          <w:rFonts w:cs="宋体"/>
          <w:color w:val="auto"/>
          <w:sz w:val="24"/>
          <w:szCs w:val="24"/>
        </w:rPr>
      </w:pPr>
      <w:r>
        <w:rPr>
          <w:rStyle w:val="19"/>
          <w:rFonts w:hint="eastAsia" w:cs="宋体"/>
          <w:color w:val="auto"/>
          <w:sz w:val="24"/>
          <w:szCs w:val="24"/>
        </w:rPr>
        <w:t>上午：</w:t>
      </w:r>
      <w:r>
        <w:rPr>
          <w:rFonts w:hint="eastAsia" w:cs="宋体"/>
          <w:color w:val="auto"/>
          <w:sz w:val="24"/>
          <w:szCs w:val="24"/>
        </w:rPr>
        <w:t>10:00-13:00 </w:t>
      </w:r>
    </w:p>
    <w:p>
      <w:pPr>
        <w:pStyle w:val="13"/>
        <w:spacing w:before="75" w:beforeAutospacing="0" w:after="75" w:afterAutospacing="0" w:line="320" w:lineRule="exact"/>
        <w:rPr>
          <w:rFonts w:cs="宋体"/>
          <w:color w:val="auto"/>
          <w:sz w:val="24"/>
          <w:szCs w:val="24"/>
        </w:rPr>
      </w:pPr>
      <w:r>
        <w:rPr>
          <w:rStyle w:val="19"/>
          <w:rFonts w:hint="eastAsia" w:cs="宋体"/>
          <w:color w:val="auto"/>
          <w:sz w:val="24"/>
          <w:szCs w:val="24"/>
        </w:rPr>
        <w:t>下午：</w:t>
      </w:r>
      <w:r>
        <w:rPr>
          <w:rFonts w:hint="eastAsia" w:cs="宋体"/>
          <w:color w:val="auto"/>
          <w:sz w:val="24"/>
          <w:szCs w:val="24"/>
        </w:rPr>
        <w:t>16:00-19:00 </w:t>
      </w:r>
    </w:p>
    <w:p>
      <w:pPr>
        <w:pStyle w:val="13"/>
        <w:spacing w:before="75" w:beforeAutospacing="0" w:after="75" w:afterAutospacing="0" w:line="320" w:lineRule="exact"/>
        <w:rPr>
          <w:rStyle w:val="19"/>
          <w:rFonts w:cs="宋体"/>
          <w:color w:val="auto"/>
          <w:sz w:val="24"/>
          <w:szCs w:val="24"/>
        </w:rPr>
      </w:pPr>
      <w:r>
        <w:rPr>
          <w:rStyle w:val="19"/>
          <w:rFonts w:hint="eastAsia" w:cs="宋体"/>
          <w:color w:val="auto"/>
          <w:sz w:val="24"/>
          <w:szCs w:val="24"/>
        </w:rPr>
        <w:t>2.获取磋商文件地址：</w:t>
      </w:r>
      <w:r>
        <w:rPr>
          <w:rStyle w:val="19"/>
          <w:rFonts w:hint="eastAsia" w:cs="宋体"/>
          <w:b w:val="0"/>
          <w:bCs/>
          <w:color w:val="auto"/>
          <w:sz w:val="24"/>
          <w:szCs w:val="24"/>
        </w:rPr>
        <w:t>克拉玛依市胜利路47号（新疆永信工程造价咨询有限公司） </w:t>
      </w:r>
    </w:p>
    <w:p>
      <w:pPr>
        <w:pStyle w:val="13"/>
        <w:spacing w:before="75" w:beforeAutospacing="0" w:after="75" w:afterAutospacing="0" w:line="320" w:lineRule="exact"/>
        <w:rPr>
          <w:rStyle w:val="19"/>
          <w:rFonts w:cs="宋体"/>
          <w:b w:val="0"/>
          <w:bCs/>
          <w:color w:val="auto"/>
          <w:sz w:val="24"/>
          <w:szCs w:val="24"/>
        </w:rPr>
      </w:pPr>
      <w:r>
        <w:rPr>
          <w:rStyle w:val="19"/>
          <w:rFonts w:hint="eastAsia" w:cs="宋体"/>
          <w:color w:val="auto"/>
          <w:sz w:val="24"/>
          <w:szCs w:val="24"/>
        </w:rPr>
        <w:t>3.获取磋商文件方式：</w:t>
      </w:r>
      <w:r>
        <w:rPr>
          <w:rStyle w:val="19"/>
          <w:rFonts w:hint="eastAsia" w:cs="宋体"/>
          <w:b w:val="0"/>
          <w:bCs/>
          <w:color w:val="auto"/>
          <w:sz w:val="24"/>
          <w:szCs w:val="24"/>
        </w:rPr>
        <w:t>到新疆永信工程造价咨询有限公司招标办公室报名合格后领取  </w:t>
      </w:r>
    </w:p>
    <w:p>
      <w:pPr>
        <w:pStyle w:val="13"/>
        <w:spacing w:before="75" w:beforeAutospacing="0" w:after="75" w:afterAutospacing="0" w:line="320" w:lineRule="exact"/>
        <w:rPr>
          <w:rStyle w:val="19"/>
          <w:rFonts w:cs="宋体"/>
          <w:b w:val="0"/>
          <w:bCs/>
          <w:color w:val="auto"/>
          <w:sz w:val="24"/>
          <w:szCs w:val="24"/>
        </w:rPr>
      </w:pPr>
      <w:r>
        <w:rPr>
          <w:rStyle w:val="19"/>
          <w:rFonts w:hint="eastAsia" w:cs="宋体"/>
          <w:color w:val="auto"/>
          <w:sz w:val="24"/>
          <w:szCs w:val="24"/>
        </w:rPr>
        <w:t>4.磋商文件售价(元)：</w:t>
      </w:r>
      <w:r>
        <w:rPr>
          <w:rStyle w:val="19"/>
          <w:rFonts w:hint="eastAsia" w:cs="宋体"/>
          <w:b w:val="0"/>
          <w:bCs/>
          <w:color w:val="auto"/>
          <w:sz w:val="24"/>
          <w:szCs w:val="24"/>
        </w:rPr>
        <w:t>详见磋商文件</w:t>
      </w:r>
    </w:p>
    <w:p>
      <w:pPr>
        <w:pStyle w:val="13"/>
        <w:spacing w:before="75" w:beforeAutospacing="0" w:after="75" w:afterAutospacing="0" w:line="320" w:lineRule="exact"/>
        <w:rPr>
          <w:rStyle w:val="19"/>
          <w:rFonts w:cs="宋体"/>
          <w:color w:val="auto"/>
          <w:sz w:val="24"/>
          <w:szCs w:val="24"/>
        </w:rPr>
      </w:pPr>
      <w:r>
        <w:rPr>
          <w:rStyle w:val="19"/>
          <w:rFonts w:hint="eastAsia" w:cs="宋体"/>
          <w:color w:val="auto"/>
          <w:sz w:val="24"/>
          <w:szCs w:val="24"/>
        </w:rPr>
        <w:t>六、磋商响应文件提交截止时间：</w:t>
      </w:r>
      <w:r>
        <w:rPr>
          <w:rFonts w:hint="eastAsia" w:asciiTheme="minorEastAsia" w:hAnsiTheme="minorEastAsia" w:eastAsiaTheme="minorEastAsia" w:cstheme="minorEastAsia"/>
          <w:color w:val="auto"/>
          <w:kern w:val="2"/>
          <w:sz w:val="24"/>
          <w:szCs w:val="24"/>
        </w:rPr>
        <w:t>2019-07-</w:t>
      </w:r>
      <w:r>
        <w:rPr>
          <w:rFonts w:hint="eastAsia" w:asciiTheme="minorEastAsia" w:hAnsiTheme="minorEastAsia" w:eastAsiaTheme="minorEastAsia" w:cstheme="minorEastAsia"/>
          <w:color w:val="auto"/>
          <w:kern w:val="2"/>
          <w:sz w:val="24"/>
          <w:szCs w:val="24"/>
          <w:lang w:val="en-US" w:eastAsia="zh-CN"/>
        </w:rPr>
        <w:t>16</w:t>
      </w:r>
      <w:r>
        <w:rPr>
          <w:rFonts w:hint="eastAsia" w:asciiTheme="minorEastAsia" w:hAnsiTheme="minorEastAsia" w:eastAsiaTheme="minorEastAsia" w:cstheme="minorEastAsia"/>
          <w:color w:val="auto"/>
          <w:kern w:val="2"/>
          <w:sz w:val="24"/>
          <w:szCs w:val="24"/>
        </w:rPr>
        <w:t xml:space="preserve"> </w:t>
      </w:r>
      <w:r>
        <w:rPr>
          <w:rFonts w:hint="eastAsia" w:asciiTheme="minorEastAsia" w:hAnsiTheme="minorEastAsia" w:eastAsiaTheme="minorEastAsia" w:cstheme="minorEastAsia"/>
          <w:color w:val="auto"/>
          <w:kern w:val="2"/>
          <w:sz w:val="24"/>
          <w:szCs w:val="24"/>
          <w:lang w:val="en-US" w:eastAsia="zh-CN"/>
        </w:rPr>
        <w:t xml:space="preserve"> </w:t>
      </w:r>
      <w:r>
        <w:rPr>
          <w:rFonts w:hint="eastAsia" w:asciiTheme="minorEastAsia" w:hAnsiTheme="minorEastAsia" w:eastAsiaTheme="minorEastAsia" w:cstheme="minorEastAsia"/>
          <w:color w:val="auto"/>
          <w:kern w:val="2"/>
          <w:sz w:val="24"/>
          <w:szCs w:val="24"/>
        </w:rPr>
        <w:t>16:30:00</w:t>
      </w:r>
      <w:r>
        <w:rPr>
          <w:rStyle w:val="19"/>
          <w:rFonts w:hint="eastAsia" w:cs="宋体"/>
          <w:b w:val="0"/>
          <w:bCs/>
          <w:color w:val="auto"/>
          <w:sz w:val="24"/>
          <w:szCs w:val="24"/>
        </w:rPr>
        <w:t> </w:t>
      </w:r>
    </w:p>
    <w:p>
      <w:pPr>
        <w:pStyle w:val="13"/>
        <w:spacing w:before="75" w:beforeAutospacing="0" w:after="75" w:afterAutospacing="0" w:line="320" w:lineRule="exact"/>
        <w:rPr>
          <w:rStyle w:val="19"/>
          <w:rFonts w:cs="宋体"/>
          <w:color w:val="auto"/>
          <w:sz w:val="24"/>
          <w:szCs w:val="24"/>
        </w:rPr>
      </w:pPr>
      <w:r>
        <w:rPr>
          <w:rStyle w:val="19"/>
          <w:rFonts w:hint="eastAsia" w:cs="宋体"/>
          <w:color w:val="auto"/>
          <w:sz w:val="24"/>
          <w:szCs w:val="24"/>
        </w:rPr>
        <w:t>七、磋商响应文件提交地址：</w:t>
      </w:r>
      <w:r>
        <w:rPr>
          <w:rStyle w:val="19"/>
          <w:rFonts w:hint="eastAsia" w:cs="宋体"/>
          <w:b w:val="0"/>
          <w:bCs/>
          <w:color w:val="auto"/>
          <w:sz w:val="24"/>
          <w:szCs w:val="24"/>
        </w:rPr>
        <w:t>新疆永信工程造价咨询有限公司评标室（克拉玛依市胜利路47号） </w:t>
      </w:r>
    </w:p>
    <w:p>
      <w:pPr>
        <w:pStyle w:val="13"/>
        <w:spacing w:before="75" w:beforeAutospacing="0" w:after="75" w:afterAutospacing="0" w:line="320" w:lineRule="exact"/>
        <w:rPr>
          <w:rStyle w:val="19"/>
          <w:rFonts w:cs="宋体"/>
          <w:b w:val="0"/>
          <w:bCs/>
          <w:color w:val="auto"/>
          <w:sz w:val="24"/>
          <w:szCs w:val="24"/>
        </w:rPr>
      </w:pPr>
      <w:r>
        <w:rPr>
          <w:rStyle w:val="19"/>
          <w:rFonts w:hint="eastAsia" w:cs="宋体"/>
          <w:color w:val="auto"/>
          <w:sz w:val="24"/>
          <w:szCs w:val="24"/>
        </w:rPr>
        <w:t>八、磋商响应文件开启时间：</w:t>
      </w:r>
      <w:r>
        <w:rPr>
          <w:rFonts w:hint="eastAsia" w:asciiTheme="minorEastAsia" w:hAnsiTheme="minorEastAsia" w:eastAsiaTheme="minorEastAsia" w:cstheme="minorEastAsia"/>
          <w:color w:val="auto"/>
          <w:kern w:val="2"/>
          <w:sz w:val="24"/>
          <w:szCs w:val="24"/>
        </w:rPr>
        <w:t>2019-07-</w:t>
      </w:r>
      <w:r>
        <w:rPr>
          <w:rFonts w:hint="eastAsia" w:asciiTheme="minorEastAsia" w:hAnsiTheme="minorEastAsia" w:eastAsiaTheme="minorEastAsia" w:cstheme="minorEastAsia"/>
          <w:color w:val="auto"/>
          <w:kern w:val="2"/>
          <w:sz w:val="24"/>
          <w:szCs w:val="24"/>
          <w:lang w:val="en-US" w:eastAsia="zh-CN"/>
        </w:rPr>
        <w:t xml:space="preserve">16 </w:t>
      </w:r>
      <w:r>
        <w:rPr>
          <w:rFonts w:hint="eastAsia" w:asciiTheme="minorEastAsia" w:hAnsiTheme="minorEastAsia" w:eastAsiaTheme="minorEastAsia" w:cstheme="minorEastAsia"/>
          <w:color w:val="auto"/>
          <w:kern w:val="2"/>
          <w:sz w:val="24"/>
          <w:szCs w:val="24"/>
        </w:rPr>
        <w:t xml:space="preserve"> 16:30:00 </w:t>
      </w:r>
    </w:p>
    <w:p>
      <w:pPr>
        <w:pStyle w:val="13"/>
        <w:spacing w:before="75" w:beforeAutospacing="0" w:after="75" w:afterAutospacing="0" w:line="320" w:lineRule="exact"/>
        <w:rPr>
          <w:rStyle w:val="19"/>
          <w:rFonts w:cs="宋体"/>
          <w:color w:val="auto"/>
          <w:sz w:val="24"/>
          <w:szCs w:val="24"/>
        </w:rPr>
      </w:pPr>
      <w:r>
        <w:rPr>
          <w:rStyle w:val="19"/>
          <w:rFonts w:hint="eastAsia" w:cs="宋体"/>
          <w:color w:val="auto"/>
          <w:sz w:val="24"/>
          <w:szCs w:val="24"/>
        </w:rPr>
        <w:t>九、磋商地址：</w:t>
      </w:r>
      <w:r>
        <w:rPr>
          <w:rStyle w:val="19"/>
          <w:rFonts w:hint="eastAsia" w:cs="宋体"/>
          <w:b w:val="0"/>
          <w:bCs/>
          <w:color w:val="auto"/>
          <w:sz w:val="24"/>
          <w:szCs w:val="24"/>
        </w:rPr>
        <w:t>新疆永信工程造价咨询有限公司评标室（克拉玛依市胜利路47号） </w:t>
      </w:r>
    </w:p>
    <w:p>
      <w:pPr>
        <w:pStyle w:val="13"/>
        <w:spacing w:before="75" w:beforeAutospacing="0" w:after="75" w:afterAutospacing="0" w:line="340" w:lineRule="exact"/>
        <w:rPr>
          <w:rStyle w:val="19"/>
          <w:rFonts w:cs="宋体"/>
          <w:color w:val="auto"/>
          <w:sz w:val="24"/>
          <w:szCs w:val="24"/>
        </w:rPr>
      </w:pPr>
      <w:r>
        <w:rPr>
          <w:rStyle w:val="19"/>
          <w:rFonts w:hint="eastAsia" w:cs="宋体"/>
          <w:color w:val="auto"/>
          <w:sz w:val="24"/>
          <w:szCs w:val="24"/>
        </w:rPr>
        <w:t>十、磋商保证金及交付方式：无</w:t>
      </w:r>
    </w:p>
    <w:p>
      <w:pPr>
        <w:pStyle w:val="13"/>
        <w:spacing w:before="75" w:beforeAutospacing="0" w:after="75" w:afterAutospacing="0" w:line="320" w:lineRule="exact"/>
        <w:rPr>
          <w:rFonts w:cs="宋体"/>
          <w:color w:val="auto"/>
          <w:sz w:val="24"/>
          <w:szCs w:val="24"/>
        </w:rPr>
      </w:pPr>
      <w:r>
        <w:rPr>
          <w:rStyle w:val="19"/>
          <w:rFonts w:hint="eastAsia" w:cs="宋体"/>
          <w:color w:val="auto"/>
          <w:sz w:val="24"/>
          <w:szCs w:val="24"/>
        </w:rPr>
        <w:t>十一、其他事项：</w:t>
      </w:r>
    </w:p>
    <w:p>
      <w:pPr>
        <w:pStyle w:val="13"/>
        <w:spacing w:before="75" w:beforeAutospacing="0" w:after="75" w:afterAutospacing="0" w:line="320" w:lineRule="exact"/>
        <w:rPr>
          <w:rFonts w:cs="宋体"/>
          <w:color w:val="auto"/>
          <w:sz w:val="24"/>
          <w:szCs w:val="24"/>
        </w:rPr>
      </w:pPr>
      <w:r>
        <w:rPr>
          <w:rFonts w:hint="eastAsia" w:cs="宋体"/>
          <w:color w:val="auto"/>
          <w:sz w:val="24"/>
          <w:szCs w:val="24"/>
        </w:rPr>
        <w:t>1、本项目公告期限为5个工作日，供应商认为采购文件使自己的权益受到损害的，可以自收到采购文件之日（发售截止日之后收到采购文件的，以发售截止日为准）或者采购文件公告期限届满之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pStyle w:val="13"/>
        <w:spacing w:before="75" w:beforeAutospacing="0" w:after="75" w:afterAutospacing="0" w:line="320" w:lineRule="exact"/>
        <w:rPr>
          <w:rStyle w:val="19"/>
          <w:rFonts w:cs="宋体"/>
          <w:color w:val="auto"/>
          <w:sz w:val="24"/>
          <w:szCs w:val="24"/>
        </w:rPr>
      </w:pPr>
      <w:r>
        <w:rPr>
          <w:rFonts w:hint="eastAsia" w:cs="宋体"/>
          <w:b/>
          <w:bCs/>
          <w:color w:val="auto"/>
          <w:sz w:val="24"/>
          <w:szCs w:val="24"/>
        </w:rPr>
        <w:t>2、购买竞争性磋商文件时须提交的文件资料</w:t>
      </w:r>
      <w:r>
        <w:rPr>
          <w:rStyle w:val="19"/>
          <w:rFonts w:hint="eastAsia" w:cs="宋体"/>
          <w:color w:val="auto"/>
          <w:sz w:val="24"/>
          <w:szCs w:val="24"/>
        </w:rPr>
        <w:t>：</w:t>
      </w:r>
    </w:p>
    <w:p>
      <w:pPr>
        <w:pStyle w:val="13"/>
        <w:spacing w:before="75" w:beforeAutospacing="0" w:after="75" w:afterAutospacing="0" w:line="320" w:lineRule="exact"/>
        <w:rPr>
          <w:rStyle w:val="19"/>
          <w:rFonts w:cs="宋体"/>
          <w:b w:val="0"/>
          <w:bCs/>
          <w:color w:val="auto"/>
          <w:sz w:val="24"/>
          <w:szCs w:val="24"/>
        </w:rPr>
      </w:pPr>
      <w:r>
        <w:rPr>
          <w:rStyle w:val="19"/>
          <w:rFonts w:hint="eastAsia" w:cs="宋体"/>
          <w:b w:val="0"/>
          <w:bCs/>
          <w:color w:val="auto"/>
          <w:sz w:val="24"/>
          <w:szCs w:val="24"/>
        </w:rPr>
        <w:t>1.有效期内三证合一的营业执照（复印件加盖公章）；2.有效期内的</w:t>
      </w:r>
      <w:r>
        <w:rPr>
          <w:rFonts w:hint="eastAsia" w:asciiTheme="minorEastAsia" w:hAnsiTheme="minorEastAsia" w:eastAsiaTheme="minorEastAsia" w:cstheme="minorEastAsia"/>
          <w:color w:val="auto"/>
          <w:sz w:val="24"/>
          <w:szCs w:val="24"/>
        </w:rPr>
        <w:t>消防设施维护保养检测机构</w:t>
      </w:r>
      <w:r>
        <w:rPr>
          <w:rFonts w:hint="eastAsia"/>
          <w:color w:val="auto"/>
          <w:sz w:val="24"/>
          <w:szCs w:val="24"/>
        </w:rPr>
        <w:t>二级及以上资质</w:t>
      </w:r>
      <w:r>
        <w:rPr>
          <w:rStyle w:val="19"/>
          <w:rFonts w:hint="eastAsia" w:cs="宋体"/>
          <w:b w:val="0"/>
          <w:bCs/>
          <w:color w:val="auto"/>
          <w:sz w:val="24"/>
          <w:szCs w:val="24"/>
        </w:rPr>
        <w:t>（复印件加盖公章）</w:t>
      </w:r>
      <w:r>
        <w:rPr>
          <w:rFonts w:hint="eastAsia" w:cs="宋体"/>
          <w:color w:val="auto"/>
          <w:sz w:val="24"/>
          <w:szCs w:val="24"/>
        </w:rPr>
        <w:t>；</w:t>
      </w:r>
      <w:r>
        <w:rPr>
          <w:rStyle w:val="19"/>
          <w:rFonts w:hint="eastAsia" w:cs="宋体"/>
          <w:b w:val="0"/>
          <w:bCs/>
          <w:color w:val="auto"/>
          <w:sz w:val="24"/>
          <w:szCs w:val="24"/>
        </w:rPr>
        <w:t>3.</w:t>
      </w:r>
      <w:r>
        <w:rPr>
          <w:rFonts w:hint="eastAsia"/>
          <w:color w:val="auto"/>
          <w:sz w:val="24"/>
        </w:rPr>
        <w:t>在信合联服网站完成诚信注册备案</w:t>
      </w:r>
      <w:r>
        <w:rPr>
          <w:rFonts w:hint="eastAsia"/>
          <w:color w:val="auto"/>
          <w:sz w:val="24"/>
          <w:lang w:eastAsia="zh-CN"/>
        </w:rPr>
        <w:t>，</w:t>
      </w:r>
      <w:r>
        <w:rPr>
          <w:rFonts w:hint="eastAsia"/>
          <w:color w:val="auto"/>
          <w:sz w:val="24"/>
          <w:lang w:val="en-US" w:eastAsia="zh-CN"/>
        </w:rPr>
        <w:t>并且综合信用等级为C级以上（含C级）</w:t>
      </w:r>
      <w:r>
        <w:rPr>
          <w:rStyle w:val="19"/>
          <w:rFonts w:hint="eastAsia" w:cs="宋体"/>
          <w:b w:val="0"/>
          <w:bCs/>
          <w:color w:val="auto"/>
          <w:sz w:val="24"/>
          <w:szCs w:val="24"/>
        </w:rPr>
        <w:t>（复印件加盖公章）</w:t>
      </w:r>
      <w:r>
        <w:rPr>
          <w:rStyle w:val="19"/>
          <w:rFonts w:hint="eastAsia" w:cs="宋体"/>
          <w:b w:val="0"/>
          <w:bCs/>
          <w:color w:val="auto"/>
          <w:sz w:val="24"/>
          <w:szCs w:val="24"/>
        </w:rPr>
        <w:t>；4.授权委托书原件及授权委托人身份证（复印件加盖公章）；</w:t>
      </w:r>
      <w:r>
        <w:rPr>
          <w:rFonts w:hint="eastAsia" w:cs="宋体"/>
          <w:color w:val="auto"/>
          <w:sz w:val="24"/>
          <w:szCs w:val="24"/>
        </w:rPr>
        <w:t>复印件加盖公章/法人章，一式壹份，缺一不可，以上资料提交不全者，谢绝报名</w:t>
      </w:r>
      <w:r>
        <w:rPr>
          <w:rFonts w:hint="eastAsia" w:cs="宋体"/>
          <w:color w:val="auto"/>
          <w:sz w:val="24"/>
        </w:rPr>
        <w:t>。</w:t>
      </w:r>
    </w:p>
    <w:p>
      <w:pPr>
        <w:pStyle w:val="13"/>
        <w:spacing w:before="75" w:beforeAutospacing="0" w:after="75" w:afterAutospacing="0" w:line="320" w:lineRule="exact"/>
        <w:rPr>
          <w:rStyle w:val="19"/>
          <w:rFonts w:cs="宋体"/>
          <w:color w:val="auto"/>
          <w:sz w:val="24"/>
          <w:szCs w:val="24"/>
        </w:rPr>
      </w:pPr>
      <w:r>
        <w:rPr>
          <w:rStyle w:val="19"/>
          <w:rFonts w:hint="eastAsia" w:cs="宋体"/>
          <w:color w:val="auto"/>
          <w:sz w:val="24"/>
          <w:szCs w:val="24"/>
        </w:rPr>
        <w:t>3、采购项目需要落实的政府采购政策：</w:t>
      </w:r>
    </w:p>
    <w:p>
      <w:pPr>
        <w:pStyle w:val="13"/>
        <w:spacing w:before="75" w:beforeAutospacing="0" w:after="75" w:afterAutospacing="0" w:line="320" w:lineRule="exact"/>
        <w:ind w:firstLine="240" w:firstLineChars="100"/>
        <w:rPr>
          <w:rFonts w:cs="宋体"/>
          <w:color w:val="auto"/>
          <w:sz w:val="24"/>
          <w:szCs w:val="24"/>
        </w:rPr>
      </w:pPr>
      <w:r>
        <w:rPr>
          <w:rFonts w:hint="eastAsia" w:cs="宋体"/>
          <w:color w:val="auto"/>
          <w:sz w:val="24"/>
          <w:szCs w:val="24"/>
        </w:rPr>
        <w:t>《政府采购促进中小企业发展暂行办法》（财库〔2011〕181号）。 </w:t>
      </w:r>
    </w:p>
    <w:p>
      <w:pPr>
        <w:pStyle w:val="13"/>
        <w:spacing w:before="75" w:beforeAutospacing="0" w:after="75" w:afterAutospacing="0" w:line="320" w:lineRule="exact"/>
        <w:rPr>
          <w:rFonts w:cs="宋体"/>
          <w:color w:val="auto"/>
          <w:sz w:val="24"/>
          <w:szCs w:val="24"/>
        </w:rPr>
      </w:pPr>
      <w:r>
        <w:rPr>
          <w:rStyle w:val="19"/>
          <w:rFonts w:hint="eastAsia" w:cs="宋体"/>
          <w:color w:val="auto"/>
          <w:sz w:val="24"/>
          <w:szCs w:val="24"/>
        </w:rPr>
        <w:t>十二、联系方式</w:t>
      </w:r>
    </w:p>
    <w:p>
      <w:pPr>
        <w:pStyle w:val="13"/>
        <w:spacing w:before="75" w:beforeAutospacing="0" w:after="75" w:afterAutospacing="0" w:line="320" w:lineRule="exact"/>
        <w:rPr>
          <w:rFonts w:cs="宋体"/>
          <w:color w:val="auto"/>
          <w:sz w:val="24"/>
          <w:szCs w:val="24"/>
        </w:rPr>
      </w:pPr>
      <w:r>
        <w:rPr>
          <w:rStyle w:val="19"/>
          <w:rFonts w:hint="eastAsia" w:cs="宋体"/>
          <w:color w:val="auto"/>
          <w:sz w:val="24"/>
          <w:szCs w:val="24"/>
        </w:rPr>
        <w:t>1、采购代理机构名称：</w:t>
      </w:r>
      <w:r>
        <w:rPr>
          <w:rFonts w:hint="eastAsia" w:cs="宋体"/>
          <w:color w:val="auto"/>
          <w:sz w:val="24"/>
          <w:szCs w:val="24"/>
        </w:rPr>
        <w:t>新疆永信工程造价咨询有限公司 </w:t>
      </w:r>
    </w:p>
    <w:p>
      <w:pPr>
        <w:pStyle w:val="13"/>
        <w:spacing w:before="75" w:beforeAutospacing="0" w:after="75" w:afterAutospacing="0" w:line="320" w:lineRule="exact"/>
        <w:rPr>
          <w:rFonts w:cs="宋体"/>
          <w:color w:val="auto"/>
          <w:sz w:val="24"/>
          <w:szCs w:val="24"/>
        </w:rPr>
      </w:pPr>
      <w:r>
        <w:rPr>
          <w:rStyle w:val="19"/>
          <w:rFonts w:hint="eastAsia" w:cs="宋体"/>
          <w:color w:val="auto"/>
          <w:sz w:val="24"/>
          <w:szCs w:val="24"/>
        </w:rPr>
        <w:t>联系人：</w:t>
      </w:r>
      <w:r>
        <w:rPr>
          <w:rFonts w:hint="eastAsia" w:cs="宋体"/>
          <w:color w:val="auto"/>
          <w:sz w:val="24"/>
          <w:szCs w:val="24"/>
        </w:rPr>
        <w:t>邵彩霞</w:t>
      </w:r>
    </w:p>
    <w:p>
      <w:pPr>
        <w:pStyle w:val="13"/>
        <w:spacing w:before="75" w:beforeAutospacing="0" w:after="75" w:afterAutospacing="0" w:line="320" w:lineRule="exact"/>
        <w:rPr>
          <w:rFonts w:cs="宋体"/>
          <w:color w:val="auto"/>
          <w:sz w:val="24"/>
          <w:szCs w:val="24"/>
        </w:rPr>
      </w:pPr>
      <w:r>
        <w:rPr>
          <w:rStyle w:val="19"/>
          <w:rFonts w:hint="eastAsia" w:cs="宋体"/>
          <w:color w:val="auto"/>
          <w:sz w:val="24"/>
          <w:szCs w:val="24"/>
        </w:rPr>
        <w:t>联系电话：</w:t>
      </w:r>
      <w:r>
        <w:rPr>
          <w:rFonts w:hint="eastAsia" w:cs="宋体"/>
          <w:color w:val="auto"/>
          <w:sz w:val="24"/>
          <w:szCs w:val="24"/>
        </w:rPr>
        <w:t>0990-6883828 13899588072</w:t>
      </w:r>
      <w:r>
        <w:rPr>
          <w:rFonts w:cs="宋体"/>
          <w:color w:val="auto"/>
          <w:sz w:val="24"/>
          <w:szCs w:val="24"/>
        </w:rPr>
        <w:t> </w:t>
      </w:r>
      <w:r>
        <w:rPr>
          <w:rFonts w:hint="eastAsia" w:cs="宋体"/>
          <w:color w:val="auto"/>
          <w:sz w:val="24"/>
          <w:szCs w:val="24"/>
        </w:rPr>
        <w:t> </w:t>
      </w:r>
    </w:p>
    <w:p>
      <w:pPr>
        <w:pStyle w:val="13"/>
        <w:spacing w:before="75" w:beforeAutospacing="0" w:after="75" w:afterAutospacing="0" w:line="320" w:lineRule="exact"/>
        <w:rPr>
          <w:rFonts w:cs="宋体"/>
          <w:color w:val="auto"/>
          <w:sz w:val="24"/>
          <w:szCs w:val="24"/>
        </w:rPr>
      </w:pPr>
      <w:r>
        <w:rPr>
          <w:rStyle w:val="19"/>
          <w:rFonts w:hint="eastAsia" w:cs="宋体"/>
          <w:color w:val="auto"/>
          <w:sz w:val="24"/>
          <w:szCs w:val="24"/>
        </w:rPr>
        <w:t>地址：</w:t>
      </w:r>
      <w:r>
        <w:rPr>
          <w:rFonts w:hint="eastAsia" w:cs="宋体"/>
          <w:color w:val="auto"/>
          <w:sz w:val="24"/>
          <w:szCs w:val="24"/>
        </w:rPr>
        <w:t>克拉玛依市胜利路47号 </w:t>
      </w:r>
    </w:p>
    <w:p>
      <w:pPr>
        <w:pStyle w:val="13"/>
        <w:spacing w:before="75" w:beforeAutospacing="0" w:after="75" w:afterAutospacing="0" w:line="320" w:lineRule="exact"/>
        <w:rPr>
          <w:rFonts w:cs="宋体"/>
          <w:color w:val="auto"/>
          <w:sz w:val="24"/>
          <w:szCs w:val="24"/>
          <w:highlight w:val="yellow"/>
        </w:rPr>
      </w:pPr>
      <w:r>
        <w:rPr>
          <w:rStyle w:val="19"/>
          <w:rFonts w:hint="eastAsia" w:cs="宋体"/>
          <w:color w:val="auto"/>
          <w:sz w:val="24"/>
          <w:szCs w:val="24"/>
        </w:rPr>
        <w:t>2、采购人名称：</w:t>
      </w:r>
      <w:r>
        <w:rPr>
          <w:rStyle w:val="19"/>
          <w:rFonts w:hint="eastAsia" w:cs="宋体"/>
          <w:b w:val="0"/>
          <w:bCs/>
          <w:color w:val="auto"/>
          <w:sz w:val="24"/>
          <w:szCs w:val="24"/>
        </w:rPr>
        <w:t>克拉玛依市卫生健康委员会</w:t>
      </w:r>
    </w:p>
    <w:p>
      <w:pPr>
        <w:pStyle w:val="13"/>
        <w:spacing w:before="75" w:beforeAutospacing="0" w:after="75" w:afterAutospacing="0" w:line="320" w:lineRule="exact"/>
        <w:rPr>
          <w:rStyle w:val="19"/>
          <w:rFonts w:cs="宋体"/>
          <w:color w:val="auto"/>
          <w:sz w:val="24"/>
          <w:szCs w:val="24"/>
        </w:rPr>
      </w:pPr>
      <w:r>
        <w:rPr>
          <w:rStyle w:val="19"/>
          <w:rFonts w:hint="eastAsia" w:cs="宋体"/>
          <w:color w:val="auto"/>
          <w:sz w:val="24"/>
          <w:szCs w:val="24"/>
        </w:rPr>
        <w:t>联系人：</w:t>
      </w:r>
      <w:r>
        <w:rPr>
          <w:rStyle w:val="19"/>
          <w:rFonts w:hint="eastAsia" w:cs="宋体"/>
          <w:b w:val="0"/>
          <w:bCs/>
          <w:color w:val="auto"/>
          <w:sz w:val="24"/>
          <w:szCs w:val="24"/>
        </w:rPr>
        <w:t>俞翔</w:t>
      </w:r>
    </w:p>
    <w:p>
      <w:pPr>
        <w:pStyle w:val="13"/>
        <w:spacing w:before="75" w:beforeAutospacing="0" w:after="75" w:afterAutospacing="0" w:line="320" w:lineRule="exact"/>
        <w:rPr>
          <w:rStyle w:val="19"/>
          <w:rFonts w:cs="宋体"/>
          <w:b w:val="0"/>
          <w:bCs/>
          <w:color w:val="auto"/>
          <w:sz w:val="24"/>
          <w:szCs w:val="24"/>
        </w:rPr>
      </w:pPr>
      <w:r>
        <w:rPr>
          <w:rStyle w:val="19"/>
          <w:rFonts w:hint="eastAsia" w:cs="宋体"/>
          <w:color w:val="auto"/>
          <w:sz w:val="24"/>
          <w:szCs w:val="24"/>
        </w:rPr>
        <w:t>联系电话：</w:t>
      </w:r>
      <w:r>
        <w:rPr>
          <w:rStyle w:val="19"/>
          <w:rFonts w:hint="eastAsia" w:cs="宋体"/>
          <w:b w:val="0"/>
          <w:bCs/>
          <w:color w:val="auto"/>
          <w:sz w:val="24"/>
          <w:szCs w:val="24"/>
        </w:rPr>
        <w:t>0990-7564826</w:t>
      </w:r>
    </w:p>
    <w:p>
      <w:pPr>
        <w:pStyle w:val="13"/>
        <w:spacing w:before="75" w:beforeAutospacing="0" w:after="75" w:afterAutospacing="0" w:line="320" w:lineRule="exact"/>
        <w:rPr>
          <w:rFonts w:cs="宋体"/>
          <w:color w:val="auto"/>
          <w:sz w:val="24"/>
          <w:szCs w:val="24"/>
        </w:rPr>
      </w:pPr>
      <w:r>
        <w:rPr>
          <w:rStyle w:val="19"/>
          <w:rFonts w:hint="eastAsia" w:cs="宋体"/>
          <w:color w:val="auto"/>
          <w:sz w:val="24"/>
          <w:szCs w:val="24"/>
        </w:rPr>
        <w:t>地址：</w:t>
      </w:r>
      <w:r>
        <w:rPr>
          <w:rStyle w:val="19"/>
          <w:rFonts w:hint="eastAsia" w:cs="宋体"/>
          <w:b w:val="0"/>
          <w:bCs/>
          <w:color w:val="auto"/>
          <w:sz w:val="24"/>
          <w:szCs w:val="24"/>
        </w:rPr>
        <w:t>克拉玛依市胜利路12号</w:t>
      </w:r>
      <w:r>
        <w:rPr>
          <w:rFonts w:hint="eastAsia" w:cs="宋体"/>
          <w:color w:val="auto"/>
          <w:sz w:val="24"/>
          <w:szCs w:val="24"/>
        </w:rPr>
        <w:t> </w:t>
      </w:r>
    </w:p>
    <w:p>
      <w:pPr>
        <w:pStyle w:val="13"/>
        <w:spacing w:before="75" w:beforeAutospacing="0" w:after="75" w:afterAutospacing="0" w:line="320" w:lineRule="exact"/>
        <w:rPr>
          <w:rFonts w:cs="宋体"/>
          <w:color w:val="auto"/>
          <w:sz w:val="24"/>
          <w:szCs w:val="24"/>
        </w:rPr>
      </w:pPr>
      <w:r>
        <w:rPr>
          <w:rStyle w:val="19"/>
          <w:rFonts w:hint="eastAsia" w:cs="宋体"/>
          <w:color w:val="auto"/>
          <w:sz w:val="24"/>
          <w:szCs w:val="24"/>
        </w:rPr>
        <w:t>3、同级政府采购监督管理部门名称：</w:t>
      </w:r>
      <w:r>
        <w:rPr>
          <w:rFonts w:hint="eastAsia" w:cs="宋体"/>
          <w:color w:val="auto"/>
          <w:sz w:val="24"/>
          <w:szCs w:val="24"/>
        </w:rPr>
        <w:t>克拉玛依市财政局政府采购管理科 </w:t>
      </w:r>
    </w:p>
    <w:p>
      <w:pPr>
        <w:pStyle w:val="13"/>
        <w:spacing w:before="75" w:beforeAutospacing="0" w:after="75" w:afterAutospacing="0" w:line="320" w:lineRule="exact"/>
        <w:rPr>
          <w:rFonts w:cs="宋体"/>
          <w:color w:val="auto"/>
          <w:sz w:val="24"/>
          <w:szCs w:val="24"/>
        </w:rPr>
      </w:pPr>
      <w:r>
        <w:rPr>
          <w:rStyle w:val="19"/>
          <w:rFonts w:hint="eastAsia" w:cs="宋体"/>
          <w:color w:val="auto"/>
          <w:sz w:val="24"/>
          <w:szCs w:val="24"/>
        </w:rPr>
        <w:t>联系人：</w:t>
      </w:r>
      <w:r>
        <w:rPr>
          <w:rFonts w:hint="eastAsia" w:cs="宋体"/>
          <w:color w:val="auto"/>
          <w:sz w:val="24"/>
          <w:szCs w:val="24"/>
        </w:rPr>
        <w:t>龚新 </w:t>
      </w:r>
    </w:p>
    <w:p>
      <w:pPr>
        <w:pStyle w:val="13"/>
        <w:spacing w:before="75" w:beforeAutospacing="0" w:after="75" w:afterAutospacing="0" w:line="320" w:lineRule="exact"/>
        <w:rPr>
          <w:rFonts w:cs="宋体"/>
          <w:color w:val="auto"/>
          <w:sz w:val="24"/>
          <w:szCs w:val="24"/>
        </w:rPr>
      </w:pPr>
      <w:r>
        <w:rPr>
          <w:rStyle w:val="19"/>
          <w:rFonts w:hint="eastAsia" w:cs="宋体"/>
          <w:color w:val="auto"/>
          <w:sz w:val="24"/>
          <w:szCs w:val="24"/>
        </w:rPr>
        <w:t>监督投诉电话：</w:t>
      </w:r>
      <w:r>
        <w:rPr>
          <w:rFonts w:hint="eastAsia" w:cs="宋体"/>
          <w:color w:val="auto"/>
          <w:sz w:val="24"/>
          <w:szCs w:val="24"/>
        </w:rPr>
        <w:t>0990-6239160 </w:t>
      </w:r>
    </w:p>
    <w:p>
      <w:pPr>
        <w:tabs>
          <w:tab w:val="left" w:pos="1230"/>
          <w:tab w:val="left" w:pos="1275"/>
        </w:tabs>
        <w:spacing w:line="320" w:lineRule="exact"/>
        <w:rPr>
          <w:rStyle w:val="19"/>
          <w:rFonts w:ascii="宋体" w:hAnsi="宋体" w:cs="宋体"/>
          <w:b w:val="0"/>
          <w:bCs/>
          <w:color w:val="auto"/>
          <w:sz w:val="24"/>
        </w:rPr>
      </w:pPr>
      <w:r>
        <w:rPr>
          <w:rStyle w:val="19"/>
          <w:rFonts w:hint="eastAsia" w:ascii="宋体" w:hAnsi="宋体" w:cs="宋体"/>
          <w:color w:val="auto"/>
          <w:sz w:val="24"/>
        </w:rPr>
        <w:t>地址：</w:t>
      </w:r>
      <w:r>
        <w:rPr>
          <w:rStyle w:val="19"/>
          <w:rFonts w:hint="eastAsia" w:ascii="宋体" w:hAnsi="宋体" w:cs="宋体"/>
          <w:b w:val="0"/>
          <w:bCs/>
          <w:color w:val="auto"/>
          <w:sz w:val="24"/>
        </w:rPr>
        <w:t>克拉玛依市迎宾路60号政府1号楼</w:t>
      </w:r>
    </w:p>
    <w:p>
      <w:pPr>
        <w:tabs>
          <w:tab w:val="left" w:pos="1230"/>
          <w:tab w:val="left" w:pos="1275"/>
        </w:tabs>
        <w:spacing w:line="320" w:lineRule="exact"/>
        <w:rPr>
          <w:rStyle w:val="19"/>
          <w:rFonts w:ascii="宋体" w:hAnsi="宋体" w:cs="宋体"/>
          <w:b w:val="0"/>
          <w:bCs/>
          <w:color w:val="auto"/>
          <w:sz w:val="24"/>
        </w:rPr>
      </w:pPr>
    </w:p>
    <w:p>
      <w:pPr>
        <w:tabs>
          <w:tab w:val="left" w:pos="1230"/>
          <w:tab w:val="left" w:pos="1275"/>
        </w:tabs>
        <w:spacing w:line="320" w:lineRule="exact"/>
        <w:rPr>
          <w:rFonts w:ascii="宋体" w:hAnsi="宋体" w:cs="宋体"/>
          <w:bCs/>
          <w:color w:val="auto"/>
          <w:sz w:val="24"/>
        </w:rPr>
      </w:pPr>
      <w:r>
        <w:rPr>
          <w:rFonts w:hint="eastAsia" w:ascii="宋体" w:hAnsi="宋体" w:cs="宋体"/>
          <w:bCs/>
          <w:color w:val="auto"/>
          <w:sz w:val="24"/>
        </w:rPr>
        <w:t> </w:t>
      </w:r>
    </w:p>
    <w:p>
      <w:pPr>
        <w:pStyle w:val="2"/>
        <w:rPr>
          <w:rFonts w:ascii="宋体" w:hAnsi="宋体" w:cs="宋体"/>
          <w:bCs/>
          <w:color w:val="auto"/>
          <w:sz w:val="24"/>
        </w:rPr>
      </w:pPr>
    </w:p>
    <w:p>
      <w:pPr>
        <w:pStyle w:val="2"/>
        <w:rPr>
          <w:rFonts w:ascii="宋体" w:hAnsi="宋体" w:cs="宋体"/>
          <w:bCs/>
          <w:color w:val="auto"/>
          <w:sz w:val="24"/>
        </w:rPr>
      </w:pPr>
    </w:p>
    <w:p>
      <w:pPr>
        <w:spacing w:line="360" w:lineRule="auto"/>
        <w:jc w:val="center"/>
        <w:rPr>
          <w:rFonts w:ascii="宋体" w:hAnsi="宋体" w:cs="宋体"/>
          <w:b/>
          <w:color w:val="auto"/>
          <w:sz w:val="28"/>
          <w:szCs w:val="28"/>
        </w:rPr>
      </w:pPr>
      <w:bookmarkStart w:id="0" w:name="_Toc19876_WPSOffice_Level1"/>
      <w:r>
        <w:rPr>
          <w:rFonts w:hint="eastAsia" w:ascii="宋体" w:hAnsi="宋体" w:cs="宋体"/>
          <w:b/>
          <w:color w:val="auto"/>
          <w:sz w:val="28"/>
          <w:szCs w:val="28"/>
        </w:rPr>
        <w:t>前附表</w:t>
      </w:r>
      <w:bookmarkEnd w:id="0"/>
    </w:p>
    <w:tbl>
      <w:tblPr>
        <w:tblStyle w:val="16"/>
        <w:tblW w:w="100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9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jc w:val="center"/>
        </w:trPr>
        <w:tc>
          <w:tcPr>
            <w:tcW w:w="664" w:type="dxa"/>
            <w:vAlign w:val="center"/>
          </w:tcPr>
          <w:p>
            <w:pPr>
              <w:pStyle w:val="7"/>
              <w:spacing w:line="360" w:lineRule="exact"/>
              <w:jc w:val="center"/>
              <w:rPr>
                <w:rFonts w:hAnsi="宋体" w:cs="宋体"/>
                <w:color w:val="auto"/>
              </w:rPr>
            </w:pPr>
            <w:r>
              <w:rPr>
                <w:rFonts w:hint="eastAsia" w:hAnsi="宋体" w:cs="宋体"/>
                <w:color w:val="auto"/>
              </w:rPr>
              <w:t>项号</w:t>
            </w:r>
          </w:p>
        </w:tc>
        <w:tc>
          <w:tcPr>
            <w:tcW w:w="9416" w:type="dxa"/>
            <w:vAlign w:val="center"/>
          </w:tcPr>
          <w:p>
            <w:pPr>
              <w:pStyle w:val="7"/>
              <w:spacing w:line="360" w:lineRule="exact"/>
              <w:jc w:val="center"/>
              <w:rPr>
                <w:rFonts w:hAnsi="宋体" w:cs="宋体"/>
                <w:color w:val="auto"/>
              </w:rPr>
            </w:pPr>
            <w:r>
              <w:rPr>
                <w:rFonts w:hint="eastAsia" w:hAnsi="宋体" w:cs="宋体"/>
                <w:color w:val="auto"/>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jc w:val="center"/>
        </w:trPr>
        <w:tc>
          <w:tcPr>
            <w:tcW w:w="664" w:type="dxa"/>
            <w:vAlign w:val="center"/>
          </w:tcPr>
          <w:p>
            <w:pPr>
              <w:pStyle w:val="7"/>
              <w:spacing w:line="360" w:lineRule="exact"/>
              <w:jc w:val="center"/>
              <w:rPr>
                <w:rFonts w:hAnsi="宋体" w:cs="宋体"/>
                <w:color w:val="auto"/>
              </w:rPr>
            </w:pPr>
            <w:r>
              <w:rPr>
                <w:rFonts w:hint="eastAsia" w:hAnsi="宋体" w:cs="宋体"/>
                <w:color w:val="auto"/>
              </w:rPr>
              <w:t>1</w:t>
            </w:r>
          </w:p>
        </w:tc>
        <w:tc>
          <w:tcPr>
            <w:tcW w:w="9416" w:type="dxa"/>
            <w:vAlign w:val="center"/>
          </w:tcPr>
          <w:p>
            <w:pPr>
              <w:pStyle w:val="7"/>
              <w:spacing w:line="360" w:lineRule="exact"/>
              <w:jc w:val="left"/>
              <w:rPr>
                <w:rFonts w:hAnsi="宋体" w:cs="宋体"/>
                <w:color w:val="auto"/>
                <w:kern w:val="0"/>
              </w:rPr>
            </w:pPr>
            <w:r>
              <w:rPr>
                <w:rFonts w:hint="eastAsia" w:hAnsi="宋体" w:cs="宋体"/>
                <w:color w:val="auto"/>
              </w:rPr>
              <w:t>采购项目名称：新疆医科大学厚博学院（克拉玛依校区）消防维保服务</w:t>
            </w:r>
          </w:p>
          <w:p>
            <w:pPr>
              <w:pStyle w:val="7"/>
              <w:spacing w:line="360" w:lineRule="exact"/>
              <w:jc w:val="left"/>
              <w:rPr>
                <w:rFonts w:hAnsi="宋体" w:cs="宋体"/>
                <w:color w:val="auto"/>
              </w:rPr>
            </w:pPr>
            <w:r>
              <w:rPr>
                <w:rFonts w:hint="eastAsia" w:hAnsi="宋体" w:cs="宋体"/>
                <w:color w:val="auto"/>
              </w:rPr>
              <w:t>竞争性磋商文件编号：YXZB[ZC]2019-04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2" w:hRule="atLeast"/>
          <w:jc w:val="center"/>
        </w:trPr>
        <w:tc>
          <w:tcPr>
            <w:tcW w:w="664" w:type="dxa"/>
            <w:vAlign w:val="center"/>
          </w:tcPr>
          <w:p>
            <w:pPr>
              <w:pStyle w:val="7"/>
              <w:spacing w:line="360" w:lineRule="exact"/>
              <w:jc w:val="center"/>
              <w:rPr>
                <w:rFonts w:hAnsi="宋体" w:cs="宋体"/>
                <w:color w:val="auto"/>
              </w:rPr>
            </w:pPr>
            <w:r>
              <w:rPr>
                <w:rFonts w:hint="eastAsia" w:hAnsi="宋体" w:cs="宋体"/>
                <w:color w:val="auto"/>
              </w:rPr>
              <w:t>2</w:t>
            </w:r>
          </w:p>
        </w:tc>
        <w:tc>
          <w:tcPr>
            <w:tcW w:w="9416" w:type="dxa"/>
            <w:vAlign w:val="center"/>
          </w:tcPr>
          <w:p>
            <w:pPr>
              <w:spacing w:line="360" w:lineRule="exact"/>
              <w:jc w:val="left"/>
              <w:rPr>
                <w:rStyle w:val="19"/>
                <w:rFonts w:ascii="宋体" w:hAnsi="宋体" w:cs="宋体"/>
                <w:b w:val="0"/>
                <w:color w:val="auto"/>
                <w:kern w:val="0"/>
                <w:szCs w:val="21"/>
              </w:rPr>
            </w:pPr>
            <w:r>
              <w:rPr>
                <w:rStyle w:val="19"/>
                <w:rFonts w:hint="eastAsia" w:ascii="宋体" w:hAnsi="宋体" w:cs="宋体"/>
                <w:b w:val="0"/>
                <w:color w:val="auto"/>
                <w:kern w:val="0"/>
                <w:szCs w:val="21"/>
              </w:rPr>
              <w:t>采购人：克拉玛依市卫生健康委员会</w:t>
            </w:r>
          </w:p>
          <w:p>
            <w:pPr>
              <w:spacing w:line="360" w:lineRule="exact"/>
              <w:jc w:val="left"/>
              <w:rPr>
                <w:rStyle w:val="19"/>
                <w:rFonts w:ascii="宋体" w:hAnsi="宋体" w:cs="宋体"/>
                <w:b w:val="0"/>
                <w:color w:val="auto"/>
                <w:kern w:val="0"/>
                <w:szCs w:val="21"/>
              </w:rPr>
            </w:pPr>
            <w:r>
              <w:rPr>
                <w:rStyle w:val="19"/>
                <w:rFonts w:hint="eastAsia" w:ascii="宋体" w:hAnsi="宋体" w:cs="宋体"/>
                <w:b w:val="0"/>
                <w:color w:val="auto"/>
                <w:kern w:val="0"/>
                <w:szCs w:val="21"/>
              </w:rPr>
              <w:t>联系人：俞翔</w:t>
            </w:r>
          </w:p>
          <w:p>
            <w:pPr>
              <w:spacing w:line="360" w:lineRule="exact"/>
              <w:jc w:val="left"/>
              <w:rPr>
                <w:rStyle w:val="19"/>
                <w:rFonts w:ascii="宋体" w:hAnsi="宋体" w:cs="宋体"/>
                <w:b w:val="0"/>
                <w:color w:val="auto"/>
                <w:kern w:val="0"/>
                <w:szCs w:val="21"/>
              </w:rPr>
            </w:pPr>
            <w:r>
              <w:rPr>
                <w:rStyle w:val="19"/>
                <w:rFonts w:hint="eastAsia" w:ascii="宋体" w:hAnsi="宋体" w:cs="宋体"/>
                <w:b w:val="0"/>
                <w:color w:val="auto"/>
                <w:kern w:val="0"/>
                <w:szCs w:val="21"/>
              </w:rPr>
              <w:t>联系电话：0990-7564826</w:t>
            </w:r>
          </w:p>
          <w:p>
            <w:pPr>
              <w:pStyle w:val="13"/>
              <w:spacing w:before="75" w:beforeAutospacing="0" w:after="75" w:afterAutospacing="0" w:line="320" w:lineRule="exact"/>
              <w:rPr>
                <w:rFonts w:cs="宋体"/>
                <w:color w:val="auto"/>
                <w:sz w:val="21"/>
                <w:szCs w:val="21"/>
              </w:rPr>
            </w:pPr>
            <w:r>
              <w:rPr>
                <w:rStyle w:val="19"/>
                <w:rFonts w:hint="eastAsia" w:cs="宋体"/>
                <w:b w:val="0"/>
                <w:color w:val="auto"/>
                <w:sz w:val="21"/>
                <w:szCs w:val="21"/>
              </w:rPr>
              <w:t>地址：克拉玛依市胜利路12号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5" w:hRule="atLeast"/>
          <w:jc w:val="center"/>
        </w:trPr>
        <w:tc>
          <w:tcPr>
            <w:tcW w:w="664" w:type="dxa"/>
            <w:vAlign w:val="center"/>
          </w:tcPr>
          <w:p>
            <w:pPr>
              <w:pStyle w:val="7"/>
              <w:spacing w:line="360" w:lineRule="exact"/>
              <w:jc w:val="center"/>
              <w:rPr>
                <w:rFonts w:hAnsi="宋体" w:cs="宋体"/>
                <w:color w:val="auto"/>
              </w:rPr>
            </w:pPr>
            <w:r>
              <w:rPr>
                <w:rFonts w:hint="eastAsia" w:hAnsi="宋体" w:cs="宋体"/>
                <w:color w:val="auto"/>
              </w:rPr>
              <w:t>3</w:t>
            </w:r>
          </w:p>
        </w:tc>
        <w:tc>
          <w:tcPr>
            <w:tcW w:w="9416" w:type="dxa"/>
            <w:vAlign w:val="center"/>
          </w:tcPr>
          <w:p>
            <w:pPr>
              <w:pStyle w:val="13"/>
              <w:spacing w:before="75" w:beforeAutospacing="0" w:after="75" w:afterAutospacing="0" w:line="320" w:lineRule="exact"/>
              <w:rPr>
                <w:rFonts w:cs="宋体"/>
                <w:color w:val="auto"/>
                <w:sz w:val="21"/>
                <w:szCs w:val="21"/>
              </w:rPr>
            </w:pPr>
            <w:r>
              <w:rPr>
                <w:rFonts w:hint="eastAsia" w:cs="宋体"/>
                <w:color w:val="auto"/>
                <w:sz w:val="21"/>
                <w:szCs w:val="21"/>
              </w:rPr>
              <w:t>采购代理机构：新疆永信工程造价咨询有限公司 </w:t>
            </w:r>
          </w:p>
          <w:p>
            <w:pPr>
              <w:pStyle w:val="13"/>
              <w:spacing w:before="75" w:beforeAutospacing="0" w:after="75" w:afterAutospacing="0" w:line="320" w:lineRule="exact"/>
              <w:rPr>
                <w:rFonts w:cs="宋体"/>
                <w:color w:val="auto"/>
                <w:sz w:val="21"/>
                <w:szCs w:val="21"/>
              </w:rPr>
            </w:pPr>
            <w:r>
              <w:rPr>
                <w:rStyle w:val="19"/>
                <w:rFonts w:hint="eastAsia" w:cs="宋体"/>
                <w:b w:val="0"/>
                <w:color w:val="auto"/>
                <w:sz w:val="21"/>
                <w:szCs w:val="21"/>
              </w:rPr>
              <w:t>联系人：</w:t>
            </w:r>
            <w:r>
              <w:rPr>
                <w:rFonts w:hint="eastAsia" w:cs="宋体"/>
                <w:color w:val="auto"/>
                <w:sz w:val="21"/>
                <w:szCs w:val="21"/>
              </w:rPr>
              <w:t>邵彩霞</w:t>
            </w:r>
          </w:p>
          <w:p>
            <w:pPr>
              <w:pStyle w:val="13"/>
              <w:spacing w:before="75" w:beforeAutospacing="0" w:after="75" w:afterAutospacing="0" w:line="320" w:lineRule="exact"/>
              <w:rPr>
                <w:rFonts w:cs="宋体"/>
                <w:color w:val="auto"/>
                <w:sz w:val="21"/>
                <w:szCs w:val="21"/>
              </w:rPr>
            </w:pPr>
            <w:r>
              <w:rPr>
                <w:rStyle w:val="19"/>
                <w:rFonts w:hint="eastAsia" w:cs="宋体"/>
                <w:b w:val="0"/>
                <w:color w:val="auto"/>
                <w:sz w:val="21"/>
                <w:szCs w:val="21"/>
              </w:rPr>
              <w:t>联系电话：</w:t>
            </w:r>
            <w:r>
              <w:rPr>
                <w:rFonts w:hint="eastAsia" w:cs="宋体"/>
                <w:color w:val="auto"/>
                <w:sz w:val="21"/>
                <w:szCs w:val="21"/>
              </w:rPr>
              <w:t>0990-6883828  </w:t>
            </w:r>
          </w:p>
          <w:p>
            <w:pPr>
              <w:spacing w:line="360" w:lineRule="exact"/>
              <w:jc w:val="left"/>
              <w:rPr>
                <w:rFonts w:ascii="宋体" w:hAnsi="宋体" w:cs="宋体"/>
                <w:color w:val="auto"/>
                <w:szCs w:val="21"/>
              </w:rPr>
            </w:pPr>
            <w:r>
              <w:rPr>
                <w:rStyle w:val="19"/>
                <w:rFonts w:hint="eastAsia" w:ascii="宋体" w:hAnsi="宋体" w:cs="宋体"/>
                <w:b w:val="0"/>
                <w:color w:val="auto"/>
                <w:szCs w:val="21"/>
              </w:rPr>
              <w:t>地址：</w:t>
            </w:r>
            <w:r>
              <w:rPr>
                <w:rFonts w:hint="eastAsia" w:ascii="宋体" w:hAnsi="宋体" w:cs="宋体"/>
                <w:color w:val="auto"/>
                <w:szCs w:val="21"/>
              </w:rPr>
              <w:t>新疆维吾尔自治区克拉玛依市胜利路47号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664" w:type="dxa"/>
            <w:vAlign w:val="center"/>
          </w:tcPr>
          <w:p>
            <w:pPr>
              <w:pStyle w:val="7"/>
              <w:spacing w:line="360" w:lineRule="exact"/>
              <w:jc w:val="center"/>
              <w:rPr>
                <w:rFonts w:hAnsi="宋体" w:cs="宋体"/>
                <w:color w:val="auto"/>
              </w:rPr>
            </w:pPr>
            <w:r>
              <w:rPr>
                <w:rFonts w:hint="eastAsia" w:hAnsi="宋体" w:cs="宋体"/>
                <w:color w:val="auto"/>
              </w:rPr>
              <w:t>4</w:t>
            </w:r>
          </w:p>
        </w:tc>
        <w:tc>
          <w:tcPr>
            <w:tcW w:w="9416" w:type="dxa"/>
            <w:vAlign w:val="center"/>
          </w:tcPr>
          <w:p>
            <w:pPr>
              <w:pStyle w:val="7"/>
              <w:spacing w:line="360" w:lineRule="exact"/>
              <w:jc w:val="left"/>
              <w:rPr>
                <w:rFonts w:hAnsi="宋体" w:cs="宋体"/>
                <w:color w:val="auto"/>
              </w:rPr>
            </w:pPr>
            <w:r>
              <w:rPr>
                <w:rFonts w:hint="eastAsia" w:hAnsi="宋体" w:cs="宋体"/>
                <w:color w:val="auto"/>
              </w:rPr>
              <w:t>响应文件有效期：递交响应文件截止之日起</w:t>
            </w:r>
            <w:r>
              <w:rPr>
                <w:rFonts w:hint="eastAsia" w:hAnsi="宋体" w:cs="宋体"/>
                <w:color w:val="auto"/>
              </w:rPr>
              <w:t>60天</w:t>
            </w:r>
            <w:r>
              <w:rPr>
                <w:rFonts w:hint="eastAsia" w:hAnsi="宋体" w:cs="宋体"/>
                <w:color w:val="auto"/>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664" w:type="dxa"/>
            <w:vAlign w:val="center"/>
          </w:tcPr>
          <w:p>
            <w:pPr>
              <w:pStyle w:val="7"/>
              <w:spacing w:line="360" w:lineRule="exact"/>
              <w:jc w:val="center"/>
              <w:rPr>
                <w:rFonts w:hAnsi="宋体" w:cs="宋体"/>
                <w:color w:val="auto"/>
              </w:rPr>
            </w:pPr>
            <w:r>
              <w:rPr>
                <w:rFonts w:hint="eastAsia" w:hAnsi="宋体" w:cs="宋体"/>
                <w:color w:val="auto"/>
              </w:rPr>
              <w:t>5</w:t>
            </w:r>
          </w:p>
        </w:tc>
        <w:tc>
          <w:tcPr>
            <w:tcW w:w="9416" w:type="dxa"/>
            <w:vAlign w:val="center"/>
          </w:tcPr>
          <w:p>
            <w:pPr>
              <w:pStyle w:val="7"/>
              <w:spacing w:line="360" w:lineRule="exact"/>
              <w:jc w:val="left"/>
              <w:rPr>
                <w:rFonts w:hAnsi="宋体" w:cs="宋体"/>
                <w:color w:val="auto"/>
              </w:rPr>
            </w:pPr>
            <w:r>
              <w:rPr>
                <w:rFonts w:hint="eastAsia" w:hAnsi="宋体" w:cs="宋体"/>
                <w:color w:val="auto"/>
              </w:rPr>
              <w:t>响应文件的份数：</w:t>
            </w:r>
            <w:r>
              <w:rPr>
                <w:rFonts w:hint="eastAsia" w:hAnsi="宋体" w:cs="宋体"/>
                <w:b/>
                <w:color w:val="auto"/>
              </w:rPr>
              <w:t>一式</w:t>
            </w:r>
            <w:r>
              <w:rPr>
                <w:rFonts w:hint="eastAsia" w:hAnsi="宋体" w:cs="宋体"/>
                <w:b/>
                <w:color w:val="auto"/>
                <w:u w:val="single"/>
              </w:rPr>
              <w:t>叁</w:t>
            </w:r>
            <w:r>
              <w:rPr>
                <w:rFonts w:hint="eastAsia" w:hAnsi="宋体" w:cs="宋体"/>
                <w:b/>
                <w:color w:val="auto"/>
              </w:rPr>
              <w:t>份，其中正本</w:t>
            </w:r>
            <w:r>
              <w:rPr>
                <w:rFonts w:hint="eastAsia" w:hAnsi="宋体" w:cs="宋体"/>
                <w:b/>
                <w:color w:val="auto"/>
                <w:u w:val="single"/>
              </w:rPr>
              <w:t>壹</w:t>
            </w:r>
            <w:r>
              <w:rPr>
                <w:rFonts w:hint="eastAsia" w:hAnsi="宋体" w:cs="宋体"/>
                <w:b/>
                <w:color w:val="auto"/>
              </w:rPr>
              <w:t>份，副本</w:t>
            </w:r>
            <w:r>
              <w:rPr>
                <w:rFonts w:hint="eastAsia" w:hAnsi="宋体" w:cs="宋体"/>
                <w:b/>
                <w:color w:val="auto"/>
                <w:u w:val="single"/>
              </w:rPr>
              <w:t>贰</w:t>
            </w:r>
            <w:r>
              <w:rPr>
                <w:rFonts w:hint="eastAsia" w:hAnsi="宋体" w:cs="宋体"/>
                <w:b/>
                <w:color w:val="auto"/>
              </w:rPr>
              <w:t>份。全部竞争性磋商文件电子版（不加密光盘或U盘）一式贰份。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jc w:val="center"/>
        </w:trPr>
        <w:tc>
          <w:tcPr>
            <w:tcW w:w="664" w:type="dxa"/>
            <w:vAlign w:val="center"/>
          </w:tcPr>
          <w:p>
            <w:pPr>
              <w:pStyle w:val="7"/>
              <w:spacing w:line="360" w:lineRule="exact"/>
              <w:jc w:val="center"/>
              <w:rPr>
                <w:rFonts w:hAnsi="宋体" w:cs="宋体"/>
                <w:color w:val="auto"/>
              </w:rPr>
            </w:pPr>
            <w:r>
              <w:rPr>
                <w:rFonts w:hint="eastAsia" w:hAnsi="宋体" w:cs="宋体"/>
                <w:color w:val="auto"/>
              </w:rPr>
              <w:t>6</w:t>
            </w:r>
          </w:p>
        </w:tc>
        <w:tc>
          <w:tcPr>
            <w:tcW w:w="9416" w:type="dxa"/>
            <w:vAlign w:val="center"/>
          </w:tcPr>
          <w:p>
            <w:pPr>
              <w:pStyle w:val="7"/>
              <w:spacing w:line="360" w:lineRule="exact"/>
              <w:jc w:val="left"/>
              <w:rPr>
                <w:rFonts w:hAnsi="宋体" w:cs="宋体"/>
                <w:color w:val="auto"/>
              </w:rPr>
            </w:pPr>
            <w:r>
              <w:rPr>
                <w:rFonts w:hint="eastAsia" w:hAnsi="宋体" w:cs="宋体"/>
                <w:color w:val="auto"/>
              </w:rPr>
              <w:t>采购人不统一组织各供应商实地考察。如有疑问，于2019年</w:t>
            </w:r>
            <w:r>
              <w:rPr>
                <w:rFonts w:hint="eastAsia" w:hAnsi="宋体" w:cs="宋体"/>
                <w:color w:val="auto"/>
                <w:lang w:val="en-US" w:eastAsia="zh-CN"/>
              </w:rPr>
              <w:t>7</w:t>
            </w:r>
            <w:r>
              <w:rPr>
                <w:rFonts w:hint="eastAsia" w:hAnsi="宋体" w:cs="宋体"/>
                <w:color w:val="auto"/>
              </w:rPr>
              <w:t>月</w:t>
            </w:r>
            <w:r>
              <w:rPr>
                <w:rFonts w:hint="eastAsia" w:hAnsi="宋体" w:cs="宋体"/>
                <w:color w:val="auto"/>
                <w:lang w:val="en-US" w:eastAsia="zh-CN"/>
              </w:rPr>
              <w:t>10</w:t>
            </w:r>
            <w:r>
              <w:rPr>
                <w:rFonts w:hint="eastAsia" w:hAnsi="宋体" w:cs="宋体"/>
                <w:color w:val="auto"/>
              </w:rPr>
              <w:t>日19:00前以书面形式（必须加盖供应商公章）送达或传真至采购代理机构（同时将疑问电子版发635298735@qq.com）。采购人和采购代理机构将视情况以书面形式予以答复，并发至领取竞争性磋商文件的各位供应商。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1" w:hRule="atLeast"/>
          <w:jc w:val="center"/>
        </w:trPr>
        <w:tc>
          <w:tcPr>
            <w:tcW w:w="664" w:type="dxa"/>
            <w:vAlign w:val="center"/>
          </w:tcPr>
          <w:p>
            <w:pPr>
              <w:pStyle w:val="7"/>
              <w:spacing w:line="360" w:lineRule="exact"/>
              <w:jc w:val="center"/>
              <w:rPr>
                <w:rFonts w:hAnsi="宋体" w:cs="宋体"/>
                <w:color w:val="auto"/>
              </w:rPr>
            </w:pPr>
            <w:r>
              <w:rPr>
                <w:rFonts w:hint="eastAsia" w:hAnsi="宋体" w:cs="宋体"/>
                <w:color w:val="auto"/>
              </w:rPr>
              <w:t>7</w:t>
            </w:r>
          </w:p>
        </w:tc>
        <w:tc>
          <w:tcPr>
            <w:tcW w:w="9416" w:type="dxa"/>
            <w:vAlign w:val="center"/>
          </w:tcPr>
          <w:p>
            <w:pPr>
              <w:pStyle w:val="7"/>
              <w:spacing w:line="360" w:lineRule="exact"/>
              <w:jc w:val="left"/>
              <w:rPr>
                <w:rFonts w:hAnsi="宋体" w:cs="宋体"/>
                <w:color w:val="auto"/>
              </w:rPr>
            </w:pPr>
            <w:r>
              <w:rPr>
                <w:rFonts w:hint="eastAsia" w:hAnsi="宋体" w:cs="宋体"/>
                <w:color w:val="auto"/>
              </w:rPr>
              <w:t>递交响应文件时间：</w:t>
            </w:r>
            <w:r>
              <w:rPr>
                <w:rFonts w:hint="eastAsia" w:hAnsi="宋体" w:cs="宋体"/>
                <w:color w:val="auto"/>
              </w:rPr>
              <w:t>2019年7月</w:t>
            </w:r>
            <w:r>
              <w:rPr>
                <w:rFonts w:hint="eastAsia" w:hAnsi="宋体" w:cs="宋体"/>
                <w:color w:val="auto"/>
                <w:lang w:val="en-US" w:eastAsia="zh-CN"/>
              </w:rPr>
              <w:t>16</w:t>
            </w:r>
            <w:r>
              <w:rPr>
                <w:rFonts w:hint="eastAsia" w:hAnsi="宋体" w:cs="宋体"/>
                <w:color w:val="auto"/>
              </w:rPr>
              <w:t>日16:00-16:30</w:t>
            </w:r>
          </w:p>
          <w:p>
            <w:pPr>
              <w:pStyle w:val="7"/>
              <w:spacing w:line="360" w:lineRule="exact"/>
              <w:jc w:val="left"/>
              <w:rPr>
                <w:rFonts w:hAnsi="宋体" w:cs="宋体"/>
                <w:color w:val="auto"/>
              </w:rPr>
            </w:pPr>
            <w:r>
              <w:rPr>
                <w:rFonts w:hint="eastAsia" w:hAnsi="宋体" w:cs="宋体"/>
                <w:color w:val="auto"/>
              </w:rPr>
              <w:t>递交响应文件截止时间：</w:t>
            </w:r>
            <w:r>
              <w:rPr>
                <w:rFonts w:hint="eastAsia" w:hAnsi="宋体" w:cs="宋体"/>
                <w:color w:val="auto"/>
              </w:rPr>
              <w:t>2019年7月</w:t>
            </w:r>
            <w:r>
              <w:rPr>
                <w:rFonts w:hint="eastAsia" w:hAnsi="宋体" w:cs="宋体"/>
                <w:color w:val="auto"/>
                <w:lang w:val="en-US" w:eastAsia="zh-CN"/>
              </w:rPr>
              <w:t>16</w:t>
            </w:r>
            <w:r>
              <w:rPr>
                <w:rFonts w:hint="eastAsia" w:hAnsi="宋体" w:cs="宋体"/>
                <w:color w:val="auto"/>
              </w:rPr>
              <w:t>日16:30</w:t>
            </w:r>
          </w:p>
          <w:p>
            <w:pPr>
              <w:pStyle w:val="7"/>
              <w:spacing w:line="360" w:lineRule="exact"/>
              <w:jc w:val="left"/>
              <w:rPr>
                <w:rFonts w:hAnsi="宋体" w:cs="宋体"/>
                <w:color w:val="auto"/>
              </w:rPr>
            </w:pPr>
            <w:r>
              <w:rPr>
                <w:rFonts w:hint="eastAsia" w:hAnsi="宋体" w:cs="宋体"/>
                <w:color w:val="auto"/>
              </w:rPr>
              <w:t>递交响应文件地点：</w:t>
            </w:r>
            <w:r>
              <w:rPr>
                <w:rFonts w:hint="eastAsia" w:hAnsi="宋体" w:cs="宋体"/>
                <w:color w:val="auto"/>
                <w:lang w:val="zh-CN"/>
              </w:rPr>
              <w:t>新疆永信工程造价咨询有限公司（克拉玛依市胜利路47号）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jc w:val="center"/>
        </w:trPr>
        <w:tc>
          <w:tcPr>
            <w:tcW w:w="664" w:type="dxa"/>
            <w:vAlign w:val="center"/>
          </w:tcPr>
          <w:p>
            <w:pPr>
              <w:pStyle w:val="7"/>
              <w:spacing w:line="360" w:lineRule="exact"/>
              <w:jc w:val="center"/>
              <w:rPr>
                <w:rFonts w:hAnsi="宋体" w:cs="宋体"/>
                <w:color w:val="auto"/>
              </w:rPr>
            </w:pPr>
            <w:r>
              <w:rPr>
                <w:rFonts w:hint="eastAsia" w:hAnsi="宋体" w:cs="宋体"/>
                <w:color w:val="auto"/>
              </w:rPr>
              <w:t>8</w:t>
            </w:r>
          </w:p>
        </w:tc>
        <w:tc>
          <w:tcPr>
            <w:tcW w:w="9416" w:type="dxa"/>
            <w:vAlign w:val="center"/>
          </w:tcPr>
          <w:p>
            <w:pPr>
              <w:pStyle w:val="7"/>
              <w:spacing w:line="360" w:lineRule="exact"/>
              <w:jc w:val="left"/>
              <w:rPr>
                <w:rFonts w:hAnsi="宋体" w:cs="宋体"/>
                <w:color w:val="auto"/>
              </w:rPr>
            </w:pPr>
            <w:r>
              <w:rPr>
                <w:rFonts w:hint="eastAsia" w:hAnsi="宋体" w:cs="宋体"/>
                <w:color w:val="auto"/>
              </w:rPr>
              <w:t>磋商时间：</w:t>
            </w:r>
            <w:r>
              <w:rPr>
                <w:rFonts w:hint="eastAsia" w:hAnsi="宋体" w:cs="宋体"/>
                <w:color w:val="auto"/>
              </w:rPr>
              <w:t>2019年7月</w:t>
            </w:r>
            <w:r>
              <w:rPr>
                <w:rFonts w:hint="eastAsia" w:hAnsi="宋体" w:cs="宋体"/>
                <w:color w:val="auto"/>
                <w:lang w:val="en-US" w:eastAsia="zh-CN"/>
              </w:rPr>
              <w:t>16</w:t>
            </w:r>
            <w:r>
              <w:rPr>
                <w:rFonts w:hint="eastAsia" w:hAnsi="宋体" w:cs="宋体"/>
                <w:color w:val="auto"/>
              </w:rPr>
              <w:t>日16:30</w:t>
            </w:r>
          </w:p>
          <w:p>
            <w:pPr>
              <w:pStyle w:val="7"/>
              <w:spacing w:line="360" w:lineRule="exact"/>
              <w:jc w:val="left"/>
              <w:rPr>
                <w:rFonts w:hAnsi="宋体" w:cs="宋体"/>
                <w:color w:val="auto"/>
              </w:rPr>
            </w:pPr>
            <w:r>
              <w:rPr>
                <w:rFonts w:hint="eastAsia" w:hAnsi="宋体" w:cs="宋体"/>
                <w:color w:val="auto"/>
              </w:rPr>
              <w:t>磋商地点：</w:t>
            </w:r>
            <w:r>
              <w:rPr>
                <w:rFonts w:hint="eastAsia" w:hAnsi="宋体" w:cs="宋体"/>
                <w:color w:val="auto"/>
                <w:lang w:val="zh-CN"/>
              </w:rPr>
              <w:t>新疆永信工程造价咨询有限公司（克拉玛依市胜利路47号）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664" w:type="dxa"/>
            <w:vAlign w:val="center"/>
          </w:tcPr>
          <w:p>
            <w:pPr>
              <w:pStyle w:val="7"/>
              <w:spacing w:line="360" w:lineRule="exact"/>
              <w:jc w:val="center"/>
              <w:rPr>
                <w:rFonts w:hAnsi="宋体" w:cs="宋体"/>
                <w:color w:val="auto"/>
              </w:rPr>
            </w:pPr>
            <w:r>
              <w:rPr>
                <w:rFonts w:hint="eastAsia" w:hAnsi="宋体" w:cs="宋体"/>
                <w:color w:val="auto"/>
              </w:rPr>
              <w:t>9</w:t>
            </w:r>
          </w:p>
        </w:tc>
        <w:tc>
          <w:tcPr>
            <w:tcW w:w="9416" w:type="dxa"/>
            <w:vAlign w:val="center"/>
          </w:tcPr>
          <w:p>
            <w:pPr>
              <w:pStyle w:val="7"/>
              <w:spacing w:line="360" w:lineRule="exact"/>
              <w:jc w:val="left"/>
              <w:rPr>
                <w:rFonts w:hAnsi="宋体" w:cs="宋体"/>
                <w:color w:val="auto"/>
              </w:rPr>
            </w:pPr>
            <w:r>
              <w:rPr>
                <w:rFonts w:hint="eastAsia" w:hAnsi="宋体" w:cs="宋体"/>
                <w:b/>
                <w:bCs/>
                <w:color w:val="auto"/>
              </w:rPr>
              <w:t>采购项目预算：¥280000元</w:t>
            </w:r>
            <w:r>
              <w:rPr>
                <w:rFonts w:hint="eastAsia" w:hAnsi="宋体" w:cs="宋体"/>
                <w:b/>
                <w:bCs/>
                <w:color w:val="auto"/>
                <w:lang w:val="en-US" w:eastAsia="zh-CN"/>
              </w:rPr>
              <w:t>/年</w:t>
            </w:r>
            <w:r>
              <w:rPr>
                <w:rFonts w:hint="eastAsia" w:hAnsi="宋体" w:cs="宋体"/>
                <w:b/>
                <w:bCs/>
                <w:color w:val="auto"/>
              </w:rPr>
              <w:t>（大写：人民币贰拾捌万元整</w:t>
            </w:r>
            <w:r>
              <w:rPr>
                <w:rFonts w:hint="eastAsia" w:hAnsi="宋体" w:cs="宋体"/>
                <w:b/>
                <w:bCs/>
                <w:color w:val="auto"/>
                <w:lang w:val="en-US" w:eastAsia="zh-CN"/>
              </w:rPr>
              <w:t>/年</w:t>
            </w:r>
            <w:r>
              <w:rPr>
                <w:rFonts w:hint="eastAsia" w:hAnsi="宋体" w:cs="宋体"/>
                <w:b/>
                <w:bCs/>
                <w:color w:val="auto"/>
              </w:rPr>
              <w:t>），各供应商的商务报价如超过采购预算，则该供应商的响应文件作无效响应处理。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4" w:hRule="atLeast"/>
          <w:jc w:val="center"/>
        </w:trPr>
        <w:tc>
          <w:tcPr>
            <w:tcW w:w="664" w:type="dxa"/>
            <w:vAlign w:val="center"/>
          </w:tcPr>
          <w:p>
            <w:pPr>
              <w:pStyle w:val="7"/>
              <w:spacing w:line="360" w:lineRule="exact"/>
              <w:jc w:val="center"/>
              <w:rPr>
                <w:rFonts w:hAnsi="宋体" w:cs="宋体"/>
                <w:color w:val="auto"/>
              </w:rPr>
            </w:pPr>
            <w:r>
              <w:rPr>
                <w:rFonts w:hint="eastAsia" w:hAnsi="宋体" w:cs="宋体"/>
                <w:color w:val="auto"/>
              </w:rPr>
              <w:t>10</w:t>
            </w:r>
          </w:p>
        </w:tc>
        <w:tc>
          <w:tcPr>
            <w:tcW w:w="9416" w:type="dxa"/>
            <w:vAlign w:val="center"/>
          </w:tcPr>
          <w:p>
            <w:pPr>
              <w:pStyle w:val="7"/>
              <w:spacing w:line="400" w:lineRule="exact"/>
              <w:jc w:val="left"/>
              <w:rPr>
                <w:rFonts w:hAnsi="宋体" w:cs="宋体"/>
                <w:b/>
                <w:bCs/>
                <w:color w:val="auto"/>
              </w:rPr>
            </w:pPr>
            <w:r>
              <w:rPr>
                <w:rFonts w:hint="eastAsia" w:hAnsi="宋体" w:cs="宋体"/>
                <w:b/>
                <w:bCs/>
                <w:color w:val="auto"/>
              </w:rPr>
              <w:t>采购代理费：本项目采购代理费经与采购人协调，确定由成交供应商进行支付，总金额为人民币5000元（大写：人民币伍仟元整），成交供应商领取成交通知书时支付采购代理费。</w:t>
            </w:r>
          </w:p>
        </w:tc>
      </w:tr>
    </w:tbl>
    <w:p>
      <w:pPr>
        <w:pStyle w:val="2"/>
        <w:rPr>
          <w:rFonts w:ascii="宋体" w:hAnsi="宋体" w:cs="宋体"/>
          <w:color w:val="auto"/>
        </w:rPr>
      </w:pPr>
    </w:p>
    <w:p>
      <w:pPr>
        <w:rPr>
          <w:rFonts w:ascii="宋体" w:hAnsi="宋体" w:cs="宋体"/>
          <w:b/>
          <w:bCs/>
          <w:color w:val="auto"/>
          <w:sz w:val="24"/>
        </w:rPr>
      </w:pPr>
    </w:p>
    <w:p>
      <w:pPr>
        <w:jc w:val="center"/>
        <w:rPr>
          <w:rFonts w:ascii="宋体" w:hAnsi="宋体" w:cs="宋体"/>
          <w:b/>
          <w:bCs/>
          <w:color w:val="auto"/>
          <w:sz w:val="24"/>
        </w:rPr>
      </w:pPr>
      <w:bookmarkStart w:id="1" w:name="_Toc17277_WPSOffice_Level1"/>
      <w:r>
        <w:rPr>
          <w:rFonts w:hint="eastAsia" w:ascii="宋体" w:hAnsi="宋体" w:cs="宋体"/>
          <w:b/>
          <w:bCs/>
          <w:color w:val="auto"/>
          <w:sz w:val="30"/>
          <w:szCs w:val="30"/>
        </w:rPr>
        <w:t>第二章、供应商须知</w:t>
      </w:r>
      <w:bookmarkEnd w:id="1"/>
    </w:p>
    <w:p>
      <w:pPr>
        <w:rPr>
          <w:rFonts w:ascii="宋体" w:hAnsi="宋体" w:cs="宋体"/>
          <w:b/>
          <w:bCs/>
          <w:color w:val="auto"/>
          <w:sz w:val="24"/>
        </w:rPr>
      </w:pPr>
      <w:r>
        <w:rPr>
          <w:rFonts w:hint="eastAsia" w:ascii="宋体" w:hAnsi="宋体" w:cs="宋体"/>
          <w:b/>
          <w:bCs/>
          <w:color w:val="auto"/>
          <w:sz w:val="24"/>
        </w:rPr>
        <w:t>一、说明</w:t>
      </w:r>
    </w:p>
    <w:p>
      <w:pPr>
        <w:pStyle w:val="7"/>
        <w:spacing w:line="360" w:lineRule="auto"/>
        <w:ind w:firstLine="480" w:firstLineChars="200"/>
        <w:outlineLvl w:val="1"/>
        <w:rPr>
          <w:rFonts w:hAnsi="宋体" w:cs="宋体"/>
          <w:color w:val="auto"/>
          <w:sz w:val="24"/>
        </w:rPr>
      </w:pPr>
      <w:bookmarkStart w:id="2" w:name="_Toc243907571"/>
      <w:bookmarkStart w:id="3" w:name="_Toc233274811"/>
      <w:bookmarkStart w:id="4" w:name="_Toc246216180"/>
      <w:bookmarkStart w:id="5" w:name="_Toc243906311"/>
      <w:bookmarkStart w:id="6" w:name="_Toc6629"/>
      <w:r>
        <w:rPr>
          <w:rFonts w:hint="eastAsia" w:hAnsi="宋体" w:cs="宋体"/>
          <w:color w:val="auto"/>
          <w:sz w:val="24"/>
        </w:rPr>
        <w:t>1、适用范围</w:t>
      </w:r>
      <w:bookmarkEnd w:id="2"/>
      <w:bookmarkEnd w:id="3"/>
      <w:bookmarkEnd w:id="4"/>
      <w:bookmarkEnd w:id="5"/>
      <w:r>
        <w:rPr>
          <w:rFonts w:hint="eastAsia" w:hAnsi="宋体" w:cs="宋体"/>
          <w:color w:val="auto"/>
          <w:sz w:val="24"/>
        </w:rPr>
        <w:t>及招标依据</w:t>
      </w:r>
      <w:bookmarkEnd w:id="6"/>
    </w:p>
    <w:p>
      <w:pPr>
        <w:pStyle w:val="7"/>
        <w:spacing w:line="360" w:lineRule="auto"/>
        <w:ind w:firstLine="480" w:firstLineChars="200"/>
        <w:rPr>
          <w:rFonts w:hAnsi="宋体" w:cs="宋体"/>
          <w:color w:val="auto"/>
          <w:sz w:val="24"/>
        </w:rPr>
      </w:pPr>
      <w:r>
        <w:rPr>
          <w:rFonts w:hint="eastAsia" w:hAnsi="宋体" w:cs="宋体"/>
          <w:color w:val="auto"/>
          <w:sz w:val="24"/>
        </w:rPr>
        <w:t>1.1 适用范围</w:t>
      </w:r>
    </w:p>
    <w:p>
      <w:pPr>
        <w:pStyle w:val="7"/>
        <w:spacing w:line="360" w:lineRule="auto"/>
        <w:ind w:firstLine="480" w:firstLineChars="200"/>
        <w:rPr>
          <w:rFonts w:hAnsi="宋体" w:cs="宋体"/>
          <w:color w:val="auto"/>
          <w:sz w:val="24"/>
        </w:rPr>
      </w:pPr>
      <w:r>
        <w:rPr>
          <w:rFonts w:hint="eastAsia" w:hAnsi="宋体" w:cs="宋体"/>
          <w:color w:val="auto"/>
          <w:sz w:val="24"/>
        </w:rPr>
        <w:t>本竞争性磋商文件仅适用于新疆医科大学厚博学院（克拉玛依校区）消防维保服务</w:t>
      </w:r>
      <w:r>
        <w:rPr>
          <w:rFonts w:hint="eastAsia" w:hAnsi="宋体" w:cs="宋体"/>
          <w:color w:val="auto"/>
          <w:sz w:val="24"/>
          <w:szCs w:val="24"/>
        </w:rPr>
        <w:t>。</w:t>
      </w:r>
    </w:p>
    <w:p>
      <w:pPr>
        <w:pStyle w:val="7"/>
        <w:spacing w:line="360" w:lineRule="auto"/>
        <w:ind w:firstLine="480" w:firstLineChars="200"/>
        <w:rPr>
          <w:rFonts w:hAnsi="宋体" w:cs="宋体"/>
          <w:color w:val="auto"/>
          <w:sz w:val="24"/>
        </w:rPr>
      </w:pPr>
      <w:r>
        <w:rPr>
          <w:rFonts w:hint="eastAsia" w:hAnsi="宋体" w:cs="宋体"/>
          <w:color w:val="auto"/>
          <w:sz w:val="24"/>
        </w:rPr>
        <w:t>1.2招标依据</w:t>
      </w:r>
    </w:p>
    <w:p>
      <w:pPr>
        <w:widowControl/>
        <w:spacing w:line="360" w:lineRule="auto"/>
        <w:ind w:firstLine="480" w:firstLineChars="200"/>
        <w:rPr>
          <w:rFonts w:ascii="宋体" w:hAnsi="宋体" w:cs="宋体"/>
          <w:color w:val="auto"/>
          <w:sz w:val="24"/>
        </w:rPr>
      </w:pPr>
      <w:bookmarkStart w:id="7" w:name="_Toc233274812"/>
      <w:bookmarkStart w:id="8" w:name="_Toc20877"/>
      <w:bookmarkStart w:id="9" w:name="_Toc243906312"/>
      <w:bookmarkStart w:id="10" w:name="_Toc243907572"/>
      <w:bookmarkStart w:id="11" w:name="_Toc246216181"/>
      <w:r>
        <w:rPr>
          <w:rFonts w:hint="eastAsia" w:ascii="宋体" w:hAnsi="宋体" w:cs="宋体"/>
          <w:color w:val="auto"/>
          <w:sz w:val="24"/>
        </w:rPr>
        <w:t>根据《中华人民共和国政府采购法》、《中华人民共和国政府采购法实施条例》、《财政部关于印发〈政府采购竞争性磋商采购方式管理暂行办法〉的通知》（财库〔2014〕214号）及有关法律、法规。</w:t>
      </w:r>
    </w:p>
    <w:p>
      <w:pPr>
        <w:pStyle w:val="7"/>
        <w:spacing w:line="360" w:lineRule="auto"/>
        <w:ind w:firstLine="480" w:firstLineChars="200"/>
        <w:outlineLvl w:val="1"/>
        <w:rPr>
          <w:rFonts w:hAnsi="宋体" w:cs="宋体"/>
          <w:color w:val="auto"/>
          <w:sz w:val="24"/>
        </w:rPr>
      </w:pPr>
      <w:r>
        <w:rPr>
          <w:rFonts w:hint="eastAsia" w:hAnsi="宋体" w:cs="宋体"/>
          <w:color w:val="auto"/>
          <w:sz w:val="24"/>
        </w:rPr>
        <w:t>2、定义</w:t>
      </w:r>
      <w:bookmarkEnd w:id="7"/>
      <w:bookmarkEnd w:id="8"/>
      <w:bookmarkEnd w:id="9"/>
      <w:bookmarkEnd w:id="10"/>
      <w:bookmarkEnd w:id="11"/>
    </w:p>
    <w:p>
      <w:pPr>
        <w:pStyle w:val="7"/>
        <w:spacing w:line="360" w:lineRule="auto"/>
        <w:ind w:firstLine="480" w:firstLineChars="200"/>
        <w:rPr>
          <w:rFonts w:hAnsi="宋体" w:cs="宋体"/>
          <w:color w:val="auto"/>
          <w:sz w:val="24"/>
        </w:rPr>
      </w:pPr>
      <w:r>
        <w:rPr>
          <w:rFonts w:hint="eastAsia" w:hAnsi="宋体" w:cs="宋体"/>
          <w:color w:val="auto"/>
          <w:sz w:val="24"/>
        </w:rPr>
        <w:t>2.1 “采购人”系指克拉玛依市卫生健康委员会，在签订和执行合同阶段称“买方”。</w:t>
      </w:r>
    </w:p>
    <w:p>
      <w:pPr>
        <w:pStyle w:val="7"/>
        <w:spacing w:line="360" w:lineRule="auto"/>
        <w:ind w:firstLine="480" w:firstLineChars="200"/>
        <w:rPr>
          <w:rFonts w:hAnsi="宋体" w:cs="宋体"/>
          <w:color w:val="auto"/>
          <w:sz w:val="24"/>
        </w:rPr>
      </w:pPr>
      <w:r>
        <w:rPr>
          <w:rFonts w:hint="eastAsia" w:hAnsi="宋体" w:cs="宋体"/>
          <w:color w:val="auto"/>
          <w:sz w:val="24"/>
        </w:rPr>
        <w:t xml:space="preserve">2.2 </w:t>
      </w:r>
      <w:r>
        <w:rPr>
          <w:rFonts w:hint="eastAsia" w:hAnsi="宋体" w:cs="宋体"/>
          <w:color w:val="auto"/>
          <w:sz w:val="24"/>
          <w:szCs w:val="24"/>
        </w:rPr>
        <w:t>“采购代理机构”</w:t>
      </w:r>
      <w:r>
        <w:rPr>
          <w:rFonts w:hint="eastAsia" w:hAnsi="宋体" w:cs="宋体"/>
          <w:color w:val="auto"/>
          <w:sz w:val="24"/>
        </w:rPr>
        <w:t>系指</w:t>
      </w:r>
      <w:r>
        <w:rPr>
          <w:rFonts w:hint="eastAsia" w:hAnsi="宋体" w:cs="宋体"/>
          <w:color w:val="auto"/>
          <w:sz w:val="24"/>
          <w:lang w:val="zh-CN"/>
        </w:rPr>
        <w:t>新疆永信工程造价咨询有限公司</w:t>
      </w:r>
      <w:r>
        <w:rPr>
          <w:rFonts w:hint="eastAsia" w:hAnsi="宋体" w:cs="宋体"/>
          <w:color w:val="auto"/>
          <w:sz w:val="24"/>
        </w:rPr>
        <w:t>。</w:t>
      </w:r>
    </w:p>
    <w:p>
      <w:pPr>
        <w:pStyle w:val="7"/>
        <w:spacing w:line="360" w:lineRule="auto"/>
        <w:ind w:firstLine="480" w:firstLineChars="200"/>
        <w:rPr>
          <w:rFonts w:hAnsi="宋体" w:cs="宋体"/>
          <w:color w:val="auto"/>
          <w:sz w:val="24"/>
          <w:lang w:val="zh-CN"/>
        </w:rPr>
      </w:pPr>
      <w:bookmarkStart w:id="12" w:name="_Toc246216182"/>
      <w:bookmarkStart w:id="13" w:name="_Toc233274813"/>
      <w:bookmarkStart w:id="14" w:name="_Toc243907573"/>
      <w:bookmarkStart w:id="15" w:name="_Toc243906313"/>
      <w:r>
        <w:rPr>
          <w:rFonts w:hint="eastAsia" w:hAnsi="宋体" w:cs="宋体"/>
          <w:color w:val="auto"/>
          <w:sz w:val="24"/>
          <w:lang w:val="zh-CN"/>
        </w:rPr>
        <w:t>2.3 “供应商”系指具备资格并响应竞争性磋商文件要求提交响应文件的法人，供应商若成交，在签订和执行合同阶段称“卖方”。</w:t>
      </w:r>
    </w:p>
    <w:p>
      <w:pPr>
        <w:pStyle w:val="7"/>
        <w:spacing w:line="360" w:lineRule="auto"/>
        <w:ind w:firstLine="480" w:firstLineChars="200"/>
        <w:rPr>
          <w:rFonts w:hAnsi="宋体" w:cs="宋体"/>
          <w:color w:val="auto"/>
          <w:sz w:val="24"/>
          <w:lang w:val="zh-CN"/>
        </w:rPr>
      </w:pPr>
      <w:r>
        <w:rPr>
          <w:rFonts w:hint="eastAsia" w:hAnsi="宋体" w:cs="宋体"/>
          <w:color w:val="auto"/>
          <w:sz w:val="24"/>
          <w:lang w:val="zh-CN"/>
        </w:rPr>
        <w:t>2.4 “竞争性磋商文件”系指由采购人向供应商发出的本采购项目的全部文件（包括修改文件、项目采购需求、补充文件、答疑纪要、各种通知和附件等）。</w:t>
      </w:r>
    </w:p>
    <w:p>
      <w:pPr>
        <w:pStyle w:val="7"/>
        <w:spacing w:line="360" w:lineRule="auto"/>
        <w:ind w:firstLine="480" w:firstLineChars="200"/>
        <w:rPr>
          <w:rFonts w:hAnsi="宋体" w:cs="宋体"/>
          <w:color w:val="auto"/>
          <w:sz w:val="24"/>
          <w:shd w:val="clear" w:color="FFFFFF" w:fill="D9D9D9"/>
          <w:lang w:val="zh-CN"/>
        </w:rPr>
      </w:pPr>
      <w:r>
        <w:rPr>
          <w:rFonts w:hint="eastAsia" w:hAnsi="宋体" w:cs="宋体"/>
          <w:color w:val="auto"/>
          <w:sz w:val="24"/>
          <w:lang w:val="zh-CN"/>
        </w:rPr>
        <w:t>2.5 “响应文件”系指供应商根据竞争性磋商文件提交的所有文件及电子文档（光盘）。</w:t>
      </w:r>
    </w:p>
    <w:p>
      <w:pPr>
        <w:pStyle w:val="7"/>
        <w:spacing w:line="360" w:lineRule="auto"/>
        <w:ind w:firstLine="480" w:firstLineChars="200"/>
        <w:rPr>
          <w:rFonts w:hAnsi="宋体" w:cs="宋体"/>
          <w:color w:val="auto"/>
          <w:sz w:val="24"/>
        </w:rPr>
      </w:pPr>
      <w:r>
        <w:rPr>
          <w:rFonts w:hint="eastAsia" w:hAnsi="宋体" w:cs="宋体"/>
          <w:color w:val="auto"/>
          <w:sz w:val="24"/>
          <w:lang w:val="zh-CN"/>
        </w:rPr>
        <w:t>2.6 “合同货物”</w:t>
      </w:r>
      <w:r>
        <w:rPr>
          <w:rFonts w:hint="eastAsia" w:hAnsi="宋体" w:cs="宋体"/>
          <w:color w:val="auto"/>
          <w:sz w:val="24"/>
        </w:rPr>
        <w:t>系指按合同条款、技术规范及标准、项目采购需求、本竞争性磋商文件规定，成交供应商须向采购人提供</w:t>
      </w:r>
      <w:r>
        <w:rPr>
          <w:rFonts w:hint="eastAsia" w:hAnsi="宋体" w:cs="宋体"/>
          <w:color w:val="auto"/>
          <w:sz w:val="24"/>
        </w:rPr>
        <w:t>消防维保服务</w:t>
      </w:r>
      <w:r>
        <w:rPr>
          <w:rFonts w:hint="eastAsia" w:hAnsi="宋体" w:cs="宋体"/>
          <w:color w:val="auto"/>
          <w:sz w:val="24"/>
        </w:rPr>
        <w:t>。</w:t>
      </w:r>
    </w:p>
    <w:p>
      <w:pPr>
        <w:pStyle w:val="7"/>
        <w:spacing w:line="360" w:lineRule="auto"/>
        <w:ind w:firstLine="480" w:firstLineChars="200"/>
        <w:rPr>
          <w:rFonts w:hAnsi="宋体" w:eastAsia="仿宋" w:cs="宋体"/>
          <w:b/>
          <w:color w:val="auto"/>
          <w:sz w:val="24"/>
        </w:rPr>
      </w:pPr>
      <w:r>
        <w:rPr>
          <w:rFonts w:hint="eastAsia" w:hAnsi="宋体" w:cs="宋体"/>
          <w:color w:val="auto"/>
          <w:sz w:val="24"/>
          <w:lang w:val="zh-CN"/>
        </w:rPr>
        <w:t>2.7 “服务”</w:t>
      </w:r>
      <w:r>
        <w:rPr>
          <w:rFonts w:hint="eastAsia" w:hAnsi="宋体" w:cs="宋体"/>
          <w:color w:val="auto"/>
          <w:sz w:val="24"/>
        </w:rPr>
        <w:t>系指按合同条款、</w:t>
      </w:r>
      <w:r>
        <w:rPr>
          <w:rFonts w:hint="eastAsia" w:hAnsi="宋体" w:cs="宋体"/>
          <w:color w:val="auto"/>
          <w:sz w:val="24"/>
        </w:rPr>
        <w:t>技术规范及标准、项目采购需求、本竞争性磋商文件规定，成交供应商在消防维护期内负责新疆医科大学厚博学院（克拉玛依校区）范围内包括的临床教学楼、基础教学楼、公共教学楼、图文中心、1-4号学生宿舍楼（4栋）、学生餐厅（第一、第二）、青年教师公寓、动物中心、后勤管理中心、锅炉房、室外运动场、车库等建筑物，按照消防维护管理标准及要求对上述建筑物的自动消防设施检测及维护、火灾自动报警系统、自动喷水灭火系统，室内外消火栓系统、应急照明与疏散指示系统、防火卷帘门系统等其它相关辅助消防设施进行消防维护并通过验收。</w:t>
      </w:r>
    </w:p>
    <w:p>
      <w:pPr>
        <w:pStyle w:val="7"/>
        <w:spacing w:line="360" w:lineRule="auto"/>
        <w:ind w:firstLine="480" w:firstLineChars="200"/>
        <w:rPr>
          <w:rFonts w:hAnsi="宋体" w:cs="宋体"/>
          <w:color w:val="auto"/>
          <w:sz w:val="24"/>
          <w:lang w:val="zh-CN"/>
        </w:rPr>
      </w:pPr>
      <w:r>
        <w:rPr>
          <w:rFonts w:hint="eastAsia" w:hAnsi="宋体" w:cs="宋体"/>
          <w:color w:val="auto"/>
          <w:sz w:val="24"/>
          <w:lang w:val="zh-CN"/>
        </w:rPr>
        <w:t>2.</w:t>
      </w:r>
      <w:r>
        <w:rPr>
          <w:rFonts w:hint="eastAsia" w:hAnsi="宋体" w:cs="宋体"/>
          <w:color w:val="auto"/>
          <w:sz w:val="24"/>
        </w:rPr>
        <w:t xml:space="preserve">8 </w:t>
      </w:r>
      <w:r>
        <w:rPr>
          <w:rFonts w:hint="eastAsia" w:hAnsi="宋体" w:cs="宋体"/>
          <w:color w:val="auto"/>
          <w:sz w:val="24"/>
          <w:lang w:val="zh-CN"/>
        </w:rPr>
        <w:t xml:space="preserve">凡提及的“天、日期、星期、月份和年份”系指公历日历的日历天、日期、星期、月份和年份。 </w:t>
      </w:r>
    </w:p>
    <w:p>
      <w:pPr>
        <w:pStyle w:val="7"/>
        <w:spacing w:line="360" w:lineRule="auto"/>
        <w:ind w:firstLine="480" w:firstLineChars="200"/>
        <w:rPr>
          <w:rFonts w:hAnsi="宋体" w:cs="宋体"/>
          <w:color w:val="auto"/>
          <w:sz w:val="24"/>
        </w:rPr>
      </w:pPr>
      <w:r>
        <w:rPr>
          <w:rFonts w:hint="eastAsia" w:hAnsi="宋体" w:cs="宋体"/>
          <w:color w:val="auto"/>
          <w:sz w:val="24"/>
        </w:rPr>
        <w:t>3、</w:t>
      </w:r>
      <w:bookmarkEnd w:id="12"/>
      <w:bookmarkEnd w:id="13"/>
      <w:bookmarkEnd w:id="14"/>
      <w:bookmarkEnd w:id="15"/>
      <w:r>
        <w:rPr>
          <w:rFonts w:hint="eastAsia" w:hAnsi="宋体" w:cs="宋体"/>
          <w:color w:val="auto"/>
          <w:sz w:val="24"/>
        </w:rPr>
        <w:t>采购范围及服务期限</w:t>
      </w:r>
    </w:p>
    <w:p>
      <w:pPr>
        <w:spacing w:line="360" w:lineRule="auto"/>
        <w:ind w:firstLine="482" w:firstLineChars="200"/>
        <w:rPr>
          <w:rFonts w:ascii="宋体" w:hAnsi="宋体" w:cs="宋体"/>
          <w:b/>
          <w:color w:val="auto"/>
          <w:sz w:val="24"/>
        </w:rPr>
      </w:pPr>
      <w:r>
        <w:rPr>
          <w:rFonts w:hint="eastAsia" w:ascii="宋体" w:hAnsi="宋体" w:cs="宋体"/>
          <w:b/>
          <w:bCs/>
          <w:color w:val="auto"/>
          <w:sz w:val="24"/>
        </w:rPr>
        <w:t>3.1采购范围</w:t>
      </w:r>
      <w:r>
        <w:rPr>
          <w:rFonts w:hint="eastAsia" w:ascii="宋体" w:hAnsi="宋体" w:cs="宋体"/>
          <w:color w:val="auto"/>
          <w:sz w:val="24"/>
        </w:rPr>
        <w:t>：</w:t>
      </w:r>
      <w:r>
        <w:rPr>
          <w:rFonts w:hint="eastAsia" w:ascii="宋体" w:hAnsi="宋体" w:cs="宋体"/>
          <w:b/>
          <w:bCs/>
          <w:color w:val="auto"/>
          <w:sz w:val="24"/>
        </w:rPr>
        <w:t>在消防维护期内负责新疆医科大学厚博学院（克拉玛依校区）范围内包括的临床教学楼、基础教学楼、公共教学楼、图文中心、1-4号学生宿舍楼（4栋）、学生餐厅（第一、第二）、青年教师公寓、动物中心、后勤管理中心、锅炉房、室外运动场、车库等建筑物，按照消防维护管理标准及要求对上述建筑物的自动消防设施检测及维护、火灾自动报警系统、自动喷水灭火系统，室内外消火栓系统、应急照明与疏散指示系统、防火卷帘门系统等其它相关辅助消防设施进行消防维护并通过验收</w:t>
      </w:r>
      <w:r>
        <w:rPr>
          <w:rFonts w:hint="eastAsia" w:ascii="宋体" w:hAnsi="宋体" w:cs="宋体"/>
          <w:b/>
          <w:color w:val="auto"/>
          <w:sz w:val="24"/>
        </w:rPr>
        <w:t>。</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注：消防维护合同期内各建筑的新建、改扩建、装饰或移动原有消防设施项目不在本次维护范围之内。</w:t>
      </w:r>
    </w:p>
    <w:p>
      <w:pPr>
        <w:pStyle w:val="2"/>
        <w:rPr>
          <w:rFonts w:hint="default" w:eastAsia="宋体"/>
          <w:color w:val="auto"/>
          <w:lang w:val="en-US" w:eastAsia="zh-CN"/>
        </w:rPr>
      </w:pPr>
      <w:r>
        <w:rPr>
          <w:rFonts w:hint="eastAsia" w:ascii="宋体" w:hAnsi="宋体" w:cs="宋体"/>
          <w:b/>
          <w:bCs/>
          <w:color w:val="auto"/>
          <w:sz w:val="24"/>
          <w:lang w:val="en-US" w:eastAsia="zh-CN"/>
        </w:rPr>
        <w:t xml:space="preserve">    3.2采购预算：</w:t>
      </w:r>
      <w:r>
        <w:rPr>
          <w:rFonts w:hint="eastAsia" w:ascii="宋体" w:hAnsi="宋体" w:eastAsia="宋体" w:cs="宋体"/>
          <w:b/>
          <w:bCs/>
          <w:color w:val="auto"/>
          <w:kern w:val="2"/>
          <w:sz w:val="24"/>
          <w:szCs w:val="24"/>
          <w:lang w:val="en-US" w:eastAsia="zh-CN" w:bidi="ar-SA"/>
        </w:rPr>
        <w:t>28万元/年</w:t>
      </w:r>
      <w:r>
        <w:rPr>
          <w:rFonts w:hint="eastAsia" w:ascii="宋体" w:hAnsi="宋体" w:cs="宋体"/>
          <w:b/>
          <w:bCs/>
          <w:color w:val="auto"/>
          <w:kern w:val="2"/>
          <w:sz w:val="24"/>
          <w:szCs w:val="24"/>
          <w:lang w:val="en-US" w:eastAsia="zh-CN" w:bidi="ar-SA"/>
        </w:rPr>
        <w:t>；</w:t>
      </w:r>
    </w:p>
    <w:p>
      <w:pPr>
        <w:pStyle w:val="5"/>
        <w:spacing w:line="360" w:lineRule="auto"/>
        <w:ind w:firstLine="482" w:firstLineChars="200"/>
        <w:rPr>
          <w:rFonts w:ascii="宋体" w:hAnsi="宋体" w:cs="宋体"/>
          <w:b/>
          <w:color w:val="auto"/>
          <w:sz w:val="24"/>
        </w:rPr>
      </w:pPr>
      <w:r>
        <w:rPr>
          <w:rFonts w:hint="eastAsia" w:ascii="宋体" w:hAnsi="宋体" w:cs="宋体"/>
          <w:b/>
          <w:bCs/>
          <w:color w:val="auto"/>
          <w:sz w:val="24"/>
        </w:rPr>
        <w:t>3.</w:t>
      </w:r>
      <w:r>
        <w:rPr>
          <w:rFonts w:hint="eastAsia" w:ascii="宋体" w:hAnsi="宋体" w:cs="宋体"/>
          <w:b/>
          <w:bCs/>
          <w:color w:val="auto"/>
          <w:sz w:val="24"/>
          <w:lang w:val="en-US" w:eastAsia="zh-CN"/>
        </w:rPr>
        <w:t>3</w:t>
      </w:r>
      <w:r>
        <w:rPr>
          <w:rFonts w:hint="eastAsia" w:ascii="宋体" w:hAnsi="宋体" w:cs="宋体"/>
          <w:b/>
          <w:bCs/>
          <w:color w:val="auto"/>
          <w:sz w:val="24"/>
        </w:rPr>
        <w:t>服务期限：</w:t>
      </w:r>
      <w:r>
        <w:rPr>
          <w:rFonts w:hint="eastAsia" w:ascii="宋体" w:hAnsi="宋体" w:eastAsia="宋体" w:cs="宋体"/>
          <w:b/>
          <w:bCs/>
          <w:color w:val="auto"/>
          <w:kern w:val="2"/>
          <w:sz w:val="24"/>
          <w:szCs w:val="24"/>
          <w:lang w:val="en-US" w:eastAsia="zh-CN" w:bidi="ar-SA"/>
        </w:rPr>
        <w:t>一年服务期限为12个月，本项目服务期限为三年，合同一年一签定</w:t>
      </w:r>
      <w:r>
        <w:rPr>
          <w:rFonts w:hint="eastAsia" w:ascii="宋体" w:hAnsi="宋体" w:cs="宋体"/>
          <w:b/>
          <w:bCs/>
          <w:color w:val="auto"/>
          <w:kern w:val="2"/>
          <w:sz w:val="24"/>
          <w:szCs w:val="24"/>
          <w:lang w:val="en-US" w:eastAsia="zh-CN" w:bidi="ar-SA"/>
        </w:rPr>
        <w:t>。</w:t>
      </w:r>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4</w:t>
      </w:r>
      <w:r>
        <w:rPr>
          <w:rFonts w:hint="eastAsia" w:ascii="宋体" w:hAnsi="宋体" w:cs="宋体"/>
          <w:color w:val="auto"/>
          <w:sz w:val="24"/>
        </w:rPr>
        <w:t>、合格供应商资格要求</w:t>
      </w:r>
    </w:p>
    <w:p>
      <w:pPr>
        <w:spacing w:line="360" w:lineRule="auto"/>
        <w:ind w:firstLine="480" w:firstLineChars="200"/>
        <w:rPr>
          <w:rFonts w:ascii="宋体" w:hAnsi="宋体" w:cs="宋体"/>
          <w:color w:val="auto"/>
          <w:sz w:val="24"/>
        </w:rPr>
      </w:pPr>
      <w:r>
        <w:rPr>
          <w:rFonts w:hint="eastAsia" w:ascii="宋体" w:hAnsi="宋体" w:cs="宋体"/>
          <w:color w:val="auto"/>
          <w:sz w:val="24"/>
        </w:rPr>
        <w:t>4.1详见第一章“竞争性磋商采购公告”中的供应商资格要求。</w:t>
      </w:r>
    </w:p>
    <w:p>
      <w:pPr>
        <w:spacing w:line="360" w:lineRule="auto"/>
        <w:ind w:firstLine="480" w:firstLineChars="200"/>
        <w:rPr>
          <w:rFonts w:ascii="宋体" w:hAnsi="宋体" w:cs="宋体"/>
          <w:color w:val="auto"/>
          <w:sz w:val="24"/>
        </w:rPr>
      </w:pPr>
      <w:r>
        <w:rPr>
          <w:rFonts w:hint="eastAsia" w:ascii="宋体" w:hAnsi="宋体" w:cs="宋体"/>
          <w:color w:val="auto"/>
          <w:sz w:val="24"/>
        </w:rPr>
        <w:t>4.2采购有关规定</w:t>
      </w:r>
    </w:p>
    <w:p>
      <w:pPr>
        <w:snapToGrid w:val="0"/>
        <w:spacing w:line="360" w:lineRule="auto"/>
        <w:ind w:firstLine="472" w:firstLineChars="196"/>
        <w:rPr>
          <w:rFonts w:ascii="宋体" w:hAnsi="宋体" w:cs="宋体"/>
          <w:b/>
          <w:bCs/>
          <w:color w:val="auto"/>
          <w:sz w:val="24"/>
        </w:rPr>
      </w:pPr>
      <w:r>
        <w:rPr>
          <w:rFonts w:hint="eastAsia" w:ascii="宋体" w:hAnsi="宋体" w:cs="宋体"/>
          <w:b/>
          <w:bCs/>
          <w:color w:val="auto"/>
          <w:sz w:val="24"/>
        </w:rPr>
        <w:t>4.2.1供应商负责人为同一人或者存在直接控股、管理关系的不同供应商，不得参加同一合同项下的政府采购活动。</w:t>
      </w:r>
    </w:p>
    <w:p>
      <w:pPr>
        <w:snapToGrid w:val="0"/>
        <w:spacing w:line="360" w:lineRule="auto"/>
        <w:ind w:firstLine="479" w:firstLineChars="199"/>
        <w:rPr>
          <w:rFonts w:ascii="宋体" w:hAnsi="宋体" w:cs="宋体"/>
          <w:b/>
          <w:bCs/>
          <w:color w:val="auto"/>
          <w:sz w:val="24"/>
        </w:rPr>
      </w:pPr>
      <w:r>
        <w:rPr>
          <w:rFonts w:hint="eastAsia" w:ascii="宋体" w:hAnsi="宋体" w:cs="宋体"/>
          <w:b/>
          <w:bCs/>
          <w:color w:val="auto"/>
          <w:sz w:val="24"/>
        </w:rPr>
        <w:t>4.2.2为采购项目提供整体设计、规范编制或者项目管理、监理、检测等服务的供应商，不得再参加该采购项目的其他采购活动。</w:t>
      </w:r>
    </w:p>
    <w:p>
      <w:pPr>
        <w:snapToGrid w:val="0"/>
        <w:spacing w:line="360" w:lineRule="auto"/>
        <w:ind w:firstLine="479" w:firstLineChars="199"/>
        <w:rPr>
          <w:rFonts w:ascii="宋体" w:hAnsi="宋体" w:cs="宋体"/>
          <w:b/>
          <w:bCs/>
          <w:color w:val="auto"/>
          <w:sz w:val="24"/>
        </w:rPr>
      </w:pPr>
      <w:r>
        <w:rPr>
          <w:rFonts w:hint="eastAsia" w:ascii="宋体" w:hAnsi="宋体" w:cs="宋体"/>
          <w:b/>
          <w:bCs/>
          <w:color w:val="auto"/>
          <w:sz w:val="24"/>
        </w:rPr>
        <w:t>4.2.3在单一品目的货物采购招标中，同一品牌同一型号的产品有多家供应商参加采购，只能按照一家供应商计算。</w:t>
      </w:r>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4.2.4同一分包的货物，制造商参与采购的，不得再委托代理商参与采购。</w:t>
      </w:r>
    </w:p>
    <w:p>
      <w:pPr>
        <w:pStyle w:val="29"/>
        <w:spacing w:line="360" w:lineRule="auto"/>
        <w:ind w:left="1" w:firstLine="480" w:firstLineChars="200"/>
        <w:rPr>
          <w:rFonts w:hAnsi="宋体" w:cs="宋体"/>
          <w:color w:val="auto"/>
          <w:kern w:val="2"/>
          <w:sz w:val="24"/>
          <w:szCs w:val="24"/>
        </w:rPr>
      </w:pPr>
      <w:r>
        <w:rPr>
          <w:rFonts w:hint="eastAsia" w:hAnsi="宋体" w:cs="宋体"/>
          <w:color w:val="auto"/>
          <w:kern w:val="2"/>
          <w:sz w:val="24"/>
          <w:szCs w:val="24"/>
        </w:rPr>
        <w:t>5、回避。政府采购活动中，采购人员及相关人员与供应商有下列利害关系之一的，应当回避：</w:t>
      </w:r>
    </w:p>
    <w:p>
      <w:pPr>
        <w:pStyle w:val="29"/>
        <w:spacing w:line="360" w:lineRule="auto"/>
        <w:ind w:left="1" w:firstLine="480" w:firstLineChars="200"/>
        <w:rPr>
          <w:rFonts w:hAnsi="宋体" w:cs="宋体"/>
          <w:color w:val="auto"/>
          <w:kern w:val="2"/>
          <w:sz w:val="24"/>
          <w:szCs w:val="24"/>
        </w:rPr>
      </w:pPr>
      <w:r>
        <w:rPr>
          <w:rFonts w:hint="eastAsia" w:hAnsi="宋体" w:cs="宋体"/>
          <w:color w:val="auto"/>
          <w:kern w:val="2"/>
          <w:sz w:val="24"/>
          <w:szCs w:val="24"/>
        </w:rPr>
        <w:t>5.1参加采购活动前3年内与供应商存在劳动关系；</w:t>
      </w:r>
    </w:p>
    <w:p>
      <w:pPr>
        <w:pStyle w:val="29"/>
        <w:spacing w:line="360" w:lineRule="auto"/>
        <w:ind w:left="1" w:firstLine="480" w:firstLineChars="200"/>
        <w:rPr>
          <w:rFonts w:hAnsi="宋体" w:cs="宋体"/>
          <w:color w:val="auto"/>
          <w:kern w:val="2"/>
          <w:sz w:val="24"/>
          <w:szCs w:val="24"/>
        </w:rPr>
      </w:pPr>
      <w:r>
        <w:rPr>
          <w:rFonts w:hint="eastAsia" w:hAnsi="宋体" w:cs="宋体"/>
          <w:color w:val="auto"/>
          <w:kern w:val="2"/>
          <w:sz w:val="24"/>
          <w:szCs w:val="24"/>
        </w:rPr>
        <w:t>5.2参加采购活动前3年内担任供应商的董事、监事；</w:t>
      </w:r>
    </w:p>
    <w:p>
      <w:pPr>
        <w:pStyle w:val="29"/>
        <w:spacing w:line="360" w:lineRule="auto"/>
        <w:ind w:left="1" w:firstLine="480" w:firstLineChars="200"/>
        <w:rPr>
          <w:rFonts w:hAnsi="宋体" w:cs="宋体"/>
          <w:color w:val="auto"/>
          <w:kern w:val="2"/>
          <w:sz w:val="24"/>
          <w:szCs w:val="24"/>
        </w:rPr>
      </w:pPr>
      <w:r>
        <w:rPr>
          <w:rFonts w:hint="eastAsia" w:hAnsi="宋体" w:cs="宋体"/>
          <w:color w:val="auto"/>
          <w:kern w:val="2"/>
          <w:sz w:val="24"/>
          <w:szCs w:val="24"/>
        </w:rPr>
        <w:t>5.3参加采购活动前3年内是供应商的控股股东或者实际控制人；</w:t>
      </w:r>
    </w:p>
    <w:p>
      <w:pPr>
        <w:pStyle w:val="29"/>
        <w:spacing w:line="360" w:lineRule="auto"/>
        <w:ind w:left="1" w:firstLine="480" w:firstLineChars="200"/>
        <w:rPr>
          <w:rFonts w:hAnsi="宋体" w:cs="宋体"/>
          <w:color w:val="auto"/>
          <w:kern w:val="2"/>
          <w:sz w:val="24"/>
          <w:szCs w:val="24"/>
        </w:rPr>
      </w:pPr>
      <w:r>
        <w:rPr>
          <w:rFonts w:hint="eastAsia" w:hAnsi="宋体" w:cs="宋体"/>
          <w:color w:val="auto"/>
          <w:kern w:val="2"/>
          <w:sz w:val="24"/>
          <w:szCs w:val="24"/>
        </w:rPr>
        <w:t>5.4与供应商的法定代表人或者负责人有夫妻、直系血亲、三代以内旁系血亲或者近姻亲关系；</w:t>
      </w:r>
    </w:p>
    <w:p>
      <w:pPr>
        <w:pStyle w:val="29"/>
        <w:spacing w:line="360" w:lineRule="auto"/>
        <w:ind w:left="1" w:firstLine="480" w:firstLineChars="200"/>
        <w:rPr>
          <w:rFonts w:hAnsi="宋体" w:cs="宋体"/>
          <w:color w:val="auto"/>
          <w:kern w:val="2"/>
          <w:sz w:val="24"/>
          <w:szCs w:val="24"/>
        </w:rPr>
      </w:pPr>
      <w:r>
        <w:rPr>
          <w:rFonts w:hint="eastAsia" w:hAnsi="宋体" w:cs="宋体"/>
          <w:color w:val="auto"/>
          <w:kern w:val="2"/>
          <w:sz w:val="24"/>
          <w:szCs w:val="24"/>
        </w:rPr>
        <w:t>5.5与供应商有其他可能影响政府采购活动公平、公正进行的关系。</w:t>
      </w:r>
    </w:p>
    <w:p>
      <w:pPr>
        <w:pStyle w:val="29"/>
        <w:spacing w:line="360" w:lineRule="auto"/>
        <w:ind w:left="1" w:firstLine="480" w:firstLineChars="200"/>
        <w:rPr>
          <w:rFonts w:hAnsi="宋体" w:cs="宋体"/>
          <w:color w:val="auto"/>
          <w:kern w:val="2"/>
          <w:sz w:val="24"/>
          <w:szCs w:val="24"/>
        </w:rPr>
      </w:pPr>
      <w:r>
        <w:rPr>
          <w:rFonts w:hint="eastAsia" w:hAnsi="宋体" w:cs="宋体"/>
          <w:color w:val="auto"/>
          <w:kern w:val="2"/>
          <w:sz w:val="24"/>
          <w:szCs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pStyle w:val="7"/>
        <w:spacing w:line="360" w:lineRule="auto"/>
        <w:ind w:firstLine="480" w:firstLineChars="200"/>
        <w:rPr>
          <w:rFonts w:hAnsi="宋体" w:cs="宋体"/>
          <w:color w:val="auto"/>
          <w:sz w:val="24"/>
          <w:szCs w:val="24"/>
        </w:rPr>
      </w:pPr>
      <w:r>
        <w:rPr>
          <w:rFonts w:hint="eastAsia" w:hAnsi="宋体" w:cs="宋体"/>
          <w:color w:val="auto"/>
          <w:sz w:val="24"/>
          <w:szCs w:val="24"/>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7"/>
        <w:spacing w:line="360" w:lineRule="auto"/>
        <w:ind w:firstLine="480" w:firstLineChars="200"/>
        <w:rPr>
          <w:rFonts w:hAnsi="宋体" w:cs="宋体"/>
          <w:color w:val="auto"/>
          <w:sz w:val="24"/>
        </w:rPr>
      </w:pPr>
      <w:bookmarkStart w:id="16" w:name="_Toc233274816"/>
      <w:bookmarkStart w:id="17" w:name="_Toc245897276"/>
      <w:bookmarkStart w:id="18" w:name="_Toc243907576"/>
      <w:bookmarkStart w:id="19" w:name="_Toc243906316"/>
      <w:r>
        <w:rPr>
          <w:rFonts w:hint="eastAsia" w:hAnsi="宋体" w:cs="宋体"/>
          <w:color w:val="auto"/>
          <w:sz w:val="24"/>
        </w:rPr>
        <w:t>6、实地考察和费用</w:t>
      </w:r>
    </w:p>
    <w:p>
      <w:pPr>
        <w:pStyle w:val="7"/>
        <w:spacing w:line="360" w:lineRule="auto"/>
        <w:ind w:firstLine="480" w:firstLineChars="200"/>
        <w:rPr>
          <w:rFonts w:hAnsi="宋体" w:cs="宋体"/>
          <w:color w:val="auto"/>
          <w:sz w:val="24"/>
          <w:szCs w:val="24"/>
        </w:rPr>
      </w:pPr>
      <w:r>
        <w:rPr>
          <w:rFonts w:hint="eastAsia" w:hAnsi="宋体" w:cs="宋体"/>
          <w:color w:val="auto"/>
          <w:sz w:val="24"/>
          <w:szCs w:val="24"/>
        </w:rPr>
        <w:t>6.1实地考察</w:t>
      </w:r>
    </w:p>
    <w:p>
      <w:pPr>
        <w:pStyle w:val="7"/>
        <w:spacing w:line="360" w:lineRule="auto"/>
        <w:ind w:firstLine="480" w:firstLineChars="200"/>
        <w:rPr>
          <w:rFonts w:hAnsi="宋体" w:cs="宋体"/>
          <w:color w:val="auto"/>
          <w:sz w:val="24"/>
          <w:szCs w:val="24"/>
        </w:rPr>
      </w:pPr>
      <w:r>
        <w:rPr>
          <w:rFonts w:hint="eastAsia" w:hAnsi="宋体" w:cs="宋体"/>
          <w:color w:val="auto"/>
          <w:sz w:val="24"/>
          <w:szCs w:val="24"/>
        </w:rPr>
        <w:t>采购人不组织统一实地考察。供应商须对采购项目的现场及采购项目所涉及的国家、自治区、克拉玛依地区、相关部门等与此相关的政策进行充分的调查、研究，参观并考察项目情况及其周围环境（包括当地气候条件及自然环境等）以取得所有与准备磋商和实施磋商有关的必要资料及信息。实地考察所发生的任何费用均由供应商自理。</w:t>
      </w:r>
    </w:p>
    <w:p>
      <w:pPr>
        <w:pStyle w:val="7"/>
        <w:spacing w:line="360" w:lineRule="auto"/>
        <w:ind w:firstLine="480" w:firstLineChars="200"/>
        <w:rPr>
          <w:rFonts w:hAnsi="宋体" w:cs="宋体"/>
          <w:color w:val="auto"/>
          <w:sz w:val="24"/>
        </w:rPr>
      </w:pPr>
      <w:r>
        <w:rPr>
          <w:rFonts w:hint="eastAsia" w:hAnsi="宋体" w:cs="宋体"/>
          <w:color w:val="auto"/>
          <w:sz w:val="24"/>
        </w:rPr>
        <w:t>6.2参与磋商费用</w:t>
      </w:r>
    </w:p>
    <w:p>
      <w:pPr>
        <w:pStyle w:val="7"/>
        <w:spacing w:line="360" w:lineRule="auto"/>
        <w:ind w:firstLine="480" w:firstLineChars="200"/>
        <w:rPr>
          <w:rFonts w:hAnsi="宋体" w:cs="宋体"/>
          <w:color w:val="auto"/>
          <w:sz w:val="24"/>
        </w:rPr>
      </w:pPr>
      <w:r>
        <w:rPr>
          <w:rFonts w:hint="eastAsia" w:hAnsi="宋体" w:cs="宋体"/>
          <w:color w:val="auto"/>
          <w:sz w:val="24"/>
        </w:rPr>
        <w:t>6.2.1供应商应承担所有与磋商准备和磋商有关的全部费用，不论磋商结果如何，采购人和采购代理机构无义务和责任承担供应商所发生的一切费用。</w:t>
      </w:r>
    </w:p>
    <w:p>
      <w:pPr>
        <w:pStyle w:val="7"/>
        <w:spacing w:line="360" w:lineRule="auto"/>
        <w:ind w:firstLine="480" w:firstLineChars="200"/>
        <w:rPr>
          <w:rFonts w:hAnsi="宋体" w:cs="宋体"/>
          <w:color w:val="auto"/>
          <w:sz w:val="24"/>
        </w:rPr>
      </w:pPr>
      <w:r>
        <w:rPr>
          <w:rFonts w:hint="eastAsia" w:hAnsi="宋体" w:cs="宋体"/>
          <w:color w:val="auto"/>
          <w:sz w:val="24"/>
        </w:rPr>
        <w:t>6.2.2供应商在磋商准备、实地考察和磋商的全过程中，如果发生人身伤亡、财物或其它任何损失，不论何种原因所造成，均由供应商自行承担全部责任和损失。</w:t>
      </w:r>
    </w:p>
    <w:p>
      <w:pPr>
        <w:pStyle w:val="7"/>
        <w:spacing w:line="360" w:lineRule="auto"/>
        <w:ind w:firstLine="480" w:firstLineChars="200"/>
        <w:rPr>
          <w:rFonts w:hAnsi="宋体" w:cs="宋体"/>
          <w:color w:val="auto"/>
          <w:sz w:val="24"/>
          <w:lang w:val="zh-CN"/>
        </w:rPr>
      </w:pPr>
      <w:r>
        <w:rPr>
          <w:rFonts w:hint="eastAsia" w:hAnsi="宋体" w:cs="宋体"/>
          <w:color w:val="auto"/>
          <w:sz w:val="24"/>
        </w:rPr>
        <w:t>7</w:t>
      </w:r>
      <w:r>
        <w:rPr>
          <w:rFonts w:hint="eastAsia" w:hAnsi="宋体" w:cs="宋体"/>
          <w:color w:val="auto"/>
          <w:sz w:val="24"/>
          <w:lang w:val="zh-CN"/>
        </w:rPr>
        <w:t>、法律适用</w:t>
      </w:r>
      <w:bookmarkEnd w:id="16"/>
      <w:bookmarkEnd w:id="17"/>
      <w:bookmarkEnd w:id="18"/>
      <w:bookmarkEnd w:id="19"/>
    </w:p>
    <w:p>
      <w:pPr>
        <w:pStyle w:val="7"/>
        <w:spacing w:line="360" w:lineRule="auto"/>
        <w:ind w:firstLine="480" w:firstLineChars="200"/>
        <w:rPr>
          <w:rFonts w:hAnsi="宋体" w:cs="宋体"/>
          <w:color w:val="auto"/>
          <w:sz w:val="24"/>
          <w:lang w:val="zh-CN"/>
        </w:rPr>
      </w:pPr>
      <w:r>
        <w:rPr>
          <w:rFonts w:hint="eastAsia" w:hAnsi="宋体" w:cs="宋体"/>
          <w:color w:val="auto"/>
          <w:sz w:val="24"/>
        </w:rPr>
        <w:t>7</w:t>
      </w:r>
      <w:r>
        <w:rPr>
          <w:rFonts w:hint="eastAsia" w:hAnsi="宋体" w:cs="宋体"/>
          <w:color w:val="auto"/>
          <w:sz w:val="24"/>
          <w:lang w:val="zh-CN"/>
        </w:rPr>
        <w:t>.1本次磋商活动及由本次磋商产生的合同受中国法律制约和保护。</w:t>
      </w:r>
    </w:p>
    <w:p>
      <w:pPr>
        <w:pStyle w:val="7"/>
        <w:spacing w:line="360" w:lineRule="auto"/>
        <w:ind w:firstLine="480" w:firstLineChars="200"/>
        <w:rPr>
          <w:rFonts w:hAnsi="宋体" w:cs="宋体"/>
          <w:color w:val="auto"/>
          <w:sz w:val="24"/>
          <w:lang w:val="zh-CN"/>
        </w:rPr>
      </w:pPr>
      <w:bookmarkStart w:id="20" w:name="_Toc243906317"/>
      <w:bookmarkStart w:id="21" w:name="_Toc245897277"/>
      <w:bookmarkStart w:id="22" w:name="_Toc233274817"/>
      <w:bookmarkStart w:id="23" w:name="_Toc243907577"/>
      <w:r>
        <w:rPr>
          <w:rFonts w:hint="eastAsia" w:hAnsi="宋体" w:cs="宋体"/>
          <w:color w:val="auto"/>
          <w:sz w:val="24"/>
        </w:rPr>
        <w:t>8</w:t>
      </w:r>
      <w:r>
        <w:rPr>
          <w:rFonts w:hint="eastAsia" w:hAnsi="宋体" w:cs="宋体"/>
          <w:color w:val="auto"/>
          <w:sz w:val="24"/>
          <w:lang w:val="zh-CN"/>
        </w:rPr>
        <w:t>、磋商文件的约束力</w:t>
      </w:r>
      <w:bookmarkEnd w:id="20"/>
      <w:bookmarkEnd w:id="21"/>
      <w:bookmarkEnd w:id="22"/>
      <w:bookmarkEnd w:id="23"/>
    </w:p>
    <w:p>
      <w:pPr>
        <w:pStyle w:val="7"/>
        <w:spacing w:line="360" w:lineRule="auto"/>
        <w:ind w:firstLine="480" w:firstLineChars="200"/>
        <w:rPr>
          <w:rFonts w:hAnsi="宋体" w:cs="宋体"/>
          <w:color w:val="auto"/>
          <w:sz w:val="24"/>
          <w:lang w:val="zh-CN"/>
        </w:rPr>
      </w:pPr>
      <w:r>
        <w:rPr>
          <w:rFonts w:hint="eastAsia" w:hAnsi="宋体" w:cs="宋体"/>
          <w:color w:val="auto"/>
          <w:sz w:val="24"/>
        </w:rPr>
        <w:t>8</w:t>
      </w:r>
      <w:r>
        <w:rPr>
          <w:rFonts w:hint="eastAsia" w:hAnsi="宋体" w:cs="宋体"/>
          <w:color w:val="auto"/>
          <w:sz w:val="24"/>
          <w:lang w:val="zh-CN"/>
        </w:rPr>
        <w:t>.1供应商若成交，即被认为接受了本磋商文件中的所有条件和规定。是采购人与成交供应商签订合同的依据且是合同的组成部分。</w:t>
      </w:r>
    </w:p>
    <w:p>
      <w:pPr>
        <w:pStyle w:val="7"/>
        <w:spacing w:line="360" w:lineRule="auto"/>
        <w:rPr>
          <w:rFonts w:hAnsi="宋体" w:cs="宋体"/>
          <w:b/>
          <w:bCs/>
          <w:color w:val="auto"/>
          <w:sz w:val="28"/>
          <w:szCs w:val="28"/>
        </w:rPr>
      </w:pPr>
      <w:r>
        <w:rPr>
          <w:rFonts w:hint="eastAsia" w:hAnsi="宋体" w:cs="宋体"/>
          <w:b/>
          <w:bCs/>
          <w:color w:val="auto"/>
          <w:sz w:val="28"/>
          <w:szCs w:val="28"/>
        </w:rPr>
        <w:t>二、竞争性磋商文件</w:t>
      </w:r>
    </w:p>
    <w:p>
      <w:pPr>
        <w:pStyle w:val="7"/>
        <w:spacing w:line="360" w:lineRule="auto"/>
        <w:ind w:firstLine="480" w:firstLineChars="200"/>
        <w:rPr>
          <w:rFonts w:hAnsi="宋体" w:cs="宋体"/>
          <w:color w:val="auto"/>
          <w:sz w:val="24"/>
        </w:rPr>
      </w:pPr>
      <w:bookmarkStart w:id="24" w:name="_Toc246216188"/>
      <w:bookmarkStart w:id="25" w:name="_Toc233274819"/>
      <w:bookmarkStart w:id="26" w:name="_Toc243907579"/>
      <w:bookmarkStart w:id="27" w:name="_Toc243906319"/>
      <w:r>
        <w:rPr>
          <w:rFonts w:hint="eastAsia" w:hAnsi="宋体" w:cs="宋体"/>
          <w:color w:val="auto"/>
          <w:sz w:val="24"/>
        </w:rPr>
        <w:t>9、竞争性磋商文件的组成</w:t>
      </w:r>
      <w:bookmarkEnd w:id="24"/>
      <w:bookmarkEnd w:id="25"/>
      <w:bookmarkEnd w:id="26"/>
      <w:bookmarkEnd w:id="27"/>
    </w:p>
    <w:p>
      <w:pPr>
        <w:pStyle w:val="7"/>
        <w:spacing w:line="360" w:lineRule="auto"/>
        <w:ind w:firstLine="480" w:firstLineChars="200"/>
        <w:rPr>
          <w:rFonts w:hAnsi="宋体" w:cs="宋体"/>
          <w:color w:val="auto"/>
          <w:sz w:val="24"/>
        </w:rPr>
      </w:pPr>
      <w:r>
        <w:rPr>
          <w:rFonts w:hint="eastAsia" w:hAnsi="宋体" w:cs="宋体"/>
          <w:color w:val="auto"/>
          <w:sz w:val="24"/>
        </w:rPr>
        <w:t>9.1 本竞争性磋商文件是对新疆医科大学厚博学院（克拉玛依校区）消防维保服务磋商程序、合同条款进行说明。竞争性磋商文件包括下列内容：</w:t>
      </w:r>
    </w:p>
    <w:p>
      <w:pPr>
        <w:pStyle w:val="7"/>
        <w:spacing w:line="360" w:lineRule="auto"/>
        <w:ind w:firstLine="480" w:firstLineChars="200"/>
        <w:rPr>
          <w:rFonts w:hAnsi="宋体" w:cs="宋体"/>
          <w:color w:val="auto"/>
          <w:sz w:val="24"/>
        </w:rPr>
      </w:pPr>
      <w:r>
        <w:rPr>
          <w:rFonts w:hint="eastAsia" w:hAnsi="宋体" w:cs="宋体"/>
          <w:color w:val="auto"/>
          <w:sz w:val="24"/>
        </w:rPr>
        <w:t>第一章、竞争性磋商</w:t>
      </w:r>
      <w:r>
        <w:rPr>
          <w:rFonts w:hint="eastAsia" w:hAnsi="宋体" w:cs="宋体"/>
          <w:color w:val="auto"/>
          <w:sz w:val="24"/>
        </w:rPr>
        <w:t>采购</w:t>
      </w:r>
      <w:r>
        <w:rPr>
          <w:rFonts w:hint="eastAsia" w:hAnsi="宋体" w:cs="宋体"/>
          <w:color w:val="auto"/>
          <w:sz w:val="24"/>
        </w:rPr>
        <w:t>公告</w:t>
      </w:r>
    </w:p>
    <w:p>
      <w:pPr>
        <w:pStyle w:val="7"/>
        <w:spacing w:line="360" w:lineRule="auto"/>
        <w:ind w:firstLine="480" w:firstLineChars="200"/>
        <w:rPr>
          <w:rFonts w:hAnsi="宋体" w:cs="宋体"/>
          <w:color w:val="auto"/>
          <w:sz w:val="24"/>
        </w:rPr>
      </w:pPr>
      <w:r>
        <w:rPr>
          <w:rFonts w:hint="eastAsia" w:hAnsi="宋体" w:cs="宋体"/>
          <w:color w:val="auto"/>
          <w:sz w:val="24"/>
        </w:rPr>
        <w:t>第二章、供应商须知</w:t>
      </w:r>
    </w:p>
    <w:p>
      <w:pPr>
        <w:pStyle w:val="7"/>
        <w:spacing w:line="360" w:lineRule="auto"/>
        <w:ind w:firstLine="480" w:firstLineChars="200"/>
        <w:rPr>
          <w:rFonts w:hAnsi="宋体" w:cs="宋体"/>
          <w:color w:val="auto"/>
          <w:sz w:val="24"/>
        </w:rPr>
      </w:pPr>
      <w:r>
        <w:rPr>
          <w:rFonts w:hint="eastAsia" w:hAnsi="宋体" w:cs="宋体"/>
          <w:color w:val="auto"/>
          <w:sz w:val="24"/>
        </w:rPr>
        <w:t>第三章、项目采购需求</w:t>
      </w:r>
    </w:p>
    <w:p>
      <w:pPr>
        <w:pStyle w:val="7"/>
        <w:spacing w:line="360" w:lineRule="auto"/>
        <w:ind w:firstLine="480" w:firstLineChars="200"/>
        <w:rPr>
          <w:rFonts w:hAnsi="宋体" w:cs="宋体"/>
          <w:color w:val="auto"/>
          <w:sz w:val="24"/>
        </w:rPr>
      </w:pPr>
      <w:r>
        <w:rPr>
          <w:rFonts w:hint="eastAsia" w:hAnsi="宋体" w:cs="宋体"/>
          <w:color w:val="auto"/>
          <w:sz w:val="24"/>
        </w:rPr>
        <w:t>第四章、合同协议书</w:t>
      </w:r>
    </w:p>
    <w:p>
      <w:pPr>
        <w:pStyle w:val="7"/>
        <w:spacing w:line="360" w:lineRule="auto"/>
        <w:ind w:firstLine="480" w:firstLineChars="200"/>
        <w:rPr>
          <w:rFonts w:hAnsi="宋体" w:cs="宋体"/>
          <w:color w:val="auto"/>
          <w:sz w:val="24"/>
        </w:rPr>
      </w:pPr>
      <w:r>
        <w:rPr>
          <w:rFonts w:hint="eastAsia" w:hAnsi="宋体" w:cs="宋体"/>
          <w:color w:val="auto"/>
          <w:sz w:val="24"/>
        </w:rPr>
        <w:t>第五章、响应文件格式</w:t>
      </w:r>
    </w:p>
    <w:p>
      <w:pPr>
        <w:pStyle w:val="7"/>
        <w:spacing w:line="360" w:lineRule="auto"/>
        <w:ind w:firstLine="480" w:firstLineChars="200"/>
        <w:rPr>
          <w:rFonts w:hAnsi="宋体" w:cs="宋体"/>
          <w:color w:val="auto"/>
          <w:sz w:val="24"/>
        </w:rPr>
      </w:pPr>
      <w:r>
        <w:rPr>
          <w:rFonts w:hint="eastAsia" w:hAnsi="宋体" w:cs="宋体"/>
          <w:color w:val="auto"/>
          <w:sz w:val="24"/>
        </w:rPr>
        <w:t>第六章、</w:t>
      </w:r>
      <w:r>
        <w:rPr>
          <w:rFonts w:hint="eastAsia" w:hAnsi="宋体" w:cs="宋体"/>
          <w:color w:val="auto"/>
          <w:sz w:val="24"/>
        </w:rPr>
        <w:t>评标标准</w:t>
      </w:r>
      <w:r>
        <w:rPr>
          <w:rFonts w:hint="eastAsia" w:hAnsi="宋体" w:cs="宋体"/>
          <w:color w:val="auto"/>
          <w:sz w:val="24"/>
        </w:rPr>
        <w:t>（综合评估法）</w:t>
      </w:r>
    </w:p>
    <w:p>
      <w:pPr>
        <w:pStyle w:val="7"/>
        <w:spacing w:line="360" w:lineRule="auto"/>
        <w:ind w:firstLine="480" w:firstLineChars="200"/>
        <w:rPr>
          <w:rFonts w:hAnsi="宋体" w:cs="宋体"/>
          <w:color w:val="auto"/>
          <w:sz w:val="24"/>
        </w:rPr>
      </w:pPr>
      <w:r>
        <w:rPr>
          <w:rFonts w:hint="eastAsia" w:hAnsi="宋体" w:cs="宋体"/>
          <w:color w:val="auto"/>
          <w:sz w:val="24"/>
        </w:rPr>
        <w:t>9.2 竞争性磋商文件以中文编印，以中文文本为准。</w:t>
      </w:r>
    </w:p>
    <w:p>
      <w:pPr>
        <w:pStyle w:val="7"/>
        <w:spacing w:line="360" w:lineRule="auto"/>
        <w:ind w:firstLine="480" w:firstLineChars="200"/>
        <w:rPr>
          <w:rFonts w:hAnsi="宋体" w:cs="宋体"/>
          <w:color w:val="auto"/>
          <w:sz w:val="24"/>
        </w:rPr>
      </w:pPr>
      <w:r>
        <w:rPr>
          <w:rFonts w:hint="eastAsia" w:hAnsi="宋体" w:cs="宋体"/>
          <w:color w:val="auto"/>
          <w:sz w:val="24"/>
        </w:rPr>
        <w:t>9.3 除非有特殊要求，竞争性磋商文件不单独提供采购项目使用地的自然环境、气候条件、劳动力及公用设施等情况，供应商被视为熟悉上述条件或若成交履行合同有关的一切情况。</w:t>
      </w:r>
    </w:p>
    <w:p>
      <w:pPr>
        <w:pStyle w:val="7"/>
        <w:spacing w:line="360" w:lineRule="auto"/>
        <w:ind w:firstLine="480" w:firstLineChars="200"/>
        <w:rPr>
          <w:rFonts w:hAnsi="宋体" w:cs="宋体"/>
          <w:color w:val="auto"/>
          <w:sz w:val="24"/>
        </w:rPr>
      </w:pPr>
      <w:r>
        <w:rPr>
          <w:rFonts w:hint="eastAsia" w:hAnsi="宋体" w:cs="宋体"/>
          <w:color w:val="auto"/>
          <w:sz w:val="24"/>
        </w:rPr>
        <w:t>9.4采购人向供应商提供的有关数据和资料，是采购人现有的能被供应商利用的资料，供应商对此做出的推论、理解和结论自行负责。</w:t>
      </w:r>
    </w:p>
    <w:p>
      <w:pPr>
        <w:pStyle w:val="7"/>
        <w:spacing w:line="360" w:lineRule="auto"/>
        <w:ind w:firstLine="480" w:firstLineChars="200"/>
        <w:rPr>
          <w:rFonts w:hAnsi="宋体" w:cs="宋体"/>
          <w:color w:val="auto"/>
          <w:sz w:val="24"/>
        </w:rPr>
      </w:pPr>
      <w:bookmarkStart w:id="28" w:name="_Toc243907580"/>
      <w:bookmarkStart w:id="29" w:name="_Toc245897280"/>
      <w:bookmarkStart w:id="30" w:name="_Toc243906320"/>
      <w:bookmarkStart w:id="31" w:name="_Toc233274820"/>
      <w:r>
        <w:rPr>
          <w:rFonts w:hint="eastAsia" w:hAnsi="宋体" w:cs="宋体"/>
          <w:color w:val="auto"/>
          <w:sz w:val="24"/>
        </w:rPr>
        <w:t>10、竞争性磋商文件的澄清</w:t>
      </w:r>
      <w:bookmarkEnd w:id="28"/>
      <w:bookmarkEnd w:id="29"/>
      <w:bookmarkEnd w:id="30"/>
      <w:bookmarkEnd w:id="31"/>
    </w:p>
    <w:p>
      <w:pPr>
        <w:pStyle w:val="7"/>
        <w:spacing w:line="360" w:lineRule="auto"/>
        <w:ind w:firstLine="480" w:firstLineChars="200"/>
        <w:rPr>
          <w:rFonts w:hAnsi="宋体" w:cs="宋体"/>
          <w:color w:val="auto"/>
          <w:sz w:val="24"/>
        </w:rPr>
      </w:pPr>
      <w:r>
        <w:rPr>
          <w:rFonts w:hint="eastAsia" w:hAnsi="宋体" w:cs="宋体"/>
          <w:color w:val="auto"/>
          <w:sz w:val="24"/>
        </w:rPr>
        <w:t>10.1 供应商对竞争性磋商文件如有疑问，可要求澄清，应按竞争性磋商文件“供应商须知前附表第6条”以书面形式（必须加盖供应商公章）送达或传真至采购代理机构（同时将疑问电子版发至635298735b@qq.com）。采购人和采购代理机构将视情况以书面形式予以答复，并发至领取竞争性磋商文件的每位供应商。答复中包括所提问题，但不包括问题的来源。</w:t>
      </w:r>
    </w:p>
    <w:p>
      <w:pPr>
        <w:pStyle w:val="7"/>
        <w:spacing w:line="360" w:lineRule="auto"/>
        <w:ind w:firstLine="480" w:firstLineChars="200"/>
        <w:rPr>
          <w:rFonts w:hAnsi="宋体" w:cs="宋体"/>
          <w:color w:val="auto"/>
          <w:sz w:val="24"/>
        </w:rPr>
      </w:pPr>
      <w:r>
        <w:rPr>
          <w:rFonts w:hint="eastAsia" w:hAnsi="宋体" w:cs="宋体"/>
          <w:color w:val="auto"/>
          <w:sz w:val="24"/>
        </w:rPr>
        <w:t>10.2 如果上述答复涉及对竞争性磋商文件的修改或补充，则它将被视为竞争性磋商文件的组成部分。凡原先所发竞争性磋商文件中的内容与答复中的内容不一致之处，以最后书面答复为准。任何电话或口头咨询和答复的意思解释均不具有法律约束力。</w:t>
      </w:r>
    </w:p>
    <w:p>
      <w:pPr>
        <w:pStyle w:val="7"/>
        <w:spacing w:line="360" w:lineRule="auto"/>
        <w:ind w:firstLine="480" w:firstLineChars="200"/>
        <w:rPr>
          <w:rFonts w:hAnsi="宋体" w:cs="宋体"/>
          <w:color w:val="auto"/>
          <w:sz w:val="24"/>
        </w:rPr>
      </w:pPr>
      <w:bookmarkStart w:id="32" w:name="_Toc245897281"/>
      <w:bookmarkStart w:id="33" w:name="_Toc233274821"/>
      <w:bookmarkStart w:id="34" w:name="_Toc243907581"/>
      <w:bookmarkStart w:id="35" w:name="_Toc243906321"/>
      <w:r>
        <w:rPr>
          <w:rFonts w:hint="eastAsia" w:hAnsi="宋体" w:cs="宋体"/>
          <w:color w:val="auto"/>
          <w:sz w:val="24"/>
        </w:rPr>
        <w:t>11、竞争性磋商文件的修改和补充</w:t>
      </w:r>
      <w:bookmarkEnd w:id="32"/>
      <w:bookmarkEnd w:id="33"/>
      <w:bookmarkEnd w:id="34"/>
      <w:bookmarkEnd w:id="35"/>
    </w:p>
    <w:p>
      <w:pPr>
        <w:pStyle w:val="7"/>
        <w:spacing w:line="360" w:lineRule="auto"/>
        <w:ind w:firstLine="480" w:firstLineChars="200"/>
        <w:rPr>
          <w:rFonts w:hAnsi="宋体" w:cs="宋体"/>
          <w:color w:val="auto"/>
          <w:sz w:val="24"/>
        </w:rPr>
      </w:pPr>
      <w:r>
        <w:rPr>
          <w:rFonts w:hint="eastAsia" w:hAnsi="宋体" w:cs="宋体"/>
          <w:color w:val="auto"/>
          <w:sz w:val="24"/>
        </w:rPr>
        <w:t>11.1在递交响应文件截止日期3个工作日前的任何时候，采购人可主动地或依据供应商要求澄清的疑问而修改、补充竞争性磋商文件，采购代理机构将对修改和补充的内容以书面形式发至所有领取竞争性磋商文件的每位供应商，修改和/或补充文件将作为竞争性磋商文件的组成部分，对所有供应商具有约束力。</w:t>
      </w:r>
    </w:p>
    <w:p>
      <w:pPr>
        <w:pStyle w:val="7"/>
        <w:spacing w:line="360" w:lineRule="auto"/>
        <w:ind w:firstLine="480" w:firstLineChars="200"/>
        <w:rPr>
          <w:rFonts w:hAnsi="宋体" w:cs="宋体"/>
          <w:color w:val="auto"/>
          <w:sz w:val="24"/>
        </w:rPr>
      </w:pPr>
      <w:r>
        <w:rPr>
          <w:rFonts w:hint="eastAsia" w:hAnsi="宋体" w:cs="宋体"/>
          <w:color w:val="auto"/>
          <w:sz w:val="24"/>
        </w:rPr>
        <w:t>11.2为使供应商在准备响应文件时有合理的时间考虑竞争性磋商文件的修改和/或补充，采购代理机构可延长递交响应文件截止时间和开启时间，但至少应当在规定的递交响应文件的截止时间3个工作日前，以书面形式通知所有领取竞争性磋商文件的每位供应商。</w:t>
      </w:r>
    </w:p>
    <w:p>
      <w:pPr>
        <w:pStyle w:val="7"/>
        <w:spacing w:line="360" w:lineRule="auto"/>
        <w:ind w:firstLine="480" w:firstLineChars="200"/>
        <w:rPr>
          <w:rFonts w:hAnsi="宋体" w:cs="宋体"/>
          <w:color w:val="auto"/>
          <w:sz w:val="24"/>
        </w:rPr>
      </w:pPr>
      <w:r>
        <w:rPr>
          <w:rFonts w:hint="eastAsia" w:hAnsi="宋体" w:cs="宋体"/>
          <w:color w:val="auto"/>
          <w:sz w:val="24"/>
        </w:rPr>
        <w:t>11.3供应商在每次收到采购代理机构发至的书面文件后，应在收到后24小时内以书面形式并加盖供应商公章予以确认。</w:t>
      </w:r>
    </w:p>
    <w:p>
      <w:pPr>
        <w:pStyle w:val="7"/>
        <w:numPr>
          <w:ilvl w:val="0"/>
          <w:numId w:val="3"/>
        </w:numPr>
        <w:spacing w:line="360" w:lineRule="auto"/>
        <w:rPr>
          <w:rFonts w:hAnsi="宋体" w:cs="宋体"/>
          <w:b/>
          <w:bCs/>
          <w:color w:val="auto"/>
          <w:sz w:val="24"/>
        </w:rPr>
      </w:pPr>
      <w:r>
        <w:rPr>
          <w:rFonts w:hint="eastAsia" w:hAnsi="宋体" w:cs="宋体"/>
          <w:b/>
          <w:bCs/>
          <w:color w:val="auto"/>
          <w:sz w:val="24"/>
        </w:rPr>
        <w:t>响应文件的编写</w:t>
      </w:r>
    </w:p>
    <w:p>
      <w:pPr>
        <w:pStyle w:val="7"/>
        <w:spacing w:line="360" w:lineRule="auto"/>
        <w:ind w:firstLine="480" w:firstLineChars="200"/>
        <w:outlineLvl w:val="1"/>
        <w:rPr>
          <w:rFonts w:hAnsi="宋体" w:cs="宋体"/>
          <w:color w:val="auto"/>
          <w:sz w:val="24"/>
          <w:szCs w:val="24"/>
        </w:rPr>
      </w:pPr>
      <w:bookmarkStart w:id="36" w:name="_Toc233274823"/>
      <w:bookmarkStart w:id="37" w:name="_Toc245897283"/>
      <w:bookmarkStart w:id="38" w:name="_Toc243907583"/>
      <w:bookmarkStart w:id="39" w:name="_Toc243906323"/>
      <w:bookmarkStart w:id="40" w:name="_Toc24796"/>
      <w:r>
        <w:rPr>
          <w:rFonts w:hint="eastAsia" w:hAnsi="宋体" w:cs="宋体"/>
          <w:color w:val="auto"/>
          <w:sz w:val="24"/>
          <w:szCs w:val="24"/>
        </w:rPr>
        <w:t>1</w:t>
      </w:r>
      <w:bookmarkEnd w:id="36"/>
      <w:r>
        <w:rPr>
          <w:rFonts w:hint="eastAsia" w:hAnsi="宋体" w:cs="宋体"/>
          <w:color w:val="auto"/>
          <w:sz w:val="24"/>
          <w:szCs w:val="24"/>
        </w:rPr>
        <w:t>2、响应文件的编写</w:t>
      </w:r>
      <w:bookmarkEnd w:id="37"/>
      <w:bookmarkEnd w:id="38"/>
      <w:bookmarkEnd w:id="39"/>
    </w:p>
    <w:p>
      <w:pPr>
        <w:spacing w:line="360" w:lineRule="auto"/>
        <w:ind w:firstLine="481"/>
        <w:rPr>
          <w:rFonts w:ascii="宋体" w:hAnsi="宋体" w:cs="宋体"/>
          <w:color w:val="auto"/>
          <w:sz w:val="24"/>
        </w:rPr>
      </w:pPr>
      <w:r>
        <w:rPr>
          <w:rFonts w:hint="eastAsia" w:ascii="宋体" w:hAnsi="宋体" w:cs="宋体"/>
          <w:color w:val="auto"/>
          <w:sz w:val="24"/>
        </w:rPr>
        <w:t>12.1供应商必须详细阅读竞争性磋商文件的章、节、条款、格式等所有内容，按竞争性磋商文件的要求提交响应文件，并保证所提供的全部文件及相关资料的真实性，以使其对竞争性磋商文件做出实质性响应。供应商应仔细阅读并充分理解竞争性磋商文件、技术规范及标准、项目采购需求、合同条款后编制响应文件。</w:t>
      </w:r>
    </w:p>
    <w:p>
      <w:pPr>
        <w:pStyle w:val="7"/>
        <w:spacing w:line="360" w:lineRule="auto"/>
        <w:ind w:firstLine="480" w:firstLineChars="200"/>
        <w:outlineLvl w:val="1"/>
        <w:rPr>
          <w:rFonts w:hAnsi="宋体" w:cs="宋体"/>
          <w:color w:val="auto"/>
          <w:sz w:val="24"/>
          <w:szCs w:val="24"/>
        </w:rPr>
      </w:pPr>
      <w:bookmarkStart w:id="41" w:name="_Toc233274824"/>
      <w:bookmarkStart w:id="42" w:name="_Toc243907584"/>
      <w:bookmarkStart w:id="43" w:name="_Toc243906324"/>
      <w:bookmarkStart w:id="44" w:name="_Toc245897284"/>
      <w:r>
        <w:rPr>
          <w:rFonts w:hint="eastAsia" w:hAnsi="宋体" w:cs="宋体"/>
          <w:color w:val="auto"/>
          <w:sz w:val="24"/>
          <w:szCs w:val="24"/>
        </w:rPr>
        <w:t>13、响应文件的语言及计量单位</w:t>
      </w:r>
      <w:bookmarkEnd w:id="41"/>
      <w:bookmarkEnd w:id="42"/>
      <w:bookmarkEnd w:id="43"/>
      <w:bookmarkEnd w:id="44"/>
    </w:p>
    <w:p>
      <w:pPr>
        <w:pStyle w:val="7"/>
        <w:spacing w:line="360" w:lineRule="auto"/>
        <w:ind w:firstLine="480" w:firstLineChars="200"/>
        <w:rPr>
          <w:rFonts w:hAnsi="宋体" w:cs="宋体"/>
          <w:color w:val="auto"/>
          <w:sz w:val="24"/>
          <w:szCs w:val="24"/>
        </w:rPr>
      </w:pPr>
      <w:r>
        <w:rPr>
          <w:rFonts w:hint="eastAsia" w:hAnsi="宋体" w:cs="宋体"/>
          <w:color w:val="auto"/>
          <w:sz w:val="24"/>
          <w:szCs w:val="24"/>
        </w:rPr>
        <w:t>13.1 响应文件及供应商和采购人及采购代理机构就有关磋商的所有文件和来往函件，应以中文书写。供应商可以提交用其他语言（原文）打印的资料，但必须翻译成中文，当原文和译文（中文）之间存有差异和/或矛盾时，以中文为准。</w:t>
      </w:r>
    </w:p>
    <w:p>
      <w:pPr>
        <w:pStyle w:val="7"/>
        <w:spacing w:line="360" w:lineRule="auto"/>
        <w:ind w:firstLine="480" w:firstLineChars="200"/>
        <w:rPr>
          <w:rFonts w:hAnsi="宋体" w:cs="宋体"/>
          <w:color w:val="auto"/>
          <w:sz w:val="24"/>
          <w:szCs w:val="24"/>
        </w:rPr>
      </w:pPr>
      <w:r>
        <w:rPr>
          <w:rFonts w:hint="eastAsia" w:hAnsi="宋体" w:cs="宋体"/>
          <w:color w:val="auto"/>
          <w:sz w:val="24"/>
          <w:szCs w:val="24"/>
        </w:rPr>
        <w:t>13.2 除在竞争性磋商文件的项目采购需求中另有规定外，计量单位应使用中华人民共和国法定计量单位（国际单位制和国家选定的其它计量单位）。如供应商采用其它计量单位，需事先得到采购人的同意。</w:t>
      </w:r>
    </w:p>
    <w:p>
      <w:pPr>
        <w:pStyle w:val="7"/>
        <w:spacing w:line="360" w:lineRule="auto"/>
        <w:ind w:firstLine="480" w:firstLineChars="200"/>
        <w:rPr>
          <w:rFonts w:hAnsi="宋体" w:cs="宋体"/>
          <w:color w:val="auto"/>
          <w:sz w:val="24"/>
          <w:szCs w:val="24"/>
        </w:rPr>
      </w:pPr>
      <w:r>
        <w:rPr>
          <w:rFonts w:hint="eastAsia" w:hAnsi="宋体" w:cs="宋体"/>
          <w:color w:val="auto"/>
          <w:sz w:val="24"/>
          <w:szCs w:val="24"/>
        </w:rPr>
        <w:t>14、知识产权</w:t>
      </w:r>
    </w:p>
    <w:p>
      <w:pPr>
        <w:pStyle w:val="7"/>
        <w:spacing w:line="360" w:lineRule="auto"/>
        <w:ind w:firstLine="480" w:firstLineChars="200"/>
        <w:rPr>
          <w:rFonts w:hAnsi="宋体" w:cs="宋体"/>
          <w:color w:val="auto"/>
          <w:sz w:val="24"/>
          <w:szCs w:val="24"/>
        </w:rPr>
      </w:pPr>
      <w:r>
        <w:rPr>
          <w:rFonts w:hint="eastAsia" w:hAnsi="宋体" w:cs="宋体"/>
          <w:color w:val="auto"/>
          <w:sz w:val="24"/>
          <w:szCs w:val="24"/>
        </w:rPr>
        <w:t>14.1供应商应保证在本项目使用的任何产品和服务时，不会产生因第三方提出侵犯其专利权、商标权或其它知识产权而引起的法律和经济纠纷，如因专利权、商标权或其它知识产权而引起法律和经济纠纷，由供应商承担所有相关责任。</w:t>
      </w:r>
    </w:p>
    <w:p>
      <w:pPr>
        <w:pStyle w:val="7"/>
        <w:spacing w:line="360" w:lineRule="auto"/>
        <w:ind w:firstLine="480" w:firstLineChars="200"/>
        <w:rPr>
          <w:rFonts w:hAnsi="宋体" w:cs="宋体"/>
          <w:color w:val="auto"/>
          <w:sz w:val="24"/>
          <w:szCs w:val="24"/>
        </w:rPr>
      </w:pPr>
      <w:r>
        <w:rPr>
          <w:rFonts w:hint="eastAsia" w:hAnsi="宋体" w:cs="宋体"/>
          <w:color w:val="auto"/>
          <w:sz w:val="24"/>
          <w:szCs w:val="24"/>
        </w:rPr>
        <w:t>14.2 采购人享有本项目实施过程中产生的知识成果及知识产权。</w:t>
      </w:r>
    </w:p>
    <w:p>
      <w:pPr>
        <w:spacing w:line="360" w:lineRule="auto"/>
        <w:ind w:firstLine="480" w:firstLineChars="200"/>
        <w:rPr>
          <w:rFonts w:ascii="宋体" w:hAnsi="宋体" w:cs="宋体"/>
          <w:color w:val="auto"/>
          <w:sz w:val="24"/>
        </w:rPr>
      </w:pPr>
      <w:r>
        <w:rPr>
          <w:rFonts w:hint="eastAsia" w:ascii="宋体" w:hAnsi="宋体" w:cs="宋体"/>
          <w:color w:val="auto"/>
          <w:sz w:val="24"/>
        </w:rPr>
        <w:t>14.3供应商如欲在项目实施过程中采用自有知识成果，需在响应文件中声明，并提供相关知识产权证明文件。使用该知识成果后，供应商需承诺提供无限期技术支持，采购人享有永久使用权。</w:t>
      </w:r>
    </w:p>
    <w:p>
      <w:pPr>
        <w:spacing w:line="360" w:lineRule="auto"/>
        <w:ind w:firstLine="460" w:firstLineChars="192"/>
        <w:rPr>
          <w:rFonts w:ascii="宋体" w:hAnsi="宋体" w:cs="宋体"/>
          <w:color w:val="auto"/>
          <w:sz w:val="24"/>
        </w:rPr>
      </w:pPr>
      <w:r>
        <w:rPr>
          <w:rFonts w:hint="eastAsia" w:ascii="宋体" w:hAnsi="宋体" w:cs="宋体"/>
          <w:color w:val="auto"/>
          <w:sz w:val="24"/>
        </w:rPr>
        <w:t xml:space="preserve">14.4 供应商如采用其所不拥有的知识产权，则在其商务报价中必须包括合法获取该知识产权的相关费用。 </w:t>
      </w:r>
    </w:p>
    <w:p>
      <w:pPr>
        <w:pStyle w:val="7"/>
        <w:spacing w:line="360" w:lineRule="auto"/>
        <w:ind w:firstLine="480" w:firstLineChars="200"/>
        <w:outlineLvl w:val="1"/>
        <w:rPr>
          <w:rFonts w:hAnsi="宋体" w:cs="宋体"/>
          <w:color w:val="auto"/>
          <w:sz w:val="24"/>
          <w:szCs w:val="24"/>
          <w:highlight w:val="yellow"/>
        </w:rPr>
      </w:pPr>
      <w:bookmarkStart w:id="45" w:name="_Toc243906325"/>
      <w:bookmarkStart w:id="46" w:name="_Toc243907585"/>
      <w:bookmarkStart w:id="47" w:name="_Toc245897285"/>
      <w:bookmarkStart w:id="48" w:name="_Toc233274825"/>
      <w:r>
        <w:rPr>
          <w:rFonts w:hint="eastAsia" w:hAnsi="宋体" w:cs="宋体"/>
          <w:color w:val="auto"/>
          <w:sz w:val="24"/>
          <w:szCs w:val="24"/>
        </w:rPr>
        <w:t>15、响应文件的组成</w:t>
      </w:r>
      <w:bookmarkEnd w:id="45"/>
      <w:bookmarkEnd w:id="46"/>
      <w:bookmarkEnd w:id="47"/>
      <w:bookmarkEnd w:id="48"/>
    </w:p>
    <w:p>
      <w:pPr>
        <w:pStyle w:val="7"/>
        <w:spacing w:line="360" w:lineRule="auto"/>
        <w:ind w:firstLine="482" w:firstLineChars="200"/>
        <w:outlineLvl w:val="1"/>
        <w:rPr>
          <w:rFonts w:hAnsi="宋体" w:cs="宋体"/>
          <w:b/>
          <w:color w:val="auto"/>
          <w:sz w:val="24"/>
          <w:szCs w:val="24"/>
        </w:rPr>
      </w:pPr>
      <w:r>
        <w:rPr>
          <w:rFonts w:hint="eastAsia" w:hAnsi="宋体" w:cs="宋体"/>
          <w:b/>
          <w:color w:val="auto"/>
          <w:sz w:val="24"/>
          <w:szCs w:val="24"/>
        </w:rPr>
        <w:t>一式叁份，其中正本壹份，副本贰份</w:t>
      </w:r>
      <w:r>
        <w:rPr>
          <w:rFonts w:hint="eastAsia" w:hAnsi="宋体" w:cs="宋体"/>
          <w:b/>
          <w:color w:val="auto"/>
          <w:sz w:val="24"/>
          <w:szCs w:val="24"/>
        </w:rPr>
        <w:t>，需编制目录及页码。在每一份响应文件上要明确注明“正本”或“副本”字样，如正、副本之间有差异，以正本为准。</w:t>
      </w:r>
    </w:p>
    <w:p>
      <w:pPr>
        <w:pStyle w:val="7"/>
        <w:spacing w:line="360" w:lineRule="auto"/>
        <w:ind w:firstLine="482" w:firstLineChars="200"/>
        <w:outlineLvl w:val="1"/>
        <w:rPr>
          <w:rFonts w:hAnsi="宋体" w:cs="宋体"/>
          <w:b/>
          <w:color w:val="auto"/>
          <w:sz w:val="24"/>
          <w:szCs w:val="24"/>
        </w:rPr>
      </w:pPr>
      <w:r>
        <w:rPr>
          <w:rFonts w:hint="eastAsia" w:hAnsi="宋体" w:cs="宋体"/>
          <w:b/>
          <w:color w:val="auto"/>
          <w:sz w:val="24"/>
          <w:szCs w:val="24"/>
        </w:rPr>
        <w:t>响应文件需编制目录及页码。响应文件包括但不限于以下内容，各供应商应对照“第三章、项目采购需求”及“第六章、评标标准（综合评估法）”提供相关的证明资料：</w:t>
      </w:r>
    </w:p>
    <w:p>
      <w:pPr>
        <w:numPr>
          <w:ilvl w:val="0"/>
          <w:numId w:val="4"/>
        </w:numPr>
        <w:spacing w:line="360" w:lineRule="auto"/>
        <w:jc w:val="left"/>
        <w:rPr>
          <w:rFonts w:ascii="宋体" w:hAnsi="宋体" w:cs="宋体"/>
          <w:color w:val="auto"/>
          <w:sz w:val="24"/>
        </w:rPr>
      </w:pPr>
      <w:r>
        <w:rPr>
          <w:rFonts w:hint="eastAsia" w:ascii="宋体" w:hAnsi="宋体" w:cs="宋体"/>
          <w:color w:val="auto"/>
          <w:sz w:val="24"/>
        </w:rPr>
        <w:t>响应文件封面；</w:t>
      </w:r>
    </w:p>
    <w:p>
      <w:pPr>
        <w:numPr>
          <w:ilvl w:val="0"/>
          <w:numId w:val="4"/>
        </w:numPr>
        <w:spacing w:line="360" w:lineRule="auto"/>
        <w:jc w:val="left"/>
        <w:rPr>
          <w:rFonts w:ascii="宋体" w:hAnsi="宋体" w:cs="宋体"/>
          <w:color w:val="auto"/>
          <w:sz w:val="24"/>
        </w:rPr>
      </w:pPr>
      <w:r>
        <w:rPr>
          <w:rFonts w:hint="eastAsia" w:ascii="宋体" w:hAnsi="宋体" w:cs="宋体"/>
          <w:color w:val="auto"/>
          <w:sz w:val="24"/>
        </w:rPr>
        <w:t>响应函（详见格式1）；</w:t>
      </w:r>
    </w:p>
    <w:p>
      <w:pPr>
        <w:numPr>
          <w:ilvl w:val="0"/>
          <w:numId w:val="4"/>
        </w:numPr>
        <w:spacing w:line="360" w:lineRule="auto"/>
        <w:rPr>
          <w:rFonts w:ascii="宋体" w:hAnsi="宋体" w:cs="宋体"/>
          <w:bCs/>
          <w:color w:val="auto"/>
          <w:sz w:val="24"/>
        </w:rPr>
      </w:pPr>
      <w:r>
        <w:rPr>
          <w:rFonts w:hint="eastAsia" w:ascii="宋体" w:hAnsi="宋体" w:cs="宋体"/>
          <w:b/>
          <w:bCs/>
          <w:color w:val="auto"/>
          <w:sz w:val="24"/>
        </w:rPr>
        <w:t>商务报价一览表（首次）（详见格式2）</w:t>
      </w:r>
      <w:r>
        <w:rPr>
          <w:rFonts w:hint="eastAsia" w:ascii="宋体" w:hAnsi="宋体" w:cs="宋体"/>
          <w:color w:val="auto"/>
          <w:sz w:val="24"/>
        </w:rPr>
        <w:t>；</w:t>
      </w:r>
      <w:r>
        <w:rPr>
          <w:rFonts w:hint="eastAsia" w:ascii="宋体" w:hAnsi="宋体" w:cs="宋体"/>
          <w:b/>
          <w:color w:val="auto"/>
          <w:sz w:val="24"/>
        </w:rPr>
        <w:t>供应商须按本商务报价一览表格式制作“最后报价表”，并加盖单位公章后自行带至磋商现场，经磋商后由各供应商填写最后报价；</w:t>
      </w:r>
    </w:p>
    <w:p>
      <w:pPr>
        <w:numPr>
          <w:ilvl w:val="0"/>
          <w:numId w:val="4"/>
        </w:numPr>
        <w:tabs>
          <w:tab w:val="left" w:pos="360"/>
          <w:tab w:val="left" w:pos="1800"/>
        </w:tabs>
        <w:spacing w:line="360" w:lineRule="auto"/>
        <w:jc w:val="left"/>
        <w:rPr>
          <w:rFonts w:ascii="宋体" w:hAnsi="宋体" w:cs="宋体"/>
          <w:color w:val="auto"/>
          <w:sz w:val="24"/>
        </w:rPr>
      </w:pPr>
      <w:r>
        <w:rPr>
          <w:rFonts w:hint="eastAsia" w:ascii="宋体" w:hAnsi="宋体" w:cs="宋体"/>
          <w:color w:val="auto"/>
          <w:sz w:val="24"/>
        </w:rPr>
        <w:t>备品备件及专用工具清单（详见格式3）；</w:t>
      </w:r>
    </w:p>
    <w:p>
      <w:pPr>
        <w:numPr>
          <w:ilvl w:val="0"/>
          <w:numId w:val="4"/>
        </w:numPr>
        <w:tabs>
          <w:tab w:val="left" w:pos="360"/>
          <w:tab w:val="left" w:pos="1800"/>
        </w:tabs>
        <w:spacing w:line="360" w:lineRule="auto"/>
        <w:jc w:val="left"/>
        <w:rPr>
          <w:rFonts w:ascii="宋体" w:hAnsi="宋体" w:cs="宋体"/>
          <w:color w:val="auto"/>
          <w:sz w:val="24"/>
        </w:rPr>
      </w:pPr>
      <w:r>
        <w:rPr>
          <w:rFonts w:hint="eastAsia" w:ascii="宋体" w:hAnsi="宋体" w:cs="宋体"/>
          <w:color w:val="auto"/>
          <w:sz w:val="24"/>
        </w:rPr>
        <w:t>法定代表人资格证明书（详见格式4）；</w:t>
      </w:r>
    </w:p>
    <w:p>
      <w:pPr>
        <w:numPr>
          <w:ilvl w:val="0"/>
          <w:numId w:val="4"/>
        </w:numPr>
        <w:tabs>
          <w:tab w:val="left" w:pos="360"/>
          <w:tab w:val="left" w:pos="1800"/>
        </w:tabs>
        <w:spacing w:line="360" w:lineRule="auto"/>
        <w:jc w:val="left"/>
        <w:rPr>
          <w:rFonts w:ascii="宋体" w:hAnsi="宋体" w:cs="宋体"/>
          <w:color w:val="auto"/>
          <w:sz w:val="24"/>
        </w:rPr>
      </w:pPr>
      <w:r>
        <w:rPr>
          <w:rFonts w:hint="eastAsia" w:ascii="宋体" w:hAnsi="宋体" w:cs="宋体"/>
          <w:color w:val="auto"/>
          <w:sz w:val="24"/>
        </w:rPr>
        <w:t>法定代表人授权书（详见格式5）；</w:t>
      </w:r>
    </w:p>
    <w:p>
      <w:pPr>
        <w:numPr>
          <w:ilvl w:val="0"/>
          <w:numId w:val="4"/>
        </w:numPr>
        <w:tabs>
          <w:tab w:val="left" w:pos="360"/>
          <w:tab w:val="left" w:pos="1800"/>
        </w:tabs>
        <w:spacing w:line="360" w:lineRule="auto"/>
        <w:jc w:val="left"/>
        <w:rPr>
          <w:rFonts w:ascii="宋体" w:hAnsi="宋体" w:cs="宋体"/>
          <w:color w:val="auto"/>
        </w:rPr>
      </w:pPr>
      <w:r>
        <w:rPr>
          <w:rFonts w:hint="eastAsia" w:ascii="宋体" w:hAnsi="宋体" w:cs="宋体"/>
          <w:color w:val="auto"/>
          <w:sz w:val="24"/>
        </w:rPr>
        <w:t>供应商资格声明（详见格式6）；</w:t>
      </w:r>
    </w:p>
    <w:p>
      <w:pPr>
        <w:numPr>
          <w:ilvl w:val="0"/>
          <w:numId w:val="4"/>
        </w:numPr>
        <w:tabs>
          <w:tab w:val="left" w:pos="360"/>
          <w:tab w:val="left" w:pos="1800"/>
        </w:tabs>
        <w:spacing w:line="360" w:lineRule="auto"/>
        <w:jc w:val="left"/>
        <w:rPr>
          <w:rFonts w:ascii="宋体" w:hAnsi="宋体" w:cs="宋体"/>
          <w:color w:val="auto"/>
          <w:sz w:val="24"/>
        </w:rPr>
      </w:pPr>
      <w:r>
        <w:rPr>
          <w:rFonts w:hint="eastAsia" w:ascii="宋体" w:hAnsi="宋体" w:cs="宋体"/>
          <w:color w:val="auto"/>
          <w:sz w:val="24"/>
        </w:rPr>
        <w:t>中小企业声明函（详见格式7）；</w:t>
      </w:r>
    </w:p>
    <w:p>
      <w:pPr>
        <w:numPr>
          <w:ilvl w:val="0"/>
          <w:numId w:val="4"/>
        </w:numPr>
        <w:tabs>
          <w:tab w:val="left" w:pos="360"/>
          <w:tab w:val="left" w:pos="1800"/>
        </w:tabs>
        <w:spacing w:line="360" w:lineRule="auto"/>
        <w:jc w:val="left"/>
        <w:rPr>
          <w:rFonts w:ascii="宋体" w:hAnsi="宋体" w:cs="宋体"/>
          <w:color w:val="auto"/>
          <w:sz w:val="24"/>
        </w:rPr>
      </w:pPr>
      <w:r>
        <w:rPr>
          <w:rFonts w:hint="eastAsia" w:ascii="宋体" w:hAnsi="宋体" w:cs="宋体"/>
          <w:color w:val="auto"/>
          <w:sz w:val="24"/>
        </w:rPr>
        <w:t>诚信声明（详见格式8）；</w:t>
      </w:r>
    </w:p>
    <w:p>
      <w:pPr>
        <w:numPr>
          <w:ilvl w:val="0"/>
          <w:numId w:val="4"/>
        </w:numPr>
        <w:tabs>
          <w:tab w:val="left" w:pos="360"/>
          <w:tab w:val="left" w:pos="1800"/>
        </w:tabs>
        <w:spacing w:line="360" w:lineRule="auto"/>
        <w:jc w:val="left"/>
        <w:rPr>
          <w:rFonts w:ascii="宋体" w:hAnsi="宋体" w:cs="宋体"/>
          <w:color w:val="auto"/>
          <w:sz w:val="24"/>
        </w:rPr>
      </w:pPr>
      <w:r>
        <w:rPr>
          <w:rFonts w:hint="eastAsia" w:ascii="宋体" w:hAnsi="宋体" w:cs="宋体"/>
          <w:color w:val="auto"/>
          <w:sz w:val="24"/>
        </w:rPr>
        <w:t>有效期内的企业营业执照副本（复印件）</w:t>
      </w:r>
      <w:r>
        <w:rPr>
          <w:rStyle w:val="19"/>
          <w:rFonts w:hint="eastAsia" w:ascii="宋体" w:hAnsi="宋体" w:cs="宋体"/>
          <w:b w:val="0"/>
          <w:bCs/>
          <w:color w:val="auto"/>
          <w:sz w:val="24"/>
        </w:rPr>
        <w:t>；</w:t>
      </w:r>
    </w:p>
    <w:p>
      <w:pPr>
        <w:numPr>
          <w:ilvl w:val="0"/>
          <w:numId w:val="4"/>
        </w:numPr>
        <w:tabs>
          <w:tab w:val="left" w:pos="360"/>
          <w:tab w:val="left" w:pos="1800"/>
        </w:tabs>
        <w:spacing w:line="360" w:lineRule="auto"/>
        <w:jc w:val="left"/>
        <w:rPr>
          <w:rFonts w:ascii="宋体" w:hAnsi="宋体" w:cs="宋体"/>
          <w:color w:val="auto"/>
          <w:sz w:val="24"/>
        </w:rPr>
      </w:pPr>
      <w:r>
        <w:rPr>
          <w:rFonts w:hint="eastAsia" w:ascii="宋体" w:hAnsi="宋体" w:cs="宋体"/>
          <w:color w:val="auto"/>
          <w:sz w:val="24"/>
        </w:rPr>
        <w:t>具有有效期内的</w:t>
      </w:r>
      <w:r>
        <w:rPr>
          <w:rFonts w:hint="eastAsia" w:asciiTheme="minorEastAsia" w:hAnsiTheme="minorEastAsia" w:eastAsiaTheme="minorEastAsia" w:cstheme="minorEastAsia"/>
          <w:color w:val="auto"/>
          <w:sz w:val="24"/>
        </w:rPr>
        <w:t>消防设施维护保养检测机构</w:t>
      </w:r>
      <w:r>
        <w:rPr>
          <w:rFonts w:hint="eastAsia"/>
          <w:color w:val="auto"/>
          <w:sz w:val="24"/>
        </w:rPr>
        <w:t>二级</w:t>
      </w:r>
      <w:r>
        <w:rPr>
          <w:rFonts w:hint="eastAsia" w:ascii="宋体" w:hAnsi="宋体" w:cs="宋体"/>
          <w:color w:val="auto"/>
          <w:sz w:val="24"/>
        </w:rPr>
        <w:t>及以上资质复印件；</w:t>
      </w:r>
    </w:p>
    <w:p>
      <w:pPr>
        <w:numPr>
          <w:ilvl w:val="0"/>
          <w:numId w:val="4"/>
        </w:numPr>
        <w:tabs>
          <w:tab w:val="left" w:pos="360"/>
          <w:tab w:val="left" w:pos="1800"/>
        </w:tabs>
        <w:spacing w:line="360" w:lineRule="auto"/>
        <w:jc w:val="left"/>
        <w:rPr>
          <w:rFonts w:ascii="宋体" w:hAnsi="宋体" w:cs="宋体"/>
          <w:color w:val="auto"/>
          <w:sz w:val="24"/>
        </w:rPr>
      </w:pPr>
      <w:r>
        <w:rPr>
          <w:rFonts w:hint="eastAsia"/>
          <w:color w:val="auto"/>
          <w:sz w:val="24"/>
        </w:rPr>
        <w:t>在信合联服网站完成诚信注册备案</w:t>
      </w:r>
      <w:r>
        <w:rPr>
          <w:rFonts w:hint="eastAsia"/>
          <w:color w:val="auto"/>
          <w:sz w:val="24"/>
          <w:lang w:eastAsia="zh-CN"/>
        </w:rPr>
        <w:t>，</w:t>
      </w:r>
      <w:r>
        <w:rPr>
          <w:rFonts w:hint="eastAsia"/>
          <w:color w:val="auto"/>
          <w:sz w:val="24"/>
          <w:lang w:val="en-US" w:eastAsia="zh-CN"/>
        </w:rPr>
        <w:t>并且综合信用等级为C级以上（含C级）</w:t>
      </w:r>
      <w:r>
        <w:rPr>
          <w:rFonts w:hint="eastAsia" w:ascii="宋体" w:hAnsi="宋体" w:cs="宋体"/>
          <w:color w:val="auto"/>
          <w:sz w:val="24"/>
        </w:rPr>
        <w:t>；</w:t>
      </w:r>
    </w:p>
    <w:p>
      <w:pPr>
        <w:numPr>
          <w:ilvl w:val="0"/>
          <w:numId w:val="4"/>
        </w:numPr>
        <w:spacing w:line="360" w:lineRule="auto"/>
        <w:rPr>
          <w:rFonts w:ascii="宋体" w:hAnsi="宋体" w:cs="宋体"/>
          <w:color w:val="auto"/>
          <w:sz w:val="24"/>
        </w:rPr>
      </w:pPr>
      <w:r>
        <w:rPr>
          <w:rFonts w:hint="eastAsia" w:ascii="宋体" w:hAnsi="宋体" w:cs="宋体"/>
          <w:color w:val="auto"/>
          <w:sz w:val="24"/>
        </w:rPr>
        <w:t>项目负责人简历表（格式详见附表9）；</w:t>
      </w:r>
    </w:p>
    <w:p>
      <w:pPr>
        <w:numPr>
          <w:ilvl w:val="0"/>
          <w:numId w:val="4"/>
        </w:numPr>
        <w:spacing w:line="360" w:lineRule="auto"/>
        <w:rPr>
          <w:rFonts w:ascii="宋体" w:hAnsi="宋体" w:cs="宋体"/>
          <w:color w:val="auto"/>
          <w:sz w:val="24"/>
        </w:rPr>
      </w:pPr>
      <w:r>
        <w:rPr>
          <w:rFonts w:hint="eastAsia" w:ascii="宋体" w:hAnsi="宋体" w:cs="宋体"/>
          <w:color w:val="auto"/>
          <w:sz w:val="24"/>
        </w:rPr>
        <w:t>供应商根据政府采购公告中资格要求第一条基本资格要求（共6条）提供相应的证明材料；</w:t>
      </w:r>
    </w:p>
    <w:p>
      <w:pPr>
        <w:numPr>
          <w:ilvl w:val="0"/>
          <w:numId w:val="4"/>
        </w:numPr>
        <w:spacing w:line="360" w:lineRule="auto"/>
        <w:rPr>
          <w:rFonts w:ascii="宋体" w:hAnsi="宋体" w:cs="宋体"/>
          <w:color w:val="auto"/>
          <w:sz w:val="24"/>
        </w:rPr>
      </w:pPr>
      <w:r>
        <w:rPr>
          <w:rFonts w:hint="eastAsia" w:ascii="宋体" w:hAnsi="宋体" w:cs="宋体"/>
          <w:color w:val="auto"/>
          <w:sz w:val="24"/>
        </w:rPr>
        <w:t>近三年（自2016年1月1日至今）同类项目业绩表（详见格式10）；</w:t>
      </w:r>
    </w:p>
    <w:p>
      <w:pPr>
        <w:numPr>
          <w:ilvl w:val="0"/>
          <w:numId w:val="4"/>
        </w:numPr>
        <w:spacing w:line="360" w:lineRule="auto"/>
        <w:rPr>
          <w:rFonts w:ascii="宋体" w:hAnsi="宋体" w:cs="宋体"/>
          <w:color w:val="auto"/>
          <w:sz w:val="24"/>
        </w:rPr>
      </w:pPr>
      <w:r>
        <w:rPr>
          <w:rFonts w:hint="eastAsia" w:ascii="宋体" w:hAnsi="宋体" w:cs="宋体"/>
          <w:color w:val="auto"/>
          <w:sz w:val="24"/>
        </w:rPr>
        <w:t>提供上一年度的财务报表/财务报告（</w:t>
      </w:r>
      <w:r>
        <w:rPr>
          <w:rFonts w:hint="eastAsia" w:ascii="宋体" w:hAnsi="宋体" w:cs="宋体"/>
          <w:color w:val="auto"/>
          <w:sz w:val="24"/>
        </w:rPr>
        <w:t>包括资产负债表、损益表、利润表、现金流量表及财务状况说明书，新成立的公司提供情况说明</w:t>
      </w:r>
      <w:r>
        <w:rPr>
          <w:rFonts w:hint="eastAsia" w:ascii="宋体" w:hAnsi="宋体" w:cs="宋体"/>
          <w:color w:val="auto"/>
          <w:sz w:val="24"/>
        </w:rPr>
        <w:t>）；</w:t>
      </w:r>
    </w:p>
    <w:p>
      <w:pPr>
        <w:numPr>
          <w:ilvl w:val="0"/>
          <w:numId w:val="4"/>
        </w:numPr>
        <w:spacing w:line="360" w:lineRule="auto"/>
        <w:rPr>
          <w:rFonts w:ascii="宋体" w:hAnsi="宋体" w:cs="宋体"/>
          <w:color w:val="auto"/>
          <w:sz w:val="24"/>
        </w:rPr>
      </w:pPr>
      <w:r>
        <w:rPr>
          <w:rFonts w:hint="eastAsia" w:ascii="宋体" w:hAnsi="宋体" w:cs="宋体"/>
          <w:color w:val="auto"/>
          <w:sz w:val="24"/>
        </w:rPr>
        <w:t>维保服务方案及承诺（投标文件格式11）；</w:t>
      </w:r>
    </w:p>
    <w:p>
      <w:pPr>
        <w:numPr>
          <w:ilvl w:val="0"/>
          <w:numId w:val="4"/>
        </w:numPr>
        <w:tabs>
          <w:tab w:val="left" w:pos="360"/>
          <w:tab w:val="left" w:pos="1800"/>
        </w:tabs>
        <w:spacing w:line="360" w:lineRule="auto"/>
        <w:jc w:val="left"/>
        <w:rPr>
          <w:rFonts w:ascii="宋体" w:hAnsi="宋体" w:cs="宋体"/>
          <w:color w:val="auto"/>
          <w:sz w:val="24"/>
        </w:rPr>
      </w:pPr>
      <w:r>
        <w:rPr>
          <w:rFonts w:hint="eastAsia" w:ascii="宋体" w:hAnsi="宋体" w:cs="宋体"/>
          <w:color w:val="auto"/>
          <w:sz w:val="24"/>
        </w:rPr>
        <w:t>其它与本项目有关的能证明企业实力的各项证明资料；</w:t>
      </w:r>
    </w:p>
    <w:p>
      <w:pPr>
        <w:numPr>
          <w:ilvl w:val="0"/>
          <w:numId w:val="4"/>
        </w:numPr>
        <w:tabs>
          <w:tab w:val="left" w:pos="360"/>
          <w:tab w:val="left" w:pos="1800"/>
        </w:tabs>
        <w:spacing w:line="360" w:lineRule="auto"/>
        <w:jc w:val="left"/>
        <w:rPr>
          <w:rFonts w:ascii="宋体" w:hAnsi="宋体" w:cs="宋体"/>
          <w:color w:val="auto"/>
          <w:sz w:val="24"/>
        </w:rPr>
      </w:pPr>
      <w:r>
        <w:rPr>
          <w:rFonts w:hint="eastAsia" w:ascii="宋体" w:hAnsi="宋体" w:cs="宋体"/>
          <w:color w:val="auto"/>
          <w:sz w:val="24"/>
        </w:rPr>
        <w:t>资格性/符合性自查表（详见格式12）；</w:t>
      </w:r>
    </w:p>
    <w:p>
      <w:pPr>
        <w:numPr>
          <w:ilvl w:val="0"/>
          <w:numId w:val="4"/>
        </w:numPr>
        <w:spacing w:line="360" w:lineRule="auto"/>
        <w:rPr>
          <w:rFonts w:ascii="宋体" w:hAnsi="宋体" w:cs="宋体"/>
          <w:color w:val="auto"/>
          <w:sz w:val="24"/>
        </w:rPr>
      </w:pPr>
      <w:r>
        <w:rPr>
          <w:rFonts w:hint="eastAsia" w:ascii="宋体" w:hAnsi="宋体" w:cs="宋体"/>
          <w:color w:val="auto"/>
          <w:sz w:val="24"/>
        </w:rPr>
        <w:t>竞争性磋商文件要求提供的其它材料以及供应商认为需要提交的材料。</w:t>
      </w:r>
    </w:p>
    <w:p>
      <w:pPr>
        <w:pStyle w:val="7"/>
        <w:spacing w:line="360" w:lineRule="auto"/>
        <w:ind w:firstLine="482" w:firstLineChars="200"/>
        <w:rPr>
          <w:rFonts w:hAnsi="宋体" w:cs="宋体"/>
          <w:b/>
          <w:color w:val="auto"/>
          <w:sz w:val="24"/>
          <w:szCs w:val="24"/>
        </w:rPr>
      </w:pPr>
      <w:r>
        <w:rPr>
          <w:rFonts w:hint="eastAsia" w:hAnsi="宋体" w:cs="宋体"/>
          <w:b/>
          <w:color w:val="auto"/>
          <w:sz w:val="24"/>
          <w:szCs w:val="24"/>
        </w:rPr>
        <w:t>特别说明：①上述各种证件、证书复印件须加盖供应商公章。如未按要求加盖供应商公章者，可能导致其响应文件无效。</w:t>
      </w:r>
    </w:p>
    <w:p>
      <w:pPr>
        <w:pStyle w:val="7"/>
        <w:spacing w:line="360" w:lineRule="auto"/>
        <w:ind w:firstLine="482" w:firstLineChars="200"/>
        <w:rPr>
          <w:rFonts w:hAnsi="宋体" w:cs="宋体"/>
          <w:b/>
          <w:color w:val="auto"/>
          <w:sz w:val="24"/>
          <w:szCs w:val="24"/>
        </w:rPr>
      </w:pPr>
      <w:r>
        <w:rPr>
          <w:rFonts w:hint="eastAsia" w:hAnsi="宋体" w:cs="宋体"/>
          <w:b/>
          <w:color w:val="auto"/>
          <w:sz w:val="24"/>
          <w:szCs w:val="24"/>
        </w:rPr>
        <w:t>②供应商应如实提供资料，并保证真实可靠，不得弄虚作假。如供应商隐瞒事实真相、弄虚作假，一经查实，取消该供应商的磋商资格，若成交的，取消其成交资格。</w:t>
      </w:r>
    </w:p>
    <w:p>
      <w:pPr>
        <w:pStyle w:val="7"/>
        <w:spacing w:line="360" w:lineRule="auto"/>
        <w:ind w:firstLine="480"/>
        <w:outlineLvl w:val="1"/>
        <w:rPr>
          <w:rFonts w:hAnsi="宋体" w:cs="宋体"/>
          <w:color w:val="auto"/>
          <w:sz w:val="24"/>
          <w:szCs w:val="24"/>
        </w:rPr>
      </w:pPr>
      <w:bookmarkStart w:id="49" w:name="_Toc245897286"/>
      <w:bookmarkStart w:id="50" w:name="_Toc243906326"/>
      <w:bookmarkStart w:id="51" w:name="_Toc246216196"/>
      <w:bookmarkStart w:id="52" w:name="_Toc243907587"/>
      <w:bookmarkStart w:id="53" w:name="_Toc233274827"/>
      <w:r>
        <w:rPr>
          <w:rFonts w:hint="eastAsia" w:hAnsi="宋体" w:cs="宋体"/>
          <w:color w:val="auto"/>
          <w:sz w:val="24"/>
          <w:szCs w:val="24"/>
        </w:rPr>
        <w:t>16、响应文件格式</w:t>
      </w:r>
      <w:bookmarkEnd w:id="49"/>
    </w:p>
    <w:p>
      <w:pPr>
        <w:pStyle w:val="7"/>
        <w:spacing w:line="360" w:lineRule="auto"/>
        <w:ind w:firstLine="480" w:firstLineChars="200"/>
        <w:rPr>
          <w:rFonts w:hAnsi="宋体" w:cs="宋体"/>
          <w:color w:val="auto"/>
          <w:sz w:val="24"/>
          <w:szCs w:val="24"/>
        </w:rPr>
      </w:pPr>
      <w:r>
        <w:rPr>
          <w:rFonts w:hint="eastAsia" w:hAnsi="宋体" w:cs="宋体"/>
          <w:color w:val="auto"/>
          <w:sz w:val="24"/>
          <w:szCs w:val="24"/>
        </w:rPr>
        <w:t>16.1供应商应按竞争性磋商文件提供的格式及商务报价说明完整地填写所提供的合同货物、服务以及单价等内容。</w:t>
      </w:r>
    </w:p>
    <w:p>
      <w:pPr>
        <w:pStyle w:val="7"/>
        <w:spacing w:line="360" w:lineRule="auto"/>
        <w:ind w:firstLine="480" w:firstLineChars="200"/>
        <w:outlineLvl w:val="1"/>
        <w:rPr>
          <w:rFonts w:hAnsi="宋体" w:cs="宋体"/>
          <w:color w:val="auto"/>
          <w:sz w:val="24"/>
          <w:szCs w:val="24"/>
        </w:rPr>
      </w:pPr>
      <w:r>
        <w:rPr>
          <w:rFonts w:hint="eastAsia" w:hAnsi="宋体" w:cs="宋体"/>
          <w:color w:val="auto"/>
          <w:sz w:val="24"/>
          <w:szCs w:val="24"/>
        </w:rPr>
        <w:t>17、商务报价</w:t>
      </w:r>
      <w:bookmarkEnd w:id="50"/>
      <w:bookmarkEnd w:id="51"/>
      <w:bookmarkEnd w:id="52"/>
      <w:bookmarkEnd w:id="53"/>
    </w:p>
    <w:p>
      <w:pPr>
        <w:spacing w:line="360" w:lineRule="auto"/>
        <w:ind w:firstLine="480" w:firstLineChars="200"/>
        <w:rPr>
          <w:rFonts w:ascii="宋体" w:hAnsi="宋体" w:cs="宋体"/>
          <w:color w:val="auto"/>
          <w:sz w:val="24"/>
        </w:rPr>
      </w:pPr>
      <w:r>
        <w:rPr>
          <w:rFonts w:hint="eastAsia" w:ascii="宋体" w:hAnsi="宋体" w:cs="宋体"/>
          <w:color w:val="auto"/>
          <w:sz w:val="24"/>
        </w:rPr>
        <w:t>17.1供应商的商务报价应是为采购人提供全部合同货物及服务，并保证货物验收合格并正常使用以及质量保修期内的维保、售后服务等以及合同条款、技术规范及标准、项目采购需求、本竞争性磋商文件约定的所有费用的总和。</w:t>
      </w:r>
    </w:p>
    <w:p>
      <w:pPr>
        <w:spacing w:line="360" w:lineRule="auto"/>
        <w:ind w:firstLine="480" w:firstLineChars="200"/>
        <w:rPr>
          <w:rFonts w:ascii="宋体" w:hAnsi="宋体" w:cs="宋体"/>
          <w:b/>
          <w:color w:val="auto"/>
          <w:sz w:val="24"/>
        </w:rPr>
      </w:pPr>
      <w:r>
        <w:rPr>
          <w:rFonts w:hint="eastAsia" w:ascii="宋体" w:hAnsi="宋体" w:cs="宋体"/>
          <w:color w:val="auto"/>
          <w:sz w:val="24"/>
        </w:rPr>
        <w:t>任何因供应商忽视或误解采购范围、技术规范及标准、项目采购需求、合同条款和项目现场情况，若成交，采购人将不予批准由此而产生的索赔或服务期限延长申请。</w:t>
      </w:r>
    </w:p>
    <w:p>
      <w:pPr>
        <w:spacing w:line="360" w:lineRule="auto"/>
        <w:ind w:firstLine="482" w:firstLineChars="200"/>
        <w:rPr>
          <w:rFonts w:ascii="宋体" w:hAnsi="宋体" w:cs="宋体"/>
          <w:color w:val="auto"/>
          <w:sz w:val="24"/>
        </w:rPr>
      </w:pPr>
      <w:r>
        <w:rPr>
          <w:rFonts w:hint="eastAsia" w:ascii="宋体" w:hAnsi="宋体" w:cs="宋体"/>
          <w:b/>
          <w:color w:val="auto"/>
          <w:sz w:val="24"/>
        </w:rPr>
        <w:t>商务报价中不得包含合同条款、技术规范及标准、项目采购需求、本竞争性磋商文件要求以外的其他内容。</w:t>
      </w:r>
    </w:p>
    <w:p>
      <w:pPr>
        <w:spacing w:line="360" w:lineRule="auto"/>
        <w:ind w:firstLine="480" w:firstLineChars="200"/>
        <w:rPr>
          <w:rFonts w:ascii="宋体" w:hAnsi="宋体" w:cs="宋体"/>
          <w:color w:val="auto"/>
          <w:sz w:val="24"/>
        </w:rPr>
      </w:pPr>
      <w:r>
        <w:rPr>
          <w:rFonts w:hint="eastAsia" w:ascii="宋体" w:hAnsi="宋体" w:cs="宋体"/>
          <w:color w:val="auto"/>
          <w:sz w:val="24"/>
        </w:rPr>
        <w:t>17.2商务报价总价应包括的内容和计价因素</w:t>
      </w:r>
    </w:p>
    <w:p>
      <w:pPr>
        <w:spacing w:line="360" w:lineRule="auto"/>
        <w:ind w:left="360"/>
        <w:rPr>
          <w:rFonts w:ascii="宋体" w:hAnsi="宋体" w:cs="宋体"/>
          <w:b/>
          <w:color w:val="auto"/>
          <w:sz w:val="24"/>
        </w:rPr>
      </w:pPr>
      <w:r>
        <w:rPr>
          <w:rFonts w:hint="eastAsia" w:ascii="宋体" w:hAnsi="宋体" w:cs="宋体"/>
          <w:b/>
          <w:color w:val="auto"/>
          <w:sz w:val="24"/>
        </w:rPr>
        <w:t>（1）</w:t>
      </w:r>
      <w:r>
        <w:rPr>
          <w:rFonts w:hint="eastAsia" w:ascii="宋体" w:hAnsi="宋体" w:cs="宋体"/>
          <w:b/>
          <w:color w:val="auto"/>
          <w:sz w:val="24"/>
        </w:rPr>
        <w:t>在</w:t>
      </w:r>
      <w:r>
        <w:rPr>
          <w:rFonts w:hint="eastAsia" w:hAnsi="宋体" w:cs="宋体"/>
          <w:b/>
          <w:color w:val="auto"/>
          <w:sz w:val="24"/>
        </w:rPr>
        <w:t>消防维护</w:t>
      </w:r>
      <w:r>
        <w:rPr>
          <w:rFonts w:hint="eastAsia" w:ascii="宋体" w:hAnsi="宋体" w:cs="宋体"/>
          <w:b/>
          <w:color w:val="auto"/>
          <w:sz w:val="24"/>
        </w:rPr>
        <w:t>期内负责新疆医科大学厚博学院（克拉玛依校区）范围内包括的临床教学楼、基础教学楼、公共教学楼、图文中心、1-4号学生宿舍楼（4栋）、学生餐厅（第一、第二）、青年教师公寓、动物中心、后勤管理中心、锅炉房、室外运动场、车库等建筑物</w:t>
      </w:r>
      <w:r>
        <w:rPr>
          <w:rFonts w:hint="eastAsia" w:hAnsi="宋体" w:cs="宋体"/>
          <w:b/>
          <w:color w:val="auto"/>
          <w:sz w:val="24"/>
        </w:rPr>
        <w:t>，</w:t>
      </w:r>
      <w:r>
        <w:rPr>
          <w:rFonts w:hint="eastAsia" w:ascii="宋体" w:hAnsi="宋体" w:cs="宋体"/>
          <w:b/>
          <w:color w:val="auto"/>
          <w:sz w:val="24"/>
        </w:rPr>
        <w:t>按照消防维护管理标准及要求对上述建筑物的自动消防设施检测及维护、火灾自动报警系统、自动喷水灭火系统，室内外消火栓系统、应急照明与疏散指示系统、防火卷帘门系统等其它相关辅助消防设施</w:t>
      </w:r>
      <w:r>
        <w:rPr>
          <w:rFonts w:hint="eastAsia" w:hAnsi="宋体" w:cs="宋体"/>
          <w:b/>
          <w:color w:val="auto"/>
          <w:sz w:val="24"/>
        </w:rPr>
        <w:t>进行</w:t>
      </w:r>
      <w:r>
        <w:rPr>
          <w:rFonts w:hint="eastAsia" w:ascii="宋体" w:hAnsi="宋体" w:cs="宋体"/>
          <w:b/>
          <w:color w:val="auto"/>
          <w:sz w:val="24"/>
        </w:rPr>
        <w:t>消防维护并通过验收</w:t>
      </w:r>
      <w:r>
        <w:rPr>
          <w:rFonts w:hint="eastAsia" w:ascii="宋体" w:hAnsi="宋体" w:cs="宋体"/>
          <w:b/>
          <w:color w:val="auto"/>
          <w:sz w:val="24"/>
        </w:rPr>
        <w:t>。</w:t>
      </w:r>
    </w:p>
    <w:p>
      <w:pPr>
        <w:pStyle w:val="2"/>
        <w:ind w:left="360"/>
        <w:rPr>
          <w:rFonts w:hint="eastAsia" w:ascii="宋体" w:hAnsi="宋体" w:cs="宋体"/>
          <w:b/>
          <w:color w:val="auto"/>
          <w:sz w:val="24"/>
        </w:rPr>
      </w:pPr>
      <w:r>
        <w:rPr>
          <w:rFonts w:hint="eastAsia" w:ascii="宋体" w:hAnsi="宋体" w:cs="宋体"/>
          <w:b/>
          <w:color w:val="auto"/>
          <w:sz w:val="24"/>
        </w:rPr>
        <w:t>（2）商务报价包含消防设施维保服务及检测两项费用。</w:t>
      </w:r>
    </w:p>
    <w:p>
      <w:pPr>
        <w:pStyle w:val="2"/>
        <w:ind w:left="360"/>
        <w:rPr>
          <w:rFonts w:ascii="宋体" w:hAnsi="宋体" w:cs="宋体"/>
          <w:b/>
          <w:color w:val="auto"/>
          <w:sz w:val="24"/>
        </w:rPr>
      </w:pPr>
      <w:r>
        <w:rPr>
          <w:rFonts w:hint="eastAsia" w:ascii="宋体" w:hAnsi="宋体" w:cs="宋体"/>
          <w:b/>
          <w:color w:val="auto"/>
          <w:sz w:val="24"/>
        </w:rPr>
        <w:t>（3）</w:t>
      </w:r>
      <w:r>
        <w:rPr>
          <w:rFonts w:hint="eastAsia" w:ascii="宋体" w:hAnsi="宋体" w:cs="宋体"/>
          <w:b/>
          <w:color w:val="auto"/>
          <w:sz w:val="24"/>
          <w:lang w:val="en-US" w:eastAsia="zh-CN"/>
        </w:rPr>
        <w:t>投标报价为</w:t>
      </w:r>
      <w:r>
        <w:rPr>
          <w:rFonts w:hint="eastAsia" w:ascii="宋体" w:hAnsi="宋体" w:eastAsia="宋体" w:cs="宋体"/>
          <w:b/>
          <w:color w:val="auto"/>
          <w:sz w:val="24"/>
        </w:rPr>
        <w:t>消防维护一年费用。</w:t>
      </w:r>
    </w:p>
    <w:p>
      <w:pPr>
        <w:spacing w:line="360" w:lineRule="auto"/>
        <w:rPr>
          <w:rFonts w:ascii="宋体" w:hAnsi="宋体" w:cs="宋体"/>
          <w:color w:val="auto"/>
          <w:sz w:val="24"/>
        </w:rPr>
      </w:pPr>
      <w:r>
        <w:rPr>
          <w:rFonts w:hint="eastAsia" w:ascii="宋体" w:hAnsi="宋体" w:cs="宋体"/>
          <w:bCs/>
          <w:color w:val="auto"/>
          <w:sz w:val="24"/>
        </w:rPr>
        <w:t>（3）供应商根据对本竞争性磋商文件、技术规范和标准、项目采购需求、合同条款的理解，应达到的技术指标、检验及验收标准等要求，结合市场情况进行商务报价。供应商应充分考虑合同执行期内的市场风险和国家政策性调整风险等因素对商务报价的影响。</w:t>
      </w:r>
    </w:p>
    <w:p>
      <w:pPr>
        <w:spacing w:line="360" w:lineRule="auto"/>
        <w:ind w:firstLine="480" w:firstLineChars="200"/>
        <w:rPr>
          <w:rFonts w:ascii="宋体" w:hAnsi="宋体" w:cs="宋体"/>
          <w:color w:val="auto"/>
          <w:sz w:val="24"/>
        </w:rPr>
      </w:pPr>
      <w:bookmarkStart w:id="54" w:name="_Toc233274828"/>
      <w:bookmarkStart w:id="55" w:name="_Toc243906327"/>
      <w:bookmarkStart w:id="56" w:name="_Toc246216197"/>
      <w:bookmarkStart w:id="57" w:name="_Toc243907588"/>
      <w:r>
        <w:rPr>
          <w:rFonts w:hint="eastAsia" w:ascii="宋体" w:hAnsi="宋体" w:cs="宋体"/>
          <w:color w:val="auto"/>
          <w:sz w:val="24"/>
        </w:rPr>
        <w:t>17.3供应商应按照竞争性磋商文件所附的格式完整地填写商务报价一览表。供应商应对采购范围内的全部内容进行报价。</w:t>
      </w:r>
    </w:p>
    <w:p>
      <w:pPr>
        <w:spacing w:line="360" w:lineRule="auto"/>
        <w:ind w:firstLine="480" w:firstLineChars="200"/>
        <w:rPr>
          <w:rFonts w:ascii="宋体" w:hAnsi="宋体" w:cs="宋体"/>
          <w:color w:val="auto"/>
          <w:sz w:val="24"/>
        </w:rPr>
      </w:pPr>
      <w:r>
        <w:rPr>
          <w:rFonts w:hint="eastAsia" w:ascii="宋体" w:hAnsi="宋体" w:cs="宋体"/>
          <w:color w:val="auto"/>
          <w:sz w:val="24"/>
        </w:rPr>
        <w:t>17.4供应商若成交，不得以任何理由在合同执行期间予以价格调整。任何包含价格调整的要求将被认为是非响应而予以拒绝。</w:t>
      </w:r>
    </w:p>
    <w:bookmarkEnd w:id="54"/>
    <w:bookmarkEnd w:id="55"/>
    <w:bookmarkEnd w:id="56"/>
    <w:bookmarkEnd w:id="57"/>
    <w:p>
      <w:pPr>
        <w:pStyle w:val="7"/>
        <w:spacing w:line="360" w:lineRule="auto"/>
        <w:ind w:firstLine="480" w:firstLineChars="200"/>
        <w:rPr>
          <w:rFonts w:hAnsi="宋体" w:cs="宋体"/>
          <w:color w:val="auto"/>
          <w:sz w:val="24"/>
          <w:szCs w:val="24"/>
        </w:rPr>
      </w:pPr>
      <w:bookmarkStart w:id="58" w:name="_Toc245897288"/>
      <w:r>
        <w:rPr>
          <w:rFonts w:hint="eastAsia" w:hAnsi="宋体" w:cs="宋体"/>
          <w:color w:val="auto"/>
          <w:sz w:val="24"/>
          <w:szCs w:val="24"/>
        </w:rPr>
        <w:t>18、商务报价货币</w:t>
      </w:r>
      <w:bookmarkEnd w:id="58"/>
    </w:p>
    <w:p>
      <w:pPr>
        <w:pStyle w:val="7"/>
        <w:spacing w:line="360" w:lineRule="auto"/>
        <w:ind w:firstLine="480" w:firstLineChars="200"/>
        <w:rPr>
          <w:rFonts w:hAnsi="宋体" w:cs="宋体"/>
          <w:color w:val="auto"/>
          <w:sz w:val="24"/>
          <w:szCs w:val="24"/>
        </w:rPr>
      </w:pPr>
      <w:r>
        <w:rPr>
          <w:rFonts w:hint="eastAsia" w:hAnsi="宋体" w:cs="宋体"/>
          <w:color w:val="auto"/>
          <w:sz w:val="24"/>
          <w:szCs w:val="24"/>
        </w:rPr>
        <w:t>18.1商务报价一览表和响应文件中的所有报价一律使用人民币（RMB）填报。</w:t>
      </w:r>
    </w:p>
    <w:p>
      <w:pPr>
        <w:pStyle w:val="7"/>
        <w:spacing w:line="360" w:lineRule="auto"/>
        <w:ind w:firstLine="480" w:firstLineChars="200"/>
        <w:rPr>
          <w:rFonts w:hAnsi="宋体" w:cs="宋体"/>
          <w:color w:val="auto"/>
          <w:sz w:val="24"/>
          <w:szCs w:val="24"/>
          <w:highlight w:val="red"/>
        </w:rPr>
      </w:pPr>
      <w:bookmarkStart w:id="59" w:name="_Toc243906328"/>
      <w:bookmarkStart w:id="60" w:name="_Toc245897289"/>
      <w:bookmarkStart w:id="61" w:name="_Toc233274829"/>
      <w:bookmarkStart w:id="62" w:name="_Toc243907589"/>
      <w:r>
        <w:rPr>
          <w:rFonts w:hint="eastAsia" w:hAnsi="宋体" w:cs="宋体"/>
          <w:color w:val="auto"/>
          <w:sz w:val="24"/>
          <w:szCs w:val="24"/>
        </w:rPr>
        <w:t>19、供应商资格证明文件</w:t>
      </w:r>
      <w:bookmarkEnd w:id="59"/>
      <w:bookmarkEnd w:id="60"/>
      <w:bookmarkEnd w:id="61"/>
      <w:bookmarkEnd w:id="62"/>
    </w:p>
    <w:p>
      <w:pPr>
        <w:pStyle w:val="7"/>
        <w:spacing w:line="360" w:lineRule="auto"/>
        <w:ind w:firstLine="480" w:firstLineChars="200"/>
        <w:rPr>
          <w:rFonts w:hAnsi="宋体" w:cs="宋体"/>
          <w:color w:val="auto"/>
          <w:sz w:val="24"/>
          <w:szCs w:val="24"/>
        </w:rPr>
      </w:pPr>
      <w:r>
        <w:rPr>
          <w:rFonts w:hint="eastAsia" w:hAnsi="宋体" w:cs="宋体"/>
          <w:color w:val="auto"/>
          <w:sz w:val="24"/>
          <w:szCs w:val="24"/>
        </w:rPr>
        <w:t>19.1 供应商必须提交证明其有资格参加磋商和成交后有能力履行合同的文件。</w:t>
      </w:r>
    </w:p>
    <w:p>
      <w:pPr>
        <w:pStyle w:val="7"/>
        <w:spacing w:line="360" w:lineRule="auto"/>
        <w:ind w:firstLine="480" w:firstLineChars="200"/>
        <w:rPr>
          <w:rFonts w:hAnsi="宋体" w:cs="宋体"/>
          <w:color w:val="auto"/>
          <w:sz w:val="24"/>
          <w:szCs w:val="24"/>
        </w:rPr>
      </w:pPr>
      <w:r>
        <w:rPr>
          <w:rFonts w:hint="eastAsia" w:hAnsi="宋体" w:cs="宋体"/>
          <w:color w:val="auto"/>
          <w:sz w:val="24"/>
          <w:szCs w:val="24"/>
        </w:rPr>
        <w:t>19.2供应商须提交证明其拟供货物和服务符合竞争性谈判文件、技术规范及标准、项目采购需求规定的技术响应文件，作为响应文件的一部分。</w:t>
      </w:r>
    </w:p>
    <w:p>
      <w:pPr>
        <w:pStyle w:val="7"/>
        <w:spacing w:line="360" w:lineRule="auto"/>
        <w:ind w:firstLine="480" w:firstLineChars="200"/>
        <w:rPr>
          <w:rFonts w:hAnsi="宋体" w:cs="宋体"/>
          <w:color w:val="auto"/>
          <w:sz w:val="24"/>
          <w:szCs w:val="24"/>
        </w:rPr>
      </w:pPr>
      <w:r>
        <w:rPr>
          <w:rFonts w:hint="eastAsia" w:hAnsi="宋体" w:cs="宋体"/>
          <w:color w:val="auto"/>
          <w:sz w:val="24"/>
          <w:szCs w:val="24"/>
        </w:rPr>
        <w:t>19.3上述文件可以是文字资料、图纸和数据，并须提供主要技术性能的详细描述及设备清单和所提供服务的详细说明；</w:t>
      </w:r>
    </w:p>
    <w:p>
      <w:pPr>
        <w:pStyle w:val="7"/>
        <w:spacing w:line="360" w:lineRule="auto"/>
        <w:ind w:firstLine="480" w:firstLineChars="200"/>
        <w:rPr>
          <w:rFonts w:hAnsi="宋体" w:cs="宋体"/>
          <w:color w:val="auto"/>
          <w:sz w:val="24"/>
          <w:szCs w:val="24"/>
        </w:rPr>
      </w:pPr>
      <w:r>
        <w:rPr>
          <w:rFonts w:hint="eastAsia" w:hAnsi="宋体" w:cs="宋体"/>
          <w:color w:val="auto"/>
          <w:sz w:val="24"/>
          <w:szCs w:val="24"/>
        </w:rPr>
        <w:t>19.4供应商应逐条对磋商文件、项目采购需求、合同条款等进行仔细阅读，提出自己提供的服务是否对其做出了实质性的响应。</w:t>
      </w:r>
    </w:p>
    <w:p>
      <w:pPr>
        <w:pStyle w:val="7"/>
        <w:spacing w:line="360" w:lineRule="auto"/>
        <w:ind w:firstLine="480" w:firstLineChars="200"/>
        <w:rPr>
          <w:rFonts w:hAnsi="宋体" w:cs="宋体"/>
          <w:color w:val="auto"/>
          <w:sz w:val="24"/>
          <w:szCs w:val="24"/>
        </w:rPr>
      </w:pPr>
      <w:bookmarkStart w:id="63" w:name="_Toc245897291"/>
      <w:bookmarkStart w:id="64" w:name="_Toc243907591"/>
      <w:bookmarkStart w:id="65" w:name="_Toc233274831"/>
      <w:bookmarkStart w:id="66" w:name="_Toc243906330"/>
      <w:r>
        <w:rPr>
          <w:rFonts w:hint="eastAsia" w:hAnsi="宋体" w:cs="宋体"/>
          <w:color w:val="auto"/>
          <w:sz w:val="24"/>
          <w:szCs w:val="24"/>
        </w:rPr>
        <w:t>20、响应文件有效期</w:t>
      </w:r>
      <w:bookmarkEnd w:id="63"/>
      <w:bookmarkEnd w:id="64"/>
      <w:bookmarkEnd w:id="65"/>
      <w:bookmarkEnd w:id="66"/>
    </w:p>
    <w:p>
      <w:pPr>
        <w:pStyle w:val="7"/>
        <w:spacing w:line="360" w:lineRule="auto"/>
        <w:ind w:firstLine="480" w:firstLineChars="200"/>
        <w:rPr>
          <w:rFonts w:hAnsi="宋体" w:cs="宋体"/>
          <w:color w:val="auto"/>
          <w:sz w:val="24"/>
          <w:szCs w:val="24"/>
        </w:rPr>
      </w:pPr>
      <w:r>
        <w:rPr>
          <w:rFonts w:hint="eastAsia" w:hAnsi="宋体" w:cs="宋体"/>
          <w:color w:val="auto"/>
          <w:sz w:val="24"/>
          <w:szCs w:val="24"/>
        </w:rPr>
        <w:t>20.1响应文件有效期为递交响应文件截止之日起</w:t>
      </w:r>
      <w:r>
        <w:rPr>
          <w:rFonts w:hint="eastAsia" w:hAnsi="宋体" w:cs="宋体"/>
          <w:color w:val="auto"/>
          <w:sz w:val="24"/>
          <w:szCs w:val="24"/>
        </w:rPr>
        <w:t>60天（日历日）</w:t>
      </w:r>
      <w:r>
        <w:rPr>
          <w:rFonts w:hint="eastAsia" w:hAnsi="宋体" w:cs="宋体"/>
          <w:color w:val="auto"/>
          <w:sz w:val="24"/>
          <w:szCs w:val="24"/>
        </w:rPr>
        <w:t>。供应商的响应文件有效期比规定的有效期短的，将被视为非响应而予以拒绝。</w:t>
      </w:r>
    </w:p>
    <w:p>
      <w:pPr>
        <w:pStyle w:val="7"/>
        <w:spacing w:line="360" w:lineRule="auto"/>
        <w:ind w:firstLine="480" w:firstLineChars="200"/>
        <w:rPr>
          <w:rFonts w:hAnsi="宋体" w:cs="宋体"/>
          <w:color w:val="auto"/>
          <w:sz w:val="24"/>
          <w:szCs w:val="24"/>
        </w:rPr>
      </w:pPr>
      <w:r>
        <w:rPr>
          <w:rFonts w:hint="eastAsia" w:hAnsi="宋体" w:cs="宋体"/>
          <w:color w:val="auto"/>
          <w:sz w:val="24"/>
          <w:szCs w:val="24"/>
        </w:rPr>
        <w:t>20.2 特殊情况下，在原有效期届满之前，采购人可征得供应商的同意延长其有效期，这种要求与答复均应以书面形式。供应商拒绝延长的，其响应文件失效。同意延长有效期的供应商，既不要求也不允许其修改响应文件。</w:t>
      </w:r>
    </w:p>
    <w:p>
      <w:pPr>
        <w:pStyle w:val="7"/>
        <w:spacing w:line="360" w:lineRule="auto"/>
        <w:ind w:firstLine="480" w:firstLineChars="200"/>
        <w:rPr>
          <w:rFonts w:hAnsi="宋体" w:cs="宋体"/>
          <w:color w:val="auto"/>
          <w:sz w:val="24"/>
          <w:szCs w:val="24"/>
        </w:rPr>
      </w:pPr>
      <w:r>
        <w:rPr>
          <w:rFonts w:hint="eastAsia" w:hAnsi="宋体" w:cs="宋体"/>
          <w:color w:val="auto"/>
          <w:sz w:val="24"/>
          <w:szCs w:val="24"/>
        </w:rPr>
        <w:t>21、响应文件的签署及规定</w:t>
      </w:r>
    </w:p>
    <w:p>
      <w:pPr>
        <w:pStyle w:val="7"/>
        <w:spacing w:line="360" w:lineRule="auto"/>
        <w:ind w:firstLine="480" w:firstLineChars="200"/>
        <w:rPr>
          <w:rFonts w:hAnsi="宋体" w:cs="宋体"/>
          <w:color w:val="auto"/>
          <w:sz w:val="24"/>
          <w:szCs w:val="24"/>
        </w:rPr>
      </w:pPr>
      <w:r>
        <w:rPr>
          <w:rFonts w:hint="eastAsia" w:hAnsi="宋体" w:cs="宋体"/>
          <w:color w:val="auto"/>
          <w:sz w:val="24"/>
          <w:szCs w:val="24"/>
        </w:rPr>
        <w:t>21.1供应商应提交本须知第15条规定的书面响应文件</w:t>
      </w:r>
      <w:r>
        <w:rPr>
          <w:rFonts w:hint="eastAsia" w:hAnsi="宋体" w:cs="宋体"/>
          <w:color w:val="auto"/>
          <w:sz w:val="24"/>
          <w:szCs w:val="24"/>
        </w:rPr>
        <w:t>一式叁份，其中：壹份正本和贰份副本，</w:t>
      </w:r>
      <w:r>
        <w:rPr>
          <w:rFonts w:hint="eastAsia" w:hAnsi="宋体" w:cs="宋体"/>
          <w:color w:val="auto"/>
          <w:sz w:val="24"/>
          <w:szCs w:val="24"/>
        </w:rPr>
        <w:t>在每一份响应文件上应明确注明“正本”或“副本”字样，如正、副本之间有差异，以正本为准。</w:t>
      </w:r>
    </w:p>
    <w:p>
      <w:pPr>
        <w:pStyle w:val="7"/>
        <w:spacing w:line="360" w:lineRule="auto"/>
        <w:ind w:firstLine="480" w:firstLineChars="200"/>
        <w:rPr>
          <w:rFonts w:hAnsi="宋体" w:cs="宋体"/>
          <w:color w:val="auto"/>
          <w:sz w:val="24"/>
          <w:szCs w:val="24"/>
        </w:rPr>
      </w:pPr>
      <w:r>
        <w:rPr>
          <w:rFonts w:hint="eastAsia" w:hAnsi="宋体" w:cs="宋体"/>
          <w:color w:val="auto"/>
          <w:sz w:val="24"/>
          <w:szCs w:val="24"/>
        </w:rPr>
        <w:t>21.2响应文件正本和副本须打印并由法定代表人或委托代理人签字或盖章。响应文件应加盖供应商的公章。</w:t>
      </w:r>
    </w:p>
    <w:p>
      <w:pPr>
        <w:pStyle w:val="7"/>
        <w:spacing w:line="360" w:lineRule="auto"/>
        <w:ind w:firstLine="480" w:firstLineChars="200"/>
        <w:rPr>
          <w:rFonts w:hAnsi="宋体" w:cs="宋体"/>
          <w:color w:val="auto"/>
          <w:sz w:val="24"/>
          <w:szCs w:val="24"/>
        </w:rPr>
      </w:pPr>
      <w:r>
        <w:rPr>
          <w:rFonts w:hint="eastAsia" w:hAnsi="宋体" w:cs="宋体"/>
          <w:color w:val="auto"/>
          <w:sz w:val="24"/>
          <w:szCs w:val="24"/>
        </w:rPr>
        <w:t>21.3 除供应商对错误做必要修改外，响应文件中不许有增删、涂改或改写。若确有修改必须由签署响应文件的委托代理人签字或盖章。</w:t>
      </w:r>
    </w:p>
    <w:p>
      <w:pPr>
        <w:pStyle w:val="7"/>
        <w:spacing w:line="360" w:lineRule="auto"/>
        <w:ind w:firstLine="480" w:firstLineChars="200"/>
        <w:rPr>
          <w:rFonts w:hAnsi="宋体" w:cs="宋体"/>
          <w:color w:val="auto"/>
          <w:sz w:val="24"/>
          <w:szCs w:val="24"/>
        </w:rPr>
      </w:pPr>
      <w:r>
        <w:rPr>
          <w:rFonts w:hint="eastAsia" w:hAnsi="宋体" w:cs="宋体"/>
          <w:color w:val="auto"/>
          <w:sz w:val="24"/>
          <w:szCs w:val="24"/>
        </w:rPr>
        <w:t>21.4响应文件副本的上述签名及盖章之处既可由供应商的法定代表人或其委托代理人签字或盖章，也可通过复印正本将上述签名及盖章复制到副本上。</w:t>
      </w:r>
    </w:p>
    <w:p>
      <w:pPr>
        <w:pStyle w:val="7"/>
        <w:spacing w:line="360" w:lineRule="auto"/>
        <w:ind w:firstLine="480" w:firstLineChars="200"/>
        <w:rPr>
          <w:rFonts w:hAnsi="宋体" w:cs="宋体"/>
          <w:color w:val="auto"/>
          <w:sz w:val="24"/>
          <w:szCs w:val="24"/>
        </w:rPr>
      </w:pPr>
      <w:r>
        <w:rPr>
          <w:rFonts w:hint="eastAsia" w:hAnsi="宋体" w:cs="宋体"/>
          <w:color w:val="auto"/>
          <w:sz w:val="24"/>
          <w:szCs w:val="24"/>
        </w:rPr>
        <w:t>21.5 采购人概不接受电报、电传、电话、邮寄以及电子邮件等方式的磋商。</w:t>
      </w:r>
    </w:p>
    <w:p>
      <w:pPr>
        <w:pStyle w:val="7"/>
        <w:spacing w:line="360" w:lineRule="auto"/>
        <w:outlineLvl w:val="1"/>
        <w:rPr>
          <w:rFonts w:hAnsi="宋体" w:cs="宋体"/>
          <w:b/>
          <w:bCs/>
          <w:color w:val="auto"/>
          <w:sz w:val="24"/>
          <w:szCs w:val="24"/>
        </w:rPr>
      </w:pPr>
      <w:r>
        <w:rPr>
          <w:rFonts w:hint="eastAsia" w:hAnsi="宋体" w:cs="宋体"/>
          <w:b/>
          <w:bCs/>
          <w:color w:val="auto"/>
          <w:sz w:val="24"/>
          <w:szCs w:val="24"/>
        </w:rPr>
        <w:t>四、响应文件的递交、修改和撤回</w:t>
      </w:r>
      <w:bookmarkEnd w:id="40"/>
    </w:p>
    <w:p>
      <w:pPr>
        <w:spacing w:line="360" w:lineRule="auto"/>
        <w:ind w:firstLine="480" w:firstLineChars="200"/>
        <w:outlineLvl w:val="1"/>
        <w:rPr>
          <w:rFonts w:ascii="宋体" w:hAnsi="宋体" w:cs="宋体"/>
          <w:color w:val="auto"/>
          <w:sz w:val="24"/>
        </w:rPr>
      </w:pPr>
      <w:bookmarkStart w:id="67" w:name="_Toc245897295"/>
      <w:bookmarkStart w:id="68" w:name="_Toc233274835"/>
      <w:bookmarkStart w:id="69" w:name="_Toc243907595"/>
      <w:bookmarkStart w:id="70" w:name="_Toc243906334"/>
      <w:bookmarkStart w:id="71" w:name="_Toc19823"/>
      <w:bookmarkStart w:id="72" w:name="_Toc243907600"/>
      <w:bookmarkStart w:id="73" w:name="_Toc243906339"/>
      <w:bookmarkStart w:id="74" w:name="_Toc246216209"/>
      <w:bookmarkStart w:id="75" w:name="_Toc233274840"/>
      <w:r>
        <w:rPr>
          <w:rFonts w:hint="eastAsia" w:ascii="宋体" w:hAnsi="宋体" w:cs="宋体"/>
          <w:color w:val="auto"/>
          <w:sz w:val="24"/>
        </w:rPr>
        <w:t>22、响应文件的密封和标记</w:t>
      </w:r>
      <w:bookmarkEnd w:id="67"/>
      <w:bookmarkEnd w:id="68"/>
      <w:bookmarkEnd w:id="69"/>
      <w:bookmarkEnd w:id="70"/>
    </w:p>
    <w:p>
      <w:pPr>
        <w:spacing w:line="360" w:lineRule="auto"/>
        <w:ind w:firstLine="480" w:firstLineChars="200"/>
        <w:outlineLvl w:val="1"/>
        <w:rPr>
          <w:rFonts w:ascii="宋体" w:hAnsi="宋体" w:cs="宋体"/>
          <w:b/>
          <w:color w:val="auto"/>
          <w:sz w:val="24"/>
        </w:rPr>
      </w:pPr>
      <w:r>
        <w:rPr>
          <w:rFonts w:hint="eastAsia" w:ascii="宋体" w:hAnsi="宋体" w:cs="宋体"/>
          <w:color w:val="auto"/>
          <w:sz w:val="24"/>
        </w:rPr>
        <w:t>22.1</w:t>
      </w:r>
      <w:r>
        <w:rPr>
          <w:rFonts w:hint="eastAsia" w:ascii="宋体" w:hAnsi="宋体" w:cs="宋体"/>
          <w:b/>
          <w:color w:val="auto"/>
          <w:sz w:val="24"/>
        </w:rPr>
        <w:t>响应文件均按A4复印纸页面编制、装订。所有响应文件均为明标。</w:t>
      </w:r>
    </w:p>
    <w:p>
      <w:pPr>
        <w:spacing w:line="360" w:lineRule="auto"/>
        <w:ind w:firstLine="480" w:firstLineChars="200"/>
        <w:rPr>
          <w:rFonts w:ascii="宋体" w:hAnsi="宋体" w:cs="宋体"/>
          <w:b/>
          <w:color w:val="auto"/>
          <w:sz w:val="24"/>
        </w:rPr>
      </w:pPr>
      <w:r>
        <w:rPr>
          <w:rFonts w:hint="eastAsia" w:ascii="宋体" w:hAnsi="宋体" w:cs="宋体"/>
          <w:color w:val="auto"/>
          <w:sz w:val="24"/>
        </w:rPr>
        <w:t>22.2</w:t>
      </w:r>
      <w:r>
        <w:rPr>
          <w:rFonts w:hint="eastAsia" w:ascii="宋体" w:hAnsi="宋体" w:cs="宋体"/>
          <w:b/>
          <w:color w:val="auto"/>
          <w:sz w:val="24"/>
        </w:rPr>
        <w:t>供应商应将响应文件装订、密封，并在密封处加盖供应商公章。</w:t>
      </w:r>
    </w:p>
    <w:p>
      <w:pPr>
        <w:widowControl/>
        <w:spacing w:line="360" w:lineRule="auto"/>
        <w:ind w:firstLine="480" w:firstLineChars="200"/>
        <w:rPr>
          <w:rFonts w:ascii="宋体" w:hAnsi="宋体" w:cs="宋体"/>
          <w:color w:val="auto"/>
          <w:sz w:val="24"/>
        </w:rPr>
      </w:pPr>
      <w:r>
        <w:rPr>
          <w:rFonts w:hint="eastAsia" w:ascii="宋体" w:hAnsi="宋体" w:cs="宋体"/>
          <w:color w:val="auto"/>
          <w:sz w:val="24"/>
        </w:rPr>
        <w:t>22.3响应文件密封袋上均应写明“采购人”、“项目名称”、“磋商文件编号”、“供应商名称”和“地址”等事项并注明“开启前不准启封”等字样。</w:t>
      </w:r>
    </w:p>
    <w:p>
      <w:pPr>
        <w:widowControl/>
        <w:spacing w:line="360" w:lineRule="auto"/>
        <w:ind w:firstLine="480" w:firstLineChars="200"/>
        <w:rPr>
          <w:rFonts w:ascii="宋体" w:hAnsi="宋体" w:cs="宋体"/>
          <w:color w:val="auto"/>
          <w:sz w:val="24"/>
        </w:rPr>
      </w:pPr>
      <w:r>
        <w:rPr>
          <w:rFonts w:hint="eastAsia" w:ascii="宋体" w:hAnsi="宋体" w:cs="宋体"/>
          <w:color w:val="auto"/>
          <w:sz w:val="24"/>
        </w:rPr>
        <w:t>22.4未按本要求密封、标记的响应文件，采购人（或采购代理机构）不对后果负责。</w:t>
      </w:r>
    </w:p>
    <w:p>
      <w:pPr>
        <w:widowControl/>
        <w:spacing w:line="360" w:lineRule="auto"/>
        <w:ind w:firstLine="480" w:firstLineChars="200"/>
        <w:rPr>
          <w:rFonts w:ascii="宋体" w:hAnsi="宋体" w:cs="宋体"/>
          <w:color w:val="auto"/>
          <w:sz w:val="24"/>
        </w:rPr>
      </w:pPr>
      <w:bookmarkStart w:id="76" w:name="_Toc243907596"/>
      <w:bookmarkStart w:id="77" w:name="_Toc243906335"/>
      <w:bookmarkStart w:id="78" w:name="_Toc245897296"/>
      <w:bookmarkStart w:id="79" w:name="_Toc233274836"/>
      <w:r>
        <w:rPr>
          <w:rFonts w:hint="eastAsia" w:ascii="宋体" w:hAnsi="宋体" w:cs="宋体"/>
          <w:color w:val="auto"/>
          <w:sz w:val="24"/>
        </w:rPr>
        <w:t>23、递交响应文件截止时间</w:t>
      </w:r>
      <w:bookmarkEnd w:id="76"/>
      <w:bookmarkEnd w:id="77"/>
      <w:bookmarkEnd w:id="78"/>
      <w:bookmarkEnd w:id="79"/>
    </w:p>
    <w:p>
      <w:pPr>
        <w:widowControl/>
        <w:spacing w:line="360" w:lineRule="auto"/>
        <w:ind w:firstLine="480" w:firstLineChars="200"/>
        <w:rPr>
          <w:rFonts w:ascii="宋体" w:hAnsi="宋体" w:cs="宋体"/>
          <w:color w:val="auto"/>
          <w:sz w:val="24"/>
        </w:rPr>
      </w:pPr>
      <w:r>
        <w:rPr>
          <w:rFonts w:hint="eastAsia" w:ascii="宋体" w:hAnsi="宋体" w:cs="宋体"/>
          <w:color w:val="auto"/>
          <w:sz w:val="24"/>
        </w:rPr>
        <w:t>23.1 所有响应文件都必须按采购人在供应商须知前格式中规定的截止时间之前送达。</w:t>
      </w:r>
    </w:p>
    <w:p>
      <w:pPr>
        <w:widowControl/>
        <w:spacing w:line="360" w:lineRule="auto"/>
        <w:ind w:firstLine="480" w:firstLineChars="200"/>
        <w:rPr>
          <w:rFonts w:ascii="宋体" w:hAnsi="宋体" w:cs="宋体"/>
          <w:color w:val="auto"/>
          <w:sz w:val="24"/>
        </w:rPr>
      </w:pPr>
      <w:r>
        <w:rPr>
          <w:rFonts w:hint="eastAsia" w:ascii="宋体" w:hAnsi="宋体" w:cs="宋体"/>
          <w:color w:val="auto"/>
          <w:sz w:val="24"/>
        </w:rPr>
        <w:t>23.2出现因磋商文件的修改推迟截止日期时，则按采购代理机构修改通知规定的时间递交响应文件。在此情况下，采购人和采购代理机构与供应商之间受截止期制约的所有权利和义务应延长至新的截止期。</w:t>
      </w:r>
    </w:p>
    <w:p>
      <w:pPr>
        <w:widowControl/>
        <w:spacing w:line="360" w:lineRule="auto"/>
        <w:ind w:firstLine="480" w:firstLineChars="200"/>
        <w:rPr>
          <w:rFonts w:ascii="宋体" w:hAnsi="宋体" w:cs="宋体"/>
          <w:color w:val="auto"/>
          <w:sz w:val="24"/>
        </w:rPr>
      </w:pPr>
      <w:bookmarkStart w:id="80" w:name="_Toc243906336"/>
      <w:bookmarkStart w:id="81" w:name="_Toc233274837"/>
      <w:bookmarkStart w:id="82" w:name="_Toc245897297"/>
      <w:bookmarkStart w:id="83" w:name="_Toc243907597"/>
      <w:r>
        <w:rPr>
          <w:rFonts w:hint="eastAsia" w:ascii="宋体" w:hAnsi="宋体" w:cs="宋体"/>
          <w:color w:val="auto"/>
          <w:sz w:val="24"/>
        </w:rPr>
        <w:t>24、迟交的响应文件</w:t>
      </w:r>
      <w:bookmarkEnd w:id="80"/>
      <w:bookmarkEnd w:id="81"/>
      <w:bookmarkEnd w:id="82"/>
      <w:bookmarkEnd w:id="83"/>
    </w:p>
    <w:p>
      <w:pPr>
        <w:widowControl/>
        <w:spacing w:line="360" w:lineRule="auto"/>
        <w:ind w:firstLine="480" w:firstLineChars="200"/>
        <w:rPr>
          <w:rFonts w:ascii="宋体" w:hAnsi="宋体" w:cs="宋体"/>
          <w:color w:val="auto"/>
          <w:sz w:val="24"/>
        </w:rPr>
      </w:pPr>
      <w:r>
        <w:rPr>
          <w:rFonts w:hint="eastAsia" w:ascii="宋体" w:hAnsi="宋体" w:cs="宋体"/>
          <w:color w:val="auto"/>
          <w:sz w:val="24"/>
        </w:rPr>
        <w:t>24.1 采购人将拒绝并原封退回在其规定的截止时间后送达的响应文件。</w:t>
      </w:r>
    </w:p>
    <w:p>
      <w:pPr>
        <w:widowControl/>
        <w:spacing w:line="360" w:lineRule="auto"/>
        <w:ind w:firstLine="480" w:firstLineChars="200"/>
        <w:rPr>
          <w:rFonts w:ascii="宋体" w:hAnsi="宋体" w:cs="宋体"/>
          <w:color w:val="auto"/>
          <w:sz w:val="24"/>
        </w:rPr>
      </w:pPr>
      <w:bookmarkStart w:id="84" w:name="_Toc245897298"/>
      <w:bookmarkStart w:id="85" w:name="_Toc243907598"/>
      <w:bookmarkStart w:id="86" w:name="_Toc243906337"/>
      <w:bookmarkStart w:id="87" w:name="_Toc233274838"/>
      <w:r>
        <w:rPr>
          <w:rFonts w:hint="eastAsia" w:ascii="宋体" w:hAnsi="宋体" w:cs="宋体"/>
          <w:color w:val="auto"/>
          <w:sz w:val="24"/>
        </w:rPr>
        <w:t>25、响应文件的修改和撤回</w:t>
      </w:r>
      <w:bookmarkEnd w:id="84"/>
      <w:bookmarkEnd w:id="85"/>
      <w:bookmarkEnd w:id="86"/>
      <w:bookmarkEnd w:id="87"/>
    </w:p>
    <w:p>
      <w:pPr>
        <w:widowControl/>
        <w:spacing w:line="360" w:lineRule="auto"/>
        <w:ind w:firstLine="480" w:firstLineChars="200"/>
        <w:rPr>
          <w:rFonts w:ascii="宋体" w:hAnsi="宋体" w:cs="宋体"/>
          <w:color w:val="auto"/>
          <w:sz w:val="24"/>
        </w:rPr>
      </w:pPr>
      <w:r>
        <w:rPr>
          <w:rFonts w:hint="eastAsia" w:ascii="宋体" w:hAnsi="宋体" w:cs="宋体"/>
          <w:color w:val="auto"/>
          <w:sz w:val="24"/>
        </w:rPr>
        <w:t>25.1 供应商在提交响应文件后可在截止时间前对其响应文件进行修改或撤回，但采购人须在截止时间之前收到该修改或撤回的书面通知，该通知须有法定代表人或经有效授权的委托代理人签字或盖章。</w:t>
      </w:r>
    </w:p>
    <w:p>
      <w:pPr>
        <w:widowControl/>
        <w:spacing w:line="360" w:lineRule="auto"/>
        <w:ind w:firstLine="480" w:firstLineChars="200"/>
        <w:rPr>
          <w:rFonts w:ascii="宋体" w:hAnsi="宋体" w:cs="宋体"/>
          <w:color w:val="auto"/>
          <w:sz w:val="24"/>
        </w:rPr>
      </w:pPr>
      <w:r>
        <w:rPr>
          <w:rFonts w:hint="eastAsia" w:ascii="宋体" w:hAnsi="宋体" w:cs="宋体"/>
          <w:color w:val="auto"/>
          <w:sz w:val="24"/>
        </w:rPr>
        <w:t>25.2 供应商对响应文件修改的书面材料或撤回的通知应按第22条和第23条规定进行编写、密封、标记和递交，并注明“修改响应文件”或“撤回响应文件”字样。</w:t>
      </w:r>
    </w:p>
    <w:p>
      <w:pPr>
        <w:widowControl/>
        <w:spacing w:line="360" w:lineRule="auto"/>
        <w:ind w:firstLine="480" w:firstLineChars="200"/>
        <w:rPr>
          <w:rFonts w:ascii="宋体" w:hAnsi="宋体" w:cs="宋体"/>
          <w:color w:val="auto"/>
          <w:sz w:val="24"/>
        </w:rPr>
      </w:pPr>
      <w:r>
        <w:rPr>
          <w:rFonts w:hint="eastAsia" w:ascii="宋体" w:hAnsi="宋体" w:cs="宋体"/>
          <w:color w:val="auto"/>
          <w:sz w:val="24"/>
        </w:rPr>
        <w:t>25.3截止时间之后，供应商不得对响应文件做任何修改。</w:t>
      </w:r>
    </w:p>
    <w:p>
      <w:pPr>
        <w:widowControl/>
        <w:spacing w:line="360" w:lineRule="auto"/>
        <w:ind w:firstLine="480" w:firstLineChars="200"/>
        <w:rPr>
          <w:rFonts w:ascii="宋体" w:hAnsi="宋体" w:cs="宋体"/>
          <w:color w:val="auto"/>
          <w:sz w:val="24"/>
        </w:rPr>
      </w:pPr>
      <w:r>
        <w:rPr>
          <w:rFonts w:hint="eastAsia" w:ascii="宋体" w:hAnsi="宋体" w:cs="宋体"/>
          <w:color w:val="auto"/>
          <w:sz w:val="24"/>
        </w:rPr>
        <w:t>25.4 供应商不得在截止时间起至响应文件有效期期满前撤回响应文件。</w:t>
      </w:r>
    </w:p>
    <w:p>
      <w:pPr>
        <w:widowControl/>
        <w:spacing w:line="360" w:lineRule="auto"/>
        <w:ind w:firstLine="480" w:firstLineChars="200"/>
        <w:rPr>
          <w:rFonts w:ascii="宋体" w:hAnsi="宋体" w:cs="宋体"/>
          <w:color w:val="auto"/>
          <w:sz w:val="24"/>
        </w:rPr>
      </w:pPr>
      <w:bookmarkStart w:id="88" w:name="_Toc243906338"/>
      <w:bookmarkStart w:id="89" w:name="_Toc245897299"/>
      <w:bookmarkStart w:id="90" w:name="_Toc233274839"/>
      <w:bookmarkStart w:id="91" w:name="_Toc243907599"/>
      <w:r>
        <w:rPr>
          <w:rFonts w:hint="eastAsia" w:ascii="宋体" w:hAnsi="宋体" w:cs="宋体"/>
          <w:color w:val="auto"/>
          <w:sz w:val="24"/>
        </w:rPr>
        <w:t>26、递交响应文件</w:t>
      </w:r>
      <w:bookmarkEnd w:id="88"/>
      <w:bookmarkEnd w:id="89"/>
      <w:bookmarkEnd w:id="90"/>
      <w:bookmarkEnd w:id="91"/>
    </w:p>
    <w:p>
      <w:pPr>
        <w:widowControl/>
        <w:spacing w:line="360" w:lineRule="auto"/>
        <w:ind w:firstLine="480" w:firstLineChars="200"/>
        <w:rPr>
          <w:rFonts w:ascii="宋体" w:hAnsi="宋体" w:cs="宋体"/>
          <w:color w:val="auto"/>
          <w:sz w:val="24"/>
        </w:rPr>
      </w:pPr>
      <w:r>
        <w:rPr>
          <w:rFonts w:hint="eastAsia" w:ascii="宋体" w:hAnsi="宋体" w:cs="宋体"/>
          <w:color w:val="auto"/>
          <w:sz w:val="24"/>
        </w:rPr>
        <w:t>26.1供应商应按本供应商须知前格式第7项规定的时间及地点递交响应文件。</w:t>
      </w:r>
    </w:p>
    <w:p>
      <w:pPr>
        <w:spacing w:line="360" w:lineRule="auto"/>
        <w:ind w:firstLine="482" w:firstLineChars="200"/>
        <w:rPr>
          <w:rFonts w:ascii="宋体" w:hAnsi="宋体" w:cs="宋体"/>
          <w:b/>
          <w:color w:val="auto"/>
          <w:sz w:val="24"/>
        </w:rPr>
      </w:pPr>
      <w:r>
        <w:rPr>
          <w:rFonts w:hint="eastAsia" w:ascii="宋体" w:hAnsi="宋体" w:cs="宋体"/>
          <w:b/>
          <w:color w:val="auto"/>
          <w:sz w:val="24"/>
        </w:rPr>
        <w:t>26.2有下列情形之一的，采购人不予接收其响应文件：</w:t>
      </w:r>
    </w:p>
    <w:p>
      <w:pPr>
        <w:spacing w:line="360" w:lineRule="auto"/>
        <w:ind w:firstLine="480" w:firstLineChars="200"/>
        <w:rPr>
          <w:rFonts w:ascii="宋体" w:hAnsi="宋体" w:cs="宋体"/>
          <w:color w:val="auto"/>
          <w:sz w:val="24"/>
        </w:rPr>
      </w:pPr>
      <w:r>
        <w:rPr>
          <w:rFonts w:hint="eastAsia" w:ascii="宋体" w:hAnsi="宋体" w:cs="宋体"/>
          <w:color w:val="auto"/>
          <w:sz w:val="24"/>
        </w:rPr>
        <w:t>26.2.1供应商在递交响应文件截止时间后送达或未送达到指定地点的响应文件；</w:t>
      </w:r>
    </w:p>
    <w:p>
      <w:pPr>
        <w:spacing w:line="360" w:lineRule="auto"/>
        <w:ind w:firstLine="480" w:firstLineChars="200"/>
        <w:rPr>
          <w:rFonts w:ascii="宋体" w:hAnsi="宋体" w:cs="宋体"/>
          <w:color w:val="auto"/>
          <w:sz w:val="24"/>
        </w:rPr>
      </w:pPr>
      <w:r>
        <w:rPr>
          <w:rFonts w:hint="eastAsia" w:ascii="宋体" w:hAnsi="宋体" w:cs="宋体"/>
          <w:color w:val="auto"/>
          <w:sz w:val="24"/>
        </w:rPr>
        <w:t>26.2.2 响应文件未按磋商文件要求密封的。</w:t>
      </w:r>
    </w:p>
    <w:p>
      <w:pPr>
        <w:spacing w:line="360" w:lineRule="auto"/>
        <w:outlineLvl w:val="1"/>
        <w:rPr>
          <w:rFonts w:ascii="宋体" w:hAnsi="宋体" w:cs="宋体"/>
          <w:b/>
          <w:bCs/>
          <w:color w:val="auto"/>
          <w:sz w:val="24"/>
        </w:rPr>
      </w:pPr>
      <w:r>
        <w:rPr>
          <w:rFonts w:hint="eastAsia" w:ascii="宋体" w:hAnsi="宋体" w:cs="宋体"/>
          <w:b/>
          <w:bCs/>
          <w:color w:val="auto"/>
          <w:sz w:val="24"/>
        </w:rPr>
        <w:t>五、</w:t>
      </w:r>
      <w:bookmarkEnd w:id="71"/>
      <w:bookmarkEnd w:id="72"/>
      <w:bookmarkEnd w:id="73"/>
      <w:bookmarkEnd w:id="74"/>
      <w:bookmarkEnd w:id="75"/>
      <w:r>
        <w:rPr>
          <w:rFonts w:hint="eastAsia" w:ascii="宋体" w:hAnsi="宋体" w:cs="宋体"/>
          <w:b/>
          <w:bCs/>
          <w:color w:val="auto"/>
          <w:sz w:val="24"/>
        </w:rPr>
        <w:t>磋商、评审、确定成交供应商</w:t>
      </w:r>
    </w:p>
    <w:p>
      <w:pPr>
        <w:spacing w:line="360" w:lineRule="auto"/>
        <w:ind w:firstLine="480" w:firstLineChars="200"/>
        <w:outlineLvl w:val="1"/>
        <w:rPr>
          <w:rFonts w:ascii="宋体" w:hAnsi="宋体" w:cs="宋体"/>
          <w:color w:val="auto"/>
          <w:sz w:val="24"/>
        </w:rPr>
      </w:pPr>
      <w:bookmarkStart w:id="92" w:name="_Toc243906340"/>
      <w:bookmarkStart w:id="93" w:name="_Toc245897301"/>
      <w:bookmarkStart w:id="94" w:name="_Toc243907601"/>
      <w:bookmarkStart w:id="95" w:name="_Toc233274841"/>
      <w:bookmarkStart w:id="96" w:name="_Toc233274847"/>
      <w:bookmarkStart w:id="97" w:name="_Toc243907609"/>
      <w:bookmarkStart w:id="98" w:name="_Toc245897308"/>
      <w:bookmarkStart w:id="99" w:name="_Toc243906348"/>
      <w:bookmarkStart w:id="100" w:name="_Toc22731"/>
      <w:r>
        <w:rPr>
          <w:rFonts w:hint="eastAsia" w:ascii="宋体" w:hAnsi="宋体" w:cs="宋体"/>
          <w:color w:val="auto"/>
          <w:sz w:val="24"/>
        </w:rPr>
        <w:t>27、</w:t>
      </w:r>
      <w:bookmarkEnd w:id="92"/>
      <w:bookmarkEnd w:id="93"/>
      <w:bookmarkEnd w:id="94"/>
      <w:bookmarkEnd w:id="95"/>
      <w:r>
        <w:rPr>
          <w:rFonts w:hint="eastAsia" w:ascii="宋体" w:hAnsi="宋体" w:cs="宋体"/>
          <w:color w:val="auto"/>
          <w:sz w:val="24"/>
        </w:rPr>
        <w:t>磋商会议</w:t>
      </w:r>
    </w:p>
    <w:p>
      <w:pPr>
        <w:spacing w:line="360" w:lineRule="auto"/>
        <w:ind w:firstLine="480" w:firstLineChars="200"/>
        <w:rPr>
          <w:rFonts w:ascii="宋体" w:hAnsi="宋体" w:cs="宋体"/>
          <w:color w:val="auto"/>
          <w:sz w:val="24"/>
        </w:rPr>
      </w:pPr>
      <w:r>
        <w:rPr>
          <w:rFonts w:hint="eastAsia" w:ascii="宋体" w:hAnsi="宋体" w:cs="宋体"/>
          <w:color w:val="auto"/>
          <w:sz w:val="24"/>
        </w:rPr>
        <w:t>27.1采购人在本供应商须知前附表第8项规定的时间和地点组织磋商会议。</w:t>
      </w:r>
    </w:p>
    <w:p>
      <w:pPr>
        <w:spacing w:line="360" w:lineRule="auto"/>
        <w:ind w:firstLine="480" w:firstLineChars="200"/>
        <w:rPr>
          <w:rFonts w:ascii="宋体" w:hAnsi="宋体" w:cs="宋体"/>
          <w:color w:val="auto"/>
          <w:sz w:val="24"/>
        </w:rPr>
      </w:pPr>
      <w:r>
        <w:rPr>
          <w:rFonts w:hint="eastAsia" w:ascii="宋体" w:hAnsi="宋体" w:cs="宋体"/>
          <w:color w:val="auto"/>
          <w:sz w:val="24"/>
        </w:rPr>
        <w:t>27.2供应商应委派代表参加磋商会议。</w:t>
      </w:r>
      <w:r>
        <w:rPr>
          <w:rFonts w:hint="eastAsia" w:ascii="宋体" w:hAnsi="宋体" w:cs="宋体"/>
          <w:b/>
          <w:color w:val="auto"/>
          <w:sz w:val="24"/>
        </w:rPr>
        <w:t>参加磋商会议的代表应持有法定代表人身份证原件或法定代表人授权委托书及委托代理人身份证原件</w:t>
      </w:r>
      <w:r>
        <w:rPr>
          <w:rFonts w:hint="eastAsia" w:ascii="宋体" w:hAnsi="宋体" w:cs="宋体"/>
          <w:color w:val="auto"/>
          <w:sz w:val="24"/>
        </w:rPr>
        <w:t>。</w:t>
      </w:r>
    </w:p>
    <w:p>
      <w:pPr>
        <w:pStyle w:val="2"/>
        <w:ind w:firstLine="482" w:firstLineChars="200"/>
        <w:rPr>
          <w:rFonts w:ascii="宋体" w:hAnsi="宋体" w:cs="宋体"/>
          <w:b/>
          <w:color w:val="auto"/>
          <w:sz w:val="24"/>
        </w:rPr>
      </w:pPr>
      <w:r>
        <w:rPr>
          <w:rFonts w:hint="eastAsia" w:ascii="宋体" w:hAnsi="宋体" w:cs="宋体"/>
          <w:b/>
          <w:color w:val="auto"/>
          <w:sz w:val="24"/>
        </w:rPr>
        <w:t>27.3供应商法定代表人委托代理人须是本企业的人员。</w:t>
      </w:r>
    </w:p>
    <w:p>
      <w:pPr>
        <w:spacing w:line="360" w:lineRule="auto"/>
        <w:ind w:firstLine="480" w:firstLineChars="200"/>
        <w:rPr>
          <w:rFonts w:ascii="宋体" w:hAnsi="宋体" w:cs="宋体"/>
          <w:color w:val="auto"/>
          <w:sz w:val="24"/>
        </w:rPr>
      </w:pPr>
      <w:r>
        <w:rPr>
          <w:rFonts w:hint="eastAsia" w:ascii="宋体" w:hAnsi="宋体" w:cs="宋体"/>
          <w:color w:val="auto"/>
          <w:sz w:val="24"/>
        </w:rPr>
        <w:t>27.4磋商会议由采购代理机构组织并主持。</w:t>
      </w:r>
    </w:p>
    <w:p>
      <w:pPr>
        <w:spacing w:line="360" w:lineRule="auto"/>
        <w:ind w:firstLine="480" w:firstLineChars="200"/>
        <w:rPr>
          <w:rFonts w:ascii="宋体" w:hAnsi="宋体" w:cs="宋体"/>
          <w:color w:val="auto"/>
          <w:sz w:val="24"/>
        </w:rPr>
      </w:pPr>
      <w:r>
        <w:rPr>
          <w:rFonts w:hint="eastAsia" w:ascii="宋体" w:hAnsi="宋体" w:cs="宋体"/>
          <w:color w:val="auto"/>
          <w:sz w:val="24"/>
        </w:rPr>
        <w:t>27.5在磋商过程中，工作人员如发现响应文件组成部分不齐全，由磋商小组认定其有效性。磋商小组认定的无效响应文件将不进入磋商、评审阶段。</w:t>
      </w:r>
    </w:p>
    <w:p>
      <w:pPr>
        <w:spacing w:line="360" w:lineRule="auto"/>
        <w:ind w:firstLine="480" w:firstLineChars="200"/>
        <w:outlineLvl w:val="1"/>
        <w:rPr>
          <w:rFonts w:ascii="宋体" w:hAnsi="宋体" w:cs="宋体"/>
          <w:color w:val="auto"/>
          <w:sz w:val="24"/>
        </w:rPr>
      </w:pPr>
      <w:bookmarkStart w:id="101" w:name="_Toc243906341"/>
      <w:bookmarkStart w:id="102" w:name="_Toc245897302"/>
      <w:bookmarkStart w:id="103" w:name="_Toc243907602"/>
      <w:bookmarkStart w:id="104" w:name="_Toc233274842"/>
      <w:bookmarkStart w:id="105" w:name="_Toc243906344"/>
      <w:bookmarkStart w:id="106" w:name="_Toc233274843"/>
      <w:bookmarkStart w:id="107" w:name="_Toc243907605"/>
      <w:bookmarkStart w:id="108" w:name="_Toc245897304"/>
      <w:r>
        <w:rPr>
          <w:rFonts w:hint="eastAsia" w:ascii="宋体" w:hAnsi="宋体" w:cs="宋体"/>
          <w:color w:val="auto"/>
          <w:sz w:val="24"/>
        </w:rPr>
        <w:t>28、磋商小组</w:t>
      </w:r>
      <w:bookmarkEnd w:id="101"/>
      <w:bookmarkEnd w:id="102"/>
      <w:bookmarkEnd w:id="103"/>
      <w:bookmarkEnd w:id="104"/>
    </w:p>
    <w:p>
      <w:pPr>
        <w:widowControl/>
        <w:spacing w:line="360" w:lineRule="auto"/>
        <w:ind w:firstLine="480" w:firstLineChars="200"/>
        <w:rPr>
          <w:rFonts w:ascii="宋体" w:hAnsi="宋体" w:cs="宋体"/>
          <w:color w:val="auto"/>
          <w:sz w:val="24"/>
        </w:rPr>
      </w:pPr>
      <w:r>
        <w:rPr>
          <w:rFonts w:hint="eastAsia" w:ascii="宋体" w:hAnsi="宋体" w:cs="宋体"/>
          <w:color w:val="auto"/>
          <w:sz w:val="24"/>
        </w:rPr>
        <w:t>28.1磋商小组成员组成：按照《中华人民共和国政府采购法》、《中华人民共和国政府采购实施条例》、《政府采购竞争性磋商采购方式管理暂行办法》（中华人民共和国财政部文件财库[2014]214号）及相关法律、法规规定组建，由采购人代表和评审专家组成。磋商小组将负责对供应商提交的响应文件进行磋商、评审，确保磋商、评审过程公正、合法、保密，并向采购人推荐成交候选供应商。</w:t>
      </w:r>
    </w:p>
    <w:p>
      <w:pPr>
        <w:widowControl/>
        <w:spacing w:line="360" w:lineRule="auto"/>
        <w:ind w:firstLine="480" w:firstLineChars="200"/>
        <w:rPr>
          <w:rFonts w:ascii="宋体" w:hAnsi="宋体" w:cs="宋体"/>
          <w:color w:val="auto"/>
          <w:sz w:val="24"/>
        </w:rPr>
      </w:pPr>
      <w:r>
        <w:rPr>
          <w:rFonts w:hint="eastAsia" w:ascii="宋体" w:hAnsi="宋体" w:cs="宋体"/>
          <w:color w:val="auto"/>
          <w:sz w:val="24"/>
        </w:rPr>
        <w:t>29、磋商</w:t>
      </w:r>
    </w:p>
    <w:p>
      <w:pPr>
        <w:widowControl/>
        <w:spacing w:line="360" w:lineRule="auto"/>
        <w:ind w:firstLine="480" w:firstLineChars="200"/>
        <w:rPr>
          <w:rFonts w:ascii="宋体" w:hAnsi="宋体" w:cs="宋体"/>
          <w:color w:val="auto"/>
          <w:sz w:val="24"/>
        </w:rPr>
      </w:pPr>
      <w:r>
        <w:rPr>
          <w:rFonts w:hint="eastAsia" w:ascii="宋体" w:hAnsi="宋体" w:cs="宋体"/>
          <w:color w:val="auto"/>
          <w:sz w:val="24"/>
        </w:rPr>
        <w:t>29.1磋商小组所有成员集中与单一供应商分别进行磋商。供应商应由法定代表人或法定代表人授权的供应商代表及专业技术人员参与磋商。供应商所作的重要答复均应以书面形式予以补充，并经法定代表人或授权人签署，作为响应文件的一部分，对供应商具有约束力，但不得对磋商内容进行实质性修改。在磋商中，磋商的任何一方不得透露与磋商有关的其他供应商的技术资料和其他信息。</w:t>
      </w:r>
    </w:p>
    <w:p>
      <w:pPr>
        <w:widowControl/>
        <w:spacing w:line="360" w:lineRule="auto"/>
        <w:ind w:firstLine="480" w:firstLineChars="200"/>
        <w:rPr>
          <w:rFonts w:ascii="宋体" w:hAnsi="宋体" w:cs="宋体"/>
          <w:color w:val="auto"/>
          <w:sz w:val="24"/>
        </w:rPr>
      </w:pPr>
      <w:r>
        <w:rPr>
          <w:rFonts w:hint="eastAsia" w:ascii="宋体" w:hAnsi="宋体" w:cs="宋体"/>
          <w:color w:val="auto"/>
          <w:sz w:val="24"/>
        </w:rPr>
        <w:t>29.2在磋商小组与各供应商进行了相同轮次的磋商后，为了更好地实现采购目标，磋商小组可以修改磋商文件，但涉及实质性变动的，将以书面形式通知所有参加磋商的供应商。供应商收到修改磋商文件的通知后，可以决定是否继续参加磋商活动。</w:t>
      </w:r>
    </w:p>
    <w:p>
      <w:pPr>
        <w:widowControl/>
        <w:spacing w:line="360" w:lineRule="auto"/>
        <w:ind w:firstLine="480" w:firstLineChars="200"/>
        <w:rPr>
          <w:rFonts w:ascii="宋体" w:hAnsi="宋体" w:cs="宋体"/>
          <w:color w:val="auto"/>
          <w:sz w:val="24"/>
        </w:rPr>
      </w:pPr>
      <w:r>
        <w:rPr>
          <w:rFonts w:hint="eastAsia" w:ascii="宋体" w:hAnsi="宋体" w:cs="宋体"/>
          <w:color w:val="auto"/>
          <w:sz w:val="24"/>
        </w:rPr>
        <w:t>29.3供应商应当按照磋商文件的变动情况和磋商小组的要求重新提交响应文件，并由其法定代表人或委托代理人签字或者加盖公章。由委托代理人签字的，应当附法定代表人授权书。</w:t>
      </w:r>
    </w:p>
    <w:p>
      <w:pPr>
        <w:widowControl/>
        <w:spacing w:line="360" w:lineRule="auto"/>
        <w:ind w:firstLine="480" w:firstLineChars="200"/>
        <w:rPr>
          <w:rFonts w:ascii="宋体" w:hAnsi="宋体" w:cs="宋体"/>
          <w:color w:val="auto"/>
          <w:sz w:val="24"/>
        </w:rPr>
      </w:pPr>
      <w:r>
        <w:rPr>
          <w:rFonts w:hint="eastAsia" w:ascii="宋体" w:hAnsi="宋体" w:cs="宋体"/>
          <w:color w:val="auto"/>
          <w:sz w:val="24"/>
        </w:rPr>
        <w:t>29.4磋商文件能够详细列明采购标的的技术、服务要求的，磋商小组在磋商结束后，磋商小组应当要求所有实质性响应的供应商在规定时间内提交最后报价，最后报价是供应商响应文件的有效组成部分。</w:t>
      </w:r>
    </w:p>
    <w:p>
      <w:pPr>
        <w:widowControl/>
        <w:spacing w:line="360" w:lineRule="auto"/>
        <w:ind w:firstLine="480" w:firstLineChars="200"/>
        <w:rPr>
          <w:rFonts w:ascii="宋体" w:hAnsi="宋体" w:cs="宋体"/>
          <w:color w:val="auto"/>
          <w:sz w:val="24"/>
        </w:rPr>
      </w:pPr>
      <w:r>
        <w:rPr>
          <w:rFonts w:hint="eastAsia" w:ascii="宋体" w:hAnsi="宋体" w:cs="宋体"/>
          <w:color w:val="auto"/>
          <w:sz w:val="24"/>
        </w:rPr>
        <w:t>29.5磋商文件不能详细列明采购标的的技术、服务要求，需经磋商由供应商提供最终整修方案或解决方案的，磋商结束后，磋商小组应当按照少数服从多数的原则投票推荐3家以上供应商的整修方案或者解决方案，并要求其在规定时间内提交最后报价。</w:t>
      </w:r>
    </w:p>
    <w:p>
      <w:pPr>
        <w:widowControl/>
        <w:spacing w:line="360" w:lineRule="auto"/>
        <w:ind w:firstLine="480" w:firstLineChars="200"/>
        <w:rPr>
          <w:rFonts w:ascii="宋体" w:hAnsi="宋体" w:cs="宋体"/>
          <w:color w:val="auto"/>
          <w:sz w:val="24"/>
        </w:rPr>
      </w:pPr>
      <w:r>
        <w:rPr>
          <w:rFonts w:hint="eastAsia" w:ascii="宋体" w:hAnsi="宋体" w:cs="宋体"/>
          <w:color w:val="auto"/>
          <w:sz w:val="24"/>
        </w:rPr>
        <w:t>29.6已提交响应文件的供应商，在提交最后报价之前，可以根据磋商情况退出磋商。</w:t>
      </w:r>
    </w:p>
    <w:p>
      <w:pPr>
        <w:spacing w:line="360" w:lineRule="auto"/>
        <w:ind w:firstLine="480" w:firstLineChars="200"/>
        <w:rPr>
          <w:rFonts w:ascii="宋体" w:hAnsi="宋体" w:cs="宋体"/>
          <w:color w:val="auto"/>
          <w:sz w:val="24"/>
        </w:rPr>
      </w:pPr>
      <w:r>
        <w:rPr>
          <w:rFonts w:hint="eastAsia" w:ascii="宋体" w:hAnsi="宋体" w:cs="宋体"/>
          <w:color w:val="auto"/>
          <w:sz w:val="24"/>
        </w:rPr>
        <w:t>29.7磋商小组判断响应文件的响应性仅基于响应文件本身而不依靠任何外部证据，但响应文件有不真实、不正确的内容除外。</w:t>
      </w:r>
    </w:p>
    <w:p>
      <w:pPr>
        <w:spacing w:line="360" w:lineRule="auto"/>
        <w:ind w:firstLine="480" w:firstLineChars="200"/>
        <w:outlineLvl w:val="1"/>
        <w:rPr>
          <w:rFonts w:ascii="宋体" w:hAnsi="宋体" w:cs="宋体"/>
          <w:color w:val="auto"/>
          <w:sz w:val="24"/>
        </w:rPr>
      </w:pPr>
      <w:r>
        <w:rPr>
          <w:rFonts w:hint="eastAsia" w:ascii="宋体" w:hAnsi="宋体" w:cs="宋体"/>
          <w:color w:val="auto"/>
          <w:sz w:val="24"/>
        </w:rPr>
        <w:t>29.8如果响应文件实质上没有响应磋商文件的要求，磋商小组将予以拒绝，供应商不得通过修正或撤消不符合要求的偏离或保留，而使其成为实质上响应。</w:t>
      </w:r>
    </w:p>
    <w:bookmarkEnd w:id="105"/>
    <w:bookmarkEnd w:id="106"/>
    <w:bookmarkEnd w:id="107"/>
    <w:bookmarkEnd w:id="108"/>
    <w:p>
      <w:pPr>
        <w:spacing w:line="360" w:lineRule="auto"/>
        <w:ind w:firstLine="480" w:firstLineChars="200"/>
        <w:outlineLvl w:val="1"/>
        <w:rPr>
          <w:rFonts w:ascii="宋体" w:hAnsi="宋体" w:cs="宋体"/>
          <w:color w:val="auto"/>
          <w:sz w:val="24"/>
        </w:rPr>
      </w:pPr>
      <w:bookmarkStart w:id="109" w:name="_Toc243906345"/>
      <w:bookmarkStart w:id="110" w:name="_Toc224620071"/>
      <w:bookmarkStart w:id="111" w:name="_Toc224624628"/>
      <w:bookmarkStart w:id="112" w:name="_Toc224624488"/>
      <w:bookmarkStart w:id="113" w:name="_Toc224624767"/>
      <w:bookmarkStart w:id="114" w:name="_Toc243907606"/>
      <w:bookmarkStart w:id="115" w:name="_Toc224623451"/>
      <w:bookmarkStart w:id="116" w:name="_Toc245897305"/>
      <w:bookmarkStart w:id="117" w:name="_Toc224622928"/>
      <w:bookmarkStart w:id="118" w:name="_Toc224623557"/>
      <w:bookmarkStart w:id="119" w:name="_Toc224623663"/>
      <w:bookmarkStart w:id="120" w:name="_Toc224620150"/>
      <w:r>
        <w:rPr>
          <w:rFonts w:hint="eastAsia" w:ascii="宋体" w:hAnsi="宋体" w:cs="宋体"/>
          <w:color w:val="auto"/>
          <w:sz w:val="24"/>
        </w:rPr>
        <w:t>30、评审</w:t>
      </w:r>
    </w:p>
    <w:p>
      <w:pPr>
        <w:spacing w:line="360" w:lineRule="auto"/>
        <w:ind w:firstLine="480" w:firstLineChars="200"/>
        <w:outlineLvl w:val="1"/>
        <w:rPr>
          <w:rFonts w:ascii="宋体" w:hAnsi="宋体" w:cs="宋体"/>
          <w:b/>
          <w:bCs/>
          <w:color w:val="auto"/>
          <w:sz w:val="24"/>
        </w:rPr>
      </w:pPr>
      <w:r>
        <w:rPr>
          <w:rFonts w:hint="eastAsia" w:ascii="宋体" w:hAnsi="宋体" w:cs="宋体"/>
          <w:color w:val="auto"/>
          <w:sz w:val="24"/>
        </w:rPr>
        <w:t>30.1经磋商确定最终采购需求和提交最后报价的供应商后，</w:t>
      </w:r>
      <w:r>
        <w:rPr>
          <w:rFonts w:hint="eastAsia" w:ascii="宋体" w:hAnsi="宋体" w:cs="宋体"/>
          <w:b/>
          <w:bCs/>
          <w:color w:val="auto"/>
          <w:sz w:val="24"/>
        </w:rPr>
        <w:t>由磋商小组采用综合评分法对提交最后报价的供应商响应文件和最后报价进行综合评分。</w:t>
      </w:r>
    </w:p>
    <w:p>
      <w:pPr>
        <w:spacing w:line="360" w:lineRule="auto"/>
        <w:ind w:firstLine="480" w:firstLineChars="200"/>
        <w:rPr>
          <w:rFonts w:ascii="宋体" w:hAnsi="宋体" w:cs="宋体"/>
          <w:color w:val="auto"/>
          <w:sz w:val="24"/>
        </w:rPr>
      </w:pPr>
      <w:r>
        <w:rPr>
          <w:rFonts w:hint="eastAsia" w:ascii="宋体" w:hAnsi="宋体" w:cs="宋体"/>
          <w:color w:val="auto"/>
          <w:sz w:val="24"/>
        </w:rPr>
        <w:t>30.2磋商小组将对实质性响应磋商文件的响应文件进行详细评审和比较。对技术要求、价格等进行比较，并与磋商文件、项目采购需求和采购人的实际需要进行比较和评价。</w:t>
      </w:r>
    </w:p>
    <w:p>
      <w:pPr>
        <w:spacing w:line="360" w:lineRule="auto"/>
        <w:ind w:firstLine="480" w:firstLineChars="200"/>
        <w:rPr>
          <w:rFonts w:ascii="宋体" w:hAnsi="宋体" w:cs="宋体"/>
          <w:color w:val="auto"/>
          <w:sz w:val="24"/>
        </w:rPr>
      </w:pPr>
      <w:r>
        <w:rPr>
          <w:rFonts w:hint="eastAsia" w:ascii="宋体" w:hAnsi="宋体" w:cs="宋体"/>
          <w:color w:val="auto"/>
          <w:sz w:val="24"/>
        </w:rPr>
        <w:t>30.3商务报价错误的修正</w:t>
      </w:r>
    </w:p>
    <w:p>
      <w:pPr>
        <w:spacing w:line="360" w:lineRule="auto"/>
        <w:ind w:firstLine="480" w:firstLineChars="200"/>
        <w:rPr>
          <w:rFonts w:ascii="宋体" w:hAnsi="宋体" w:cs="宋体"/>
          <w:color w:val="auto"/>
          <w:sz w:val="24"/>
        </w:rPr>
      </w:pPr>
      <w:r>
        <w:rPr>
          <w:rFonts w:hint="eastAsia" w:ascii="宋体" w:hAnsi="宋体" w:cs="宋体"/>
          <w:color w:val="auto"/>
          <w:sz w:val="24"/>
        </w:rPr>
        <w:t>如果发现商务报价存在计算或表达上错误，则按下列原则进行修正：</w:t>
      </w:r>
    </w:p>
    <w:p>
      <w:pPr>
        <w:spacing w:line="360" w:lineRule="auto"/>
        <w:ind w:firstLine="480" w:firstLineChars="200"/>
        <w:rPr>
          <w:rFonts w:ascii="宋体" w:hAnsi="宋体" w:cs="宋体"/>
          <w:color w:val="auto"/>
          <w:sz w:val="24"/>
        </w:rPr>
      </w:pPr>
      <w:r>
        <w:rPr>
          <w:rFonts w:hint="eastAsia" w:ascii="宋体" w:hAnsi="宋体" w:cs="宋体"/>
          <w:color w:val="auto"/>
          <w:sz w:val="24"/>
        </w:rPr>
        <w:t>（1）用数字表示的数额与用文字表示的数额不一致时，以文字数额为准；</w:t>
      </w:r>
    </w:p>
    <w:p>
      <w:pPr>
        <w:spacing w:line="360" w:lineRule="auto"/>
        <w:ind w:firstLine="480" w:firstLineChars="200"/>
        <w:rPr>
          <w:rFonts w:ascii="宋体" w:hAnsi="宋体" w:cs="宋体"/>
          <w:color w:val="auto"/>
          <w:sz w:val="24"/>
        </w:rPr>
      </w:pPr>
      <w:r>
        <w:rPr>
          <w:rFonts w:hint="eastAsia" w:ascii="宋体" w:hAnsi="宋体" w:cs="宋体"/>
          <w:color w:val="auto"/>
          <w:sz w:val="24"/>
        </w:rPr>
        <w:t>（2）单价与工程量的乘积与总价之间不一致时，以单价为准。若单价有明显小数点错位，应以总价为准，并修改单价。</w:t>
      </w:r>
    </w:p>
    <w:p>
      <w:pPr>
        <w:spacing w:line="360" w:lineRule="auto"/>
        <w:ind w:firstLine="480" w:firstLineChars="200"/>
        <w:rPr>
          <w:rFonts w:ascii="宋体" w:hAnsi="宋体" w:cs="宋体"/>
          <w:color w:val="auto"/>
          <w:sz w:val="24"/>
        </w:rPr>
      </w:pPr>
      <w:r>
        <w:rPr>
          <w:rFonts w:hint="eastAsia" w:ascii="宋体" w:hAnsi="宋体" w:cs="宋体"/>
          <w:color w:val="auto"/>
          <w:sz w:val="24"/>
        </w:rPr>
        <w:t>30.4磋商小组将按第30.3条原则修正商务报价，并要求供应商进行确认。确认后的报价和文件将对供应商具有约束力。并以修正后的报价作为评审的依据。</w:t>
      </w:r>
    </w:p>
    <w:bookmarkEnd w:id="109"/>
    <w:bookmarkEnd w:id="110"/>
    <w:bookmarkEnd w:id="111"/>
    <w:bookmarkEnd w:id="112"/>
    <w:bookmarkEnd w:id="113"/>
    <w:bookmarkEnd w:id="114"/>
    <w:bookmarkEnd w:id="115"/>
    <w:bookmarkEnd w:id="116"/>
    <w:bookmarkEnd w:id="117"/>
    <w:bookmarkEnd w:id="118"/>
    <w:bookmarkEnd w:id="119"/>
    <w:bookmarkEnd w:id="120"/>
    <w:p>
      <w:pPr>
        <w:spacing w:line="360" w:lineRule="auto"/>
        <w:ind w:firstLine="480" w:firstLineChars="200"/>
        <w:outlineLvl w:val="1"/>
        <w:rPr>
          <w:rFonts w:ascii="宋体" w:hAnsi="宋体" w:cs="宋体"/>
          <w:color w:val="auto"/>
          <w:sz w:val="24"/>
        </w:rPr>
      </w:pPr>
      <w:r>
        <w:rPr>
          <w:rFonts w:hint="eastAsia" w:ascii="宋体" w:hAnsi="宋体" w:cs="宋体"/>
          <w:color w:val="auto"/>
          <w:sz w:val="24"/>
        </w:rPr>
        <w:t>31、响应文件的澄清</w:t>
      </w:r>
    </w:p>
    <w:p>
      <w:pPr>
        <w:spacing w:line="360" w:lineRule="auto"/>
        <w:ind w:firstLine="480" w:firstLineChars="200"/>
        <w:rPr>
          <w:rFonts w:ascii="宋体" w:hAnsi="宋体" w:cs="宋体"/>
          <w:color w:val="auto"/>
          <w:sz w:val="24"/>
        </w:rPr>
      </w:pPr>
      <w:r>
        <w:rPr>
          <w:rFonts w:hint="eastAsia" w:ascii="宋体" w:hAnsi="宋体" w:cs="宋体"/>
          <w:color w:val="auto"/>
          <w:sz w:val="24"/>
        </w:rPr>
        <w:t>31.1为有助于对响应文件的审查、评价和比较，磋商小组在评审过程中有权随时请供应商对其响应文件进行澄清，有关澄清的要求和答复应以书面形式提交，供应商对澄清问题的书面答复应有法定代表人或委托代理人签字或盖章，但不得寻求、提供或允许对最后报价或响应文件中的其他实质性内容做任何更改。</w:t>
      </w:r>
    </w:p>
    <w:p>
      <w:pPr>
        <w:spacing w:line="360" w:lineRule="auto"/>
        <w:ind w:firstLine="480" w:firstLineChars="200"/>
        <w:rPr>
          <w:rFonts w:ascii="宋体" w:hAnsi="宋体" w:cs="宋体"/>
          <w:color w:val="auto"/>
          <w:sz w:val="24"/>
        </w:rPr>
      </w:pPr>
      <w:r>
        <w:rPr>
          <w:rFonts w:hint="eastAsia" w:ascii="宋体" w:hAnsi="宋体" w:cs="宋体"/>
          <w:color w:val="auto"/>
          <w:sz w:val="24"/>
        </w:rPr>
        <w:t>31.2供应商法定代表人或委托代理人在评审过程中应保证随时接受磋商小组质询。若供应商法定代表人或委托代理人因故不能接受质询，其响应文件仍有效，但应视为供应商已默认磋商小组对缺席的质询所作出的结论。</w:t>
      </w:r>
    </w:p>
    <w:p>
      <w:pPr>
        <w:spacing w:line="360" w:lineRule="auto"/>
        <w:ind w:firstLine="480" w:firstLineChars="200"/>
        <w:rPr>
          <w:rFonts w:ascii="宋体" w:hAnsi="宋体" w:cs="宋体"/>
          <w:color w:val="auto"/>
          <w:sz w:val="24"/>
        </w:rPr>
      </w:pPr>
      <w:r>
        <w:rPr>
          <w:rFonts w:hint="eastAsia" w:ascii="宋体" w:hAnsi="宋体" w:cs="宋体"/>
          <w:color w:val="auto"/>
          <w:sz w:val="24"/>
        </w:rPr>
        <w:t>31.3 磋商小组允许供应商通过澄清答复修正其最后报价中不构成重大偏离的、微小的、非正规的、不一致的或不规范的地方，但这些修正不能影响任何供应商的相关名次排列。</w:t>
      </w:r>
    </w:p>
    <w:p>
      <w:pPr>
        <w:spacing w:line="360" w:lineRule="auto"/>
        <w:ind w:firstLine="482" w:firstLineChars="200"/>
        <w:rPr>
          <w:rFonts w:ascii="宋体" w:hAnsi="宋体" w:cs="宋体"/>
          <w:color w:val="auto"/>
          <w:sz w:val="24"/>
        </w:rPr>
      </w:pPr>
      <w:r>
        <w:rPr>
          <w:rFonts w:hint="eastAsia" w:ascii="宋体" w:hAnsi="宋体" w:cs="宋体"/>
          <w:b/>
          <w:color w:val="auto"/>
          <w:sz w:val="24"/>
        </w:rPr>
        <w:t>31.4如果供应商在响应文件中未对磋商文件、技术规格及标准、项目采购需求、合同主要内容等提出偏离意见或澄清，将视同供应商同意上述文件的全部条款和要求。</w:t>
      </w:r>
    </w:p>
    <w:p>
      <w:pPr>
        <w:spacing w:line="360" w:lineRule="auto"/>
        <w:ind w:firstLine="482" w:firstLineChars="200"/>
        <w:outlineLvl w:val="1"/>
        <w:rPr>
          <w:rFonts w:ascii="宋体" w:hAnsi="宋体" w:cs="宋体"/>
          <w:color w:val="auto"/>
          <w:sz w:val="24"/>
        </w:rPr>
      </w:pPr>
      <w:bookmarkStart w:id="121" w:name="_Toc245897306"/>
      <w:bookmarkStart w:id="122" w:name="_Toc243907607"/>
      <w:bookmarkStart w:id="123" w:name="_Toc233274845"/>
      <w:bookmarkStart w:id="124" w:name="_Toc243906346"/>
      <w:r>
        <w:rPr>
          <w:rFonts w:hint="eastAsia" w:ascii="宋体" w:hAnsi="宋体" w:cs="宋体"/>
          <w:b/>
          <w:color w:val="auto"/>
          <w:sz w:val="24"/>
        </w:rPr>
        <w:t>32、重大偏离</w:t>
      </w:r>
      <w:bookmarkEnd w:id="121"/>
      <w:bookmarkEnd w:id="122"/>
      <w:bookmarkEnd w:id="123"/>
      <w:bookmarkEnd w:id="124"/>
    </w:p>
    <w:p>
      <w:pPr>
        <w:spacing w:line="360" w:lineRule="auto"/>
        <w:ind w:firstLine="482" w:firstLineChars="200"/>
        <w:rPr>
          <w:rFonts w:ascii="宋体" w:hAnsi="宋体" w:cs="宋体"/>
          <w:b/>
          <w:color w:val="auto"/>
          <w:sz w:val="24"/>
        </w:rPr>
      </w:pPr>
      <w:bookmarkStart w:id="125" w:name="_Toc233274846"/>
      <w:bookmarkStart w:id="126" w:name="_Toc243907608"/>
      <w:bookmarkStart w:id="127" w:name="_Toc243906347"/>
      <w:bookmarkStart w:id="128" w:name="_Toc245897307"/>
      <w:r>
        <w:rPr>
          <w:rFonts w:hint="eastAsia" w:ascii="宋体" w:hAnsi="宋体" w:cs="宋体"/>
          <w:b/>
          <w:color w:val="auto"/>
          <w:sz w:val="24"/>
        </w:rPr>
        <w:t>重大偏离是指实质上影响合同的采购范围、服务时间、质量和性能等，或者实质上不满足磋商文件的要求，而且限制了采购人的权力或减轻了供应商的义务。纠正或承认这些偏离将会对其他实质上响应要求的供应商合理的竞争地位产生不公正的影响。</w:t>
      </w:r>
    </w:p>
    <w:p>
      <w:pPr>
        <w:spacing w:line="360" w:lineRule="auto"/>
        <w:ind w:firstLine="482" w:firstLineChars="200"/>
        <w:outlineLvl w:val="1"/>
        <w:rPr>
          <w:rFonts w:ascii="宋体" w:hAnsi="宋体" w:cs="宋体"/>
          <w:b/>
          <w:color w:val="auto"/>
          <w:sz w:val="24"/>
        </w:rPr>
      </w:pPr>
      <w:r>
        <w:rPr>
          <w:rFonts w:hint="eastAsia" w:ascii="宋体" w:hAnsi="宋体" w:cs="宋体"/>
          <w:b/>
          <w:color w:val="auto"/>
          <w:sz w:val="24"/>
        </w:rPr>
        <w:t>33、</w:t>
      </w:r>
      <w:bookmarkEnd w:id="125"/>
      <w:bookmarkEnd w:id="126"/>
      <w:bookmarkEnd w:id="127"/>
      <w:bookmarkEnd w:id="128"/>
      <w:r>
        <w:rPr>
          <w:rFonts w:hint="eastAsia" w:ascii="宋体" w:hAnsi="宋体" w:cs="宋体"/>
          <w:b/>
          <w:color w:val="auto"/>
          <w:sz w:val="24"/>
        </w:rPr>
        <w:t>无效响应文件</w:t>
      </w:r>
    </w:p>
    <w:p>
      <w:pPr>
        <w:spacing w:line="360" w:lineRule="auto"/>
        <w:ind w:firstLine="482" w:firstLineChars="200"/>
        <w:rPr>
          <w:rFonts w:ascii="宋体" w:hAnsi="宋体" w:cs="宋体"/>
          <w:b/>
          <w:color w:val="auto"/>
          <w:sz w:val="24"/>
        </w:rPr>
      </w:pPr>
      <w:r>
        <w:rPr>
          <w:rFonts w:hint="eastAsia" w:ascii="宋体" w:hAnsi="宋体" w:cs="宋体"/>
          <w:b/>
          <w:color w:val="auto"/>
          <w:sz w:val="24"/>
        </w:rPr>
        <w:t>响应文件有下列情形之一的，由磋商小组评审后按无效响应文件处理：</w:t>
      </w:r>
    </w:p>
    <w:p>
      <w:pPr>
        <w:spacing w:line="360" w:lineRule="auto"/>
        <w:ind w:firstLine="480" w:firstLineChars="200"/>
        <w:rPr>
          <w:rFonts w:ascii="宋体" w:hAnsi="宋体" w:cs="宋体"/>
          <w:color w:val="auto"/>
          <w:sz w:val="24"/>
        </w:rPr>
      </w:pPr>
      <w:r>
        <w:rPr>
          <w:rFonts w:hint="eastAsia" w:ascii="宋体" w:hAnsi="宋体" w:cs="宋体"/>
          <w:color w:val="auto"/>
          <w:sz w:val="24"/>
        </w:rPr>
        <w:t>33.1</w:t>
      </w:r>
      <w:r>
        <w:rPr>
          <w:rFonts w:hint="eastAsia" w:ascii="宋体" w:hAnsi="宋体" w:cs="宋体"/>
          <w:b/>
          <w:color w:val="auto"/>
          <w:kern w:val="0"/>
          <w:sz w:val="24"/>
        </w:rPr>
        <w:t>供应商的商务报价高于采购项目预算；</w:t>
      </w:r>
    </w:p>
    <w:p>
      <w:pPr>
        <w:spacing w:line="360" w:lineRule="auto"/>
        <w:ind w:firstLine="480" w:firstLineChars="200"/>
        <w:rPr>
          <w:rFonts w:ascii="宋体" w:hAnsi="宋体" w:cs="宋体"/>
          <w:color w:val="auto"/>
          <w:sz w:val="24"/>
        </w:rPr>
      </w:pPr>
      <w:r>
        <w:rPr>
          <w:rFonts w:hint="eastAsia" w:ascii="宋体" w:hAnsi="宋体" w:cs="宋体"/>
          <w:color w:val="auto"/>
          <w:sz w:val="24"/>
        </w:rPr>
        <w:t>33.2响应文件附有采购人不能接受条件的；</w:t>
      </w:r>
    </w:p>
    <w:p>
      <w:pPr>
        <w:widowControl/>
        <w:spacing w:line="360" w:lineRule="auto"/>
        <w:ind w:firstLine="480" w:firstLineChars="200"/>
        <w:rPr>
          <w:rFonts w:ascii="宋体" w:hAnsi="宋体" w:cs="宋体"/>
          <w:color w:val="auto"/>
          <w:sz w:val="24"/>
        </w:rPr>
      </w:pPr>
      <w:r>
        <w:rPr>
          <w:rFonts w:hint="eastAsia" w:ascii="宋体" w:hAnsi="宋体" w:cs="宋体"/>
          <w:color w:val="auto"/>
          <w:sz w:val="24"/>
        </w:rPr>
        <w:t>33.3出现重大偏离的；</w:t>
      </w:r>
    </w:p>
    <w:p>
      <w:pPr>
        <w:widowControl/>
        <w:spacing w:line="360" w:lineRule="auto"/>
        <w:ind w:firstLine="480" w:firstLineChars="200"/>
        <w:rPr>
          <w:rFonts w:ascii="宋体" w:hAnsi="宋体" w:cs="宋体"/>
          <w:color w:val="auto"/>
          <w:sz w:val="24"/>
        </w:rPr>
      </w:pPr>
      <w:r>
        <w:rPr>
          <w:rFonts w:hint="eastAsia" w:ascii="宋体" w:hAnsi="宋体" w:cs="宋体"/>
          <w:color w:val="auto"/>
          <w:sz w:val="24"/>
        </w:rPr>
        <w:t>33.4对竞争性磋商文件提出的实质性要求和条件未能实质性响应；</w:t>
      </w:r>
    </w:p>
    <w:p>
      <w:pPr>
        <w:spacing w:line="360" w:lineRule="auto"/>
        <w:ind w:firstLine="480" w:firstLineChars="200"/>
        <w:rPr>
          <w:rFonts w:ascii="宋体" w:hAnsi="宋体" w:cs="宋体"/>
          <w:color w:val="auto"/>
          <w:sz w:val="24"/>
        </w:rPr>
      </w:pPr>
      <w:r>
        <w:rPr>
          <w:rFonts w:hint="eastAsia" w:ascii="宋体" w:hAnsi="宋体" w:cs="宋体"/>
          <w:color w:val="auto"/>
          <w:sz w:val="24"/>
        </w:rPr>
        <w:t>33.5《中华人民共和国政府采购法》、《中华人民共和国政府采购实施条例》、《政府采购竞争性磋商采购方式管理暂行办法》及相关法律法规及磋商文件明确规定可以作无效响应的其他情形。</w:t>
      </w:r>
    </w:p>
    <w:p>
      <w:pPr>
        <w:spacing w:line="360" w:lineRule="auto"/>
        <w:ind w:firstLine="482" w:firstLineChars="200"/>
        <w:outlineLvl w:val="1"/>
        <w:rPr>
          <w:rFonts w:ascii="宋体" w:hAnsi="宋体" w:cs="宋体"/>
          <w:b/>
          <w:color w:val="auto"/>
          <w:sz w:val="24"/>
        </w:rPr>
      </w:pPr>
      <w:r>
        <w:rPr>
          <w:rFonts w:hint="eastAsia" w:ascii="宋体" w:hAnsi="宋体" w:cs="宋体"/>
          <w:b/>
          <w:color w:val="auto"/>
          <w:sz w:val="24"/>
        </w:rPr>
        <w:t>34、评审标准</w:t>
      </w:r>
    </w:p>
    <w:p>
      <w:pPr>
        <w:spacing w:line="360" w:lineRule="auto"/>
        <w:ind w:firstLine="482" w:firstLineChars="200"/>
        <w:rPr>
          <w:rFonts w:ascii="宋体" w:hAnsi="宋体" w:cs="宋体"/>
          <w:b/>
          <w:color w:val="auto"/>
          <w:sz w:val="24"/>
        </w:rPr>
      </w:pPr>
      <w:r>
        <w:rPr>
          <w:rFonts w:hint="eastAsia" w:ascii="宋体" w:hAnsi="宋体" w:cs="宋体"/>
          <w:b/>
          <w:color w:val="auto"/>
          <w:sz w:val="24"/>
        </w:rPr>
        <w:t>34.1</w:t>
      </w:r>
      <w:bookmarkEnd w:id="96"/>
      <w:bookmarkEnd w:id="97"/>
      <w:bookmarkEnd w:id="98"/>
      <w:bookmarkEnd w:id="99"/>
      <w:r>
        <w:rPr>
          <w:rFonts w:hint="eastAsia" w:ascii="宋体" w:hAnsi="宋体" w:cs="宋体"/>
          <w:b/>
          <w:color w:val="auto"/>
          <w:sz w:val="24"/>
        </w:rPr>
        <w:t>本项目评审严格按照磋商文件的要求和条件进行。</w:t>
      </w:r>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34.2信用查询</w:t>
      </w:r>
    </w:p>
    <w:p>
      <w:pPr>
        <w:spacing w:line="360" w:lineRule="auto"/>
        <w:ind w:firstLine="482" w:firstLineChars="200"/>
        <w:rPr>
          <w:rFonts w:ascii="宋体" w:hAnsi="宋体" w:cs="宋体"/>
          <w:b/>
          <w:color w:val="auto"/>
          <w:sz w:val="24"/>
        </w:rPr>
      </w:pPr>
      <w:r>
        <w:rPr>
          <w:rFonts w:hint="eastAsia" w:ascii="宋体" w:hAnsi="宋体" w:cs="宋体"/>
          <w:b/>
          <w:color w:val="auto"/>
          <w:sz w:val="24"/>
        </w:rPr>
        <w:t>34.2.1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pPr>
        <w:spacing w:line="360" w:lineRule="auto"/>
        <w:ind w:firstLine="482" w:firstLineChars="200"/>
        <w:rPr>
          <w:rFonts w:ascii="宋体" w:hAnsi="宋体" w:cs="宋体"/>
          <w:b/>
          <w:color w:val="auto"/>
          <w:sz w:val="24"/>
        </w:rPr>
      </w:pPr>
      <w:r>
        <w:rPr>
          <w:rFonts w:hint="eastAsia" w:ascii="宋体" w:hAnsi="宋体" w:cs="宋体"/>
          <w:b/>
          <w:color w:val="auto"/>
          <w:sz w:val="24"/>
        </w:rPr>
        <w:t>34.2.2登录“中国执行信息公开网”（网址：</w:t>
      </w:r>
      <w:r>
        <w:rPr>
          <w:rFonts w:hint="eastAsia" w:ascii="宋体" w:hAnsi="宋体" w:cs="宋体"/>
          <w:b/>
          <w:color w:val="auto"/>
          <w:sz w:val="24"/>
        </w:rPr>
        <w:drawing>
          <wp:inline distT="0" distB="0" distL="0" distR="0">
            <wp:extent cx="189865" cy="146685"/>
            <wp:effectExtent l="19050" t="0" r="635" b="0"/>
            <wp:docPr id="3" name="图片 3" descr="[5UQ[BL(6~BS2JV6W}N6[%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UQ[BL(6~BS2JV6W}N6[%S"/>
                    <pic:cNvPicPr>
                      <a:picLocks noChangeAspect="1" noChangeArrowheads="1"/>
                    </pic:cNvPicPr>
                  </pic:nvPicPr>
                  <pic:blipFill>
                    <a:blip r:embed="rId9" cstate="print"/>
                    <a:srcRect/>
                    <a:stretch>
                      <a:fillRect/>
                    </a:stretch>
                  </pic:blipFill>
                  <pic:spPr>
                    <a:xfrm>
                      <a:off x="0" y="0"/>
                      <a:ext cx="189865" cy="146685"/>
                    </a:xfrm>
                    <a:prstGeom prst="rect">
                      <a:avLst/>
                    </a:prstGeom>
                    <a:noFill/>
                    <a:ln w="9525">
                      <a:noFill/>
                      <a:miter lim="800000"/>
                      <a:headEnd/>
                      <a:tailEnd/>
                    </a:ln>
                  </pic:spPr>
                </pic:pic>
              </a:graphicData>
            </a:graphic>
          </wp:inline>
        </w:drawing>
      </w:r>
      <w:r>
        <w:rPr>
          <w:rFonts w:hint="eastAsia" w:ascii="宋体" w:hAnsi="宋体" w:cs="宋体"/>
          <w:b/>
          <w:color w:val="auto"/>
          <w:sz w:val="24"/>
        </w:rPr>
        <w:t xml:space="preserve">shixin.court.gov.cn）失信被执行人名单库查询。（如查询到该公司信息，说明该公司为失信被执行人），拒绝参与政府采购活动，同时对信用信息查询记录和证据进行打印存档。 </w:t>
      </w:r>
    </w:p>
    <w:p>
      <w:pPr>
        <w:spacing w:line="360" w:lineRule="auto"/>
        <w:ind w:firstLine="482" w:firstLineChars="200"/>
        <w:rPr>
          <w:rFonts w:ascii="宋体" w:hAnsi="宋体" w:cs="宋体"/>
          <w:b/>
          <w:color w:val="auto"/>
          <w:sz w:val="24"/>
        </w:rPr>
      </w:pPr>
      <w:r>
        <w:rPr>
          <w:rFonts w:hint="eastAsia" w:ascii="宋体" w:hAnsi="宋体" w:cs="宋体"/>
          <w:b/>
          <w:color w:val="auto"/>
          <w:sz w:val="24"/>
        </w:rPr>
        <w:t>34.3响应文件初审。初审分为资格性审查和符合性审查。响应文件初审由磋商小组根据各供应商响应文件进行评审，</w:t>
      </w:r>
      <w:r>
        <w:rPr>
          <w:rFonts w:hint="eastAsia" w:ascii="宋体" w:hAnsi="宋体" w:cs="宋体"/>
          <w:b/>
          <w:color w:val="auto"/>
          <w:sz w:val="24"/>
          <w:szCs w:val="20"/>
        </w:rPr>
        <w:t>初</w:t>
      </w:r>
      <w:r>
        <w:rPr>
          <w:rFonts w:hint="eastAsia" w:ascii="宋体" w:hAnsi="宋体" w:cs="宋体"/>
          <w:b/>
          <w:color w:val="auto"/>
          <w:sz w:val="24"/>
        </w:rPr>
        <w:t>审内容详见第六章“评审标准（综合评分法）。未通过初审的供应商其响应文件按照无效响应文件处理。</w:t>
      </w:r>
    </w:p>
    <w:p>
      <w:pPr>
        <w:spacing w:line="360" w:lineRule="auto"/>
        <w:ind w:firstLine="482" w:firstLineChars="200"/>
        <w:rPr>
          <w:rFonts w:ascii="宋体" w:hAnsi="宋体" w:cs="宋体"/>
          <w:b/>
          <w:color w:val="auto"/>
          <w:sz w:val="24"/>
        </w:rPr>
      </w:pPr>
      <w:r>
        <w:rPr>
          <w:rFonts w:hint="eastAsia" w:ascii="宋体" w:hAnsi="宋体" w:cs="宋体"/>
          <w:b/>
          <w:color w:val="auto"/>
          <w:sz w:val="24"/>
        </w:rPr>
        <w:t>34.3.1资格性检查。依据法律法规和磋商文件的规定，对响应文件中的资格条件等进行审查，以确定供应商是否具备磋商资格。</w:t>
      </w:r>
    </w:p>
    <w:p>
      <w:pPr>
        <w:spacing w:line="360" w:lineRule="auto"/>
        <w:ind w:firstLine="482" w:firstLineChars="200"/>
        <w:rPr>
          <w:rFonts w:ascii="宋体" w:hAnsi="宋体" w:cs="宋体"/>
          <w:b/>
          <w:color w:val="auto"/>
          <w:sz w:val="24"/>
        </w:rPr>
      </w:pPr>
      <w:r>
        <w:rPr>
          <w:rFonts w:hint="eastAsia" w:ascii="宋体" w:hAnsi="宋体" w:cs="宋体"/>
          <w:b/>
          <w:color w:val="auto"/>
          <w:sz w:val="24"/>
        </w:rPr>
        <w:t>34.3.2符合性检查。依据磋商文件的规定，从响应文件的有效性、完整性和对磋商文件的响应程度进行审查，以确定是否对磋商文件的实质性要求作出响应。</w:t>
      </w:r>
    </w:p>
    <w:p>
      <w:pPr>
        <w:spacing w:line="360" w:lineRule="auto"/>
        <w:ind w:firstLine="482" w:firstLineChars="200"/>
        <w:rPr>
          <w:rFonts w:ascii="宋体" w:hAnsi="宋体" w:cs="宋体"/>
          <w:b/>
          <w:color w:val="auto"/>
          <w:sz w:val="24"/>
        </w:rPr>
      </w:pPr>
      <w:r>
        <w:rPr>
          <w:rFonts w:hint="eastAsia" w:ascii="宋体" w:hAnsi="宋体" w:cs="宋体"/>
          <w:b/>
          <w:color w:val="auto"/>
          <w:sz w:val="24"/>
        </w:rPr>
        <w:t>34.3.2.1澄清有关问题。对响应文件中含义不明确、同类问题表述不一致或者有明显文字和计算错误的内容，磋商小组可以书面形式要求供应商作出必要的澄清、说明或者纠正。供应商的澄清、说明或者补正应当采用书面形式，由其授权的代表签字，并不得超出响应文件的范围或者改变响应文件的实质性内容。</w:t>
      </w:r>
    </w:p>
    <w:p>
      <w:pPr>
        <w:spacing w:line="360" w:lineRule="auto"/>
        <w:ind w:firstLine="482" w:firstLineChars="200"/>
        <w:rPr>
          <w:rFonts w:ascii="宋体" w:hAnsi="宋体" w:cs="宋体"/>
          <w:b/>
          <w:color w:val="auto"/>
          <w:sz w:val="24"/>
        </w:rPr>
      </w:pPr>
      <w:r>
        <w:rPr>
          <w:rFonts w:hint="eastAsia" w:ascii="宋体" w:hAnsi="宋体" w:cs="宋体"/>
          <w:b/>
          <w:color w:val="auto"/>
          <w:sz w:val="24"/>
        </w:rPr>
        <w:t>34.4比较与评价。磋商小组按磋商文件中规定的评审方法和标准，对资格性检查和符合性检查合格的响应文件进行商务和技术评估，综合比较与评价。</w:t>
      </w:r>
    </w:p>
    <w:p>
      <w:pPr>
        <w:spacing w:line="360" w:lineRule="auto"/>
        <w:ind w:firstLine="482" w:firstLineChars="200"/>
        <w:rPr>
          <w:rFonts w:ascii="宋体" w:hAnsi="宋体" w:cs="宋体"/>
          <w:b/>
          <w:color w:val="auto"/>
          <w:sz w:val="24"/>
        </w:rPr>
      </w:pPr>
      <w:r>
        <w:rPr>
          <w:rFonts w:hint="eastAsia" w:ascii="宋体" w:hAnsi="宋体" w:cs="宋体"/>
          <w:b/>
          <w:color w:val="auto"/>
          <w:sz w:val="24"/>
        </w:rPr>
        <w:t>34.5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spacing w:line="360" w:lineRule="auto"/>
        <w:ind w:firstLine="482" w:firstLineChars="200"/>
        <w:rPr>
          <w:rFonts w:ascii="宋体" w:hAnsi="宋体" w:cs="宋体"/>
          <w:color w:val="auto"/>
          <w:sz w:val="24"/>
        </w:rPr>
      </w:pPr>
      <w:r>
        <w:rPr>
          <w:rFonts w:hint="eastAsia" w:ascii="宋体" w:hAnsi="宋体" w:cs="宋体"/>
          <w:b/>
          <w:color w:val="auto"/>
          <w:sz w:val="24"/>
        </w:rPr>
        <w:t>34.6</w:t>
      </w:r>
      <w:r>
        <w:rPr>
          <w:rFonts w:hint="eastAsia" w:ascii="宋体" w:hAnsi="宋体" w:cs="宋体"/>
          <w:color w:val="auto"/>
          <w:sz w:val="24"/>
        </w:rPr>
        <w:t>本项目评审</w:t>
      </w:r>
      <w:r>
        <w:rPr>
          <w:rFonts w:hint="eastAsia" w:ascii="宋体" w:hAnsi="宋体" w:cs="宋体"/>
          <w:b/>
          <w:color w:val="auto"/>
          <w:sz w:val="24"/>
        </w:rPr>
        <w:t>采用综合评分法</w:t>
      </w:r>
      <w:r>
        <w:rPr>
          <w:rFonts w:hint="eastAsia" w:ascii="宋体" w:hAnsi="宋体" w:cs="宋体"/>
          <w:color w:val="auto"/>
          <w:sz w:val="24"/>
        </w:rPr>
        <w:t>，严格按照磋商文件的要求和条件进行。</w:t>
      </w:r>
    </w:p>
    <w:p>
      <w:pPr>
        <w:spacing w:line="360" w:lineRule="auto"/>
        <w:ind w:firstLine="482" w:firstLineChars="200"/>
        <w:rPr>
          <w:rFonts w:ascii="宋体" w:hAnsi="宋体" w:cs="宋体"/>
          <w:color w:val="auto"/>
          <w:sz w:val="24"/>
        </w:rPr>
      </w:pPr>
      <w:r>
        <w:rPr>
          <w:rFonts w:hint="eastAsia" w:ascii="宋体" w:hAnsi="宋体" w:cs="宋体"/>
          <w:b/>
          <w:color w:val="auto"/>
          <w:sz w:val="24"/>
        </w:rPr>
        <w:t>34.7评审分值：总分值为100分，其中磋商报价10分、商务部分30分、技术部分60分，，具体评审评分内容详见本磋商文件第六章“评标标准（综合评分法）”</w:t>
      </w:r>
      <w:r>
        <w:rPr>
          <w:rFonts w:hint="eastAsia" w:ascii="宋体" w:hAnsi="宋体" w:cs="宋体"/>
          <w:b/>
          <w:color w:val="auto"/>
          <w:sz w:val="24"/>
        </w:rPr>
        <w:t>。</w:t>
      </w:r>
    </w:p>
    <w:p>
      <w:pPr>
        <w:spacing w:line="360" w:lineRule="auto"/>
        <w:ind w:firstLine="482" w:firstLineChars="200"/>
        <w:rPr>
          <w:rFonts w:ascii="宋体" w:hAnsi="宋体" w:cs="宋体"/>
          <w:b/>
          <w:color w:val="auto"/>
          <w:sz w:val="24"/>
        </w:rPr>
      </w:pPr>
      <w:r>
        <w:rPr>
          <w:rFonts w:hint="eastAsia" w:ascii="宋体" w:hAnsi="宋体" w:cs="宋体"/>
          <w:b/>
          <w:color w:val="auto"/>
          <w:sz w:val="24"/>
        </w:rPr>
        <w:t>34.8推荐成交候选供应商</w:t>
      </w:r>
    </w:p>
    <w:p>
      <w:pPr>
        <w:spacing w:line="360" w:lineRule="auto"/>
        <w:ind w:firstLine="482" w:firstLineChars="200"/>
        <w:rPr>
          <w:rFonts w:ascii="宋体" w:hAnsi="宋体" w:cs="宋体"/>
          <w:b/>
          <w:color w:val="auto"/>
          <w:sz w:val="24"/>
        </w:rPr>
      </w:pPr>
      <w:r>
        <w:rPr>
          <w:rFonts w:hint="eastAsia" w:ascii="宋体" w:hAnsi="宋体" w:cs="宋体"/>
          <w:b/>
          <w:color w:val="auto"/>
          <w:sz w:val="24"/>
        </w:rPr>
        <w:t>34.8.1各供应商的评审得分由高至低排序，评审得分排列前3名的供应商被推荐为成交候选供应商。评审得分相同的，按照最后报价由低到高的顺序推荐。评审得分且最后报价相同的，按照技术指标优劣顺序推荐，并编写评审报告。</w:t>
      </w:r>
    </w:p>
    <w:p>
      <w:pPr>
        <w:spacing w:line="360" w:lineRule="auto"/>
        <w:ind w:firstLine="482" w:firstLineChars="200"/>
        <w:rPr>
          <w:rFonts w:ascii="宋体" w:hAnsi="宋体" w:cs="宋体"/>
          <w:b/>
          <w:color w:val="auto"/>
          <w:sz w:val="24"/>
        </w:rPr>
      </w:pPr>
      <w:r>
        <w:rPr>
          <w:rFonts w:hint="eastAsia" w:ascii="宋体" w:hAnsi="宋体" w:cs="宋体"/>
          <w:b/>
          <w:color w:val="auto"/>
          <w:sz w:val="24"/>
        </w:rPr>
        <w:t>34.8.2评分计算结果保留两位小数，第三位小数四舍五入。</w:t>
      </w:r>
    </w:p>
    <w:p>
      <w:pPr>
        <w:spacing w:line="360" w:lineRule="auto"/>
        <w:ind w:firstLine="480" w:firstLineChars="200"/>
        <w:rPr>
          <w:rFonts w:ascii="宋体" w:hAnsi="宋体" w:cs="宋体"/>
          <w:bCs/>
          <w:color w:val="auto"/>
          <w:sz w:val="24"/>
        </w:rPr>
      </w:pPr>
      <w:r>
        <w:rPr>
          <w:rFonts w:hint="eastAsia" w:ascii="宋体" w:hAnsi="宋体" w:cs="宋体"/>
          <w:bCs/>
          <w:color w:val="auto"/>
          <w:sz w:val="24"/>
        </w:rPr>
        <w:t>34.9磋商小组复核。磋商小组评分汇总结束后，磋商小组应当进行评审复核，对拟推荐为成交候选供应商的、报价最低的、供应商资格审查未通过的、供应商响应文件作无效处理的重点复核。</w:t>
      </w:r>
    </w:p>
    <w:p>
      <w:pPr>
        <w:spacing w:line="360" w:lineRule="auto"/>
        <w:ind w:firstLine="482" w:firstLineChars="200"/>
        <w:outlineLvl w:val="1"/>
        <w:rPr>
          <w:rFonts w:ascii="宋体" w:hAnsi="宋体" w:cs="宋体"/>
          <w:b/>
          <w:color w:val="auto"/>
          <w:sz w:val="24"/>
        </w:rPr>
      </w:pPr>
      <w:bookmarkStart w:id="129" w:name="_Toc243906349"/>
      <w:bookmarkStart w:id="130" w:name="_Toc245897309"/>
      <w:bookmarkStart w:id="131" w:name="_Toc233274848"/>
      <w:bookmarkStart w:id="132" w:name="_Toc243907610"/>
      <w:r>
        <w:rPr>
          <w:rFonts w:hint="eastAsia" w:ascii="宋体" w:hAnsi="宋体" w:cs="宋体"/>
          <w:b/>
          <w:color w:val="auto"/>
          <w:sz w:val="24"/>
        </w:rPr>
        <w:t>34.10采购人根据磋商小组推荐的成交候选供应商及有关规定确定成交供应商。</w:t>
      </w:r>
    </w:p>
    <w:bookmarkEnd w:id="129"/>
    <w:bookmarkEnd w:id="130"/>
    <w:bookmarkEnd w:id="131"/>
    <w:bookmarkEnd w:id="132"/>
    <w:p>
      <w:pPr>
        <w:spacing w:line="360" w:lineRule="auto"/>
        <w:ind w:firstLine="480" w:firstLineChars="200"/>
        <w:outlineLvl w:val="1"/>
        <w:rPr>
          <w:rFonts w:ascii="宋体" w:hAnsi="宋体" w:cs="宋体"/>
          <w:color w:val="auto"/>
          <w:sz w:val="24"/>
        </w:rPr>
      </w:pPr>
      <w:r>
        <w:rPr>
          <w:rFonts w:hint="eastAsia" w:ascii="宋体" w:hAnsi="宋体" w:cs="宋体"/>
          <w:color w:val="auto"/>
          <w:sz w:val="24"/>
        </w:rPr>
        <w:t>35、采购人依法接受和拒绝任一或所有供应商的权力</w:t>
      </w:r>
    </w:p>
    <w:p>
      <w:pPr>
        <w:spacing w:line="360" w:lineRule="auto"/>
        <w:ind w:firstLine="480" w:firstLineChars="200"/>
        <w:rPr>
          <w:rFonts w:ascii="宋体" w:hAnsi="宋体" w:cs="宋体"/>
          <w:color w:val="auto"/>
          <w:sz w:val="24"/>
        </w:rPr>
      </w:pPr>
      <w:r>
        <w:rPr>
          <w:rFonts w:hint="eastAsia" w:ascii="宋体" w:hAnsi="宋体" w:cs="宋体"/>
          <w:color w:val="auto"/>
          <w:sz w:val="24"/>
        </w:rPr>
        <w:t>采购人保留确定成交供应商之前的任何时候依法接受或拒绝任一或所有供应商的权力，对受影响的供应商不承担任何责任，也无义务向受影响的供应商解释采取这一行动的理由。</w:t>
      </w:r>
    </w:p>
    <w:p>
      <w:pPr>
        <w:spacing w:line="360" w:lineRule="auto"/>
        <w:ind w:firstLine="480" w:firstLineChars="200"/>
        <w:outlineLvl w:val="1"/>
        <w:rPr>
          <w:rFonts w:ascii="宋体" w:hAnsi="宋体" w:cs="宋体"/>
          <w:color w:val="auto"/>
          <w:sz w:val="24"/>
        </w:rPr>
      </w:pPr>
      <w:r>
        <w:rPr>
          <w:rFonts w:hint="eastAsia" w:ascii="宋体" w:hAnsi="宋体" w:cs="宋体"/>
          <w:color w:val="auto"/>
          <w:sz w:val="24"/>
        </w:rPr>
        <w:t>36、成交通知书</w:t>
      </w:r>
    </w:p>
    <w:p>
      <w:pPr>
        <w:spacing w:line="360" w:lineRule="auto"/>
        <w:ind w:firstLine="480" w:firstLineChars="200"/>
        <w:rPr>
          <w:rFonts w:ascii="宋体" w:hAnsi="宋体" w:cs="宋体"/>
          <w:color w:val="auto"/>
          <w:sz w:val="24"/>
        </w:rPr>
      </w:pPr>
      <w:r>
        <w:rPr>
          <w:rFonts w:hint="eastAsia" w:ascii="宋体" w:hAnsi="宋体" w:cs="宋体"/>
          <w:color w:val="auto"/>
          <w:sz w:val="24"/>
        </w:rPr>
        <w:t>36.1采购人确定成交供应商后，及时通知采购代理机构，采购代理机构将按程序公告成交结果，同时向成交供应商发出成交通知书，成交通知书一经发出即发生法律效力。</w:t>
      </w:r>
    </w:p>
    <w:p>
      <w:pPr>
        <w:spacing w:line="360" w:lineRule="auto"/>
        <w:ind w:firstLine="480" w:firstLineChars="200"/>
        <w:rPr>
          <w:rFonts w:ascii="宋体" w:hAnsi="宋体" w:cs="宋体"/>
          <w:color w:val="auto"/>
          <w:sz w:val="24"/>
        </w:rPr>
      </w:pPr>
      <w:r>
        <w:rPr>
          <w:rFonts w:hint="eastAsia" w:ascii="宋体" w:hAnsi="宋体" w:cs="宋体"/>
          <w:color w:val="auto"/>
          <w:sz w:val="24"/>
        </w:rPr>
        <w:t>36.2《成交通知书》将是合同的组成部分。</w:t>
      </w:r>
    </w:p>
    <w:p>
      <w:pPr>
        <w:spacing w:line="360" w:lineRule="auto"/>
        <w:ind w:firstLine="480" w:firstLineChars="200"/>
        <w:rPr>
          <w:color w:val="auto"/>
        </w:rPr>
      </w:pPr>
      <w:r>
        <w:rPr>
          <w:rFonts w:hint="eastAsia" w:ascii="宋体" w:hAnsi="宋体" w:cs="宋体"/>
          <w:color w:val="auto"/>
          <w:sz w:val="24"/>
        </w:rPr>
        <w:t>37.3采购人将通知其他未成交的供应商。</w:t>
      </w:r>
    </w:p>
    <w:p>
      <w:pPr>
        <w:spacing w:line="360" w:lineRule="auto"/>
        <w:ind w:firstLine="480" w:firstLineChars="200"/>
        <w:outlineLvl w:val="1"/>
        <w:rPr>
          <w:rFonts w:ascii="宋体" w:hAnsi="宋体" w:cs="宋体"/>
          <w:color w:val="auto"/>
          <w:sz w:val="24"/>
        </w:rPr>
      </w:pPr>
      <w:bookmarkStart w:id="133" w:name="_Toc233274849"/>
      <w:bookmarkStart w:id="134" w:name="_Toc243907611"/>
      <w:bookmarkStart w:id="135" w:name="_Toc245897310"/>
      <w:bookmarkStart w:id="136" w:name="_Toc243906350"/>
      <w:r>
        <w:rPr>
          <w:rFonts w:hint="eastAsia" w:ascii="宋体" w:hAnsi="宋体" w:cs="宋体"/>
          <w:color w:val="auto"/>
          <w:sz w:val="24"/>
        </w:rPr>
        <w:t>37、纪律与保密事项</w:t>
      </w:r>
      <w:bookmarkEnd w:id="133"/>
      <w:bookmarkEnd w:id="134"/>
      <w:bookmarkEnd w:id="135"/>
      <w:bookmarkEnd w:id="136"/>
    </w:p>
    <w:p>
      <w:pPr>
        <w:spacing w:line="360" w:lineRule="auto"/>
        <w:ind w:firstLine="480" w:firstLineChars="200"/>
        <w:rPr>
          <w:rFonts w:ascii="宋体" w:hAnsi="宋体" w:cs="宋体"/>
          <w:color w:val="auto"/>
          <w:sz w:val="24"/>
        </w:rPr>
      </w:pPr>
      <w:r>
        <w:rPr>
          <w:rFonts w:hint="eastAsia" w:ascii="宋体" w:hAnsi="宋体" w:cs="宋体"/>
          <w:color w:val="auto"/>
          <w:sz w:val="24"/>
        </w:rPr>
        <w:t>37.1凡参与磋商工作的有关人员均应自觉接受有关主管部门的监督，不得向他人透露可能影响公平竞争的有关磋商的其他情况。</w:t>
      </w:r>
    </w:p>
    <w:p>
      <w:pPr>
        <w:spacing w:line="360" w:lineRule="auto"/>
        <w:ind w:firstLine="480" w:firstLineChars="200"/>
        <w:rPr>
          <w:rFonts w:ascii="宋体" w:hAnsi="宋体" w:cs="宋体"/>
          <w:color w:val="auto"/>
          <w:sz w:val="24"/>
        </w:rPr>
      </w:pPr>
      <w:r>
        <w:rPr>
          <w:rFonts w:hint="eastAsia" w:ascii="宋体" w:hAnsi="宋体" w:cs="宋体"/>
          <w:color w:val="auto"/>
          <w:sz w:val="24"/>
        </w:rPr>
        <w:t>37.2领取本磋商文件及其它相关资料者，应对文件进行保密，不得用作本次磋商以外的任何用途。由采购人向供应商提供的图纸、技术资料和所有其它资料，均视为保密资料，除非得到采购人的同意，不得向第三方透露。</w:t>
      </w:r>
    </w:p>
    <w:p>
      <w:pPr>
        <w:spacing w:line="360" w:lineRule="auto"/>
        <w:ind w:firstLine="480" w:firstLineChars="200"/>
        <w:rPr>
          <w:rFonts w:ascii="宋体" w:hAnsi="宋体" w:cs="宋体"/>
          <w:b/>
          <w:bCs/>
          <w:color w:val="auto"/>
          <w:sz w:val="24"/>
        </w:rPr>
      </w:pPr>
      <w:r>
        <w:rPr>
          <w:rFonts w:hint="eastAsia" w:ascii="宋体" w:hAnsi="宋体" w:cs="宋体"/>
          <w:color w:val="auto"/>
          <w:sz w:val="24"/>
        </w:rPr>
        <w:t>37.3供应商不得与采购人串通磋商，不得向采购人或者磋商小组成员行贿谋取成交，不得以他人名义参与磋商或者以其它任何方式弄虚作假骗取参与磋商；供应商不得以任何方式干扰、影响评审工作。</w:t>
      </w:r>
      <w:r>
        <w:rPr>
          <w:rFonts w:hint="eastAsia" w:ascii="宋体" w:hAnsi="宋体" w:cs="宋体"/>
          <w:b/>
          <w:bCs/>
          <w:color w:val="auto"/>
          <w:sz w:val="24"/>
        </w:rPr>
        <w:t>如果供应商或者其他利害关系人通过捏造事实、伪造证明材料等方式提出质疑，干扰政府采购活动正常进行的，属于严重不良行为，采购人、采购代理机构将提请财政部门将其列入不良行为记录名单，并依法予以处罚</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37.4供应商不得在磋商过程中互相串通、结盟、损害磋商的公正性和竞争性，或以任何方式影响其他供应商参与正当磋商。扰乱磋商市场，破坏公平竞争原则。如供应商在磋商过程中互相串通，一经查实，将取消磋商资格。</w:t>
      </w:r>
    </w:p>
    <w:p>
      <w:pPr>
        <w:spacing w:line="360" w:lineRule="auto"/>
        <w:ind w:firstLine="480" w:firstLineChars="200"/>
        <w:rPr>
          <w:rFonts w:ascii="宋体" w:hAnsi="宋体" w:cs="宋体"/>
          <w:color w:val="auto"/>
          <w:sz w:val="24"/>
        </w:rPr>
      </w:pPr>
      <w:r>
        <w:rPr>
          <w:rFonts w:hint="eastAsia" w:ascii="宋体" w:hAnsi="宋体" w:cs="宋体"/>
          <w:color w:val="auto"/>
          <w:sz w:val="24"/>
        </w:rPr>
        <w:t>37.5 磋商之日起直至授予成交供应商合同为止，凡属于对响应文件的审查、澄清、评价、比较有关的资料和成交人的推荐情况及与评审有关的其他任何情况均严格保密。</w:t>
      </w:r>
    </w:p>
    <w:p>
      <w:pPr>
        <w:spacing w:line="360" w:lineRule="auto"/>
        <w:ind w:firstLine="480" w:firstLineChars="200"/>
        <w:rPr>
          <w:rFonts w:ascii="宋体" w:hAnsi="宋体" w:cs="宋体"/>
          <w:color w:val="auto"/>
          <w:sz w:val="24"/>
        </w:rPr>
      </w:pPr>
      <w:r>
        <w:rPr>
          <w:rFonts w:hint="eastAsia" w:ascii="宋体" w:hAnsi="宋体" w:cs="宋体"/>
          <w:color w:val="auto"/>
          <w:sz w:val="24"/>
        </w:rPr>
        <w:t>37.6从磋商之日起至授予合同期间，供应商试图向磋商小组、采购代理机构施加任何影响或对采购人的比较及授予合同的决定进行影响，都可能导致其响应文件被拒绝。</w:t>
      </w:r>
    </w:p>
    <w:p>
      <w:pPr>
        <w:spacing w:line="360" w:lineRule="auto"/>
        <w:ind w:firstLine="480" w:firstLineChars="200"/>
        <w:rPr>
          <w:rFonts w:ascii="宋体" w:hAnsi="宋体" w:cs="宋体"/>
          <w:color w:val="auto"/>
          <w:sz w:val="24"/>
        </w:rPr>
      </w:pPr>
      <w:r>
        <w:rPr>
          <w:rFonts w:hint="eastAsia" w:ascii="宋体" w:hAnsi="宋体" w:cs="宋体"/>
          <w:color w:val="auto"/>
          <w:sz w:val="24"/>
        </w:rPr>
        <w:t>37.7除供应商被要求对响应文件进行澄清外，从磋商之时起至授予合同期间，供应商不得就与其响应文件有关的事项主动与磋商小组、采购代理机构以及采购人联系。</w:t>
      </w:r>
    </w:p>
    <w:p>
      <w:pPr>
        <w:spacing w:line="360" w:lineRule="auto"/>
        <w:ind w:firstLine="480" w:firstLineChars="200"/>
        <w:rPr>
          <w:rFonts w:ascii="宋体" w:hAnsi="宋体" w:cs="宋体"/>
          <w:color w:val="auto"/>
          <w:sz w:val="24"/>
        </w:rPr>
      </w:pPr>
      <w:r>
        <w:rPr>
          <w:rFonts w:hint="eastAsia" w:ascii="宋体" w:hAnsi="宋体" w:cs="宋体"/>
          <w:color w:val="auto"/>
          <w:sz w:val="24"/>
        </w:rPr>
        <w:t>37.8成交供应商确定后，采购人不对未成交供应商就评审过程以及未能成交原因作出任何解释，未成交供应商不得向磋商小组或其他有关人员询问评审过程的情况和索取评审过程的资料。</w:t>
      </w:r>
    </w:p>
    <w:p>
      <w:pPr>
        <w:pStyle w:val="7"/>
        <w:spacing w:line="360" w:lineRule="auto"/>
        <w:outlineLvl w:val="1"/>
        <w:rPr>
          <w:rFonts w:hAnsi="宋体" w:cs="宋体"/>
          <w:b/>
          <w:bCs/>
          <w:color w:val="auto"/>
          <w:sz w:val="24"/>
          <w:szCs w:val="24"/>
        </w:rPr>
      </w:pPr>
      <w:r>
        <w:rPr>
          <w:rFonts w:hint="eastAsia" w:hAnsi="宋体" w:cs="宋体"/>
          <w:b/>
          <w:bCs/>
          <w:color w:val="auto"/>
          <w:sz w:val="24"/>
          <w:szCs w:val="24"/>
        </w:rPr>
        <w:t>六、授予合同</w:t>
      </w:r>
      <w:bookmarkEnd w:id="100"/>
      <w:bookmarkStart w:id="137" w:name="_Toc245897315"/>
      <w:bookmarkStart w:id="138" w:name="_Toc233274853"/>
      <w:bookmarkStart w:id="139" w:name="_Toc243906355"/>
      <w:bookmarkStart w:id="140" w:name="_Toc243907618"/>
    </w:p>
    <w:bookmarkEnd w:id="137"/>
    <w:bookmarkEnd w:id="138"/>
    <w:bookmarkEnd w:id="139"/>
    <w:bookmarkEnd w:id="140"/>
    <w:p>
      <w:pPr>
        <w:pStyle w:val="7"/>
        <w:spacing w:line="360" w:lineRule="auto"/>
        <w:ind w:firstLine="480" w:firstLineChars="200"/>
        <w:outlineLvl w:val="1"/>
        <w:rPr>
          <w:rFonts w:hAnsi="宋体" w:cs="宋体"/>
          <w:bCs/>
          <w:color w:val="auto"/>
          <w:sz w:val="24"/>
          <w:szCs w:val="24"/>
        </w:rPr>
      </w:pPr>
      <w:r>
        <w:rPr>
          <w:rFonts w:hint="eastAsia" w:hAnsi="宋体" w:cs="宋体"/>
          <w:bCs/>
          <w:color w:val="auto"/>
          <w:sz w:val="24"/>
          <w:szCs w:val="24"/>
        </w:rPr>
        <w:t>38、授予合同标准</w:t>
      </w:r>
    </w:p>
    <w:p>
      <w:pPr>
        <w:pStyle w:val="7"/>
        <w:spacing w:line="360" w:lineRule="auto"/>
        <w:ind w:firstLine="480" w:firstLineChars="200"/>
        <w:rPr>
          <w:rFonts w:hAnsi="宋体" w:cs="宋体"/>
          <w:bCs/>
          <w:color w:val="auto"/>
          <w:sz w:val="24"/>
          <w:szCs w:val="24"/>
        </w:rPr>
      </w:pPr>
      <w:r>
        <w:rPr>
          <w:rFonts w:hint="eastAsia" w:hAnsi="宋体" w:cs="宋体"/>
          <w:bCs/>
          <w:color w:val="auto"/>
          <w:sz w:val="24"/>
          <w:szCs w:val="24"/>
        </w:rPr>
        <w:t>38.1本采购项目的采购合同将授予按本须知第34条所确定成交供应商。</w:t>
      </w:r>
    </w:p>
    <w:p>
      <w:pPr>
        <w:pStyle w:val="7"/>
        <w:spacing w:line="360" w:lineRule="auto"/>
        <w:ind w:firstLine="480" w:firstLineChars="200"/>
        <w:outlineLvl w:val="1"/>
        <w:rPr>
          <w:rFonts w:hAnsi="宋体" w:cs="宋体"/>
          <w:color w:val="auto"/>
          <w:sz w:val="24"/>
          <w:szCs w:val="24"/>
        </w:rPr>
      </w:pPr>
      <w:bookmarkStart w:id="141" w:name="_Toc245897317"/>
      <w:bookmarkStart w:id="142" w:name="_Toc243906357"/>
      <w:bookmarkStart w:id="143" w:name="_Toc243907620"/>
      <w:bookmarkStart w:id="144" w:name="_Toc233274855"/>
      <w:r>
        <w:rPr>
          <w:rFonts w:hint="eastAsia" w:hAnsi="宋体" w:cs="宋体"/>
          <w:color w:val="auto"/>
          <w:sz w:val="24"/>
          <w:szCs w:val="24"/>
        </w:rPr>
        <w:t>39、签订合同</w:t>
      </w:r>
      <w:bookmarkEnd w:id="141"/>
      <w:bookmarkEnd w:id="142"/>
      <w:bookmarkEnd w:id="143"/>
      <w:bookmarkEnd w:id="144"/>
    </w:p>
    <w:p>
      <w:pPr>
        <w:pStyle w:val="7"/>
        <w:spacing w:line="360" w:lineRule="auto"/>
        <w:ind w:firstLine="480" w:firstLineChars="200"/>
        <w:rPr>
          <w:rFonts w:hAnsi="宋体" w:cs="宋体"/>
          <w:color w:val="auto"/>
          <w:sz w:val="24"/>
          <w:szCs w:val="24"/>
        </w:rPr>
      </w:pPr>
      <w:r>
        <w:rPr>
          <w:rFonts w:hint="eastAsia" w:hAnsi="宋体" w:cs="宋体"/>
          <w:color w:val="auto"/>
          <w:sz w:val="24"/>
          <w:szCs w:val="24"/>
        </w:rPr>
        <w:t>39.1成交供应商应当自成交通知书发出之日起三十日内，按照磋商文件和成交供应商的响应文件订立书面合同。成交供应商不得要求订立背离本响应文件合同主要内容等响应文件实质性内容的其他协议。</w:t>
      </w:r>
    </w:p>
    <w:p>
      <w:pPr>
        <w:pStyle w:val="7"/>
        <w:spacing w:line="360" w:lineRule="auto"/>
        <w:ind w:firstLine="480" w:firstLineChars="200"/>
        <w:rPr>
          <w:rFonts w:hAnsi="宋体" w:cs="宋体"/>
          <w:color w:val="auto"/>
          <w:sz w:val="24"/>
          <w:szCs w:val="24"/>
        </w:rPr>
      </w:pPr>
      <w:r>
        <w:rPr>
          <w:rFonts w:hint="eastAsia" w:hAnsi="宋体" w:cs="宋体"/>
          <w:color w:val="auto"/>
          <w:sz w:val="24"/>
          <w:szCs w:val="24"/>
        </w:rPr>
        <w:t>39.2 成交通知书、成交供应商的响应文件及其澄清文件、技术规范及标准、项目采购需求、本磋商文件（含修改文件或补充文件）及答疑纪要等，均为签订合同的依据。</w:t>
      </w:r>
    </w:p>
    <w:p>
      <w:pPr>
        <w:pStyle w:val="7"/>
        <w:spacing w:line="360" w:lineRule="auto"/>
        <w:ind w:firstLine="480" w:firstLineChars="200"/>
        <w:rPr>
          <w:rFonts w:hAnsi="宋体" w:cs="宋体"/>
          <w:color w:val="auto"/>
          <w:sz w:val="24"/>
          <w:szCs w:val="24"/>
        </w:rPr>
      </w:pPr>
      <w:r>
        <w:rPr>
          <w:rFonts w:hint="eastAsia" w:hAnsi="宋体" w:cs="宋体"/>
          <w:color w:val="auto"/>
          <w:sz w:val="24"/>
          <w:szCs w:val="24"/>
        </w:rPr>
        <w:t>39.3采购人如不按本须知39.1条规定与成交供应商签订合同，或者采购人、成交供应商签订背离合同实质性内容的协议，由监督管理部门责令其改正。</w:t>
      </w:r>
    </w:p>
    <w:p>
      <w:pPr>
        <w:pStyle w:val="7"/>
        <w:spacing w:line="360" w:lineRule="auto"/>
        <w:ind w:firstLine="480" w:firstLineChars="200"/>
        <w:rPr>
          <w:rFonts w:hAnsi="宋体" w:cs="宋体"/>
          <w:color w:val="auto"/>
          <w:sz w:val="24"/>
          <w:szCs w:val="24"/>
        </w:rPr>
      </w:pPr>
      <w:r>
        <w:rPr>
          <w:rFonts w:hint="eastAsia" w:hAnsi="宋体" w:cs="宋体"/>
          <w:color w:val="auto"/>
          <w:sz w:val="24"/>
          <w:szCs w:val="24"/>
        </w:rPr>
        <w:t>39.4成交供应商如不按本须知39.1条规定与采购人签订合同，则按违约处理，采购人将有权取消成交供应商资格，给采购人造成损失，还应当予以赔偿，同时依法承担相应的法律责任。</w:t>
      </w:r>
    </w:p>
    <w:p>
      <w:pPr>
        <w:spacing w:line="360" w:lineRule="auto"/>
        <w:ind w:firstLine="482" w:firstLineChars="200"/>
        <w:rPr>
          <w:rFonts w:ascii="宋体" w:hAnsi="宋体" w:cs="宋体"/>
          <w:b/>
          <w:bCs/>
          <w:color w:val="auto"/>
          <w:sz w:val="24"/>
        </w:rPr>
      </w:pPr>
      <w:r>
        <w:rPr>
          <w:rFonts w:hint="eastAsia" w:ascii="宋体" w:hAnsi="宋体" w:cs="宋体"/>
          <w:b/>
          <w:color w:val="auto"/>
          <w:sz w:val="24"/>
        </w:rPr>
        <w:t>39.5</w:t>
      </w:r>
      <w:r>
        <w:rPr>
          <w:rFonts w:hint="eastAsia" w:hAnsi="宋体" w:cs="宋体"/>
          <w:color w:val="auto"/>
          <w:sz w:val="24"/>
        </w:rPr>
        <w:t>中标供应商拒绝与采购人签订合同的，采购人可以按照推荐的中标候选人名单排序，确定下一候选人为中标人，也可以重新开展采购活动。</w:t>
      </w:r>
    </w:p>
    <w:p>
      <w:pPr>
        <w:spacing w:line="360" w:lineRule="auto"/>
        <w:ind w:firstLine="480" w:firstLineChars="200"/>
        <w:outlineLvl w:val="1"/>
        <w:rPr>
          <w:rFonts w:ascii="宋体" w:hAnsi="宋体" w:cs="宋体"/>
          <w:bCs/>
          <w:color w:val="auto"/>
          <w:sz w:val="24"/>
        </w:rPr>
      </w:pPr>
      <w:bookmarkStart w:id="145" w:name="_Toc245897318"/>
      <w:bookmarkStart w:id="146" w:name="_Toc243907621"/>
      <w:r>
        <w:rPr>
          <w:rFonts w:hint="eastAsia" w:ascii="宋体" w:hAnsi="宋体" w:cs="宋体"/>
          <w:bCs/>
          <w:color w:val="auto"/>
          <w:sz w:val="24"/>
        </w:rPr>
        <w:t>40、合同的签订准则</w:t>
      </w:r>
      <w:bookmarkEnd w:id="145"/>
      <w:bookmarkEnd w:id="146"/>
    </w:p>
    <w:p>
      <w:pPr>
        <w:spacing w:line="360" w:lineRule="auto"/>
        <w:ind w:firstLine="480" w:firstLineChars="200"/>
        <w:rPr>
          <w:rFonts w:ascii="宋体" w:hAnsi="宋体" w:cs="宋体"/>
          <w:bCs/>
          <w:color w:val="auto"/>
          <w:sz w:val="24"/>
        </w:rPr>
      </w:pPr>
      <w:r>
        <w:rPr>
          <w:rFonts w:hint="eastAsia" w:ascii="宋体" w:hAnsi="宋体" w:cs="宋体"/>
          <w:bCs/>
          <w:color w:val="auto"/>
          <w:sz w:val="24"/>
        </w:rPr>
        <w:t>40.1合同签订必须由采购人、成交供应商双方法定代表人或其委托代理人签署并加盖法人公章后方能生效。</w:t>
      </w:r>
    </w:p>
    <w:p>
      <w:pPr>
        <w:spacing w:line="360" w:lineRule="auto"/>
        <w:ind w:firstLine="480" w:firstLineChars="200"/>
        <w:rPr>
          <w:rFonts w:ascii="宋体" w:hAnsi="宋体" w:cs="宋体"/>
          <w:bCs/>
          <w:color w:val="auto"/>
          <w:sz w:val="24"/>
        </w:rPr>
      </w:pPr>
      <w:r>
        <w:rPr>
          <w:rFonts w:hint="eastAsia" w:ascii="宋体" w:hAnsi="宋体" w:cs="宋体"/>
          <w:bCs/>
          <w:color w:val="auto"/>
          <w:sz w:val="24"/>
        </w:rPr>
        <w:t>40.2合同转包（实质性要求）</w:t>
      </w:r>
    </w:p>
    <w:p>
      <w:pPr>
        <w:spacing w:line="360" w:lineRule="auto"/>
        <w:ind w:firstLine="480" w:firstLineChars="200"/>
        <w:rPr>
          <w:rFonts w:ascii="宋体" w:hAnsi="宋体" w:cs="宋体"/>
          <w:bCs/>
          <w:color w:val="auto"/>
          <w:sz w:val="24"/>
        </w:rPr>
      </w:pPr>
      <w:r>
        <w:rPr>
          <w:rFonts w:hint="eastAsia" w:ascii="宋体" w:hAnsi="宋体" w:cs="宋体"/>
          <w:bCs/>
          <w:color w:val="auto"/>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360" w:lineRule="auto"/>
        <w:ind w:firstLine="480" w:firstLineChars="200"/>
        <w:rPr>
          <w:rFonts w:ascii="宋体" w:hAnsi="宋体" w:cs="宋体"/>
          <w:bCs/>
          <w:color w:val="auto"/>
          <w:sz w:val="24"/>
        </w:rPr>
      </w:pPr>
      <w:r>
        <w:rPr>
          <w:rFonts w:hint="eastAsia" w:ascii="宋体" w:hAnsi="宋体" w:cs="宋体"/>
          <w:bCs/>
          <w:color w:val="auto"/>
          <w:sz w:val="24"/>
        </w:rPr>
        <w:t>成交供应商转包的，视同拒绝履行政府采购合同义务，将依法追究法律责任。</w:t>
      </w:r>
    </w:p>
    <w:p>
      <w:pPr>
        <w:spacing w:line="360" w:lineRule="auto"/>
        <w:ind w:firstLine="480" w:firstLineChars="200"/>
        <w:rPr>
          <w:rFonts w:ascii="宋体" w:hAnsi="宋体" w:cs="宋体"/>
          <w:bCs/>
          <w:color w:val="auto"/>
          <w:sz w:val="24"/>
        </w:rPr>
      </w:pPr>
      <w:r>
        <w:rPr>
          <w:rFonts w:hint="eastAsia" w:ascii="宋体" w:hAnsi="宋体" w:cs="宋体"/>
          <w:bCs/>
          <w:color w:val="auto"/>
          <w:sz w:val="24"/>
        </w:rPr>
        <w:t>40.3补充合同</w:t>
      </w:r>
    </w:p>
    <w:p>
      <w:pPr>
        <w:spacing w:line="360" w:lineRule="auto"/>
        <w:ind w:firstLine="480" w:firstLineChars="200"/>
        <w:rPr>
          <w:rFonts w:ascii="宋体" w:hAnsi="宋体" w:cs="宋体"/>
          <w:bCs/>
          <w:color w:val="auto"/>
        </w:rPr>
      </w:pPr>
      <w:r>
        <w:rPr>
          <w:rFonts w:hint="eastAsia" w:ascii="宋体" w:hAnsi="宋体" w:cs="宋体"/>
          <w:bCs/>
          <w:color w:val="auto"/>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360" w:lineRule="auto"/>
        <w:ind w:firstLine="480" w:firstLineChars="200"/>
        <w:rPr>
          <w:rFonts w:ascii="宋体" w:hAnsi="宋体" w:cs="宋体"/>
          <w:color w:val="auto"/>
          <w:sz w:val="24"/>
        </w:rPr>
      </w:pPr>
      <w:r>
        <w:rPr>
          <w:rFonts w:hint="eastAsia" w:ascii="宋体" w:hAnsi="宋体" w:cs="宋体"/>
          <w:color w:val="auto"/>
          <w:sz w:val="24"/>
        </w:rPr>
        <w:t>41、验收</w:t>
      </w:r>
    </w:p>
    <w:p>
      <w:pPr>
        <w:spacing w:line="360" w:lineRule="auto"/>
        <w:ind w:firstLine="480" w:firstLineChars="200"/>
        <w:rPr>
          <w:rFonts w:ascii="宋体" w:hAnsi="宋体" w:cs="宋体"/>
          <w:color w:val="auto"/>
          <w:sz w:val="24"/>
        </w:rPr>
      </w:pPr>
      <w:r>
        <w:rPr>
          <w:rFonts w:hint="eastAsia" w:ascii="宋体" w:hAnsi="宋体" w:cs="宋体"/>
          <w:color w:val="auto"/>
          <w:sz w:val="24"/>
        </w:rPr>
        <w:t>41.1本项目采购人将严格按照政府采购相关法律法规以及《克拉玛依市政府采购项目需求论证和履约验收管理办法》（克财发〔2016〕9号）的要求进行验收。</w:t>
      </w:r>
    </w:p>
    <w:p>
      <w:pPr>
        <w:pStyle w:val="7"/>
        <w:spacing w:line="360" w:lineRule="auto"/>
        <w:outlineLvl w:val="1"/>
        <w:rPr>
          <w:rFonts w:hAnsi="宋体" w:cs="宋体"/>
          <w:b/>
          <w:bCs/>
          <w:color w:val="auto"/>
          <w:sz w:val="24"/>
          <w:szCs w:val="24"/>
        </w:rPr>
      </w:pPr>
      <w:r>
        <w:rPr>
          <w:rFonts w:hint="eastAsia" w:hAnsi="宋体" w:cs="宋体"/>
          <w:b/>
          <w:bCs/>
          <w:color w:val="auto"/>
          <w:sz w:val="24"/>
          <w:szCs w:val="24"/>
        </w:rPr>
        <w:t>七、询问、质疑、投诉</w:t>
      </w:r>
    </w:p>
    <w:p>
      <w:pPr>
        <w:spacing w:line="360" w:lineRule="auto"/>
        <w:ind w:firstLine="480" w:firstLineChars="200"/>
        <w:rPr>
          <w:rFonts w:ascii="宋体" w:hAnsi="宋体" w:cs="宋体"/>
          <w:color w:val="auto"/>
          <w:sz w:val="24"/>
        </w:rPr>
      </w:pPr>
      <w:r>
        <w:rPr>
          <w:rFonts w:hint="eastAsia" w:ascii="宋体" w:hAnsi="宋体" w:cs="宋体"/>
          <w:color w:val="auto"/>
          <w:sz w:val="24"/>
        </w:rPr>
        <w:t>42、询问</w:t>
      </w:r>
    </w:p>
    <w:p>
      <w:pPr>
        <w:spacing w:line="360" w:lineRule="auto"/>
        <w:ind w:firstLine="480" w:firstLineChars="200"/>
        <w:rPr>
          <w:rFonts w:ascii="宋体" w:hAnsi="宋体" w:cs="宋体"/>
          <w:color w:val="auto"/>
          <w:sz w:val="24"/>
        </w:rPr>
      </w:pPr>
      <w:r>
        <w:rPr>
          <w:rFonts w:hint="eastAsia" w:ascii="宋体" w:hAnsi="宋体" w:cs="宋体"/>
          <w:color w:val="auto"/>
          <w:sz w:val="24"/>
        </w:rPr>
        <w:t>42.1供应商对采购活动事项有疑问的，可以向采购人或采购代理机构提出询问，采购人或采购代理机构应当在三个工作日内对供应商依法提出的询问作出答复，但答复的内容不得涉及商业秘密。</w:t>
      </w:r>
    </w:p>
    <w:p>
      <w:pPr>
        <w:spacing w:line="360" w:lineRule="auto"/>
        <w:ind w:firstLine="480" w:firstLineChars="200"/>
        <w:rPr>
          <w:rFonts w:ascii="宋体" w:hAnsi="宋体" w:cs="宋体"/>
          <w:color w:val="auto"/>
          <w:sz w:val="24"/>
        </w:rPr>
      </w:pPr>
      <w:r>
        <w:rPr>
          <w:rFonts w:hint="eastAsia" w:ascii="宋体" w:hAnsi="宋体" w:cs="宋体"/>
          <w:color w:val="auto"/>
          <w:sz w:val="24"/>
        </w:rPr>
        <w:t>43、质疑</w:t>
      </w:r>
    </w:p>
    <w:p>
      <w:pPr>
        <w:spacing w:line="360" w:lineRule="auto"/>
        <w:ind w:firstLine="480" w:firstLineChars="200"/>
        <w:rPr>
          <w:rFonts w:ascii="宋体" w:hAnsi="宋体" w:cs="宋体"/>
          <w:color w:val="auto"/>
          <w:sz w:val="24"/>
        </w:rPr>
      </w:pPr>
      <w:r>
        <w:rPr>
          <w:rFonts w:hint="eastAsia" w:ascii="宋体" w:hAnsi="宋体" w:cs="宋体"/>
          <w:color w:val="auto"/>
          <w:sz w:val="24"/>
        </w:rPr>
        <w:t>43.1 供应商认为竞争性磋商文件、采购过程和中标结果使自己的合法权益受到损害的，可以在知道或者应知其权益受到损害之日起七个工作日内，将质疑文件原件和必要的证明材料送达采购代理机构。</w:t>
      </w:r>
    </w:p>
    <w:p>
      <w:pPr>
        <w:spacing w:line="440" w:lineRule="exact"/>
        <w:ind w:firstLine="480" w:firstLineChars="200"/>
        <w:rPr>
          <w:rFonts w:ascii="宋体" w:hAnsi="宋体" w:cs="宋体"/>
          <w:color w:val="auto"/>
        </w:rPr>
      </w:pPr>
      <w:r>
        <w:rPr>
          <w:rFonts w:hint="eastAsia" w:ascii="宋体" w:hAnsi="宋体" w:cs="宋体"/>
          <w:color w:val="auto"/>
          <w:sz w:val="24"/>
        </w:rPr>
        <w:t>43.2供应商如对竞争性磋商采购文件技术指标、参数、评分标准有质疑，向采购人提出，由采购人按相关规定作出答复或委托采购代理机构代为答复。供应商如对采购过程和采购结果有质疑，向采购代理机构提出，由采购代理机构按相关规定作出答复。</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43.3上述应知其权益受到损害之日是指： </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（1）对竞争性磋商文件提出质疑的，为竞争性磋商文件公告期限届满之日起计算； </w:t>
      </w:r>
    </w:p>
    <w:p>
      <w:pPr>
        <w:spacing w:line="360" w:lineRule="auto"/>
        <w:ind w:firstLine="480" w:firstLineChars="200"/>
        <w:rPr>
          <w:rFonts w:ascii="宋体" w:hAnsi="宋体" w:cs="宋体"/>
          <w:color w:val="auto"/>
          <w:sz w:val="24"/>
        </w:rPr>
      </w:pPr>
      <w:r>
        <w:rPr>
          <w:rFonts w:hint="eastAsia" w:ascii="宋体" w:hAnsi="宋体" w:cs="宋体"/>
          <w:color w:val="auto"/>
          <w:sz w:val="24"/>
        </w:rPr>
        <w:t>（2）对采购过程提出质疑的，自采购程序环节结束之日起计算；</w:t>
      </w:r>
    </w:p>
    <w:p>
      <w:pPr>
        <w:spacing w:line="360" w:lineRule="auto"/>
        <w:ind w:firstLine="480" w:firstLineChars="200"/>
        <w:rPr>
          <w:rFonts w:ascii="宋体" w:hAnsi="宋体" w:cs="宋体"/>
          <w:color w:val="auto"/>
          <w:sz w:val="24"/>
        </w:rPr>
      </w:pPr>
      <w:r>
        <w:rPr>
          <w:rFonts w:hint="eastAsia" w:ascii="宋体" w:hAnsi="宋体" w:cs="宋体"/>
          <w:color w:val="auto"/>
          <w:sz w:val="24"/>
        </w:rPr>
        <w:t>（3）对中标结果提出质疑的，自中标或者成交结果公告期限届满之日起计算。</w:t>
      </w:r>
    </w:p>
    <w:p>
      <w:pPr>
        <w:spacing w:line="360" w:lineRule="auto"/>
        <w:ind w:firstLine="480" w:firstLineChars="200"/>
        <w:rPr>
          <w:rFonts w:ascii="宋体" w:hAnsi="宋体" w:cs="宋体"/>
          <w:color w:val="auto"/>
          <w:sz w:val="24"/>
        </w:rPr>
      </w:pPr>
      <w:r>
        <w:rPr>
          <w:rFonts w:hint="eastAsia" w:ascii="宋体" w:hAnsi="宋体" w:cs="宋体"/>
          <w:color w:val="auto"/>
          <w:sz w:val="24"/>
        </w:rPr>
        <w:t>43.4质疑供应商在法定质疑期内应当一次性提出针对同一采购环节提出质疑。</w:t>
      </w:r>
    </w:p>
    <w:p>
      <w:pPr>
        <w:pStyle w:val="29"/>
        <w:spacing w:line="360" w:lineRule="auto"/>
        <w:ind w:left="1" w:firstLine="482" w:firstLineChars="200"/>
        <w:rPr>
          <w:rFonts w:hAnsi="宋体" w:cs="宋体"/>
          <w:color w:val="auto"/>
          <w:kern w:val="2"/>
          <w:sz w:val="24"/>
          <w:szCs w:val="24"/>
        </w:rPr>
      </w:pPr>
      <w:r>
        <w:rPr>
          <w:rFonts w:hint="eastAsia" w:hAnsi="宋体" w:cs="宋体"/>
          <w:b/>
          <w:bCs/>
          <w:color w:val="auto"/>
          <w:kern w:val="2"/>
          <w:sz w:val="24"/>
          <w:szCs w:val="24"/>
        </w:rPr>
        <w:t>43.5质疑文件应包括以下主要内容，并按照“谁主张、谁举证”的原则，附上相关证明材料。否则，采购代理机构不予受理【财政部发布了《政府采购投标人质疑函范本》和《政府采购投标人投诉书范本》，两范本指投标人（供应商）提出质疑、投诉人提起投诉时，应提交的质疑函、投诉书和必要的证明材料（下载路径：中国政府采购网→下载专区）】：　　</w:t>
      </w:r>
      <w:r>
        <w:rPr>
          <w:rFonts w:hint="eastAsia" w:hAnsi="宋体" w:cs="宋体"/>
          <w:color w:val="auto"/>
          <w:kern w:val="2"/>
          <w:sz w:val="24"/>
          <w:szCs w:val="24"/>
        </w:rPr>
        <w:t>　　　　　</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（1）供应商的姓名或者名称、地址、邮编、联系人及联系电话（包括座机、手机、传真号码等）； </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（2）质疑项目的名称、项目编号、包号、采购公告发布时间、递交响应文件或响应文件截止时间； </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（3）具体、明确的质疑事项和与质疑事项相关的请求； </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（4）事实依据（具体条款，认为自己合法权益受到损害或可能受到损害的相关证据材料。如涉及到产品功能或技术指标的，应出具相关制造商的证明文件）； </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（5）必要的法律依据； </w:t>
      </w:r>
    </w:p>
    <w:p>
      <w:pPr>
        <w:spacing w:line="360" w:lineRule="auto"/>
        <w:ind w:firstLine="480" w:firstLineChars="200"/>
        <w:rPr>
          <w:rFonts w:ascii="宋体" w:hAnsi="宋体" w:cs="宋体"/>
          <w:color w:val="auto"/>
          <w:sz w:val="24"/>
        </w:rPr>
      </w:pPr>
      <w:r>
        <w:rPr>
          <w:rFonts w:hint="eastAsia" w:ascii="宋体" w:hAnsi="宋体" w:cs="宋体"/>
          <w:color w:val="auto"/>
          <w:sz w:val="24"/>
        </w:rPr>
        <w:t>（6）提起质疑的日期；</w:t>
      </w:r>
    </w:p>
    <w:p>
      <w:pPr>
        <w:spacing w:line="360" w:lineRule="auto"/>
        <w:ind w:firstLine="480" w:firstLineChars="200"/>
        <w:rPr>
          <w:rFonts w:ascii="宋体" w:hAnsi="宋体" w:cs="宋体"/>
          <w:color w:val="auto"/>
          <w:sz w:val="24"/>
        </w:rPr>
      </w:pPr>
      <w:r>
        <w:rPr>
          <w:rFonts w:hint="eastAsia" w:ascii="宋体" w:hAnsi="宋体" w:cs="宋体"/>
          <w:color w:val="auto"/>
          <w:sz w:val="24"/>
        </w:rPr>
        <w:t>（7）质疑文件应当署名，质疑人为自然人的，应当由本人签字并附有效身份证明；质疑人为法人或其他组织的，应当由法定代表人签字并加盖单位公章；</w:t>
      </w:r>
    </w:p>
    <w:p>
      <w:pPr>
        <w:spacing w:line="360" w:lineRule="auto"/>
        <w:ind w:firstLine="480" w:firstLineChars="200"/>
        <w:rPr>
          <w:rFonts w:ascii="宋体" w:hAnsi="宋体" w:cs="宋体"/>
          <w:color w:val="auto"/>
          <w:sz w:val="24"/>
        </w:rPr>
      </w:pPr>
      <w:r>
        <w:rPr>
          <w:rFonts w:hint="eastAsia" w:ascii="宋体" w:hAnsi="宋体" w:cs="宋体"/>
          <w:color w:val="auto"/>
          <w:sz w:val="24"/>
        </w:rPr>
        <w:t>（8）供应商委托代理质疑的，应当提交授权委托书，并载明代理人的姓名或者名称、代理事项、 具体权限、期限和相关事项。</w:t>
      </w:r>
    </w:p>
    <w:p>
      <w:pPr>
        <w:spacing w:line="360" w:lineRule="auto"/>
        <w:ind w:firstLine="480" w:firstLineChars="200"/>
        <w:rPr>
          <w:rFonts w:ascii="宋体" w:hAnsi="宋体" w:cs="宋体"/>
          <w:color w:val="auto"/>
          <w:sz w:val="24"/>
        </w:rPr>
      </w:pPr>
      <w:r>
        <w:rPr>
          <w:rFonts w:hint="eastAsia" w:ascii="宋体" w:hAnsi="宋体" w:cs="宋体"/>
          <w:color w:val="auto"/>
          <w:sz w:val="24"/>
        </w:rPr>
        <w:t>43.6质疑供应商是指直接参加本项目采购活动的供应商，未参加政府采购活动的供应商或在采购活动中自身权益未受到损害的供应商所提出的质疑不予受理。</w:t>
      </w:r>
    </w:p>
    <w:p>
      <w:pPr>
        <w:spacing w:line="360" w:lineRule="auto"/>
        <w:ind w:firstLine="480" w:firstLineChars="200"/>
        <w:rPr>
          <w:rFonts w:ascii="宋体" w:hAnsi="宋体" w:cs="宋体"/>
          <w:color w:val="auto"/>
          <w:sz w:val="24"/>
        </w:rPr>
      </w:pPr>
      <w:r>
        <w:rPr>
          <w:rFonts w:hint="eastAsia" w:ascii="宋体" w:hAnsi="宋体" w:cs="宋体"/>
          <w:color w:val="auto"/>
          <w:sz w:val="24"/>
        </w:rPr>
        <w:t>43.7采购人、采购代理机构在收到供应商的书面质疑后将及时组织调查核实，在七个工作日内作出答复，并以书面形式通知质疑供应商和其他有关供应商，答复的内容不涉及商业秘密。</w:t>
      </w:r>
    </w:p>
    <w:p>
      <w:pPr>
        <w:spacing w:line="360" w:lineRule="auto"/>
        <w:ind w:firstLine="482" w:firstLineChars="200"/>
        <w:rPr>
          <w:rFonts w:ascii="宋体" w:hAnsi="宋体" w:cs="宋体"/>
          <w:b/>
          <w:color w:val="auto"/>
          <w:sz w:val="24"/>
        </w:rPr>
      </w:pPr>
      <w:r>
        <w:rPr>
          <w:rFonts w:hint="eastAsia" w:ascii="宋体" w:hAnsi="宋体" w:cs="宋体"/>
          <w:b/>
          <w:color w:val="auto"/>
          <w:sz w:val="24"/>
        </w:rPr>
        <w:t>44、投诉</w:t>
      </w:r>
    </w:p>
    <w:p>
      <w:pPr>
        <w:spacing w:line="360" w:lineRule="auto"/>
        <w:ind w:firstLine="480" w:firstLineChars="200"/>
        <w:rPr>
          <w:rFonts w:ascii="宋体" w:hAnsi="宋体" w:cs="宋体"/>
          <w:color w:val="auto"/>
          <w:sz w:val="24"/>
        </w:rPr>
      </w:pPr>
      <w:r>
        <w:rPr>
          <w:rFonts w:hint="eastAsia" w:ascii="宋体" w:hAnsi="宋体" w:cs="宋体"/>
          <w:color w:val="auto"/>
          <w:sz w:val="24"/>
        </w:rPr>
        <w:t>44.1 质疑供应商对采购人、采购代理机构的答复不满意，或采购人、采购代理机构未在规定的时间内作出答复的，可以在答复期满后十五个工作日内向采购项目同级财政部门提起投诉。</w:t>
      </w:r>
    </w:p>
    <w:p>
      <w:pPr>
        <w:spacing w:line="360" w:lineRule="auto"/>
        <w:ind w:firstLine="480" w:firstLineChars="200"/>
        <w:rPr>
          <w:rFonts w:ascii="宋体" w:hAnsi="宋体" w:cs="宋体"/>
          <w:color w:val="auto"/>
          <w:sz w:val="24"/>
        </w:rPr>
      </w:pPr>
      <w:r>
        <w:rPr>
          <w:rFonts w:hint="eastAsia" w:ascii="宋体" w:hAnsi="宋体" w:cs="宋体"/>
          <w:color w:val="auto"/>
          <w:sz w:val="24"/>
        </w:rPr>
        <w:t>44.2供应商投诉的事项不得超出已质疑事项的范围，但基于质疑答复内容提出的投诉事项除外。</w:t>
      </w:r>
    </w:p>
    <w:p>
      <w:pPr>
        <w:spacing w:line="360" w:lineRule="auto"/>
        <w:ind w:firstLine="482" w:firstLineChars="200"/>
        <w:rPr>
          <w:rFonts w:ascii="宋体" w:hAnsi="宋体" w:cs="宋体"/>
          <w:b/>
          <w:color w:val="auto"/>
          <w:sz w:val="24"/>
        </w:rPr>
      </w:pPr>
      <w:r>
        <w:rPr>
          <w:rFonts w:hint="eastAsia" w:ascii="宋体" w:hAnsi="宋体" w:cs="宋体"/>
          <w:b/>
          <w:color w:val="auto"/>
          <w:sz w:val="24"/>
        </w:rPr>
        <w:t>45、诚实信用</w:t>
      </w:r>
    </w:p>
    <w:p>
      <w:pPr>
        <w:spacing w:line="360" w:lineRule="auto"/>
        <w:ind w:firstLine="480" w:firstLineChars="200"/>
        <w:rPr>
          <w:rFonts w:ascii="宋体" w:hAnsi="宋体" w:cs="宋体"/>
          <w:color w:val="auto"/>
          <w:sz w:val="24"/>
        </w:rPr>
      </w:pPr>
      <w:r>
        <w:rPr>
          <w:rFonts w:hint="eastAsia" w:ascii="宋体" w:hAnsi="宋体" w:cs="宋体"/>
          <w:color w:val="auto"/>
          <w:sz w:val="24"/>
        </w:rPr>
        <w:t>45.1供应商不得虚假质疑和恶意质疑，并对质疑内容的真实性承担责任。如果供应商或者其他利害关系人通过捏造事实、伪造证明材料等方式提出质疑，干扰政府采购活动正常进行的，属于严重不良行为，采购人、采购代理机构将提请财政部门将其列入不良行为记录名单，并依法予以处罚。</w:t>
      </w:r>
    </w:p>
    <w:p>
      <w:pPr>
        <w:snapToGrid w:val="0"/>
        <w:spacing w:line="360" w:lineRule="auto"/>
        <w:jc w:val="left"/>
        <w:rPr>
          <w:rFonts w:ascii="宋体" w:hAnsi="宋体" w:cs="宋体"/>
          <w:b/>
          <w:bCs/>
          <w:color w:val="auto"/>
          <w:sz w:val="24"/>
        </w:rPr>
      </w:pPr>
      <w:r>
        <w:rPr>
          <w:rFonts w:hint="eastAsia" w:ascii="宋体" w:hAnsi="宋体" w:cs="宋体"/>
          <w:b/>
          <w:bCs/>
          <w:color w:val="auto"/>
          <w:sz w:val="24"/>
        </w:rPr>
        <w:t>八、义务、工作纪律</w:t>
      </w:r>
    </w:p>
    <w:p>
      <w:pPr>
        <w:tabs>
          <w:tab w:val="left" w:pos="7665"/>
        </w:tabs>
        <w:spacing w:line="360" w:lineRule="auto"/>
        <w:ind w:firstLine="482" w:firstLineChars="200"/>
        <w:rPr>
          <w:rFonts w:ascii="宋体" w:hAnsi="宋体" w:cs="宋体"/>
          <w:color w:val="auto"/>
          <w:sz w:val="24"/>
        </w:rPr>
      </w:pPr>
      <w:bookmarkStart w:id="147" w:name="_Toc28505_WPSOffice_Level1"/>
      <w:r>
        <w:rPr>
          <w:rFonts w:hint="eastAsia" w:ascii="宋体" w:hAnsi="宋体" w:cs="宋体"/>
          <w:b/>
          <w:bCs/>
          <w:color w:val="auto"/>
          <w:sz w:val="24"/>
        </w:rPr>
        <w:t>46、采购人或者采购代理机构负责组织评标工作，并履行下列职责：</w:t>
      </w:r>
    </w:p>
    <w:p>
      <w:pPr>
        <w:tabs>
          <w:tab w:val="left" w:pos="7665"/>
        </w:tabs>
        <w:spacing w:line="360" w:lineRule="auto"/>
        <w:ind w:firstLine="480" w:firstLineChars="200"/>
        <w:rPr>
          <w:rFonts w:ascii="宋体" w:hAnsi="宋体" w:cs="宋体"/>
          <w:color w:val="auto"/>
          <w:sz w:val="24"/>
        </w:rPr>
      </w:pPr>
      <w:r>
        <w:rPr>
          <w:rFonts w:hint="eastAsia" w:ascii="宋体" w:hAnsi="宋体" w:cs="宋体"/>
          <w:color w:val="auto"/>
          <w:sz w:val="24"/>
        </w:rPr>
        <w:t>46.1核对评审专家身份和采购人代表授权函，对评审专家在政府采购活动中的职责履行情况予以记录，并及时将有关违法违规行为向财政部门报告；</w:t>
      </w:r>
    </w:p>
    <w:p>
      <w:pPr>
        <w:tabs>
          <w:tab w:val="left" w:pos="7665"/>
        </w:tabs>
        <w:spacing w:line="360" w:lineRule="auto"/>
        <w:ind w:firstLine="480" w:firstLineChars="200"/>
        <w:rPr>
          <w:rFonts w:ascii="宋体" w:hAnsi="宋体" w:cs="宋体"/>
          <w:color w:val="auto"/>
          <w:sz w:val="24"/>
        </w:rPr>
      </w:pPr>
      <w:r>
        <w:rPr>
          <w:rFonts w:hint="eastAsia" w:ascii="宋体" w:hAnsi="宋体" w:cs="宋体"/>
          <w:color w:val="auto"/>
          <w:sz w:val="24"/>
        </w:rPr>
        <w:t>46.2宣布评标纪律；</w:t>
      </w:r>
    </w:p>
    <w:p>
      <w:pPr>
        <w:tabs>
          <w:tab w:val="left" w:pos="7665"/>
        </w:tabs>
        <w:spacing w:line="360" w:lineRule="auto"/>
        <w:ind w:firstLine="240" w:firstLineChars="100"/>
        <w:rPr>
          <w:rFonts w:ascii="宋体" w:hAnsi="宋体" w:cs="宋体"/>
          <w:color w:val="auto"/>
          <w:sz w:val="24"/>
        </w:rPr>
      </w:pPr>
      <w:r>
        <w:rPr>
          <w:rFonts w:hint="eastAsia" w:ascii="宋体" w:hAnsi="宋体" w:cs="宋体"/>
          <w:color w:val="auto"/>
          <w:sz w:val="24"/>
        </w:rPr>
        <w:t xml:space="preserve">  46.3公布供应商名单，告知评审专家应当回避的情形；</w:t>
      </w:r>
    </w:p>
    <w:p>
      <w:pPr>
        <w:tabs>
          <w:tab w:val="left" w:pos="7665"/>
        </w:tabs>
        <w:spacing w:line="360" w:lineRule="auto"/>
        <w:ind w:firstLine="240" w:firstLineChars="100"/>
        <w:rPr>
          <w:rFonts w:ascii="宋体" w:hAnsi="宋体" w:cs="宋体"/>
          <w:color w:val="auto"/>
          <w:sz w:val="24"/>
        </w:rPr>
      </w:pPr>
      <w:r>
        <w:rPr>
          <w:rFonts w:hint="eastAsia" w:ascii="宋体" w:hAnsi="宋体" w:cs="宋体"/>
          <w:color w:val="auto"/>
          <w:sz w:val="24"/>
        </w:rPr>
        <w:t xml:space="preserve">  46.4组织评标委员会推选评标组长，采购人代表不得担任组长；</w:t>
      </w:r>
    </w:p>
    <w:p>
      <w:pPr>
        <w:tabs>
          <w:tab w:val="left" w:pos="7665"/>
        </w:tabs>
        <w:spacing w:line="360" w:lineRule="auto"/>
        <w:ind w:firstLine="240" w:firstLineChars="100"/>
        <w:rPr>
          <w:rFonts w:ascii="宋体" w:hAnsi="宋体" w:cs="宋体"/>
          <w:color w:val="auto"/>
          <w:sz w:val="24"/>
        </w:rPr>
      </w:pPr>
      <w:r>
        <w:rPr>
          <w:rFonts w:hint="eastAsia" w:ascii="宋体" w:hAnsi="宋体" w:cs="宋体"/>
          <w:color w:val="auto"/>
          <w:sz w:val="24"/>
        </w:rPr>
        <w:t xml:space="preserve">  46.5在评标期间采取必要的通讯管理措施，保证评标活动不受外界干扰；</w:t>
      </w:r>
    </w:p>
    <w:p>
      <w:pPr>
        <w:tabs>
          <w:tab w:val="left" w:pos="7665"/>
        </w:tabs>
        <w:spacing w:line="360" w:lineRule="auto"/>
        <w:ind w:firstLine="240" w:firstLineChars="100"/>
        <w:rPr>
          <w:rFonts w:ascii="宋体" w:hAnsi="宋体" w:cs="宋体"/>
          <w:color w:val="auto"/>
          <w:sz w:val="24"/>
        </w:rPr>
      </w:pPr>
      <w:r>
        <w:rPr>
          <w:rFonts w:hint="eastAsia" w:ascii="宋体" w:hAnsi="宋体" w:cs="宋体"/>
          <w:color w:val="auto"/>
          <w:sz w:val="24"/>
        </w:rPr>
        <w:t xml:space="preserve">  46.6根据评标委员会的要求介绍政府采购相关政策法规、竞争性磋商文件；</w:t>
      </w:r>
    </w:p>
    <w:p>
      <w:pPr>
        <w:tabs>
          <w:tab w:val="left" w:pos="7665"/>
        </w:tabs>
        <w:spacing w:line="360" w:lineRule="auto"/>
        <w:ind w:firstLine="240" w:firstLineChars="100"/>
        <w:rPr>
          <w:rFonts w:ascii="宋体" w:hAnsi="宋体" w:cs="宋体"/>
          <w:color w:val="auto"/>
          <w:sz w:val="24"/>
        </w:rPr>
      </w:pPr>
      <w:r>
        <w:rPr>
          <w:rFonts w:hint="eastAsia" w:ascii="宋体" w:hAnsi="宋体" w:cs="宋体"/>
          <w:color w:val="auto"/>
          <w:sz w:val="24"/>
        </w:rPr>
        <w:t xml:space="preserve">  46.7维护评标秩序，监督评标委员会依照竞争性磋商文件规定的评标程序、方法和标准进行独立评审，及时制止和纠正采购人代表、评审专家的倾向性言论或者违法违规行为；</w:t>
      </w:r>
    </w:p>
    <w:p>
      <w:pPr>
        <w:tabs>
          <w:tab w:val="left" w:pos="7665"/>
        </w:tabs>
        <w:spacing w:line="360" w:lineRule="auto"/>
        <w:ind w:firstLine="480" w:firstLineChars="200"/>
        <w:rPr>
          <w:rFonts w:ascii="宋体" w:hAnsi="宋体" w:cs="宋体"/>
          <w:color w:val="auto"/>
          <w:sz w:val="24"/>
        </w:rPr>
      </w:pPr>
      <w:r>
        <w:rPr>
          <w:rFonts w:hint="eastAsia" w:ascii="宋体" w:hAnsi="宋体" w:cs="宋体"/>
          <w:color w:val="auto"/>
          <w:sz w:val="24"/>
        </w:rPr>
        <w:t>46.8核对评标结果，有本办法第六十四条规定情形的，要求评标委员会复核或者书面说明理由，评标委员会拒绝的，应予记录并向本级财政部门报告；</w:t>
      </w:r>
    </w:p>
    <w:p>
      <w:pPr>
        <w:tabs>
          <w:tab w:val="left" w:pos="7665"/>
        </w:tabs>
        <w:spacing w:line="360" w:lineRule="auto"/>
        <w:ind w:firstLine="240" w:firstLineChars="100"/>
        <w:rPr>
          <w:rFonts w:ascii="宋体" w:hAnsi="宋体" w:cs="宋体"/>
          <w:color w:val="auto"/>
          <w:sz w:val="24"/>
        </w:rPr>
      </w:pPr>
      <w:r>
        <w:rPr>
          <w:rFonts w:hint="eastAsia" w:ascii="宋体" w:hAnsi="宋体" w:cs="宋体"/>
          <w:color w:val="auto"/>
          <w:sz w:val="24"/>
        </w:rPr>
        <w:t xml:space="preserve">  46.9处理与评标有关的其他事项</w:t>
      </w:r>
    </w:p>
    <w:p>
      <w:pPr>
        <w:tabs>
          <w:tab w:val="left" w:pos="7665"/>
        </w:tabs>
        <w:spacing w:line="360" w:lineRule="auto"/>
        <w:ind w:firstLine="240" w:firstLineChars="100"/>
        <w:rPr>
          <w:rFonts w:ascii="宋体" w:hAnsi="宋体" w:cs="宋体"/>
          <w:color w:val="auto"/>
          <w:sz w:val="24"/>
        </w:rPr>
      </w:pPr>
      <w:r>
        <w:rPr>
          <w:rFonts w:hint="eastAsia" w:ascii="宋体" w:hAnsi="宋体" w:cs="宋体"/>
          <w:color w:val="auto"/>
          <w:sz w:val="24"/>
        </w:rPr>
        <w:t xml:space="preserve">  采购人可以在评标前说明项目背景和采购需求，说明内容不得含有歧视性、倾向性意见，不得超出竞争性磋商文件所述范围。说明应当提交书面材料，并随竞争性磋商文件一并存档。</w:t>
      </w:r>
    </w:p>
    <w:p>
      <w:pPr>
        <w:tabs>
          <w:tab w:val="left" w:pos="7665"/>
        </w:tabs>
        <w:spacing w:line="360" w:lineRule="auto"/>
        <w:ind w:firstLine="480" w:firstLineChars="200"/>
        <w:rPr>
          <w:rFonts w:ascii="宋体" w:hAnsi="宋体" w:cs="宋体"/>
          <w:bCs/>
          <w:color w:val="auto"/>
          <w:sz w:val="24"/>
        </w:rPr>
      </w:pPr>
      <w:r>
        <w:rPr>
          <w:rFonts w:hint="eastAsia" w:ascii="宋体" w:hAnsi="宋体" w:cs="宋体"/>
          <w:bCs/>
          <w:color w:val="auto"/>
          <w:sz w:val="24"/>
        </w:rPr>
        <w:t>47、磋商小组在政府采购活动中承担以下义务：</w:t>
      </w:r>
    </w:p>
    <w:p>
      <w:pPr>
        <w:tabs>
          <w:tab w:val="left" w:pos="7665"/>
        </w:tabs>
        <w:spacing w:line="360" w:lineRule="auto"/>
        <w:ind w:firstLine="480" w:firstLineChars="200"/>
        <w:rPr>
          <w:rFonts w:ascii="宋体" w:hAnsi="宋体" w:cs="宋体"/>
          <w:bCs/>
          <w:color w:val="auto"/>
          <w:sz w:val="24"/>
        </w:rPr>
      </w:pPr>
      <w:r>
        <w:rPr>
          <w:rFonts w:hint="eastAsia" w:ascii="宋体" w:hAnsi="宋体" w:cs="宋体"/>
          <w:bCs/>
          <w:color w:val="auto"/>
          <w:sz w:val="24"/>
        </w:rPr>
        <w:t>（一）遵守评审工作纪律；</w:t>
      </w:r>
    </w:p>
    <w:p>
      <w:pPr>
        <w:tabs>
          <w:tab w:val="left" w:pos="7665"/>
        </w:tabs>
        <w:spacing w:line="360" w:lineRule="auto"/>
        <w:ind w:firstLine="480" w:firstLineChars="200"/>
        <w:rPr>
          <w:rFonts w:ascii="宋体" w:hAnsi="宋体" w:cs="宋体"/>
          <w:bCs/>
          <w:color w:val="auto"/>
          <w:sz w:val="24"/>
        </w:rPr>
      </w:pPr>
      <w:r>
        <w:rPr>
          <w:rFonts w:hint="eastAsia" w:ascii="宋体" w:hAnsi="宋体" w:cs="宋体"/>
          <w:bCs/>
          <w:color w:val="auto"/>
          <w:sz w:val="24"/>
        </w:rPr>
        <w:t>（二）按照客观、公正、审慎的原则，根据磋商文件规定的评审程序、评审方法和评审标准进行独立评审；</w:t>
      </w:r>
    </w:p>
    <w:p>
      <w:pPr>
        <w:tabs>
          <w:tab w:val="left" w:pos="7665"/>
        </w:tabs>
        <w:spacing w:line="360" w:lineRule="auto"/>
        <w:ind w:firstLine="480" w:firstLineChars="200"/>
        <w:rPr>
          <w:rFonts w:ascii="宋体" w:hAnsi="宋体" w:cs="宋体"/>
          <w:bCs/>
          <w:color w:val="auto"/>
          <w:sz w:val="24"/>
        </w:rPr>
      </w:pPr>
      <w:r>
        <w:rPr>
          <w:rFonts w:hint="eastAsia" w:ascii="宋体" w:hAnsi="宋体" w:cs="宋体"/>
          <w:bCs/>
          <w:color w:val="auto"/>
          <w:sz w:val="24"/>
        </w:rPr>
        <w:t>（三）不得泄露评审文件、评审情况和在评审过程中获悉的商业秘密；</w:t>
      </w:r>
    </w:p>
    <w:p>
      <w:pPr>
        <w:tabs>
          <w:tab w:val="left" w:pos="7665"/>
        </w:tabs>
        <w:spacing w:line="360" w:lineRule="auto"/>
        <w:ind w:firstLine="480" w:firstLineChars="200"/>
        <w:rPr>
          <w:rFonts w:ascii="宋体" w:hAnsi="宋体" w:cs="宋体"/>
          <w:bCs/>
          <w:color w:val="auto"/>
          <w:sz w:val="24"/>
        </w:rPr>
      </w:pPr>
      <w:r>
        <w:rPr>
          <w:rFonts w:hint="eastAsia" w:ascii="宋体" w:hAnsi="宋体" w:cs="宋体"/>
          <w:bCs/>
          <w:color w:val="auto"/>
          <w:sz w:val="24"/>
        </w:rPr>
        <w:t>（四）及时向财政部门报告评审过程中发现的采购人、采购代理机构向评审专家做倾向性、误导性的解释或者说明，以及供应商行贿、提供虚假材料或者串通等违法行为；</w:t>
      </w:r>
    </w:p>
    <w:p>
      <w:pPr>
        <w:tabs>
          <w:tab w:val="left" w:pos="7665"/>
        </w:tabs>
        <w:spacing w:line="360" w:lineRule="auto"/>
        <w:ind w:firstLine="480" w:firstLineChars="200"/>
        <w:rPr>
          <w:rFonts w:ascii="宋体" w:hAnsi="宋体" w:cs="宋体"/>
          <w:bCs/>
          <w:color w:val="auto"/>
          <w:sz w:val="24"/>
        </w:rPr>
      </w:pPr>
      <w:r>
        <w:rPr>
          <w:rFonts w:hint="eastAsia" w:ascii="宋体" w:hAnsi="宋体" w:cs="宋体"/>
          <w:bCs/>
          <w:color w:val="auto"/>
          <w:sz w:val="24"/>
        </w:rPr>
        <w:t>（五）发现磋商文件内容违反国家有关强制性规定或者磋商文件存在歧义、重大缺陷导致评审工作无法进行时，停止评审并向采购人或者采购代理机构书面说明情况；</w:t>
      </w:r>
    </w:p>
    <w:p>
      <w:pPr>
        <w:tabs>
          <w:tab w:val="left" w:pos="7665"/>
        </w:tabs>
        <w:spacing w:line="360" w:lineRule="auto"/>
        <w:ind w:firstLine="480" w:firstLineChars="200"/>
        <w:rPr>
          <w:rFonts w:ascii="宋体" w:hAnsi="宋体" w:cs="宋体"/>
          <w:bCs/>
          <w:color w:val="auto"/>
          <w:sz w:val="24"/>
        </w:rPr>
      </w:pPr>
      <w:r>
        <w:rPr>
          <w:rFonts w:hint="eastAsia" w:ascii="宋体" w:hAnsi="宋体" w:cs="宋体"/>
          <w:bCs/>
          <w:color w:val="auto"/>
          <w:sz w:val="24"/>
        </w:rPr>
        <w:t>（六）及时向财政、监察等部门举报在评审过程中受到非法干预的情况；</w:t>
      </w:r>
    </w:p>
    <w:p>
      <w:pPr>
        <w:tabs>
          <w:tab w:val="left" w:pos="7665"/>
        </w:tabs>
        <w:spacing w:line="360" w:lineRule="auto"/>
        <w:ind w:firstLine="480" w:firstLineChars="200"/>
        <w:rPr>
          <w:rFonts w:ascii="宋体" w:hAnsi="宋体" w:cs="宋体"/>
          <w:bCs/>
          <w:color w:val="auto"/>
          <w:sz w:val="24"/>
        </w:rPr>
      </w:pPr>
      <w:r>
        <w:rPr>
          <w:rFonts w:hint="eastAsia" w:ascii="宋体" w:hAnsi="宋体" w:cs="宋体"/>
          <w:bCs/>
          <w:color w:val="auto"/>
          <w:sz w:val="24"/>
        </w:rPr>
        <w:t>（七）配合答复处理供应商的询问、质疑和投诉等事项；</w:t>
      </w:r>
    </w:p>
    <w:p>
      <w:pPr>
        <w:tabs>
          <w:tab w:val="left" w:pos="7665"/>
        </w:tabs>
        <w:spacing w:line="360" w:lineRule="auto"/>
        <w:ind w:firstLine="480" w:firstLineChars="200"/>
        <w:rPr>
          <w:rFonts w:ascii="宋体" w:hAnsi="宋体" w:cs="宋体"/>
          <w:bCs/>
          <w:color w:val="auto"/>
          <w:sz w:val="24"/>
        </w:rPr>
      </w:pPr>
      <w:r>
        <w:rPr>
          <w:rFonts w:hint="eastAsia" w:ascii="宋体" w:hAnsi="宋体" w:cs="宋体"/>
          <w:bCs/>
          <w:color w:val="auto"/>
          <w:sz w:val="24"/>
        </w:rPr>
        <w:t>（八）法律、法规和规章规定的其他义务。</w:t>
      </w:r>
    </w:p>
    <w:p>
      <w:pPr>
        <w:tabs>
          <w:tab w:val="left" w:pos="7665"/>
        </w:tabs>
        <w:spacing w:line="360" w:lineRule="auto"/>
        <w:ind w:firstLine="480" w:firstLineChars="200"/>
        <w:rPr>
          <w:rFonts w:ascii="宋体" w:hAnsi="宋体" w:cs="宋体"/>
          <w:bCs/>
          <w:color w:val="auto"/>
          <w:sz w:val="24"/>
        </w:rPr>
      </w:pPr>
      <w:r>
        <w:rPr>
          <w:rFonts w:hint="eastAsia" w:ascii="宋体" w:hAnsi="宋体" w:cs="宋体"/>
          <w:bCs/>
          <w:color w:val="auto"/>
          <w:sz w:val="24"/>
        </w:rPr>
        <w:t>48、磋商小组在政府采购活动中应当遵守以下工作纪律：</w:t>
      </w:r>
    </w:p>
    <w:p>
      <w:pPr>
        <w:tabs>
          <w:tab w:val="left" w:pos="7665"/>
        </w:tabs>
        <w:spacing w:line="360" w:lineRule="auto"/>
        <w:ind w:firstLine="480" w:firstLineChars="200"/>
        <w:rPr>
          <w:rFonts w:ascii="宋体" w:hAnsi="宋体" w:cs="宋体"/>
          <w:bCs/>
          <w:color w:val="auto"/>
          <w:sz w:val="24"/>
        </w:rPr>
      </w:pPr>
      <w:r>
        <w:rPr>
          <w:rFonts w:hint="eastAsia" w:ascii="宋体" w:hAnsi="宋体" w:cs="宋体"/>
          <w:bCs/>
          <w:color w:val="auto"/>
          <w:sz w:val="24"/>
        </w:rPr>
        <w:t>（一）不得参加与自己有《中华人民共和国政府采购法实施条例》第九条规定的利害关系的政府采购项目的评标活动。发现参加了与自己有利害关系的评审活动，须主动提出回避，退出评审；</w:t>
      </w:r>
    </w:p>
    <w:p>
      <w:pPr>
        <w:tabs>
          <w:tab w:val="left" w:pos="7665"/>
        </w:tabs>
        <w:spacing w:line="360" w:lineRule="auto"/>
        <w:ind w:firstLine="480" w:firstLineChars="200"/>
        <w:rPr>
          <w:rFonts w:ascii="宋体" w:hAnsi="宋体" w:cs="宋体"/>
          <w:bCs/>
          <w:color w:val="auto"/>
          <w:sz w:val="24"/>
        </w:rPr>
      </w:pPr>
      <w:r>
        <w:rPr>
          <w:rFonts w:hint="eastAsia" w:ascii="宋体" w:hAnsi="宋体" w:cs="宋体"/>
          <w:bCs/>
          <w:color w:val="auto"/>
          <w:sz w:val="24"/>
        </w:rPr>
        <w:t>（二）评审前，应当将通讯工具或者相关电子设备交由采购代理机构统一保管；</w:t>
      </w:r>
    </w:p>
    <w:p>
      <w:pPr>
        <w:tabs>
          <w:tab w:val="left" w:pos="7665"/>
        </w:tabs>
        <w:spacing w:line="360" w:lineRule="auto"/>
        <w:ind w:firstLine="480" w:firstLineChars="200"/>
        <w:rPr>
          <w:rFonts w:ascii="宋体" w:hAnsi="宋体" w:cs="宋体"/>
          <w:bCs/>
          <w:color w:val="auto"/>
          <w:sz w:val="24"/>
        </w:rPr>
      </w:pPr>
      <w:r>
        <w:rPr>
          <w:rFonts w:hint="eastAsia" w:ascii="宋体" w:hAnsi="宋体" w:cs="宋体"/>
          <w:bCs/>
          <w:color w:val="auto"/>
          <w:sz w:val="24"/>
        </w:rPr>
        <w:t>（三）评审过程中，不得与外界联系，因发生不可预见情况，确实需要与外界联系的，应当在监督人员监督之下办理；</w:t>
      </w:r>
    </w:p>
    <w:p>
      <w:pPr>
        <w:tabs>
          <w:tab w:val="left" w:pos="7665"/>
        </w:tabs>
        <w:spacing w:line="360" w:lineRule="auto"/>
        <w:ind w:firstLine="480" w:firstLineChars="200"/>
        <w:rPr>
          <w:rFonts w:ascii="宋体" w:hAnsi="宋体" w:cs="宋体"/>
          <w:bCs/>
          <w:color w:val="auto"/>
          <w:sz w:val="24"/>
        </w:rPr>
      </w:pPr>
      <w:r>
        <w:rPr>
          <w:rFonts w:hint="eastAsia" w:ascii="宋体" w:hAnsi="宋体" w:cs="宋体"/>
          <w:bCs/>
          <w:color w:val="auto"/>
          <w:sz w:val="24"/>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360" w:lineRule="auto"/>
        <w:ind w:firstLine="480" w:firstLineChars="200"/>
        <w:rPr>
          <w:rFonts w:ascii="宋体" w:hAnsi="宋体" w:cs="宋体"/>
          <w:bCs/>
          <w:color w:val="auto"/>
          <w:sz w:val="24"/>
        </w:rPr>
      </w:pPr>
      <w:r>
        <w:rPr>
          <w:rFonts w:hint="eastAsia" w:ascii="宋体" w:hAnsi="宋体" w:cs="宋体"/>
          <w:bCs/>
          <w:color w:val="auto"/>
          <w:sz w:val="24"/>
        </w:rPr>
        <w:t>（五）在评审过程中和评审结束后，不得记录、复制或带走任何评审资料，不得向外界透露评审内容；</w:t>
      </w:r>
    </w:p>
    <w:p>
      <w:pPr>
        <w:tabs>
          <w:tab w:val="left" w:pos="7665"/>
        </w:tabs>
        <w:spacing w:line="360" w:lineRule="auto"/>
        <w:ind w:firstLine="480" w:firstLineChars="200"/>
        <w:rPr>
          <w:rFonts w:ascii="宋体" w:hAnsi="宋体" w:cs="宋体"/>
          <w:bCs/>
          <w:color w:val="auto"/>
          <w:sz w:val="24"/>
        </w:rPr>
      </w:pPr>
      <w:r>
        <w:rPr>
          <w:rFonts w:hint="eastAsia" w:ascii="宋体" w:hAnsi="宋体" w:cs="宋体"/>
          <w:bCs/>
          <w:color w:val="auto"/>
          <w:sz w:val="24"/>
        </w:rPr>
        <w:t>（六）评审现场服从采购代理机构工作人员的管理，接受现场监督人员的合法监督；</w:t>
      </w:r>
    </w:p>
    <w:p>
      <w:pPr>
        <w:tabs>
          <w:tab w:val="left" w:pos="7665"/>
        </w:tabs>
        <w:spacing w:line="360" w:lineRule="auto"/>
        <w:ind w:firstLine="480" w:firstLineChars="200"/>
        <w:rPr>
          <w:rFonts w:ascii="宋体" w:hAnsi="宋体" w:cs="宋体"/>
          <w:b/>
          <w:bCs/>
          <w:color w:val="auto"/>
          <w:sz w:val="28"/>
          <w:szCs w:val="28"/>
        </w:rPr>
      </w:pPr>
      <w:r>
        <w:rPr>
          <w:rFonts w:hint="eastAsia" w:ascii="宋体" w:hAnsi="宋体" w:cs="宋体"/>
          <w:bCs/>
          <w:color w:val="auto"/>
          <w:sz w:val="24"/>
        </w:rPr>
        <w:t>（七）遵守有关廉洁自律规定，不得私下接触供应商，不得收受供应商及有关业务单位和个人的财物或好处，不得接受采购代理机构的请托。</w:t>
      </w:r>
    </w:p>
    <w:p>
      <w:pPr>
        <w:pageBreakBefore/>
        <w:spacing w:line="360" w:lineRule="auto"/>
        <w:jc w:val="center"/>
        <w:rPr>
          <w:rFonts w:ascii="宋体" w:hAnsi="宋体" w:cs="宋体"/>
          <w:b/>
          <w:bCs/>
          <w:color w:val="auto"/>
          <w:sz w:val="28"/>
          <w:szCs w:val="28"/>
        </w:rPr>
      </w:pPr>
      <w:r>
        <w:rPr>
          <w:rFonts w:hint="eastAsia" w:ascii="宋体" w:hAnsi="宋体" w:cs="宋体"/>
          <w:b/>
          <w:bCs/>
          <w:color w:val="auto"/>
          <w:sz w:val="28"/>
          <w:szCs w:val="28"/>
        </w:rPr>
        <w:t>第三章、</w:t>
      </w:r>
      <w:bookmarkEnd w:id="147"/>
      <w:r>
        <w:rPr>
          <w:rFonts w:hint="eastAsia" w:ascii="宋体" w:hAnsi="宋体" w:cs="宋体"/>
          <w:b/>
          <w:bCs/>
          <w:color w:val="auto"/>
          <w:sz w:val="28"/>
          <w:szCs w:val="28"/>
        </w:rPr>
        <w:t>项目采购需求</w:t>
      </w:r>
    </w:p>
    <w:p>
      <w:pPr>
        <w:spacing w:line="480" w:lineRule="exact"/>
        <w:jc w:val="left"/>
        <w:rPr>
          <w:rFonts w:asciiTheme="majorEastAsia" w:hAnsiTheme="majorEastAsia" w:eastAsiaTheme="majorEastAsia" w:cstheme="majorEastAsia"/>
          <w:b/>
          <w:color w:val="auto"/>
          <w:sz w:val="24"/>
        </w:rPr>
      </w:pPr>
      <w:bookmarkStart w:id="148" w:name="_Toc14014_WPSOffice_Level1"/>
      <w:r>
        <w:rPr>
          <w:rFonts w:hint="eastAsia" w:asciiTheme="majorEastAsia" w:hAnsiTheme="majorEastAsia" w:eastAsiaTheme="majorEastAsia" w:cstheme="majorEastAsia"/>
          <w:b/>
          <w:color w:val="auto"/>
          <w:sz w:val="24"/>
        </w:rPr>
        <w:t>一、消防设施维护方案</w:t>
      </w:r>
    </w:p>
    <w:p>
      <w:pPr>
        <w:spacing w:line="480" w:lineRule="exact"/>
        <w:ind w:firstLine="360" w:firstLineChars="150"/>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为了切实加强厚博学院校区内自动消防设施的管理，确保消防设施的完好率和正常运行，为辖区创造一个良好的消防安全环境，根据《中华人民共和国消防法》、《建筑消防设施检测技术规程》（GB50166-2007）、《建筑消防设施的维护管理》(GA587-2005)（附件3）等法律法规和有关通知精神，制定如下消防设施维护方案。</w:t>
      </w:r>
    </w:p>
    <w:p>
      <w:pPr>
        <w:spacing w:line="480" w:lineRule="exact"/>
        <w:ind w:firstLine="630"/>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（一）、维护的法律依据</w:t>
      </w:r>
    </w:p>
    <w:p>
      <w:pPr>
        <w:spacing w:line="480" w:lineRule="exact"/>
        <w:ind w:firstLine="630"/>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1、依据《消防法》第十六条第二款“按照国家标准、行业标准配置消防设施、器材，设置消防安全标志、并定期组织检验、维护，确保完好有效”的规定实施维护工作。</w:t>
      </w:r>
    </w:p>
    <w:p>
      <w:pPr>
        <w:spacing w:line="480" w:lineRule="exact"/>
        <w:ind w:firstLine="630"/>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2、依据《建筑消防设施的维护管理》（GA587-2005）的要求进行维护。</w:t>
      </w:r>
    </w:p>
    <w:p>
      <w:pPr>
        <w:spacing w:line="480" w:lineRule="exact"/>
        <w:ind w:firstLine="630"/>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（二）、维护的主要内容</w:t>
      </w:r>
    </w:p>
    <w:p>
      <w:pPr>
        <w:spacing w:line="480" w:lineRule="exact"/>
        <w:ind w:right="25" w:rightChars="12" w:firstLine="480" w:firstLineChars="200"/>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1、维护的主要内容：校（园）内的火灾自动报警系统、自动喷水灭火系统，室内外消火栓系统、应急照明与疏散指示系统、防火卷帘门系统等其它相关辅助消防施进行维护。</w:t>
      </w:r>
    </w:p>
    <w:p>
      <w:pPr>
        <w:spacing w:line="480" w:lineRule="exact"/>
        <w:ind w:right="25" w:rightChars="12" w:firstLine="480" w:firstLineChars="200"/>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注：消防维护合同期内各建筑的新建、改扩建、装饰或移动原有消防设施项目不在本次维护范围之内</w:t>
      </w:r>
      <w:r>
        <w:rPr>
          <w:rFonts w:hint="eastAsia" w:asciiTheme="majorEastAsia" w:hAnsiTheme="majorEastAsia" w:eastAsiaTheme="majorEastAsia" w:cstheme="majorEastAsia"/>
          <w:color w:val="auto"/>
          <w:sz w:val="24"/>
        </w:rPr>
        <w:t>。</w:t>
      </w:r>
    </w:p>
    <w:p>
      <w:pPr>
        <w:spacing w:line="480" w:lineRule="exact"/>
        <w:ind w:firstLine="480" w:firstLineChars="200"/>
        <w:jc w:val="left"/>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（三）、维保队伍要求：</w:t>
      </w:r>
    </w:p>
    <w:p>
      <w:pPr>
        <w:spacing w:line="480" w:lineRule="exact"/>
        <w:ind w:firstLine="630"/>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1、对消防设施进行摸底，调查实际情况，做好维护前相关的准备工作。同时按照供应商维护工作流程，制定维护方案，明确维护的时间、人员、任务、完成时限、维护工具、维护资料、维护人员的责任等。</w:t>
      </w:r>
    </w:p>
    <w:p>
      <w:pPr>
        <w:spacing w:line="480" w:lineRule="exact"/>
        <w:ind w:firstLine="417" w:firstLineChars="174"/>
        <w:jc w:val="left"/>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 xml:space="preserve"> 2、维护人员进入维护现场后,要及时与使用方单位的相关人员沟通,使其了解维护任务并予以协助和配合。维护中按维护方案逐项进行维护,依据规范做好维护记录，保质保量地完成维护工作，同时做好维护过程中的安全防范措施</w:t>
      </w:r>
    </w:p>
    <w:p>
      <w:pPr>
        <w:spacing w:line="480" w:lineRule="exact"/>
        <w:ind w:firstLine="480" w:firstLineChars="200"/>
        <w:jc w:val="left"/>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3、现场维护时安排维护负责人1名、维护人员若干名。</w:t>
      </w:r>
    </w:p>
    <w:p>
      <w:pPr>
        <w:spacing w:line="480" w:lineRule="exact"/>
        <w:ind w:firstLine="480" w:firstLineChars="200"/>
        <w:jc w:val="left"/>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4、维护时发现的问题及时向校区领导反馈。</w:t>
      </w:r>
    </w:p>
    <w:p>
      <w:pPr>
        <w:spacing w:line="480" w:lineRule="exact"/>
        <w:ind w:firstLine="480" w:firstLineChars="200"/>
        <w:jc w:val="left"/>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5、各建筑维护完毕后，统一汇总信息、出具维护反馈意见并及时送达采购人。</w:t>
      </w:r>
    </w:p>
    <w:p>
      <w:pPr>
        <w:spacing w:line="480" w:lineRule="exact"/>
        <w:ind w:firstLine="480" w:firstLineChars="200"/>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6、进入校区维护现场时，严格按照学校有关安全生产的规章制度组织维护，按要求穿工装，听从各校区现场领导的指挥。</w:t>
      </w:r>
    </w:p>
    <w:p>
      <w:pPr>
        <w:spacing w:line="480" w:lineRule="exact"/>
        <w:ind w:firstLine="480" w:firstLineChars="200"/>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7、在维护过程，严格执行维护方维护工作流程，确保整个维护过程的正规性、合法性。</w:t>
      </w:r>
    </w:p>
    <w:p>
      <w:pPr>
        <w:spacing w:line="480" w:lineRule="exact"/>
        <w:ind w:firstLine="480" w:firstLineChars="200"/>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8、严格遵守合同规定，确保各学校的利益。</w:t>
      </w:r>
    </w:p>
    <w:p>
      <w:pPr>
        <w:spacing w:line="480" w:lineRule="exact"/>
        <w:ind w:firstLine="630"/>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（四）维护的具体方法</w:t>
      </w:r>
    </w:p>
    <w:p>
      <w:pPr>
        <w:spacing w:line="480" w:lineRule="exact"/>
        <w:ind w:firstLine="480" w:firstLineChars="200"/>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1、通知检修</w:t>
      </w:r>
    </w:p>
    <w:p>
      <w:pPr>
        <w:spacing w:line="480" w:lineRule="exact"/>
        <w:ind w:firstLine="480" w:firstLineChars="200"/>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使用方巡查时发现的问题通知维护方进行设备维修，应急维护：如遇到紧急情况，在接到使用方报修电话后一小时内赶到现场排除故障，如遇到不能及时解决的问题，应与使用方协商，制定维修方案后进行维修。</w:t>
      </w:r>
    </w:p>
    <w:p>
      <w:pPr>
        <w:pStyle w:val="32"/>
        <w:numPr>
          <w:ilvl w:val="0"/>
          <w:numId w:val="5"/>
        </w:numPr>
        <w:spacing w:line="480" w:lineRule="exact"/>
        <w:ind w:firstLineChars="0"/>
        <w:rPr>
          <w:rFonts w:asciiTheme="majorEastAsia" w:hAnsiTheme="majorEastAsia" w:eastAsiaTheme="majorEastAsia" w:cstheme="majorEastAsia"/>
          <w:b/>
          <w:color w:val="auto"/>
          <w:sz w:val="24"/>
        </w:rPr>
      </w:pPr>
      <w:r>
        <w:rPr>
          <w:rFonts w:hint="eastAsia" w:asciiTheme="majorEastAsia" w:hAnsiTheme="majorEastAsia" w:eastAsiaTheme="majorEastAsia" w:cstheme="majorEastAsia"/>
          <w:b/>
          <w:color w:val="auto"/>
          <w:sz w:val="24"/>
        </w:rPr>
        <w:t>需要更换设备、材料的， 200元以下（含200元）材料费用由中标方承担，200元以上设备、材料采购，上报校方批准，货到后及时更换修理。</w:t>
      </w:r>
    </w:p>
    <w:p>
      <w:pPr>
        <w:spacing w:line="480" w:lineRule="exact"/>
        <w:ind w:firstLine="480" w:firstLineChars="200"/>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⑵、需要拆卸设备，必须上报校区停用有关设施，待批准后方可拆除修理。</w:t>
      </w:r>
    </w:p>
    <w:p>
      <w:pPr>
        <w:spacing w:line="480" w:lineRule="exact"/>
        <w:ind w:firstLine="417" w:firstLineChars="174"/>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⑶、对消防设施存在的问题和故障，当场有条件解决的，应立即解决并及时填写《设备检修、保养记录表》（见附件1），并由双方签字确认；当场无法解决的，立即提出维修方案，经使用方同意后实施。</w:t>
      </w:r>
    </w:p>
    <w:p>
      <w:pPr>
        <w:spacing w:line="480" w:lineRule="exact"/>
        <w:ind w:firstLine="480" w:firstLineChars="200"/>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2、故障报修程序</w:t>
      </w:r>
    </w:p>
    <w:p>
      <w:pPr>
        <w:spacing w:line="480" w:lineRule="exact"/>
        <w:ind w:firstLine="480" w:firstLineChars="200"/>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 xml:space="preserve">（1）日常接到使用方报消防设备设施发生故障时，维护方将迅速派维护人员在一小时内到达现场，并按维护程序进行维修。维修完毕后，认真填写《消防设备设施维修、保养记录表》并由双方签字确认。      </w:t>
      </w:r>
    </w:p>
    <w:p>
      <w:pPr>
        <w:spacing w:line="480" w:lineRule="exact"/>
        <w:ind w:firstLine="480" w:firstLineChars="200"/>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（2）应急情况下，接到校区报设施故障后，立即出动实施维修。</w:t>
      </w:r>
    </w:p>
    <w:p>
      <w:pPr>
        <w:spacing w:line="480" w:lineRule="exact"/>
        <w:ind w:firstLine="590" w:firstLineChars="246"/>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（五）、维护方式：</w:t>
      </w:r>
    </w:p>
    <w:p>
      <w:pPr>
        <w:spacing w:line="480" w:lineRule="exact"/>
        <w:ind w:firstLine="480" w:firstLineChars="200"/>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（一）定期维护：每月定期对该建筑消防设施进行检查维护，发现问题及时解决，如遇到不能及时解决的问题，应与使用方协商，制定维修方案后进行维修。</w:t>
      </w:r>
    </w:p>
    <w:p>
      <w:pPr>
        <w:spacing w:line="480" w:lineRule="exact"/>
        <w:ind w:firstLine="480" w:firstLineChars="200"/>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（二）应急维护：如遇到紧急情况，在接到使用方报修电话后一小时内赶到现场排除故障，如遇到不能及时解决的问题，应与使用方协商，制定维修方案后进行维修。</w:t>
      </w:r>
      <w:r>
        <w:rPr>
          <w:rFonts w:hint="eastAsia" w:asciiTheme="majorEastAsia" w:hAnsiTheme="majorEastAsia" w:eastAsiaTheme="majorEastAsia" w:cstheme="majorEastAsia"/>
          <w:color w:val="auto"/>
          <w:sz w:val="24"/>
        </w:rPr>
        <w:br w:type="textWrapping"/>
      </w:r>
      <w:r>
        <w:rPr>
          <w:rFonts w:hint="eastAsia" w:asciiTheme="majorEastAsia" w:hAnsiTheme="majorEastAsia" w:eastAsiaTheme="majorEastAsia" w:cstheme="majorEastAsia"/>
          <w:b/>
          <w:color w:val="auto"/>
          <w:sz w:val="24"/>
        </w:rPr>
        <w:t>二、维护标准：</w:t>
      </w:r>
      <w:r>
        <w:rPr>
          <w:rFonts w:hint="eastAsia" w:asciiTheme="majorEastAsia" w:hAnsiTheme="majorEastAsia" w:eastAsiaTheme="majorEastAsia" w:cstheme="majorEastAsia"/>
          <w:color w:val="auto"/>
          <w:sz w:val="24"/>
        </w:rPr>
        <w:br w:type="textWrapping"/>
      </w:r>
      <w:r>
        <w:rPr>
          <w:rFonts w:hint="eastAsia" w:asciiTheme="majorEastAsia" w:hAnsiTheme="majorEastAsia" w:eastAsiaTheme="majorEastAsia" w:cstheme="majorEastAsia"/>
          <w:color w:val="auto"/>
          <w:sz w:val="24"/>
        </w:rPr>
        <w:t xml:space="preserve">    （一）火灾自动报警系统检查内容：警报装置的报警功能，火灾报警探测器、手动报警按钮、火灾报警控制器、火灾显示盘的报警显示功能，消防联动控制设备的联动控制和显示。</w:t>
      </w:r>
    </w:p>
    <w:p>
      <w:pPr>
        <w:spacing w:line="480" w:lineRule="exact"/>
        <w:ind w:left="480" w:hanging="480" w:hangingChars="200"/>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维护项目：</w:t>
      </w:r>
      <w:r>
        <w:rPr>
          <w:rFonts w:hint="eastAsia" w:asciiTheme="majorEastAsia" w:hAnsiTheme="majorEastAsia" w:eastAsiaTheme="majorEastAsia" w:cstheme="majorEastAsia"/>
          <w:color w:val="auto"/>
          <w:sz w:val="24"/>
        </w:rPr>
        <w:br w:type="textWrapping"/>
      </w:r>
      <w:r>
        <w:rPr>
          <w:rFonts w:hint="eastAsia" w:asciiTheme="majorEastAsia" w:hAnsiTheme="majorEastAsia" w:eastAsiaTheme="majorEastAsia" w:cstheme="majorEastAsia"/>
          <w:color w:val="auto"/>
          <w:sz w:val="24"/>
        </w:rPr>
        <w:t>1．采用专用检测仪器分期分批对探测器进行试验，检测动作及确认显示是否正常。</w:t>
      </w:r>
    </w:p>
    <w:p>
      <w:pPr>
        <w:spacing w:line="480" w:lineRule="exact"/>
        <w:ind w:firstLine="480" w:firstLineChars="200"/>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2．试验火灾警报装置的声光工作是否正常。</w:t>
      </w:r>
    </w:p>
    <w:p>
      <w:pPr>
        <w:spacing w:line="480" w:lineRule="exact"/>
        <w:ind w:firstLine="480" w:firstLineChars="200"/>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3．手动报警按钮信号传输功能是否正常。</w:t>
      </w:r>
    </w:p>
    <w:p>
      <w:pPr>
        <w:spacing w:line="480" w:lineRule="exact"/>
        <w:ind w:firstLine="480" w:firstLineChars="200"/>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4．试验水流指示器、压力开关等控制模块信号传输显示是否正常。</w:t>
      </w:r>
    </w:p>
    <w:p>
      <w:pPr>
        <w:spacing w:line="480" w:lineRule="exact"/>
        <w:ind w:firstLine="480" w:firstLineChars="200"/>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5．火灾报警控制器、火灾显示盘、声光报警器的报警显示功能是否正常。</w:t>
      </w:r>
    </w:p>
    <w:p>
      <w:pPr>
        <w:spacing w:line="480" w:lineRule="exact"/>
        <w:ind w:firstLine="480" w:firstLineChars="200"/>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6．每季度对控制器备用电源进行1—2次充放电试验，1—3次主电源和备用电源切换试验。</w:t>
      </w:r>
    </w:p>
    <w:p>
      <w:pPr>
        <w:spacing w:line="480" w:lineRule="exact"/>
        <w:ind w:firstLine="480" w:firstLineChars="200"/>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7. 火灾自动报警装置每层、每回路报警系统和联动控制设备的功能试验。每12个月对探测器、手动报警按钮检查不少于一次。</w:t>
      </w:r>
    </w:p>
    <w:p>
      <w:pPr>
        <w:spacing w:line="480" w:lineRule="exact"/>
        <w:ind w:firstLine="480" w:firstLineChars="200"/>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（二）自动喷水灭火系统检查内容：喷头外观，报警阀组外观，末端试水装置压力值及功能，消防水泵及控制柜工作状态，水泵结合器外观、标识，管网控制阀门启闭状态。</w:t>
      </w:r>
    </w:p>
    <w:p>
      <w:pPr>
        <w:spacing w:line="480" w:lineRule="exact"/>
        <w:ind w:left="2"/>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维护项目：</w:t>
      </w:r>
    </w:p>
    <w:p>
      <w:pPr>
        <w:spacing w:line="480" w:lineRule="exact"/>
        <w:ind w:left="2" w:leftChars="1" w:firstLine="480" w:firstLineChars="200"/>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1. 每月检查供水控制阀的开启状态、灵活性。</w:t>
      </w:r>
      <w:r>
        <w:rPr>
          <w:rFonts w:hint="eastAsia" w:asciiTheme="majorEastAsia" w:hAnsiTheme="majorEastAsia" w:eastAsiaTheme="majorEastAsia" w:cstheme="majorEastAsia"/>
          <w:color w:val="auto"/>
          <w:sz w:val="24"/>
        </w:rPr>
        <w:br w:type="textWrapping"/>
      </w:r>
      <w:r>
        <w:rPr>
          <w:rFonts w:hint="eastAsia" w:asciiTheme="majorEastAsia" w:hAnsiTheme="majorEastAsia" w:eastAsiaTheme="majorEastAsia" w:cstheme="majorEastAsia"/>
          <w:color w:val="auto"/>
          <w:sz w:val="24"/>
        </w:rPr>
        <w:t xml:space="preserve">    2．每季度对消防水泵结合器接口及附件检查一次，确认接口是否完好、无渗漏、闷盖齐全。</w:t>
      </w:r>
      <w:r>
        <w:rPr>
          <w:rFonts w:hint="eastAsia" w:asciiTheme="majorEastAsia" w:hAnsiTheme="majorEastAsia" w:eastAsiaTheme="majorEastAsia" w:cstheme="majorEastAsia"/>
          <w:color w:val="auto"/>
          <w:sz w:val="24"/>
        </w:rPr>
        <w:br w:type="textWrapping"/>
      </w:r>
      <w:r>
        <w:rPr>
          <w:rFonts w:hint="eastAsia" w:asciiTheme="majorEastAsia" w:hAnsiTheme="majorEastAsia" w:eastAsiaTheme="majorEastAsia" w:cstheme="majorEastAsia"/>
          <w:color w:val="auto"/>
          <w:sz w:val="24"/>
        </w:rPr>
        <w:t xml:space="preserve">    3．每月检查一次喷头，清除障碍物，发现不正常的喷头及时更换。</w:t>
      </w:r>
      <w:r>
        <w:rPr>
          <w:rFonts w:hint="eastAsia" w:asciiTheme="majorEastAsia" w:hAnsiTheme="majorEastAsia" w:eastAsiaTheme="majorEastAsia" w:cstheme="majorEastAsia"/>
          <w:color w:val="auto"/>
          <w:sz w:val="24"/>
        </w:rPr>
        <w:br w:type="textWrapping"/>
      </w:r>
      <w:r>
        <w:rPr>
          <w:rFonts w:hint="eastAsia" w:asciiTheme="majorEastAsia" w:hAnsiTheme="majorEastAsia" w:eastAsiaTheme="majorEastAsia" w:cstheme="majorEastAsia"/>
          <w:color w:val="auto"/>
          <w:sz w:val="24"/>
        </w:rPr>
        <w:t xml:space="preserve">    4. 每两月用末端试水装置对水流指示器作一次检查，确认报警正常。</w:t>
      </w:r>
      <w:r>
        <w:rPr>
          <w:rFonts w:hint="eastAsia" w:asciiTheme="majorEastAsia" w:hAnsiTheme="majorEastAsia" w:eastAsiaTheme="majorEastAsia" w:cstheme="majorEastAsia"/>
          <w:color w:val="auto"/>
          <w:sz w:val="24"/>
        </w:rPr>
        <w:br w:type="textWrapping"/>
      </w:r>
      <w:r>
        <w:rPr>
          <w:rFonts w:hint="eastAsia" w:asciiTheme="majorEastAsia" w:hAnsiTheme="majorEastAsia" w:eastAsiaTheme="majorEastAsia" w:cstheme="majorEastAsia"/>
          <w:color w:val="auto"/>
          <w:sz w:val="24"/>
        </w:rPr>
        <w:t xml:space="preserve">    5. 每季度对湿式报警阀旁的供水阀进行一次供水试验，确认报警正常。</w:t>
      </w:r>
      <w:r>
        <w:rPr>
          <w:rFonts w:hint="eastAsia" w:asciiTheme="majorEastAsia" w:hAnsiTheme="majorEastAsia" w:eastAsiaTheme="majorEastAsia" w:cstheme="majorEastAsia"/>
          <w:color w:val="auto"/>
          <w:sz w:val="24"/>
        </w:rPr>
        <w:br w:type="textWrapping"/>
      </w:r>
      <w:r>
        <w:rPr>
          <w:rFonts w:hint="eastAsia" w:asciiTheme="majorEastAsia" w:hAnsiTheme="majorEastAsia" w:eastAsiaTheme="majorEastAsia" w:cstheme="majorEastAsia"/>
          <w:color w:val="auto"/>
          <w:sz w:val="24"/>
        </w:rPr>
        <w:t xml:space="preserve">    6. 每季度对室外阀门、进水控制阀门检查一次确保处于开启状态。</w:t>
      </w:r>
      <w:r>
        <w:rPr>
          <w:rFonts w:hint="eastAsia" w:asciiTheme="majorEastAsia" w:hAnsiTheme="majorEastAsia" w:eastAsiaTheme="majorEastAsia" w:cstheme="majorEastAsia"/>
          <w:color w:val="auto"/>
          <w:sz w:val="24"/>
        </w:rPr>
        <w:br w:type="textWrapping"/>
      </w:r>
      <w:r>
        <w:rPr>
          <w:rFonts w:hint="eastAsia" w:asciiTheme="majorEastAsia" w:hAnsiTheme="majorEastAsia" w:eastAsiaTheme="majorEastAsia" w:cstheme="majorEastAsia"/>
          <w:color w:val="auto"/>
          <w:sz w:val="24"/>
        </w:rPr>
        <w:t xml:space="preserve">    （三）消防控制联动系统检查内容：消防电源、自动喷水灭火系统联动启动功能、室内消火栓联动功能以及室外消火栓使用功能、消防广播联动切换功能的检查，消防联动测试声光报警器报警功能灯，防火分区防火卷帘升降功能、机械防排烟手动启动及自动启动功能。</w:t>
      </w:r>
    </w:p>
    <w:p>
      <w:pPr>
        <w:spacing w:line="480" w:lineRule="exact"/>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维护项目：</w:t>
      </w:r>
    </w:p>
    <w:p>
      <w:pPr>
        <w:spacing w:line="480" w:lineRule="exact"/>
        <w:ind w:firstLine="480" w:firstLineChars="200"/>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1、消防供电设施供电功能和主备电源切换功能检查，检验供电能力。</w:t>
      </w:r>
    </w:p>
    <w:p>
      <w:pPr>
        <w:spacing w:line="480" w:lineRule="exact"/>
        <w:ind w:firstLine="480" w:firstLineChars="200"/>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2、自动喷水灭火系统在末端放水，进行系统功能联动试验，水流指示器报警，压力开关、水力警铃动作。对消防设施上的仪器仪表进行校验；每12个月对每个末端放水阀检查不少于一次。</w:t>
      </w:r>
    </w:p>
    <w:p>
      <w:pPr>
        <w:spacing w:line="480" w:lineRule="exact"/>
        <w:ind w:firstLine="480" w:firstLineChars="200"/>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3、通过报警联动试验，联动启动声光报警功能；检查消防广播切换功能；检查应急照明、疏散指示标志功能；检查正压送风或机械排烟系统功能，并测试风速、风压值；检查防火卷帘们的联动及手动功能。</w:t>
      </w:r>
    </w:p>
    <w:p>
      <w:pPr>
        <w:spacing w:line="480" w:lineRule="exact"/>
        <w:ind w:firstLine="480" w:firstLineChars="200"/>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（四）消火栓系统检查内容：室内外消火栓及配套附件、控制阀门。</w:t>
      </w:r>
    </w:p>
    <w:p>
      <w:pPr>
        <w:spacing w:line="480" w:lineRule="exact"/>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维护项目</w:t>
      </w:r>
    </w:p>
    <w:p>
      <w:pPr>
        <w:spacing w:line="480" w:lineRule="exact"/>
        <w:ind w:firstLine="480" w:firstLineChars="200"/>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1. 每季度检查室内外消火栓栓口是否漏水，开关是否灵活，组件是否完整。</w:t>
      </w:r>
      <w:r>
        <w:rPr>
          <w:rFonts w:hint="eastAsia" w:asciiTheme="majorEastAsia" w:hAnsiTheme="majorEastAsia" w:eastAsiaTheme="majorEastAsia" w:cstheme="majorEastAsia"/>
          <w:color w:val="auto"/>
          <w:sz w:val="24"/>
        </w:rPr>
        <w:br w:type="textWrapping"/>
      </w:r>
      <w:r>
        <w:rPr>
          <w:rFonts w:hint="eastAsia" w:asciiTheme="majorEastAsia" w:hAnsiTheme="majorEastAsia" w:eastAsiaTheme="majorEastAsia" w:cstheme="majorEastAsia"/>
          <w:color w:val="auto"/>
          <w:sz w:val="24"/>
        </w:rPr>
        <w:t xml:space="preserve">    2. 每季度对屋面试验消火栓进行放水试验，实验供水系统的水压。</w:t>
      </w:r>
    </w:p>
    <w:p>
      <w:pPr>
        <w:spacing w:line="480" w:lineRule="exact"/>
        <w:ind w:firstLine="480" w:firstLineChars="200"/>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3. 消防给水系统最不利点消火栓出水，每12个月累计对每个消火栓、水枪、水带检查不少于一次。</w:t>
      </w:r>
    </w:p>
    <w:p>
      <w:pPr>
        <w:spacing w:line="480" w:lineRule="exact"/>
        <w:ind w:firstLine="480" w:firstLineChars="200"/>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4. 供水控制阀的开启状态、灵活性查验。</w:t>
      </w:r>
    </w:p>
    <w:p>
      <w:pPr>
        <w:spacing w:line="480" w:lineRule="exact"/>
        <w:ind w:firstLine="480" w:firstLineChars="200"/>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（五）防排烟系统检查内容：定期对防排烟系统机械阀门启闭功能检查及其联动试验、防排烟风机联动试验、检查防排烟系统功能使用情况。</w:t>
      </w:r>
    </w:p>
    <w:p>
      <w:pPr>
        <w:spacing w:line="480" w:lineRule="exact"/>
        <w:ind w:firstLine="480" w:firstLineChars="200"/>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（六）消防安全照明、疏散指示系统：定期对应急照明和疏散指示灯进行电源切换和充电功能，标识正确性检查。</w:t>
      </w:r>
    </w:p>
    <w:p>
      <w:pPr>
        <w:spacing w:line="480" w:lineRule="exact"/>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维护项目</w:t>
      </w:r>
    </w:p>
    <w:p>
      <w:pPr>
        <w:spacing w:line="480" w:lineRule="exact"/>
        <w:ind w:firstLine="480" w:firstLineChars="200"/>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1、应急照明和疏散指示外观，应急照明和疏散指示工作状态、应急照明和疏散指示标识正确性检查。</w:t>
      </w:r>
    </w:p>
    <w:p>
      <w:pPr>
        <w:spacing w:line="480" w:lineRule="exact"/>
        <w:ind w:firstLine="480" w:firstLineChars="200"/>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（七） 防火卷帘门系统：防火卷帘控制器工作状态，手动启/停按钮外观及运行状况，模拟自动启动防火卷帘系统功能。</w:t>
      </w:r>
    </w:p>
    <w:p>
      <w:pPr>
        <w:spacing w:line="480" w:lineRule="exact"/>
        <w:ind w:firstLine="480" w:firstLineChars="200"/>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（八）灭火器：对每只灭火器选型、压力和有效期检查每季度不少于1次。</w:t>
      </w:r>
    </w:p>
    <w:p>
      <w:pPr>
        <w:snapToGrid w:val="0"/>
        <w:spacing w:line="480" w:lineRule="exact"/>
        <w:rPr>
          <w:rFonts w:asciiTheme="majorEastAsia" w:hAnsiTheme="majorEastAsia" w:eastAsiaTheme="majorEastAsia" w:cstheme="majorEastAsia"/>
          <w:b/>
          <w:color w:val="auto"/>
          <w:sz w:val="24"/>
        </w:rPr>
      </w:pPr>
      <w:r>
        <w:rPr>
          <w:rFonts w:hint="eastAsia" w:asciiTheme="majorEastAsia" w:hAnsiTheme="majorEastAsia" w:eastAsiaTheme="majorEastAsia" w:cstheme="majorEastAsia"/>
          <w:b/>
          <w:color w:val="auto"/>
          <w:sz w:val="24"/>
        </w:rPr>
        <w:t>三、维护管理措施</w:t>
      </w:r>
    </w:p>
    <w:p>
      <w:pPr>
        <w:spacing w:line="480" w:lineRule="exact"/>
        <w:ind w:firstLine="720" w:firstLineChars="300"/>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1、维护工作将严格按照维护施工要求工作程序开展各项工作，对各工序的工作质量严格把关；制定阶段性工期目标，严格执行关键线路工期，以小节点保大节点，对工期进行动态管理，确保阶段目标得以完成。根据维护施工中出现的影响关键线路的因素，及时分析原因，找到解决办法；严格计划管理,定期召开各维护施工作业组例会,解决维护施工中出现的各种矛盾。保证整个工期有了科学的管理，避免盲目性。</w:t>
      </w:r>
    </w:p>
    <w:p>
      <w:pPr>
        <w:spacing w:line="480" w:lineRule="exact"/>
        <w:ind w:firstLine="482"/>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2、服务承诺</w:t>
      </w:r>
    </w:p>
    <w:p>
      <w:pPr>
        <w:spacing w:line="480" w:lineRule="exact"/>
        <w:ind w:firstLine="482"/>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成交供应商应对其服务内容做出承诺，并具有切实可行的服务措施。不能及时兑现服务承诺内容的，成交供应商应怎样给予补偿，在响应文件中均应明确说明。</w:t>
      </w:r>
    </w:p>
    <w:p>
      <w:pPr>
        <w:pStyle w:val="32"/>
        <w:spacing w:line="460" w:lineRule="exact"/>
        <w:ind w:firstLine="0" w:firstLineChars="0"/>
        <w:rPr>
          <w:rFonts w:ascii="宋体" w:hAnsi="宋体" w:cs="Arial"/>
          <w:bCs/>
          <w:color w:val="auto"/>
          <w:sz w:val="24"/>
        </w:rPr>
      </w:pPr>
    </w:p>
    <w:p>
      <w:pPr>
        <w:snapToGrid w:val="0"/>
        <w:spacing w:line="480" w:lineRule="exact"/>
        <w:rPr>
          <w:rFonts w:ascii="宋体" w:hAnsi="宋体" w:cs="宋体"/>
          <w:color w:val="auto"/>
          <w:szCs w:val="21"/>
        </w:rPr>
      </w:pPr>
      <w:r>
        <w:rPr>
          <w:rFonts w:hint="eastAsia" w:asciiTheme="majorEastAsia" w:hAnsiTheme="majorEastAsia" w:eastAsiaTheme="majorEastAsia" w:cstheme="majorEastAsia"/>
          <w:b/>
          <w:color w:val="auto"/>
          <w:sz w:val="24"/>
        </w:rPr>
        <w:t>三、维护管理措施</w:t>
      </w:r>
    </w:p>
    <w:p>
      <w:pPr>
        <w:pStyle w:val="32"/>
        <w:spacing w:line="460" w:lineRule="exact"/>
        <w:ind w:firstLine="480"/>
        <w:rPr>
          <w:rFonts w:hint="eastAsia" w:ascii="宋体" w:hAnsi="宋体" w:eastAsia="宋体" w:cs="宋体"/>
          <w:color w:val="auto"/>
          <w:sz w:val="24"/>
          <w:lang w:val="en-US" w:eastAsia="zh-CN"/>
        </w:rPr>
      </w:pPr>
      <w:r>
        <w:rPr>
          <w:rFonts w:hint="eastAsia" w:ascii="宋体" w:hAnsi="宋体" w:cs="宋体"/>
          <w:color w:val="auto"/>
          <w:sz w:val="24"/>
          <w:lang w:val="en-US" w:eastAsia="zh-CN"/>
        </w:rPr>
        <w:t>1、</w:t>
      </w:r>
      <w:r>
        <w:rPr>
          <w:rFonts w:hint="eastAsia" w:ascii="宋体" w:hAnsi="宋体" w:cs="Courier New"/>
          <w:color w:val="auto"/>
          <w:sz w:val="24"/>
        </w:rPr>
        <w:t>项目预算资金：</w:t>
      </w:r>
      <w:r>
        <w:rPr>
          <w:rFonts w:hint="eastAsia" w:ascii="宋体" w:hAnsi="宋体" w:cs="Courier New"/>
          <w:color w:val="auto"/>
          <w:sz w:val="24"/>
        </w:rPr>
        <w:t>2</w:t>
      </w:r>
      <w:r>
        <w:rPr>
          <w:rFonts w:hint="eastAsia" w:ascii="宋体" w:hAnsi="宋体" w:cs="Courier New"/>
          <w:color w:val="auto"/>
          <w:sz w:val="24"/>
          <w:lang w:val="en-US" w:eastAsia="zh-CN"/>
        </w:rPr>
        <w:t>8</w:t>
      </w:r>
      <w:r>
        <w:rPr>
          <w:rFonts w:hint="eastAsia" w:ascii="宋体" w:hAnsi="宋体" w:cs="Courier New"/>
          <w:color w:val="auto"/>
          <w:sz w:val="24"/>
        </w:rPr>
        <w:t>万元/年</w:t>
      </w:r>
      <w:r>
        <w:rPr>
          <w:rFonts w:hint="eastAsia" w:ascii="宋体" w:hAnsi="宋体" w:cs="Courier New"/>
          <w:color w:val="auto"/>
          <w:sz w:val="24"/>
          <w:lang w:eastAsia="zh-CN"/>
        </w:rPr>
        <w:t>；</w:t>
      </w:r>
    </w:p>
    <w:p>
      <w:pPr>
        <w:pStyle w:val="32"/>
        <w:spacing w:line="460" w:lineRule="exact"/>
        <w:ind w:firstLine="480"/>
        <w:rPr>
          <w:rFonts w:ascii="宋体" w:hAnsi="宋体" w:cs="宋体"/>
          <w:color w:val="auto"/>
          <w:sz w:val="24"/>
        </w:rPr>
      </w:pPr>
      <w:r>
        <w:rPr>
          <w:rFonts w:hint="eastAsia" w:ascii="宋体" w:hAnsi="宋体" w:cs="Courier New"/>
          <w:color w:val="auto"/>
          <w:sz w:val="24"/>
          <w:lang w:val="en-US" w:eastAsia="zh-CN"/>
        </w:rPr>
        <w:t>2、</w:t>
      </w:r>
      <w:r>
        <w:rPr>
          <w:rFonts w:hint="eastAsia" w:ascii="宋体" w:hAnsi="宋体" w:cs="Courier New"/>
          <w:color w:val="auto"/>
          <w:sz w:val="24"/>
        </w:rPr>
        <w:t>服务协议期限：</w:t>
      </w:r>
      <w:r>
        <w:rPr>
          <w:rFonts w:hint="eastAsia" w:ascii="宋体" w:hAnsi="宋体" w:cs="Courier New"/>
          <w:color w:val="auto"/>
          <w:sz w:val="24"/>
          <w:lang w:eastAsia="zh-CN"/>
        </w:rPr>
        <w:t>本预算为一年服务期限费用，</w:t>
      </w:r>
      <w:r>
        <w:rPr>
          <w:rFonts w:hint="eastAsia" w:ascii="宋体" w:hAnsi="宋体" w:eastAsia="宋体" w:cs="Arial"/>
          <w:bCs/>
          <w:color w:val="auto"/>
          <w:sz w:val="24"/>
        </w:rPr>
        <w:t>服务期限</w:t>
      </w:r>
      <w:r>
        <w:rPr>
          <w:rFonts w:hint="eastAsia" w:ascii="宋体" w:hAnsi="宋体" w:cs="Arial"/>
          <w:bCs/>
          <w:color w:val="auto"/>
          <w:sz w:val="24"/>
          <w:lang w:val="en-US" w:eastAsia="zh-CN"/>
        </w:rPr>
        <w:t>为</w:t>
      </w:r>
      <w:r>
        <w:rPr>
          <w:rFonts w:hint="eastAsia" w:ascii="宋体" w:hAnsi="宋体" w:eastAsia="宋体" w:cs="Arial"/>
          <w:bCs/>
          <w:color w:val="auto"/>
          <w:sz w:val="24"/>
        </w:rPr>
        <w:t>三年,合同一年一签</w:t>
      </w:r>
      <w:r>
        <w:rPr>
          <w:rFonts w:hint="eastAsia" w:ascii="宋体" w:hAnsi="宋体" w:cs="Arial"/>
          <w:bCs/>
          <w:color w:val="auto"/>
          <w:sz w:val="24"/>
          <w:lang w:val="en-US" w:eastAsia="zh-CN"/>
        </w:rPr>
        <w:t>定</w:t>
      </w:r>
      <w:r>
        <w:rPr>
          <w:rFonts w:hint="eastAsia" w:ascii="宋体" w:hAnsi="宋体" w:eastAsia="宋体" w:cs="Arial"/>
          <w:bCs/>
          <w:color w:val="auto"/>
          <w:sz w:val="24"/>
        </w:rPr>
        <w:t>，年底考核合格后续签下一年合同。</w:t>
      </w:r>
      <w:r>
        <w:rPr>
          <w:rFonts w:hint="eastAsia" w:ascii="宋体" w:hAnsi="宋体" w:cs="Arial"/>
          <w:bCs/>
          <w:color w:val="auto"/>
          <w:sz w:val="24"/>
          <w:lang w:val="en-US" w:eastAsia="zh-CN"/>
        </w:rPr>
        <w:t>每年的</w:t>
      </w:r>
      <w:r>
        <w:rPr>
          <w:rFonts w:hint="eastAsia" w:ascii="宋体" w:hAnsi="宋体" w:cs="Arial"/>
          <w:bCs/>
          <w:color w:val="auto"/>
          <w:sz w:val="24"/>
        </w:rPr>
        <w:t>服务期满后</w:t>
      </w:r>
      <w:r>
        <w:rPr>
          <w:rFonts w:hint="eastAsia" w:ascii="宋体" w:hAnsi="宋体" w:cs="Arial"/>
          <w:bCs/>
          <w:color w:val="auto"/>
          <w:sz w:val="24"/>
        </w:rPr>
        <w:t>，学院可以根据情况决定按照中标价延长服务期限或者重新招标确定提供</w:t>
      </w:r>
      <w:r>
        <w:rPr>
          <w:rFonts w:hint="eastAsia" w:ascii="宋体" w:hAnsi="宋体" w:cs="Arial"/>
          <w:bCs/>
          <w:color w:val="auto"/>
          <w:sz w:val="24"/>
          <w:lang w:val="en-US" w:eastAsia="zh-CN"/>
        </w:rPr>
        <w:t>消防</w:t>
      </w:r>
      <w:r>
        <w:rPr>
          <w:rFonts w:hint="eastAsia" w:ascii="宋体" w:hAnsi="宋体" w:cs="Arial"/>
          <w:bCs/>
          <w:color w:val="auto"/>
          <w:sz w:val="24"/>
        </w:rPr>
        <w:t>维护服务</w:t>
      </w:r>
      <w:r>
        <w:rPr>
          <w:rFonts w:hint="eastAsia" w:ascii="宋体" w:hAnsi="宋体" w:cs="Arial"/>
          <w:bCs/>
          <w:color w:val="auto"/>
          <w:sz w:val="24"/>
        </w:rPr>
        <w:t>的单位。服务的具体事项及双方权利义务由双方在合同中约定</w:t>
      </w:r>
      <w:r>
        <w:rPr>
          <w:rFonts w:hint="eastAsia" w:ascii="宋体" w:hAnsi="宋体" w:cs="宋体"/>
          <w:color w:val="auto"/>
          <w:sz w:val="24"/>
        </w:rPr>
        <w:t>。</w:t>
      </w:r>
    </w:p>
    <w:p>
      <w:pPr>
        <w:pStyle w:val="32"/>
        <w:spacing w:line="460" w:lineRule="exact"/>
        <w:ind w:firstLine="480"/>
        <w:rPr>
          <w:rFonts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服务地点：新疆医科大学厚博学院克拉玛依校区（克拉玛依市胜利路12号）；</w:t>
      </w:r>
    </w:p>
    <w:p>
      <w:pPr>
        <w:pStyle w:val="32"/>
        <w:spacing w:line="460" w:lineRule="exact"/>
        <w:ind w:left="0" w:leftChars="0" w:firstLine="0" w:firstLineChars="0"/>
        <w:rPr>
          <w:rFonts w:hint="eastAsia" w:asciiTheme="majorEastAsia" w:hAnsiTheme="majorEastAsia" w:eastAsiaTheme="majorEastAsia" w:cstheme="majorEastAsia"/>
          <w:b/>
          <w:color w:val="auto"/>
          <w:kern w:val="2"/>
          <w:sz w:val="24"/>
          <w:szCs w:val="24"/>
          <w:lang w:val="en-US" w:eastAsia="zh-CN" w:bidi="ar-SA"/>
        </w:rPr>
      </w:pPr>
      <w:r>
        <w:rPr>
          <w:rFonts w:hint="eastAsia" w:asciiTheme="majorEastAsia" w:hAnsiTheme="majorEastAsia" w:eastAsiaTheme="majorEastAsia" w:cstheme="majorEastAsia"/>
          <w:b/>
          <w:color w:val="auto"/>
          <w:kern w:val="2"/>
          <w:sz w:val="24"/>
          <w:szCs w:val="24"/>
          <w:lang w:val="en-US" w:eastAsia="zh-CN" w:bidi="ar-SA"/>
        </w:rPr>
        <w:t>四、付款方式</w:t>
      </w:r>
    </w:p>
    <w:p>
      <w:pPr>
        <w:pStyle w:val="32"/>
        <w:spacing w:line="460" w:lineRule="exact"/>
        <w:ind w:firstLine="720" w:firstLineChars="300"/>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合同签订后3个月内支付合同总额的90%，剩余合同总额的10%做为质保金，在合同期满考核合格后一个月内支付。</w:t>
      </w:r>
    </w:p>
    <w:p>
      <w:pPr>
        <w:tabs>
          <w:tab w:val="left" w:pos="7665"/>
        </w:tabs>
        <w:spacing w:line="360" w:lineRule="auto"/>
        <w:rPr>
          <w:rFonts w:hint="eastAsia" w:ascii="宋体" w:hAnsi="宋体" w:cs="宋体"/>
          <w:b/>
          <w:color w:val="auto"/>
          <w:sz w:val="32"/>
          <w:szCs w:val="32"/>
        </w:rPr>
      </w:pPr>
    </w:p>
    <w:p>
      <w:pPr>
        <w:tabs>
          <w:tab w:val="left" w:pos="7665"/>
        </w:tabs>
        <w:spacing w:line="360" w:lineRule="auto"/>
        <w:rPr>
          <w:rFonts w:hint="eastAsia" w:ascii="宋体" w:hAnsi="宋体" w:cs="宋体"/>
          <w:b/>
          <w:color w:val="auto"/>
          <w:sz w:val="32"/>
          <w:szCs w:val="32"/>
        </w:rPr>
      </w:pPr>
    </w:p>
    <w:p>
      <w:pPr>
        <w:tabs>
          <w:tab w:val="left" w:pos="7665"/>
        </w:tabs>
        <w:spacing w:line="360" w:lineRule="auto"/>
        <w:rPr>
          <w:rFonts w:hint="eastAsia" w:ascii="宋体" w:hAnsi="宋体" w:cs="宋体"/>
          <w:b/>
          <w:color w:val="auto"/>
          <w:sz w:val="32"/>
          <w:szCs w:val="32"/>
        </w:rPr>
      </w:pPr>
    </w:p>
    <w:p>
      <w:pPr>
        <w:tabs>
          <w:tab w:val="left" w:pos="7665"/>
        </w:tabs>
        <w:spacing w:line="360" w:lineRule="auto"/>
        <w:rPr>
          <w:rFonts w:hint="eastAsia" w:ascii="宋体" w:hAnsi="宋体" w:cs="宋体"/>
          <w:b/>
          <w:color w:val="auto"/>
          <w:sz w:val="32"/>
          <w:szCs w:val="32"/>
        </w:rPr>
      </w:pPr>
    </w:p>
    <w:p>
      <w:pPr>
        <w:tabs>
          <w:tab w:val="left" w:pos="7665"/>
        </w:tabs>
        <w:spacing w:line="360" w:lineRule="auto"/>
        <w:rPr>
          <w:rFonts w:hint="eastAsia" w:ascii="宋体" w:hAnsi="宋体" w:cs="宋体"/>
          <w:b/>
          <w:color w:val="auto"/>
          <w:sz w:val="32"/>
          <w:szCs w:val="32"/>
        </w:rPr>
      </w:pPr>
    </w:p>
    <w:p>
      <w:pPr>
        <w:tabs>
          <w:tab w:val="left" w:pos="7665"/>
        </w:tabs>
        <w:spacing w:line="360" w:lineRule="auto"/>
        <w:rPr>
          <w:rFonts w:hint="eastAsia" w:ascii="宋体" w:hAnsi="宋体" w:cs="宋体"/>
          <w:b/>
          <w:color w:val="auto"/>
          <w:sz w:val="32"/>
          <w:szCs w:val="32"/>
        </w:rPr>
      </w:pPr>
    </w:p>
    <w:p>
      <w:pPr>
        <w:tabs>
          <w:tab w:val="left" w:pos="7665"/>
        </w:tabs>
        <w:spacing w:line="360" w:lineRule="auto"/>
        <w:rPr>
          <w:rFonts w:hint="eastAsia" w:ascii="宋体" w:hAnsi="宋体" w:cs="宋体"/>
          <w:b/>
          <w:color w:val="auto"/>
          <w:sz w:val="32"/>
          <w:szCs w:val="32"/>
        </w:rPr>
      </w:pPr>
    </w:p>
    <w:p>
      <w:pPr>
        <w:tabs>
          <w:tab w:val="left" w:pos="7665"/>
        </w:tabs>
        <w:spacing w:line="360" w:lineRule="auto"/>
        <w:rPr>
          <w:rFonts w:hint="eastAsia" w:ascii="宋体" w:hAnsi="宋体" w:cs="宋体"/>
          <w:b/>
          <w:color w:val="auto"/>
          <w:sz w:val="32"/>
          <w:szCs w:val="32"/>
        </w:rPr>
      </w:pPr>
    </w:p>
    <w:p>
      <w:pPr>
        <w:tabs>
          <w:tab w:val="left" w:pos="7665"/>
        </w:tabs>
        <w:spacing w:line="360" w:lineRule="auto"/>
        <w:rPr>
          <w:rFonts w:hint="eastAsia" w:ascii="宋体" w:hAnsi="宋体" w:cs="宋体"/>
          <w:b/>
          <w:color w:val="auto"/>
          <w:sz w:val="32"/>
          <w:szCs w:val="32"/>
        </w:rPr>
      </w:pPr>
    </w:p>
    <w:p>
      <w:pPr>
        <w:tabs>
          <w:tab w:val="left" w:pos="7665"/>
        </w:tabs>
        <w:spacing w:line="360" w:lineRule="auto"/>
        <w:rPr>
          <w:rFonts w:hint="eastAsia" w:ascii="宋体" w:hAnsi="宋体" w:cs="宋体"/>
          <w:b/>
          <w:color w:val="auto"/>
          <w:sz w:val="32"/>
          <w:szCs w:val="32"/>
        </w:rPr>
      </w:pPr>
    </w:p>
    <w:p>
      <w:pPr>
        <w:tabs>
          <w:tab w:val="left" w:pos="7665"/>
        </w:tabs>
        <w:spacing w:line="360" w:lineRule="auto"/>
        <w:rPr>
          <w:rFonts w:hint="eastAsia" w:ascii="宋体" w:hAnsi="宋体" w:cs="宋体"/>
          <w:b/>
          <w:color w:val="auto"/>
          <w:sz w:val="32"/>
          <w:szCs w:val="32"/>
        </w:rPr>
      </w:pPr>
    </w:p>
    <w:p>
      <w:pPr>
        <w:tabs>
          <w:tab w:val="left" w:pos="7665"/>
        </w:tabs>
        <w:spacing w:line="360" w:lineRule="auto"/>
        <w:rPr>
          <w:rFonts w:hint="eastAsia" w:ascii="宋体" w:hAnsi="宋体" w:cs="宋体"/>
          <w:b/>
          <w:color w:val="auto"/>
          <w:sz w:val="32"/>
          <w:szCs w:val="32"/>
        </w:rPr>
      </w:pPr>
    </w:p>
    <w:p>
      <w:pPr>
        <w:tabs>
          <w:tab w:val="left" w:pos="7665"/>
        </w:tabs>
        <w:spacing w:line="360" w:lineRule="auto"/>
        <w:rPr>
          <w:rFonts w:hint="eastAsia" w:ascii="宋体" w:hAnsi="宋体" w:cs="宋体"/>
          <w:b/>
          <w:color w:val="auto"/>
          <w:sz w:val="32"/>
          <w:szCs w:val="32"/>
        </w:rPr>
      </w:pPr>
    </w:p>
    <w:p>
      <w:pPr>
        <w:pStyle w:val="2"/>
        <w:rPr>
          <w:rFonts w:hint="eastAsia" w:ascii="宋体" w:hAnsi="宋体" w:cs="宋体"/>
          <w:b/>
          <w:color w:val="auto"/>
          <w:sz w:val="32"/>
          <w:szCs w:val="32"/>
        </w:rPr>
      </w:pPr>
    </w:p>
    <w:p>
      <w:pPr>
        <w:numPr>
          <w:ilvl w:val="0"/>
          <w:numId w:val="6"/>
        </w:numPr>
        <w:tabs>
          <w:tab w:val="left" w:pos="7665"/>
        </w:tabs>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合同协议书（主要内容）</w:t>
      </w:r>
    </w:p>
    <w:p>
      <w:pPr>
        <w:spacing w:line="460" w:lineRule="exact"/>
        <w:ind w:firstLine="422" w:firstLineChars="200"/>
        <w:rPr>
          <w:rFonts w:ascii="宋体" w:hAnsi="宋体" w:eastAsia="宋体" w:cs="宋体"/>
          <w:b/>
          <w:color w:val="auto"/>
          <w:szCs w:val="21"/>
          <w:u w:val="single"/>
        </w:rPr>
      </w:pPr>
      <w:r>
        <w:rPr>
          <w:rFonts w:hint="eastAsia" w:ascii="宋体" w:hAnsi="宋体" w:eastAsia="宋体" w:cs="宋体"/>
          <w:b/>
          <w:color w:val="auto"/>
          <w:szCs w:val="21"/>
          <w:lang w:val="en-US" w:eastAsia="zh-CN"/>
        </w:rPr>
        <w:t>采购</w:t>
      </w:r>
      <w:r>
        <w:rPr>
          <w:rFonts w:hint="eastAsia" w:ascii="宋体" w:hAnsi="宋体" w:eastAsia="宋体" w:cs="宋体"/>
          <w:b/>
          <w:color w:val="auto"/>
          <w:szCs w:val="21"/>
        </w:rPr>
        <w:t>人（全称）：</w:t>
      </w:r>
    </w:p>
    <w:p>
      <w:pPr>
        <w:spacing w:line="460" w:lineRule="exact"/>
        <w:ind w:firstLine="422" w:firstLineChars="200"/>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供应商（全称）：</w:t>
      </w:r>
    </w:p>
    <w:p>
      <w:pPr>
        <w:spacing w:line="360" w:lineRule="auto"/>
        <w:ind w:firstLine="424" w:firstLineChars="202"/>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 xml:space="preserve">根据 </w:t>
      </w:r>
      <w:r>
        <w:rPr>
          <w:rFonts w:hint="eastAsia" w:asciiTheme="majorEastAsia" w:hAnsiTheme="majorEastAsia" w:eastAsiaTheme="majorEastAsia" w:cstheme="majorEastAsia"/>
          <w:color w:val="auto"/>
          <w:sz w:val="21"/>
          <w:szCs w:val="21"/>
          <w:u w:val="single"/>
        </w:rPr>
        <w:t xml:space="preserve">              项目</w:t>
      </w:r>
      <w:r>
        <w:rPr>
          <w:rFonts w:hint="eastAsia" w:asciiTheme="majorEastAsia" w:hAnsiTheme="majorEastAsia" w:eastAsiaTheme="majorEastAsia" w:cstheme="majorEastAsia"/>
          <w:color w:val="auto"/>
          <w:sz w:val="21"/>
          <w:szCs w:val="21"/>
        </w:rPr>
        <w:t>的采购结果，按照《中华人民共和国政府采购法》、《合同法》的规定，</w:t>
      </w:r>
      <w:r>
        <w:rPr>
          <w:rFonts w:hint="eastAsia" w:asciiTheme="majorEastAsia" w:hAnsiTheme="majorEastAsia" w:eastAsiaTheme="majorEastAsia" w:cstheme="majorEastAsia"/>
          <w:color w:val="auto"/>
          <w:kern w:val="28"/>
          <w:sz w:val="21"/>
          <w:szCs w:val="21"/>
        </w:rPr>
        <w:t>经双方协商，</w:t>
      </w:r>
      <w:r>
        <w:rPr>
          <w:rFonts w:hint="eastAsia" w:asciiTheme="majorEastAsia" w:hAnsiTheme="majorEastAsia" w:eastAsiaTheme="majorEastAsia" w:cstheme="majorEastAsia"/>
          <w:color w:val="auto"/>
          <w:sz w:val="21"/>
          <w:szCs w:val="21"/>
        </w:rPr>
        <w:t>本着平等互利和诚实信用的原则，</w:t>
      </w:r>
      <w:r>
        <w:rPr>
          <w:rFonts w:hint="eastAsia" w:asciiTheme="majorEastAsia" w:hAnsiTheme="majorEastAsia" w:eastAsiaTheme="majorEastAsia" w:cstheme="majorEastAsia"/>
          <w:color w:val="auto"/>
          <w:kern w:val="28"/>
          <w:sz w:val="21"/>
          <w:szCs w:val="21"/>
        </w:rPr>
        <w:t>一致同意签订本合同如下。</w:t>
      </w:r>
    </w:p>
    <w:p>
      <w:pPr>
        <w:numPr>
          <w:ilvl w:val="0"/>
          <w:numId w:val="0"/>
        </w:numPr>
        <w:tabs>
          <w:tab w:val="left" w:pos="851"/>
        </w:tabs>
        <w:spacing w:line="360" w:lineRule="auto"/>
        <w:ind w:leftChars="-403" w:firstLine="843" w:firstLineChars="400"/>
        <w:rPr>
          <w:rFonts w:hint="eastAsia" w:asciiTheme="majorEastAsia" w:hAnsiTheme="majorEastAsia" w:eastAsiaTheme="majorEastAsia" w:cstheme="majorEastAsia"/>
          <w:b/>
          <w:color w:val="auto"/>
          <w:sz w:val="21"/>
          <w:szCs w:val="21"/>
          <w:lang w:eastAsia="zh-CN"/>
        </w:rPr>
      </w:pPr>
      <w:r>
        <w:rPr>
          <w:rFonts w:hint="eastAsia" w:asciiTheme="majorEastAsia" w:hAnsiTheme="majorEastAsia" w:eastAsiaTheme="majorEastAsia" w:cstheme="majorEastAsia"/>
          <w:b/>
          <w:color w:val="auto"/>
          <w:sz w:val="21"/>
          <w:szCs w:val="21"/>
          <w:lang w:val="en-US" w:eastAsia="zh-CN"/>
        </w:rPr>
        <w:t>一、</w:t>
      </w:r>
      <w:r>
        <w:rPr>
          <w:rFonts w:hint="eastAsia" w:asciiTheme="majorEastAsia" w:hAnsiTheme="majorEastAsia" w:eastAsiaTheme="majorEastAsia" w:cstheme="majorEastAsia"/>
          <w:b/>
          <w:color w:val="auto"/>
          <w:sz w:val="21"/>
          <w:szCs w:val="21"/>
        </w:rPr>
        <w:t>服务内容</w:t>
      </w:r>
      <w:r>
        <w:rPr>
          <w:rFonts w:hint="eastAsia" w:asciiTheme="majorEastAsia" w:hAnsiTheme="majorEastAsia" w:eastAsiaTheme="majorEastAsia" w:cstheme="majorEastAsia"/>
          <w:b/>
          <w:color w:val="auto"/>
          <w:sz w:val="21"/>
          <w:szCs w:val="21"/>
          <w:lang w:eastAsia="zh-CN"/>
        </w:rPr>
        <w:t>：</w:t>
      </w:r>
      <w:r>
        <w:rPr>
          <w:rFonts w:hint="eastAsia" w:ascii="宋体" w:hAnsi="宋体" w:eastAsia="宋体" w:cs="宋体"/>
          <w:color w:val="auto"/>
          <w:szCs w:val="21"/>
          <w:u w:val="single"/>
        </w:rPr>
        <w:t xml:space="preserve">                                    </w:t>
      </w:r>
    </w:p>
    <w:p>
      <w:pPr>
        <w:numPr>
          <w:ilvl w:val="0"/>
          <w:numId w:val="0"/>
        </w:numPr>
        <w:tabs>
          <w:tab w:val="left" w:pos="851"/>
        </w:tabs>
        <w:spacing w:line="360" w:lineRule="auto"/>
        <w:ind w:leftChars="-403" w:firstLine="843" w:firstLineChars="400"/>
        <w:rPr>
          <w:rFonts w:hint="eastAsia" w:asciiTheme="majorEastAsia" w:hAnsiTheme="majorEastAsia" w:eastAsiaTheme="majorEastAsia" w:cstheme="majorEastAsia"/>
          <w:b/>
          <w:color w:val="auto"/>
          <w:sz w:val="21"/>
          <w:szCs w:val="21"/>
          <w:lang w:eastAsia="zh-CN"/>
        </w:rPr>
      </w:pPr>
      <w:r>
        <w:rPr>
          <w:rFonts w:hint="eastAsia" w:asciiTheme="majorEastAsia" w:hAnsiTheme="majorEastAsia" w:eastAsiaTheme="majorEastAsia" w:cstheme="majorEastAsia"/>
          <w:b/>
          <w:color w:val="auto"/>
          <w:sz w:val="21"/>
          <w:szCs w:val="21"/>
          <w:lang w:val="en-US" w:eastAsia="zh-CN"/>
        </w:rPr>
        <w:t>二、</w:t>
      </w:r>
      <w:r>
        <w:rPr>
          <w:rFonts w:hint="eastAsia" w:asciiTheme="majorEastAsia" w:hAnsiTheme="majorEastAsia" w:eastAsiaTheme="majorEastAsia" w:cstheme="majorEastAsia"/>
          <w:b/>
          <w:color w:val="auto"/>
          <w:sz w:val="21"/>
          <w:szCs w:val="21"/>
        </w:rPr>
        <w:t>合同金额</w:t>
      </w:r>
      <w:r>
        <w:rPr>
          <w:rFonts w:hint="eastAsia" w:asciiTheme="majorEastAsia" w:hAnsiTheme="majorEastAsia" w:eastAsiaTheme="majorEastAsia" w:cstheme="majorEastAsia"/>
          <w:b/>
          <w:color w:val="auto"/>
          <w:sz w:val="21"/>
          <w:szCs w:val="21"/>
          <w:lang w:eastAsia="zh-CN"/>
        </w:rPr>
        <w:t>：</w:t>
      </w:r>
      <w:r>
        <w:rPr>
          <w:rFonts w:hint="eastAsia" w:ascii="宋体" w:hAnsi="宋体" w:eastAsia="宋体" w:cs="宋体"/>
          <w:color w:val="auto"/>
          <w:szCs w:val="21"/>
          <w:u w:val="single"/>
        </w:rPr>
        <w:t xml:space="preserve">                                    </w:t>
      </w:r>
    </w:p>
    <w:p>
      <w:pPr>
        <w:tabs>
          <w:tab w:val="left" w:pos="851"/>
        </w:tabs>
        <w:spacing w:line="360" w:lineRule="auto"/>
        <w:ind w:firstLine="420" w:firstLineChars="20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合同金额为（大写）：_________________元（￥_______________元）人民币。</w:t>
      </w:r>
    </w:p>
    <w:p>
      <w:pPr>
        <w:numPr>
          <w:ilvl w:val="0"/>
          <w:numId w:val="0"/>
        </w:numPr>
        <w:tabs>
          <w:tab w:val="left" w:pos="851"/>
        </w:tabs>
        <w:spacing w:line="360" w:lineRule="auto"/>
        <w:ind w:leftChars="-403" w:firstLine="843" w:firstLineChars="400"/>
        <w:rPr>
          <w:rFonts w:hint="eastAsia" w:asciiTheme="majorEastAsia" w:hAnsiTheme="majorEastAsia" w:eastAsiaTheme="majorEastAsia" w:cstheme="majorEastAsia"/>
          <w:b/>
          <w:color w:val="auto"/>
          <w:sz w:val="21"/>
          <w:szCs w:val="21"/>
          <w:lang w:eastAsia="zh-CN"/>
        </w:rPr>
      </w:pPr>
      <w:r>
        <w:rPr>
          <w:rFonts w:hint="eastAsia" w:asciiTheme="majorEastAsia" w:hAnsiTheme="majorEastAsia" w:eastAsiaTheme="majorEastAsia" w:cstheme="majorEastAsia"/>
          <w:b/>
          <w:color w:val="auto"/>
          <w:sz w:val="21"/>
          <w:szCs w:val="21"/>
          <w:lang w:val="en-US" w:eastAsia="zh-CN"/>
        </w:rPr>
        <w:t>三、</w:t>
      </w:r>
      <w:r>
        <w:rPr>
          <w:rFonts w:hint="eastAsia" w:asciiTheme="majorEastAsia" w:hAnsiTheme="majorEastAsia" w:eastAsiaTheme="majorEastAsia" w:cstheme="majorEastAsia"/>
          <w:b/>
          <w:color w:val="auto"/>
          <w:sz w:val="21"/>
          <w:szCs w:val="21"/>
        </w:rPr>
        <w:t>服务要求及标准</w:t>
      </w:r>
      <w:r>
        <w:rPr>
          <w:rFonts w:hint="eastAsia" w:asciiTheme="majorEastAsia" w:hAnsiTheme="majorEastAsia" w:eastAsiaTheme="majorEastAsia" w:cstheme="majorEastAsia"/>
          <w:b/>
          <w:color w:val="auto"/>
          <w:sz w:val="21"/>
          <w:szCs w:val="21"/>
          <w:lang w:eastAsia="zh-CN"/>
        </w:rPr>
        <w:t>：</w:t>
      </w:r>
      <w:r>
        <w:rPr>
          <w:rFonts w:hint="eastAsia" w:ascii="宋体" w:hAnsi="宋体" w:eastAsia="宋体" w:cs="宋体"/>
          <w:color w:val="auto"/>
          <w:szCs w:val="21"/>
          <w:u w:val="single"/>
        </w:rPr>
        <w:t xml:space="preserve">                                    </w:t>
      </w:r>
    </w:p>
    <w:p>
      <w:pPr>
        <w:numPr>
          <w:ilvl w:val="0"/>
          <w:numId w:val="0"/>
        </w:numPr>
        <w:tabs>
          <w:tab w:val="left" w:pos="851"/>
        </w:tabs>
        <w:spacing w:line="360" w:lineRule="auto"/>
        <w:ind w:leftChars="-403" w:firstLine="843" w:firstLineChars="400"/>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lang w:val="en-US" w:eastAsia="zh-CN"/>
        </w:rPr>
        <w:t>四、</w:t>
      </w:r>
      <w:r>
        <w:rPr>
          <w:rFonts w:hint="eastAsia" w:asciiTheme="majorEastAsia" w:hAnsiTheme="majorEastAsia" w:eastAsiaTheme="majorEastAsia" w:cstheme="majorEastAsia"/>
          <w:b/>
          <w:color w:val="auto"/>
          <w:sz w:val="21"/>
          <w:szCs w:val="21"/>
        </w:rPr>
        <w:t>服务期限、服务地点</w:t>
      </w:r>
    </w:p>
    <w:p>
      <w:pPr>
        <w:tabs>
          <w:tab w:val="left" w:pos="851"/>
        </w:tabs>
        <w:spacing w:line="36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1、</w:t>
      </w:r>
      <w:r>
        <w:rPr>
          <w:rFonts w:hint="eastAsia" w:asciiTheme="majorEastAsia" w:hAnsiTheme="majorEastAsia" w:eastAsiaTheme="majorEastAsia" w:cstheme="majorEastAsia"/>
          <w:color w:val="auto"/>
          <w:sz w:val="21"/>
          <w:szCs w:val="21"/>
        </w:rPr>
        <w:t>服务期限：</w:t>
      </w:r>
      <w:r>
        <w:rPr>
          <w:rFonts w:hint="eastAsia" w:ascii="宋体" w:hAnsi="宋体" w:eastAsia="宋体" w:cs="宋体"/>
          <w:color w:val="auto"/>
          <w:szCs w:val="21"/>
          <w:u w:val="single"/>
        </w:rPr>
        <w:t xml:space="preserve">                                    </w:t>
      </w:r>
    </w:p>
    <w:p>
      <w:pPr>
        <w:tabs>
          <w:tab w:val="left" w:pos="851"/>
        </w:tabs>
        <w:spacing w:line="36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2、</w:t>
      </w:r>
      <w:r>
        <w:rPr>
          <w:rFonts w:hint="eastAsia" w:asciiTheme="majorEastAsia" w:hAnsiTheme="majorEastAsia" w:eastAsiaTheme="majorEastAsia" w:cstheme="majorEastAsia"/>
          <w:color w:val="auto"/>
          <w:sz w:val="21"/>
          <w:szCs w:val="21"/>
        </w:rPr>
        <w:t>服务地点：</w:t>
      </w:r>
      <w:r>
        <w:rPr>
          <w:rFonts w:hint="eastAsia" w:ascii="宋体" w:hAnsi="宋体" w:eastAsia="宋体" w:cs="宋体"/>
          <w:color w:val="auto"/>
          <w:szCs w:val="21"/>
          <w:u w:val="single"/>
        </w:rPr>
        <w:t xml:space="preserve">                                    </w:t>
      </w:r>
    </w:p>
    <w:p>
      <w:pPr>
        <w:numPr>
          <w:ilvl w:val="0"/>
          <w:numId w:val="0"/>
        </w:numPr>
        <w:tabs>
          <w:tab w:val="left" w:pos="851"/>
        </w:tabs>
        <w:spacing w:line="360" w:lineRule="auto"/>
        <w:ind w:leftChars="-403" w:firstLine="843" w:firstLineChars="40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b/>
          <w:color w:val="auto"/>
          <w:sz w:val="21"/>
          <w:szCs w:val="21"/>
          <w:lang w:val="en-US" w:eastAsia="zh-CN"/>
        </w:rPr>
        <w:t>五、</w:t>
      </w:r>
      <w:r>
        <w:rPr>
          <w:rFonts w:hint="eastAsia" w:asciiTheme="majorEastAsia" w:hAnsiTheme="majorEastAsia" w:eastAsiaTheme="majorEastAsia" w:cstheme="majorEastAsia"/>
          <w:b/>
          <w:color w:val="auto"/>
          <w:sz w:val="21"/>
          <w:szCs w:val="21"/>
        </w:rPr>
        <w:t>付款方式</w:t>
      </w:r>
      <w:r>
        <w:rPr>
          <w:rFonts w:hint="eastAsia" w:asciiTheme="majorEastAsia" w:hAnsiTheme="majorEastAsia" w:eastAsiaTheme="majorEastAsia" w:cstheme="majorEastAsia"/>
          <w:b/>
          <w:color w:val="auto"/>
          <w:sz w:val="21"/>
          <w:szCs w:val="21"/>
          <w:lang w:eastAsia="zh-CN"/>
        </w:rPr>
        <w:t>：</w:t>
      </w:r>
      <w:r>
        <w:rPr>
          <w:rFonts w:hint="eastAsia" w:ascii="宋体" w:hAnsi="宋体" w:eastAsia="宋体" w:cs="宋体"/>
          <w:color w:val="auto"/>
          <w:szCs w:val="21"/>
          <w:u w:val="single"/>
        </w:rPr>
        <w:t xml:space="preserve">                                    </w:t>
      </w:r>
    </w:p>
    <w:p>
      <w:pPr>
        <w:numPr>
          <w:ilvl w:val="0"/>
          <w:numId w:val="0"/>
        </w:numPr>
        <w:tabs>
          <w:tab w:val="left" w:pos="851"/>
        </w:tabs>
        <w:spacing w:line="360" w:lineRule="auto"/>
        <w:ind w:leftChars="-403" w:firstLine="843" w:firstLineChars="40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b/>
          <w:bCs/>
          <w:color w:val="auto"/>
          <w:sz w:val="21"/>
          <w:szCs w:val="21"/>
          <w:lang w:val="en-US" w:eastAsia="zh-CN"/>
        </w:rPr>
        <w:t>六、</w:t>
      </w:r>
      <w:r>
        <w:rPr>
          <w:rFonts w:hint="eastAsia" w:asciiTheme="majorEastAsia" w:hAnsiTheme="majorEastAsia" w:eastAsiaTheme="majorEastAsia" w:cstheme="majorEastAsia"/>
          <w:b/>
          <w:bCs/>
          <w:color w:val="auto"/>
          <w:sz w:val="21"/>
          <w:szCs w:val="21"/>
        </w:rPr>
        <w:t>服务考核办法</w:t>
      </w:r>
      <w:r>
        <w:rPr>
          <w:rFonts w:hint="eastAsia" w:asciiTheme="majorEastAsia" w:hAnsiTheme="majorEastAsia" w:eastAsiaTheme="majorEastAsia" w:cstheme="majorEastAsia"/>
          <w:b/>
          <w:bCs/>
          <w:color w:val="auto"/>
          <w:sz w:val="21"/>
          <w:szCs w:val="21"/>
          <w:lang w:eastAsia="zh-CN"/>
        </w:rPr>
        <w:t>：</w:t>
      </w:r>
      <w:r>
        <w:rPr>
          <w:rFonts w:hint="eastAsia" w:ascii="宋体" w:hAnsi="宋体" w:eastAsia="宋体" w:cs="宋体"/>
          <w:color w:val="auto"/>
          <w:szCs w:val="21"/>
          <w:u w:val="single"/>
        </w:rPr>
        <w:t xml:space="preserve">                                    </w:t>
      </w:r>
    </w:p>
    <w:p>
      <w:pPr>
        <w:numPr>
          <w:ilvl w:val="0"/>
          <w:numId w:val="0"/>
        </w:numPr>
        <w:tabs>
          <w:tab w:val="left" w:pos="851"/>
        </w:tabs>
        <w:spacing w:line="360" w:lineRule="auto"/>
        <w:ind w:leftChars="-403" w:firstLine="843" w:firstLineChars="400"/>
        <w:rPr>
          <w:rFonts w:hint="eastAsia" w:asciiTheme="majorEastAsia" w:hAnsiTheme="majorEastAsia" w:eastAsiaTheme="majorEastAsia" w:cstheme="majorEastAsia"/>
          <w:b/>
          <w:color w:val="auto"/>
          <w:sz w:val="21"/>
          <w:szCs w:val="21"/>
          <w:lang w:eastAsia="zh-CN"/>
        </w:rPr>
      </w:pPr>
      <w:r>
        <w:rPr>
          <w:rFonts w:hint="eastAsia" w:asciiTheme="majorEastAsia" w:hAnsiTheme="majorEastAsia" w:eastAsiaTheme="majorEastAsia" w:cstheme="majorEastAsia"/>
          <w:b/>
          <w:color w:val="auto"/>
          <w:sz w:val="21"/>
          <w:szCs w:val="21"/>
          <w:lang w:val="en-US" w:eastAsia="zh-CN"/>
        </w:rPr>
        <w:t>七、</w:t>
      </w:r>
      <w:r>
        <w:rPr>
          <w:rFonts w:hint="eastAsia" w:asciiTheme="majorEastAsia" w:hAnsiTheme="majorEastAsia" w:eastAsiaTheme="majorEastAsia" w:cstheme="majorEastAsia"/>
          <w:b/>
          <w:color w:val="auto"/>
          <w:sz w:val="21"/>
          <w:szCs w:val="21"/>
        </w:rPr>
        <w:t>违约责任与赔偿损失</w:t>
      </w:r>
      <w:r>
        <w:rPr>
          <w:rFonts w:hint="eastAsia" w:asciiTheme="majorEastAsia" w:hAnsiTheme="majorEastAsia" w:eastAsiaTheme="majorEastAsia" w:cstheme="majorEastAsia"/>
          <w:b/>
          <w:color w:val="auto"/>
          <w:sz w:val="21"/>
          <w:szCs w:val="21"/>
          <w:lang w:eastAsia="zh-CN"/>
        </w:rPr>
        <w:t>：</w:t>
      </w:r>
      <w:r>
        <w:rPr>
          <w:rFonts w:hint="eastAsia" w:ascii="宋体" w:hAnsi="宋体" w:eastAsia="宋体" w:cs="宋体"/>
          <w:color w:val="auto"/>
          <w:szCs w:val="21"/>
          <w:u w:val="single"/>
        </w:rPr>
        <w:t xml:space="preserve">                                    </w:t>
      </w:r>
    </w:p>
    <w:p>
      <w:pPr>
        <w:numPr>
          <w:ilvl w:val="0"/>
          <w:numId w:val="0"/>
        </w:numPr>
        <w:tabs>
          <w:tab w:val="left" w:pos="851"/>
        </w:tabs>
        <w:spacing w:line="360" w:lineRule="auto"/>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lang w:val="en-US" w:eastAsia="zh-CN"/>
        </w:rPr>
        <w:t>八、</w:t>
      </w:r>
      <w:r>
        <w:rPr>
          <w:rFonts w:hint="eastAsia" w:asciiTheme="majorEastAsia" w:hAnsiTheme="majorEastAsia" w:eastAsiaTheme="majorEastAsia" w:cstheme="majorEastAsia"/>
          <w:b/>
          <w:color w:val="auto"/>
          <w:sz w:val="21"/>
          <w:szCs w:val="21"/>
        </w:rPr>
        <w:t>争议的解决</w:t>
      </w:r>
    </w:p>
    <w:p>
      <w:pPr>
        <w:tabs>
          <w:tab w:val="left" w:pos="851"/>
        </w:tabs>
        <w:spacing w:line="360" w:lineRule="auto"/>
        <w:ind w:firstLine="420" w:firstLineChars="200"/>
        <w:rPr>
          <w:rFonts w:hint="eastAsia"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color w:val="auto"/>
          <w:sz w:val="21"/>
          <w:szCs w:val="21"/>
        </w:rPr>
        <w:t>合同执行过程中发生的任何争议，如双方不能通过友好协商解决，按相关法律法规处理(合同双方一致同意提请克拉玛依区仲裁委员会仲裁或向甲方所在地的人民法院提起诉讼)。</w:t>
      </w:r>
    </w:p>
    <w:p>
      <w:pPr>
        <w:numPr>
          <w:ilvl w:val="0"/>
          <w:numId w:val="0"/>
        </w:numPr>
        <w:tabs>
          <w:tab w:val="left" w:pos="851"/>
        </w:tabs>
        <w:spacing w:line="360" w:lineRule="auto"/>
        <w:ind w:leftChars="-403" w:firstLine="843" w:firstLineChars="40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b/>
          <w:color w:val="auto"/>
          <w:sz w:val="21"/>
          <w:szCs w:val="21"/>
          <w:lang w:val="en-US" w:eastAsia="zh-CN"/>
        </w:rPr>
        <w:t>九、</w:t>
      </w:r>
      <w:r>
        <w:rPr>
          <w:rFonts w:hint="eastAsia" w:asciiTheme="majorEastAsia" w:hAnsiTheme="majorEastAsia" w:eastAsiaTheme="majorEastAsia" w:cstheme="majorEastAsia"/>
          <w:b/>
          <w:color w:val="auto"/>
          <w:sz w:val="21"/>
          <w:szCs w:val="21"/>
        </w:rPr>
        <w:t>不可抗力</w:t>
      </w:r>
    </w:p>
    <w:p>
      <w:pPr>
        <w:tabs>
          <w:tab w:val="left" w:pos="851"/>
        </w:tabs>
        <w:spacing w:line="360" w:lineRule="auto"/>
        <w:ind w:firstLine="420" w:firstLineChars="20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numPr>
          <w:ilvl w:val="0"/>
          <w:numId w:val="0"/>
        </w:numPr>
        <w:tabs>
          <w:tab w:val="left" w:pos="851"/>
        </w:tabs>
        <w:spacing w:line="36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b/>
          <w:color w:val="auto"/>
          <w:sz w:val="21"/>
          <w:szCs w:val="21"/>
          <w:lang w:val="en-US" w:eastAsia="zh-CN"/>
        </w:rPr>
        <w:t>十、</w:t>
      </w:r>
      <w:r>
        <w:rPr>
          <w:rFonts w:hint="eastAsia" w:asciiTheme="majorEastAsia" w:hAnsiTheme="majorEastAsia" w:eastAsiaTheme="majorEastAsia" w:cstheme="majorEastAsia"/>
          <w:b/>
          <w:color w:val="auto"/>
          <w:sz w:val="21"/>
          <w:szCs w:val="21"/>
        </w:rPr>
        <w:t>税费</w:t>
      </w:r>
    </w:p>
    <w:p>
      <w:pPr>
        <w:tabs>
          <w:tab w:val="left" w:pos="851"/>
        </w:tabs>
        <w:spacing w:line="360" w:lineRule="auto"/>
        <w:ind w:firstLine="420" w:firstLineChars="20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在中国境内、外发生的与本合同执行有关的一切税费均由乙方负担。</w:t>
      </w:r>
    </w:p>
    <w:p>
      <w:pPr>
        <w:numPr>
          <w:ilvl w:val="0"/>
          <w:numId w:val="0"/>
        </w:numPr>
        <w:tabs>
          <w:tab w:val="left" w:pos="851"/>
        </w:tabs>
        <w:spacing w:line="360" w:lineRule="auto"/>
        <w:ind w:leftChars="-403" w:firstLine="843" w:firstLineChars="400"/>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lang w:val="en-US" w:eastAsia="zh-CN"/>
        </w:rPr>
        <w:t>十一、</w:t>
      </w:r>
      <w:r>
        <w:rPr>
          <w:rFonts w:hint="eastAsia" w:asciiTheme="majorEastAsia" w:hAnsiTheme="majorEastAsia" w:eastAsiaTheme="majorEastAsia" w:cstheme="majorEastAsia"/>
          <w:b/>
          <w:color w:val="auto"/>
          <w:sz w:val="21"/>
          <w:szCs w:val="21"/>
        </w:rPr>
        <w:t>其它</w:t>
      </w:r>
    </w:p>
    <w:p>
      <w:pPr>
        <w:tabs>
          <w:tab w:val="left" w:pos="851"/>
        </w:tabs>
        <w:spacing w:line="36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1、</w:t>
      </w:r>
      <w:r>
        <w:rPr>
          <w:rFonts w:hint="eastAsia" w:asciiTheme="majorEastAsia" w:hAnsiTheme="majorEastAsia" w:eastAsiaTheme="majorEastAsia" w:cstheme="majorEastAsia"/>
          <w:color w:val="auto"/>
          <w:sz w:val="21"/>
          <w:szCs w:val="21"/>
        </w:rPr>
        <w:t>本合同所有附件、招标文件、投标文件、中标通知书均为合同的有效组成部分，与本合同具有同等法律效力。</w:t>
      </w:r>
    </w:p>
    <w:p>
      <w:pPr>
        <w:tabs>
          <w:tab w:val="left" w:pos="851"/>
        </w:tabs>
        <w:spacing w:line="36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2、</w:t>
      </w:r>
      <w:r>
        <w:rPr>
          <w:rFonts w:hint="eastAsia" w:asciiTheme="majorEastAsia" w:hAnsiTheme="majorEastAsia" w:eastAsiaTheme="majorEastAsia" w:cstheme="majorEastAsia"/>
          <w:color w:val="auto"/>
          <w:sz w:val="21"/>
          <w:szCs w:val="21"/>
        </w:rPr>
        <w:t>在执行本合同的过程中，所有经双方签署确认的文件（包括会议纪要、补充协议、往来信函）即成为本合同的有效组成部分。</w:t>
      </w:r>
    </w:p>
    <w:p>
      <w:pPr>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color w:val="auto"/>
          <w:sz w:val="21"/>
          <w:szCs w:val="21"/>
          <w:lang w:val="en-US" w:eastAsia="zh-CN"/>
        </w:rPr>
        <w:t>3、</w:t>
      </w:r>
      <w:r>
        <w:rPr>
          <w:rFonts w:hint="eastAsia" w:asciiTheme="majorEastAsia" w:hAnsiTheme="majorEastAsia" w:eastAsiaTheme="majorEastAsia" w:cstheme="majorEastAsia"/>
          <w:color w:val="auto"/>
          <w:sz w:val="21"/>
          <w:szCs w:val="21"/>
        </w:rPr>
        <w:t>如一方地址、电话、传真号码有变更，应在变更当日内书面通知对方，否则，应承担相应责任。</w:t>
      </w:r>
    </w:p>
    <w:p>
      <w:pPr>
        <w:pStyle w:val="4"/>
        <w:spacing w:line="460" w:lineRule="exact"/>
        <w:rPr>
          <w:rFonts w:ascii="宋体" w:hAnsi="宋体" w:cs="宋体"/>
          <w:bCs/>
          <w:color w:val="auto"/>
          <w:sz w:val="21"/>
          <w:szCs w:val="21"/>
        </w:rPr>
      </w:pPr>
      <w:bookmarkStart w:id="149" w:name="_Toc351203489"/>
      <w:r>
        <w:rPr>
          <w:rFonts w:hint="eastAsia" w:ascii="宋体" w:hAnsi="宋体" w:cs="宋体"/>
          <w:b/>
          <w:color w:val="auto"/>
          <w:sz w:val="21"/>
          <w:szCs w:val="21"/>
          <w:lang w:val="en-US" w:eastAsia="zh-CN"/>
        </w:rPr>
        <w:t>十二</w:t>
      </w:r>
      <w:r>
        <w:rPr>
          <w:rFonts w:hint="eastAsia" w:ascii="宋体" w:hAnsi="宋体" w:cs="宋体"/>
          <w:b/>
          <w:color w:val="auto"/>
          <w:sz w:val="21"/>
          <w:szCs w:val="21"/>
        </w:rPr>
        <w:t>、签订时间</w:t>
      </w:r>
      <w:bookmarkEnd w:id="149"/>
    </w:p>
    <w:p>
      <w:pPr>
        <w:spacing w:line="460" w:lineRule="exact"/>
        <w:ind w:firstLine="420" w:firstLineChars="200"/>
        <w:rPr>
          <w:rFonts w:ascii="宋体" w:hAnsi="宋体" w:eastAsia="宋体" w:cs="宋体"/>
          <w:bCs/>
          <w:color w:val="auto"/>
          <w:szCs w:val="21"/>
        </w:rPr>
      </w:pPr>
      <w:r>
        <w:rPr>
          <w:rFonts w:hint="eastAsia" w:ascii="宋体" w:hAnsi="宋体" w:eastAsia="宋体" w:cs="宋体"/>
          <w:bCs/>
          <w:color w:val="auto"/>
          <w:szCs w:val="21"/>
        </w:rPr>
        <w:t>本合同于年月日签订。</w:t>
      </w:r>
    </w:p>
    <w:p>
      <w:pPr>
        <w:pStyle w:val="4"/>
        <w:spacing w:line="460" w:lineRule="exact"/>
        <w:rPr>
          <w:rFonts w:ascii="宋体" w:hAnsi="宋体" w:cs="宋体"/>
          <w:bCs/>
          <w:color w:val="auto"/>
          <w:sz w:val="21"/>
          <w:szCs w:val="21"/>
        </w:rPr>
      </w:pPr>
      <w:bookmarkStart w:id="150" w:name="_Toc351203490"/>
      <w:r>
        <w:rPr>
          <w:rFonts w:hint="eastAsia" w:ascii="宋体" w:hAnsi="宋体" w:cs="宋体"/>
          <w:b/>
          <w:color w:val="auto"/>
          <w:sz w:val="21"/>
          <w:szCs w:val="21"/>
        </w:rPr>
        <w:t>十</w:t>
      </w:r>
      <w:r>
        <w:rPr>
          <w:rFonts w:hint="eastAsia" w:ascii="宋体" w:hAnsi="宋体" w:cs="宋体"/>
          <w:b/>
          <w:color w:val="auto"/>
          <w:sz w:val="21"/>
          <w:szCs w:val="21"/>
          <w:lang w:val="en-US" w:eastAsia="zh-CN"/>
        </w:rPr>
        <w:t>三</w:t>
      </w:r>
      <w:r>
        <w:rPr>
          <w:rFonts w:hint="eastAsia" w:ascii="宋体" w:hAnsi="宋体" w:cs="宋体"/>
          <w:b/>
          <w:color w:val="auto"/>
          <w:sz w:val="21"/>
          <w:szCs w:val="21"/>
        </w:rPr>
        <w:t>、签订地点</w:t>
      </w:r>
      <w:bookmarkEnd w:id="150"/>
    </w:p>
    <w:p>
      <w:pPr>
        <w:spacing w:line="460" w:lineRule="exact"/>
        <w:ind w:firstLine="420" w:firstLineChars="200"/>
        <w:rPr>
          <w:rFonts w:ascii="宋体" w:hAnsi="宋体" w:eastAsia="宋体" w:cs="宋体"/>
          <w:bCs/>
          <w:color w:val="auto"/>
          <w:szCs w:val="21"/>
        </w:rPr>
      </w:pPr>
      <w:r>
        <w:rPr>
          <w:rFonts w:hint="eastAsia" w:ascii="宋体" w:hAnsi="宋体" w:eastAsia="宋体" w:cs="宋体"/>
          <w:bCs/>
          <w:color w:val="auto"/>
          <w:szCs w:val="21"/>
        </w:rPr>
        <w:t>本合同在签订。</w:t>
      </w:r>
    </w:p>
    <w:p>
      <w:pPr>
        <w:pStyle w:val="4"/>
        <w:spacing w:line="460" w:lineRule="exact"/>
        <w:rPr>
          <w:rFonts w:ascii="宋体" w:hAnsi="宋体" w:cs="宋体"/>
          <w:bCs/>
          <w:color w:val="auto"/>
          <w:sz w:val="21"/>
          <w:szCs w:val="21"/>
        </w:rPr>
      </w:pPr>
      <w:bookmarkStart w:id="151" w:name="_Toc351203491"/>
      <w:r>
        <w:rPr>
          <w:rFonts w:hint="eastAsia" w:ascii="宋体" w:hAnsi="宋体" w:cs="宋体"/>
          <w:b/>
          <w:color w:val="auto"/>
          <w:sz w:val="21"/>
          <w:szCs w:val="21"/>
        </w:rPr>
        <w:t>十</w:t>
      </w:r>
      <w:r>
        <w:rPr>
          <w:rFonts w:hint="eastAsia" w:ascii="宋体" w:hAnsi="宋体" w:cs="宋体"/>
          <w:b/>
          <w:color w:val="auto"/>
          <w:sz w:val="21"/>
          <w:szCs w:val="21"/>
          <w:lang w:val="en-US" w:eastAsia="zh-CN"/>
        </w:rPr>
        <w:t>四</w:t>
      </w:r>
      <w:r>
        <w:rPr>
          <w:rFonts w:hint="eastAsia" w:ascii="宋体" w:hAnsi="宋体" w:cs="宋体"/>
          <w:b/>
          <w:color w:val="auto"/>
          <w:sz w:val="21"/>
          <w:szCs w:val="21"/>
        </w:rPr>
        <w:t>、补充协议</w:t>
      </w:r>
      <w:bookmarkEnd w:id="151"/>
    </w:p>
    <w:p>
      <w:pPr>
        <w:spacing w:line="460" w:lineRule="exact"/>
        <w:ind w:firstLine="420" w:firstLineChars="200"/>
        <w:rPr>
          <w:rFonts w:ascii="宋体" w:hAnsi="宋体" w:eastAsia="宋体" w:cs="宋体"/>
          <w:b/>
          <w:bCs/>
          <w:color w:val="auto"/>
          <w:szCs w:val="21"/>
        </w:rPr>
      </w:pPr>
      <w:r>
        <w:rPr>
          <w:rFonts w:hint="eastAsia" w:ascii="宋体" w:hAnsi="宋体" w:eastAsia="宋体" w:cs="宋体"/>
          <w:bCs/>
          <w:color w:val="auto"/>
          <w:szCs w:val="21"/>
        </w:rPr>
        <w:t>合同未尽事宜，合同当事人另行签订补充协议，补充协议是合同的组成部分。</w:t>
      </w:r>
    </w:p>
    <w:p>
      <w:pPr>
        <w:pStyle w:val="4"/>
        <w:spacing w:line="460" w:lineRule="exact"/>
        <w:rPr>
          <w:rFonts w:ascii="宋体" w:hAnsi="宋体" w:cs="宋体"/>
          <w:bCs/>
          <w:color w:val="auto"/>
          <w:sz w:val="21"/>
          <w:szCs w:val="21"/>
        </w:rPr>
      </w:pPr>
      <w:bookmarkStart w:id="152" w:name="_Toc351203492"/>
      <w:r>
        <w:rPr>
          <w:rFonts w:hint="eastAsia" w:ascii="宋体" w:hAnsi="宋体" w:cs="宋体"/>
          <w:b/>
          <w:color w:val="auto"/>
          <w:sz w:val="21"/>
          <w:szCs w:val="21"/>
        </w:rPr>
        <w:t>十</w:t>
      </w:r>
      <w:r>
        <w:rPr>
          <w:rFonts w:hint="eastAsia" w:ascii="宋体" w:hAnsi="宋体" w:cs="宋体"/>
          <w:b/>
          <w:color w:val="auto"/>
          <w:sz w:val="21"/>
          <w:szCs w:val="21"/>
          <w:lang w:val="en-US" w:eastAsia="zh-CN"/>
        </w:rPr>
        <w:t>五</w:t>
      </w:r>
      <w:r>
        <w:rPr>
          <w:rFonts w:hint="eastAsia" w:ascii="宋体" w:hAnsi="宋体" w:cs="宋体"/>
          <w:b/>
          <w:color w:val="auto"/>
          <w:sz w:val="21"/>
          <w:szCs w:val="21"/>
        </w:rPr>
        <w:t>、合同生效</w:t>
      </w:r>
      <w:bookmarkEnd w:id="152"/>
    </w:p>
    <w:p>
      <w:pPr>
        <w:spacing w:line="460" w:lineRule="exact"/>
        <w:ind w:firstLine="420" w:firstLineChars="200"/>
        <w:rPr>
          <w:rFonts w:ascii="宋体" w:hAnsi="宋体" w:eastAsia="宋体" w:cs="宋体"/>
          <w:bCs/>
          <w:color w:val="auto"/>
          <w:szCs w:val="21"/>
        </w:rPr>
      </w:pPr>
      <w:r>
        <w:rPr>
          <w:rFonts w:hint="eastAsia" w:ascii="宋体" w:hAnsi="宋体" w:eastAsia="宋体" w:cs="宋体"/>
          <w:bCs/>
          <w:color w:val="auto"/>
          <w:szCs w:val="21"/>
        </w:rPr>
        <w:t>本合同自生效。</w:t>
      </w:r>
    </w:p>
    <w:p>
      <w:pPr>
        <w:pStyle w:val="4"/>
        <w:spacing w:line="460" w:lineRule="exact"/>
        <w:rPr>
          <w:rFonts w:ascii="宋体" w:hAnsi="宋体" w:cs="宋体"/>
          <w:bCs/>
          <w:color w:val="auto"/>
          <w:sz w:val="21"/>
          <w:szCs w:val="21"/>
        </w:rPr>
      </w:pPr>
      <w:bookmarkStart w:id="153" w:name="_Toc351203493"/>
      <w:r>
        <w:rPr>
          <w:rFonts w:hint="eastAsia" w:ascii="宋体" w:hAnsi="宋体" w:cs="宋体"/>
          <w:b/>
          <w:color w:val="auto"/>
          <w:sz w:val="21"/>
          <w:szCs w:val="21"/>
        </w:rPr>
        <w:t>十</w:t>
      </w:r>
      <w:r>
        <w:rPr>
          <w:rFonts w:hint="eastAsia" w:ascii="宋体" w:hAnsi="宋体" w:cs="宋体"/>
          <w:b/>
          <w:color w:val="auto"/>
          <w:sz w:val="21"/>
          <w:szCs w:val="21"/>
          <w:lang w:val="en-US" w:eastAsia="zh-CN"/>
        </w:rPr>
        <w:t>六</w:t>
      </w:r>
      <w:r>
        <w:rPr>
          <w:rFonts w:hint="eastAsia" w:ascii="宋体" w:hAnsi="宋体" w:cs="宋体"/>
          <w:b/>
          <w:color w:val="auto"/>
          <w:sz w:val="21"/>
          <w:szCs w:val="21"/>
        </w:rPr>
        <w:t>、合同份数</w:t>
      </w:r>
      <w:bookmarkEnd w:id="153"/>
    </w:p>
    <w:p>
      <w:pPr>
        <w:spacing w:line="460" w:lineRule="exact"/>
        <w:ind w:firstLine="420" w:firstLineChars="200"/>
        <w:rPr>
          <w:rFonts w:ascii="宋体" w:hAnsi="宋体" w:eastAsia="宋体" w:cs="宋体"/>
          <w:bCs/>
          <w:color w:val="auto"/>
          <w:szCs w:val="21"/>
        </w:rPr>
      </w:pPr>
      <w:r>
        <w:rPr>
          <w:rFonts w:hint="eastAsia" w:ascii="宋体" w:hAnsi="宋体" w:eastAsia="宋体" w:cs="宋体"/>
          <w:bCs/>
          <w:color w:val="auto"/>
          <w:szCs w:val="21"/>
        </w:rPr>
        <w:t>本合同一式</w:t>
      </w:r>
      <w:r>
        <w:rPr>
          <w:rFonts w:hint="eastAsia" w:ascii="宋体" w:hAnsi="宋体" w:eastAsia="宋体" w:cs="宋体"/>
          <w:bCs/>
          <w:color w:val="auto"/>
          <w:szCs w:val="21"/>
          <w:u w:val="single"/>
          <w:lang w:val="en-US" w:eastAsia="zh-CN"/>
        </w:rPr>
        <w:t xml:space="preserve">    </w:t>
      </w:r>
      <w:r>
        <w:rPr>
          <w:rFonts w:hint="eastAsia" w:ascii="宋体" w:hAnsi="宋体" w:eastAsia="宋体" w:cs="宋体"/>
          <w:bCs/>
          <w:color w:val="auto"/>
          <w:szCs w:val="21"/>
        </w:rPr>
        <w:t>份，均具有同等法律效力，发包人执</w:t>
      </w:r>
      <w:r>
        <w:rPr>
          <w:rFonts w:hint="eastAsia" w:ascii="宋体" w:hAnsi="宋体" w:eastAsia="宋体" w:cs="宋体"/>
          <w:bCs/>
          <w:color w:val="auto"/>
          <w:szCs w:val="21"/>
          <w:u w:val="single"/>
          <w:lang w:val="en-US" w:eastAsia="zh-CN"/>
        </w:rPr>
        <w:t xml:space="preserve">   </w:t>
      </w:r>
      <w:r>
        <w:rPr>
          <w:rFonts w:hint="eastAsia" w:ascii="宋体" w:hAnsi="宋体" w:eastAsia="宋体" w:cs="宋体"/>
          <w:bCs/>
          <w:color w:val="auto"/>
          <w:szCs w:val="21"/>
        </w:rPr>
        <w:t>份，承包人执</w:t>
      </w:r>
      <w:r>
        <w:rPr>
          <w:rFonts w:hint="eastAsia" w:ascii="宋体" w:hAnsi="宋体" w:eastAsia="宋体" w:cs="宋体"/>
          <w:bCs/>
          <w:color w:val="auto"/>
          <w:szCs w:val="21"/>
          <w:u w:val="single"/>
          <w:lang w:val="en-US" w:eastAsia="zh-CN"/>
        </w:rPr>
        <w:t xml:space="preserve">   </w:t>
      </w:r>
      <w:r>
        <w:rPr>
          <w:rFonts w:hint="eastAsia" w:ascii="宋体" w:hAnsi="宋体" w:eastAsia="宋体" w:cs="宋体"/>
          <w:bCs/>
          <w:color w:val="auto"/>
          <w:szCs w:val="21"/>
        </w:rPr>
        <w:t>份。</w:t>
      </w:r>
    </w:p>
    <w:p>
      <w:pPr>
        <w:spacing w:line="460" w:lineRule="exact"/>
        <w:rPr>
          <w:rFonts w:ascii="宋体" w:hAnsi="宋体" w:eastAsia="宋体" w:cs="宋体"/>
          <w:bCs/>
          <w:color w:val="auto"/>
          <w:szCs w:val="21"/>
        </w:rPr>
      </w:pPr>
    </w:p>
    <w:p>
      <w:pPr>
        <w:spacing w:line="460" w:lineRule="exact"/>
        <w:rPr>
          <w:rFonts w:ascii="宋体" w:hAnsi="宋体" w:eastAsia="宋体" w:cs="宋体"/>
          <w:color w:val="auto"/>
          <w:szCs w:val="21"/>
        </w:rPr>
      </w:pPr>
      <w:r>
        <w:rPr>
          <w:rFonts w:hint="eastAsia" w:ascii="宋体" w:hAnsi="宋体" w:eastAsia="宋体" w:cs="宋体"/>
          <w:color w:val="auto"/>
          <w:szCs w:val="21"/>
          <w:lang w:val="en-US" w:eastAsia="zh-CN"/>
        </w:rPr>
        <w:t>采购人</w:t>
      </w:r>
      <w:r>
        <w:rPr>
          <w:rFonts w:hint="eastAsia" w:ascii="宋体" w:hAnsi="宋体" w:eastAsia="宋体" w:cs="宋体"/>
          <w:color w:val="auto"/>
          <w:szCs w:val="21"/>
        </w:rPr>
        <w:t xml:space="preserve">：  (公章)                       </w:t>
      </w:r>
      <w:r>
        <w:rPr>
          <w:rFonts w:hint="eastAsia" w:ascii="宋体" w:hAnsi="宋体" w:eastAsia="宋体" w:cs="宋体"/>
          <w:color w:val="auto"/>
          <w:szCs w:val="21"/>
          <w:lang w:val="en-US" w:eastAsia="zh-CN"/>
        </w:rPr>
        <w:t>供应商</w:t>
      </w:r>
      <w:r>
        <w:rPr>
          <w:rFonts w:hint="eastAsia" w:ascii="宋体" w:hAnsi="宋体" w:eastAsia="宋体" w:cs="宋体"/>
          <w:color w:val="auto"/>
          <w:szCs w:val="21"/>
        </w:rPr>
        <w:t>：  (公章)</w:t>
      </w:r>
    </w:p>
    <w:p>
      <w:pPr>
        <w:spacing w:line="460" w:lineRule="exact"/>
        <w:rPr>
          <w:rFonts w:ascii="宋体" w:hAnsi="宋体" w:eastAsia="宋体" w:cs="宋体"/>
          <w:color w:val="auto"/>
          <w:szCs w:val="21"/>
          <w:u w:val="single"/>
        </w:rPr>
      </w:pPr>
    </w:p>
    <w:p>
      <w:pPr>
        <w:spacing w:line="460" w:lineRule="exact"/>
        <w:rPr>
          <w:rFonts w:ascii="宋体" w:hAnsi="宋体" w:eastAsia="宋体" w:cs="宋体"/>
          <w:color w:val="auto"/>
          <w:szCs w:val="21"/>
        </w:rPr>
      </w:pPr>
      <w:r>
        <w:rPr>
          <w:rFonts w:hint="eastAsia" w:ascii="宋体" w:hAnsi="宋体" w:eastAsia="宋体" w:cs="宋体"/>
          <w:color w:val="auto"/>
          <w:szCs w:val="21"/>
        </w:rPr>
        <w:t>法定代表人或其委托代理人：           法定代表人或其委托代理人：</w:t>
      </w:r>
    </w:p>
    <w:p>
      <w:pPr>
        <w:spacing w:line="460" w:lineRule="exact"/>
        <w:rPr>
          <w:rFonts w:ascii="宋体" w:hAnsi="宋体" w:eastAsia="宋体" w:cs="宋体"/>
          <w:color w:val="auto"/>
          <w:szCs w:val="21"/>
        </w:rPr>
      </w:pPr>
      <w:r>
        <w:rPr>
          <w:rFonts w:hint="eastAsia" w:ascii="宋体" w:hAnsi="宋体" w:eastAsia="宋体" w:cs="宋体"/>
          <w:color w:val="auto"/>
          <w:szCs w:val="21"/>
        </w:rPr>
        <w:t>（签字）                            （签字）</w:t>
      </w:r>
    </w:p>
    <w:p>
      <w:pPr>
        <w:tabs>
          <w:tab w:val="left" w:pos="4410"/>
        </w:tabs>
        <w:spacing w:line="460" w:lineRule="exact"/>
        <w:rPr>
          <w:rFonts w:ascii="宋体" w:hAnsi="宋体" w:eastAsia="宋体" w:cs="宋体"/>
          <w:color w:val="auto"/>
          <w:szCs w:val="21"/>
        </w:rPr>
      </w:pPr>
      <w:r>
        <w:rPr>
          <w:rFonts w:hint="eastAsia" w:ascii="宋体" w:hAnsi="宋体" w:eastAsia="宋体" w:cs="宋体"/>
          <w:color w:val="auto"/>
          <w:szCs w:val="21"/>
        </w:rPr>
        <w:t>组织机构代码：</w:t>
      </w:r>
      <w:r>
        <w:rPr>
          <w:rFonts w:hint="eastAsia" w:ascii="宋体" w:hAnsi="宋体" w:eastAsia="宋体" w:cs="宋体"/>
          <w:color w:val="auto"/>
          <w:szCs w:val="21"/>
          <w:u w:val="single"/>
        </w:rPr>
        <w:t xml:space="preserve">       </w:t>
      </w:r>
      <w:r>
        <w:rPr>
          <w:rFonts w:hint="eastAsia" w:ascii="宋体" w:hAnsi="宋体" w:eastAsia="宋体" w:cs="宋体"/>
          <w:color w:val="auto"/>
          <w:szCs w:val="21"/>
        </w:rPr>
        <w:t xml:space="preserve">          组织机构代码：</w:t>
      </w:r>
      <w:r>
        <w:rPr>
          <w:rFonts w:hint="eastAsia" w:ascii="宋体" w:hAnsi="宋体" w:eastAsia="宋体" w:cs="宋体"/>
          <w:color w:val="auto"/>
          <w:szCs w:val="21"/>
          <w:u w:val="single"/>
        </w:rPr>
        <w:t xml:space="preserve">          </w:t>
      </w:r>
    </w:p>
    <w:p>
      <w:pPr>
        <w:spacing w:line="460" w:lineRule="exact"/>
        <w:rPr>
          <w:rFonts w:ascii="宋体" w:hAnsi="宋体" w:eastAsia="宋体" w:cs="宋体"/>
          <w:color w:val="auto"/>
          <w:szCs w:val="21"/>
        </w:rPr>
      </w:pPr>
      <w:r>
        <w:rPr>
          <w:rFonts w:hint="eastAsia" w:ascii="宋体" w:hAnsi="宋体" w:eastAsia="宋体" w:cs="宋体"/>
          <w:color w:val="auto"/>
          <w:szCs w:val="21"/>
        </w:rPr>
        <w:t>地  址：</w:t>
      </w:r>
      <w:r>
        <w:rPr>
          <w:rFonts w:hint="eastAsia" w:ascii="宋体" w:hAnsi="宋体" w:eastAsia="宋体" w:cs="宋体"/>
          <w:color w:val="auto"/>
          <w:szCs w:val="21"/>
          <w:u w:val="single"/>
        </w:rPr>
        <w:t xml:space="preserve">      </w:t>
      </w:r>
      <w:r>
        <w:rPr>
          <w:rFonts w:hint="eastAsia" w:ascii="宋体" w:hAnsi="宋体" w:eastAsia="宋体" w:cs="宋体"/>
          <w:color w:val="auto"/>
          <w:szCs w:val="21"/>
        </w:rPr>
        <w:t xml:space="preserve">         地  址：</w:t>
      </w:r>
      <w:r>
        <w:rPr>
          <w:rFonts w:hint="eastAsia" w:ascii="宋体" w:hAnsi="宋体" w:eastAsia="宋体" w:cs="宋体"/>
          <w:color w:val="auto"/>
          <w:szCs w:val="21"/>
          <w:u w:val="single"/>
        </w:rPr>
        <w:t xml:space="preserve">        </w:t>
      </w:r>
    </w:p>
    <w:p>
      <w:pPr>
        <w:spacing w:line="460" w:lineRule="exact"/>
        <w:rPr>
          <w:rFonts w:ascii="宋体" w:hAnsi="宋体" w:eastAsia="宋体" w:cs="宋体"/>
          <w:color w:val="auto"/>
          <w:szCs w:val="21"/>
        </w:rPr>
      </w:pPr>
      <w:r>
        <w:rPr>
          <w:rFonts w:hint="eastAsia" w:ascii="宋体" w:hAnsi="宋体" w:eastAsia="宋体" w:cs="宋体"/>
          <w:color w:val="auto"/>
          <w:szCs w:val="21"/>
        </w:rPr>
        <w:t>邮政编码：</w:t>
      </w:r>
      <w:r>
        <w:rPr>
          <w:rFonts w:hint="eastAsia" w:ascii="宋体" w:hAnsi="宋体" w:eastAsia="宋体" w:cs="宋体"/>
          <w:color w:val="auto"/>
          <w:szCs w:val="21"/>
          <w:u w:val="single"/>
        </w:rPr>
        <w:t xml:space="preserve">      </w:t>
      </w:r>
      <w:r>
        <w:rPr>
          <w:rFonts w:hint="eastAsia" w:ascii="宋体" w:hAnsi="宋体" w:eastAsia="宋体" w:cs="宋体"/>
          <w:color w:val="auto"/>
          <w:szCs w:val="21"/>
        </w:rPr>
        <w:t xml:space="preserve">         邮政编码：</w:t>
      </w:r>
      <w:r>
        <w:rPr>
          <w:rFonts w:hint="eastAsia" w:ascii="宋体" w:hAnsi="宋体" w:eastAsia="宋体" w:cs="宋体"/>
          <w:color w:val="auto"/>
          <w:szCs w:val="21"/>
          <w:u w:val="single"/>
        </w:rPr>
        <w:t xml:space="preserve">   </w:t>
      </w:r>
    </w:p>
    <w:p>
      <w:pPr>
        <w:spacing w:line="460" w:lineRule="exact"/>
        <w:rPr>
          <w:rFonts w:ascii="宋体" w:hAnsi="宋体" w:eastAsia="宋体" w:cs="宋体"/>
          <w:color w:val="auto"/>
          <w:szCs w:val="21"/>
        </w:rPr>
      </w:pPr>
      <w:r>
        <w:rPr>
          <w:rFonts w:hint="eastAsia" w:ascii="宋体" w:hAnsi="宋体" w:eastAsia="宋体" w:cs="宋体"/>
          <w:color w:val="auto"/>
          <w:szCs w:val="21"/>
        </w:rPr>
        <w:t>法定代表人：</w:t>
      </w:r>
      <w:r>
        <w:rPr>
          <w:rFonts w:hint="eastAsia" w:ascii="宋体" w:hAnsi="宋体" w:eastAsia="宋体" w:cs="宋体"/>
          <w:color w:val="auto"/>
          <w:szCs w:val="21"/>
          <w:u w:val="single"/>
        </w:rPr>
        <w:t xml:space="preserve">           </w:t>
      </w:r>
      <w:r>
        <w:rPr>
          <w:rFonts w:hint="eastAsia" w:ascii="宋体" w:hAnsi="宋体" w:eastAsia="宋体" w:cs="宋体"/>
          <w:color w:val="auto"/>
          <w:szCs w:val="21"/>
        </w:rPr>
        <w:t xml:space="preserve">          法定代表人：</w:t>
      </w:r>
      <w:r>
        <w:rPr>
          <w:rFonts w:hint="eastAsia" w:ascii="宋体" w:hAnsi="宋体" w:eastAsia="宋体" w:cs="宋体"/>
          <w:color w:val="auto"/>
          <w:szCs w:val="21"/>
          <w:u w:val="single"/>
        </w:rPr>
        <w:t xml:space="preserve">             </w:t>
      </w:r>
    </w:p>
    <w:p>
      <w:pPr>
        <w:spacing w:line="460" w:lineRule="exact"/>
        <w:rPr>
          <w:rFonts w:ascii="宋体" w:hAnsi="宋体" w:eastAsia="宋体" w:cs="宋体"/>
          <w:color w:val="auto"/>
          <w:szCs w:val="21"/>
        </w:rPr>
      </w:pPr>
      <w:r>
        <w:rPr>
          <w:rFonts w:hint="eastAsia" w:ascii="宋体" w:hAnsi="宋体" w:eastAsia="宋体" w:cs="宋体"/>
          <w:color w:val="auto"/>
          <w:szCs w:val="21"/>
        </w:rPr>
        <w:t>委托代理人：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委托代理人：</w:t>
      </w:r>
      <w:r>
        <w:rPr>
          <w:rFonts w:hint="eastAsia" w:ascii="宋体" w:hAnsi="宋体" w:eastAsia="宋体" w:cs="宋体"/>
          <w:color w:val="auto"/>
          <w:szCs w:val="21"/>
          <w:u w:val="single"/>
        </w:rPr>
        <w:t xml:space="preserve">              </w:t>
      </w:r>
    </w:p>
    <w:p>
      <w:pPr>
        <w:spacing w:line="460" w:lineRule="exact"/>
        <w:rPr>
          <w:rFonts w:ascii="宋体" w:hAnsi="宋体" w:eastAsia="宋体" w:cs="宋体"/>
          <w:color w:val="auto"/>
          <w:szCs w:val="21"/>
        </w:rPr>
      </w:pPr>
      <w:r>
        <w:rPr>
          <w:rFonts w:hint="eastAsia" w:ascii="宋体" w:hAnsi="宋体" w:eastAsia="宋体" w:cs="宋体"/>
          <w:color w:val="auto"/>
          <w:szCs w:val="21"/>
        </w:rPr>
        <w:t>电  话：</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电  话：</w:t>
      </w:r>
      <w:r>
        <w:rPr>
          <w:rFonts w:hint="eastAsia" w:ascii="宋体" w:hAnsi="宋体" w:eastAsia="宋体" w:cs="宋体"/>
          <w:color w:val="auto"/>
          <w:szCs w:val="21"/>
          <w:u w:val="single"/>
        </w:rPr>
        <w:t xml:space="preserve">     </w:t>
      </w:r>
    </w:p>
    <w:p>
      <w:pPr>
        <w:spacing w:line="460" w:lineRule="exact"/>
        <w:rPr>
          <w:rFonts w:ascii="宋体" w:hAnsi="宋体" w:eastAsia="宋体" w:cs="宋体"/>
          <w:color w:val="auto"/>
          <w:szCs w:val="21"/>
        </w:rPr>
      </w:pPr>
      <w:r>
        <w:rPr>
          <w:rFonts w:hint="eastAsia" w:ascii="宋体" w:hAnsi="宋体" w:eastAsia="宋体" w:cs="宋体"/>
          <w:color w:val="auto"/>
          <w:szCs w:val="21"/>
        </w:rPr>
        <w:t>传  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传  真：</w:t>
      </w:r>
      <w:r>
        <w:rPr>
          <w:rFonts w:hint="eastAsia" w:ascii="宋体" w:hAnsi="宋体" w:eastAsia="宋体" w:cs="宋体"/>
          <w:color w:val="auto"/>
          <w:szCs w:val="21"/>
          <w:u w:val="single"/>
        </w:rPr>
        <w:t xml:space="preserve">     </w:t>
      </w:r>
    </w:p>
    <w:p>
      <w:pPr>
        <w:spacing w:line="460" w:lineRule="exact"/>
        <w:rPr>
          <w:rFonts w:ascii="宋体" w:hAnsi="宋体" w:eastAsia="宋体" w:cs="宋体"/>
          <w:color w:val="auto"/>
          <w:szCs w:val="21"/>
        </w:rPr>
      </w:pPr>
      <w:r>
        <w:rPr>
          <w:rFonts w:hint="eastAsia" w:ascii="宋体" w:hAnsi="宋体" w:eastAsia="宋体" w:cs="宋体"/>
          <w:color w:val="auto"/>
          <w:szCs w:val="21"/>
        </w:rPr>
        <w:t xml:space="preserve">电子信箱：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电子信箱：</w:t>
      </w:r>
      <w:r>
        <w:rPr>
          <w:rFonts w:hint="eastAsia" w:ascii="宋体" w:hAnsi="宋体" w:eastAsia="宋体" w:cs="宋体"/>
          <w:color w:val="auto"/>
          <w:szCs w:val="21"/>
          <w:u w:val="single"/>
        </w:rPr>
        <w:t xml:space="preserve">   </w:t>
      </w:r>
    </w:p>
    <w:p>
      <w:pPr>
        <w:spacing w:line="460" w:lineRule="exact"/>
        <w:rPr>
          <w:rFonts w:ascii="宋体" w:hAnsi="宋体" w:eastAsia="宋体" w:cs="宋体"/>
          <w:color w:val="auto"/>
          <w:szCs w:val="21"/>
        </w:rPr>
      </w:pPr>
      <w:r>
        <w:rPr>
          <w:rFonts w:hint="eastAsia" w:ascii="宋体" w:hAnsi="宋体" w:eastAsia="宋体" w:cs="宋体"/>
          <w:color w:val="auto"/>
          <w:szCs w:val="21"/>
        </w:rPr>
        <w:t>开户银行：</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开户银行：</w:t>
      </w:r>
      <w:r>
        <w:rPr>
          <w:rFonts w:hint="eastAsia" w:ascii="宋体" w:hAnsi="宋体" w:eastAsia="宋体" w:cs="宋体"/>
          <w:color w:val="auto"/>
          <w:szCs w:val="21"/>
          <w:u w:val="single"/>
        </w:rPr>
        <w:t xml:space="preserve">   </w:t>
      </w:r>
    </w:p>
    <w:p>
      <w:pPr>
        <w:pStyle w:val="2"/>
        <w:rPr>
          <w:rFonts w:hint="eastAsia" w:ascii="宋体" w:hAnsi="宋体" w:cs="宋体"/>
          <w:b/>
          <w:color w:val="auto"/>
          <w:sz w:val="32"/>
          <w:szCs w:val="32"/>
        </w:rPr>
      </w:pPr>
      <w:r>
        <w:rPr>
          <w:rFonts w:hint="eastAsia" w:ascii="宋体" w:hAnsi="宋体" w:eastAsia="宋体" w:cs="宋体"/>
          <w:color w:val="auto"/>
          <w:szCs w:val="21"/>
        </w:rPr>
        <w:t>账  号：</w:t>
      </w:r>
      <w:r>
        <w:rPr>
          <w:rFonts w:hint="eastAsia" w:ascii="宋体" w:hAnsi="宋体" w:eastAsia="宋体" w:cs="宋体"/>
          <w:color w:val="auto"/>
          <w:szCs w:val="21"/>
          <w:u w:val="single"/>
        </w:rPr>
        <w:t xml:space="preserve">       </w:t>
      </w:r>
      <w:r>
        <w:rPr>
          <w:rFonts w:hint="eastAsia" w:ascii="宋体" w:hAnsi="宋体" w:eastAsia="宋体" w:cs="宋体"/>
          <w:color w:val="auto"/>
          <w:szCs w:val="21"/>
        </w:rPr>
        <w:t xml:space="preserve">          账  号：</w:t>
      </w:r>
      <w:r>
        <w:rPr>
          <w:rFonts w:hint="eastAsia" w:ascii="宋体" w:hAnsi="宋体" w:eastAsia="宋体" w:cs="宋体"/>
          <w:color w:val="auto"/>
          <w:szCs w:val="21"/>
          <w:u w:val="single"/>
        </w:rPr>
        <w:t xml:space="preserve">     </w:t>
      </w:r>
    </w:p>
    <w:p>
      <w:pPr>
        <w:pStyle w:val="2"/>
        <w:numPr>
          <w:ilvl w:val="0"/>
          <w:numId w:val="0"/>
        </w:numPr>
        <w:rPr>
          <w:color w:val="auto"/>
        </w:rPr>
      </w:pPr>
    </w:p>
    <w:p>
      <w:pPr>
        <w:pageBreakBefore/>
        <w:tabs>
          <w:tab w:val="left" w:pos="7665"/>
        </w:tabs>
        <w:spacing w:line="360" w:lineRule="auto"/>
        <w:ind w:firstLine="301" w:firstLineChars="100"/>
        <w:jc w:val="center"/>
        <w:rPr>
          <w:rFonts w:ascii="宋体" w:hAnsi="宋体" w:cs="宋体"/>
          <w:color w:val="auto"/>
          <w:sz w:val="24"/>
        </w:rPr>
      </w:pPr>
      <w:r>
        <w:rPr>
          <w:rFonts w:hint="eastAsia" w:ascii="宋体" w:hAnsi="宋体" w:cs="宋体"/>
          <w:b/>
          <w:bCs/>
          <w:color w:val="auto"/>
          <w:sz w:val="30"/>
          <w:szCs w:val="30"/>
        </w:rPr>
        <w:t>第五章、</w:t>
      </w:r>
      <w:bookmarkEnd w:id="148"/>
      <w:r>
        <w:rPr>
          <w:rFonts w:hint="eastAsia" w:ascii="宋体" w:hAnsi="宋体" w:cs="宋体"/>
          <w:b/>
          <w:bCs/>
          <w:color w:val="auto"/>
          <w:sz w:val="30"/>
          <w:szCs w:val="30"/>
        </w:rPr>
        <w:t>响应文件格式</w:t>
      </w:r>
    </w:p>
    <w:p>
      <w:pPr>
        <w:pStyle w:val="7"/>
        <w:spacing w:line="360" w:lineRule="auto"/>
        <w:ind w:firstLine="480" w:firstLineChars="200"/>
        <w:rPr>
          <w:rFonts w:hAnsi="宋体" w:cs="宋体"/>
          <w:color w:val="auto"/>
          <w:sz w:val="24"/>
          <w:szCs w:val="24"/>
        </w:rPr>
      </w:pPr>
      <w:r>
        <w:rPr>
          <w:rFonts w:hint="eastAsia" w:hAnsi="宋体" w:cs="宋体"/>
          <w:color w:val="auto"/>
          <w:sz w:val="24"/>
          <w:szCs w:val="24"/>
        </w:rPr>
        <w:t>响应文件封面</w:t>
      </w:r>
    </w:p>
    <w:p>
      <w:pPr>
        <w:pStyle w:val="7"/>
        <w:spacing w:line="360" w:lineRule="auto"/>
        <w:ind w:firstLine="480" w:firstLineChars="200"/>
        <w:rPr>
          <w:rFonts w:hAnsi="宋体" w:cs="宋体"/>
          <w:color w:val="auto"/>
          <w:sz w:val="24"/>
          <w:szCs w:val="24"/>
        </w:rPr>
      </w:pPr>
      <w:r>
        <w:rPr>
          <w:rFonts w:hint="eastAsia" w:hAnsi="宋体" w:cs="宋体"/>
          <w:color w:val="auto"/>
          <w:sz w:val="24"/>
          <w:szCs w:val="24"/>
        </w:rPr>
        <w:t>附表1、响应函</w:t>
      </w:r>
    </w:p>
    <w:p>
      <w:pPr>
        <w:pStyle w:val="7"/>
        <w:spacing w:line="360" w:lineRule="auto"/>
        <w:ind w:firstLine="480" w:firstLineChars="200"/>
        <w:rPr>
          <w:rFonts w:hAnsi="宋体" w:cs="宋体"/>
          <w:color w:val="auto"/>
          <w:sz w:val="24"/>
          <w:szCs w:val="24"/>
        </w:rPr>
      </w:pPr>
      <w:r>
        <w:rPr>
          <w:rFonts w:hint="eastAsia" w:hAnsi="宋体" w:cs="宋体"/>
          <w:color w:val="auto"/>
          <w:sz w:val="24"/>
          <w:szCs w:val="24"/>
        </w:rPr>
        <w:t>附表2、商务报价一览表（首次）</w:t>
      </w:r>
    </w:p>
    <w:p>
      <w:pPr>
        <w:pStyle w:val="7"/>
        <w:spacing w:line="360" w:lineRule="auto"/>
        <w:ind w:firstLine="480" w:firstLineChars="200"/>
        <w:rPr>
          <w:rFonts w:hAnsi="宋体" w:cs="宋体"/>
          <w:color w:val="auto"/>
          <w:sz w:val="24"/>
          <w:szCs w:val="24"/>
        </w:rPr>
      </w:pPr>
      <w:r>
        <w:rPr>
          <w:rFonts w:hint="eastAsia" w:hAnsi="宋体" w:cs="宋体"/>
          <w:color w:val="auto"/>
          <w:sz w:val="24"/>
          <w:szCs w:val="24"/>
        </w:rPr>
        <w:t>附表3、备品备件及专用工具清单</w:t>
      </w:r>
    </w:p>
    <w:p>
      <w:pPr>
        <w:pStyle w:val="7"/>
        <w:spacing w:line="360" w:lineRule="auto"/>
        <w:ind w:firstLine="480" w:firstLineChars="200"/>
        <w:rPr>
          <w:rFonts w:hAnsi="宋体" w:cs="宋体"/>
          <w:color w:val="auto"/>
          <w:sz w:val="24"/>
          <w:szCs w:val="24"/>
        </w:rPr>
      </w:pPr>
      <w:r>
        <w:rPr>
          <w:rFonts w:hint="eastAsia" w:hAnsi="宋体" w:cs="宋体"/>
          <w:color w:val="auto"/>
          <w:sz w:val="24"/>
          <w:szCs w:val="24"/>
        </w:rPr>
        <w:t>附表4、法定代表人资格证明书</w:t>
      </w:r>
    </w:p>
    <w:p>
      <w:pPr>
        <w:pStyle w:val="7"/>
        <w:spacing w:line="360" w:lineRule="auto"/>
        <w:ind w:firstLine="480" w:firstLineChars="200"/>
        <w:rPr>
          <w:rFonts w:hAnsi="宋体" w:cs="宋体"/>
          <w:color w:val="auto"/>
          <w:sz w:val="24"/>
          <w:szCs w:val="24"/>
        </w:rPr>
      </w:pPr>
      <w:r>
        <w:rPr>
          <w:rFonts w:hint="eastAsia" w:hAnsi="宋体" w:cs="宋体"/>
          <w:color w:val="auto"/>
          <w:sz w:val="24"/>
          <w:szCs w:val="24"/>
        </w:rPr>
        <w:t>附表5、法定代表人授权书</w:t>
      </w:r>
    </w:p>
    <w:p>
      <w:pPr>
        <w:pStyle w:val="7"/>
        <w:spacing w:line="360" w:lineRule="auto"/>
        <w:ind w:firstLine="480" w:firstLineChars="200"/>
        <w:rPr>
          <w:rFonts w:hAnsi="宋体" w:cs="宋体"/>
          <w:color w:val="auto"/>
          <w:sz w:val="24"/>
          <w:szCs w:val="24"/>
        </w:rPr>
      </w:pPr>
      <w:r>
        <w:rPr>
          <w:rFonts w:hint="eastAsia" w:hAnsi="宋体" w:cs="宋体"/>
          <w:color w:val="auto"/>
          <w:sz w:val="24"/>
          <w:szCs w:val="24"/>
        </w:rPr>
        <w:t>附表6、供应商资格声明</w:t>
      </w:r>
    </w:p>
    <w:p>
      <w:pPr>
        <w:pStyle w:val="7"/>
        <w:spacing w:line="360" w:lineRule="auto"/>
        <w:ind w:firstLine="480" w:firstLineChars="200"/>
        <w:rPr>
          <w:rFonts w:hAnsi="宋体" w:cs="宋体"/>
          <w:color w:val="auto"/>
          <w:sz w:val="24"/>
          <w:szCs w:val="24"/>
        </w:rPr>
      </w:pPr>
      <w:r>
        <w:rPr>
          <w:rFonts w:hint="eastAsia" w:hAnsi="宋体" w:cs="宋体"/>
          <w:color w:val="auto"/>
          <w:sz w:val="24"/>
          <w:szCs w:val="24"/>
        </w:rPr>
        <w:t>附表7、中小企业声明函</w:t>
      </w:r>
    </w:p>
    <w:p>
      <w:pPr>
        <w:pStyle w:val="7"/>
        <w:spacing w:line="360" w:lineRule="auto"/>
        <w:ind w:firstLine="480" w:firstLineChars="200"/>
        <w:rPr>
          <w:rFonts w:hAnsi="宋体" w:cs="宋体"/>
          <w:color w:val="auto"/>
          <w:sz w:val="24"/>
          <w:szCs w:val="24"/>
        </w:rPr>
      </w:pPr>
      <w:r>
        <w:rPr>
          <w:rFonts w:hint="eastAsia" w:hAnsi="宋体" w:cs="宋体"/>
          <w:color w:val="auto"/>
          <w:sz w:val="24"/>
          <w:szCs w:val="24"/>
        </w:rPr>
        <w:t>附表8、诚信声明</w:t>
      </w:r>
    </w:p>
    <w:p>
      <w:pPr>
        <w:pStyle w:val="7"/>
        <w:spacing w:line="360" w:lineRule="auto"/>
        <w:ind w:firstLine="480" w:firstLineChars="200"/>
        <w:rPr>
          <w:rFonts w:hAnsi="宋体" w:cs="宋体"/>
          <w:color w:val="auto"/>
          <w:sz w:val="24"/>
        </w:rPr>
      </w:pPr>
      <w:r>
        <w:rPr>
          <w:rFonts w:hint="eastAsia" w:hAnsi="宋体" w:cs="宋体"/>
          <w:color w:val="auto"/>
          <w:sz w:val="24"/>
          <w:szCs w:val="24"/>
        </w:rPr>
        <w:t>附表9、</w:t>
      </w:r>
      <w:r>
        <w:rPr>
          <w:rFonts w:hint="eastAsia" w:hAnsi="宋体" w:cs="宋体"/>
          <w:color w:val="auto"/>
          <w:sz w:val="24"/>
        </w:rPr>
        <w:t>项目负责人简历表</w:t>
      </w:r>
    </w:p>
    <w:p>
      <w:pPr>
        <w:pStyle w:val="7"/>
        <w:spacing w:line="360" w:lineRule="auto"/>
        <w:ind w:firstLine="480" w:firstLineChars="200"/>
        <w:rPr>
          <w:rFonts w:hAnsi="宋体" w:cs="宋体"/>
          <w:color w:val="auto"/>
          <w:sz w:val="24"/>
          <w:szCs w:val="24"/>
        </w:rPr>
      </w:pPr>
      <w:r>
        <w:rPr>
          <w:rFonts w:hint="eastAsia" w:hAnsi="宋体" w:cs="宋体"/>
          <w:color w:val="auto"/>
          <w:sz w:val="24"/>
        </w:rPr>
        <w:t>附表10、</w:t>
      </w:r>
      <w:r>
        <w:rPr>
          <w:rFonts w:hint="eastAsia" w:hAnsi="宋体" w:cs="宋体"/>
          <w:color w:val="auto"/>
          <w:sz w:val="24"/>
          <w:szCs w:val="24"/>
        </w:rPr>
        <w:t>近三年（自2016年1月1日至今）同类项目业绩表</w:t>
      </w:r>
    </w:p>
    <w:p>
      <w:pPr>
        <w:pStyle w:val="7"/>
        <w:spacing w:line="360" w:lineRule="auto"/>
        <w:ind w:firstLine="480" w:firstLineChars="200"/>
        <w:rPr>
          <w:rFonts w:hAnsi="宋体" w:cs="宋体"/>
          <w:color w:val="auto"/>
          <w:sz w:val="24"/>
        </w:rPr>
      </w:pPr>
      <w:r>
        <w:rPr>
          <w:rFonts w:hint="eastAsia" w:hAnsi="宋体" w:cs="宋体"/>
          <w:color w:val="auto"/>
          <w:sz w:val="24"/>
          <w:szCs w:val="24"/>
        </w:rPr>
        <w:t>附表11、</w:t>
      </w:r>
      <w:r>
        <w:rPr>
          <w:rFonts w:hint="eastAsia" w:hAnsi="宋体" w:cs="宋体"/>
          <w:color w:val="auto"/>
          <w:sz w:val="24"/>
        </w:rPr>
        <w:t>维保服务方案及承诺</w:t>
      </w:r>
    </w:p>
    <w:p>
      <w:pPr>
        <w:pStyle w:val="7"/>
        <w:spacing w:line="360" w:lineRule="auto"/>
        <w:ind w:firstLine="480" w:firstLineChars="200"/>
        <w:rPr>
          <w:rFonts w:hAnsi="宋体" w:cs="宋体"/>
          <w:color w:val="auto"/>
          <w:sz w:val="24"/>
          <w:szCs w:val="24"/>
        </w:rPr>
      </w:pPr>
      <w:r>
        <w:rPr>
          <w:rFonts w:hint="eastAsia" w:hAnsi="宋体" w:cs="宋体"/>
          <w:color w:val="auto"/>
          <w:sz w:val="24"/>
        </w:rPr>
        <w:t>附表12</w:t>
      </w:r>
      <w:r>
        <w:rPr>
          <w:rFonts w:hint="eastAsia" w:hAnsi="宋体" w:cs="宋体"/>
          <w:color w:val="auto"/>
          <w:sz w:val="24"/>
          <w:szCs w:val="24"/>
        </w:rPr>
        <w:t>、资格性/符合性自查表</w:t>
      </w:r>
    </w:p>
    <w:p>
      <w:pPr>
        <w:pStyle w:val="15"/>
        <w:spacing w:line="312" w:lineRule="auto"/>
        <w:ind w:left="-85" w:firstLine="482" w:firstLineChars="200"/>
        <w:jc w:val="center"/>
        <w:rPr>
          <w:rFonts w:ascii="宋体" w:hAnsi="宋体" w:cs="宋体"/>
          <w:b/>
          <w:bCs/>
          <w:color w:val="auto"/>
          <w:sz w:val="24"/>
          <w:szCs w:val="24"/>
        </w:rPr>
      </w:pPr>
    </w:p>
    <w:p>
      <w:pPr>
        <w:pStyle w:val="15"/>
        <w:spacing w:line="312" w:lineRule="auto"/>
        <w:ind w:left="-85" w:firstLine="562" w:firstLineChars="200"/>
        <w:jc w:val="center"/>
        <w:rPr>
          <w:rFonts w:ascii="宋体" w:hAnsi="宋体" w:cs="宋体"/>
          <w:b/>
          <w:bCs/>
          <w:color w:val="auto"/>
          <w:sz w:val="28"/>
          <w:szCs w:val="28"/>
        </w:rPr>
      </w:pPr>
    </w:p>
    <w:p>
      <w:pPr>
        <w:pStyle w:val="15"/>
        <w:spacing w:line="312" w:lineRule="auto"/>
        <w:ind w:left="-85" w:firstLine="562" w:firstLineChars="200"/>
        <w:jc w:val="center"/>
        <w:rPr>
          <w:rFonts w:ascii="宋体" w:hAnsi="宋体" w:cs="宋体"/>
          <w:b/>
          <w:bCs/>
          <w:color w:val="auto"/>
          <w:sz w:val="28"/>
          <w:szCs w:val="28"/>
        </w:rPr>
      </w:pPr>
    </w:p>
    <w:p>
      <w:pPr>
        <w:pStyle w:val="15"/>
        <w:spacing w:line="312" w:lineRule="auto"/>
        <w:ind w:left="-85" w:firstLine="562" w:firstLineChars="200"/>
        <w:jc w:val="center"/>
        <w:rPr>
          <w:rFonts w:ascii="宋体" w:hAnsi="宋体" w:cs="宋体"/>
          <w:b/>
          <w:bCs/>
          <w:color w:val="auto"/>
          <w:sz w:val="28"/>
          <w:szCs w:val="28"/>
        </w:rPr>
      </w:pPr>
    </w:p>
    <w:p>
      <w:pPr>
        <w:spacing w:line="1000" w:lineRule="exact"/>
        <w:jc w:val="center"/>
        <w:rPr>
          <w:rFonts w:ascii="宋体" w:hAnsi="宋体" w:cs="宋体"/>
          <w:b/>
          <w:color w:val="auto"/>
          <w:sz w:val="28"/>
          <w:szCs w:val="28"/>
        </w:rPr>
      </w:pPr>
      <w:r>
        <w:rPr>
          <w:rFonts w:hint="eastAsia" w:ascii="宋体" w:hAnsi="宋体" w:cs="宋体"/>
          <w:b/>
          <w:color w:val="auto"/>
          <w:sz w:val="28"/>
          <w:szCs w:val="28"/>
        </w:rPr>
        <w:br w:type="page"/>
      </w:r>
    </w:p>
    <w:p>
      <w:pPr>
        <w:spacing w:line="1000" w:lineRule="exact"/>
        <w:jc w:val="center"/>
        <w:rPr>
          <w:rFonts w:ascii="宋体" w:hAnsi="宋体" w:cs="宋体"/>
          <w:b/>
          <w:bCs/>
          <w:color w:val="auto"/>
          <w:sz w:val="44"/>
          <w:szCs w:val="44"/>
        </w:rPr>
      </w:pPr>
    </w:p>
    <w:p>
      <w:pPr>
        <w:spacing w:line="1000" w:lineRule="exact"/>
        <w:ind w:right="-319" w:rightChars="-152"/>
        <w:jc w:val="center"/>
        <w:rPr>
          <w:rFonts w:ascii="宋体" w:hAnsi="宋体" w:cs="宋体"/>
          <w:b/>
          <w:bCs/>
          <w:color w:val="auto"/>
          <w:sz w:val="44"/>
          <w:szCs w:val="44"/>
        </w:rPr>
      </w:pPr>
      <w:r>
        <w:rPr>
          <w:rFonts w:hint="eastAsia" w:ascii="宋体" w:hAnsi="宋体" w:cs="宋体"/>
          <w:b/>
          <w:bCs/>
          <w:color w:val="auto"/>
          <w:sz w:val="44"/>
          <w:szCs w:val="44"/>
        </w:rPr>
        <w:t>新疆医科大学厚博学院（克拉玛依校区）</w:t>
      </w:r>
    </w:p>
    <w:p>
      <w:pPr>
        <w:spacing w:line="1000" w:lineRule="exact"/>
        <w:ind w:right="-319" w:rightChars="-152"/>
        <w:jc w:val="center"/>
        <w:rPr>
          <w:rFonts w:ascii="宋体" w:hAnsi="宋体" w:cs="宋体"/>
          <w:b/>
          <w:bCs/>
          <w:color w:val="auto"/>
          <w:sz w:val="44"/>
          <w:szCs w:val="44"/>
        </w:rPr>
      </w:pPr>
      <w:r>
        <w:rPr>
          <w:rFonts w:hint="eastAsia" w:ascii="宋体" w:hAnsi="宋体" w:cs="宋体"/>
          <w:b/>
          <w:bCs/>
          <w:color w:val="auto"/>
          <w:sz w:val="44"/>
          <w:szCs w:val="44"/>
        </w:rPr>
        <w:t>消防维保服务</w:t>
      </w:r>
    </w:p>
    <w:p>
      <w:pPr>
        <w:snapToGrid w:val="0"/>
        <w:spacing w:line="374" w:lineRule="atLeast"/>
        <w:jc w:val="center"/>
        <w:rPr>
          <w:rFonts w:ascii="宋体" w:hAnsi="宋体" w:cs="宋体"/>
          <w:b/>
          <w:bCs/>
          <w:color w:val="auto"/>
          <w:sz w:val="32"/>
          <w:szCs w:val="32"/>
        </w:rPr>
      </w:pPr>
    </w:p>
    <w:p>
      <w:pPr>
        <w:pStyle w:val="2"/>
        <w:jc w:val="center"/>
        <w:rPr>
          <w:rFonts w:ascii="宋体" w:hAnsi="宋体" w:cs="宋体"/>
          <w:b/>
          <w:bCs/>
          <w:color w:val="auto"/>
          <w:sz w:val="36"/>
          <w:szCs w:val="36"/>
        </w:rPr>
      </w:pPr>
      <w:r>
        <w:rPr>
          <w:rFonts w:hint="eastAsia" w:ascii="宋体" w:hAnsi="宋体" w:cs="宋体"/>
          <w:b/>
          <w:bCs/>
          <w:color w:val="auto"/>
          <w:sz w:val="36"/>
          <w:szCs w:val="36"/>
        </w:rPr>
        <w:t>响应文件</w:t>
      </w:r>
    </w:p>
    <w:p>
      <w:pPr>
        <w:pStyle w:val="2"/>
        <w:jc w:val="center"/>
        <w:rPr>
          <w:rFonts w:ascii="宋体" w:hAnsi="宋体" w:cs="宋体"/>
          <w:b/>
          <w:bCs/>
          <w:color w:val="auto"/>
          <w:sz w:val="36"/>
          <w:szCs w:val="36"/>
        </w:rPr>
      </w:pPr>
    </w:p>
    <w:p>
      <w:pPr>
        <w:snapToGrid w:val="0"/>
        <w:spacing w:line="480" w:lineRule="auto"/>
        <w:jc w:val="center"/>
        <w:rPr>
          <w:rFonts w:ascii="宋体" w:hAnsi="宋体" w:cs="宋体"/>
          <w:b/>
          <w:bCs/>
          <w:color w:val="auto"/>
          <w:sz w:val="32"/>
          <w:szCs w:val="32"/>
        </w:rPr>
      </w:pPr>
      <w:r>
        <w:rPr>
          <w:rFonts w:hint="eastAsia" w:ascii="宋体" w:hAnsi="宋体" w:cs="宋体"/>
          <w:b/>
          <w:color w:val="auto"/>
          <w:sz w:val="30"/>
          <w:szCs w:val="30"/>
        </w:rPr>
        <w:t>（竞争性磋商文件编号：YXZB[ZC]2019-04）</w:t>
      </w:r>
    </w:p>
    <w:p>
      <w:pPr>
        <w:snapToGrid w:val="0"/>
        <w:spacing w:line="374" w:lineRule="atLeast"/>
        <w:jc w:val="center"/>
        <w:rPr>
          <w:rFonts w:ascii="宋体" w:hAnsi="宋体" w:cs="宋体"/>
          <w:b/>
          <w:color w:val="auto"/>
          <w:sz w:val="30"/>
        </w:rPr>
      </w:pPr>
    </w:p>
    <w:p>
      <w:pPr>
        <w:spacing w:line="360" w:lineRule="auto"/>
        <w:rPr>
          <w:rFonts w:ascii="宋体" w:hAnsi="宋体" w:cs="宋体"/>
          <w:b/>
          <w:color w:val="auto"/>
          <w:sz w:val="32"/>
          <w:szCs w:val="32"/>
        </w:rPr>
      </w:pPr>
    </w:p>
    <w:p>
      <w:pPr>
        <w:spacing w:line="360" w:lineRule="auto"/>
        <w:rPr>
          <w:rFonts w:ascii="宋体" w:hAnsi="宋体" w:cs="宋体"/>
          <w:b/>
          <w:color w:val="auto"/>
          <w:sz w:val="32"/>
          <w:szCs w:val="32"/>
        </w:rPr>
      </w:pPr>
    </w:p>
    <w:p>
      <w:pPr>
        <w:spacing w:line="360" w:lineRule="auto"/>
        <w:rPr>
          <w:rFonts w:ascii="宋体" w:hAnsi="宋体" w:cs="宋体"/>
          <w:b/>
          <w:color w:val="auto"/>
          <w:sz w:val="32"/>
          <w:szCs w:val="32"/>
        </w:rPr>
      </w:pPr>
    </w:p>
    <w:p>
      <w:pPr>
        <w:pStyle w:val="2"/>
        <w:rPr>
          <w:rFonts w:ascii="宋体" w:hAnsi="宋体" w:cs="宋体"/>
          <w:color w:val="auto"/>
        </w:rPr>
      </w:pPr>
    </w:p>
    <w:p>
      <w:pPr>
        <w:spacing w:line="360" w:lineRule="auto"/>
        <w:rPr>
          <w:rFonts w:ascii="宋体" w:hAnsi="宋体" w:cs="宋体"/>
          <w:b/>
          <w:color w:val="auto"/>
          <w:sz w:val="32"/>
          <w:szCs w:val="32"/>
        </w:rPr>
      </w:pPr>
    </w:p>
    <w:p>
      <w:pPr>
        <w:spacing w:line="360" w:lineRule="auto"/>
        <w:rPr>
          <w:rFonts w:ascii="宋体" w:hAnsi="宋体" w:cs="宋体"/>
          <w:b/>
          <w:color w:val="auto"/>
        </w:rPr>
      </w:pPr>
    </w:p>
    <w:p>
      <w:pPr>
        <w:spacing w:line="360" w:lineRule="auto"/>
        <w:ind w:firstLine="602"/>
        <w:rPr>
          <w:rFonts w:ascii="宋体" w:hAnsi="宋体" w:cs="宋体"/>
          <w:b/>
          <w:color w:val="auto"/>
          <w:sz w:val="30"/>
          <w:szCs w:val="30"/>
        </w:rPr>
      </w:pPr>
      <w:r>
        <w:rPr>
          <w:rFonts w:hint="eastAsia" w:ascii="宋体" w:hAnsi="宋体" w:cs="宋体"/>
          <w:b/>
          <w:color w:val="auto"/>
          <w:sz w:val="30"/>
          <w:szCs w:val="30"/>
        </w:rPr>
        <w:t>供应商： （单位名称）盖章</w:t>
      </w:r>
    </w:p>
    <w:p>
      <w:pPr>
        <w:spacing w:line="360" w:lineRule="auto"/>
        <w:rPr>
          <w:rFonts w:ascii="宋体" w:hAnsi="宋体" w:cs="宋体"/>
          <w:b/>
          <w:color w:val="auto"/>
          <w:sz w:val="30"/>
          <w:szCs w:val="30"/>
        </w:rPr>
      </w:pPr>
    </w:p>
    <w:p>
      <w:pPr>
        <w:spacing w:line="360" w:lineRule="auto"/>
        <w:ind w:firstLine="602"/>
        <w:rPr>
          <w:rFonts w:ascii="宋体" w:hAnsi="宋体" w:cs="宋体"/>
          <w:b/>
          <w:color w:val="auto"/>
          <w:sz w:val="30"/>
          <w:szCs w:val="30"/>
        </w:rPr>
      </w:pPr>
      <w:r>
        <w:rPr>
          <w:rFonts w:hint="eastAsia" w:ascii="宋体" w:hAnsi="宋体" w:cs="宋体"/>
          <w:b/>
          <w:color w:val="auto"/>
          <w:sz w:val="30"/>
          <w:szCs w:val="30"/>
        </w:rPr>
        <w:t>单位地址：</w:t>
      </w:r>
    </w:p>
    <w:p>
      <w:pPr>
        <w:spacing w:line="360" w:lineRule="auto"/>
        <w:ind w:firstLine="602"/>
        <w:rPr>
          <w:rFonts w:ascii="宋体" w:hAnsi="宋体" w:cs="宋体"/>
          <w:b/>
          <w:color w:val="auto"/>
          <w:sz w:val="30"/>
          <w:szCs w:val="30"/>
        </w:rPr>
      </w:pPr>
    </w:p>
    <w:p>
      <w:pPr>
        <w:pStyle w:val="7"/>
        <w:ind w:firstLine="596" w:firstLineChars="198"/>
        <w:outlineLvl w:val="0"/>
        <w:rPr>
          <w:rFonts w:hAnsi="宋体" w:cs="宋体"/>
          <w:color w:val="auto"/>
          <w:sz w:val="24"/>
        </w:rPr>
      </w:pPr>
      <w:r>
        <w:rPr>
          <w:rFonts w:hint="eastAsia" w:hAnsi="宋体" w:cs="宋体"/>
          <w:b/>
          <w:color w:val="auto"/>
          <w:sz w:val="30"/>
          <w:szCs w:val="30"/>
        </w:rPr>
        <w:t>联系人：                   联系电话：</w:t>
      </w:r>
    </w:p>
    <w:p>
      <w:pPr>
        <w:spacing w:line="360" w:lineRule="auto"/>
        <w:rPr>
          <w:rFonts w:ascii="宋体" w:hAnsi="宋体" w:cs="宋体"/>
          <w:b/>
          <w:color w:val="auto"/>
          <w:sz w:val="28"/>
          <w:szCs w:val="28"/>
        </w:rPr>
      </w:pPr>
    </w:p>
    <w:p>
      <w:pPr>
        <w:spacing w:line="360" w:lineRule="auto"/>
        <w:rPr>
          <w:rFonts w:ascii="宋体" w:hAnsi="宋体" w:cs="宋体"/>
          <w:b/>
          <w:color w:val="auto"/>
          <w:sz w:val="28"/>
          <w:szCs w:val="28"/>
        </w:rPr>
      </w:pPr>
    </w:p>
    <w:p>
      <w:pPr>
        <w:pStyle w:val="2"/>
        <w:rPr>
          <w:rFonts w:ascii="宋体" w:hAnsi="宋体" w:cs="宋体"/>
          <w:color w:val="auto"/>
        </w:rPr>
      </w:pPr>
    </w:p>
    <w:p>
      <w:pPr>
        <w:spacing w:line="360" w:lineRule="auto"/>
        <w:jc w:val="center"/>
        <w:rPr>
          <w:rFonts w:ascii="宋体" w:hAnsi="宋体" w:cs="宋体"/>
          <w:bCs/>
          <w:color w:val="auto"/>
          <w:sz w:val="24"/>
        </w:rPr>
      </w:pPr>
      <w:r>
        <w:rPr>
          <w:rFonts w:hint="eastAsia" w:ascii="宋体" w:hAnsi="宋体" w:cs="宋体"/>
          <w:b/>
          <w:color w:val="auto"/>
          <w:sz w:val="28"/>
          <w:szCs w:val="28"/>
        </w:rPr>
        <w:t xml:space="preserve">1、 </w:t>
      </w:r>
      <w:r>
        <w:rPr>
          <w:rFonts w:hint="eastAsia" w:ascii="宋体" w:hAnsi="宋体" w:cs="宋体"/>
          <w:b/>
          <w:bCs/>
          <w:color w:val="auto"/>
          <w:sz w:val="28"/>
          <w:szCs w:val="28"/>
        </w:rPr>
        <w:t>响应函</w:t>
      </w:r>
    </w:p>
    <w:p>
      <w:pPr>
        <w:pStyle w:val="9"/>
        <w:ind w:left="0" w:firstLine="480" w:firstLineChars="200"/>
        <w:rPr>
          <w:rFonts w:ascii="宋体" w:hAnsi="宋体" w:cs="宋体"/>
          <w:b w:val="0"/>
          <w:bCs/>
          <w:color w:val="auto"/>
        </w:rPr>
      </w:pPr>
      <w:r>
        <w:rPr>
          <w:rFonts w:hint="eastAsia" w:ascii="宋体" w:hAnsi="宋体" w:cs="宋体"/>
          <w:b w:val="0"/>
          <w:bCs/>
          <w:color w:val="auto"/>
        </w:rPr>
        <w:t>我方全面研究了 “”项目竞争性磋商文件（文件编号：），决定参加本项目磋商。我方授权（姓名、职务）代表我方（供应商的名称）全权处理本项目磋商的有关事宜。</w:t>
      </w:r>
    </w:p>
    <w:p>
      <w:pPr>
        <w:pStyle w:val="9"/>
        <w:ind w:left="0" w:firstLine="480" w:firstLineChars="200"/>
        <w:rPr>
          <w:rFonts w:ascii="宋体" w:hAnsi="宋体" w:cs="宋体"/>
          <w:b w:val="0"/>
          <w:bCs/>
          <w:color w:val="auto"/>
        </w:rPr>
      </w:pPr>
      <w:r>
        <w:rPr>
          <w:rFonts w:hint="eastAsia" w:ascii="宋体" w:hAnsi="宋体" w:cs="宋体"/>
          <w:b w:val="0"/>
          <w:bCs/>
          <w:color w:val="auto"/>
        </w:rPr>
        <w:t>1、我方自愿按照竞争性磋商文件规定的各项要求向采购人提供所需服务，商务报价为</w:t>
      </w:r>
      <w:r>
        <w:rPr>
          <w:rFonts w:hint="eastAsia" w:ascii="宋体" w:hAnsi="宋体" w:cs="宋体"/>
          <w:color w:val="auto"/>
          <w:szCs w:val="21"/>
        </w:rPr>
        <w:t>￥</w:t>
      </w:r>
      <w:r>
        <w:rPr>
          <w:rFonts w:hint="eastAsia" w:ascii="宋体" w:hAnsi="宋体" w:cs="宋体"/>
          <w:b w:val="0"/>
          <w:bCs/>
          <w:color w:val="auto"/>
        </w:rPr>
        <w:t>万元（大写：人民币）。</w:t>
      </w:r>
    </w:p>
    <w:p>
      <w:pPr>
        <w:pStyle w:val="9"/>
        <w:ind w:left="0" w:firstLine="480" w:firstLineChars="200"/>
        <w:rPr>
          <w:rFonts w:ascii="宋体" w:hAnsi="宋体" w:cs="宋体"/>
          <w:b w:val="0"/>
          <w:bCs/>
          <w:color w:val="auto"/>
        </w:rPr>
      </w:pPr>
      <w:r>
        <w:rPr>
          <w:rFonts w:hint="eastAsia" w:ascii="宋体" w:hAnsi="宋体" w:cs="宋体"/>
          <w:b w:val="0"/>
          <w:bCs/>
          <w:color w:val="auto"/>
        </w:rPr>
        <w:t>2、若我方成交，我方将严格履行合同规定的责任和义务，保证按采购人要求及我方承诺完成应尽义务，并交采购人验收，使用。</w:t>
      </w:r>
    </w:p>
    <w:p>
      <w:pPr>
        <w:pStyle w:val="9"/>
        <w:ind w:left="0" w:firstLine="480" w:firstLineChars="200"/>
        <w:rPr>
          <w:rFonts w:ascii="宋体" w:hAnsi="宋体" w:cs="宋体"/>
          <w:b w:val="0"/>
          <w:bCs/>
          <w:color w:val="auto"/>
        </w:rPr>
      </w:pPr>
      <w:r>
        <w:rPr>
          <w:rFonts w:hint="eastAsia" w:ascii="宋体" w:hAnsi="宋体" w:cs="宋体"/>
          <w:b w:val="0"/>
          <w:bCs/>
          <w:color w:val="auto"/>
        </w:rPr>
        <w:t>3、我方为本项目提交的响应文件一式</w:t>
      </w:r>
      <w:r>
        <w:rPr>
          <w:rFonts w:hint="eastAsia" w:ascii="宋体" w:hAnsi="宋体" w:cs="宋体"/>
          <w:b w:val="0"/>
          <w:bCs/>
          <w:color w:val="auto"/>
          <w:u w:val="single"/>
        </w:rPr>
        <w:t>叁</w:t>
      </w:r>
      <w:r>
        <w:rPr>
          <w:rFonts w:hint="eastAsia" w:ascii="宋体" w:hAnsi="宋体" w:cs="宋体"/>
          <w:b w:val="0"/>
          <w:bCs/>
          <w:color w:val="auto"/>
        </w:rPr>
        <w:t>份，</w:t>
      </w:r>
      <w:r>
        <w:rPr>
          <w:rFonts w:hint="eastAsia" w:ascii="宋体" w:hAnsi="宋体" w:cs="宋体"/>
          <w:b w:val="0"/>
          <w:bCs/>
          <w:color w:val="auto"/>
        </w:rPr>
        <w:t>其中正本</w:t>
      </w:r>
      <w:r>
        <w:rPr>
          <w:rFonts w:hint="eastAsia" w:ascii="宋体" w:hAnsi="宋体" w:cs="宋体"/>
          <w:b w:val="0"/>
          <w:bCs/>
          <w:color w:val="auto"/>
          <w:u w:val="single"/>
        </w:rPr>
        <w:t>壹</w:t>
      </w:r>
      <w:r>
        <w:rPr>
          <w:rFonts w:hint="eastAsia" w:ascii="宋体" w:hAnsi="宋体" w:cs="宋体"/>
          <w:b w:val="0"/>
          <w:bCs/>
          <w:color w:val="auto"/>
        </w:rPr>
        <w:t>份，副本</w:t>
      </w:r>
      <w:r>
        <w:rPr>
          <w:rFonts w:hint="eastAsia" w:ascii="宋体" w:hAnsi="宋体" w:cs="宋体"/>
          <w:b w:val="0"/>
          <w:color w:val="auto"/>
          <w:u w:val="single"/>
        </w:rPr>
        <w:t>贰</w:t>
      </w:r>
      <w:r>
        <w:rPr>
          <w:rFonts w:hint="eastAsia" w:ascii="宋体" w:hAnsi="宋体" w:cs="宋体"/>
          <w:b w:val="0"/>
          <w:bCs/>
          <w:color w:val="auto"/>
        </w:rPr>
        <w:t>份</w:t>
      </w:r>
      <w:r>
        <w:rPr>
          <w:rFonts w:hint="eastAsia" w:ascii="宋体" w:hAnsi="宋体" w:cs="宋体"/>
          <w:b w:val="0"/>
          <w:bCs/>
          <w:color w:val="auto"/>
        </w:rPr>
        <w:t>。</w:t>
      </w:r>
    </w:p>
    <w:p>
      <w:pPr>
        <w:pStyle w:val="9"/>
        <w:ind w:left="0" w:firstLine="480" w:firstLineChars="200"/>
        <w:rPr>
          <w:rFonts w:ascii="宋体" w:hAnsi="宋体" w:cs="宋体"/>
          <w:b w:val="0"/>
          <w:bCs/>
          <w:color w:val="auto"/>
        </w:rPr>
      </w:pPr>
      <w:r>
        <w:rPr>
          <w:rFonts w:hint="eastAsia" w:ascii="宋体" w:hAnsi="宋体" w:cs="宋体"/>
          <w:b w:val="0"/>
          <w:bCs/>
          <w:color w:val="auto"/>
        </w:rPr>
        <w:t>4、我方愿意提供采购人可能另外要求的，与磋商有关的文件资料，并保证我方已提供和将要提供的文件资料是真实、准确的。</w:t>
      </w:r>
    </w:p>
    <w:p>
      <w:pPr>
        <w:pStyle w:val="9"/>
        <w:ind w:left="852" w:firstLine="480" w:firstLineChars="200"/>
        <w:jc w:val="left"/>
        <w:rPr>
          <w:rFonts w:ascii="宋体" w:hAnsi="宋体" w:cs="宋体"/>
          <w:b w:val="0"/>
          <w:bCs/>
          <w:color w:val="auto"/>
        </w:rPr>
      </w:pPr>
    </w:p>
    <w:p>
      <w:pPr>
        <w:pStyle w:val="9"/>
        <w:ind w:left="852" w:firstLine="480" w:firstLineChars="200"/>
        <w:jc w:val="left"/>
        <w:rPr>
          <w:rFonts w:ascii="宋体" w:hAnsi="宋体" w:cs="宋体"/>
          <w:b w:val="0"/>
          <w:bCs/>
          <w:color w:val="auto"/>
        </w:rPr>
      </w:pPr>
    </w:p>
    <w:p>
      <w:pPr>
        <w:pStyle w:val="9"/>
        <w:ind w:left="852" w:firstLine="480" w:firstLineChars="200"/>
        <w:jc w:val="left"/>
        <w:rPr>
          <w:rFonts w:ascii="宋体" w:hAnsi="宋体" w:cs="宋体"/>
          <w:b w:val="0"/>
          <w:bCs/>
          <w:color w:val="auto"/>
        </w:rPr>
      </w:pPr>
    </w:p>
    <w:p>
      <w:pPr>
        <w:pStyle w:val="9"/>
        <w:ind w:left="852" w:hanging="852"/>
        <w:jc w:val="left"/>
        <w:rPr>
          <w:rFonts w:ascii="宋体" w:hAnsi="宋体" w:cs="宋体"/>
          <w:b w:val="0"/>
          <w:bCs/>
          <w:color w:val="auto"/>
        </w:rPr>
      </w:pPr>
      <w:r>
        <w:rPr>
          <w:rFonts w:hint="eastAsia" w:ascii="宋体" w:hAnsi="宋体" w:cs="宋体"/>
          <w:b w:val="0"/>
          <w:bCs/>
          <w:color w:val="auto"/>
        </w:rPr>
        <w:t>供应商名称：        （盖章）</w:t>
      </w:r>
    </w:p>
    <w:p>
      <w:pPr>
        <w:pStyle w:val="9"/>
        <w:ind w:left="0" w:firstLine="0" w:firstLineChars="0"/>
        <w:jc w:val="left"/>
        <w:rPr>
          <w:rFonts w:ascii="宋体" w:hAnsi="宋体" w:cs="宋体"/>
          <w:b w:val="0"/>
          <w:bCs/>
          <w:color w:val="auto"/>
        </w:rPr>
      </w:pPr>
      <w:r>
        <w:rPr>
          <w:rFonts w:hint="eastAsia" w:ascii="宋体" w:hAnsi="宋体" w:cs="宋体"/>
          <w:b w:val="0"/>
          <w:bCs/>
          <w:color w:val="auto"/>
        </w:rPr>
        <w:t>供应商代表人或授权代表（签字或盖章）：</w:t>
      </w:r>
    </w:p>
    <w:p>
      <w:pPr>
        <w:pStyle w:val="9"/>
        <w:ind w:left="0" w:firstLine="0" w:firstLineChars="0"/>
        <w:jc w:val="left"/>
        <w:rPr>
          <w:rFonts w:ascii="宋体" w:hAnsi="宋体" w:cs="宋体"/>
          <w:b w:val="0"/>
          <w:bCs/>
          <w:color w:val="auto"/>
        </w:rPr>
      </w:pPr>
      <w:r>
        <w:rPr>
          <w:rFonts w:hint="eastAsia" w:ascii="宋体" w:hAnsi="宋体" w:cs="宋体"/>
          <w:b w:val="0"/>
          <w:bCs/>
          <w:color w:val="auto"/>
        </w:rPr>
        <w:t>通讯地址：</w:t>
      </w:r>
    </w:p>
    <w:p>
      <w:pPr>
        <w:pStyle w:val="9"/>
        <w:ind w:left="0" w:firstLine="0" w:firstLineChars="0"/>
        <w:jc w:val="left"/>
        <w:rPr>
          <w:rFonts w:ascii="宋体" w:hAnsi="宋体" w:cs="宋体"/>
          <w:b w:val="0"/>
          <w:bCs/>
          <w:color w:val="auto"/>
        </w:rPr>
      </w:pPr>
      <w:r>
        <w:rPr>
          <w:rFonts w:hint="eastAsia" w:ascii="宋体" w:hAnsi="宋体" w:cs="宋体"/>
          <w:b w:val="0"/>
          <w:bCs/>
          <w:color w:val="auto"/>
        </w:rPr>
        <w:t>邮政编码：</w:t>
      </w:r>
    </w:p>
    <w:p>
      <w:pPr>
        <w:pStyle w:val="9"/>
        <w:ind w:left="0" w:firstLine="0" w:firstLineChars="0"/>
        <w:jc w:val="left"/>
        <w:rPr>
          <w:rFonts w:ascii="宋体" w:hAnsi="宋体" w:cs="宋体"/>
          <w:b w:val="0"/>
          <w:bCs/>
          <w:color w:val="auto"/>
        </w:rPr>
      </w:pPr>
      <w:r>
        <w:rPr>
          <w:rFonts w:hint="eastAsia" w:ascii="宋体" w:hAnsi="宋体" w:cs="宋体"/>
          <w:b w:val="0"/>
          <w:bCs/>
          <w:color w:val="auto"/>
        </w:rPr>
        <w:t>联系电话：</w:t>
      </w:r>
    </w:p>
    <w:p>
      <w:pPr>
        <w:pStyle w:val="9"/>
        <w:ind w:left="0" w:firstLine="0" w:firstLineChars="0"/>
        <w:jc w:val="left"/>
        <w:rPr>
          <w:rFonts w:ascii="宋体" w:hAnsi="宋体" w:cs="宋体"/>
          <w:b w:val="0"/>
          <w:bCs/>
          <w:color w:val="auto"/>
        </w:rPr>
      </w:pPr>
      <w:r>
        <w:rPr>
          <w:rFonts w:hint="eastAsia" w:ascii="宋体" w:hAnsi="宋体" w:cs="宋体"/>
          <w:b w:val="0"/>
          <w:bCs/>
          <w:color w:val="auto"/>
        </w:rPr>
        <w:t>传    真：</w:t>
      </w:r>
    </w:p>
    <w:p>
      <w:pPr>
        <w:pStyle w:val="9"/>
        <w:ind w:left="0" w:firstLine="0" w:firstLineChars="0"/>
        <w:jc w:val="left"/>
        <w:rPr>
          <w:rFonts w:ascii="宋体" w:hAnsi="宋体" w:cs="宋体"/>
          <w:b w:val="0"/>
          <w:bCs/>
          <w:color w:val="auto"/>
        </w:rPr>
      </w:pPr>
      <w:r>
        <w:rPr>
          <w:rFonts w:hint="eastAsia" w:ascii="宋体" w:hAnsi="宋体" w:cs="宋体"/>
          <w:b w:val="0"/>
          <w:bCs/>
          <w:color w:val="auto"/>
        </w:rPr>
        <w:t>日    期：    年  月  日</w:t>
      </w:r>
    </w:p>
    <w:p>
      <w:pPr>
        <w:pStyle w:val="9"/>
        <w:ind w:left="0" w:firstLine="0" w:firstLineChars="0"/>
        <w:jc w:val="left"/>
        <w:rPr>
          <w:rFonts w:ascii="宋体" w:hAnsi="宋体" w:cs="宋体"/>
          <w:b w:val="0"/>
          <w:bCs/>
          <w:color w:val="auto"/>
        </w:rPr>
      </w:pPr>
    </w:p>
    <w:p>
      <w:pPr>
        <w:pStyle w:val="9"/>
        <w:ind w:left="0" w:firstLine="0" w:firstLineChars="0"/>
        <w:jc w:val="left"/>
        <w:rPr>
          <w:rFonts w:ascii="宋体" w:hAnsi="宋体" w:cs="宋体"/>
          <w:b w:val="0"/>
          <w:bCs/>
          <w:color w:val="auto"/>
        </w:rPr>
      </w:pPr>
    </w:p>
    <w:p>
      <w:pPr>
        <w:pStyle w:val="9"/>
        <w:ind w:left="0" w:firstLine="0" w:firstLineChars="0"/>
        <w:jc w:val="left"/>
        <w:rPr>
          <w:rFonts w:ascii="宋体" w:hAnsi="宋体" w:cs="宋体"/>
          <w:b w:val="0"/>
          <w:bCs/>
          <w:color w:val="auto"/>
        </w:rPr>
      </w:pPr>
    </w:p>
    <w:p>
      <w:pPr>
        <w:pStyle w:val="9"/>
        <w:ind w:left="0" w:firstLine="0" w:firstLineChars="0"/>
        <w:jc w:val="left"/>
        <w:rPr>
          <w:rFonts w:ascii="宋体" w:hAnsi="宋体" w:cs="宋体"/>
          <w:b w:val="0"/>
          <w:bCs/>
          <w:color w:val="auto"/>
        </w:rPr>
      </w:pPr>
    </w:p>
    <w:p>
      <w:pPr>
        <w:pStyle w:val="9"/>
        <w:ind w:left="0" w:firstLine="0" w:firstLineChars="0"/>
        <w:jc w:val="left"/>
        <w:rPr>
          <w:rFonts w:ascii="宋体" w:hAnsi="宋体" w:cs="宋体"/>
          <w:b w:val="0"/>
          <w:bCs/>
          <w:color w:val="auto"/>
        </w:rPr>
      </w:pPr>
    </w:p>
    <w:p>
      <w:pPr>
        <w:pStyle w:val="9"/>
        <w:ind w:left="0" w:firstLine="0" w:firstLineChars="0"/>
        <w:jc w:val="left"/>
        <w:rPr>
          <w:rFonts w:ascii="宋体" w:hAnsi="宋体" w:cs="宋体"/>
          <w:b w:val="0"/>
          <w:bCs/>
          <w:color w:val="auto"/>
        </w:rPr>
      </w:pPr>
    </w:p>
    <w:p>
      <w:pPr>
        <w:pStyle w:val="9"/>
        <w:ind w:left="0" w:firstLine="0" w:firstLineChars="0"/>
        <w:jc w:val="left"/>
        <w:rPr>
          <w:rFonts w:ascii="宋体" w:hAnsi="宋体" w:cs="宋体"/>
          <w:b w:val="0"/>
          <w:bCs/>
          <w:color w:val="auto"/>
        </w:rPr>
      </w:pPr>
    </w:p>
    <w:p>
      <w:pPr>
        <w:spacing w:line="360" w:lineRule="auto"/>
        <w:jc w:val="center"/>
        <w:rPr>
          <w:rFonts w:ascii="宋体" w:hAnsi="宋体" w:cs="宋体"/>
          <w:color w:val="auto"/>
          <w:sz w:val="24"/>
          <w:highlight w:val="yellow"/>
        </w:rPr>
      </w:pPr>
      <w:r>
        <w:rPr>
          <w:rFonts w:hint="eastAsia" w:ascii="宋体" w:hAnsi="宋体" w:cs="宋体"/>
          <w:b/>
          <w:color w:val="auto"/>
          <w:sz w:val="28"/>
          <w:szCs w:val="28"/>
        </w:rPr>
        <w:t>2、商务报价一览表（首次）</w:t>
      </w:r>
    </w:p>
    <w:p>
      <w:pPr>
        <w:spacing w:line="360" w:lineRule="auto"/>
        <w:rPr>
          <w:rFonts w:ascii="宋体" w:hAnsi="宋体" w:cs="宋体"/>
          <w:color w:val="auto"/>
          <w:sz w:val="24"/>
        </w:rPr>
      </w:pPr>
      <w:r>
        <w:rPr>
          <w:rFonts w:hint="eastAsia" w:ascii="宋体" w:hAnsi="宋体" w:cs="宋体"/>
          <w:color w:val="auto"/>
          <w:sz w:val="24"/>
        </w:rPr>
        <w:t>项目名称：                                             币种：人民币</w:t>
      </w:r>
    </w:p>
    <w:tbl>
      <w:tblPr>
        <w:tblStyle w:val="16"/>
        <w:tblW w:w="10065"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6"/>
        <w:gridCol w:w="2432"/>
        <w:gridCol w:w="841"/>
        <w:gridCol w:w="4131"/>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trPr>
        <w:tc>
          <w:tcPr>
            <w:tcW w:w="536" w:type="dxa"/>
            <w:tcBorders>
              <w:top w:val="single" w:color="000000" w:sz="2" w:space="0"/>
              <w:left w:val="single" w:color="000000" w:sz="2" w:space="0"/>
              <w:right w:val="single" w:color="000000" w:sz="2" w:space="0"/>
            </w:tcBorders>
            <w:noWrap/>
            <w:vAlign w:val="center"/>
          </w:tcPr>
          <w:p>
            <w:pPr>
              <w:spacing w:line="480" w:lineRule="auto"/>
              <w:jc w:val="center"/>
              <w:rPr>
                <w:rFonts w:ascii="宋体" w:hAnsi="宋体" w:cs="宋体"/>
                <w:color w:val="auto"/>
                <w:sz w:val="24"/>
              </w:rPr>
            </w:pPr>
            <w:r>
              <w:rPr>
                <w:rFonts w:hint="eastAsia" w:ascii="宋体" w:hAnsi="宋体" w:cs="宋体"/>
                <w:color w:val="auto"/>
                <w:sz w:val="24"/>
              </w:rPr>
              <w:t>序号</w:t>
            </w:r>
          </w:p>
        </w:tc>
        <w:tc>
          <w:tcPr>
            <w:tcW w:w="2432" w:type="dxa"/>
            <w:tcBorders>
              <w:top w:val="single" w:color="000000" w:sz="2" w:space="0"/>
              <w:left w:val="single" w:color="auto" w:sz="4" w:space="0"/>
              <w:right w:val="single" w:color="000000" w:sz="2" w:space="0"/>
            </w:tcBorders>
            <w:noWrap/>
            <w:vAlign w:val="center"/>
          </w:tcPr>
          <w:p>
            <w:pPr>
              <w:widowControl/>
              <w:spacing w:line="480" w:lineRule="auto"/>
              <w:jc w:val="center"/>
              <w:rPr>
                <w:rFonts w:ascii="宋体" w:hAnsi="宋体" w:cs="宋体"/>
                <w:color w:val="auto"/>
                <w:kern w:val="0"/>
                <w:sz w:val="24"/>
              </w:rPr>
            </w:pPr>
            <w:r>
              <w:rPr>
                <w:rFonts w:hint="eastAsia" w:ascii="宋体" w:hAnsi="宋体" w:cs="宋体"/>
                <w:color w:val="auto"/>
                <w:sz w:val="24"/>
              </w:rPr>
              <w:t>项目名称</w:t>
            </w:r>
          </w:p>
        </w:tc>
        <w:tc>
          <w:tcPr>
            <w:tcW w:w="4972" w:type="dxa"/>
            <w:gridSpan w:val="2"/>
            <w:tcBorders>
              <w:top w:val="single" w:color="000000" w:sz="2" w:space="0"/>
              <w:left w:val="single" w:color="auto" w:sz="4" w:space="0"/>
              <w:right w:val="single" w:color="auto" w:sz="4" w:space="0"/>
            </w:tcBorders>
            <w:noWrap/>
            <w:vAlign w:val="center"/>
          </w:tcPr>
          <w:p>
            <w:pPr>
              <w:spacing w:line="480" w:lineRule="auto"/>
              <w:jc w:val="center"/>
              <w:rPr>
                <w:rFonts w:ascii="宋体" w:hAnsi="宋体" w:cs="宋体"/>
                <w:color w:val="auto"/>
                <w:sz w:val="24"/>
              </w:rPr>
            </w:pPr>
            <w:r>
              <w:rPr>
                <w:rFonts w:hint="eastAsia" w:ascii="宋体" w:hAnsi="宋体" w:cs="宋体"/>
                <w:color w:val="auto"/>
                <w:sz w:val="24"/>
              </w:rPr>
              <w:t>报价（万元/年）</w:t>
            </w:r>
          </w:p>
        </w:tc>
        <w:tc>
          <w:tcPr>
            <w:tcW w:w="2125" w:type="dxa"/>
            <w:tcBorders>
              <w:top w:val="single" w:color="000000" w:sz="2" w:space="0"/>
              <w:left w:val="single" w:color="auto" w:sz="4" w:space="0"/>
              <w:right w:val="single" w:color="000000" w:sz="2" w:space="0"/>
            </w:tcBorders>
            <w:noWrap/>
            <w:vAlign w:val="center"/>
          </w:tcPr>
          <w:p>
            <w:pPr>
              <w:widowControl/>
              <w:spacing w:line="480" w:lineRule="auto"/>
              <w:jc w:val="center"/>
              <w:rPr>
                <w:rFonts w:ascii="宋体" w:hAnsi="宋体" w:cs="宋体"/>
                <w:color w:val="auto"/>
                <w:sz w:val="24"/>
              </w:rPr>
            </w:pPr>
            <w:r>
              <w:rPr>
                <w:rFonts w:hint="eastAsia" w:ascii="宋体" w:hAnsi="宋体" w:cs="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33" w:hRule="atLeast"/>
        </w:trPr>
        <w:tc>
          <w:tcPr>
            <w:tcW w:w="536" w:type="dxa"/>
            <w:vMerge w:val="restart"/>
            <w:tcBorders>
              <w:left w:val="single" w:color="000000" w:sz="2" w:space="0"/>
              <w:right w:val="single" w:color="000000" w:sz="2" w:space="0"/>
            </w:tcBorders>
            <w:noWrap/>
            <w:vAlign w:val="center"/>
          </w:tcPr>
          <w:p>
            <w:pPr>
              <w:spacing w:line="480" w:lineRule="auto"/>
              <w:jc w:val="center"/>
              <w:rPr>
                <w:rFonts w:ascii="宋体" w:hAnsi="宋体" w:cs="宋体"/>
                <w:color w:val="auto"/>
                <w:sz w:val="24"/>
              </w:rPr>
            </w:pPr>
            <w:r>
              <w:rPr>
                <w:rFonts w:hint="eastAsia" w:ascii="宋体" w:hAnsi="宋体" w:cs="宋体"/>
                <w:color w:val="auto"/>
                <w:sz w:val="24"/>
              </w:rPr>
              <w:t>1</w:t>
            </w:r>
          </w:p>
        </w:tc>
        <w:tc>
          <w:tcPr>
            <w:tcW w:w="2432" w:type="dxa"/>
            <w:vMerge w:val="restart"/>
            <w:tcBorders>
              <w:top w:val="single" w:color="auto" w:sz="4" w:space="0"/>
              <w:left w:val="single" w:color="auto" w:sz="4" w:space="0"/>
              <w:right w:val="single" w:color="000000" w:sz="2" w:space="0"/>
            </w:tcBorders>
            <w:noWrap/>
            <w:vAlign w:val="center"/>
          </w:tcPr>
          <w:p>
            <w:pPr>
              <w:widowControl/>
              <w:spacing w:line="480" w:lineRule="auto"/>
              <w:jc w:val="center"/>
              <w:rPr>
                <w:rFonts w:ascii="宋体" w:hAnsi="宋体" w:cs="宋体"/>
                <w:color w:val="auto"/>
                <w:kern w:val="0"/>
                <w:sz w:val="24"/>
              </w:rPr>
            </w:pPr>
            <w:r>
              <w:rPr>
                <w:rFonts w:hint="eastAsia" w:ascii="宋体" w:hAnsi="宋体" w:cs="宋体"/>
                <w:color w:val="auto"/>
                <w:sz w:val="24"/>
              </w:rPr>
              <w:t>新疆医科大学厚博学院（克拉玛依校区）消防维保服务</w:t>
            </w:r>
          </w:p>
        </w:tc>
        <w:tc>
          <w:tcPr>
            <w:tcW w:w="841" w:type="dxa"/>
            <w:tcBorders>
              <w:left w:val="single" w:color="auto" w:sz="4" w:space="0"/>
              <w:right w:val="single" w:color="auto" w:sz="4" w:space="0"/>
            </w:tcBorders>
            <w:noWrap/>
            <w:vAlign w:val="center"/>
          </w:tcPr>
          <w:p>
            <w:pPr>
              <w:spacing w:line="480" w:lineRule="auto"/>
              <w:jc w:val="center"/>
              <w:rPr>
                <w:rFonts w:ascii="宋体" w:hAnsi="宋体" w:cs="宋体"/>
                <w:color w:val="auto"/>
                <w:sz w:val="24"/>
              </w:rPr>
            </w:pPr>
            <w:r>
              <w:rPr>
                <w:rFonts w:hint="eastAsia" w:ascii="宋体" w:hAnsi="宋体" w:cs="宋体"/>
                <w:color w:val="auto"/>
                <w:sz w:val="24"/>
              </w:rPr>
              <w:t>小写</w:t>
            </w:r>
          </w:p>
        </w:tc>
        <w:tc>
          <w:tcPr>
            <w:tcW w:w="4131" w:type="dxa"/>
            <w:tcBorders>
              <w:left w:val="single" w:color="auto" w:sz="4" w:space="0"/>
              <w:right w:val="single" w:color="auto" w:sz="4" w:space="0"/>
            </w:tcBorders>
            <w:noWrap/>
            <w:vAlign w:val="center"/>
          </w:tcPr>
          <w:p>
            <w:pPr>
              <w:spacing w:line="480" w:lineRule="auto"/>
              <w:jc w:val="left"/>
              <w:rPr>
                <w:rFonts w:ascii="宋体" w:hAnsi="宋体" w:cs="宋体"/>
                <w:color w:val="auto"/>
                <w:sz w:val="24"/>
              </w:rPr>
            </w:pPr>
            <w:r>
              <w:rPr>
                <w:rFonts w:hint="eastAsia" w:ascii="宋体" w:hAnsi="宋体" w:cs="宋体"/>
                <w:color w:val="auto"/>
                <w:sz w:val="24"/>
              </w:rPr>
              <w:t>￥</w:t>
            </w:r>
          </w:p>
        </w:tc>
        <w:tc>
          <w:tcPr>
            <w:tcW w:w="2125" w:type="dxa"/>
            <w:vMerge w:val="restart"/>
            <w:tcBorders>
              <w:left w:val="single" w:color="auto" w:sz="4" w:space="0"/>
              <w:right w:val="single" w:color="000000" w:sz="2" w:space="0"/>
            </w:tcBorders>
            <w:noWrap/>
            <w:vAlign w:val="center"/>
          </w:tcPr>
          <w:p>
            <w:pPr>
              <w:widowControl/>
              <w:spacing w:line="480" w:lineRule="auto"/>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trPr>
        <w:tc>
          <w:tcPr>
            <w:tcW w:w="536" w:type="dxa"/>
            <w:vMerge w:val="continue"/>
            <w:tcBorders>
              <w:left w:val="single" w:color="000000" w:sz="2" w:space="0"/>
              <w:right w:val="single" w:color="000000" w:sz="2" w:space="0"/>
            </w:tcBorders>
            <w:noWrap/>
            <w:vAlign w:val="center"/>
          </w:tcPr>
          <w:p>
            <w:pPr>
              <w:spacing w:line="480" w:lineRule="auto"/>
              <w:jc w:val="center"/>
              <w:rPr>
                <w:rFonts w:ascii="宋体" w:hAnsi="宋体" w:cs="宋体"/>
                <w:color w:val="auto"/>
                <w:sz w:val="24"/>
              </w:rPr>
            </w:pPr>
          </w:p>
        </w:tc>
        <w:tc>
          <w:tcPr>
            <w:tcW w:w="2432" w:type="dxa"/>
            <w:vMerge w:val="continue"/>
            <w:tcBorders>
              <w:left w:val="single" w:color="auto" w:sz="4" w:space="0"/>
              <w:bottom w:val="single" w:color="000000" w:sz="2" w:space="0"/>
              <w:right w:val="single" w:color="000000" w:sz="2" w:space="0"/>
            </w:tcBorders>
            <w:noWrap/>
            <w:vAlign w:val="center"/>
          </w:tcPr>
          <w:p>
            <w:pPr>
              <w:widowControl/>
              <w:spacing w:line="480" w:lineRule="auto"/>
              <w:jc w:val="center"/>
              <w:rPr>
                <w:rFonts w:ascii="宋体" w:hAnsi="宋体" w:cs="宋体"/>
                <w:color w:val="auto"/>
                <w:kern w:val="0"/>
                <w:sz w:val="24"/>
              </w:rPr>
            </w:pPr>
          </w:p>
        </w:tc>
        <w:tc>
          <w:tcPr>
            <w:tcW w:w="841" w:type="dxa"/>
            <w:tcBorders>
              <w:left w:val="single" w:color="auto" w:sz="4" w:space="0"/>
              <w:right w:val="single" w:color="auto" w:sz="4" w:space="0"/>
            </w:tcBorders>
            <w:noWrap/>
            <w:vAlign w:val="center"/>
          </w:tcPr>
          <w:p>
            <w:pPr>
              <w:spacing w:line="480" w:lineRule="auto"/>
              <w:jc w:val="center"/>
              <w:rPr>
                <w:rFonts w:ascii="宋体" w:hAnsi="宋体" w:cs="宋体"/>
                <w:color w:val="auto"/>
                <w:sz w:val="24"/>
              </w:rPr>
            </w:pPr>
            <w:r>
              <w:rPr>
                <w:rFonts w:hint="eastAsia" w:ascii="宋体" w:hAnsi="宋体" w:cs="宋体"/>
                <w:color w:val="auto"/>
                <w:sz w:val="24"/>
              </w:rPr>
              <w:t>大写</w:t>
            </w:r>
          </w:p>
        </w:tc>
        <w:tc>
          <w:tcPr>
            <w:tcW w:w="4131" w:type="dxa"/>
            <w:tcBorders>
              <w:left w:val="single" w:color="auto" w:sz="4" w:space="0"/>
              <w:right w:val="single" w:color="auto" w:sz="4" w:space="0"/>
            </w:tcBorders>
            <w:noWrap/>
            <w:vAlign w:val="center"/>
          </w:tcPr>
          <w:p>
            <w:pPr>
              <w:spacing w:line="480" w:lineRule="auto"/>
              <w:jc w:val="left"/>
              <w:rPr>
                <w:rFonts w:ascii="宋体" w:hAnsi="宋体" w:cs="宋体"/>
                <w:color w:val="auto"/>
                <w:sz w:val="24"/>
              </w:rPr>
            </w:pPr>
            <w:r>
              <w:rPr>
                <w:rFonts w:hint="eastAsia" w:ascii="宋体" w:hAnsi="宋体" w:cs="宋体"/>
                <w:color w:val="auto"/>
                <w:sz w:val="24"/>
              </w:rPr>
              <w:t>人民币</w:t>
            </w:r>
          </w:p>
        </w:tc>
        <w:tc>
          <w:tcPr>
            <w:tcW w:w="2125" w:type="dxa"/>
            <w:vMerge w:val="continue"/>
            <w:tcBorders>
              <w:left w:val="single" w:color="auto" w:sz="4" w:space="0"/>
              <w:right w:val="single" w:color="000000" w:sz="2" w:space="0"/>
            </w:tcBorders>
            <w:noWrap/>
            <w:vAlign w:val="center"/>
          </w:tcPr>
          <w:p>
            <w:pPr>
              <w:spacing w:line="48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37" w:hRule="atLeast"/>
        </w:trPr>
        <w:tc>
          <w:tcPr>
            <w:tcW w:w="536" w:type="dxa"/>
            <w:tcBorders>
              <w:top w:val="single" w:color="auto" w:sz="4" w:space="0"/>
              <w:left w:val="single" w:color="000000" w:sz="2" w:space="0"/>
              <w:bottom w:val="single" w:color="000000" w:sz="2" w:space="0"/>
              <w:right w:val="single" w:color="000000" w:sz="2" w:space="0"/>
            </w:tcBorders>
            <w:noWrap/>
            <w:vAlign w:val="center"/>
          </w:tcPr>
          <w:p>
            <w:pPr>
              <w:spacing w:line="480" w:lineRule="auto"/>
              <w:jc w:val="center"/>
              <w:rPr>
                <w:rFonts w:ascii="宋体" w:hAnsi="宋体" w:cs="宋体"/>
                <w:color w:val="auto"/>
                <w:sz w:val="24"/>
              </w:rPr>
            </w:pPr>
            <w:r>
              <w:rPr>
                <w:rFonts w:hint="eastAsia" w:ascii="宋体" w:hAnsi="宋体" w:cs="宋体"/>
                <w:color w:val="auto"/>
                <w:sz w:val="24"/>
              </w:rPr>
              <w:t>2</w:t>
            </w:r>
          </w:p>
        </w:tc>
        <w:tc>
          <w:tcPr>
            <w:tcW w:w="2432" w:type="dxa"/>
            <w:tcBorders>
              <w:top w:val="single" w:color="auto" w:sz="4" w:space="0"/>
              <w:left w:val="single" w:color="auto" w:sz="4" w:space="0"/>
              <w:bottom w:val="single" w:color="000000" w:sz="2" w:space="0"/>
              <w:right w:val="single" w:color="auto" w:sz="4" w:space="0"/>
            </w:tcBorders>
            <w:noWrap/>
            <w:vAlign w:val="center"/>
          </w:tcPr>
          <w:p>
            <w:pPr>
              <w:spacing w:line="480" w:lineRule="auto"/>
              <w:jc w:val="center"/>
              <w:rPr>
                <w:rFonts w:ascii="宋体" w:hAnsi="宋体" w:cs="宋体"/>
                <w:color w:val="auto"/>
                <w:sz w:val="24"/>
              </w:rPr>
            </w:pPr>
            <w:r>
              <w:rPr>
                <w:rFonts w:hint="eastAsia" w:ascii="宋体" w:hAnsi="宋体" w:cs="宋体"/>
                <w:color w:val="auto"/>
                <w:sz w:val="24"/>
              </w:rPr>
              <w:t>服务期限</w:t>
            </w:r>
          </w:p>
        </w:tc>
        <w:tc>
          <w:tcPr>
            <w:tcW w:w="7097" w:type="dxa"/>
            <w:gridSpan w:val="3"/>
            <w:tcBorders>
              <w:top w:val="single" w:color="auto" w:sz="4" w:space="0"/>
              <w:left w:val="single" w:color="auto" w:sz="4" w:space="0"/>
              <w:bottom w:val="single" w:color="000000" w:sz="2" w:space="0"/>
              <w:right w:val="single" w:color="000000" w:sz="2" w:space="0"/>
            </w:tcBorders>
            <w:noWrap/>
            <w:vAlign w:val="center"/>
          </w:tcPr>
          <w:p>
            <w:pPr>
              <w:spacing w:line="480" w:lineRule="auto"/>
              <w:ind w:firstLine="480" w:firstLineChars="200"/>
              <w:rPr>
                <w:rFonts w:ascii="宋体" w:hAnsi="宋体" w:cs="宋体"/>
                <w:color w:val="auto"/>
                <w:sz w:val="24"/>
              </w:rPr>
            </w:pPr>
            <w:r>
              <w:rPr>
                <w:rFonts w:hint="eastAsia" w:ascii="宋体" w:hAnsi="宋体" w:cs="宋体"/>
                <w:color w:val="auto"/>
                <w:sz w:val="24"/>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trPr>
        <w:tc>
          <w:tcPr>
            <w:tcW w:w="536" w:type="dxa"/>
            <w:tcBorders>
              <w:top w:val="single" w:color="auto" w:sz="4" w:space="0"/>
              <w:left w:val="single" w:color="000000" w:sz="2" w:space="0"/>
              <w:bottom w:val="single" w:color="000000" w:sz="2" w:space="0"/>
              <w:right w:val="single" w:color="000000" w:sz="2" w:space="0"/>
            </w:tcBorders>
            <w:noWrap/>
            <w:vAlign w:val="center"/>
          </w:tcPr>
          <w:p>
            <w:pPr>
              <w:spacing w:line="480" w:lineRule="auto"/>
              <w:jc w:val="center"/>
              <w:rPr>
                <w:rFonts w:ascii="宋体" w:hAnsi="宋体" w:cs="宋体"/>
                <w:color w:val="auto"/>
                <w:sz w:val="24"/>
              </w:rPr>
            </w:pPr>
            <w:r>
              <w:rPr>
                <w:rFonts w:hint="eastAsia" w:ascii="宋体" w:hAnsi="宋体" w:cs="宋体"/>
                <w:color w:val="auto"/>
                <w:sz w:val="24"/>
              </w:rPr>
              <w:t>3</w:t>
            </w:r>
          </w:p>
        </w:tc>
        <w:tc>
          <w:tcPr>
            <w:tcW w:w="2432" w:type="dxa"/>
            <w:tcBorders>
              <w:top w:val="single" w:color="auto" w:sz="4" w:space="0"/>
              <w:left w:val="single" w:color="auto" w:sz="4" w:space="0"/>
              <w:bottom w:val="single" w:color="000000" w:sz="2" w:space="0"/>
              <w:right w:val="single" w:color="auto" w:sz="4" w:space="0"/>
            </w:tcBorders>
            <w:noWrap/>
            <w:vAlign w:val="center"/>
          </w:tcPr>
          <w:p>
            <w:pPr>
              <w:spacing w:line="480" w:lineRule="auto"/>
              <w:rPr>
                <w:rFonts w:ascii="宋体" w:hAnsi="宋体" w:cs="宋体"/>
                <w:color w:val="auto"/>
                <w:sz w:val="24"/>
              </w:rPr>
            </w:pPr>
            <w:r>
              <w:rPr>
                <w:rFonts w:hint="eastAsia" w:ascii="宋体" w:hAnsi="宋体" w:cs="宋体"/>
                <w:color w:val="auto"/>
                <w:sz w:val="24"/>
              </w:rPr>
              <w:t>供应商其它说明（由各供应商根据本采购项目要求自行列出需说明及承诺内容）</w:t>
            </w:r>
          </w:p>
        </w:tc>
        <w:tc>
          <w:tcPr>
            <w:tcW w:w="7097" w:type="dxa"/>
            <w:gridSpan w:val="3"/>
            <w:tcBorders>
              <w:top w:val="single" w:color="auto" w:sz="4" w:space="0"/>
              <w:left w:val="single" w:color="auto" w:sz="4" w:space="0"/>
              <w:bottom w:val="single" w:color="000000" w:sz="2" w:space="0"/>
              <w:right w:val="single" w:color="000000" w:sz="2" w:space="0"/>
            </w:tcBorders>
            <w:noWrap/>
            <w:vAlign w:val="center"/>
          </w:tcPr>
          <w:p>
            <w:pPr>
              <w:spacing w:line="48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trPr>
        <w:tc>
          <w:tcPr>
            <w:tcW w:w="10065" w:type="dxa"/>
            <w:gridSpan w:val="5"/>
            <w:tcBorders>
              <w:top w:val="single" w:color="auto" w:sz="4" w:space="0"/>
              <w:left w:val="single" w:color="000000" w:sz="2" w:space="0"/>
              <w:bottom w:val="single" w:color="000000" w:sz="2" w:space="0"/>
              <w:right w:val="single" w:color="000000" w:sz="2" w:space="0"/>
            </w:tcBorders>
            <w:noWrap/>
            <w:vAlign w:val="center"/>
          </w:tcPr>
          <w:p>
            <w:pPr>
              <w:spacing w:line="360" w:lineRule="auto"/>
              <w:ind w:firstLine="480" w:firstLineChars="200"/>
              <w:rPr>
                <w:rFonts w:ascii="宋体" w:hAnsi="宋体" w:cs="宋体"/>
                <w:color w:val="auto"/>
                <w:sz w:val="24"/>
              </w:rPr>
            </w:pPr>
            <w:r>
              <w:rPr>
                <w:rFonts w:hint="eastAsia" w:ascii="宋体" w:hAnsi="宋体" w:cs="宋体"/>
                <w:color w:val="auto"/>
                <w:sz w:val="24"/>
              </w:rPr>
              <w:t>注：报价包含的内容：</w:t>
            </w:r>
            <w:r>
              <w:rPr>
                <w:rFonts w:hint="eastAsia" w:ascii="宋体" w:hAnsi="宋体" w:cs="宋体"/>
                <w:color w:val="auto"/>
                <w:sz w:val="24"/>
              </w:rPr>
              <w:t>在消防维护期内负责新疆医科大学厚博学院（克拉玛依校区）范围内包括的临床教学楼、基础教学楼、公共教学楼、图文中心、1-4号学生宿舍楼（4栋）、学生餐厅（第一、第二）、青年教师公寓、动物中心、后勤管理中心、锅炉房、室外运动场、车库等建筑物，按照消防维护管理标准及要求对上述建筑物的自动消防设施检测及维护、火灾自动报警系统、自动喷水灭火系统，室内外消火栓系统、应急照明与疏散指示系统、防火卷帘门系统等其它相关辅助消防设施进行消防维护并通过验收。</w:t>
            </w:r>
          </w:p>
        </w:tc>
      </w:tr>
    </w:tbl>
    <w:p>
      <w:pPr>
        <w:pStyle w:val="2"/>
        <w:rPr>
          <w:rFonts w:ascii="宋体" w:hAnsi="宋体" w:cs="宋体"/>
          <w:color w:val="auto"/>
        </w:rPr>
      </w:pPr>
    </w:p>
    <w:p>
      <w:pPr>
        <w:spacing w:line="360" w:lineRule="auto"/>
        <w:ind w:firstLine="480" w:firstLineChars="200"/>
        <w:rPr>
          <w:rFonts w:ascii="宋体" w:hAnsi="宋体" w:cs="宋体"/>
          <w:color w:val="auto"/>
          <w:sz w:val="24"/>
        </w:rPr>
      </w:pPr>
      <w:r>
        <w:rPr>
          <w:rFonts w:hint="eastAsia" w:ascii="宋体" w:hAnsi="宋体" w:cs="宋体"/>
          <w:color w:val="auto"/>
          <w:sz w:val="24"/>
        </w:rPr>
        <w:t>注：（1）供应商须按本商务报价一览表格式制作“最后报价表”，并加盖单位公章后自行带至磋商现场，经磋商后由各供应商填写最后报价。</w:t>
      </w:r>
    </w:p>
    <w:p>
      <w:pPr>
        <w:pStyle w:val="2"/>
        <w:ind w:firstLine="960" w:firstLineChars="4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rPr>
        <w:t>商务报价包含消防设施维保服务及检测两项费用。</w:t>
      </w:r>
    </w:p>
    <w:p>
      <w:pPr>
        <w:pStyle w:val="2"/>
        <w:rPr>
          <w:rFonts w:ascii="宋体" w:hAnsi="宋体" w:cs="宋体"/>
          <w:color w:val="auto"/>
        </w:rPr>
      </w:pPr>
    </w:p>
    <w:p>
      <w:pPr>
        <w:rPr>
          <w:rFonts w:ascii="宋体" w:hAnsi="宋体" w:cs="宋体"/>
          <w:color w:val="auto"/>
          <w:sz w:val="24"/>
        </w:rPr>
      </w:pPr>
    </w:p>
    <w:p>
      <w:pPr>
        <w:ind w:firstLine="435"/>
        <w:rPr>
          <w:rFonts w:ascii="宋体" w:hAnsi="宋体" w:cs="宋体"/>
          <w:color w:val="auto"/>
          <w:sz w:val="24"/>
        </w:rPr>
      </w:pPr>
      <w:r>
        <w:rPr>
          <w:rFonts w:hint="eastAsia" w:ascii="宋体" w:hAnsi="宋体" w:cs="宋体"/>
          <w:color w:val="auto"/>
          <w:sz w:val="24"/>
        </w:rPr>
        <w:t xml:space="preserve">供应商（盖章）：   </w:t>
      </w:r>
    </w:p>
    <w:p>
      <w:pPr>
        <w:ind w:firstLine="435"/>
        <w:rPr>
          <w:rFonts w:ascii="宋体" w:hAnsi="宋体" w:cs="宋体"/>
          <w:color w:val="auto"/>
          <w:sz w:val="24"/>
        </w:rPr>
      </w:pPr>
    </w:p>
    <w:p>
      <w:pPr>
        <w:ind w:firstLine="435"/>
        <w:rPr>
          <w:rFonts w:ascii="宋体" w:hAnsi="宋体" w:cs="宋体"/>
          <w:color w:val="auto"/>
          <w:sz w:val="24"/>
        </w:rPr>
      </w:pPr>
      <w:r>
        <w:rPr>
          <w:rFonts w:hint="eastAsia" w:ascii="宋体" w:hAnsi="宋体" w:cs="宋体"/>
          <w:color w:val="auto"/>
          <w:sz w:val="24"/>
        </w:rPr>
        <w:t xml:space="preserve">法定代表人或委托代理人签字或盖章：          </w:t>
      </w:r>
    </w:p>
    <w:p>
      <w:pPr>
        <w:spacing w:line="360" w:lineRule="auto"/>
        <w:jc w:val="right"/>
        <w:rPr>
          <w:rFonts w:ascii="宋体" w:hAnsi="宋体" w:cs="宋体"/>
          <w:color w:val="auto"/>
          <w:sz w:val="24"/>
        </w:rPr>
        <w:sectPr>
          <w:headerReference r:id="rId3" w:type="default"/>
          <w:footerReference r:id="rId4" w:type="default"/>
          <w:pgSz w:w="11906" w:h="16838"/>
          <w:pgMar w:top="1440" w:right="1080" w:bottom="1440" w:left="1080" w:header="851" w:footer="992" w:gutter="0"/>
          <w:pgNumType w:fmt="numberInDash"/>
          <w:cols w:space="425" w:num="1"/>
          <w:docGrid w:type="lines" w:linePitch="312" w:charSpace="0"/>
        </w:sectPr>
      </w:pPr>
      <w:r>
        <w:rPr>
          <w:rFonts w:hint="eastAsia" w:ascii="宋体" w:hAnsi="宋体" w:cs="宋体"/>
          <w:color w:val="auto"/>
          <w:sz w:val="24"/>
        </w:rPr>
        <w:t>年    月    日</w:t>
      </w:r>
    </w:p>
    <w:p>
      <w:pPr>
        <w:pageBreakBefore/>
        <w:jc w:val="center"/>
        <w:rPr>
          <w:rFonts w:ascii="宋体" w:hAnsi="宋体" w:cs="宋体"/>
          <w:b/>
          <w:color w:val="auto"/>
          <w:sz w:val="28"/>
          <w:szCs w:val="28"/>
        </w:rPr>
      </w:pPr>
      <w:r>
        <w:rPr>
          <w:rFonts w:hint="eastAsia" w:ascii="宋体" w:hAnsi="宋体" w:cs="宋体"/>
          <w:b/>
          <w:color w:val="auto"/>
          <w:sz w:val="28"/>
          <w:szCs w:val="28"/>
        </w:rPr>
        <w:t>3、备品备件及专用工具清单</w:t>
      </w:r>
    </w:p>
    <w:p>
      <w:pPr>
        <w:jc w:val="left"/>
        <w:rPr>
          <w:rFonts w:ascii="宋体" w:hAnsi="宋体" w:cs="宋体"/>
          <w:color w:val="auto"/>
          <w:szCs w:val="21"/>
        </w:rPr>
      </w:pPr>
    </w:p>
    <w:p>
      <w:pPr>
        <w:jc w:val="left"/>
        <w:rPr>
          <w:rFonts w:ascii="宋体" w:hAnsi="宋体" w:cs="宋体"/>
          <w:color w:val="auto"/>
          <w:szCs w:val="21"/>
        </w:rPr>
      </w:pPr>
      <w:r>
        <w:rPr>
          <w:rFonts w:hint="eastAsia" w:ascii="宋体" w:hAnsi="宋体" w:cs="宋体"/>
          <w:color w:val="auto"/>
          <w:szCs w:val="21"/>
        </w:rPr>
        <w:t>供应商名称：磋商文件编号： 货币单位：</w:t>
      </w:r>
      <w:r>
        <w:rPr>
          <w:rFonts w:hint="eastAsia" w:ascii="宋体" w:hAnsi="宋体" w:cs="宋体"/>
          <w:color w:val="auto"/>
          <w:szCs w:val="21"/>
          <w:u w:val="single"/>
        </w:rPr>
        <w:t>人民币 元</w:t>
      </w:r>
    </w:p>
    <w:tbl>
      <w:tblPr>
        <w:tblStyle w:val="16"/>
        <w:tblW w:w="86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2676"/>
        <w:gridCol w:w="1720"/>
        <w:gridCol w:w="908"/>
        <w:gridCol w:w="907"/>
        <w:gridCol w:w="908"/>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573" w:type="dxa"/>
            <w:vAlign w:val="center"/>
          </w:tcPr>
          <w:p>
            <w:pPr>
              <w:jc w:val="center"/>
              <w:rPr>
                <w:rFonts w:ascii="宋体" w:hAnsi="宋体" w:cs="宋体"/>
                <w:color w:val="auto"/>
                <w:szCs w:val="21"/>
              </w:rPr>
            </w:pPr>
            <w:r>
              <w:rPr>
                <w:rFonts w:hint="eastAsia" w:ascii="宋体" w:hAnsi="宋体" w:cs="宋体"/>
                <w:color w:val="auto"/>
                <w:szCs w:val="21"/>
              </w:rPr>
              <w:t>序号</w:t>
            </w:r>
          </w:p>
        </w:tc>
        <w:tc>
          <w:tcPr>
            <w:tcW w:w="2676" w:type="dxa"/>
            <w:vAlign w:val="center"/>
          </w:tcPr>
          <w:p>
            <w:pPr>
              <w:jc w:val="center"/>
              <w:rPr>
                <w:rFonts w:ascii="宋体" w:hAnsi="宋体" w:cs="宋体"/>
                <w:color w:val="auto"/>
                <w:szCs w:val="21"/>
              </w:rPr>
            </w:pPr>
            <w:r>
              <w:rPr>
                <w:rFonts w:hint="eastAsia" w:ascii="宋体" w:hAnsi="宋体" w:cs="宋体"/>
                <w:color w:val="auto"/>
                <w:szCs w:val="21"/>
              </w:rPr>
              <w:t>名称、规格型号、品牌</w:t>
            </w:r>
          </w:p>
        </w:tc>
        <w:tc>
          <w:tcPr>
            <w:tcW w:w="1720" w:type="dxa"/>
            <w:vAlign w:val="center"/>
          </w:tcPr>
          <w:p>
            <w:pPr>
              <w:jc w:val="center"/>
              <w:rPr>
                <w:rFonts w:ascii="宋体" w:hAnsi="宋体" w:cs="宋体"/>
                <w:color w:val="auto"/>
                <w:szCs w:val="21"/>
              </w:rPr>
            </w:pPr>
            <w:r>
              <w:rPr>
                <w:rFonts w:hint="eastAsia" w:ascii="宋体" w:hAnsi="宋体" w:cs="宋体"/>
                <w:color w:val="auto"/>
                <w:szCs w:val="21"/>
              </w:rPr>
              <w:t>制造商、原产地、国别</w:t>
            </w:r>
          </w:p>
        </w:tc>
        <w:tc>
          <w:tcPr>
            <w:tcW w:w="908" w:type="dxa"/>
            <w:vAlign w:val="center"/>
          </w:tcPr>
          <w:p>
            <w:pPr>
              <w:jc w:val="center"/>
              <w:rPr>
                <w:rFonts w:ascii="宋体" w:hAnsi="宋体" w:cs="宋体"/>
                <w:color w:val="auto"/>
                <w:szCs w:val="21"/>
              </w:rPr>
            </w:pPr>
            <w:r>
              <w:rPr>
                <w:rFonts w:hint="eastAsia" w:ascii="宋体" w:hAnsi="宋体" w:cs="宋体"/>
                <w:color w:val="auto"/>
                <w:szCs w:val="21"/>
              </w:rPr>
              <w:t>单位</w:t>
            </w:r>
          </w:p>
        </w:tc>
        <w:tc>
          <w:tcPr>
            <w:tcW w:w="907" w:type="dxa"/>
            <w:vAlign w:val="center"/>
          </w:tcPr>
          <w:p>
            <w:pPr>
              <w:jc w:val="center"/>
              <w:rPr>
                <w:rFonts w:ascii="宋体" w:hAnsi="宋体" w:cs="宋体"/>
                <w:color w:val="auto"/>
                <w:szCs w:val="21"/>
              </w:rPr>
            </w:pPr>
            <w:r>
              <w:rPr>
                <w:rFonts w:hint="eastAsia" w:ascii="宋体" w:hAnsi="宋体" w:cs="宋体"/>
                <w:color w:val="auto"/>
                <w:szCs w:val="21"/>
              </w:rPr>
              <w:t>数量</w:t>
            </w:r>
          </w:p>
        </w:tc>
        <w:tc>
          <w:tcPr>
            <w:tcW w:w="908" w:type="dxa"/>
            <w:vAlign w:val="center"/>
          </w:tcPr>
          <w:p>
            <w:pPr>
              <w:jc w:val="center"/>
              <w:rPr>
                <w:rFonts w:ascii="宋体" w:hAnsi="宋体" w:cs="宋体"/>
                <w:color w:val="auto"/>
                <w:szCs w:val="21"/>
              </w:rPr>
            </w:pPr>
            <w:r>
              <w:rPr>
                <w:rFonts w:hint="eastAsia" w:ascii="宋体" w:hAnsi="宋体" w:cs="宋体"/>
                <w:color w:val="auto"/>
                <w:szCs w:val="21"/>
              </w:rPr>
              <w:t>单价</w:t>
            </w:r>
          </w:p>
        </w:tc>
        <w:tc>
          <w:tcPr>
            <w:tcW w:w="908" w:type="dxa"/>
            <w:vAlign w:val="center"/>
          </w:tcPr>
          <w:p>
            <w:pPr>
              <w:jc w:val="center"/>
              <w:rPr>
                <w:rFonts w:ascii="宋体" w:hAnsi="宋体" w:cs="宋体"/>
                <w:color w:val="auto"/>
                <w:szCs w:val="21"/>
              </w:rPr>
            </w:pPr>
            <w:r>
              <w:rPr>
                <w:rFonts w:hint="eastAsia" w:ascii="宋体" w:hAnsi="宋体" w:cs="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573" w:type="dxa"/>
          </w:tcPr>
          <w:p>
            <w:pPr>
              <w:jc w:val="left"/>
              <w:rPr>
                <w:rFonts w:ascii="宋体" w:hAnsi="宋体" w:cs="宋体"/>
                <w:color w:val="auto"/>
                <w:szCs w:val="21"/>
              </w:rPr>
            </w:pPr>
          </w:p>
        </w:tc>
        <w:tc>
          <w:tcPr>
            <w:tcW w:w="2676" w:type="dxa"/>
          </w:tcPr>
          <w:p>
            <w:pPr>
              <w:jc w:val="left"/>
              <w:rPr>
                <w:rFonts w:ascii="宋体" w:hAnsi="宋体" w:cs="宋体"/>
                <w:color w:val="auto"/>
                <w:szCs w:val="21"/>
              </w:rPr>
            </w:pPr>
          </w:p>
        </w:tc>
        <w:tc>
          <w:tcPr>
            <w:tcW w:w="1720" w:type="dxa"/>
          </w:tcPr>
          <w:p>
            <w:pPr>
              <w:jc w:val="left"/>
              <w:rPr>
                <w:rFonts w:ascii="宋体" w:hAnsi="宋体" w:cs="宋体"/>
                <w:color w:val="auto"/>
                <w:szCs w:val="21"/>
              </w:rPr>
            </w:pPr>
          </w:p>
        </w:tc>
        <w:tc>
          <w:tcPr>
            <w:tcW w:w="908" w:type="dxa"/>
          </w:tcPr>
          <w:p>
            <w:pPr>
              <w:jc w:val="left"/>
              <w:rPr>
                <w:rFonts w:ascii="宋体" w:hAnsi="宋体" w:cs="宋体"/>
                <w:color w:val="auto"/>
                <w:szCs w:val="21"/>
              </w:rPr>
            </w:pPr>
          </w:p>
        </w:tc>
        <w:tc>
          <w:tcPr>
            <w:tcW w:w="907" w:type="dxa"/>
          </w:tcPr>
          <w:p>
            <w:pPr>
              <w:jc w:val="left"/>
              <w:rPr>
                <w:rFonts w:ascii="宋体" w:hAnsi="宋体" w:cs="宋体"/>
                <w:color w:val="auto"/>
                <w:szCs w:val="21"/>
              </w:rPr>
            </w:pPr>
          </w:p>
        </w:tc>
        <w:tc>
          <w:tcPr>
            <w:tcW w:w="908" w:type="dxa"/>
          </w:tcPr>
          <w:p>
            <w:pPr>
              <w:jc w:val="left"/>
              <w:rPr>
                <w:rFonts w:ascii="宋体" w:hAnsi="宋体" w:cs="宋体"/>
                <w:color w:val="auto"/>
                <w:szCs w:val="21"/>
              </w:rPr>
            </w:pPr>
          </w:p>
        </w:tc>
        <w:tc>
          <w:tcPr>
            <w:tcW w:w="908" w:type="dxa"/>
          </w:tcPr>
          <w:p>
            <w:pPr>
              <w:jc w:val="lef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573" w:type="dxa"/>
          </w:tcPr>
          <w:p>
            <w:pPr>
              <w:jc w:val="left"/>
              <w:rPr>
                <w:rFonts w:ascii="宋体" w:hAnsi="宋体" w:cs="宋体"/>
                <w:color w:val="auto"/>
                <w:szCs w:val="21"/>
              </w:rPr>
            </w:pPr>
          </w:p>
        </w:tc>
        <w:tc>
          <w:tcPr>
            <w:tcW w:w="2676" w:type="dxa"/>
          </w:tcPr>
          <w:p>
            <w:pPr>
              <w:jc w:val="left"/>
              <w:rPr>
                <w:rFonts w:ascii="宋体" w:hAnsi="宋体" w:cs="宋体"/>
                <w:color w:val="auto"/>
                <w:szCs w:val="21"/>
              </w:rPr>
            </w:pPr>
          </w:p>
        </w:tc>
        <w:tc>
          <w:tcPr>
            <w:tcW w:w="1720" w:type="dxa"/>
          </w:tcPr>
          <w:p>
            <w:pPr>
              <w:jc w:val="left"/>
              <w:rPr>
                <w:rFonts w:ascii="宋体" w:hAnsi="宋体" w:cs="宋体"/>
                <w:color w:val="auto"/>
                <w:szCs w:val="21"/>
              </w:rPr>
            </w:pPr>
          </w:p>
        </w:tc>
        <w:tc>
          <w:tcPr>
            <w:tcW w:w="908" w:type="dxa"/>
          </w:tcPr>
          <w:p>
            <w:pPr>
              <w:jc w:val="left"/>
              <w:rPr>
                <w:rFonts w:ascii="宋体" w:hAnsi="宋体" w:cs="宋体"/>
                <w:color w:val="auto"/>
                <w:szCs w:val="21"/>
              </w:rPr>
            </w:pPr>
          </w:p>
        </w:tc>
        <w:tc>
          <w:tcPr>
            <w:tcW w:w="907" w:type="dxa"/>
          </w:tcPr>
          <w:p>
            <w:pPr>
              <w:jc w:val="left"/>
              <w:rPr>
                <w:rFonts w:ascii="宋体" w:hAnsi="宋体" w:cs="宋体"/>
                <w:color w:val="auto"/>
                <w:szCs w:val="21"/>
              </w:rPr>
            </w:pPr>
          </w:p>
        </w:tc>
        <w:tc>
          <w:tcPr>
            <w:tcW w:w="908" w:type="dxa"/>
          </w:tcPr>
          <w:p>
            <w:pPr>
              <w:jc w:val="left"/>
              <w:rPr>
                <w:rFonts w:ascii="宋体" w:hAnsi="宋体" w:cs="宋体"/>
                <w:color w:val="auto"/>
                <w:szCs w:val="21"/>
              </w:rPr>
            </w:pPr>
          </w:p>
        </w:tc>
        <w:tc>
          <w:tcPr>
            <w:tcW w:w="908" w:type="dxa"/>
          </w:tcPr>
          <w:p>
            <w:pPr>
              <w:jc w:val="lef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573" w:type="dxa"/>
          </w:tcPr>
          <w:p>
            <w:pPr>
              <w:jc w:val="left"/>
              <w:rPr>
                <w:rFonts w:ascii="宋体" w:hAnsi="宋体" w:cs="宋体"/>
                <w:color w:val="auto"/>
                <w:szCs w:val="21"/>
              </w:rPr>
            </w:pPr>
          </w:p>
        </w:tc>
        <w:tc>
          <w:tcPr>
            <w:tcW w:w="2676" w:type="dxa"/>
          </w:tcPr>
          <w:p>
            <w:pPr>
              <w:jc w:val="left"/>
              <w:rPr>
                <w:rFonts w:ascii="宋体" w:hAnsi="宋体" w:cs="宋体"/>
                <w:color w:val="auto"/>
                <w:szCs w:val="21"/>
              </w:rPr>
            </w:pPr>
          </w:p>
        </w:tc>
        <w:tc>
          <w:tcPr>
            <w:tcW w:w="1720" w:type="dxa"/>
          </w:tcPr>
          <w:p>
            <w:pPr>
              <w:jc w:val="left"/>
              <w:rPr>
                <w:rFonts w:ascii="宋体" w:hAnsi="宋体" w:cs="宋体"/>
                <w:color w:val="auto"/>
                <w:szCs w:val="21"/>
              </w:rPr>
            </w:pPr>
          </w:p>
        </w:tc>
        <w:tc>
          <w:tcPr>
            <w:tcW w:w="908" w:type="dxa"/>
          </w:tcPr>
          <w:p>
            <w:pPr>
              <w:jc w:val="left"/>
              <w:rPr>
                <w:rFonts w:ascii="宋体" w:hAnsi="宋体" w:cs="宋体"/>
                <w:color w:val="auto"/>
                <w:szCs w:val="21"/>
              </w:rPr>
            </w:pPr>
          </w:p>
        </w:tc>
        <w:tc>
          <w:tcPr>
            <w:tcW w:w="907" w:type="dxa"/>
          </w:tcPr>
          <w:p>
            <w:pPr>
              <w:jc w:val="left"/>
              <w:rPr>
                <w:rFonts w:ascii="宋体" w:hAnsi="宋体" w:cs="宋体"/>
                <w:color w:val="auto"/>
                <w:szCs w:val="21"/>
              </w:rPr>
            </w:pPr>
          </w:p>
        </w:tc>
        <w:tc>
          <w:tcPr>
            <w:tcW w:w="908" w:type="dxa"/>
          </w:tcPr>
          <w:p>
            <w:pPr>
              <w:jc w:val="left"/>
              <w:rPr>
                <w:rFonts w:ascii="宋体" w:hAnsi="宋体" w:cs="宋体"/>
                <w:color w:val="auto"/>
                <w:szCs w:val="21"/>
              </w:rPr>
            </w:pPr>
          </w:p>
        </w:tc>
        <w:tc>
          <w:tcPr>
            <w:tcW w:w="908" w:type="dxa"/>
          </w:tcPr>
          <w:p>
            <w:pPr>
              <w:jc w:val="lef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573" w:type="dxa"/>
          </w:tcPr>
          <w:p>
            <w:pPr>
              <w:jc w:val="left"/>
              <w:rPr>
                <w:rFonts w:ascii="宋体" w:hAnsi="宋体" w:cs="宋体"/>
                <w:color w:val="auto"/>
                <w:szCs w:val="21"/>
              </w:rPr>
            </w:pPr>
          </w:p>
        </w:tc>
        <w:tc>
          <w:tcPr>
            <w:tcW w:w="2676" w:type="dxa"/>
          </w:tcPr>
          <w:p>
            <w:pPr>
              <w:jc w:val="left"/>
              <w:rPr>
                <w:rFonts w:ascii="宋体" w:hAnsi="宋体" w:cs="宋体"/>
                <w:color w:val="auto"/>
                <w:szCs w:val="21"/>
              </w:rPr>
            </w:pPr>
          </w:p>
        </w:tc>
        <w:tc>
          <w:tcPr>
            <w:tcW w:w="1720" w:type="dxa"/>
          </w:tcPr>
          <w:p>
            <w:pPr>
              <w:jc w:val="left"/>
              <w:rPr>
                <w:rFonts w:ascii="宋体" w:hAnsi="宋体" w:cs="宋体"/>
                <w:color w:val="auto"/>
                <w:szCs w:val="21"/>
              </w:rPr>
            </w:pPr>
          </w:p>
        </w:tc>
        <w:tc>
          <w:tcPr>
            <w:tcW w:w="908" w:type="dxa"/>
          </w:tcPr>
          <w:p>
            <w:pPr>
              <w:jc w:val="left"/>
              <w:rPr>
                <w:rFonts w:ascii="宋体" w:hAnsi="宋体" w:cs="宋体"/>
                <w:color w:val="auto"/>
                <w:szCs w:val="21"/>
              </w:rPr>
            </w:pPr>
          </w:p>
        </w:tc>
        <w:tc>
          <w:tcPr>
            <w:tcW w:w="907" w:type="dxa"/>
          </w:tcPr>
          <w:p>
            <w:pPr>
              <w:jc w:val="left"/>
              <w:rPr>
                <w:rFonts w:ascii="宋体" w:hAnsi="宋体" w:cs="宋体"/>
                <w:color w:val="auto"/>
                <w:szCs w:val="21"/>
              </w:rPr>
            </w:pPr>
          </w:p>
        </w:tc>
        <w:tc>
          <w:tcPr>
            <w:tcW w:w="908" w:type="dxa"/>
          </w:tcPr>
          <w:p>
            <w:pPr>
              <w:jc w:val="left"/>
              <w:rPr>
                <w:rFonts w:ascii="宋体" w:hAnsi="宋体" w:cs="宋体"/>
                <w:color w:val="auto"/>
                <w:szCs w:val="21"/>
              </w:rPr>
            </w:pPr>
          </w:p>
        </w:tc>
        <w:tc>
          <w:tcPr>
            <w:tcW w:w="908" w:type="dxa"/>
          </w:tcPr>
          <w:p>
            <w:pPr>
              <w:jc w:val="lef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573" w:type="dxa"/>
          </w:tcPr>
          <w:p>
            <w:pPr>
              <w:jc w:val="left"/>
              <w:rPr>
                <w:rFonts w:ascii="宋体" w:hAnsi="宋体" w:cs="宋体"/>
                <w:color w:val="auto"/>
                <w:szCs w:val="21"/>
              </w:rPr>
            </w:pPr>
          </w:p>
        </w:tc>
        <w:tc>
          <w:tcPr>
            <w:tcW w:w="2676" w:type="dxa"/>
          </w:tcPr>
          <w:p>
            <w:pPr>
              <w:jc w:val="left"/>
              <w:rPr>
                <w:rFonts w:ascii="宋体" w:hAnsi="宋体" w:cs="宋体"/>
                <w:color w:val="auto"/>
                <w:szCs w:val="21"/>
              </w:rPr>
            </w:pPr>
          </w:p>
        </w:tc>
        <w:tc>
          <w:tcPr>
            <w:tcW w:w="1720" w:type="dxa"/>
          </w:tcPr>
          <w:p>
            <w:pPr>
              <w:jc w:val="left"/>
              <w:rPr>
                <w:rFonts w:ascii="宋体" w:hAnsi="宋体" w:cs="宋体"/>
                <w:color w:val="auto"/>
                <w:szCs w:val="21"/>
              </w:rPr>
            </w:pPr>
          </w:p>
        </w:tc>
        <w:tc>
          <w:tcPr>
            <w:tcW w:w="908" w:type="dxa"/>
          </w:tcPr>
          <w:p>
            <w:pPr>
              <w:jc w:val="left"/>
              <w:rPr>
                <w:rFonts w:ascii="宋体" w:hAnsi="宋体" w:cs="宋体"/>
                <w:color w:val="auto"/>
                <w:szCs w:val="21"/>
              </w:rPr>
            </w:pPr>
          </w:p>
        </w:tc>
        <w:tc>
          <w:tcPr>
            <w:tcW w:w="907" w:type="dxa"/>
          </w:tcPr>
          <w:p>
            <w:pPr>
              <w:jc w:val="left"/>
              <w:rPr>
                <w:rFonts w:ascii="宋体" w:hAnsi="宋体" w:cs="宋体"/>
                <w:color w:val="auto"/>
                <w:szCs w:val="21"/>
              </w:rPr>
            </w:pPr>
          </w:p>
        </w:tc>
        <w:tc>
          <w:tcPr>
            <w:tcW w:w="908" w:type="dxa"/>
          </w:tcPr>
          <w:p>
            <w:pPr>
              <w:jc w:val="left"/>
              <w:rPr>
                <w:rFonts w:ascii="宋体" w:hAnsi="宋体" w:cs="宋体"/>
                <w:color w:val="auto"/>
                <w:szCs w:val="21"/>
              </w:rPr>
            </w:pPr>
          </w:p>
        </w:tc>
        <w:tc>
          <w:tcPr>
            <w:tcW w:w="908" w:type="dxa"/>
          </w:tcPr>
          <w:p>
            <w:pPr>
              <w:jc w:val="lef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573" w:type="dxa"/>
          </w:tcPr>
          <w:p>
            <w:pPr>
              <w:jc w:val="left"/>
              <w:rPr>
                <w:rFonts w:ascii="宋体" w:hAnsi="宋体" w:cs="宋体"/>
                <w:color w:val="auto"/>
                <w:szCs w:val="21"/>
              </w:rPr>
            </w:pPr>
          </w:p>
        </w:tc>
        <w:tc>
          <w:tcPr>
            <w:tcW w:w="2676" w:type="dxa"/>
          </w:tcPr>
          <w:p>
            <w:pPr>
              <w:jc w:val="left"/>
              <w:rPr>
                <w:rFonts w:ascii="宋体" w:hAnsi="宋体" w:cs="宋体"/>
                <w:color w:val="auto"/>
                <w:szCs w:val="21"/>
              </w:rPr>
            </w:pPr>
          </w:p>
        </w:tc>
        <w:tc>
          <w:tcPr>
            <w:tcW w:w="1720" w:type="dxa"/>
          </w:tcPr>
          <w:p>
            <w:pPr>
              <w:jc w:val="left"/>
              <w:rPr>
                <w:rFonts w:ascii="宋体" w:hAnsi="宋体" w:cs="宋体"/>
                <w:color w:val="auto"/>
                <w:szCs w:val="21"/>
              </w:rPr>
            </w:pPr>
          </w:p>
        </w:tc>
        <w:tc>
          <w:tcPr>
            <w:tcW w:w="908" w:type="dxa"/>
          </w:tcPr>
          <w:p>
            <w:pPr>
              <w:jc w:val="left"/>
              <w:rPr>
                <w:rFonts w:ascii="宋体" w:hAnsi="宋体" w:cs="宋体"/>
                <w:color w:val="auto"/>
                <w:szCs w:val="21"/>
              </w:rPr>
            </w:pPr>
          </w:p>
        </w:tc>
        <w:tc>
          <w:tcPr>
            <w:tcW w:w="907" w:type="dxa"/>
          </w:tcPr>
          <w:p>
            <w:pPr>
              <w:jc w:val="left"/>
              <w:rPr>
                <w:rFonts w:ascii="宋体" w:hAnsi="宋体" w:cs="宋体"/>
                <w:color w:val="auto"/>
                <w:szCs w:val="21"/>
              </w:rPr>
            </w:pPr>
          </w:p>
        </w:tc>
        <w:tc>
          <w:tcPr>
            <w:tcW w:w="908" w:type="dxa"/>
          </w:tcPr>
          <w:p>
            <w:pPr>
              <w:jc w:val="left"/>
              <w:rPr>
                <w:rFonts w:ascii="宋体" w:hAnsi="宋体" w:cs="宋体"/>
                <w:color w:val="auto"/>
                <w:szCs w:val="21"/>
              </w:rPr>
            </w:pPr>
          </w:p>
        </w:tc>
        <w:tc>
          <w:tcPr>
            <w:tcW w:w="908" w:type="dxa"/>
          </w:tcPr>
          <w:p>
            <w:pPr>
              <w:jc w:val="lef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573" w:type="dxa"/>
          </w:tcPr>
          <w:p>
            <w:pPr>
              <w:jc w:val="left"/>
              <w:rPr>
                <w:rFonts w:ascii="宋体" w:hAnsi="宋体" w:cs="宋体"/>
                <w:color w:val="auto"/>
                <w:szCs w:val="21"/>
              </w:rPr>
            </w:pPr>
          </w:p>
        </w:tc>
        <w:tc>
          <w:tcPr>
            <w:tcW w:w="2676" w:type="dxa"/>
          </w:tcPr>
          <w:p>
            <w:pPr>
              <w:jc w:val="left"/>
              <w:rPr>
                <w:rFonts w:ascii="宋体" w:hAnsi="宋体" w:cs="宋体"/>
                <w:color w:val="auto"/>
                <w:szCs w:val="21"/>
              </w:rPr>
            </w:pPr>
          </w:p>
        </w:tc>
        <w:tc>
          <w:tcPr>
            <w:tcW w:w="1720" w:type="dxa"/>
          </w:tcPr>
          <w:p>
            <w:pPr>
              <w:jc w:val="left"/>
              <w:rPr>
                <w:rFonts w:ascii="宋体" w:hAnsi="宋体" w:cs="宋体"/>
                <w:color w:val="auto"/>
                <w:szCs w:val="21"/>
              </w:rPr>
            </w:pPr>
          </w:p>
        </w:tc>
        <w:tc>
          <w:tcPr>
            <w:tcW w:w="908" w:type="dxa"/>
          </w:tcPr>
          <w:p>
            <w:pPr>
              <w:jc w:val="left"/>
              <w:rPr>
                <w:rFonts w:ascii="宋体" w:hAnsi="宋体" w:cs="宋体"/>
                <w:color w:val="auto"/>
                <w:szCs w:val="21"/>
              </w:rPr>
            </w:pPr>
          </w:p>
        </w:tc>
        <w:tc>
          <w:tcPr>
            <w:tcW w:w="907" w:type="dxa"/>
          </w:tcPr>
          <w:p>
            <w:pPr>
              <w:jc w:val="left"/>
              <w:rPr>
                <w:rFonts w:ascii="宋体" w:hAnsi="宋体" w:cs="宋体"/>
                <w:color w:val="auto"/>
                <w:szCs w:val="21"/>
              </w:rPr>
            </w:pPr>
          </w:p>
        </w:tc>
        <w:tc>
          <w:tcPr>
            <w:tcW w:w="908" w:type="dxa"/>
          </w:tcPr>
          <w:p>
            <w:pPr>
              <w:jc w:val="left"/>
              <w:rPr>
                <w:rFonts w:ascii="宋体" w:hAnsi="宋体" w:cs="宋体"/>
                <w:color w:val="auto"/>
                <w:szCs w:val="21"/>
              </w:rPr>
            </w:pPr>
          </w:p>
        </w:tc>
        <w:tc>
          <w:tcPr>
            <w:tcW w:w="908" w:type="dxa"/>
          </w:tcPr>
          <w:p>
            <w:pPr>
              <w:jc w:val="lef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573" w:type="dxa"/>
          </w:tcPr>
          <w:p>
            <w:pPr>
              <w:jc w:val="left"/>
              <w:rPr>
                <w:rFonts w:ascii="宋体" w:hAnsi="宋体" w:cs="宋体"/>
                <w:color w:val="auto"/>
                <w:szCs w:val="21"/>
              </w:rPr>
            </w:pPr>
          </w:p>
        </w:tc>
        <w:tc>
          <w:tcPr>
            <w:tcW w:w="2676" w:type="dxa"/>
          </w:tcPr>
          <w:p>
            <w:pPr>
              <w:jc w:val="left"/>
              <w:rPr>
                <w:rFonts w:ascii="宋体" w:hAnsi="宋体" w:cs="宋体"/>
                <w:color w:val="auto"/>
                <w:szCs w:val="21"/>
              </w:rPr>
            </w:pPr>
          </w:p>
        </w:tc>
        <w:tc>
          <w:tcPr>
            <w:tcW w:w="1720" w:type="dxa"/>
          </w:tcPr>
          <w:p>
            <w:pPr>
              <w:jc w:val="left"/>
              <w:rPr>
                <w:rFonts w:ascii="宋体" w:hAnsi="宋体" w:cs="宋体"/>
                <w:color w:val="auto"/>
                <w:szCs w:val="21"/>
              </w:rPr>
            </w:pPr>
          </w:p>
        </w:tc>
        <w:tc>
          <w:tcPr>
            <w:tcW w:w="908" w:type="dxa"/>
          </w:tcPr>
          <w:p>
            <w:pPr>
              <w:jc w:val="left"/>
              <w:rPr>
                <w:rFonts w:ascii="宋体" w:hAnsi="宋体" w:cs="宋体"/>
                <w:color w:val="auto"/>
                <w:szCs w:val="21"/>
              </w:rPr>
            </w:pPr>
          </w:p>
        </w:tc>
        <w:tc>
          <w:tcPr>
            <w:tcW w:w="907" w:type="dxa"/>
          </w:tcPr>
          <w:p>
            <w:pPr>
              <w:jc w:val="left"/>
              <w:rPr>
                <w:rFonts w:ascii="宋体" w:hAnsi="宋体" w:cs="宋体"/>
                <w:color w:val="auto"/>
                <w:szCs w:val="21"/>
              </w:rPr>
            </w:pPr>
          </w:p>
        </w:tc>
        <w:tc>
          <w:tcPr>
            <w:tcW w:w="908" w:type="dxa"/>
          </w:tcPr>
          <w:p>
            <w:pPr>
              <w:jc w:val="left"/>
              <w:rPr>
                <w:rFonts w:ascii="宋体" w:hAnsi="宋体" w:cs="宋体"/>
                <w:color w:val="auto"/>
                <w:szCs w:val="21"/>
              </w:rPr>
            </w:pPr>
          </w:p>
        </w:tc>
        <w:tc>
          <w:tcPr>
            <w:tcW w:w="908" w:type="dxa"/>
          </w:tcPr>
          <w:p>
            <w:pPr>
              <w:jc w:val="lef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573" w:type="dxa"/>
          </w:tcPr>
          <w:p>
            <w:pPr>
              <w:jc w:val="left"/>
              <w:rPr>
                <w:rFonts w:ascii="宋体" w:hAnsi="宋体" w:cs="宋体"/>
                <w:color w:val="auto"/>
                <w:szCs w:val="21"/>
              </w:rPr>
            </w:pPr>
          </w:p>
        </w:tc>
        <w:tc>
          <w:tcPr>
            <w:tcW w:w="2676" w:type="dxa"/>
          </w:tcPr>
          <w:p>
            <w:pPr>
              <w:jc w:val="left"/>
              <w:rPr>
                <w:rFonts w:ascii="宋体" w:hAnsi="宋体" w:cs="宋体"/>
                <w:color w:val="auto"/>
                <w:szCs w:val="21"/>
              </w:rPr>
            </w:pPr>
          </w:p>
        </w:tc>
        <w:tc>
          <w:tcPr>
            <w:tcW w:w="1720" w:type="dxa"/>
          </w:tcPr>
          <w:p>
            <w:pPr>
              <w:jc w:val="left"/>
              <w:rPr>
                <w:rFonts w:ascii="宋体" w:hAnsi="宋体" w:cs="宋体"/>
                <w:color w:val="auto"/>
                <w:szCs w:val="21"/>
              </w:rPr>
            </w:pPr>
          </w:p>
        </w:tc>
        <w:tc>
          <w:tcPr>
            <w:tcW w:w="908" w:type="dxa"/>
          </w:tcPr>
          <w:p>
            <w:pPr>
              <w:jc w:val="left"/>
              <w:rPr>
                <w:rFonts w:ascii="宋体" w:hAnsi="宋体" w:cs="宋体"/>
                <w:color w:val="auto"/>
                <w:szCs w:val="21"/>
              </w:rPr>
            </w:pPr>
          </w:p>
        </w:tc>
        <w:tc>
          <w:tcPr>
            <w:tcW w:w="907" w:type="dxa"/>
          </w:tcPr>
          <w:p>
            <w:pPr>
              <w:jc w:val="left"/>
              <w:rPr>
                <w:rFonts w:ascii="宋体" w:hAnsi="宋体" w:cs="宋体"/>
                <w:color w:val="auto"/>
                <w:szCs w:val="21"/>
              </w:rPr>
            </w:pPr>
          </w:p>
        </w:tc>
        <w:tc>
          <w:tcPr>
            <w:tcW w:w="908" w:type="dxa"/>
          </w:tcPr>
          <w:p>
            <w:pPr>
              <w:jc w:val="left"/>
              <w:rPr>
                <w:rFonts w:ascii="宋体" w:hAnsi="宋体" w:cs="宋体"/>
                <w:color w:val="auto"/>
                <w:szCs w:val="21"/>
              </w:rPr>
            </w:pPr>
          </w:p>
        </w:tc>
        <w:tc>
          <w:tcPr>
            <w:tcW w:w="908" w:type="dxa"/>
          </w:tcPr>
          <w:p>
            <w:pPr>
              <w:jc w:val="lef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573" w:type="dxa"/>
          </w:tcPr>
          <w:p>
            <w:pPr>
              <w:jc w:val="left"/>
              <w:rPr>
                <w:rFonts w:ascii="宋体" w:hAnsi="宋体" w:cs="宋体"/>
                <w:color w:val="auto"/>
                <w:szCs w:val="21"/>
              </w:rPr>
            </w:pPr>
          </w:p>
        </w:tc>
        <w:tc>
          <w:tcPr>
            <w:tcW w:w="2676" w:type="dxa"/>
          </w:tcPr>
          <w:p>
            <w:pPr>
              <w:jc w:val="left"/>
              <w:rPr>
                <w:rFonts w:ascii="宋体" w:hAnsi="宋体" w:cs="宋体"/>
                <w:color w:val="auto"/>
                <w:szCs w:val="21"/>
              </w:rPr>
            </w:pPr>
          </w:p>
        </w:tc>
        <w:tc>
          <w:tcPr>
            <w:tcW w:w="1720" w:type="dxa"/>
          </w:tcPr>
          <w:p>
            <w:pPr>
              <w:jc w:val="left"/>
              <w:rPr>
                <w:rFonts w:ascii="宋体" w:hAnsi="宋体" w:cs="宋体"/>
                <w:color w:val="auto"/>
                <w:szCs w:val="21"/>
              </w:rPr>
            </w:pPr>
          </w:p>
        </w:tc>
        <w:tc>
          <w:tcPr>
            <w:tcW w:w="908" w:type="dxa"/>
          </w:tcPr>
          <w:p>
            <w:pPr>
              <w:jc w:val="left"/>
              <w:rPr>
                <w:rFonts w:ascii="宋体" w:hAnsi="宋体" w:cs="宋体"/>
                <w:color w:val="auto"/>
                <w:szCs w:val="21"/>
              </w:rPr>
            </w:pPr>
          </w:p>
        </w:tc>
        <w:tc>
          <w:tcPr>
            <w:tcW w:w="907" w:type="dxa"/>
          </w:tcPr>
          <w:p>
            <w:pPr>
              <w:jc w:val="left"/>
              <w:rPr>
                <w:rFonts w:ascii="宋体" w:hAnsi="宋体" w:cs="宋体"/>
                <w:color w:val="auto"/>
                <w:szCs w:val="21"/>
              </w:rPr>
            </w:pPr>
          </w:p>
        </w:tc>
        <w:tc>
          <w:tcPr>
            <w:tcW w:w="908" w:type="dxa"/>
          </w:tcPr>
          <w:p>
            <w:pPr>
              <w:jc w:val="left"/>
              <w:rPr>
                <w:rFonts w:ascii="宋体" w:hAnsi="宋体" w:cs="宋体"/>
                <w:color w:val="auto"/>
                <w:szCs w:val="21"/>
              </w:rPr>
            </w:pPr>
          </w:p>
        </w:tc>
        <w:tc>
          <w:tcPr>
            <w:tcW w:w="908" w:type="dxa"/>
          </w:tcPr>
          <w:p>
            <w:pPr>
              <w:jc w:val="lef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573" w:type="dxa"/>
          </w:tcPr>
          <w:p>
            <w:pPr>
              <w:jc w:val="left"/>
              <w:rPr>
                <w:rFonts w:ascii="宋体" w:hAnsi="宋体" w:cs="宋体"/>
                <w:color w:val="auto"/>
                <w:szCs w:val="21"/>
              </w:rPr>
            </w:pPr>
          </w:p>
        </w:tc>
        <w:tc>
          <w:tcPr>
            <w:tcW w:w="2676" w:type="dxa"/>
          </w:tcPr>
          <w:p>
            <w:pPr>
              <w:jc w:val="left"/>
              <w:rPr>
                <w:rFonts w:ascii="宋体" w:hAnsi="宋体" w:cs="宋体"/>
                <w:color w:val="auto"/>
                <w:szCs w:val="21"/>
              </w:rPr>
            </w:pPr>
          </w:p>
        </w:tc>
        <w:tc>
          <w:tcPr>
            <w:tcW w:w="1720" w:type="dxa"/>
          </w:tcPr>
          <w:p>
            <w:pPr>
              <w:jc w:val="left"/>
              <w:rPr>
                <w:rFonts w:ascii="宋体" w:hAnsi="宋体" w:cs="宋体"/>
                <w:color w:val="auto"/>
                <w:szCs w:val="21"/>
              </w:rPr>
            </w:pPr>
          </w:p>
        </w:tc>
        <w:tc>
          <w:tcPr>
            <w:tcW w:w="908" w:type="dxa"/>
          </w:tcPr>
          <w:p>
            <w:pPr>
              <w:jc w:val="left"/>
              <w:rPr>
                <w:rFonts w:ascii="宋体" w:hAnsi="宋体" w:cs="宋体"/>
                <w:color w:val="auto"/>
                <w:szCs w:val="21"/>
              </w:rPr>
            </w:pPr>
          </w:p>
        </w:tc>
        <w:tc>
          <w:tcPr>
            <w:tcW w:w="907" w:type="dxa"/>
          </w:tcPr>
          <w:p>
            <w:pPr>
              <w:jc w:val="left"/>
              <w:rPr>
                <w:rFonts w:ascii="宋体" w:hAnsi="宋体" w:cs="宋体"/>
                <w:color w:val="auto"/>
                <w:szCs w:val="21"/>
              </w:rPr>
            </w:pPr>
          </w:p>
        </w:tc>
        <w:tc>
          <w:tcPr>
            <w:tcW w:w="908" w:type="dxa"/>
          </w:tcPr>
          <w:p>
            <w:pPr>
              <w:jc w:val="left"/>
              <w:rPr>
                <w:rFonts w:ascii="宋体" w:hAnsi="宋体" w:cs="宋体"/>
                <w:color w:val="auto"/>
                <w:szCs w:val="21"/>
              </w:rPr>
            </w:pPr>
          </w:p>
        </w:tc>
        <w:tc>
          <w:tcPr>
            <w:tcW w:w="908" w:type="dxa"/>
          </w:tcPr>
          <w:p>
            <w:pPr>
              <w:jc w:val="lef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573" w:type="dxa"/>
          </w:tcPr>
          <w:p>
            <w:pPr>
              <w:jc w:val="left"/>
              <w:rPr>
                <w:rFonts w:ascii="宋体" w:hAnsi="宋体" w:cs="宋体"/>
                <w:color w:val="auto"/>
                <w:szCs w:val="21"/>
              </w:rPr>
            </w:pPr>
          </w:p>
        </w:tc>
        <w:tc>
          <w:tcPr>
            <w:tcW w:w="2676" w:type="dxa"/>
          </w:tcPr>
          <w:p>
            <w:pPr>
              <w:jc w:val="left"/>
              <w:rPr>
                <w:rFonts w:ascii="宋体" w:hAnsi="宋体" w:cs="宋体"/>
                <w:color w:val="auto"/>
                <w:szCs w:val="21"/>
              </w:rPr>
            </w:pPr>
          </w:p>
        </w:tc>
        <w:tc>
          <w:tcPr>
            <w:tcW w:w="1720" w:type="dxa"/>
          </w:tcPr>
          <w:p>
            <w:pPr>
              <w:jc w:val="left"/>
              <w:rPr>
                <w:rFonts w:ascii="宋体" w:hAnsi="宋体" w:cs="宋体"/>
                <w:color w:val="auto"/>
                <w:szCs w:val="21"/>
              </w:rPr>
            </w:pPr>
          </w:p>
        </w:tc>
        <w:tc>
          <w:tcPr>
            <w:tcW w:w="908" w:type="dxa"/>
          </w:tcPr>
          <w:p>
            <w:pPr>
              <w:jc w:val="left"/>
              <w:rPr>
                <w:rFonts w:ascii="宋体" w:hAnsi="宋体" w:cs="宋体"/>
                <w:color w:val="auto"/>
                <w:szCs w:val="21"/>
              </w:rPr>
            </w:pPr>
          </w:p>
        </w:tc>
        <w:tc>
          <w:tcPr>
            <w:tcW w:w="907" w:type="dxa"/>
          </w:tcPr>
          <w:p>
            <w:pPr>
              <w:jc w:val="left"/>
              <w:rPr>
                <w:rFonts w:ascii="宋体" w:hAnsi="宋体" w:cs="宋体"/>
                <w:color w:val="auto"/>
                <w:szCs w:val="21"/>
              </w:rPr>
            </w:pPr>
          </w:p>
        </w:tc>
        <w:tc>
          <w:tcPr>
            <w:tcW w:w="908" w:type="dxa"/>
          </w:tcPr>
          <w:p>
            <w:pPr>
              <w:jc w:val="left"/>
              <w:rPr>
                <w:rFonts w:ascii="宋体" w:hAnsi="宋体" w:cs="宋体"/>
                <w:color w:val="auto"/>
                <w:szCs w:val="21"/>
              </w:rPr>
            </w:pPr>
          </w:p>
        </w:tc>
        <w:tc>
          <w:tcPr>
            <w:tcW w:w="908" w:type="dxa"/>
          </w:tcPr>
          <w:p>
            <w:pPr>
              <w:jc w:val="lef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573" w:type="dxa"/>
          </w:tcPr>
          <w:p>
            <w:pPr>
              <w:jc w:val="left"/>
              <w:rPr>
                <w:rFonts w:ascii="宋体" w:hAnsi="宋体" w:cs="宋体"/>
                <w:color w:val="auto"/>
                <w:szCs w:val="21"/>
              </w:rPr>
            </w:pPr>
          </w:p>
        </w:tc>
        <w:tc>
          <w:tcPr>
            <w:tcW w:w="2676" w:type="dxa"/>
          </w:tcPr>
          <w:p>
            <w:pPr>
              <w:jc w:val="left"/>
              <w:rPr>
                <w:rFonts w:ascii="宋体" w:hAnsi="宋体" w:cs="宋体"/>
                <w:color w:val="auto"/>
                <w:szCs w:val="21"/>
              </w:rPr>
            </w:pPr>
          </w:p>
        </w:tc>
        <w:tc>
          <w:tcPr>
            <w:tcW w:w="1720" w:type="dxa"/>
          </w:tcPr>
          <w:p>
            <w:pPr>
              <w:jc w:val="left"/>
              <w:rPr>
                <w:rFonts w:ascii="宋体" w:hAnsi="宋体" w:cs="宋体"/>
                <w:color w:val="auto"/>
                <w:szCs w:val="21"/>
              </w:rPr>
            </w:pPr>
          </w:p>
        </w:tc>
        <w:tc>
          <w:tcPr>
            <w:tcW w:w="908" w:type="dxa"/>
          </w:tcPr>
          <w:p>
            <w:pPr>
              <w:jc w:val="left"/>
              <w:rPr>
                <w:rFonts w:ascii="宋体" w:hAnsi="宋体" w:cs="宋体"/>
                <w:color w:val="auto"/>
                <w:szCs w:val="21"/>
              </w:rPr>
            </w:pPr>
          </w:p>
        </w:tc>
        <w:tc>
          <w:tcPr>
            <w:tcW w:w="907" w:type="dxa"/>
          </w:tcPr>
          <w:p>
            <w:pPr>
              <w:jc w:val="left"/>
              <w:rPr>
                <w:rFonts w:ascii="宋体" w:hAnsi="宋体" w:cs="宋体"/>
                <w:color w:val="auto"/>
                <w:szCs w:val="21"/>
              </w:rPr>
            </w:pPr>
          </w:p>
        </w:tc>
        <w:tc>
          <w:tcPr>
            <w:tcW w:w="908" w:type="dxa"/>
          </w:tcPr>
          <w:p>
            <w:pPr>
              <w:jc w:val="left"/>
              <w:rPr>
                <w:rFonts w:ascii="宋体" w:hAnsi="宋体" w:cs="宋体"/>
                <w:color w:val="auto"/>
                <w:szCs w:val="21"/>
              </w:rPr>
            </w:pPr>
          </w:p>
        </w:tc>
        <w:tc>
          <w:tcPr>
            <w:tcW w:w="908" w:type="dxa"/>
          </w:tcPr>
          <w:p>
            <w:pPr>
              <w:jc w:val="lef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573" w:type="dxa"/>
          </w:tcPr>
          <w:p>
            <w:pPr>
              <w:jc w:val="left"/>
              <w:rPr>
                <w:rFonts w:ascii="宋体" w:hAnsi="宋体" w:cs="宋体"/>
                <w:color w:val="auto"/>
                <w:szCs w:val="21"/>
              </w:rPr>
            </w:pPr>
          </w:p>
        </w:tc>
        <w:tc>
          <w:tcPr>
            <w:tcW w:w="2676" w:type="dxa"/>
          </w:tcPr>
          <w:p>
            <w:pPr>
              <w:jc w:val="left"/>
              <w:rPr>
                <w:rFonts w:ascii="宋体" w:hAnsi="宋体" w:cs="宋体"/>
                <w:color w:val="auto"/>
                <w:szCs w:val="21"/>
              </w:rPr>
            </w:pPr>
          </w:p>
        </w:tc>
        <w:tc>
          <w:tcPr>
            <w:tcW w:w="1720" w:type="dxa"/>
          </w:tcPr>
          <w:p>
            <w:pPr>
              <w:jc w:val="left"/>
              <w:rPr>
                <w:rFonts w:ascii="宋体" w:hAnsi="宋体" w:cs="宋体"/>
                <w:color w:val="auto"/>
                <w:szCs w:val="21"/>
              </w:rPr>
            </w:pPr>
          </w:p>
        </w:tc>
        <w:tc>
          <w:tcPr>
            <w:tcW w:w="908" w:type="dxa"/>
          </w:tcPr>
          <w:p>
            <w:pPr>
              <w:jc w:val="left"/>
              <w:rPr>
                <w:rFonts w:ascii="宋体" w:hAnsi="宋体" w:cs="宋体"/>
                <w:color w:val="auto"/>
                <w:szCs w:val="21"/>
              </w:rPr>
            </w:pPr>
          </w:p>
        </w:tc>
        <w:tc>
          <w:tcPr>
            <w:tcW w:w="907" w:type="dxa"/>
          </w:tcPr>
          <w:p>
            <w:pPr>
              <w:jc w:val="left"/>
              <w:rPr>
                <w:rFonts w:ascii="宋体" w:hAnsi="宋体" w:cs="宋体"/>
                <w:color w:val="auto"/>
                <w:szCs w:val="21"/>
              </w:rPr>
            </w:pPr>
          </w:p>
        </w:tc>
        <w:tc>
          <w:tcPr>
            <w:tcW w:w="908" w:type="dxa"/>
          </w:tcPr>
          <w:p>
            <w:pPr>
              <w:jc w:val="left"/>
              <w:rPr>
                <w:rFonts w:ascii="宋体" w:hAnsi="宋体" w:cs="宋体"/>
                <w:color w:val="auto"/>
                <w:szCs w:val="21"/>
              </w:rPr>
            </w:pPr>
          </w:p>
        </w:tc>
        <w:tc>
          <w:tcPr>
            <w:tcW w:w="908" w:type="dxa"/>
          </w:tcPr>
          <w:p>
            <w:pPr>
              <w:jc w:val="left"/>
              <w:rPr>
                <w:rFonts w:ascii="宋体" w:hAnsi="宋体" w:cs="宋体"/>
                <w:color w:val="auto"/>
                <w:szCs w:val="21"/>
              </w:rPr>
            </w:pPr>
          </w:p>
        </w:tc>
      </w:tr>
    </w:tbl>
    <w:p>
      <w:pPr>
        <w:jc w:val="left"/>
        <w:rPr>
          <w:rFonts w:ascii="宋体" w:hAnsi="宋体" w:cs="宋体"/>
          <w:color w:val="auto"/>
          <w:szCs w:val="21"/>
        </w:rPr>
      </w:pPr>
      <w:r>
        <w:rPr>
          <w:rFonts w:hint="eastAsia" w:ascii="宋体" w:hAnsi="宋体" w:cs="宋体"/>
          <w:color w:val="auto"/>
          <w:szCs w:val="21"/>
        </w:rPr>
        <w:t xml:space="preserve"> 注：1、供应商提供必备的备品、备件及专用工具。</w:t>
      </w:r>
    </w:p>
    <w:p>
      <w:pPr>
        <w:ind w:firstLine="525" w:firstLineChars="250"/>
        <w:jc w:val="left"/>
        <w:rPr>
          <w:rFonts w:ascii="宋体" w:hAnsi="宋体" w:cs="宋体"/>
          <w:color w:val="auto"/>
          <w:szCs w:val="21"/>
        </w:rPr>
      </w:pPr>
      <w:r>
        <w:rPr>
          <w:rFonts w:hint="eastAsia" w:ascii="宋体" w:hAnsi="宋体" w:cs="宋体"/>
          <w:color w:val="auto"/>
          <w:szCs w:val="21"/>
        </w:rPr>
        <w:t>2、供应商应根据投标设备的技术状况列出详细的备品备件及专用工具清单，并附详细的使用说明。如在质量保修期内实际所需的数量超过了成交供应商在投标时预计和实际提供的数量时，成交供应商应负责免费供应。</w:t>
      </w:r>
    </w:p>
    <w:p>
      <w:pPr>
        <w:ind w:firstLine="525" w:firstLineChars="250"/>
        <w:jc w:val="left"/>
        <w:rPr>
          <w:rFonts w:ascii="宋体" w:hAnsi="宋体" w:cs="宋体"/>
          <w:color w:val="auto"/>
          <w:szCs w:val="21"/>
        </w:rPr>
      </w:pPr>
      <w:r>
        <w:rPr>
          <w:rFonts w:hint="eastAsia" w:ascii="宋体" w:hAnsi="宋体" w:cs="宋体"/>
          <w:color w:val="auto"/>
          <w:szCs w:val="21"/>
        </w:rPr>
        <w:t>3、各供应商按此表格式自行编写，表格不够时可自行添加。</w:t>
      </w:r>
    </w:p>
    <w:p>
      <w:pPr>
        <w:ind w:firstLine="525" w:firstLineChars="250"/>
        <w:jc w:val="left"/>
        <w:rPr>
          <w:rFonts w:ascii="宋体" w:hAnsi="宋体" w:cs="宋体"/>
          <w:color w:val="auto"/>
          <w:szCs w:val="21"/>
        </w:rPr>
      </w:pPr>
    </w:p>
    <w:p>
      <w:pPr>
        <w:jc w:val="left"/>
        <w:rPr>
          <w:rFonts w:ascii="宋体" w:hAnsi="宋体" w:cs="宋体"/>
          <w:color w:val="auto"/>
          <w:szCs w:val="21"/>
        </w:rPr>
      </w:pPr>
    </w:p>
    <w:p>
      <w:pPr>
        <w:jc w:val="left"/>
        <w:rPr>
          <w:rFonts w:ascii="宋体" w:hAnsi="宋体" w:cs="宋体"/>
          <w:color w:val="auto"/>
          <w:szCs w:val="21"/>
        </w:rPr>
      </w:pPr>
      <w:r>
        <w:rPr>
          <w:rFonts w:hint="eastAsia" w:ascii="宋体" w:hAnsi="宋体" w:cs="宋体"/>
          <w:color w:val="auto"/>
          <w:szCs w:val="21"/>
        </w:rPr>
        <w:t>供应商（盖章）：</w:t>
      </w:r>
    </w:p>
    <w:p>
      <w:pPr>
        <w:jc w:val="left"/>
        <w:rPr>
          <w:rFonts w:ascii="宋体" w:hAnsi="宋体" w:cs="宋体"/>
          <w:color w:val="auto"/>
          <w:szCs w:val="21"/>
        </w:rPr>
      </w:pPr>
    </w:p>
    <w:p>
      <w:pPr>
        <w:jc w:val="left"/>
        <w:rPr>
          <w:rFonts w:ascii="宋体" w:hAnsi="宋体" w:cs="宋体"/>
          <w:color w:val="auto"/>
          <w:szCs w:val="21"/>
        </w:rPr>
      </w:pPr>
    </w:p>
    <w:p>
      <w:pPr>
        <w:jc w:val="left"/>
        <w:rPr>
          <w:rFonts w:ascii="宋体" w:hAnsi="宋体" w:cs="宋体"/>
          <w:color w:val="auto"/>
          <w:szCs w:val="21"/>
          <w:u w:val="single"/>
        </w:rPr>
      </w:pPr>
      <w:r>
        <w:rPr>
          <w:rFonts w:hint="eastAsia" w:ascii="宋体" w:hAnsi="宋体" w:cs="宋体"/>
          <w:color w:val="auto"/>
          <w:szCs w:val="21"/>
        </w:rPr>
        <w:t>法人代表或授权代理签字或盖章：</w:t>
      </w:r>
    </w:p>
    <w:p>
      <w:pPr>
        <w:jc w:val="left"/>
        <w:rPr>
          <w:rFonts w:ascii="宋体" w:hAnsi="宋体" w:cs="宋体"/>
          <w:color w:val="auto"/>
          <w:szCs w:val="21"/>
          <w:u w:val="single"/>
        </w:rPr>
      </w:pPr>
    </w:p>
    <w:p>
      <w:pPr>
        <w:jc w:val="left"/>
        <w:rPr>
          <w:rFonts w:ascii="宋体" w:hAnsi="宋体" w:cs="宋体"/>
          <w:color w:val="auto"/>
          <w:szCs w:val="21"/>
          <w:u w:val="single"/>
        </w:rPr>
      </w:pPr>
    </w:p>
    <w:p>
      <w:pPr>
        <w:jc w:val="left"/>
        <w:rPr>
          <w:rFonts w:ascii="宋体" w:hAnsi="宋体" w:cs="宋体"/>
          <w:color w:val="auto"/>
          <w:szCs w:val="21"/>
        </w:rPr>
      </w:pPr>
    </w:p>
    <w:p>
      <w:pPr>
        <w:jc w:val="right"/>
        <w:rPr>
          <w:rFonts w:ascii="宋体" w:hAnsi="宋体" w:cs="宋体"/>
          <w:color w:val="auto"/>
          <w:szCs w:val="21"/>
        </w:rPr>
      </w:pPr>
    </w:p>
    <w:p>
      <w:pPr>
        <w:jc w:val="right"/>
        <w:rPr>
          <w:rFonts w:ascii="宋体" w:hAnsi="宋体" w:cs="宋体"/>
          <w:color w:val="auto"/>
          <w:szCs w:val="21"/>
        </w:rPr>
      </w:pPr>
      <w:r>
        <w:rPr>
          <w:rFonts w:hint="eastAsia" w:ascii="宋体" w:hAnsi="宋体" w:cs="宋体"/>
          <w:color w:val="auto"/>
          <w:szCs w:val="21"/>
        </w:rPr>
        <w:t xml:space="preserve">          年    月     日</w:t>
      </w:r>
    </w:p>
    <w:p>
      <w:pPr>
        <w:pStyle w:val="2"/>
        <w:spacing w:line="340" w:lineRule="exact"/>
        <w:rPr>
          <w:rFonts w:ascii="宋体" w:hAnsi="宋体" w:cs="宋体"/>
          <w:b/>
          <w:color w:val="auto"/>
          <w:sz w:val="28"/>
          <w:szCs w:val="28"/>
        </w:rPr>
      </w:pPr>
    </w:p>
    <w:p>
      <w:pPr>
        <w:pStyle w:val="2"/>
        <w:spacing w:line="340" w:lineRule="exact"/>
        <w:jc w:val="center"/>
        <w:rPr>
          <w:rFonts w:ascii="宋体" w:hAnsi="宋体" w:cs="宋体"/>
          <w:b/>
          <w:color w:val="auto"/>
          <w:sz w:val="28"/>
          <w:szCs w:val="28"/>
        </w:rPr>
      </w:pPr>
    </w:p>
    <w:p>
      <w:pPr>
        <w:spacing w:line="360" w:lineRule="auto"/>
        <w:jc w:val="center"/>
        <w:rPr>
          <w:rFonts w:ascii="宋体" w:hAnsi="宋体" w:cs="宋体"/>
          <w:color w:val="auto"/>
          <w:sz w:val="24"/>
        </w:rPr>
      </w:pPr>
      <w:r>
        <w:rPr>
          <w:rFonts w:hint="eastAsia" w:ascii="宋体" w:hAnsi="宋体" w:cs="宋体"/>
          <w:b/>
          <w:color w:val="auto"/>
          <w:sz w:val="28"/>
          <w:szCs w:val="28"/>
        </w:rPr>
        <w:t>4、法定代表人资格证明书</w:t>
      </w:r>
    </w:p>
    <w:p>
      <w:pPr>
        <w:tabs>
          <w:tab w:val="left" w:pos="360"/>
          <w:tab w:val="left" w:pos="1800"/>
        </w:tabs>
        <w:spacing w:line="360" w:lineRule="auto"/>
        <w:ind w:firstLine="480" w:firstLineChars="200"/>
        <w:rPr>
          <w:rFonts w:ascii="宋体" w:hAnsi="宋体" w:cs="宋体"/>
          <w:color w:val="auto"/>
          <w:sz w:val="24"/>
        </w:rPr>
      </w:pPr>
    </w:p>
    <w:p>
      <w:pPr>
        <w:tabs>
          <w:tab w:val="left" w:pos="360"/>
          <w:tab w:val="left" w:pos="1800"/>
        </w:tabs>
        <w:spacing w:line="360" w:lineRule="auto"/>
        <w:ind w:firstLine="480" w:firstLineChars="200"/>
        <w:rPr>
          <w:rFonts w:ascii="宋体" w:hAnsi="宋体" w:cs="宋体"/>
          <w:color w:val="auto"/>
          <w:sz w:val="24"/>
        </w:rPr>
      </w:pPr>
      <w:r>
        <w:rPr>
          <w:rFonts w:hint="eastAsia" w:ascii="宋体" w:hAnsi="宋体" w:cs="宋体"/>
          <w:color w:val="auto"/>
          <w:sz w:val="24"/>
        </w:rPr>
        <w:t>供应商名称：</w:t>
      </w:r>
    </w:p>
    <w:p>
      <w:pPr>
        <w:tabs>
          <w:tab w:val="left" w:pos="360"/>
          <w:tab w:val="left" w:pos="1800"/>
        </w:tabs>
        <w:spacing w:line="360" w:lineRule="auto"/>
        <w:ind w:firstLine="480" w:firstLineChars="200"/>
        <w:rPr>
          <w:rFonts w:ascii="宋体" w:hAnsi="宋体" w:cs="宋体"/>
          <w:color w:val="auto"/>
          <w:sz w:val="24"/>
        </w:rPr>
      </w:pPr>
      <w:r>
        <w:rPr>
          <w:rFonts w:hint="eastAsia" w:ascii="宋体" w:hAnsi="宋体" w:cs="宋体"/>
          <w:color w:val="auto"/>
          <w:sz w:val="24"/>
        </w:rPr>
        <w:t>地址：</w:t>
      </w:r>
    </w:p>
    <w:p>
      <w:pPr>
        <w:tabs>
          <w:tab w:val="left" w:pos="360"/>
          <w:tab w:val="left" w:pos="720"/>
          <w:tab w:val="left" w:pos="900"/>
          <w:tab w:val="left" w:pos="1800"/>
        </w:tabs>
        <w:spacing w:line="360" w:lineRule="auto"/>
        <w:ind w:firstLine="480" w:firstLineChars="200"/>
        <w:rPr>
          <w:rFonts w:ascii="宋体" w:hAnsi="宋体" w:cs="宋体"/>
          <w:color w:val="auto"/>
          <w:sz w:val="24"/>
        </w:rPr>
      </w:pPr>
      <w:r>
        <w:rPr>
          <w:rFonts w:hint="eastAsia" w:ascii="宋体" w:hAnsi="宋体" w:cs="宋体"/>
          <w:color w:val="auto"/>
          <w:sz w:val="24"/>
        </w:rPr>
        <w:t xml:space="preserve">姓名：        性别：       年龄：         职务： </w:t>
      </w:r>
    </w:p>
    <w:p>
      <w:pPr>
        <w:tabs>
          <w:tab w:val="left" w:pos="360"/>
          <w:tab w:val="left" w:pos="1800"/>
        </w:tabs>
        <w:spacing w:line="360" w:lineRule="auto"/>
        <w:ind w:firstLine="480" w:firstLineChars="200"/>
        <w:rPr>
          <w:rFonts w:ascii="宋体" w:hAnsi="宋体" w:cs="宋体"/>
          <w:color w:val="auto"/>
          <w:sz w:val="24"/>
        </w:rPr>
      </w:pPr>
      <w:r>
        <w:rPr>
          <w:rFonts w:hint="eastAsia" w:ascii="宋体" w:hAnsi="宋体" w:cs="宋体"/>
          <w:color w:val="auto"/>
          <w:sz w:val="24"/>
        </w:rPr>
        <w:t>系</w:t>
      </w:r>
      <w:r>
        <w:rPr>
          <w:rFonts w:hint="eastAsia" w:ascii="宋体" w:hAnsi="宋体" w:cs="宋体"/>
          <w:color w:val="auto"/>
          <w:sz w:val="24"/>
          <w:u w:val="single"/>
        </w:rPr>
        <w:t xml:space="preserve">             （</w:t>
      </w:r>
      <w:r>
        <w:rPr>
          <w:rFonts w:hint="eastAsia" w:ascii="宋体" w:hAnsi="宋体" w:cs="宋体"/>
          <w:color w:val="auto"/>
          <w:sz w:val="24"/>
        </w:rPr>
        <w:t>单位）的法定代表人。签署上述项目的相应文件、进行合同磋商、签署合同和处理与之有关的一切事务。</w:t>
      </w:r>
    </w:p>
    <w:p>
      <w:pPr>
        <w:tabs>
          <w:tab w:val="left" w:pos="360"/>
          <w:tab w:val="left" w:pos="1800"/>
        </w:tabs>
        <w:spacing w:line="360" w:lineRule="auto"/>
        <w:rPr>
          <w:rFonts w:ascii="宋体" w:hAnsi="宋体" w:cs="宋体"/>
          <w:color w:val="auto"/>
          <w:sz w:val="24"/>
        </w:rPr>
      </w:pPr>
    </w:p>
    <w:p>
      <w:pPr>
        <w:tabs>
          <w:tab w:val="left" w:pos="360"/>
          <w:tab w:val="left" w:pos="1800"/>
        </w:tabs>
        <w:spacing w:line="360" w:lineRule="auto"/>
        <w:ind w:firstLine="480" w:firstLineChars="200"/>
        <w:rPr>
          <w:rFonts w:ascii="宋体" w:hAnsi="宋体" w:cs="宋体"/>
          <w:color w:val="auto"/>
          <w:sz w:val="24"/>
        </w:rPr>
      </w:pPr>
      <w:r>
        <w:rPr>
          <w:rFonts w:hint="eastAsia" w:ascii="宋体" w:hAnsi="宋体" w:cs="宋体"/>
          <w:color w:val="auto"/>
          <w:sz w:val="24"/>
        </w:rPr>
        <w:t>特此证明。</w:t>
      </w:r>
    </w:p>
    <w:p>
      <w:pPr>
        <w:tabs>
          <w:tab w:val="left" w:pos="360"/>
          <w:tab w:val="left" w:pos="1800"/>
        </w:tabs>
        <w:spacing w:line="360" w:lineRule="auto"/>
        <w:ind w:left="4500"/>
        <w:rPr>
          <w:rFonts w:ascii="宋体" w:hAnsi="宋体" w:cs="宋体"/>
          <w:color w:val="auto"/>
          <w:sz w:val="24"/>
        </w:rPr>
      </w:pPr>
      <w:r>
        <w:rPr>
          <w:rFonts w:hint="eastAsia" w:ascii="宋体" w:hAnsi="宋体" w:cs="宋体"/>
          <w:color w:val="auto"/>
          <w:sz w:val="24"/>
        </w:rPr>
        <w:t>供应商：（盖章）</w:t>
      </w:r>
    </w:p>
    <w:p>
      <w:pPr>
        <w:tabs>
          <w:tab w:val="left" w:pos="360"/>
          <w:tab w:val="left" w:pos="1800"/>
        </w:tabs>
        <w:spacing w:line="360" w:lineRule="auto"/>
        <w:ind w:left="4500"/>
        <w:rPr>
          <w:rFonts w:ascii="宋体" w:hAnsi="宋体" w:cs="宋体"/>
          <w:color w:val="auto"/>
          <w:sz w:val="24"/>
        </w:rPr>
      </w:pPr>
      <w:r>
        <w:rPr>
          <w:rFonts w:hint="eastAsia" w:ascii="宋体" w:hAnsi="宋体" w:cs="宋体"/>
          <w:color w:val="auto"/>
          <w:sz w:val="24"/>
        </w:rPr>
        <w:t>日期：    年   月   日</w:t>
      </w:r>
    </w:p>
    <w:p>
      <w:pPr>
        <w:tabs>
          <w:tab w:val="left" w:pos="360"/>
          <w:tab w:val="left" w:pos="1800"/>
        </w:tabs>
        <w:spacing w:line="360" w:lineRule="auto"/>
        <w:ind w:firstLine="6000" w:firstLineChars="2500"/>
        <w:rPr>
          <w:rFonts w:ascii="宋体" w:hAnsi="宋体" w:cs="宋体"/>
          <w:bCs/>
          <w:color w:val="auto"/>
          <w:sz w:val="24"/>
        </w:rPr>
      </w:pPr>
    </w:p>
    <w:tbl>
      <w:tblPr>
        <w:tblStyle w:val="16"/>
        <w:tblW w:w="6952"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96" w:hRule="atLeast"/>
          <w:jc w:val="center"/>
        </w:trPr>
        <w:tc>
          <w:tcPr>
            <w:tcW w:w="6952" w:type="dxa"/>
          </w:tcPr>
          <w:p>
            <w:pPr>
              <w:tabs>
                <w:tab w:val="left" w:pos="360"/>
                <w:tab w:val="left" w:pos="1800"/>
              </w:tabs>
              <w:spacing w:line="480" w:lineRule="auto"/>
              <w:jc w:val="center"/>
              <w:rPr>
                <w:rFonts w:ascii="宋体" w:hAnsi="宋体" w:cs="宋体"/>
                <w:color w:val="auto"/>
                <w:sz w:val="24"/>
              </w:rPr>
            </w:pPr>
          </w:p>
          <w:p>
            <w:pPr>
              <w:tabs>
                <w:tab w:val="left" w:pos="360"/>
                <w:tab w:val="left" w:pos="1800"/>
              </w:tabs>
              <w:spacing w:line="480" w:lineRule="auto"/>
              <w:jc w:val="center"/>
              <w:rPr>
                <w:rFonts w:ascii="宋体" w:hAnsi="宋体" w:cs="宋体"/>
                <w:color w:val="auto"/>
                <w:sz w:val="24"/>
              </w:rPr>
            </w:pPr>
          </w:p>
          <w:p>
            <w:pPr>
              <w:tabs>
                <w:tab w:val="left" w:pos="360"/>
                <w:tab w:val="left" w:pos="1800"/>
              </w:tabs>
              <w:spacing w:line="480" w:lineRule="auto"/>
              <w:jc w:val="center"/>
              <w:rPr>
                <w:rFonts w:ascii="宋体" w:hAnsi="宋体" w:cs="宋体"/>
                <w:color w:val="auto"/>
                <w:sz w:val="24"/>
              </w:rPr>
            </w:pPr>
            <w:r>
              <w:rPr>
                <w:rFonts w:hint="eastAsia" w:ascii="宋体" w:hAnsi="宋体" w:cs="宋体"/>
                <w:color w:val="auto"/>
                <w:sz w:val="24"/>
              </w:rPr>
              <w:t>法定代表人身份证复印件或扫描件（正、反两面）</w:t>
            </w:r>
          </w:p>
        </w:tc>
      </w:tr>
    </w:tbl>
    <w:p>
      <w:pPr>
        <w:tabs>
          <w:tab w:val="left" w:pos="360"/>
          <w:tab w:val="left" w:pos="1800"/>
        </w:tabs>
        <w:spacing w:line="480" w:lineRule="exact"/>
        <w:jc w:val="center"/>
        <w:rPr>
          <w:rFonts w:ascii="宋体" w:hAnsi="宋体" w:cs="宋体"/>
          <w:b/>
          <w:bCs/>
          <w:color w:val="auto"/>
          <w:sz w:val="24"/>
        </w:rPr>
      </w:pPr>
      <w:r>
        <w:rPr>
          <w:rFonts w:hint="eastAsia" w:ascii="宋体" w:hAnsi="宋体" w:cs="宋体"/>
          <w:b/>
          <w:bCs/>
          <w:color w:val="auto"/>
          <w:sz w:val="24"/>
        </w:rPr>
        <w:t>注：法定代表人身份证复印件或扫描件应反映出证件有效期等所载内容。</w:t>
      </w:r>
    </w:p>
    <w:p>
      <w:pPr>
        <w:tabs>
          <w:tab w:val="left" w:pos="360"/>
          <w:tab w:val="left" w:pos="1800"/>
        </w:tabs>
        <w:spacing w:line="480" w:lineRule="exact"/>
        <w:ind w:left="1980" w:firstLine="1080"/>
        <w:rPr>
          <w:rFonts w:ascii="宋体" w:hAnsi="宋体" w:cs="宋体"/>
          <w:bCs/>
          <w:color w:val="auto"/>
        </w:rPr>
      </w:pPr>
    </w:p>
    <w:p>
      <w:pPr>
        <w:spacing w:line="360" w:lineRule="auto"/>
        <w:ind w:firstLine="573"/>
        <w:jc w:val="center"/>
        <w:rPr>
          <w:rFonts w:ascii="宋体" w:hAnsi="宋体" w:cs="宋体"/>
          <w:b/>
          <w:color w:val="auto"/>
          <w:sz w:val="28"/>
          <w:szCs w:val="28"/>
        </w:rPr>
      </w:pPr>
    </w:p>
    <w:p>
      <w:pPr>
        <w:tabs>
          <w:tab w:val="left" w:pos="360"/>
          <w:tab w:val="left" w:pos="1800"/>
        </w:tabs>
        <w:spacing w:line="480" w:lineRule="exact"/>
        <w:jc w:val="center"/>
        <w:rPr>
          <w:rFonts w:ascii="宋体" w:hAnsi="宋体" w:cs="宋体"/>
          <w:b/>
          <w:bCs/>
          <w:color w:val="auto"/>
          <w:sz w:val="28"/>
          <w:szCs w:val="28"/>
        </w:rPr>
      </w:pPr>
      <w:r>
        <w:rPr>
          <w:rFonts w:hint="eastAsia" w:ascii="宋体" w:hAnsi="宋体" w:cs="宋体"/>
          <w:b/>
          <w:color w:val="auto"/>
          <w:sz w:val="28"/>
          <w:szCs w:val="28"/>
        </w:rPr>
        <w:br w:type="page"/>
      </w:r>
      <w:r>
        <w:rPr>
          <w:rFonts w:hint="eastAsia" w:ascii="宋体" w:hAnsi="宋体" w:cs="宋体"/>
          <w:b/>
          <w:color w:val="auto"/>
          <w:sz w:val="28"/>
          <w:szCs w:val="28"/>
        </w:rPr>
        <w:t>5、法定代表人授权委托书</w:t>
      </w:r>
    </w:p>
    <w:p>
      <w:pPr>
        <w:tabs>
          <w:tab w:val="left" w:pos="360"/>
          <w:tab w:val="left" w:pos="1800"/>
        </w:tabs>
        <w:spacing w:line="480" w:lineRule="exact"/>
        <w:ind w:left="239" w:leftChars="114" w:firstLine="240" w:firstLineChars="100"/>
        <w:rPr>
          <w:rFonts w:ascii="宋体" w:hAnsi="宋体" w:cs="宋体"/>
          <w:color w:val="auto"/>
          <w:sz w:val="24"/>
        </w:rPr>
      </w:pPr>
    </w:p>
    <w:p>
      <w:pPr>
        <w:tabs>
          <w:tab w:val="left" w:pos="360"/>
          <w:tab w:val="left" w:pos="1800"/>
        </w:tabs>
        <w:spacing w:line="480" w:lineRule="exact"/>
        <w:ind w:firstLine="480" w:firstLineChars="200"/>
        <w:rPr>
          <w:rFonts w:ascii="宋体" w:hAnsi="宋体" w:cs="宋体"/>
          <w:color w:val="auto"/>
          <w:sz w:val="24"/>
          <w:u w:val="single"/>
        </w:rPr>
      </w:pPr>
      <w:r>
        <w:rPr>
          <w:rFonts w:hint="eastAsia" w:ascii="宋体" w:hAnsi="宋体" w:cs="宋体"/>
          <w:color w:val="auto"/>
          <w:sz w:val="24"/>
        </w:rPr>
        <w:t>本授权委托书声明：我（姓名）系（供应商名称）的法定代表人，现授权委托（供应商名称）的（姓名），其身份证号，为我供应商代理人，以本供应商的名义参加 （采购人）（ 项目名称）的公开活动。</w:t>
      </w:r>
    </w:p>
    <w:p>
      <w:pPr>
        <w:tabs>
          <w:tab w:val="left" w:pos="360"/>
          <w:tab w:val="left" w:pos="1800"/>
        </w:tabs>
        <w:spacing w:line="480" w:lineRule="exact"/>
        <w:ind w:firstLine="480" w:firstLineChars="200"/>
        <w:rPr>
          <w:rFonts w:ascii="宋体" w:hAnsi="宋体" w:cs="宋体"/>
          <w:color w:val="auto"/>
          <w:sz w:val="24"/>
        </w:rPr>
      </w:pPr>
      <w:r>
        <w:rPr>
          <w:rFonts w:hint="eastAsia" w:ascii="宋体" w:hAnsi="宋体" w:cs="宋体"/>
          <w:color w:val="auto"/>
          <w:sz w:val="24"/>
        </w:rPr>
        <w:t>代理人在递交响应文件、评标、合同磋商过程中所签署的一切文件和处理与之有关的一切事务，我均予以承认。</w:t>
      </w:r>
    </w:p>
    <w:p>
      <w:pPr>
        <w:tabs>
          <w:tab w:val="left" w:pos="360"/>
          <w:tab w:val="left" w:pos="1800"/>
        </w:tabs>
        <w:spacing w:line="480" w:lineRule="exact"/>
        <w:ind w:firstLine="480" w:firstLineChars="200"/>
        <w:rPr>
          <w:rFonts w:ascii="宋体" w:hAnsi="宋体" w:cs="宋体"/>
          <w:color w:val="auto"/>
          <w:sz w:val="24"/>
          <w:u w:val="single"/>
        </w:rPr>
      </w:pPr>
      <w:r>
        <w:rPr>
          <w:rFonts w:hint="eastAsia" w:ascii="宋体" w:hAnsi="宋体" w:cs="宋体"/>
          <w:color w:val="auto"/>
          <w:sz w:val="24"/>
        </w:rPr>
        <w:t>本授权委托书期限自年月日起至年月日止。</w:t>
      </w:r>
    </w:p>
    <w:p>
      <w:pPr>
        <w:tabs>
          <w:tab w:val="left" w:pos="360"/>
          <w:tab w:val="left" w:pos="1800"/>
        </w:tabs>
        <w:spacing w:line="480" w:lineRule="exact"/>
        <w:ind w:firstLine="480" w:firstLineChars="200"/>
        <w:rPr>
          <w:rFonts w:ascii="宋体" w:hAnsi="宋体" w:cs="宋体"/>
          <w:color w:val="auto"/>
          <w:sz w:val="24"/>
        </w:rPr>
      </w:pPr>
      <w:r>
        <w:rPr>
          <w:rFonts w:hint="eastAsia" w:ascii="宋体" w:hAnsi="宋体" w:cs="宋体"/>
          <w:color w:val="auto"/>
          <w:sz w:val="24"/>
        </w:rPr>
        <w:t>委托代理人无转委权。特此委托。</w:t>
      </w:r>
    </w:p>
    <w:p>
      <w:pPr>
        <w:tabs>
          <w:tab w:val="left" w:pos="360"/>
          <w:tab w:val="left" w:pos="1800"/>
        </w:tabs>
        <w:spacing w:line="480" w:lineRule="exact"/>
        <w:ind w:firstLine="480" w:firstLineChars="200"/>
        <w:rPr>
          <w:rFonts w:ascii="宋体" w:hAnsi="宋体" w:cs="宋体"/>
          <w:color w:val="auto"/>
          <w:sz w:val="24"/>
        </w:rPr>
      </w:pPr>
      <w:r>
        <w:rPr>
          <w:rFonts w:hint="eastAsia" w:ascii="宋体" w:hAnsi="宋体" w:cs="宋体"/>
          <w:color w:val="auto"/>
          <w:sz w:val="24"/>
        </w:rPr>
        <w:t>委托代理人：            性别：           年龄：</w:t>
      </w:r>
    </w:p>
    <w:p>
      <w:pPr>
        <w:tabs>
          <w:tab w:val="left" w:pos="360"/>
          <w:tab w:val="left" w:pos="1800"/>
        </w:tabs>
        <w:spacing w:line="480" w:lineRule="exact"/>
        <w:ind w:firstLine="480" w:firstLineChars="200"/>
        <w:rPr>
          <w:rFonts w:ascii="宋体" w:hAnsi="宋体" w:cs="宋体"/>
          <w:color w:val="auto"/>
          <w:sz w:val="24"/>
        </w:rPr>
      </w:pPr>
      <w:r>
        <w:rPr>
          <w:rFonts w:hint="eastAsia" w:ascii="宋体" w:hAnsi="宋体" w:cs="宋体"/>
          <w:color w:val="auto"/>
          <w:sz w:val="24"/>
        </w:rPr>
        <w:t>单位：              部门：           职务：</w:t>
      </w:r>
    </w:p>
    <w:p>
      <w:pPr>
        <w:tabs>
          <w:tab w:val="left" w:pos="360"/>
          <w:tab w:val="left" w:pos="1800"/>
        </w:tabs>
        <w:spacing w:line="480" w:lineRule="exact"/>
        <w:ind w:firstLine="420"/>
        <w:jc w:val="left"/>
        <w:rPr>
          <w:rFonts w:ascii="宋体" w:hAnsi="宋体" w:cs="宋体"/>
          <w:color w:val="auto"/>
          <w:sz w:val="24"/>
        </w:rPr>
      </w:pPr>
      <w:r>
        <w:rPr>
          <w:rFonts w:hint="eastAsia" w:ascii="宋体" w:hAnsi="宋体" w:cs="宋体"/>
          <w:color w:val="auto"/>
          <w:sz w:val="24"/>
        </w:rPr>
        <w:t>供应商：（盖章）</w:t>
      </w:r>
    </w:p>
    <w:p>
      <w:pPr>
        <w:tabs>
          <w:tab w:val="left" w:pos="360"/>
          <w:tab w:val="left" w:pos="1800"/>
        </w:tabs>
        <w:spacing w:line="480" w:lineRule="exact"/>
        <w:ind w:firstLine="420"/>
        <w:jc w:val="left"/>
        <w:rPr>
          <w:rFonts w:ascii="宋体" w:hAnsi="宋体" w:cs="宋体"/>
          <w:color w:val="auto"/>
          <w:sz w:val="24"/>
        </w:rPr>
      </w:pPr>
      <w:r>
        <w:rPr>
          <w:rFonts w:hint="eastAsia" w:ascii="宋体" w:hAnsi="宋体" w:cs="宋体"/>
          <w:color w:val="auto"/>
          <w:sz w:val="24"/>
        </w:rPr>
        <w:t>法定代表人：（签字或盖章）</w:t>
      </w:r>
    </w:p>
    <w:p>
      <w:pPr>
        <w:tabs>
          <w:tab w:val="left" w:pos="360"/>
          <w:tab w:val="left" w:pos="1800"/>
        </w:tabs>
        <w:spacing w:line="480" w:lineRule="exact"/>
        <w:ind w:firstLine="420"/>
        <w:jc w:val="left"/>
        <w:rPr>
          <w:rFonts w:ascii="宋体" w:hAnsi="宋体" w:cs="宋体"/>
          <w:color w:val="auto"/>
          <w:sz w:val="24"/>
        </w:rPr>
      </w:pPr>
      <w:r>
        <w:rPr>
          <w:rFonts w:hint="eastAsia" w:ascii="宋体" w:hAnsi="宋体" w:cs="宋体"/>
          <w:color w:val="auto"/>
          <w:sz w:val="24"/>
        </w:rPr>
        <w:t>授权委托人：（签字或盖章）</w:t>
      </w:r>
    </w:p>
    <w:p>
      <w:pPr>
        <w:tabs>
          <w:tab w:val="left" w:pos="360"/>
          <w:tab w:val="left" w:pos="1800"/>
        </w:tabs>
        <w:spacing w:line="480" w:lineRule="exact"/>
        <w:ind w:firstLine="420"/>
        <w:jc w:val="left"/>
        <w:rPr>
          <w:rFonts w:ascii="宋体" w:hAnsi="宋体" w:cs="宋体"/>
          <w:color w:val="auto"/>
          <w:sz w:val="24"/>
        </w:rPr>
      </w:pPr>
      <w:r>
        <w:rPr>
          <w:rFonts w:hint="eastAsia" w:ascii="宋体" w:hAnsi="宋体" w:cs="宋体"/>
          <w:color w:val="auto"/>
          <w:sz w:val="24"/>
        </w:rPr>
        <w:t>日期：      年     月     日</w:t>
      </w:r>
    </w:p>
    <w:p>
      <w:pPr>
        <w:tabs>
          <w:tab w:val="left" w:pos="360"/>
          <w:tab w:val="left" w:pos="1800"/>
        </w:tabs>
        <w:spacing w:line="480" w:lineRule="exact"/>
        <w:ind w:firstLine="3600"/>
        <w:rPr>
          <w:rFonts w:ascii="宋体" w:hAnsi="宋体" w:cs="宋体"/>
          <w:color w:val="auto"/>
          <w:sz w:val="24"/>
        </w:rPr>
      </w:pPr>
    </w:p>
    <w:tbl>
      <w:tblPr>
        <w:tblStyle w:val="16"/>
        <w:tblW w:w="6952"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96" w:hRule="atLeast"/>
          <w:jc w:val="center"/>
        </w:trPr>
        <w:tc>
          <w:tcPr>
            <w:tcW w:w="6952" w:type="dxa"/>
          </w:tcPr>
          <w:p>
            <w:pPr>
              <w:tabs>
                <w:tab w:val="left" w:pos="360"/>
                <w:tab w:val="left" w:pos="1800"/>
              </w:tabs>
              <w:spacing w:line="480" w:lineRule="auto"/>
              <w:jc w:val="center"/>
              <w:rPr>
                <w:rFonts w:ascii="宋体" w:hAnsi="宋体" w:cs="宋体"/>
                <w:color w:val="auto"/>
                <w:sz w:val="24"/>
              </w:rPr>
            </w:pPr>
          </w:p>
          <w:p>
            <w:pPr>
              <w:tabs>
                <w:tab w:val="left" w:pos="360"/>
                <w:tab w:val="left" w:pos="1800"/>
              </w:tabs>
              <w:spacing w:line="480" w:lineRule="auto"/>
              <w:jc w:val="center"/>
              <w:rPr>
                <w:rFonts w:ascii="宋体" w:hAnsi="宋体" w:cs="宋体"/>
                <w:color w:val="auto"/>
                <w:sz w:val="24"/>
              </w:rPr>
            </w:pPr>
          </w:p>
          <w:p>
            <w:pPr>
              <w:tabs>
                <w:tab w:val="left" w:pos="360"/>
                <w:tab w:val="left" w:pos="1800"/>
              </w:tabs>
              <w:spacing w:line="480" w:lineRule="auto"/>
              <w:jc w:val="center"/>
              <w:rPr>
                <w:rFonts w:ascii="宋体" w:hAnsi="宋体" w:cs="宋体"/>
                <w:color w:val="auto"/>
                <w:sz w:val="24"/>
              </w:rPr>
            </w:pPr>
            <w:r>
              <w:rPr>
                <w:rFonts w:hint="eastAsia" w:ascii="宋体" w:hAnsi="宋体" w:cs="宋体"/>
                <w:color w:val="auto"/>
                <w:sz w:val="24"/>
              </w:rPr>
              <w:t>委托代理人身份证复印件或扫描件（正、反两面）</w:t>
            </w:r>
          </w:p>
        </w:tc>
      </w:tr>
    </w:tbl>
    <w:p>
      <w:pPr>
        <w:spacing w:line="360" w:lineRule="auto"/>
        <w:ind w:firstLine="573"/>
        <w:jc w:val="center"/>
        <w:rPr>
          <w:rFonts w:ascii="宋体" w:hAnsi="宋体" w:cs="宋体"/>
          <w:b/>
          <w:color w:val="auto"/>
          <w:sz w:val="28"/>
          <w:szCs w:val="28"/>
        </w:rPr>
      </w:pPr>
      <w:r>
        <w:rPr>
          <w:rFonts w:hint="eastAsia" w:ascii="宋体" w:hAnsi="宋体" w:cs="宋体"/>
          <w:b/>
          <w:bCs/>
          <w:color w:val="auto"/>
          <w:sz w:val="24"/>
        </w:rPr>
        <w:t>注：法定代表人身份证复印件或扫描件应反映出证件有效期等所载内容。</w:t>
      </w:r>
    </w:p>
    <w:p>
      <w:pPr>
        <w:tabs>
          <w:tab w:val="left" w:pos="360"/>
          <w:tab w:val="left" w:pos="1800"/>
        </w:tabs>
        <w:spacing w:line="480" w:lineRule="exact"/>
        <w:rPr>
          <w:rFonts w:ascii="宋体" w:hAnsi="宋体" w:cs="宋体"/>
          <w:b/>
          <w:color w:val="auto"/>
          <w:sz w:val="28"/>
          <w:szCs w:val="28"/>
        </w:rPr>
      </w:pPr>
    </w:p>
    <w:p>
      <w:pPr>
        <w:tabs>
          <w:tab w:val="left" w:pos="360"/>
          <w:tab w:val="left" w:pos="1800"/>
        </w:tabs>
        <w:spacing w:line="480" w:lineRule="exact"/>
        <w:jc w:val="center"/>
        <w:rPr>
          <w:rFonts w:ascii="宋体" w:hAnsi="宋体" w:cs="宋体"/>
          <w:b/>
          <w:color w:val="auto"/>
          <w:sz w:val="28"/>
          <w:szCs w:val="28"/>
        </w:rPr>
      </w:pPr>
      <w:r>
        <w:rPr>
          <w:rFonts w:hint="eastAsia" w:ascii="宋体" w:hAnsi="宋体" w:cs="宋体"/>
          <w:b/>
          <w:color w:val="auto"/>
          <w:sz w:val="28"/>
          <w:szCs w:val="28"/>
        </w:rPr>
        <w:t xml:space="preserve">6、供应商资格声明 </w:t>
      </w:r>
    </w:p>
    <w:tbl>
      <w:tblPr>
        <w:tblStyle w:val="16"/>
        <w:tblW w:w="9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216"/>
        <w:gridCol w:w="1121"/>
        <w:gridCol w:w="1500"/>
        <w:gridCol w:w="1499"/>
        <w:gridCol w:w="1534"/>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9" w:hRule="atLeast"/>
        </w:trPr>
        <w:tc>
          <w:tcPr>
            <w:tcW w:w="1672" w:type="dxa"/>
            <w:vAlign w:val="center"/>
          </w:tcPr>
          <w:p>
            <w:pPr>
              <w:spacing w:line="460" w:lineRule="exact"/>
              <w:rPr>
                <w:rFonts w:ascii="宋体" w:hAnsi="宋体" w:cs="宋体"/>
                <w:bCs/>
                <w:color w:val="auto"/>
                <w:sz w:val="24"/>
              </w:rPr>
            </w:pPr>
            <w:r>
              <w:rPr>
                <w:rFonts w:hint="eastAsia" w:ascii="宋体" w:hAnsi="宋体" w:cs="宋体"/>
                <w:bCs/>
                <w:color w:val="auto"/>
                <w:sz w:val="24"/>
              </w:rPr>
              <w:t>供应商名称</w:t>
            </w:r>
          </w:p>
        </w:tc>
        <w:tc>
          <w:tcPr>
            <w:tcW w:w="7428" w:type="dxa"/>
            <w:gridSpan w:val="6"/>
            <w:vAlign w:val="center"/>
          </w:tcPr>
          <w:p>
            <w:pPr>
              <w:spacing w:line="460" w:lineRule="exact"/>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9" w:hRule="atLeast"/>
        </w:trPr>
        <w:tc>
          <w:tcPr>
            <w:tcW w:w="1672" w:type="dxa"/>
            <w:vAlign w:val="center"/>
          </w:tcPr>
          <w:p>
            <w:pPr>
              <w:spacing w:line="460" w:lineRule="exact"/>
              <w:jc w:val="left"/>
              <w:rPr>
                <w:rFonts w:ascii="宋体" w:hAnsi="宋体" w:cs="宋体"/>
                <w:bCs/>
                <w:color w:val="auto"/>
                <w:sz w:val="24"/>
              </w:rPr>
            </w:pPr>
            <w:r>
              <w:rPr>
                <w:rFonts w:hint="eastAsia" w:ascii="宋体" w:hAnsi="宋体" w:cs="宋体"/>
                <w:bCs/>
                <w:color w:val="auto"/>
                <w:sz w:val="24"/>
              </w:rPr>
              <w:t>地 址</w:t>
            </w:r>
          </w:p>
        </w:tc>
        <w:tc>
          <w:tcPr>
            <w:tcW w:w="7428" w:type="dxa"/>
            <w:gridSpan w:val="6"/>
            <w:vAlign w:val="center"/>
          </w:tcPr>
          <w:p>
            <w:pPr>
              <w:spacing w:line="460" w:lineRule="exact"/>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1672" w:type="dxa"/>
            <w:vAlign w:val="center"/>
          </w:tcPr>
          <w:p>
            <w:pPr>
              <w:spacing w:line="460" w:lineRule="exact"/>
              <w:rPr>
                <w:rFonts w:ascii="宋体" w:hAnsi="宋体" w:cs="宋体"/>
                <w:bCs/>
                <w:color w:val="auto"/>
                <w:sz w:val="24"/>
              </w:rPr>
            </w:pPr>
            <w:r>
              <w:rPr>
                <w:rFonts w:hint="eastAsia" w:ascii="宋体" w:hAnsi="宋体" w:cs="宋体"/>
                <w:bCs/>
                <w:color w:val="auto"/>
                <w:sz w:val="24"/>
              </w:rPr>
              <w:t>主管部门</w:t>
            </w:r>
          </w:p>
        </w:tc>
        <w:tc>
          <w:tcPr>
            <w:tcW w:w="1337" w:type="dxa"/>
            <w:gridSpan w:val="2"/>
            <w:vAlign w:val="center"/>
          </w:tcPr>
          <w:p>
            <w:pPr>
              <w:spacing w:line="460" w:lineRule="exact"/>
              <w:rPr>
                <w:rFonts w:ascii="宋体" w:hAnsi="宋体" w:cs="宋体"/>
                <w:bCs/>
                <w:color w:val="auto"/>
                <w:sz w:val="24"/>
              </w:rPr>
            </w:pPr>
          </w:p>
        </w:tc>
        <w:tc>
          <w:tcPr>
            <w:tcW w:w="1500" w:type="dxa"/>
            <w:vAlign w:val="center"/>
          </w:tcPr>
          <w:p>
            <w:pPr>
              <w:spacing w:line="460" w:lineRule="exact"/>
              <w:rPr>
                <w:rFonts w:ascii="宋体" w:hAnsi="宋体" w:cs="宋体"/>
                <w:bCs/>
                <w:color w:val="auto"/>
                <w:sz w:val="24"/>
              </w:rPr>
            </w:pPr>
            <w:r>
              <w:rPr>
                <w:rFonts w:hint="eastAsia" w:ascii="宋体" w:hAnsi="宋体" w:cs="宋体"/>
                <w:bCs/>
                <w:color w:val="auto"/>
                <w:sz w:val="24"/>
              </w:rPr>
              <w:t>法定代表人</w:t>
            </w:r>
          </w:p>
        </w:tc>
        <w:tc>
          <w:tcPr>
            <w:tcW w:w="1499" w:type="dxa"/>
            <w:vAlign w:val="center"/>
          </w:tcPr>
          <w:p>
            <w:pPr>
              <w:spacing w:line="460" w:lineRule="exact"/>
              <w:rPr>
                <w:rFonts w:ascii="宋体" w:hAnsi="宋体" w:cs="宋体"/>
                <w:bCs/>
                <w:color w:val="auto"/>
                <w:sz w:val="24"/>
              </w:rPr>
            </w:pPr>
          </w:p>
        </w:tc>
        <w:tc>
          <w:tcPr>
            <w:tcW w:w="1534" w:type="dxa"/>
            <w:vAlign w:val="center"/>
          </w:tcPr>
          <w:p>
            <w:pPr>
              <w:spacing w:line="460" w:lineRule="exact"/>
              <w:ind w:firstLine="240" w:firstLineChars="100"/>
              <w:rPr>
                <w:rFonts w:ascii="宋体" w:hAnsi="宋体" w:cs="宋体"/>
                <w:bCs/>
                <w:color w:val="auto"/>
                <w:sz w:val="24"/>
              </w:rPr>
            </w:pPr>
            <w:r>
              <w:rPr>
                <w:rFonts w:hint="eastAsia" w:ascii="宋体" w:hAnsi="宋体" w:cs="宋体"/>
                <w:bCs/>
                <w:color w:val="auto"/>
                <w:sz w:val="24"/>
              </w:rPr>
              <w:t>职 务</w:t>
            </w:r>
          </w:p>
        </w:tc>
        <w:tc>
          <w:tcPr>
            <w:tcW w:w="1558" w:type="dxa"/>
          </w:tcPr>
          <w:p>
            <w:pPr>
              <w:spacing w:line="460" w:lineRule="exact"/>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9" w:hRule="atLeast"/>
        </w:trPr>
        <w:tc>
          <w:tcPr>
            <w:tcW w:w="1672" w:type="dxa"/>
            <w:vAlign w:val="center"/>
          </w:tcPr>
          <w:p>
            <w:pPr>
              <w:spacing w:line="460" w:lineRule="exact"/>
              <w:rPr>
                <w:rFonts w:ascii="宋体" w:hAnsi="宋体" w:cs="宋体"/>
                <w:bCs/>
                <w:color w:val="auto"/>
                <w:sz w:val="24"/>
              </w:rPr>
            </w:pPr>
            <w:r>
              <w:rPr>
                <w:rFonts w:hint="eastAsia" w:ascii="宋体" w:hAnsi="宋体" w:cs="宋体"/>
                <w:bCs/>
                <w:color w:val="auto"/>
                <w:sz w:val="24"/>
              </w:rPr>
              <w:t>注册时间</w:t>
            </w:r>
          </w:p>
        </w:tc>
        <w:tc>
          <w:tcPr>
            <w:tcW w:w="2837" w:type="dxa"/>
            <w:gridSpan w:val="3"/>
          </w:tcPr>
          <w:p>
            <w:pPr>
              <w:spacing w:line="460" w:lineRule="exact"/>
              <w:rPr>
                <w:rFonts w:ascii="宋体" w:hAnsi="宋体" w:cs="宋体"/>
                <w:bCs/>
                <w:color w:val="auto"/>
                <w:sz w:val="24"/>
              </w:rPr>
            </w:pPr>
          </w:p>
        </w:tc>
        <w:tc>
          <w:tcPr>
            <w:tcW w:w="1499" w:type="dxa"/>
          </w:tcPr>
          <w:p>
            <w:pPr>
              <w:spacing w:line="460" w:lineRule="exact"/>
              <w:rPr>
                <w:rFonts w:ascii="宋体" w:hAnsi="宋体" w:cs="宋体"/>
                <w:bCs/>
                <w:color w:val="auto"/>
                <w:sz w:val="24"/>
              </w:rPr>
            </w:pPr>
            <w:r>
              <w:rPr>
                <w:rFonts w:hint="eastAsia" w:ascii="宋体" w:hAnsi="宋体" w:cs="宋体"/>
                <w:bCs/>
                <w:color w:val="auto"/>
                <w:sz w:val="24"/>
              </w:rPr>
              <w:t>经济类型</w:t>
            </w:r>
          </w:p>
        </w:tc>
        <w:tc>
          <w:tcPr>
            <w:tcW w:w="3092" w:type="dxa"/>
            <w:gridSpan w:val="2"/>
          </w:tcPr>
          <w:p>
            <w:pPr>
              <w:spacing w:line="460" w:lineRule="exact"/>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9" w:hRule="atLeast"/>
        </w:trPr>
        <w:tc>
          <w:tcPr>
            <w:tcW w:w="4509" w:type="dxa"/>
            <w:gridSpan w:val="4"/>
            <w:vAlign w:val="center"/>
          </w:tcPr>
          <w:p>
            <w:pPr>
              <w:spacing w:line="460" w:lineRule="exact"/>
              <w:rPr>
                <w:rFonts w:ascii="宋体" w:hAnsi="宋体" w:cs="宋体"/>
                <w:bCs/>
                <w:color w:val="auto"/>
                <w:sz w:val="24"/>
              </w:rPr>
            </w:pPr>
            <w:r>
              <w:rPr>
                <w:rFonts w:hint="eastAsia" w:ascii="宋体" w:hAnsi="宋体" w:cs="宋体"/>
                <w:bCs/>
                <w:color w:val="auto"/>
                <w:sz w:val="24"/>
              </w:rPr>
              <w:t>营业执照号</w:t>
            </w:r>
          </w:p>
        </w:tc>
        <w:tc>
          <w:tcPr>
            <w:tcW w:w="4591" w:type="dxa"/>
            <w:gridSpan w:val="3"/>
            <w:vAlign w:val="center"/>
          </w:tcPr>
          <w:p>
            <w:pPr>
              <w:spacing w:line="460" w:lineRule="exact"/>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9" w:hRule="atLeast"/>
        </w:trPr>
        <w:tc>
          <w:tcPr>
            <w:tcW w:w="4509" w:type="dxa"/>
            <w:gridSpan w:val="4"/>
            <w:vAlign w:val="center"/>
          </w:tcPr>
          <w:p>
            <w:pPr>
              <w:spacing w:line="460" w:lineRule="exact"/>
              <w:rPr>
                <w:rFonts w:ascii="宋体" w:hAnsi="宋体" w:cs="宋体"/>
                <w:bCs/>
                <w:color w:val="auto"/>
                <w:sz w:val="24"/>
              </w:rPr>
            </w:pPr>
            <w:r>
              <w:rPr>
                <w:rFonts w:hint="eastAsia" w:ascii="宋体" w:hAnsi="宋体" w:cs="宋体"/>
                <w:bCs/>
                <w:color w:val="auto"/>
                <w:sz w:val="24"/>
              </w:rPr>
              <w:t>近三年内（2016年至2018年）经营活动中有无重大违法纪录</w:t>
            </w:r>
          </w:p>
        </w:tc>
        <w:tc>
          <w:tcPr>
            <w:tcW w:w="4591" w:type="dxa"/>
            <w:gridSpan w:val="3"/>
            <w:vAlign w:val="center"/>
          </w:tcPr>
          <w:p>
            <w:pPr>
              <w:spacing w:line="460" w:lineRule="exact"/>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08" w:hRule="atLeast"/>
        </w:trPr>
        <w:tc>
          <w:tcPr>
            <w:tcW w:w="1888" w:type="dxa"/>
            <w:gridSpan w:val="2"/>
            <w:vAlign w:val="center"/>
          </w:tcPr>
          <w:p>
            <w:pPr>
              <w:spacing w:line="460" w:lineRule="exact"/>
              <w:rPr>
                <w:rFonts w:ascii="宋体" w:hAnsi="宋体" w:cs="宋体"/>
                <w:bCs/>
                <w:color w:val="auto"/>
                <w:sz w:val="24"/>
              </w:rPr>
            </w:pPr>
            <w:r>
              <w:rPr>
                <w:rFonts w:hint="eastAsia" w:ascii="宋体" w:hAnsi="宋体" w:cs="宋体"/>
                <w:bCs/>
                <w:color w:val="auto"/>
                <w:sz w:val="24"/>
              </w:rPr>
              <w:t>是否依法缴纳税收</w:t>
            </w:r>
          </w:p>
        </w:tc>
        <w:tc>
          <w:tcPr>
            <w:tcW w:w="2621" w:type="dxa"/>
            <w:gridSpan w:val="2"/>
          </w:tcPr>
          <w:p>
            <w:pPr>
              <w:spacing w:line="460" w:lineRule="exact"/>
              <w:rPr>
                <w:rFonts w:ascii="宋体" w:hAnsi="宋体" w:cs="宋体"/>
                <w:bCs/>
                <w:color w:val="auto"/>
                <w:sz w:val="24"/>
              </w:rPr>
            </w:pPr>
          </w:p>
        </w:tc>
        <w:tc>
          <w:tcPr>
            <w:tcW w:w="1499" w:type="dxa"/>
          </w:tcPr>
          <w:p>
            <w:pPr>
              <w:spacing w:line="460" w:lineRule="exact"/>
              <w:rPr>
                <w:rFonts w:ascii="宋体" w:hAnsi="宋体" w:cs="宋体"/>
                <w:bCs/>
                <w:color w:val="auto"/>
                <w:sz w:val="24"/>
              </w:rPr>
            </w:pPr>
            <w:r>
              <w:rPr>
                <w:rFonts w:hint="eastAsia" w:ascii="宋体" w:hAnsi="宋体" w:cs="宋体"/>
                <w:bCs/>
                <w:color w:val="auto"/>
                <w:sz w:val="24"/>
              </w:rPr>
              <w:t>是否依法缴纳社会保障资金</w:t>
            </w:r>
          </w:p>
        </w:tc>
        <w:tc>
          <w:tcPr>
            <w:tcW w:w="3092" w:type="dxa"/>
            <w:gridSpan w:val="2"/>
          </w:tcPr>
          <w:p>
            <w:pPr>
              <w:spacing w:line="460" w:lineRule="exact"/>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9" w:hRule="atLeast"/>
        </w:trPr>
        <w:tc>
          <w:tcPr>
            <w:tcW w:w="1888" w:type="dxa"/>
            <w:gridSpan w:val="2"/>
            <w:vMerge w:val="restart"/>
            <w:vAlign w:val="center"/>
          </w:tcPr>
          <w:p>
            <w:pPr>
              <w:spacing w:line="460" w:lineRule="exact"/>
              <w:jc w:val="center"/>
              <w:rPr>
                <w:rFonts w:ascii="宋体" w:hAnsi="宋体" w:cs="宋体"/>
                <w:bCs/>
                <w:color w:val="auto"/>
                <w:sz w:val="24"/>
              </w:rPr>
            </w:pPr>
            <w:r>
              <w:rPr>
                <w:rFonts w:hint="eastAsia" w:ascii="宋体" w:hAnsi="宋体" w:cs="宋体"/>
                <w:bCs/>
                <w:color w:val="auto"/>
                <w:sz w:val="24"/>
              </w:rPr>
              <w:t>单</w:t>
            </w:r>
          </w:p>
          <w:p>
            <w:pPr>
              <w:spacing w:line="460" w:lineRule="exact"/>
              <w:jc w:val="center"/>
              <w:rPr>
                <w:rFonts w:ascii="宋体" w:hAnsi="宋体" w:cs="宋体"/>
                <w:bCs/>
                <w:color w:val="auto"/>
                <w:sz w:val="24"/>
              </w:rPr>
            </w:pPr>
            <w:r>
              <w:rPr>
                <w:rFonts w:hint="eastAsia" w:ascii="宋体" w:hAnsi="宋体" w:cs="宋体"/>
                <w:bCs/>
                <w:color w:val="auto"/>
                <w:sz w:val="24"/>
              </w:rPr>
              <w:t>位</w:t>
            </w:r>
          </w:p>
          <w:p>
            <w:pPr>
              <w:spacing w:line="460" w:lineRule="exact"/>
              <w:jc w:val="center"/>
              <w:rPr>
                <w:rFonts w:ascii="宋体" w:hAnsi="宋体" w:cs="宋体"/>
                <w:bCs/>
                <w:color w:val="auto"/>
                <w:sz w:val="24"/>
              </w:rPr>
            </w:pPr>
            <w:r>
              <w:rPr>
                <w:rFonts w:hint="eastAsia" w:ascii="宋体" w:hAnsi="宋体" w:cs="宋体"/>
                <w:bCs/>
                <w:color w:val="auto"/>
                <w:sz w:val="24"/>
              </w:rPr>
              <w:t>概</w:t>
            </w:r>
          </w:p>
          <w:p>
            <w:pPr>
              <w:spacing w:line="460" w:lineRule="exact"/>
              <w:jc w:val="center"/>
              <w:rPr>
                <w:rFonts w:ascii="宋体" w:hAnsi="宋体" w:cs="宋体"/>
                <w:bCs/>
                <w:color w:val="auto"/>
                <w:sz w:val="24"/>
              </w:rPr>
            </w:pPr>
            <w:r>
              <w:rPr>
                <w:rFonts w:hint="eastAsia" w:ascii="宋体" w:hAnsi="宋体" w:cs="宋体"/>
                <w:bCs/>
                <w:color w:val="auto"/>
                <w:sz w:val="24"/>
              </w:rPr>
              <w:t>况</w:t>
            </w:r>
          </w:p>
        </w:tc>
        <w:tc>
          <w:tcPr>
            <w:tcW w:w="1121" w:type="dxa"/>
            <w:vAlign w:val="center"/>
          </w:tcPr>
          <w:p>
            <w:pPr>
              <w:spacing w:line="460" w:lineRule="exact"/>
              <w:rPr>
                <w:rFonts w:ascii="宋体" w:hAnsi="宋体" w:cs="宋体"/>
                <w:bCs/>
                <w:color w:val="auto"/>
                <w:sz w:val="24"/>
              </w:rPr>
            </w:pPr>
            <w:r>
              <w:rPr>
                <w:rFonts w:hint="eastAsia" w:ascii="宋体" w:hAnsi="宋体" w:cs="宋体"/>
                <w:bCs/>
                <w:color w:val="auto"/>
                <w:sz w:val="24"/>
              </w:rPr>
              <w:t>注册资本</w:t>
            </w:r>
          </w:p>
        </w:tc>
        <w:tc>
          <w:tcPr>
            <w:tcW w:w="1500" w:type="dxa"/>
          </w:tcPr>
          <w:p>
            <w:pPr>
              <w:spacing w:line="460" w:lineRule="exact"/>
              <w:rPr>
                <w:rFonts w:ascii="宋体" w:hAnsi="宋体" w:cs="宋体"/>
                <w:bCs/>
                <w:color w:val="auto"/>
                <w:sz w:val="24"/>
              </w:rPr>
            </w:pPr>
            <w:r>
              <w:rPr>
                <w:rFonts w:hint="eastAsia" w:ascii="宋体" w:hAnsi="宋体" w:cs="宋体"/>
                <w:bCs/>
                <w:color w:val="auto"/>
                <w:sz w:val="24"/>
              </w:rPr>
              <w:t xml:space="preserve">     万元</w:t>
            </w:r>
          </w:p>
        </w:tc>
        <w:tc>
          <w:tcPr>
            <w:tcW w:w="1499" w:type="dxa"/>
          </w:tcPr>
          <w:p>
            <w:pPr>
              <w:spacing w:line="460" w:lineRule="exact"/>
              <w:rPr>
                <w:rFonts w:ascii="宋体" w:hAnsi="宋体" w:cs="宋体"/>
                <w:bCs/>
                <w:color w:val="auto"/>
                <w:sz w:val="24"/>
              </w:rPr>
            </w:pPr>
            <w:r>
              <w:rPr>
                <w:rFonts w:hint="eastAsia" w:ascii="宋体" w:hAnsi="宋体" w:cs="宋体"/>
                <w:bCs/>
                <w:color w:val="auto"/>
                <w:sz w:val="24"/>
              </w:rPr>
              <w:t>占地面积</w:t>
            </w:r>
          </w:p>
        </w:tc>
        <w:tc>
          <w:tcPr>
            <w:tcW w:w="3092" w:type="dxa"/>
            <w:gridSpan w:val="2"/>
          </w:tcPr>
          <w:p>
            <w:pPr>
              <w:spacing w:line="460" w:lineRule="exact"/>
              <w:rPr>
                <w:rFonts w:ascii="宋体" w:hAnsi="宋体" w:cs="宋体"/>
                <w:bCs/>
                <w:color w:val="auto"/>
                <w:sz w:val="24"/>
              </w:rPr>
            </w:pPr>
            <w:r>
              <w:rPr>
                <w:rFonts w:hint="eastAsia" w:ascii="宋体" w:hAnsi="宋体" w:cs="宋体"/>
                <w:bCs/>
                <w:color w:val="auto"/>
                <w:sz w:val="24"/>
              </w:rPr>
              <w:t xml:space="preserve">               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9" w:hRule="atLeast"/>
        </w:trPr>
        <w:tc>
          <w:tcPr>
            <w:tcW w:w="1888" w:type="dxa"/>
            <w:gridSpan w:val="2"/>
            <w:vMerge w:val="continue"/>
          </w:tcPr>
          <w:p>
            <w:pPr>
              <w:spacing w:line="460" w:lineRule="exact"/>
              <w:rPr>
                <w:rFonts w:ascii="宋体" w:hAnsi="宋体" w:cs="宋体"/>
                <w:bCs/>
                <w:color w:val="auto"/>
                <w:sz w:val="24"/>
              </w:rPr>
            </w:pPr>
          </w:p>
        </w:tc>
        <w:tc>
          <w:tcPr>
            <w:tcW w:w="1121" w:type="dxa"/>
            <w:vAlign w:val="center"/>
          </w:tcPr>
          <w:p>
            <w:pPr>
              <w:spacing w:line="460" w:lineRule="exact"/>
              <w:rPr>
                <w:rFonts w:ascii="宋体" w:hAnsi="宋体" w:cs="宋体"/>
                <w:bCs/>
                <w:color w:val="auto"/>
                <w:sz w:val="24"/>
              </w:rPr>
            </w:pPr>
            <w:r>
              <w:rPr>
                <w:rFonts w:hint="eastAsia" w:ascii="宋体" w:hAnsi="宋体" w:cs="宋体"/>
                <w:bCs/>
                <w:color w:val="auto"/>
                <w:sz w:val="24"/>
              </w:rPr>
              <w:t>职工总数</w:t>
            </w:r>
          </w:p>
        </w:tc>
        <w:tc>
          <w:tcPr>
            <w:tcW w:w="1500" w:type="dxa"/>
          </w:tcPr>
          <w:p>
            <w:pPr>
              <w:spacing w:line="460" w:lineRule="exact"/>
              <w:rPr>
                <w:rFonts w:ascii="宋体" w:hAnsi="宋体" w:cs="宋体"/>
                <w:bCs/>
                <w:color w:val="auto"/>
                <w:sz w:val="24"/>
              </w:rPr>
            </w:pPr>
            <w:r>
              <w:rPr>
                <w:rFonts w:hint="eastAsia" w:ascii="宋体" w:hAnsi="宋体" w:cs="宋体"/>
                <w:bCs/>
                <w:color w:val="auto"/>
                <w:sz w:val="24"/>
              </w:rPr>
              <w:t xml:space="preserve">       人</w:t>
            </w:r>
          </w:p>
        </w:tc>
        <w:tc>
          <w:tcPr>
            <w:tcW w:w="1499" w:type="dxa"/>
          </w:tcPr>
          <w:p>
            <w:pPr>
              <w:spacing w:line="460" w:lineRule="exact"/>
              <w:rPr>
                <w:rFonts w:ascii="宋体" w:hAnsi="宋体" w:cs="宋体"/>
                <w:bCs/>
                <w:color w:val="auto"/>
                <w:sz w:val="24"/>
              </w:rPr>
            </w:pPr>
            <w:r>
              <w:rPr>
                <w:rFonts w:hint="eastAsia" w:ascii="宋体" w:hAnsi="宋体" w:cs="宋体"/>
                <w:bCs/>
                <w:color w:val="auto"/>
                <w:sz w:val="24"/>
              </w:rPr>
              <w:t>建筑面积</w:t>
            </w:r>
          </w:p>
        </w:tc>
        <w:tc>
          <w:tcPr>
            <w:tcW w:w="3092" w:type="dxa"/>
            <w:gridSpan w:val="2"/>
          </w:tcPr>
          <w:p>
            <w:pPr>
              <w:spacing w:line="460" w:lineRule="exact"/>
              <w:ind w:firstLine="1800" w:firstLineChars="750"/>
              <w:rPr>
                <w:rFonts w:ascii="宋体" w:hAnsi="宋体" w:cs="宋体"/>
                <w:bCs/>
                <w:color w:val="auto"/>
                <w:sz w:val="24"/>
              </w:rPr>
            </w:pPr>
            <w:r>
              <w:rPr>
                <w:rFonts w:hint="eastAsia" w:ascii="宋体" w:hAnsi="宋体" w:cs="宋体"/>
                <w:bCs/>
                <w:color w:val="auto"/>
                <w:sz w:val="24"/>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9" w:hRule="atLeast"/>
        </w:trPr>
        <w:tc>
          <w:tcPr>
            <w:tcW w:w="1888" w:type="dxa"/>
            <w:gridSpan w:val="2"/>
            <w:vMerge w:val="continue"/>
          </w:tcPr>
          <w:p>
            <w:pPr>
              <w:spacing w:line="460" w:lineRule="exact"/>
              <w:rPr>
                <w:rFonts w:ascii="宋体" w:hAnsi="宋体" w:cs="宋体"/>
                <w:bCs/>
                <w:color w:val="auto"/>
                <w:sz w:val="24"/>
              </w:rPr>
            </w:pPr>
          </w:p>
        </w:tc>
        <w:tc>
          <w:tcPr>
            <w:tcW w:w="1121" w:type="dxa"/>
            <w:vMerge w:val="restart"/>
            <w:vAlign w:val="center"/>
          </w:tcPr>
          <w:p>
            <w:pPr>
              <w:spacing w:line="460" w:lineRule="exact"/>
              <w:ind w:firstLine="240" w:firstLineChars="100"/>
              <w:rPr>
                <w:rFonts w:ascii="宋体" w:hAnsi="宋体" w:cs="宋体"/>
                <w:bCs/>
                <w:color w:val="auto"/>
                <w:sz w:val="24"/>
              </w:rPr>
            </w:pPr>
            <w:r>
              <w:rPr>
                <w:rFonts w:hint="eastAsia" w:ascii="宋体" w:hAnsi="宋体" w:cs="宋体"/>
                <w:bCs/>
                <w:color w:val="auto"/>
                <w:sz w:val="24"/>
              </w:rPr>
              <w:t>资产</w:t>
            </w:r>
          </w:p>
          <w:p>
            <w:pPr>
              <w:spacing w:line="460" w:lineRule="exact"/>
              <w:ind w:firstLine="240" w:firstLineChars="100"/>
              <w:rPr>
                <w:rFonts w:ascii="宋体" w:hAnsi="宋体" w:cs="宋体"/>
                <w:bCs/>
                <w:color w:val="auto"/>
                <w:sz w:val="24"/>
              </w:rPr>
            </w:pPr>
            <w:r>
              <w:rPr>
                <w:rFonts w:hint="eastAsia" w:ascii="宋体" w:hAnsi="宋体" w:cs="宋体"/>
                <w:bCs/>
                <w:color w:val="auto"/>
                <w:sz w:val="24"/>
              </w:rPr>
              <w:t>情况</w:t>
            </w:r>
          </w:p>
        </w:tc>
        <w:tc>
          <w:tcPr>
            <w:tcW w:w="2999" w:type="dxa"/>
            <w:gridSpan w:val="2"/>
            <w:vAlign w:val="center"/>
          </w:tcPr>
          <w:p>
            <w:pPr>
              <w:spacing w:line="460" w:lineRule="exact"/>
              <w:rPr>
                <w:rFonts w:ascii="宋体" w:hAnsi="宋体" w:cs="宋体"/>
                <w:bCs/>
                <w:color w:val="auto"/>
                <w:sz w:val="24"/>
              </w:rPr>
            </w:pPr>
            <w:r>
              <w:rPr>
                <w:rFonts w:hint="eastAsia" w:ascii="宋体" w:hAnsi="宋体" w:cs="宋体"/>
                <w:bCs/>
                <w:color w:val="auto"/>
                <w:sz w:val="24"/>
              </w:rPr>
              <w:t>净资产：        万元</w:t>
            </w:r>
          </w:p>
        </w:tc>
        <w:tc>
          <w:tcPr>
            <w:tcW w:w="3092" w:type="dxa"/>
            <w:gridSpan w:val="2"/>
            <w:vMerge w:val="restart"/>
          </w:tcPr>
          <w:p>
            <w:pPr>
              <w:spacing w:line="460" w:lineRule="exact"/>
              <w:rPr>
                <w:rFonts w:ascii="宋体" w:hAnsi="宋体" w:cs="宋体"/>
                <w:bCs/>
                <w:color w:val="auto"/>
                <w:sz w:val="24"/>
              </w:rPr>
            </w:pPr>
            <w:r>
              <w:rPr>
                <w:rFonts w:hint="eastAsia" w:ascii="宋体" w:hAnsi="宋体" w:cs="宋体"/>
                <w:bCs/>
                <w:color w:val="auto"/>
                <w:sz w:val="24"/>
              </w:rPr>
              <w:t>固定资产原值 ：      万元</w:t>
            </w:r>
          </w:p>
          <w:p>
            <w:pPr>
              <w:spacing w:line="460" w:lineRule="exact"/>
              <w:rPr>
                <w:rFonts w:ascii="宋体" w:hAnsi="宋体" w:cs="宋体"/>
                <w:bCs/>
                <w:color w:val="auto"/>
                <w:sz w:val="24"/>
              </w:rPr>
            </w:pPr>
            <w:r>
              <w:rPr>
                <w:rFonts w:hint="eastAsia" w:ascii="宋体" w:hAnsi="宋体" w:cs="宋体"/>
                <w:bCs/>
                <w:color w:val="auto"/>
                <w:sz w:val="24"/>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9" w:hRule="atLeast"/>
        </w:trPr>
        <w:tc>
          <w:tcPr>
            <w:tcW w:w="1888" w:type="dxa"/>
            <w:gridSpan w:val="2"/>
            <w:vMerge w:val="continue"/>
          </w:tcPr>
          <w:p>
            <w:pPr>
              <w:spacing w:line="460" w:lineRule="exact"/>
              <w:rPr>
                <w:rFonts w:ascii="宋体" w:hAnsi="宋体" w:cs="宋体"/>
                <w:bCs/>
                <w:color w:val="auto"/>
                <w:sz w:val="24"/>
              </w:rPr>
            </w:pPr>
          </w:p>
        </w:tc>
        <w:tc>
          <w:tcPr>
            <w:tcW w:w="1121" w:type="dxa"/>
            <w:vMerge w:val="continue"/>
          </w:tcPr>
          <w:p>
            <w:pPr>
              <w:spacing w:line="460" w:lineRule="exact"/>
              <w:rPr>
                <w:rFonts w:ascii="宋体" w:hAnsi="宋体" w:cs="宋体"/>
                <w:bCs/>
                <w:color w:val="auto"/>
                <w:sz w:val="24"/>
              </w:rPr>
            </w:pPr>
          </w:p>
        </w:tc>
        <w:tc>
          <w:tcPr>
            <w:tcW w:w="2999" w:type="dxa"/>
            <w:gridSpan w:val="2"/>
            <w:vAlign w:val="center"/>
          </w:tcPr>
          <w:p>
            <w:pPr>
              <w:spacing w:line="460" w:lineRule="exact"/>
              <w:rPr>
                <w:rFonts w:ascii="宋体" w:hAnsi="宋体" w:cs="宋体"/>
                <w:bCs/>
                <w:color w:val="auto"/>
                <w:sz w:val="24"/>
              </w:rPr>
            </w:pPr>
            <w:r>
              <w:rPr>
                <w:rFonts w:hint="eastAsia" w:ascii="宋体" w:hAnsi="宋体" w:cs="宋体"/>
                <w:bCs/>
                <w:color w:val="auto"/>
                <w:sz w:val="24"/>
              </w:rPr>
              <w:t>负 债：         万元</w:t>
            </w:r>
          </w:p>
        </w:tc>
        <w:tc>
          <w:tcPr>
            <w:tcW w:w="3092" w:type="dxa"/>
            <w:gridSpan w:val="2"/>
            <w:vMerge w:val="continue"/>
          </w:tcPr>
          <w:p>
            <w:pPr>
              <w:spacing w:line="460" w:lineRule="exact"/>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9" w:hRule="atLeast"/>
        </w:trPr>
        <w:tc>
          <w:tcPr>
            <w:tcW w:w="1888" w:type="dxa"/>
            <w:gridSpan w:val="2"/>
            <w:vMerge w:val="restart"/>
            <w:vAlign w:val="center"/>
          </w:tcPr>
          <w:p>
            <w:pPr>
              <w:spacing w:line="460" w:lineRule="exact"/>
              <w:ind w:firstLine="120" w:firstLineChars="50"/>
              <w:rPr>
                <w:rFonts w:ascii="宋体" w:hAnsi="宋体" w:cs="宋体"/>
                <w:bCs/>
                <w:color w:val="auto"/>
                <w:sz w:val="24"/>
              </w:rPr>
            </w:pPr>
            <w:r>
              <w:rPr>
                <w:rFonts w:hint="eastAsia" w:ascii="宋体" w:hAnsi="宋体" w:cs="宋体"/>
                <w:bCs/>
                <w:color w:val="auto"/>
                <w:sz w:val="24"/>
              </w:rPr>
              <w:t>财务状况</w:t>
            </w:r>
          </w:p>
          <w:p>
            <w:pPr>
              <w:spacing w:line="460" w:lineRule="exact"/>
              <w:rPr>
                <w:rFonts w:ascii="宋体" w:hAnsi="宋体" w:cs="宋体"/>
                <w:bCs/>
                <w:color w:val="auto"/>
                <w:sz w:val="24"/>
              </w:rPr>
            </w:pPr>
            <w:r>
              <w:rPr>
                <w:rFonts w:hint="eastAsia" w:ascii="宋体" w:hAnsi="宋体" w:cs="宋体"/>
                <w:bCs/>
                <w:color w:val="auto"/>
                <w:sz w:val="24"/>
              </w:rPr>
              <w:t>（最近三年2016年至2018年）</w:t>
            </w:r>
          </w:p>
        </w:tc>
        <w:tc>
          <w:tcPr>
            <w:tcW w:w="1121" w:type="dxa"/>
            <w:vAlign w:val="center"/>
          </w:tcPr>
          <w:p>
            <w:pPr>
              <w:spacing w:line="460" w:lineRule="exact"/>
              <w:jc w:val="center"/>
              <w:rPr>
                <w:rFonts w:ascii="宋体" w:hAnsi="宋体" w:cs="宋体"/>
                <w:bCs/>
                <w:color w:val="auto"/>
                <w:sz w:val="24"/>
              </w:rPr>
            </w:pPr>
            <w:r>
              <w:rPr>
                <w:rFonts w:hint="eastAsia" w:ascii="宋体" w:hAnsi="宋体" w:cs="宋体"/>
                <w:bCs/>
                <w:color w:val="auto"/>
                <w:sz w:val="24"/>
              </w:rPr>
              <w:t>年份</w:t>
            </w:r>
          </w:p>
        </w:tc>
        <w:tc>
          <w:tcPr>
            <w:tcW w:w="1500" w:type="dxa"/>
            <w:vAlign w:val="center"/>
          </w:tcPr>
          <w:p>
            <w:pPr>
              <w:spacing w:line="460" w:lineRule="exact"/>
              <w:jc w:val="center"/>
              <w:rPr>
                <w:rFonts w:ascii="宋体" w:hAnsi="宋体" w:cs="宋体"/>
                <w:bCs/>
                <w:color w:val="auto"/>
                <w:sz w:val="24"/>
              </w:rPr>
            </w:pPr>
            <w:r>
              <w:rPr>
                <w:rFonts w:hint="eastAsia" w:ascii="宋体" w:hAnsi="宋体" w:cs="宋体"/>
                <w:bCs/>
                <w:color w:val="auto"/>
                <w:sz w:val="24"/>
              </w:rPr>
              <w:t>主营收入</w:t>
            </w:r>
          </w:p>
          <w:p>
            <w:pPr>
              <w:spacing w:line="460" w:lineRule="exact"/>
              <w:jc w:val="center"/>
              <w:rPr>
                <w:rFonts w:ascii="宋体" w:hAnsi="宋体" w:cs="宋体"/>
                <w:bCs/>
                <w:color w:val="auto"/>
                <w:sz w:val="24"/>
              </w:rPr>
            </w:pPr>
            <w:r>
              <w:rPr>
                <w:rFonts w:hint="eastAsia" w:ascii="宋体" w:hAnsi="宋体" w:cs="宋体"/>
                <w:bCs/>
                <w:color w:val="auto"/>
                <w:sz w:val="24"/>
              </w:rPr>
              <w:t>（万元）</w:t>
            </w:r>
          </w:p>
        </w:tc>
        <w:tc>
          <w:tcPr>
            <w:tcW w:w="1499" w:type="dxa"/>
            <w:vAlign w:val="center"/>
          </w:tcPr>
          <w:p>
            <w:pPr>
              <w:spacing w:line="460" w:lineRule="exact"/>
              <w:jc w:val="center"/>
              <w:rPr>
                <w:rFonts w:ascii="宋体" w:hAnsi="宋体" w:cs="宋体"/>
                <w:bCs/>
                <w:color w:val="auto"/>
                <w:sz w:val="24"/>
              </w:rPr>
            </w:pPr>
            <w:r>
              <w:rPr>
                <w:rFonts w:hint="eastAsia" w:ascii="宋体" w:hAnsi="宋体" w:cs="宋体"/>
                <w:bCs/>
                <w:color w:val="auto"/>
                <w:sz w:val="24"/>
              </w:rPr>
              <w:t>收入总额</w:t>
            </w:r>
          </w:p>
          <w:p>
            <w:pPr>
              <w:spacing w:line="460" w:lineRule="exact"/>
              <w:jc w:val="center"/>
              <w:rPr>
                <w:rFonts w:ascii="宋体" w:hAnsi="宋体" w:cs="宋体"/>
                <w:bCs/>
                <w:color w:val="auto"/>
                <w:sz w:val="24"/>
              </w:rPr>
            </w:pPr>
            <w:r>
              <w:rPr>
                <w:rFonts w:hint="eastAsia" w:ascii="宋体" w:hAnsi="宋体" w:cs="宋体"/>
                <w:bCs/>
                <w:color w:val="auto"/>
                <w:sz w:val="24"/>
              </w:rPr>
              <w:t>（万元）</w:t>
            </w:r>
          </w:p>
        </w:tc>
        <w:tc>
          <w:tcPr>
            <w:tcW w:w="1534" w:type="dxa"/>
            <w:vAlign w:val="center"/>
          </w:tcPr>
          <w:p>
            <w:pPr>
              <w:spacing w:line="460" w:lineRule="exact"/>
              <w:jc w:val="center"/>
              <w:rPr>
                <w:rFonts w:ascii="宋体" w:hAnsi="宋体" w:cs="宋体"/>
                <w:bCs/>
                <w:color w:val="auto"/>
                <w:sz w:val="24"/>
              </w:rPr>
            </w:pPr>
            <w:r>
              <w:rPr>
                <w:rFonts w:hint="eastAsia" w:ascii="宋体" w:hAnsi="宋体" w:cs="宋体"/>
                <w:bCs/>
                <w:color w:val="auto"/>
                <w:sz w:val="24"/>
              </w:rPr>
              <w:t>利润总额</w:t>
            </w:r>
          </w:p>
          <w:p>
            <w:pPr>
              <w:spacing w:line="460" w:lineRule="exact"/>
              <w:jc w:val="center"/>
              <w:rPr>
                <w:rFonts w:ascii="宋体" w:hAnsi="宋体" w:cs="宋体"/>
                <w:bCs/>
                <w:color w:val="auto"/>
                <w:sz w:val="24"/>
              </w:rPr>
            </w:pPr>
            <w:r>
              <w:rPr>
                <w:rFonts w:hint="eastAsia" w:ascii="宋体" w:hAnsi="宋体" w:cs="宋体"/>
                <w:bCs/>
                <w:color w:val="auto"/>
                <w:sz w:val="24"/>
              </w:rPr>
              <w:t>（万元）</w:t>
            </w:r>
          </w:p>
        </w:tc>
        <w:tc>
          <w:tcPr>
            <w:tcW w:w="1558" w:type="dxa"/>
            <w:vAlign w:val="center"/>
          </w:tcPr>
          <w:p>
            <w:pPr>
              <w:spacing w:line="460" w:lineRule="exact"/>
              <w:ind w:firstLine="240" w:firstLineChars="100"/>
              <w:jc w:val="center"/>
              <w:rPr>
                <w:rFonts w:ascii="宋体" w:hAnsi="宋体" w:cs="宋体"/>
                <w:bCs/>
                <w:color w:val="auto"/>
                <w:sz w:val="24"/>
              </w:rPr>
            </w:pPr>
            <w:r>
              <w:rPr>
                <w:rFonts w:hint="eastAsia" w:ascii="宋体" w:hAnsi="宋体" w:cs="宋体"/>
                <w:bCs/>
                <w:color w:val="auto"/>
                <w:sz w:val="24"/>
              </w:rPr>
              <w:t>净利润</w:t>
            </w:r>
          </w:p>
          <w:p>
            <w:pPr>
              <w:spacing w:line="460" w:lineRule="exact"/>
              <w:ind w:firstLine="240" w:firstLineChars="100"/>
              <w:jc w:val="center"/>
              <w:rPr>
                <w:rFonts w:ascii="宋体" w:hAnsi="宋体" w:cs="宋体"/>
                <w:bCs/>
                <w:color w:val="auto"/>
                <w:sz w:val="24"/>
              </w:rPr>
            </w:pPr>
            <w:r>
              <w:rPr>
                <w:rFonts w:hint="eastAsia" w:ascii="宋体" w:hAnsi="宋体" w:cs="宋体"/>
                <w:bCs/>
                <w:color w:val="auto"/>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9" w:hRule="atLeast"/>
        </w:trPr>
        <w:tc>
          <w:tcPr>
            <w:tcW w:w="1888" w:type="dxa"/>
            <w:gridSpan w:val="2"/>
            <w:vMerge w:val="continue"/>
            <w:vAlign w:val="center"/>
          </w:tcPr>
          <w:p>
            <w:pPr>
              <w:spacing w:line="460" w:lineRule="exact"/>
              <w:rPr>
                <w:rFonts w:ascii="宋体" w:hAnsi="宋体" w:cs="宋体"/>
                <w:bCs/>
                <w:color w:val="auto"/>
                <w:sz w:val="24"/>
              </w:rPr>
            </w:pPr>
          </w:p>
        </w:tc>
        <w:tc>
          <w:tcPr>
            <w:tcW w:w="1121" w:type="dxa"/>
            <w:vAlign w:val="center"/>
          </w:tcPr>
          <w:p>
            <w:pPr>
              <w:spacing w:line="460" w:lineRule="exact"/>
              <w:rPr>
                <w:rFonts w:ascii="宋体" w:hAnsi="宋体" w:cs="宋体"/>
                <w:bCs/>
                <w:color w:val="auto"/>
                <w:sz w:val="24"/>
              </w:rPr>
            </w:pPr>
          </w:p>
        </w:tc>
        <w:tc>
          <w:tcPr>
            <w:tcW w:w="1500" w:type="dxa"/>
            <w:vAlign w:val="center"/>
          </w:tcPr>
          <w:p>
            <w:pPr>
              <w:spacing w:line="460" w:lineRule="exact"/>
              <w:rPr>
                <w:rFonts w:ascii="宋体" w:hAnsi="宋体" w:cs="宋体"/>
                <w:bCs/>
                <w:color w:val="auto"/>
                <w:sz w:val="24"/>
              </w:rPr>
            </w:pPr>
          </w:p>
        </w:tc>
        <w:tc>
          <w:tcPr>
            <w:tcW w:w="1499" w:type="dxa"/>
            <w:vAlign w:val="center"/>
          </w:tcPr>
          <w:p>
            <w:pPr>
              <w:spacing w:line="460" w:lineRule="exact"/>
              <w:rPr>
                <w:rFonts w:ascii="宋体" w:hAnsi="宋体" w:cs="宋体"/>
                <w:bCs/>
                <w:color w:val="auto"/>
                <w:sz w:val="24"/>
              </w:rPr>
            </w:pPr>
          </w:p>
        </w:tc>
        <w:tc>
          <w:tcPr>
            <w:tcW w:w="1534" w:type="dxa"/>
            <w:vAlign w:val="center"/>
          </w:tcPr>
          <w:p>
            <w:pPr>
              <w:spacing w:line="460" w:lineRule="exact"/>
              <w:rPr>
                <w:rFonts w:ascii="宋体" w:hAnsi="宋体" w:cs="宋体"/>
                <w:bCs/>
                <w:color w:val="auto"/>
                <w:sz w:val="24"/>
              </w:rPr>
            </w:pPr>
          </w:p>
        </w:tc>
        <w:tc>
          <w:tcPr>
            <w:tcW w:w="1558" w:type="dxa"/>
            <w:vAlign w:val="center"/>
          </w:tcPr>
          <w:p>
            <w:pPr>
              <w:spacing w:line="460" w:lineRule="exact"/>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9" w:hRule="atLeast"/>
        </w:trPr>
        <w:tc>
          <w:tcPr>
            <w:tcW w:w="1888" w:type="dxa"/>
            <w:gridSpan w:val="2"/>
            <w:vMerge w:val="continue"/>
            <w:vAlign w:val="center"/>
          </w:tcPr>
          <w:p>
            <w:pPr>
              <w:spacing w:line="460" w:lineRule="exact"/>
              <w:rPr>
                <w:rFonts w:ascii="宋体" w:hAnsi="宋体" w:cs="宋体"/>
                <w:bCs/>
                <w:color w:val="auto"/>
                <w:sz w:val="24"/>
              </w:rPr>
            </w:pPr>
          </w:p>
        </w:tc>
        <w:tc>
          <w:tcPr>
            <w:tcW w:w="1121" w:type="dxa"/>
            <w:vAlign w:val="center"/>
          </w:tcPr>
          <w:p>
            <w:pPr>
              <w:spacing w:line="460" w:lineRule="exact"/>
              <w:rPr>
                <w:rFonts w:ascii="宋体" w:hAnsi="宋体" w:cs="宋体"/>
                <w:bCs/>
                <w:color w:val="auto"/>
                <w:sz w:val="24"/>
              </w:rPr>
            </w:pPr>
          </w:p>
        </w:tc>
        <w:tc>
          <w:tcPr>
            <w:tcW w:w="1500" w:type="dxa"/>
            <w:vAlign w:val="center"/>
          </w:tcPr>
          <w:p>
            <w:pPr>
              <w:spacing w:line="460" w:lineRule="exact"/>
              <w:rPr>
                <w:rFonts w:ascii="宋体" w:hAnsi="宋体" w:cs="宋体"/>
                <w:bCs/>
                <w:color w:val="auto"/>
                <w:sz w:val="24"/>
              </w:rPr>
            </w:pPr>
          </w:p>
        </w:tc>
        <w:tc>
          <w:tcPr>
            <w:tcW w:w="1499" w:type="dxa"/>
            <w:vAlign w:val="center"/>
          </w:tcPr>
          <w:p>
            <w:pPr>
              <w:spacing w:line="460" w:lineRule="exact"/>
              <w:rPr>
                <w:rFonts w:ascii="宋体" w:hAnsi="宋体" w:cs="宋体"/>
                <w:bCs/>
                <w:color w:val="auto"/>
                <w:sz w:val="24"/>
              </w:rPr>
            </w:pPr>
          </w:p>
        </w:tc>
        <w:tc>
          <w:tcPr>
            <w:tcW w:w="1534" w:type="dxa"/>
            <w:vAlign w:val="center"/>
          </w:tcPr>
          <w:p>
            <w:pPr>
              <w:spacing w:line="460" w:lineRule="exact"/>
              <w:rPr>
                <w:rFonts w:ascii="宋体" w:hAnsi="宋体" w:cs="宋体"/>
                <w:bCs/>
                <w:color w:val="auto"/>
                <w:sz w:val="24"/>
              </w:rPr>
            </w:pPr>
          </w:p>
        </w:tc>
        <w:tc>
          <w:tcPr>
            <w:tcW w:w="1558" w:type="dxa"/>
            <w:vAlign w:val="center"/>
          </w:tcPr>
          <w:p>
            <w:pPr>
              <w:spacing w:line="460" w:lineRule="exact"/>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9" w:hRule="atLeast"/>
        </w:trPr>
        <w:tc>
          <w:tcPr>
            <w:tcW w:w="1888" w:type="dxa"/>
            <w:gridSpan w:val="2"/>
            <w:vMerge w:val="continue"/>
          </w:tcPr>
          <w:p>
            <w:pPr>
              <w:spacing w:line="460" w:lineRule="exact"/>
              <w:rPr>
                <w:rFonts w:ascii="宋体" w:hAnsi="宋体" w:cs="宋体"/>
                <w:bCs/>
                <w:color w:val="auto"/>
                <w:sz w:val="24"/>
              </w:rPr>
            </w:pPr>
          </w:p>
        </w:tc>
        <w:tc>
          <w:tcPr>
            <w:tcW w:w="1121" w:type="dxa"/>
            <w:vAlign w:val="center"/>
          </w:tcPr>
          <w:p>
            <w:pPr>
              <w:spacing w:line="460" w:lineRule="exact"/>
              <w:rPr>
                <w:rFonts w:ascii="宋体" w:hAnsi="宋体" w:cs="宋体"/>
                <w:bCs/>
                <w:color w:val="auto"/>
                <w:sz w:val="24"/>
              </w:rPr>
            </w:pPr>
          </w:p>
        </w:tc>
        <w:tc>
          <w:tcPr>
            <w:tcW w:w="1500" w:type="dxa"/>
          </w:tcPr>
          <w:p>
            <w:pPr>
              <w:spacing w:line="460" w:lineRule="exact"/>
              <w:rPr>
                <w:rFonts w:ascii="宋体" w:hAnsi="宋体" w:cs="宋体"/>
                <w:bCs/>
                <w:color w:val="auto"/>
                <w:sz w:val="24"/>
              </w:rPr>
            </w:pPr>
          </w:p>
        </w:tc>
        <w:tc>
          <w:tcPr>
            <w:tcW w:w="1499" w:type="dxa"/>
          </w:tcPr>
          <w:p>
            <w:pPr>
              <w:spacing w:line="460" w:lineRule="exact"/>
              <w:rPr>
                <w:rFonts w:ascii="宋体" w:hAnsi="宋体" w:cs="宋体"/>
                <w:bCs/>
                <w:color w:val="auto"/>
                <w:sz w:val="24"/>
              </w:rPr>
            </w:pPr>
          </w:p>
        </w:tc>
        <w:tc>
          <w:tcPr>
            <w:tcW w:w="1534" w:type="dxa"/>
          </w:tcPr>
          <w:p>
            <w:pPr>
              <w:spacing w:line="460" w:lineRule="exact"/>
              <w:rPr>
                <w:rFonts w:ascii="宋体" w:hAnsi="宋体" w:cs="宋体"/>
                <w:bCs/>
                <w:color w:val="auto"/>
                <w:sz w:val="24"/>
              </w:rPr>
            </w:pPr>
          </w:p>
        </w:tc>
        <w:tc>
          <w:tcPr>
            <w:tcW w:w="1558" w:type="dxa"/>
          </w:tcPr>
          <w:p>
            <w:pPr>
              <w:spacing w:line="460" w:lineRule="exact"/>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9" w:hRule="atLeast"/>
        </w:trPr>
        <w:tc>
          <w:tcPr>
            <w:tcW w:w="1888" w:type="dxa"/>
            <w:gridSpan w:val="2"/>
          </w:tcPr>
          <w:p>
            <w:pPr>
              <w:spacing w:line="460" w:lineRule="exact"/>
              <w:rPr>
                <w:rFonts w:ascii="宋体" w:hAnsi="宋体" w:cs="宋体"/>
                <w:bCs/>
                <w:color w:val="auto"/>
                <w:sz w:val="24"/>
              </w:rPr>
            </w:pPr>
            <w:r>
              <w:rPr>
                <w:rFonts w:hint="eastAsia" w:ascii="宋体" w:hAnsi="宋体" w:cs="宋体"/>
                <w:bCs/>
                <w:color w:val="auto"/>
                <w:sz w:val="24"/>
              </w:rPr>
              <w:t>经营范围</w:t>
            </w:r>
          </w:p>
        </w:tc>
        <w:tc>
          <w:tcPr>
            <w:tcW w:w="7212" w:type="dxa"/>
            <w:gridSpan w:val="5"/>
            <w:vAlign w:val="center"/>
          </w:tcPr>
          <w:p>
            <w:pPr>
              <w:spacing w:line="460" w:lineRule="exact"/>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1888" w:type="dxa"/>
            <w:gridSpan w:val="2"/>
          </w:tcPr>
          <w:p>
            <w:pPr>
              <w:spacing w:line="460" w:lineRule="exact"/>
              <w:rPr>
                <w:rFonts w:ascii="宋体" w:hAnsi="宋体" w:cs="宋体"/>
                <w:bCs/>
                <w:color w:val="auto"/>
                <w:sz w:val="24"/>
              </w:rPr>
            </w:pPr>
            <w:r>
              <w:rPr>
                <w:rFonts w:hint="eastAsia" w:ascii="宋体" w:hAnsi="宋体" w:cs="宋体"/>
                <w:bCs/>
                <w:color w:val="auto"/>
                <w:sz w:val="24"/>
              </w:rPr>
              <w:t xml:space="preserve">备注 </w:t>
            </w:r>
          </w:p>
        </w:tc>
        <w:tc>
          <w:tcPr>
            <w:tcW w:w="7212" w:type="dxa"/>
            <w:gridSpan w:val="5"/>
            <w:vAlign w:val="center"/>
          </w:tcPr>
          <w:p>
            <w:pPr>
              <w:spacing w:line="460" w:lineRule="exact"/>
              <w:rPr>
                <w:rFonts w:ascii="宋体" w:hAnsi="宋体" w:cs="宋体"/>
                <w:bCs/>
                <w:color w:val="auto"/>
                <w:sz w:val="24"/>
              </w:rPr>
            </w:pPr>
          </w:p>
        </w:tc>
      </w:tr>
    </w:tbl>
    <w:p>
      <w:pPr>
        <w:tabs>
          <w:tab w:val="left" w:pos="360"/>
          <w:tab w:val="left" w:pos="1800"/>
        </w:tabs>
        <w:spacing w:line="480" w:lineRule="exact"/>
        <w:jc w:val="center"/>
        <w:rPr>
          <w:rFonts w:ascii="宋体" w:hAnsi="宋体" w:cs="宋体"/>
          <w:b/>
          <w:color w:val="auto"/>
          <w:sz w:val="28"/>
          <w:szCs w:val="28"/>
        </w:rPr>
      </w:pPr>
      <w:r>
        <w:rPr>
          <w:rFonts w:hint="eastAsia" w:ascii="宋体" w:hAnsi="宋体" w:cs="宋体"/>
          <w:b/>
          <w:color w:val="auto"/>
          <w:sz w:val="28"/>
          <w:szCs w:val="28"/>
        </w:rPr>
        <w:t>7、中小企业声明函</w:t>
      </w:r>
    </w:p>
    <w:p>
      <w:pPr>
        <w:pStyle w:val="2"/>
        <w:rPr>
          <w:rFonts w:ascii="宋体" w:hAnsi="宋体" w:cs="宋体"/>
          <w:color w:val="auto"/>
        </w:rPr>
      </w:pPr>
    </w:p>
    <w:p>
      <w:pPr>
        <w:tabs>
          <w:tab w:val="left" w:pos="6300"/>
        </w:tabs>
        <w:snapToGrid w:val="0"/>
        <w:spacing w:line="500" w:lineRule="exact"/>
        <w:ind w:firstLine="480" w:firstLineChars="200"/>
        <w:outlineLvl w:val="0"/>
        <w:rPr>
          <w:rFonts w:ascii="宋体" w:hAnsi="宋体" w:cs="宋体"/>
          <w:color w:val="auto"/>
          <w:sz w:val="24"/>
        </w:rPr>
      </w:pPr>
    </w:p>
    <w:p>
      <w:pPr>
        <w:spacing w:line="360" w:lineRule="auto"/>
        <w:ind w:firstLine="480"/>
        <w:rPr>
          <w:rFonts w:ascii="宋体" w:hAnsi="宋体" w:cs="宋体"/>
          <w:color w:val="auto"/>
          <w:sz w:val="24"/>
        </w:rPr>
      </w:pPr>
      <w:r>
        <w:rPr>
          <w:rFonts w:hint="eastAsia" w:ascii="宋体" w:hAnsi="宋体" w:cs="宋体"/>
          <w:color w:val="auto"/>
          <w:sz w:val="24"/>
        </w:rPr>
        <w:t>本公司郑重声明，根据《政府采购促进中小企业发展暂行办法》（财库〔2011〕181号）的规定，本公司为 （请填写：中型、小型、微型）企业。即:本公司同时满足以下条件：</w:t>
      </w:r>
    </w:p>
    <w:p>
      <w:pPr>
        <w:pStyle w:val="7"/>
        <w:spacing w:line="440" w:lineRule="exact"/>
        <w:ind w:firstLine="480" w:firstLineChars="200"/>
        <w:rPr>
          <w:rFonts w:hAnsi="宋体" w:cs="宋体"/>
          <w:color w:val="auto"/>
          <w:sz w:val="24"/>
          <w:szCs w:val="24"/>
        </w:rPr>
      </w:pPr>
      <w:r>
        <w:rPr>
          <w:rFonts w:hint="eastAsia" w:hAnsi="宋体" w:cs="宋体"/>
          <w:color w:val="auto"/>
          <w:sz w:val="24"/>
          <w:szCs w:val="24"/>
        </w:rPr>
        <w:t>1.根据《工业和信息化部、国家统计局、国家发展和改革委员会、财政部关于印发中小企业划型标准规定的通知》(工信部联企业〔2011〕300号)规定的划分标准，本单位为______(请填写：中型、小型、微型)企业。</w:t>
      </w:r>
    </w:p>
    <w:p>
      <w:pPr>
        <w:pStyle w:val="7"/>
        <w:spacing w:line="440" w:lineRule="exact"/>
        <w:ind w:firstLine="480" w:firstLineChars="200"/>
        <w:rPr>
          <w:rFonts w:hAnsi="宋体" w:cs="宋体"/>
          <w:color w:val="auto"/>
          <w:sz w:val="24"/>
          <w:szCs w:val="24"/>
        </w:rPr>
      </w:pPr>
      <w:r>
        <w:rPr>
          <w:rFonts w:hint="eastAsia" w:hAnsi="宋体" w:cs="宋体"/>
          <w:color w:val="auto"/>
          <w:sz w:val="24"/>
          <w:szCs w:val="24"/>
        </w:rPr>
        <w:t>2.本单位参加____________单位的____________项目采购活动提供本企业制造的货物，由本企业提供服务，或者提供其他____________(请填写：中型、小型、微型)企业制造的货物。本条所称货物不包括使用大型企业注册商标的货物。</w:t>
      </w:r>
    </w:p>
    <w:p>
      <w:pPr>
        <w:pStyle w:val="7"/>
        <w:spacing w:line="440" w:lineRule="exact"/>
        <w:ind w:firstLine="480" w:firstLineChars="200"/>
        <w:rPr>
          <w:rFonts w:hAnsi="宋体" w:cs="宋体"/>
          <w:color w:val="auto"/>
          <w:sz w:val="24"/>
          <w:szCs w:val="24"/>
        </w:rPr>
      </w:pPr>
      <w:r>
        <w:rPr>
          <w:rFonts w:hint="eastAsia" w:hAnsi="宋体" w:cs="宋体"/>
          <w:color w:val="auto"/>
          <w:sz w:val="24"/>
          <w:szCs w:val="24"/>
        </w:rPr>
        <w:t>本单位对上述声明的真实性负责。如有虚假，将依法承担相应责任。</w:t>
      </w:r>
    </w:p>
    <w:p>
      <w:pPr>
        <w:pStyle w:val="7"/>
        <w:spacing w:line="440" w:lineRule="exact"/>
        <w:ind w:firstLine="480" w:firstLineChars="200"/>
        <w:rPr>
          <w:rFonts w:hAnsi="宋体" w:cs="宋体"/>
          <w:color w:val="auto"/>
          <w:sz w:val="24"/>
          <w:szCs w:val="24"/>
        </w:rPr>
      </w:pPr>
    </w:p>
    <w:p>
      <w:pPr>
        <w:pStyle w:val="7"/>
        <w:spacing w:line="440" w:lineRule="exact"/>
        <w:ind w:firstLine="480" w:firstLineChars="200"/>
        <w:rPr>
          <w:rFonts w:hAnsi="宋体" w:cs="宋体"/>
          <w:color w:val="auto"/>
          <w:sz w:val="24"/>
          <w:szCs w:val="24"/>
        </w:rPr>
      </w:pPr>
    </w:p>
    <w:p>
      <w:pPr>
        <w:pStyle w:val="7"/>
        <w:spacing w:line="440" w:lineRule="exact"/>
        <w:ind w:firstLine="480" w:firstLineChars="200"/>
        <w:jc w:val="right"/>
        <w:rPr>
          <w:rFonts w:hAnsi="宋体" w:cs="宋体"/>
          <w:color w:val="auto"/>
          <w:sz w:val="24"/>
          <w:szCs w:val="24"/>
        </w:rPr>
      </w:pPr>
      <w:r>
        <w:rPr>
          <w:rFonts w:hint="eastAsia" w:hAnsi="宋体" w:cs="宋体"/>
          <w:color w:val="auto"/>
          <w:sz w:val="24"/>
          <w:szCs w:val="24"/>
        </w:rPr>
        <w:t>企业名称(公章)：____________</w:t>
      </w:r>
      <w:r>
        <w:rPr>
          <w:rFonts w:hint="eastAsia" w:hAnsi="宋体" w:cs="宋体"/>
          <w:color w:val="auto"/>
          <w:sz w:val="24"/>
          <w:szCs w:val="24"/>
        </w:rPr>
        <w:tab/>
      </w:r>
      <w:r>
        <w:rPr>
          <w:rFonts w:hint="eastAsia" w:hAnsi="宋体" w:cs="宋体"/>
          <w:color w:val="auto"/>
          <w:sz w:val="24"/>
          <w:szCs w:val="24"/>
        </w:rPr>
        <w:tab/>
      </w:r>
    </w:p>
    <w:p>
      <w:pPr>
        <w:pStyle w:val="7"/>
        <w:spacing w:line="440" w:lineRule="exact"/>
        <w:ind w:firstLine="480" w:firstLineChars="200"/>
        <w:jc w:val="center"/>
        <w:rPr>
          <w:rFonts w:hAnsi="宋体" w:cs="宋体"/>
          <w:color w:val="auto"/>
          <w:sz w:val="24"/>
          <w:szCs w:val="24"/>
        </w:rPr>
      </w:pPr>
      <w:r>
        <w:rPr>
          <w:rFonts w:hint="eastAsia" w:hAnsi="宋体" w:cs="宋体"/>
          <w:color w:val="auto"/>
          <w:sz w:val="24"/>
          <w:szCs w:val="24"/>
        </w:rPr>
        <w:t>日期：_______________</w:t>
      </w:r>
    </w:p>
    <w:p>
      <w:pPr>
        <w:pStyle w:val="7"/>
        <w:spacing w:line="440" w:lineRule="exact"/>
        <w:ind w:firstLine="480" w:firstLineChars="200"/>
        <w:jc w:val="center"/>
        <w:rPr>
          <w:rFonts w:hAnsi="宋体" w:cs="宋体"/>
          <w:color w:val="auto"/>
          <w:sz w:val="24"/>
          <w:szCs w:val="24"/>
        </w:rPr>
      </w:pPr>
    </w:p>
    <w:p>
      <w:pPr>
        <w:pStyle w:val="7"/>
        <w:spacing w:line="440" w:lineRule="exact"/>
        <w:ind w:firstLine="480" w:firstLineChars="200"/>
        <w:rPr>
          <w:rFonts w:hAnsi="宋体" w:cs="宋体"/>
          <w:color w:val="auto"/>
          <w:sz w:val="24"/>
          <w:szCs w:val="24"/>
        </w:rPr>
      </w:pPr>
      <w:r>
        <w:rPr>
          <w:rFonts w:hint="eastAsia" w:hAnsi="宋体" w:cs="宋体"/>
          <w:color w:val="auto"/>
          <w:sz w:val="24"/>
          <w:szCs w:val="24"/>
        </w:rPr>
        <w:t>备注：1.填写前请认真阅读《工业和信息化部　国家统计局　国家发展和改革委员会　财政部关于印发中小企业划型标准规定的通知》(工信部联企业〔2011〕300号)和《财政部　工业和信息化部关于印发〈政府采购促进中小企业发展暂行办法〉的通知》(财库〔2011〕181号)相关规定。</w:t>
      </w:r>
    </w:p>
    <w:p>
      <w:pPr>
        <w:pStyle w:val="2"/>
        <w:rPr>
          <w:rFonts w:ascii="宋体" w:hAnsi="宋体" w:cs="宋体"/>
          <w:color w:val="auto"/>
          <w:sz w:val="24"/>
        </w:rPr>
      </w:pPr>
      <w:r>
        <w:rPr>
          <w:rFonts w:hint="eastAsia" w:ascii="宋体" w:hAnsi="宋体" w:cs="宋体"/>
          <w:color w:val="auto"/>
          <w:sz w:val="24"/>
        </w:rPr>
        <w:t>授权用投标专用章的，与公章具有相同法律效力。</w:t>
      </w:r>
    </w:p>
    <w:p>
      <w:pPr>
        <w:tabs>
          <w:tab w:val="left" w:pos="6300"/>
        </w:tabs>
        <w:snapToGrid w:val="0"/>
        <w:spacing w:line="500" w:lineRule="exact"/>
        <w:rPr>
          <w:rFonts w:ascii="宋体" w:hAnsi="宋体" w:cs="宋体"/>
          <w:b/>
          <w:color w:val="auto"/>
          <w:sz w:val="28"/>
          <w:szCs w:val="28"/>
        </w:rPr>
      </w:pPr>
    </w:p>
    <w:p>
      <w:pPr>
        <w:pStyle w:val="2"/>
        <w:rPr>
          <w:rFonts w:ascii="宋体" w:hAnsi="宋体" w:cs="宋体"/>
          <w:b/>
          <w:color w:val="auto"/>
          <w:sz w:val="28"/>
          <w:szCs w:val="28"/>
        </w:rPr>
      </w:pPr>
    </w:p>
    <w:p>
      <w:pPr>
        <w:pStyle w:val="2"/>
        <w:rPr>
          <w:rFonts w:ascii="宋体" w:hAnsi="宋体" w:cs="宋体"/>
          <w:b/>
          <w:color w:val="auto"/>
          <w:sz w:val="28"/>
          <w:szCs w:val="28"/>
        </w:rPr>
      </w:pPr>
    </w:p>
    <w:p>
      <w:pPr>
        <w:pStyle w:val="2"/>
        <w:rPr>
          <w:rFonts w:ascii="宋体" w:hAnsi="宋体" w:cs="宋体"/>
          <w:b/>
          <w:color w:val="auto"/>
          <w:sz w:val="28"/>
          <w:szCs w:val="28"/>
        </w:rPr>
      </w:pPr>
    </w:p>
    <w:p>
      <w:pPr>
        <w:pStyle w:val="2"/>
        <w:rPr>
          <w:rFonts w:ascii="宋体" w:hAnsi="宋体" w:cs="宋体"/>
          <w:b/>
          <w:color w:val="auto"/>
          <w:sz w:val="28"/>
          <w:szCs w:val="28"/>
        </w:rPr>
      </w:pPr>
    </w:p>
    <w:p>
      <w:pPr>
        <w:pStyle w:val="2"/>
        <w:rPr>
          <w:rFonts w:ascii="宋体" w:hAnsi="宋体" w:cs="宋体"/>
          <w:b/>
          <w:color w:val="auto"/>
          <w:sz w:val="28"/>
          <w:szCs w:val="28"/>
        </w:rPr>
      </w:pPr>
    </w:p>
    <w:p>
      <w:pPr>
        <w:tabs>
          <w:tab w:val="left" w:pos="6300"/>
        </w:tabs>
        <w:snapToGrid w:val="0"/>
        <w:spacing w:line="500" w:lineRule="exact"/>
        <w:jc w:val="center"/>
        <w:rPr>
          <w:rFonts w:ascii="宋体" w:hAnsi="宋体" w:cs="宋体"/>
          <w:b/>
          <w:color w:val="auto"/>
          <w:sz w:val="24"/>
        </w:rPr>
      </w:pPr>
      <w:r>
        <w:rPr>
          <w:rFonts w:hint="eastAsia" w:ascii="宋体" w:hAnsi="宋体" w:cs="宋体"/>
          <w:b/>
          <w:color w:val="auto"/>
          <w:sz w:val="28"/>
          <w:szCs w:val="28"/>
        </w:rPr>
        <w:t>8、诚信声明</w:t>
      </w:r>
    </w:p>
    <w:p>
      <w:pPr>
        <w:tabs>
          <w:tab w:val="left" w:pos="6300"/>
        </w:tabs>
        <w:snapToGrid w:val="0"/>
        <w:spacing w:line="500" w:lineRule="exact"/>
        <w:ind w:firstLine="570"/>
        <w:rPr>
          <w:rFonts w:ascii="宋体" w:hAnsi="宋体" w:cs="宋体"/>
          <w:color w:val="auto"/>
          <w:sz w:val="24"/>
        </w:rPr>
      </w:pPr>
    </w:p>
    <w:p>
      <w:pPr>
        <w:tabs>
          <w:tab w:val="left" w:pos="6300"/>
        </w:tabs>
        <w:snapToGrid w:val="0"/>
        <w:spacing w:line="360" w:lineRule="auto"/>
        <w:rPr>
          <w:rFonts w:ascii="宋体" w:hAnsi="宋体" w:cs="宋体"/>
          <w:color w:val="auto"/>
          <w:sz w:val="24"/>
        </w:rPr>
      </w:pPr>
      <w:r>
        <w:rPr>
          <w:rFonts w:hint="eastAsia" w:ascii="宋体" w:hAnsi="宋体" w:cs="宋体"/>
          <w:color w:val="auto"/>
          <w:sz w:val="24"/>
        </w:rPr>
        <w:t>采购项目名称：</w:t>
      </w:r>
    </w:p>
    <w:p>
      <w:pPr>
        <w:tabs>
          <w:tab w:val="left" w:pos="6300"/>
        </w:tabs>
        <w:snapToGrid w:val="0"/>
        <w:spacing w:line="360" w:lineRule="auto"/>
        <w:rPr>
          <w:rFonts w:ascii="宋体" w:hAnsi="宋体" w:cs="宋体"/>
          <w:color w:val="auto"/>
          <w:sz w:val="24"/>
        </w:rPr>
      </w:pPr>
      <w:r>
        <w:rPr>
          <w:rFonts w:hint="eastAsia" w:ascii="宋体" w:hAnsi="宋体" w:cs="宋体"/>
          <w:color w:val="auto"/>
          <w:sz w:val="24"/>
        </w:rPr>
        <w:t>致：（采购代理机构名称）：</w:t>
      </w:r>
    </w:p>
    <w:p>
      <w:pPr>
        <w:tabs>
          <w:tab w:val="left" w:pos="6300"/>
        </w:tabs>
        <w:snapToGrid w:val="0"/>
        <w:spacing w:line="360" w:lineRule="auto"/>
        <w:ind w:firstLine="480" w:firstLineChars="200"/>
        <w:rPr>
          <w:rFonts w:ascii="宋体" w:hAnsi="宋体" w:cs="宋体"/>
          <w:color w:val="auto"/>
          <w:sz w:val="24"/>
        </w:rPr>
      </w:pPr>
      <w:r>
        <w:rPr>
          <w:rFonts w:hint="eastAsia" w:ascii="宋体" w:hAnsi="宋体" w:cs="宋体"/>
          <w:color w:val="auto"/>
          <w:sz w:val="24"/>
        </w:rPr>
        <w:t>（供应商名称）</w:t>
      </w:r>
    </w:p>
    <w:p>
      <w:pPr>
        <w:tabs>
          <w:tab w:val="left" w:pos="6300"/>
        </w:tabs>
        <w:snapToGrid w:val="0"/>
        <w:spacing w:line="360" w:lineRule="auto"/>
        <w:ind w:firstLine="480" w:firstLineChars="200"/>
        <w:rPr>
          <w:rFonts w:ascii="宋体" w:hAnsi="宋体" w:cs="宋体"/>
          <w:color w:val="auto"/>
          <w:sz w:val="24"/>
        </w:rPr>
      </w:pPr>
      <w:r>
        <w:rPr>
          <w:rFonts w:hint="eastAsia" w:ascii="宋体" w:hAnsi="宋体" w:cs="宋体"/>
          <w:color w:val="auto"/>
          <w:sz w:val="24"/>
        </w:rPr>
        <w:t>郑重声明，我公司具有良好的商业信誉和健全的财务会计制度，具有履行合同所必需的设备和专业技术能力，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360" w:lineRule="auto"/>
        <w:ind w:firstLine="480" w:firstLineChars="200"/>
        <w:rPr>
          <w:rFonts w:ascii="宋体" w:hAnsi="宋体" w:cs="宋体"/>
          <w:color w:val="auto"/>
          <w:sz w:val="24"/>
        </w:rPr>
      </w:pPr>
      <w:r>
        <w:rPr>
          <w:rFonts w:hint="eastAsia" w:ascii="宋体" w:hAnsi="宋体" w:cs="宋体"/>
          <w:color w:val="auto"/>
          <w:sz w:val="24"/>
        </w:rPr>
        <w:t>特此声明。</w:t>
      </w:r>
    </w:p>
    <w:p>
      <w:pPr>
        <w:tabs>
          <w:tab w:val="left" w:pos="6300"/>
        </w:tabs>
        <w:snapToGrid w:val="0"/>
        <w:spacing w:line="360" w:lineRule="auto"/>
        <w:ind w:firstLine="570"/>
        <w:rPr>
          <w:rFonts w:ascii="宋体" w:hAnsi="宋体" w:cs="宋体"/>
          <w:color w:val="auto"/>
          <w:sz w:val="24"/>
        </w:rPr>
      </w:pPr>
    </w:p>
    <w:p>
      <w:pPr>
        <w:tabs>
          <w:tab w:val="left" w:pos="6300"/>
        </w:tabs>
        <w:snapToGrid w:val="0"/>
        <w:spacing w:line="360" w:lineRule="auto"/>
        <w:ind w:firstLine="570"/>
        <w:rPr>
          <w:rFonts w:ascii="宋体" w:hAnsi="宋体" w:cs="宋体"/>
          <w:color w:val="auto"/>
          <w:sz w:val="24"/>
        </w:rPr>
      </w:pPr>
    </w:p>
    <w:p>
      <w:pPr>
        <w:tabs>
          <w:tab w:val="left" w:pos="6300"/>
        </w:tabs>
        <w:snapToGrid w:val="0"/>
        <w:spacing w:line="360" w:lineRule="auto"/>
        <w:ind w:firstLine="570"/>
        <w:rPr>
          <w:rFonts w:ascii="宋体" w:hAnsi="宋体" w:cs="宋体"/>
          <w:color w:val="auto"/>
          <w:sz w:val="24"/>
        </w:rPr>
      </w:pPr>
    </w:p>
    <w:p>
      <w:pPr>
        <w:tabs>
          <w:tab w:val="left" w:pos="6300"/>
        </w:tabs>
        <w:snapToGrid w:val="0"/>
        <w:spacing w:line="360" w:lineRule="auto"/>
        <w:ind w:right="424"/>
        <w:jc w:val="center"/>
        <w:rPr>
          <w:rFonts w:ascii="宋体" w:hAnsi="宋体" w:cs="宋体"/>
          <w:color w:val="auto"/>
          <w:sz w:val="24"/>
        </w:rPr>
      </w:pPr>
      <w:r>
        <w:rPr>
          <w:rFonts w:hint="eastAsia" w:ascii="宋体" w:hAnsi="宋体" w:cs="宋体"/>
          <w:color w:val="auto"/>
          <w:sz w:val="24"/>
        </w:rPr>
        <w:t xml:space="preserve">                              供应商（单位公章）</w:t>
      </w:r>
    </w:p>
    <w:p>
      <w:pPr>
        <w:tabs>
          <w:tab w:val="left" w:pos="6300"/>
        </w:tabs>
        <w:snapToGrid w:val="0"/>
        <w:spacing w:line="360" w:lineRule="auto"/>
        <w:ind w:right="480"/>
        <w:jc w:val="center"/>
        <w:rPr>
          <w:rFonts w:ascii="宋体" w:hAnsi="宋体" w:cs="宋体"/>
          <w:color w:val="auto"/>
          <w:sz w:val="24"/>
        </w:rPr>
      </w:pPr>
      <w:r>
        <w:rPr>
          <w:rFonts w:hint="eastAsia" w:ascii="宋体" w:hAnsi="宋体" w:cs="宋体"/>
          <w:color w:val="auto"/>
          <w:sz w:val="24"/>
        </w:rPr>
        <w:t xml:space="preserve">                                  年   月   日</w:t>
      </w:r>
    </w:p>
    <w:p>
      <w:pPr>
        <w:pStyle w:val="7"/>
        <w:spacing w:line="360" w:lineRule="auto"/>
        <w:ind w:right="86"/>
        <w:jc w:val="center"/>
        <w:outlineLvl w:val="0"/>
        <w:rPr>
          <w:rFonts w:hAnsi="宋体" w:cs="宋体"/>
          <w:color w:val="auto"/>
          <w:sz w:val="24"/>
          <w:szCs w:val="24"/>
        </w:rPr>
      </w:pPr>
      <w:r>
        <w:rPr>
          <w:rFonts w:hint="eastAsia" w:hAnsi="宋体" w:cs="宋体"/>
          <w:color w:val="auto"/>
          <w:sz w:val="24"/>
          <w:szCs w:val="24"/>
        </w:rPr>
        <w:br w:type="page"/>
      </w:r>
    </w:p>
    <w:p>
      <w:pPr>
        <w:pageBreakBefore/>
        <w:jc w:val="center"/>
        <w:rPr>
          <w:rFonts w:ascii="宋体" w:hAnsi="宋体" w:cs="宋体"/>
          <w:b/>
          <w:color w:val="auto"/>
          <w:sz w:val="28"/>
          <w:szCs w:val="28"/>
        </w:rPr>
      </w:pPr>
      <w:r>
        <w:rPr>
          <w:rFonts w:hint="eastAsia" w:ascii="宋体" w:hAnsi="宋体" w:cs="宋体"/>
          <w:b/>
          <w:color w:val="auto"/>
          <w:sz w:val="28"/>
          <w:szCs w:val="28"/>
        </w:rPr>
        <w:t>9、项目负责人简历</w:t>
      </w:r>
    </w:p>
    <w:tbl>
      <w:tblPr>
        <w:tblStyle w:val="16"/>
        <w:tblpPr w:leftFromText="180" w:rightFromText="180" w:vertAnchor="text" w:horzAnchor="margin" w:tblpXSpec="right" w:tblpY="408"/>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199"/>
        <w:gridCol w:w="441"/>
        <w:gridCol w:w="910"/>
        <w:gridCol w:w="723"/>
        <w:gridCol w:w="1090"/>
        <w:gridCol w:w="1452"/>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372" w:type="dxa"/>
          </w:tcPr>
          <w:p>
            <w:pPr>
              <w:spacing w:line="420" w:lineRule="exact"/>
              <w:ind w:right="71" w:rightChars="34"/>
              <w:jc w:val="center"/>
              <w:rPr>
                <w:rFonts w:ascii="宋体" w:hAnsi="宋体" w:cs="宋体"/>
                <w:color w:val="auto"/>
                <w:sz w:val="24"/>
              </w:rPr>
            </w:pPr>
            <w:r>
              <w:rPr>
                <w:rFonts w:hint="eastAsia" w:ascii="宋体" w:hAnsi="宋体" w:cs="宋体"/>
                <w:color w:val="auto"/>
                <w:sz w:val="24"/>
              </w:rPr>
              <w:t>姓名</w:t>
            </w:r>
          </w:p>
        </w:tc>
        <w:tc>
          <w:tcPr>
            <w:tcW w:w="1640" w:type="dxa"/>
            <w:gridSpan w:val="2"/>
          </w:tcPr>
          <w:p>
            <w:pPr>
              <w:spacing w:line="420" w:lineRule="exact"/>
              <w:jc w:val="center"/>
              <w:rPr>
                <w:rFonts w:ascii="宋体" w:hAnsi="宋体" w:cs="宋体"/>
                <w:color w:val="auto"/>
                <w:sz w:val="24"/>
              </w:rPr>
            </w:pPr>
          </w:p>
        </w:tc>
        <w:tc>
          <w:tcPr>
            <w:tcW w:w="910" w:type="dxa"/>
          </w:tcPr>
          <w:p>
            <w:pPr>
              <w:spacing w:line="420" w:lineRule="exact"/>
              <w:jc w:val="center"/>
              <w:rPr>
                <w:rFonts w:ascii="宋体" w:hAnsi="宋体" w:cs="宋体"/>
                <w:color w:val="auto"/>
                <w:sz w:val="24"/>
              </w:rPr>
            </w:pPr>
            <w:r>
              <w:rPr>
                <w:rFonts w:hint="eastAsia" w:ascii="宋体" w:hAnsi="宋体" w:cs="宋体"/>
                <w:color w:val="auto"/>
                <w:sz w:val="24"/>
              </w:rPr>
              <w:t>性别</w:t>
            </w:r>
          </w:p>
        </w:tc>
        <w:tc>
          <w:tcPr>
            <w:tcW w:w="1813" w:type="dxa"/>
            <w:gridSpan w:val="2"/>
          </w:tcPr>
          <w:p>
            <w:pPr>
              <w:spacing w:line="420" w:lineRule="exact"/>
              <w:jc w:val="center"/>
              <w:rPr>
                <w:rFonts w:ascii="宋体" w:hAnsi="宋体" w:cs="宋体"/>
                <w:color w:val="auto"/>
                <w:sz w:val="24"/>
              </w:rPr>
            </w:pPr>
          </w:p>
        </w:tc>
        <w:tc>
          <w:tcPr>
            <w:tcW w:w="1452" w:type="dxa"/>
          </w:tcPr>
          <w:p>
            <w:pPr>
              <w:spacing w:line="420" w:lineRule="exact"/>
              <w:ind w:right="441" w:rightChars="210"/>
              <w:rPr>
                <w:rFonts w:ascii="宋体" w:hAnsi="宋体" w:cs="宋体"/>
                <w:color w:val="auto"/>
                <w:sz w:val="24"/>
              </w:rPr>
            </w:pPr>
            <w:r>
              <w:rPr>
                <w:rFonts w:hint="eastAsia" w:ascii="宋体" w:hAnsi="宋体" w:cs="宋体"/>
                <w:color w:val="auto"/>
                <w:sz w:val="24"/>
              </w:rPr>
              <w:t>年龄</w:t>
            </w:r>
          </w:p>
        </w:tc>
        <w:tc>
          <w:tcPr>
            <w:tcW w:w="2175" w:type="dxa"/>
          </w:tcPr>
          <w:p>
            <w:pPr>
              <w:spacing w:line="42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1372" w:type="dxa"/>
          </w:tcPr>
          <w:p>
            <w:pPr>
              <w:spacing w:line="420" w:lineRule="exact"/>
              <w:jc w:val="center"/>
              <w:rPr>
                <w:rFonts w:ascii="宋体" w:hAnsi="宋体" w:cs="宋体"/>
                <w:color w:val="auto"/>
                <w:sz w:val="24"/>
              </w:rPr>
            </w:pPr>
            <w:r>
              <w:rPr>
                <w:rFonts w:hint="eastAsia" w:ascii="宋体" w:hAnsi="宋体" w:cs="宋体"/>
                <w:color w:val="auto"/>
                <w:sz w:val="24"/>
              </w:rPr>
              <w:t>职务</w:t>
            </w:r>
          </w:p>
        </w:tc>
        <w:tc>
          <w:tcPr>
            <w:tcW w:w="1640" w:type="dxa"/>
            <w:gridSpan w:val="2"/>
          </w:tcPr>
          <w:p>
            <w:pPr>
              <w:spacing w:line="420" w:lineRule="exact"/>
              <w:jc w:val="center"/>
              <w:rPr>
                <w:rFonts w:ascii="宋体" w:hAnsi="宋体" w:cs="宋体"/>
                <w:color w:val="auto"/>
                <w:sz w:val="24"/>
              </w:rPr>
            </w:pPr>
          </w:p>
        </w:tc>
        <w:tc>
          <w:tcPr>
            <w:tcW w:w="910" w:type="dxa"/>
          </w:tcPr>
          <w:p>
            <w:pPr>
              <w:spacing w:line="420" w:lineRule="exact"/>
              <w:jc w:val="center"/>
              <w:rPr>
                <w:rFonts w:ascii="宋体" w:hAnsi="宋体" w:cs="宋体"/>
                <w:color w:val="auto"/>
                <w:sz w:val="24"/>
              </w:rPr>
            </w:pPr>
            <w:r>
              <w:rPr>
                <w:rFonts w:hint="eastAsia" w:ascii="宋体" w:hAnsi="宋体" w:cs="宋体"/>
                <w:color w:val="auto"/>
                <w:sz w:val="24"/>
              </w:rPr>
              <w:t>职称</w:t>
            </w:r>
          </w:p>
        </w:tc>
        <w:tc>
          <w:tcPr>
            <w:tcW w:w="1813" w:type="dxa"/>
            <w:gridSpan w:val="2"/>
          </w:tcPr>
          <w:p>
            <w:pPr>
              <w:spacing w:line="420" w:lineRule="exact"/>
              <w:jc w:val="center"/>
              <w:rPr>
                <w:rFonts w:ascii="宋体" w:hAnsi="宋体" w:cs="宋体"/>
                <w:color w:val="auto"/>
                <w:sz w:val="24"/>
              </w:rPr>
            </w:pPr>
          </w:p>
        </w:tc>
        <w:tc>
          <w:tcPr>
            <w:tcW w:w="1452" w:type="dxa"/>
          </w:tcPr>
          <w:p>
            <w:pPr>
              <w:spacing w:line="420" w:lineRule="exact"/>
              <w:rPr>
                <w:rFonts w:ascii="宋体" w:hAnsi="宋体" w:cs="宋体"/>
                <w:color w:val="auto"/>
                <w:sz w:val="24"/>
              </w:rPr>
            </w:pPr>
            <w:r>
              <w:rPr>
                <w:rFonts w:hint="eastAsia" w:ascii="宋体" w:hAnsi="宋体" w:cs="宋体"/>
                <w:color w:val="auto"/>
                <w:sz w:val="24"/>
              </w:rPr>
              <w:t>学历</w:t>
            </w:r>
          </w:p>
        </w:tc>
        <w:tc>
          <w:tcPr>
            <w:tcW w:w="2175" w:type="dxa"/>
          </w:tcPr>
          <w:p>
            <w:pPr>
              <w:spacing w:line="42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7" w:hRule="atLeast"/>
        </w:trPr>
        <w:tc>
          <w:tcPr>
            <w:tcW w:w="2571" w:type="dxa"/>
            <w:gridSpan w:val="2"/>
          </w:tcPr>
          <w:p>
            <w:pPr>
              <w:spacing w:line="420" w:lineRule="exact"/>
              <w:jc w:val="center"/>
              <w:rPr>
                <w:rFonts w:ascii="宋体" w:hAnsi="宋体" w:cs="宋体"/>
                <w:color w:val="auto"/>
                <w:sz w:val="24"/>
              </w:rPr>
            </w:pPr>
            <w:r>
              <w:rPr>
                <w:rFonts w:hint="eastAsia" w:ascii="宋体" w:hAnsi="宋体" w:cs="宋体"/>
                <w:color w:val="auto"/>
                <w:sz w:val="24"/>
              </w:rPr>
              <w:t>参加工作时间</w:t>
            </w:r>
          </w:p>
        </w:tc>
        <w:tc>
          <w:tcPr>
            <w:tcW w:w="1351" w:type="dxa"/>
            <w:gridSpan w:val="2"/>
          </w:tcPr>
          <w:p>
            <w:pPr>
              <w:spacing w:line="420" w:lineRule="exact"/>
              <w:jc w:val="center"/>
              <w:rPr>
                <w:rFonts w:ascii="宋体" w:hAnsi="宋体" w:cs="宋体"/>
                <w:color w:val="auto"/>
                <w:sz w:val="24"/>
              </w:rPr>
            </w:pPr>
          </w:p>
        </w:tc>
        <w:tc>
          <w:tcPr>
            <w:tcW w:w="3265" w:type="dxa"/>
            <w:gridSpan w:val="3"/>
          </w:tcPr>
          <w:p>
            <w:pPr>
              <w:spacing w:line="420" w:lineRule="exact"/>
              <w:jc w:val="center"/>
              <w:rPr>
                <w:rFonts w:ascii="宋体" w:hAnsi="宋体" w:cs="宋体"/>
                <w:color w:val="auto"/>
                <w:sz w:val="24"/>
              </w:rPr>
            </w:pPr>
            <w:r>
              <w:rPr>
                <w:rFonts w:hint="eastAsia" w:ascii="宋体" w:hAnsi="宋体" w:cs="宋体"/>
                <w:color w:val="auto"/>
                <w:sz w:val="24"/>
              </w:rPr>
              <w:t>从事项目负责人年限</w:t>
            </w:r>
          </w:p>
        </w:tc>
        <w:tc>
          <w:tcPr>
            <w:tcW w:w="2175" w:type="dxa"/>
          </w:tcPr>
          <w:p>
            <w:pPr>
              <w:spacing w:line="42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9362" w:type="dxa"/>
            <w:gridSpan w:val="8"/>
          </w:tcPr>
          <w:p>
            <w:pPr>
              <w:spacing w:line="420" w:lineRule="exact"/>
              <w:jc w:val="center"/>
              <w:rPr>
                <w:rFonts w:ascii="宋体" w:hAnsi="宋体" w:cs="宋体"/>
                <w:color w:val="auto"/>
                <w:sz w:val="24"/>
              </w:rPr>
            </w:pPr>
            <w:r>
              <w:rPr>
                <w:rFonts w:hint="eastAsia" w:ascii="宋体" w:hAnsi="宋体" w:cs="宋体"/>
                <w:color w:val="auto"/>
                <w:sz w:val="24"/>
              </w:rPr>
              <w:t>该项目负责人近三年类似项目情况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372" w:type="dxa"/>
          </w:tcPr>
          <w:p>
            <w:pPr>
              <w:spacing w:line="420" w:lineRule="exact"/>
              <w:jc w:val="center"/>
              <w:rPr>
                <w:rFonts w:ascii="宋体" w:hAnsi="宋体" w:cs="宋体"/>
                <w:color w:val="auto"/>
                <w:sz w:val="24"/>
              </w:rPr>
            </w:pPr>
            <w:r>
              <w:rPr>
                <w:rFonts w:hint="eastAsia" w:ascii="宋体" w:hAnsi="宋体" w:cs="宋体"/>
                <w:color w:val="auto"/>
                <w:sz w:val="24"/>
              </w:rPr>
              <w:t>实施时间</w:t>
            </w:r>
          </w:p>
        </w:tc>
        <w:tc>
          <w:tcPr>
            <w:tcW w:w="1640" w:type="dxa"/>
            <w:gridSpan w:val="2"/>
          </w:tcPr>
          <w:p>
            <w:pPr>
              <w:spacing w:line="420" w:lineRule="exact"/>
              <w:jc w:val="center"/>
              <w:rPr>
                <w:rFonts w:ascii="宋体" w:hAnsi="宋体" w:cs="宋体"/>
                <w:color w:val="auto"/>
                <w:sz w:val="24"/>
              </w:rPr>
            </w:pPr>
            <w:r>
              <w:rPr>
                <w:rFonts w:hint="eastAsia" w:ascii="宋体" w:hAnsi="宋体" w:cs="宋体"/>
                <w:color w:val="auto"/>
                <w:sz w:val="24"/>
              </w:rPr>
              <w:t>项目名称</w:t>
            </w:r>
          </w:p>
        </w:tc>
        <w:tc>
          <w:tcPr>
            <w:tcW w:w="1633" w:type="dxa"/>
            <w:gridSpan w:val="2"/>
          </w:tcPr>
          <w:p>
            <w:pPr>
              <w:spacing w:line="420" w:lineRule="exact"/>
              <w:jc w:val="center"/>
              <w:rPr>
                <w:rFonts w:ascii="宋体" w:hAnsi="宋体" w:cs="宋体"/>
                <w:color w:val="auto"/>
                <w:sz w:val="24"/>
              </w:rPr>
            </w:pPr>
            <w:r>
              <w:rPr>
                <w:rFonts w:hint="eastAsia" w:ascii="宋体" w:hAnsi="宋体" w:cs="宋体"/>
                <w:color w:val="auto"/>
                <w:sz w:val="24"/>
              </w:rPr>
              <w:t>货物数量</w:t>
            </w:r>
          </w:p>
        </w:tc>
        <w:tc>
          <w:tcPr>
            <w:tcW w:w="2542" w:type="dxa"/>
            <w:gridSpan w:val="2"/>
          </w:tcPr>
          <w:p>
            <w:pPr>
              <w:spacing w:line="420" w:lineRule="exact"/>
              <w:jc w:val="center"/>
              <w:rPr>
                <w:rFonts w:ascii="宋体" w:hAnsi="宋体" w:cs="宋体"/>
                <w:color w:val="auto"/>
                <w:sz w:val="24"/>
              </w:rPr>
            </w:pPr>
            <w:r>
              <w:rPr>
                <w:rFonts w:hint="eastAsia" w:ascii="宋体" w:hAnsi="宋体" w:cs="宋体"/>
                <w:color w:val="auto"/>
                <w:sz w:val="24"/>
              </w:rPr>
              <w:t>担任何职</w:t>
            </w:r>
          </w:p>
        </w:tc>
        <w:tc>
          <w:tcPr>
            <w:tcW w:w="2175" w:type="dxa"/>
          </w:tcPr>
          <w:p>
            <w:pPr>
              <w:spacing w:line="420" w:lineRule="exact"/>
              <w:jc w:val="center"/>
              <w:rPr>
                <w:rFonts w:ascii="宋体" w:hAnsi="宋体" w:cs="宋体"/>
                <w:color w:val="auto"/>
                <w:sz w:val="24"/>
              </w:rPr>
            </w:pPr>
            <w:r>
              <w:rPr>
                <w:rFonts w:hint="eastAsia" w:ascii="宋体" w:hAnsi="宋体" w:cs="宋体"/>
                <w:color w:val="auto"/>
                <w:sz w:val="24"/>
              </w:rPr>
              <w:t>质量或奖项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1372" w:type="dxa"/>
          </w:tcPr>
          <w:p>
            <w:pPr>
              <w:spacing w:line="420" w:lineRule="exact"/>
              <w:jc w:val="center"/>
              <w:rPr>
                <w:rFonts w:ascii="宋体" w:hAnsi="宋体" w:cs="宋体"/>
                <w:color w:val="auto"/>
                <w:sz w:val="24"/>
              </w:rPr>
            </w:pPr>
          </w:p>
        </w:tc>
        <w:tc>
          <w:tcPr>
            <w:tcW w:w="1640" w:type="dxa"/>
            <w:gridSpan w:val="2"/>
          </w:tcPr>
          <w:p>
            <w:pPr>
              <w:spacing w:line="420" w:lineRule="exact"/>
              <w:jc w:val="center"/>
              <w:rPr>
                <w:rFonts w:ascii="宋体" w:hAnsi="宋体" w:cs="宋体"/>
                <w:color w:val="auto"/>
                <w:sz w:val="24"/>
              </w:rPr>
            </w:pPr>
          </w:p>
        </w:tc>
        <w:tc>
          <w:tcPr>
            <w:tcW w:w="1633" w:type="dxa"/>
            <w:gridSpan w:val="2"/>
          </w:tcPr>
          <w:p>
            <w:pPr>
              <w:spacing w:line="420" w:lineRule="exact"/>
              <w:jc w:val="center"/>
              <w:rPr>
                <w:rFonts w:ascii="宋体" w:hAnsi="宋体" w:cs="宋体"/>
                <w:color w:val="auto"/>
                <w:sz w:val="24"/>
              </w:rPr>
            </w:pPr>
          </w:p>
        </w:tc>
        <w:tc>
          <w:tcPr>
            <w:tcW w:w="2542" w:type="dxa"/>
            <w:gridSpan w:val="2"/>
          </w:tcPr>
          <w:p>
            <w:pPr>
              <w:spacing w:line="420" w:lineRule="exact"/>
              <w:jc w:val="center"/>
              <w:rPr>
                <w:rFonts w:ascii="宋体" w:hAnsi="宋体" w:cs="宋体"/>
                <w:color w:val="auto"/>
                <w:sz w:val="24"/>
              </w:rPr>
            </w:pPr>
          </w:p>
        </w:tc>
        <w:tc>
          <w:tcPr>
            <w:tcW w:w="2175" w:type="dxa"/>
          </w:tcPr>
          <w:p>
            <w:pPr>
              <w:spacing w:line="42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1372" w:type="dxa"/>
          </w:tcPr>
          <w:p>
            <w:pPr>
              <w:spacing w:line="420" w:lineRule="exact"/>
              <w:jc w:val="center"/>
              <w:rPr>
                <w:rFonts w:ascii="宋体" w:hAnsi="宋体" w:cs="宋体"/>
                <w:color w:val="auto"/>
                <w:sz w:val="24"/>
              </w:rPr>
            </w:pPr>
          </w:p>
        </w:tc>
        <w:tc>
          <w:tcPr>
            <w:tcW w:w="1640" w:type="dxa"/>
            <w:gridSpan w:val="2"/>
          </w:tcPr>
          <w:p>
            <w:pPr>
              <w:spacing w:line="420" w:lineRule="exact"/>
              <w:jc w:val="center"/>
              <w:rPr>
                <w:rFonts w:ascii="宋体" w:hAnsi="宋体" w:cs="宋体"/>
                <w:color w:val="auto"/>
                <w:sz w:val="24"/>
              </w:rPr>
            </w:pPr>
          </w:p>
        </w:tc>
        <w:tc>
          <w:tcPr>
            <w:tcW w:w="1633" w:type="dxa"/>
            <w:gridSpan w:val="2"/>
          </w:tcPr>
          <w:p>
            <w:pPr>
              <w:spacing w:line="420" w:lineRule="exact"/>
              <w:jc w:val="center"/>
              <w:rPr>
                <w:rFonts w:ascii="宋体" w:hAnsi="宋体" w:cs="宋体"/>
                <w:color w:val="auto"/>
                <w:sz w:val="24"/>
              </w:rPr>
            </w:pPr>
          </w:p>
        </w:tc>
        <w:tc>
          <w:tcPr>
            <w:tcW w:w="2542" w:type="dxa"/>
            <w:gridSpan w:val="2"/>
          </w:tcPr>
          <w:p>
            <w:pPr>
              <w:spacing w:line="420" w:lineRule="exact"/>
              <w:jc w:val="center"/>
              <w:rPr>
                <w:rFonts w:ascii="宋体" w:hAnsi="宋体" w:cs="宋体"/>
                <w:color w:val="auto"/>
                <w:sz w:val="24"/>
              </w:rPr>
            </w:pPr>
          </w:p>
        </w:tc>
        <w:tc>
          <w:tcPr>
            <w:tcW w:w="2175" w:type="dxa"/>
          </w:tcPr>
          <w:p>
            <w:pPr>
              <w:spacing w:line="42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372" w:type="dxa"/>
          </w:tcPr>
          <w:p>
            <w:pPr>
              <w:spacing w:line="420" w:lineRule="exact"/>
              <w:jc w:val="center"/>
              <w:rPr>
                <w:rFonts w:ascii="宋体" w:hAnsi="宋体" w:cs="宋体"/>
                <w:color w:val="auto"/>
                <w:sz w:val="24"/>
              </w:rPr>
            </w:pPr>
          </w:p>
        </w:tc>
        <w:tc>
          <w:tcPr>
            <w:tcW w:w="1640" w:type="dxa"/>
            <w:gridSpan w:val="2"/>
          </w:tcPr>
          <w:p>
            <w:pPr>
              <w:spacing w:line="420" w:lineRule="exact"/>
              <w:jc w:val="center"/>
              <w:rPr>
                <w:rFonts w:ascii="宋体" w:hAnsi="宋体" w:cs="宋体"/>
                <w:color w:val="auto"/>
                <w:sz w:val="24"/>
              </w:rPr>
            </w:pPr>
          </w:p>
        </w:tc>
        <w:tc>
          <w:tcPr>
            <w:tcW w:w="1633" w:type="dxa"/>
            <w:gridSpan w:val="2"/>
          </w:tcPr>
          <w:p>
            <w:pPr>
              <w:spacing w:line="420" w:lineRule="exact"/>
              <w:jc w:val="center"/>
              <w:rPr>
                <w:rFonts w:ascii="宋体" w:hAnsi="宋体" w:cs="宋体"/>
                <w:color w:val="auto"/>
                <w:sz w:val="24"/>
              </w:rPr>
            </w:pPr>
          </w:p>
        </w:tc>
        <w:tc>
          <w:tcPr>
            <w:tcW w:w="2542" w:type="dxa"/>
            <w:gridSpan w:val="2"/>
          </w:tcPr>
          <w:p>
            <w:pPr>
              <w:spacing w:line="420" w:lineRule="exact"/>
              <w:jc w:val="center"/>
              <w:rPr>
                <w:rFonts w:ascii="宋体" w:hAnsi="宋体" w:cs="宋体"/>
                <w:color w:val="auto"/>
                <w:sz w:val="24"/>
              </w:rPr>
            </w:pPr>
          </w:p>
        </w:tc>
        <w:tc>
          <w:tcPr>
            <w:tcW w:w="2175" w:type="dxa"/>
          </w:tcPr>
          <w:p>
            <w:pPr>
              <w:spacing w:line="42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1372" w:type="dxa"/>
          </w:tcPr>
          <w:p>
            <w:pPr>
              <w:spacing w:line="420" w:lineRule="exact"/>
              <w:jc w:val="center"/>
              <w:rPr>
                <w:rFonts w:ascii="宋体" w:hAnsi="宋体" w:cs="宋体"/>
                <w:color w:val="auto"/>
                <w:sz w:val="24"/>
              </w:rPr>
            </w:pPr>
          </w:p>
        </w:tc>
        <w:tc>
          <w:tcPr>
            <w:tcW w:w="1640" w:type="dxa"/>
            <w:gridSpan w:val="2"/>
          </w:tcPr>
          <w:p>
            <w:pPr>
              <w:spacing w:line="420" w:lineRule="exact"/>
              <w:jc w:val="center"/>
              <w:rPr>
                <w:rFonts w:ascii="宋体" w:hAnsi="宋体" w:cs="宋体"/>
                <w:color w:val="auto"/>
                <w:sz w:val="24"/>
              </w:rPr>
            </w:pPr>
          </w:p>
        </w:tc>
        <w:tc>
          <w:tcPr>
            <w:tcW w:w="1633" w:type="dxa"/>
            <w:gridSpan w:val="2"/>
          </w:tcPr>
          <w:p>
            <w:pPr>
              <w:spacing w:line="420" w:lineRule="exact"/>
              <w:jc w:val="center"/>
              <w:rPr>
                <w:rFonts w:ascii="宋体" w:hAnsi="宋体" w:cs="宋体"/>
                <w:color w:val="auto"/>
                <w:sz w:val="24"/>
              </w:rPr>
            </w:pPr>
          </w:p>
        </w:tc>
        <w:tc>
          <w:tcPr>
            <w:tcW w:w="2542" w:type="dxa"/>
            <w:gridSpan w:val="2"/>
          </w:tcPr>
          <w:p>
            <w:pPr>
              <w:spacing w:line="420" w:lineRule="exact"/>
              <w:jc w:val="center"/>
              <w:rPr>
                <w:rFonts w:ascii="宋体" w:hAnsi="宋体" w:cs="宋体"/>
                <w:color w:val="auto"/>
                <w:sz w:val="24"/>
              </w:rPr>
            </w:pPr>
          </w:p>
        </w:tc>
        <w:tc>
          <w:tcPr>
            <w:tcW w:w="2175" w:type="dxa"/>
          </w:tcPr>
          <w:p>
            <w:pPr>
              <w:spacing w:line="42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372" w:type="dxa"/>
          </w:tcPr>
          <w:p>
            <w:pPr>
              <w:spacing w:line="420" w:lineRule="exact"/>
              <w:jc w:val="center"/>
              <w:rPr>
                <w:rFonts w:ascii="宋体" w:hAnsi="宋体" w:cs="宋体"/>
                <w:bCs/>
                <w:color w:val="auto"/>
                <w:sz w:val="24"/>
              </w:rPr>
            </w:pPr>
          </w:p>
        </w:tc>
        <w:tc>
          <w:tcPr>
            <w:tcW w:w="1640" w:type="dxa"/>
            <w:gridSpan w:val="2"/>
          </w:tcPr>
          <w:p>
            <w:pPr>
              <w:spacing w:line="420" w:lineRule="exact"/>
              <w:jc w:val="center"/>
              <w:rPr>
                <w:rFonts w:ascii="宋体" w:hAnsi="宋体" w:cs="宋体"/>
                <w:bCs/>
                <w:color w:val="auto"/>
                <w:sz w:val="24"/>
              </w:rPr>
            </w:pPr>
          </w:p>
        </w:tc>
        <w:tc>
          <w:tcPr>
            <w:tcW w:w="1633" w:type="dxa"/>
            <w:gridSpan w:val="2"/>
          </w:tcPr>
          <w:p>
            <w:pPr>
              <w:spacing w:line="420" w:lineRule="exact"/>
              <w:jc w:val="center"/>
              <w:rPr>
                <w:rFonts w:ascii="宋体" w:hAnsi="宋体" w:cs="宋体"/>
                <w:bCs/>
                <w:color w:val="auto"/>
                <w:sz w:val="24"/>
              </w:rPr>
            </w:pPr>
          </w:p>
        </w:tc>
        <w:tc>
          <w:tcPr>
            <w:tcW w:w="2542" w:type="dxa"/>
            <w:gridSpan w:val="2"/>
          </w:tcPr>
          <w:p>
            <w:pPr>
              <w:spacing w:line="420" w:lineRule="exact"/>
              <w:jc w:val="center"/>
              <w:rPr>
                <w:rFonts w:ascii="宋体" w:hAnsi="宋体" w:cs="宋体"/>
                <w:bCs/>
                <w:color w:val="auto"/>
                <w:sz w:val="24"/>
              </w:rPr>
            </w:pPr>
          </w:p>
        </w:tc>
        <w:tc>
          <w:tcPr>
            <w:tcW w:w="2175" w:type="dxa"/>
          </w:tcPr>
          <w:p>
            <w:pPr>
              <w:spacing w:line="420" w:lineRule="exact"/>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1372" w:type="dxa"/>
          </w:tcPr>
          <w:p>
            <w:pPr>
              <w:spacing w:line="420" w:lineRule="exact"/>
              <w:jc w:val="center"/>
              <w:rPr>
                <w:rFonts w:ascii="宋体" w:hAnsi="宋体" w:cs="宋体"/>
                <w:bCs/>
                <w:color w:val="auto"/>
                <w:sz w:val="24"/>
                <w:highlight w:val="red"/>
              </w:rPr>
            </w:pPr>
          </w:p>
        </w:tc>
        <w:tc>
          <w:tcPr>
            <w:tcW w:w="1640" w:type="dxa"/>
            <w:gridSpan w:val="2"/>
          </w:tcPr>
          <w:p>
            <w:pPr>
              <w:spacing w:line="420" w:lineRule="exact"/>
              <w:jc w:val="center"/>
              <w:rPr>
                <w:rFonts w:ascii="宋体" w:hAnsi="宋体" w:cs="宋体"/>
                <w:bCs/>
                <w:color w:val="auto"/>
                <w:sz w:val="24"/>
                <w:highlight w:val="red"/>
              </w:rPr>
            </w:pPr>
          </w:p>
        </w:tc>
        <w:tc>
          <w:tcPr>
            <w:tcW w:w="1633" w:type="dxa"/>
            <w:gridSpan w:val="2"/>
          </w:tcPr>
          <w:p>
            <w:pPr>
              <w:spacing w:line="420" w:lineRule="exact"/>
              <w:jc w:val="center"/>
              <w:rPr>
                <w:rFonts w:ascii="宋体" w:hAnsi="宋体" w:cs="宋体"/>
                <w:bCs/>
                <w:color w:val="auto"/>
                <w:sz w:val="24"/>
                <w:highlight w:val="red"/>
              </w:rPr>
            </w:pPr>
          </w:p>
        </w:tc>
        <w:tc>
          <w:tcPr>
            <w:tcW w:w="2542" w:type="dxa"/>
            <w:gridSpan w:val="2"/>
          </w:tcPr>
          <w:p>
            <w:pPr>
              <w:spacing w:line="420" w:lineRule="exact"/>
              <w:jc w:val="center"/>
              <w:rPr>
                <w:rFonts w:ascii="宋体" w:hAnsi="宋体" w:cs="宋体"/>
                <w:bCs/>
                <w:color w:val="auto"/>
                <w:sz w:val="24"/>
                <w:highlight w:val="red"/>
              </w:rPr>
            </w:pPr>
          </w:p>
        </w:tc>
        <w:tc>
          <w:tcPr>
            <w:tcW w:w="2175" w:type="dxa"/>
          </w:tcPr>
          <w:p>
            <w:pPr>
              <w:spacing w:line="420" w:lineRule="exact"/>
              <w:jc w:val="center"/>
              <w:rPr>
                <w:rFonts w:ascii="宋体" w:hAnsi="宋体" w:cs="宋体"/>
                <w:bCs/>
                <w:color w:val="auto"/>
                <w:sz w:val="24"/>
                <w:highlight w:val="re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1372" w:type="dxa"/>
          </w:tcPr>
          <w:p>
            <w:pPr>
              <w:spacing w:line="420" w:lineRule="exact"/>
              <w:rPr>
                <w:rFonts w:ascii="宋体" w:hAnsi="宋体" w:cs="宋体"/>
                <w:bCs/>
                <w:color w:val="auto"/>
                <w:sz w:val="24"/>
                <w:highlight w:val="red"/>
              </w:rPr>
            </w:pPr>
          </w:p>
        </w:tc>
        <w:tc>
          <w:tcPr>
            <w:tcW w:w="1640" w:type="dxa"/>
            <w:gridSpan w:val="2"/>
          </w:tcPr>
          <w:p>
            <w:pPr>
              <w:spacing w:line="420" w:lineRule="exact"/>
              <w:jc w:val="center"/>
              <w:rPr>
                <w:rFonts w:ascii="宋体" w:hAnsi="宋体" w:cs="宋体"/>
                <w:bCs/>
                <w:color w:val="auto"/>
                <w:sz w:val="24"/>
                <w:highlight w:val="red"/>
              </w:rPr>
            </w:pPr>
          </w:p>
        </w:tc>
        <w:tc>
          <w:tcPr>
            <w:tcW w:w="1633" w:type="dxa"/>
            <w:gridSpan w:val="2"/>
          </w:tcPr>
          <w:p>
            <w:pPr>
              <w:spacing w:line="420" w:lineRule="exact"/>
              <w:jc w:val="center"/>
              <w:rPr>
                <w:rFonts w:ascii="宋体" w:hAnsi="宋体" w:cs="宋体"/>
                <w:bCs/>
                <w:color w:val="auto"/>
                <w:sz w:val="24"/>
                <w:highlight w:val="red"/>
              </w:rPr>
            </w:pPr>
          </w:p>
        </w:tc>
        <w:tc>
          <w:tcPr>
            <w:tcW w:w="2542" w:type="dxa"/>
            <w:gridSpan w:val="2"/>
          </w:tcPr>
          <w:p>
            <w:pPr>
              <w:spacing w:line="420" w:lineRule="exact"/>
              <w:jc w:val="center"/>
              <w:rPr>
                <w:rFonts w:ascii="宋体" w:hAnsi="宋体" w:cs="宋体"/>
                <w:bCs/>
                <w:color w:val="auto"/>
                <w:sz w:val="24"/>
                <w:highlight w:val="red"/>
              </w:rPr>
            </w:pPr>
          </w:p>
        </w:tc>
        <w:tc>
          <w:tcPr>
            <w:tcW w:w="2175" w:type="dxa"/>
          </w:tcPr>
          <w:p>
            <w:pPr>
              <w:spacing w:line="420" w:lineRule="exact"/>
              <w:jc w:val="center"/>
              <w:rPr>
                <w:rFonts w:ascii="宋体" w:hAnsi="宋体" w:cs="宋体"/>
                <w:bCs/>
                <w:color w:val="auto"/>
                <w:sz w:val="24"/>
                <w:highlight w:val="re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372" w:type="dxa"/>
          </w:tcPr>
          <w:p>
            <w:pPr>
              <w:spacing w:line="420" w:lineRule="exact"/>
              <w:rPr>
                <w:rFonts w:ascii="宋体" w:hAnsi="宋体" w:cs="宋体"/>
                <w:bCs/>
                <w:color w:val="auto"/>
                <w:sz w:val="24"/>
                <w:highlight w:val="red"/>
              </w:rPr>
            </w:pPr>
          </w:p>
        </w:tc>
        <w:tc>
          <w:tcPr>
            <w:tcW w:w="1640" w:type="dxa"/>
            <w:gridSpan w:val="2"/>
          </w:tcPr>
          <w:p>
            <w:pPr>
              <w:spacing w:line="420" w:lineRule="exact"/>
              <w:jc w:val="center"/>
              <w:rPr>
                <w:rFonts w:ascii="宋体" w:hAnsi="宋体" w:cs="宋体"/>
                <w:bCs/>
                <w:color w:val="auto"/>
                <w:sz w:val="24"/>
                <w:highlight w:val="red"/>
              </w:rPr>
            </w:pPr>
          </w:p>
        </w:tc>
        <w:tc>
          <w:tcPr>
            <w:tcW w:w="1633" w:type="dxa"/>
            <w:gridSpan w:val="2"/>
          </w:tcPr>
          <w:p>
            <w:pPr>
              <w:spacing w:line="420" w:lineRule="exact"/>
              <w:jc w:val="center"/>
              <w:rPr>
                <w:rFonts w:ascii="宋体" w:hAnsi="宋体" w:cs="宋体"/>
                <w:bCs/>
                <w:color w:val="auto"/>
                <w:sz w:val="24"/>
                <w:highlight w:val="red"/>
              </w:rPr>
            </w:pPr>
          </w:p>
        </w:tc>
        <w:tc>
          <w:tcPr>
            <w:tcW w:w="2542" w:type="dxa"/>
            <w:gridSpan w:val="2"/>
          </w:tcPr>
          <w:p>
            <w:pPr>
              <w:spacing w:line="420" w:lineRule="exact"/>
              <w:jc w:val="center"/>
              <w:rPr>
                <w:rFonts w:ascii="宋体" w:hAnsi="宋体" w:cs="宋体"/>
                <w:bCs/>
                <w:color w:val="auto"/>
                <w:sz w:val="24"/>
                <w:highlight w:val="red"/>
              </w:rPr>
            </w:pPr>
          </w:p>
        </w:tc>
        <w:tc>
          <w:tcPr>
            <w:tcW w:w="2175" w:type="dxa"/>
          </w:tcPr>
          <w:p>
            <w:pPr>
              <w:spacing w:line="420" w:lineRule="exact"/>
              <w:jc w:val="center"/>
              <w:rPr>
                <w:rFonts w:ascii="宋体" w:hAnsi="宋体" w:cs="宋体"/>
                <w:bCs/>
                <w:color w:val="auto"/>
                <w:sz w:val="24"/>
                <w:highlight w:val="re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1372" w:type="dxa"/>
          </w:tcPr>
          <w:p>
            <w:pPr>
              <w:spacing w:line="420" w:lineRule="exact"/>
              <w:rPr>
                <w:rFonts w:ascii="宋体" w:hAnsi="宋体" w:cs="宋体"/>
                <w:bCs/>
                <w:color w:val="auto"/>
                <w:sz w:val="24"/>
                <w:highlight w:val="red"/>
              </w:rPr>
            </w:pPr>
          </w:p>
        </w:tc>
        <w:tc>
          <w:tcPr>
            <w:tcW w:w="1640" w:type="dxa"/>
            <w:gridSpan w:val="2"/>
          </w:tcPr>
          <w:p>
            <w:pPr>
              <w:spacing w:line="420" w:lineRule="exact"/>
              <w:jc w:val="center"/>
              <w:rPr>
                <w:rFonts w:ascii="宋体" w:hAnsi="宋体" w:cs="宋体"/>
                <w:bCs/>
                <w:color w:val="auto"/>
                <w:sz w:val="24"/>
                <w:highlight w:val="red"/>
              </w:rPr>
            </w:pPr>
          </w:p>
        </w:tc>
        <w:tc>
          <w:tcPr>
            <w:tcW w:w="1633" w:type="dxa"/>
            <w:gridSpan w:val="2"/>
          </w:tcPr>
          <w:p>
            <w:pPr>
              <w:spacing w:line="420" w:lineRule="exact"/>
              <w:jc w:val="center"/>
              <w:rPr>
                <w:rFonts w:ascii="宋体" w:hAnsi="宋体" w:cs="宋体"/>
                <w:bCs/>
                <w:color w:val="auto"/>
                <w:sz w:val="24"/>
                <w:highlight w:val="red"/>
              </w:rPr>
            </w:pPr>
          </w:p>
        </w:tc>
        <w:tc>
          <w:tcPr>
            <w:tcW w:w="2542" w:type="dxa"/>
            <w:gridSpan w:val="2"/>
          </w:tcPr>
          <w:p>
            <w:pPr>
              <w:spacing w:line="420" w:lineRule="exact"/>
              <w:jc w:val="center"/>
              <w:rPr>
                <w:rFonts w:ascii="宋体" w:hAnsi="宋体" w:cs="宋体"/>
                <w:bCs/>
                <w:color w:val="auto"/>
                <w:sz w:val="24"/>
                <w:highlight w:val="red"/>
              </w:rPr>
            </w:pPr>
          </w:p>
        </w:tc>
        <w:tc>
          <w:tcPr>
            <w:tcW w:w="2175" w:type="dxa"/>
          </w:tcPr>
          <w:p>
            <w:pPr>
              <w:spacing w:line="420" w:lineRule="exact"/>
              <w:jc w:val="center"/>
              <w:rPr>
                <w:rFonts w:ascii="宋体" w:hAnsi="宋体" w:cs="宋体"/>
                <w:bCs/>
                <w:color w:val="auto"/>
                <w:sz w:val="24"/>
                <w:highlight w:val="re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1372" w:type="dxa"/>
          </w:tcPr>
          <w:p>
            <w:pPr>
              <w:spacing w:line="420" w:lineRule="exact"/>
              <w:rPr>
                <w:rFonts w:ascii="宋体" w:hAnsi="宋体" w:cs="宋体"/>
                <w:bCs/>
                <w:color w:val="auto"/>
                <w:sz w:val="24"/>
                <w:highlight w:val="red"/>
              </w:rPr>
            </w:pPr>
          </w:p>
        </w:tc>
        <w:tc>
          <w:tcPr>
            <w:tcW w:w="1640" w:type="dxa"/>
            <w:gridSpan w:val="2"/>
          </w:tcPr>
          <w:p>
            <w:pPr>
              <w:spacing w:line="420" w:lineRule="exact"/>
              <w:jc w:val="center"/>
              <w:rPr>
                <w:rFonts w:ascii="宋体" w:hAnsi="宋体" w:cs="宋体"/>
                <w:bCs/>
                <w:color w:val="auto"/>
                <w:sz w:val="24"/>
                <w:highlight w:val="red"/>
              </w:rPr>
            </w:pPr>
          </w:p>
        </w:tc>
        <w:tc>
          <w:tcPr>
            <w:tcW w:w="1633" w:type="dxa"/>
            <w:gridSpan w:val="2"/>
          </w:tcPr>
          <w:p>
            <w:pPr>
              <w:spacing w:line="420" w:lineRule="exact"/>
              <w:jc w:val="center"/>
              <w:rPr>
                <w:rFonts w:ascii="宋体" w:hAnsi="宋体" w:cs="宋体"/>
                <w:bCs/>
                <w:color w:val="auto"/>
                <w:sz w:val="24"/>
                <w:highlight w:val="red"/>
              </w:rPr>
            </w:pPr>
          </w:p>
        </w:tc>
        <w:tc>
          <w:tcPr>
            <w:tcW w:w="2542" w:type="dxa"/>
            <w:gridSpan w:val="2"/>
          </w:tcPr>
          <w:p>
            <w:pPr>
              <w:spacing w:line="420" w:lineRule="exact"/>
              <w:jc w:val="center"/>
              <w:rPr>
                <w:rFonts w:ascii="宋体" w:hAnsi="宋体" w:cs="宋体"/>
                <w:bCs/>
                <w:color w:val="auto"/>
                <w:sz w:val="24"/>
                <w:highlight w:val="red"/>
              </w:rPr>
            </w:pPr>
          </w:p>
        </w:tc>
        <w:tc>
          <w:tcPr>
            <w:tcW w:w="2175" w:type="dxa"/>
          </w:tcPr>
          <w:p>
            <w:pPr>
              <w:spacing w:line="420" w:lineRule="exact"/>
              <w:jc w:val="center"/>
              <w:rPr>
                <w:rFonts w:ascii="宋体" w:hAnsi="宋体" w:cs="宋体"/>
                <w:bCs/>
                <w:color w:val="auto"/>
                <w:sz w:val="24"/>
                <w:highlight w:val="re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372" w:type="dxa"/>
          </w:tcPr>
          <w:p>
            <w:pPr>
              <w:spacing w:line="420" w:lineRule="exact"/>
              <w:rPr>
                <w:rFonts w:ascii="宋体" w:hAnsi="宋体" w:cs="宋体"/>
                <w:bCs/>
                <w:color w:val="auto"/>
                <w:sz w:val="24"/>
                <w:highlight w:val="red"/>
              </w:rPr>
            </w:pPr>
          </w:p>
        </w:tc>
        <w:tc>
          <w:tcPr>
            <w:tcW w:w="1640" w:type="dxa"/>
            <w:gridSpan w:val="2"/>
          </w:tcPr>
          <w:p>
            <w:pPr>
              <w:spacing w:line="420" w:lineRule="exact"/>
              <w:jc w:val="center"/>
              <w:rPr>
                <w:rFonts w:ascii="宋体" w:hAnsi="宋体" w:cs="宋体"/>
                <w:bCs/>
                <w:color w:val="auto"/>
                <w:sz w:val="24"/>
                <w:highlight w:val="red"/>
              </w:rPr>
            </w:pPr>
          </w:p>
        </w:tc>
        <w:tc>
          <w:tcPr>
            <w:tcW w:w="1633" w:type="dxa"/>
            <w:gridSpan w:val="2"/>
          </w:tcPr>
          <w:p>
            <w:pPr>
              <w:spacing w:line="420" w:lineRule="exact"/>
              <w:jc w:val="center"/>
              <w:rPr>
                <w:rFonts w:ascii="宋体" w:hAnsi="宋体" w:cs="宋体"/>
                <w:bCs/>
                <w:color w:val="auto"/>
                <w:sz w:val="24"/>
                <w:highlight w:val="red"/>
              </w:rPr>
            </w:pPr>
          </w:p>
        </w:tc>
        <w:tc>
          <w:tcPr>
            <w:tcW w:w="2542" w:type="dxa"/>
            <w:gridSpan w:val="2"/>
          </w:tcPr>
          <w:p>
            <w:pPr>
              <w:spacing w:line="420" w:lineRule="exact"/>
              <w:jc w:val="center"/>
              <w:rPr>
                <w:rFonts w:ascii="宋体" w:hAnsi="宋体" w:cs="宋体"/>
                <w:bCs/>
                <w:color w:val="auto"/>
                <w:sz w:val="24"/>
                <w:highlight w:val="red"/>
              </w:rPr>
            </w:pPr>
          </w:p>
        </w:tc>
        <w:tc>
          <w:tcPr>
            <w:tcW w:w="2175" w:type="dxa"/>
          </w:tcPr>
          <w:p>
            <w:pPr>
              <w:spacing w:line="420" w:lineRule="exact"/>
              <w:jc w:val="center"/>
              <w:rPr>
                <w:rFonts w:ascii="宋体" w:hAnsi="宋体" w:cs="宋体"/>
                <w:bCs/>
                <w:color w:val="auto"/>
                <w:sz w:val="24"/>
                <w:highlight w:val="re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1372" w:type="dxa"/>
          </w:tcPr>
          <w:p>
            <w:pPr>
              <w:spacing w:line="420" w:lineRule="exact"/>
              <w:rPr>
                <w:rFonts w:ascii="宋体" w:hAnsi="宋体" w:cs="宋体"/>
                <w:bCs/>
                <w:color w:val="auto"/>
                <w:sz w:val="24"/>
                <w:highlight w:val="red"/>
              </w:rPr>
            </w:pPr>
          </w:p>
        </w:tc>
        <w:tc>
          <w:tcPr>
            <w:tcW w:w="1640" w:type="dxa"/>
            <w:gridSpan w:val="2"/>
          </w:tcPr>
          <w:p>
            <w:pPr>
              <w:spacing w:line="420" w:lineRule="exact"/>
              <w:jc w:val="center"/>
              <w:rPr>
                <w:rFonts w:ascii="宋体" w:hAnsi="宋体" w:cs="宋体"/>
                <w:bCs/>
                <w:color w:val="auto"/>
                <w:sz w:val="24"/>
                <w:highlight w:val="red"/>
              </w:rPr>
            </w:pPr>
          </w:p>
        </w:tc>
        <w:tc>
          <w:tcPr>
            <w:tcW w:w="1633" w:type="dxa"/>
            <w:gridSpan w:val="2"/>
          </w:tcPr>
          <w:p>
            <w:pPr>
              <w:spacing w:line="420" w:lineRule="exact"/>
              <w:jc w:val="center"/>
              <w:rPr>
                <w:rFonts w:ascii="宋体" w:hAnsi="宋体" w:cs="宋体"/>
                <w:bCs/>
                <w:color w:val="auto"/>
                <w:sz w:val="24"/>
                <w:highlight w:val="red"/>
              </w:rPr>
            </w:pPr>
          </w:p>
        </w:tc>
        <w:tc>
          <w:tcPr>
            <w:tcW w:w="2542" w:type="dxa"/>
            <w:gridSpan w:val="2"/>
          </w:tcPr>
          <w:p>
            <w:pPr>
              <w:spacing w:line="420" w:lineRule="exact"/>
              <w:jc w:val="center"/>
              <w:rPr>
                <w:rFonts w:ascii="宋体" w:hAnsi="宋体" w:cs="宋体"/>
                <w:bCs/>
                <w:color w:val="auto"/>
                <w:sz w:val="24"/>
                <w:highlight w:val="red"/>
              </w:rPr>
            </w:pPr>
          </w:p>
        </w:tc>
        <w:tc>
          <w:tcPr>
            <w:tcW w:w="2175" w:type="dxa"/>
          </w:tcPr>
          <w:p>
            <w:pPr>
              <w:spacing w:line="420" w:lineRule="exact"/>
              <w:jc w:val="center"/>
              <w:rPr>
                <w:rFonts w:ascii="宋体" w:hAnsi="宋体" w:cs="宋体"/>
                <w:bCs/>
                <w:color w:val="auto"/>
                <w:sz w:val="24"/>
                <w:highlight w:val="re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1372" w:type="dxa"/>
          </w:tcPr>
          <w:p>
            <w:pPr>
              <w:spacing w:line="420" w:lineRule="exact"/>
              <w:rPr>
                <w:rFonts w:ascii="宋体" w:hAnsi="宋体" w:cs="宋体"/>
                <w:bCs/>
                <w:color w:val="auto"/>
                <w:sz w:val="24"/>
                <w:highlight w:val="red"/>
              </w:rPr>
            </w:pPr>
          </w:p>
        </w:tc>
        <w:tc>
          <w:tcPr>
            <w:tcW w:w="1640" w:type="dxa"/>
            <w:gridSpan w:val="2"/>
          </w:tcPr>
          <w:p>
            <w:pPr>
              <w:spacing w:line="420" w:lineRule="exact"/>
              <w:jc w:val="center"/>
              <w:rPr>
                <w:rFonts w:ascii="宋体" w:hAnsi="宋体" w:cs="宋体"/>
                <w:bCs/>
                <w:color w:val="auto"/>
                <w:sz w:val="24"/>
                <w:highlight w:val="red"/>
              </w:rPr>
            </w:pPr>
          </w:p>
        </w:tc>
        <w:tc>
          <w:tcPr>
            <w:tcW w:w="1633" w:type="dxa"/>
            <w:gridSpan w:val="2"/>
          </w:tcPr>
          <w:p>
            <w:pPr>
              <w:spacing w:line="420" w:lineRule="exact"/>
              <w:jc w:val="center"/>
              <w:rPr>
                <w:rFonts w:ascii="宋体" w:hAnsi="宋体" w:cs="宋体"/>
                <w:bCs/>
                <w:color w:val="auto"/>
                <w:sz w:val="24"/>
                <w:highlight w:val="red"/>
              </w:rPr>
            </w:pPr>
          </w:p>
        </w:tc>
        <w:tc>
          <w:tcPr>
            <w:tcW w:w="2542" w:type="dxa"/>
            <w:gridSpan w:val="2"/>
          </w:tcPr>
          <w:p>
            <w:pPr>
              <w:spacing w:line="420" w:lineRule="exact"/>
              <w:jc w:val="center"/>
              <w:rPr>
                <w:rFonts w:ascii="宋体" w:hAnsi="宋体" w:cs="宋体"/>
                <w:bCs/>
                <w:color w:val="auto"/>
                <w:sz w:val="24"/>
                <w:highlight w:val="red"/>
              </w:rPr>
            </w:pPr>
          </w:p>
        </w:tc>
        <w:tc>
          <w:tcPr>
            <w:tcW w:w="2175" w:type="dxa"/>
          </w:tcPr>
          <w:p>
            <w:pPr>
              <w:spacing w:line="420" w:lineRule="exact"/>
              <w:jc w:val="center"/>
              <w:rPr>
                <w:rFonts w:ascii="宋体" w:hAnsi="宋体" w:cs="宋体"/>
                <w:bCs/>
                <w:color w:val="auto"/>
                <w:sz w:val="24"/>
                <w:highlight w:val="re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1372" w:type="dxa"/>
          </w:tcPr>
          <w:p>
            <w:pPr>
              <w:spacing w:line="420" w:lineRule="exact"/>
              <w:rPr>
                <w:rFonts w:ascii="宋体" w:hAnsi="宋体" w:cs="宋体"/>
                <w:bCs/>
                <w:color w:val="auto"/>
                <w:sz w:val="24"/>
                <w:highlight w:val="red"/>
              </w:rPr>
            </w:pPr>
          </w:p>
        </w:tc>
        <w:tc>
          <w:tcPr>
            <w:tcW w:w="1640" w:type="dxa"/>
            <w:gridSpan w:val="2"/>
          </w:tcPr>
          <w:p>
            <w:pPr>
              <w:spacing w:line="420" w:lineRule="exact"/>
              <w:jc w:val="center"/>
              <w:rPr>
                <w:rFonts w:ascii="宋体" w:hAnsi="宋体" w:cs="宋体"/>
                <w:bCs/>
                <w:color w:val="auto"/>
                <w:sz w:val="24"/>
                <w:highlight w:val="red"/>
              </w:rPr>
            </w:pPr>
          </w:p>
        </w:tc>
        <w:tc>
          <w:tcPr>
            <w:tcW w:w="1633" w:type="dxa"/>
            <w:gridSpan w:val="2"/>
          </w:tcPr>
          <w:p>
            <w:pPr>
              <w:spacing w:line="420" w:lineRule="exact"/>
              <w:jc w:val="center"/>
              <w:rPr>
                <w:rFonts w:ascii="宋体" w:hAnsi="宋体" w:cs="宋体"/>
                <w:bCs/>
                <w:color w:val="auto"/>
                <w:sz w:val="24"/>
                <w:highlight w:val="red"/>
              </w:rPr>
            </w:pPr>
          </w:p>
        </w:tc>
        <w:tc>
          <w:tcPr>
            <w:tcW w:w="2542" w:type="dxa"/>
            <w:gridSpan w:val="2"/>
          </w:tcPr>
          <w:p>
            <w:pPr>
              <w:spacing w:line="420" w:lineRule="exact"/>
              <w:jc w:val="center"/>
              <w:rPr>
                <w:rFonts w:ascii="宋体" w:hAnsi="宋体" w:cs="宋体"/>
                <w:bCs/>
                <w:color w:val="auto"/>
                <w:sz w:val="24"/>
                <w:highlight w:val="red"/>
              </w:rPr>
            </w:pPr>
          </w:p>
        </w:tc>
        <w:tc>
          <w:tcPr>
            <w:tcW w:w="2175" w:type="dxa"/>
          </w:tcPr>
          <w:p>
            <w:pPr>
              <w:spacing w:line="420" w:lineRule="exact"/>
              <w:jc w:val="center"/>
              <w:rPr>
                <w:rFonts w:ascii="宋体" w:hAnsi="宋体" w:cs="宋体"/>
                <w:bCs/>
                <w:color w:val="auto"/>
                <w:sz w:val="24"/>
                <w:highlight w:val="red"/>
              </w:rPr>
            </w:pPr>
          </w:p>
        </w:tc>
      </w:tr>
    </w:tbl>
    <w:p>
      <w:pPr>
        <w:tabs>
          <w:tab w:val="left" w:pos="1875"/>
        </w:tabs>
        <w:rPr>
          <w:rFonts w:ascii="宋体" w:hAnsi="宋体" w:cs="宋体"/>
          <w:color w:val="auto"/>
          <w:szCs w:val="21"/>
          <w:highlight w:val="red"/>
        </w:rPr>
      </w:pPr>
    </w:p>
    <w:p>
      <w:pPr>
        <w:rPr>
          <w:rFonts w:ascii="宋体" w:hAnsi="宋体" w:cs="宋体"/>
          <w:color w:val="auto"/>
          <w:szCs w:val="21"/>
          <w:highlight w:val="red"/>
        </w:rPr>
      </w:pPr>
    </w:p>
    <w:p>
      <w:pPr>
        <w:tabs>
          <w:tab w:val="left" w:pos="1875"/>
        </w:tabs>
        <w:rPr>
          <w:rFonts w:ascii="宋体" w:hAnsi="宋体" w:cs="宋体"/>
          <w:color w:val="auto"/>
          <w:szCs w:val="21"/>
          <w:highlight w:val="red"/>
        </w:rPr>
      </w:pPr>
    </w:p>
    <w:p>
      <w:pPr>
        <w:tabs>
          <w:tab w:val="left" w:pos="1875"/>
        </w:tabs>
        <w:rPr>
          <w:rFonts w:ascii="宋体" w:hAnsi="宋体" w:cs="宋体"/>
          <w:color w:val="auto"/>
          <w:szCs w:val="21"/>
        </w:rPr>
      </w:pPr>
      <w:r>
        <w:rPr>
          <w:rFonts w:hint="eastAsia" w:ascii="宋体" w:hAnsi="宋体" w:cs="宋体"/>
          <w:color w:val="auto"/>
          <w:szCs w:val="21"/>
        </w:rPr>
        <w:t xml:space="preserve">供应商：（盖章） </w:t>
      </w:r>
    </w:p>
    <w:p>
      <w:pPr>
        <w:rPr>
          <w:rFonts w:ascii="宋体" w:hAnsi="宋体" w:cs="宋体"/>
          <w:color w:val="auto"/>
          <w:szCs w:val="21"/>
        </w:rPr>
      </w:pPr>
    </w:p>
    <w:p>
      <w:pPr>
        <w:rPr>
          <w:rFonts w:ascii="宋体" w:hAnsi="宋体" w:cs="宋体"/>
          <w:b/>
          <w:color w:val="auto"/>
          <w:sz w:val="28"/>
          <w:szCs w:val="28"/>
        </w:rPr>
      </w:pPr>
      <w:r>
        <w:rPr>
          <w:rFonts w:hint="eastAsia" w:ascii="宋体" w:hAnsi="宋体" w:cs="宋体"/>
          <w:color w:val="auto"/>
          <w:szCs w:val="21"/>
        </w:rPr>
        <w:t>法定代表人或授权代理人：（签字或盖章）</w:t>
      </w:r>
      <w:r>
        <w:rPr>
          <w:rFonts w:hint="eastAsia" w:ascii="宋体" w:hAnsi="宋体" w:cs="宋体"/>
          <w:color w:val="auto"/>
          <w:sz w:val="24"/>
        </w:rPr>
        <w:t xml:space="preserve">                  日期：    年    月    日</w:t>
      </w:r>
    </w:p>
    <w:p>
      <w:pPr>
        <w:pStyle w:val="7"/>
        <w:spacing w:line="360" w:lineRule="auto"/>
        <w:ind w:right="86"/>
        <w:jc w:val="center"/>
        <w:outlineLvl w:val="0"/>
        <w:rPr>
          <w:rFonts w:hAnsi="宋体" w:cs="宋体"/>
          <w:color w:val="auto"/>
          <w:sz w:val="24"/>
          <w:szCs w:val="24"/>
        </w:rPr>
      </w:pPr>
    </w:p>
    <w:p>
      <w:pPr>
        <w:pStyle w:val="7"/>
        <w:spacing w:line="360" w:lineRule="auto"/>
        <w:ind w:right="86"/>
        <w:jc w:val="center"/>
        <w:outlineLvl w:val="0"/>
        <w:rPr>
          <w:rFonts w:hAnsi="宋体" w:cs="宋体"/>
          <w:b/>
          <w:color w:val="auto"/>
          <w:sz w:val="24"/>
          <w:szCs w:val="24"/>
        </w:rPr>
      </w:pPr>
    </w:p>
    <w:p>
      <w:pPr>
        <w:pStyle w:val="7"/>
        <w:spacing w:line="360" w:lineRule="auto"/>
        <w:ind w:right="86"/>
        <w:jc w:val="center"/>
        <w:outlineLvl w:val="0"/>
        <w:rPr>
          <w:rFonts w:hAnsi="宋体" w:cs="宋体"/>
          <w:b/>
          <w:color w:val="auto"/>
          <w:sz w:val="24"/>
          <w:szCs w:val="24"/>
        </w:rPr>
      </w:pPr>
    </w:p>
    <w:p>
      <w:pPr>
        <w:pStyle w:val="7"/>
        <w:spacing w:line="360" w:lineRule="auto"/>
        <w:ind w:right="86"/>
        <w:jc w:val="center"/>
        <w:outlineLvl w:val="0"/>
        <w:rPr>
          <w:rFonts w:hAnsi="宋体" w:cs="宋体"/>
          <w:b/>
          <w:color w:val="auto"/>
          <w:sz w:val="24"/>
          <w:szCs w:val="24"/>
        </w:rPr>
      </w:pPr>
    </w:p>
    <w:p>
      <w:pPr>
        <w:pStyle w:val="7"/>
        <w:spacing w:line="360" w:lineRule="auto"/>
        <w:ind w:right="86"/>
        <w:jc w:val="center"/>
        <w:outlineLvl w:val="0"/>
        <w:rPr>
          <w:rFonts w:hAnsi="宋体" w:cs="宋体"/>
          <w:b/>
          <w:color w:val="auto"/>
          <w:sz w:val="24"/>
          <w:szCs w:val="24"/>
        </w:rPr>
      </w:pPr>
    </w:p>
    <w:p>
      <w:pPr>
        <w:pStyle w:val="7"/>
        <w:spacing w:line="360" w:lineRule="auto"/>
        <w:ind w:right="86"/>
        <w:jc w:val="center"/>
        <w:outlineLvl w:val="0"/>
        <w:rPr>
          <w:rFonts w:hAnsi="宋体" w:cs="宋体"/>
          <w:b/>
          <w:color w:val="auto"/>
          <w:sz w:val="28"/>
          <w:szCs w:val="28"/>
        </w:rPr>
      </w:pPr>
      <w:r>
        <w:rPr>
          <w:rFonts w:hint="eastAsia" w:hAnsi="宋体" w:cs="宋体"/>
          <w:b/>
          <w:color w:val="auto"/>
          <w:sz w:val="28"/>
          <w:szCs w:val="28"/>
        </w:rPr>
        <w:t>10、近三年（自2016年1月1日至今）同类项目业绩表</w:t>
      </w:r>
    </w:p>
    <w:tbl>
      <w:tblPr>
        <w:tblStyle w:val="16"/>
        <w:tblW w:w="8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4"/>
        <w:gridCol w:w="1020"/>
        <w:gridCol w:w="1320"/>
        <w:gridCol w:w="780"/>
        <w:gridCol w:w="705"/>
        <w:gridCol w:w="1772"/>
        <w:gridCol w:w="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034" w:type="dxa"/>
            <w:vAlign w:val="center"/>
          </w:tcPr>
          <w:p>
            <w:pPr>
              <w:jc w:val="center"/>
              <w:rPr>
                <w:rFonts w:ascii="宋体" w:hAnsi="宋体" w:cs="宋体"/>
                <w:color w:val="auto"/>
                <w:sz w:val="24"/>
              </w:rPr>
            </w:pPr>
            <w:r>
              <w:rPr>
                <w:rFonts w:hint="eastAsia" w:ascii="宋体" w:hAnsi="宋体" w:cs="宋体"/>
                <w:color w:val="auto"/>
                <w:sz w:val="24"/>
              </w:rPr>
              <w:t>项目名称</w:t>
            </w:r>
          </w:p>
        </w:tc>
        <w:tc>
          <w:tcPr>
            <w:tcW w:w="1020" w:type="dxa"/>
            <w:vAlign w:val="center"/>
          </w:tcPr>
          <w:p>
            <w:pPr>
              <w:jc w:val="center"/>
              <w:rPr>
                <w:rFonts w:ascii="宋体" w:hAnsi="宋体" w:cs="宋体"/>
                <w:color w:val="auto"/>
                <w:sz w:val="24"/>
              </w:rPr>
            </w:pPr>
            <w:r>
              <w:rPr>
                <w:rFonts w:hint="eastAsia" w:ascii="宋体" w:hAnsi="宋体" w:cs="宋体"/>
                <w:color w:val="auto"/>
                <w:sz w:val="24"/>
              </w:rPr>
              <w:t>合同实施日期</w:t>
            </w:r>
          </w:p>
        </w:tc>
        <w:tc>
          <w:tcPr>
            <w:tcW w:w="1320" w:type="dxa"/>
            <w:vAlign w:val="center"/>
          </w:tcPr>
          <w:p>
            <w:pPr>
              <w:jc w:val="center"/>
              <w:rPr>
                <w:rFonts w:ascii="宋体" w:hAnsi="宋体" w:cs="宋体"/>
                <w:color w:val="auto"/>
                <w:sz w:val="24"/>
              </w:rPr>
            </w:pPr>
            <w:r>
              <w:rPr>
                <w:rFonts w:hint="eastAsia" w:ascii="宋体" w:hAnsi="宋体" w:cs="宋体"/>
                <w:color w:val="auto"/>
                <w:sz w:val="24"/>
              </w:rPr>
              <w:t>维保范围</w:t>
            </w:r>
          </w:p>
        </w:tc>
        <w:tc>
          <w:tcPr>
            <w:tcW w:w="780" w:type="dxa"/>
            <w:vAlign w:val="center"/>
          </w:tcPr>
          <w:p>
            <w:pPr>
              <w:jc w:val="center"/>
              <w:rPr>
                <w:rFonts w:ascii="宋体" w:hAnsi="宋体" w:cs="宋体"/>
                <w:color w:val="auto"/>
                <w:sz w:val="24"/>
              </w:rPr>
            </w:pPr>
            <w:r>
              <w:rPr>
                <w:rFonts w:hint="eastAsia" w:ascii="宋体" w:hAnsi="宋体" w:cs="宋体"/>
                <w:color w:val="auto"/>
                <w:sz w:val="24"/>
              </w:rPr>
              <w:t>合同</w:t>
            </w:r>
          </w:p>
          <w:p>
            <w:pPr>
              <w:jc w:val="center"/>
              <w:rPr>
                <w:rFonts w:ascii="宋体" w:hAnsi="宋体" w:cs="宋体"/>
                <w:color w:val="auto"/>
                <w:sz w:val="24"/>
              </w:rPr>
            </w:pPr>
            <w:r>
              <w:rPr>
                <w:rFonts w:hint="eastAsia" w:ascii="宋体" w:hAnsi="宋体" w:cs="宋体"/>
                <w:color w:val="auto"/>
                <w:sz w:val="24"/>
              </w:rPr>
              <w:t>金额</w:t>
            </w:r>
          </w:p>
        </w:tc>
        <w:tc>
          <w:tcPr>
            <w:tcW w:w="705" w:type="dxa"/>
            <w:vAlign w:val="center"/>
          </w:tcPr>
          <w:p>
            <w:pPr>
              <w:jc w:val="center"/>
              <w:rPr>
                <w:rFonts w:ascii="宋体" w:hAnsi="宋体" w:cs="宋体"/>
                <w:color w:val="auto"/>
                <w:sz w:val="24"/>
              </w:rPr>
            </w:pPr>
            <w:r>
              <w:rPr>
                <w:rFonts w:hint="eastAsia" w:ascii="宋体" w:hAnsi="宋体" w:cs="宋体"/>
                <w:color w:val="auto"/>
                <w:sz w:val="24"/>
              </w:rPr>
              <w:t>用户</w:t>
            </w:r>
          </w:p>
          <w:p>
            <w:pPr>
              <w:jc w:val="center"/>
              <w:rPr>
                <w:rFonts w:ascii="宋体" w:hAnsi="宋体" w:cs="宋体"/>
                <w:color w:val="auto"/>
                <w:sz w:val="24"/>
              </w:rPr>
            </w:pPr>
            <w:r>
              <w:rPr>
                <w:rFonts w:hint="eastAsia" w:ascii="宋体" w:hAnsi="宋体" w:cs="宋体"/>
                <w:color w:val="auto"/>
                <w:sz w:val="24"/>
              </w:rPr>
              <w:t>名称</w:t>
            </w:r>
          </w:p>
        </w:tc>
        <w:tc>
          <w:tcPr>
            <w:tcW w:w="1772" w:type="dxa"/>
            <w:vAlign w:val="center"/>
          </w:tcPr>
          <w:p>
            <w:pPr>
              <w:jc w:val="center"/>
              <w:rPr>
                <w:rFonts w:ascii="宋体" w:hAnsi="宋体" w:cs="宋体"/>
                <w:color w:val="auto"/>
                <w:sz w:val="24"/>
              </w:rPr>
            </w:pPr>
            <w:r>
              <w:rPr>
                <w:rFonts w:hint="eastAsia" w:ascii="宋体" w:hAnsi="宋体" w:cs="宋体"/>
                <w:color w:val="auto"/>
                <w:sz w:val="24"/>
              </w:rPr>
              <w:t>用户联系人及联系电话</w:t>
            </w:r>
          </w:p>
        </w:tc>
        <w:tc>
          <w:tcPr>
            <w:tcW w:w="583" w:type="dxa"/>
            <w:vAlign w:val="center"/>
          </w:tcPr>
          <w:p>
            <w:pPr>
              <w:jc w:val="center"/>
              <w:rPr>
                <w:rFonts w:ascii="宋体" w:hAnsi="宋体" w:cs="宋体"/>
                <w:color w:val="auto"/>
                <w:sz w:val="24"/>
              </w:rPr>
            </w:pPr>
            <w:r>
              <w:rPr>
                <w:rFonts w:hint="eastAsia" w:ascii="宋体" w:hAnsi="宋体" w:cs="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034" w:type="dxa"/>
          </w:tcPr>
          <w:p>
            <w:pPr>
              <w:rPr>
                <w:rFonts w:ascii="宋体" w:hAnsi="宋体" w:cs="宋体"/>
                <w:color w:val="auto"/>
                <w:szCs w:val="21"/>
              </w:rPr>
            </w:pPr>
          </w:p>
        </w:tc>
        <w:tc>
          <w:tcPr>
            <w:tcW w:w="1020" w:type="dxa"/>
          </w:tcPr>
          <w:p>
            <w:pPr>
              <w:rPr>
                <w:rFonts w:ascii="宋体" w:hAnsi="宋体" w:cs="宋体"/>
                <w:color w:val="auto"/>
                <w:szCs w:val="21"/>
              </w:rPr>
            </w:pPr>
          </w:p>
        </w:tc>
        <w:tc>
          <w:tcPr>
            <w:tcW w:w="1320" w:type="dxa"/>
          </w:tcPr>
          <w:p>
            <w:pPr>
              <w:rPr>
                <w:rFonts w:ascii="宋体" w:hAnsi="宋体" w:cs="宋体"/>
                <w:color w:val="auto"/>
                <w:szCs w:val="21"/>
              </w:rPr>
            </w:pPr>
          </w:p>
        </w:tc>
        <w:tc>
          <w:tcPr>
            <w:tcW w:w="780" w:type="dxa"/>
          </w:tcPr>
          <w:p>
            <w:pPr>
              <w:rPr>
                <w:rFonts w:ascii="宋体" w:hAnsi="宋体" w:cs="宋体"/>
                <w:color w:val="auto"/>
                <w:szCs w:val="21"/>
              </w:rPr>
            </w:pPr>
          </w:p>
        </w:tc>
        <w:tc>
          <w:tcPr>
            <w:tcW w:w="705" w:type="dxa"/>
          </w:tcPr>
          <w:p>
            <w:pPr>
              <w:rPr>
                <w:rFonts w:ascii="宋体" w:hAnsi="宋体" w:cs="宋体"/>
                <w:color w:val="auto"/>
                <w:szCs w:val="21"/>
              </w:rPr>
            </w:pPr>
          </w:p>
        </w:tc>
        <w:tc>
          <w:tcPr>
            <w:tcW w:w="1772" w:type="dxa"/>
          </w:tcPr>
          <w:p>
            <w:pPr>
              <w:rPr>
                <w:rFonts w:ascii="宋体" w:hAnsi="宋体" w:cs="宋体"/>
                <w:color w:val="auto"/>
                <w:szCs w:val="21"/>
              </w:rPr>
            </w:pPr>
          </w:p>
        </w:tc>
        <w:tc>
          <w:tcPr>
            <w:tcW w:w="583" w:type="dxa"/>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034" w:type="dxa"/>
          </w:tcPr>
          <w:p>
            <w:pPr>
              <w:rPr>
                <w:rFonts w:ascii="宋体" w:hAnsi="宋体" w:cs="宋体"/>
                <w:color w:val="auto"/>
                <w:szCs w:val="21"/>
              </w:rPr>
            </w:pPr>
          </w:p>
        </w:tc>
        <w:tc>
          <w:tcPr>
            <w:tcW w:w="1020" w:type="dxa"/>
          </w:tcPr>
          <w:p>
            <w:pPr>
              <w:rPr>
                <w:rFonts w:ascii="宋体" w:hAnsi="宋体" w:cs="宋体"/>
                <w:color w:val="auto"/>
                <w:szCs w:val="21"/>
              </w:rPr>
            </w:pPr>
          </w:p>
        </w:tc>
        <w:tc>
          <w:tcPr>
            <w:tcW w:w="1320" w:type="dxa"/>
          </w:tcPr>
          <w:p>
            <w:pPr>
              <w:rPr>
                <w:rFonts w:ascii="宋体" w:hAnsi="宋体" w:cs="宋体"/>
                <w:color w:val="auto"/>
                <w:szCs w:val="21"/>
              </w:rPr>
            </w:pPr>
          </w:p>
        </w:tc>
        <w:tc>
          <w:tcPr>
            <w:tcW w:w="780" w:type="dxa"/>
          </w:tcPr>
          <w:p>
            <w:pPr>
              <w:rPr>
                <w:rFonts w:ascii="宋体" w:hAnsi="宋体" w:cs="宋体"/>
                <w:color w:val="auto"/>
                <w:szCs w:val="21"/>
              </w:rPr>
            </w:pPr>
          </w:p>
        </w:tc>
        <w:tc>
          <w:tcPr>
            <w:tcW w:w="705" w:type="dxa"/>
          </w:tcPr>
          <w:p>
            <w:pPr>
              <w:rPr>
                <w:rFonts w:ascii="宋体" w:hAnsi="宋体" w:cs="宋体"/>
                <w:color w:val="auto"/>
                <w:szCs w:val="21"/>
              </w:rPr>
            </w:pPr>
          </w:p>
        </w:tc>
        <w:tc>
          <w:tcPr>
            <w:tcW w:w="1772" w:type="dxa"/>
          </w:tcPr>
          <w:p>
            <w:pPr>
              <w:rPr>
                <w:rFonts w:ascii="宋体" w:hAnsi="宋体" w:cs="宋体"/>
                <w:color w:val="auto"/>
                <w:szCs w:val="21"/>
              </w:rPr>
            </w:pPr>
          </w:p>
        </w:tc>
        <w:tc>
          <w:tcPr>
            <w:tcW w:w="583" w:type="dxa"/>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034" w:type="dxa"/>
          </w:tcPr>
          <w:p>
            <w:pPr>
              <w:rPr>
                <w:rFonts w:ascii="宋体" w:hAnsi="宋体" w:cs="宋体"/>
                <w:color w:val="auto"/>
                <w:szCs w:val="21"/>
              </w:rPr>
            </w:pPr>
          </w:p>
        </w:tc>
        <w:tc>
          <w:tcPr>
            <w:tcW w:w="1020" w:type="dxa"/>
          </w:tcPr>
          <w:p>
            <w:pPr>
              <w:rPr>
                <w:rFonts w:ascii="宋体" w:hAnsi="宋体" w:cs="宋体"/>
                <w:color w:val="auto"/>
                <w:szCs w:val="21"/>
              </w:rPr>
            </w:pPr>
          </w:p>
        </w:tc>
        <w:tc>
          <w:tcPr>
            <w:tcW w:w="1320" w:type="dxa"/>
          </w:tcPr>
          <w:p>
            <w:pPr>
              <w:rPr>
                <w:rFonts w:ascii="宋体" w:hAnsi="宋体" w:cs="宋体"/>
                <w:color w:val="auto"/>
                <w:szCs w:val="21"/>
              </w:rPr>
            </w:pPr>
          </w:p>
        </w:tc>
        <w:tc>
          <w:tcPr>
            <w:tcW w:w="780" w:type="dxa"/>
          </w:tcPr>
          <w:p>
            <w:pPr>
              <w:rPr>
                <w:rFonts w:ascii="宋体" w:hAnsi="宋体" w:cs="宋体"/>
                <w:color w:val="auto"/>
                <w:szCs w:val="21"/>
              </w:rPr>
            </w:pPr>
          </w:p>
        </w:tc>
        <w:tc>
          <w:tcPr>
            <w:tcW w:w="705" w:type="dxa"/>
          </w:tcPr>
          <w:p>
            <w:pPr>
              <w:rPr>
                <w:rFonts w:ascii="宋体" w:hAnsi="宋体" w:cs="宋体"/>
                <w:color w:val="auto"/>
                <w:szCs w:val="21"/>
              </w:rPr>
            </w:pPr>
          </w:p>
        </w:tc>
        <w:tc>
          <w:tcPr>
            <w:tcW w:w="1772" w:type="dxa"/>
          </w:tcPr>
          <w:p>
            <w:pPr>
              <w:rPr>
                <w:rFonts w:ascii="宋体" w:hAnsi="宋体" w:cs="宋体"/>
                <w:color w:val="auto"/>
                <w:szCs w:val="21"/>
              </w:rPr>
            </w:pPr>
          </w:p>
        </w:tc>
        <w:tc>
          <w:tcPr>
            <w:tcW w:w="583" w:type="dxa"/>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034" w:type="dxa"/>
          </w:tcPr>
          <w:p>
            <w:pPr>
              <w:rPr>
                <w:rFonts w:ascii="宋体" w:hAnsi="宋体" w:cs="宋体"/>
                <w:color w:val="auto"/>
                <w:szCs w:val="21"/>
              </w:rPr>
            </w:pPr>
          </w:p>
        </w:tc>
        <w:tc>
          <w:tcPr>
            <w:tcW w:w="1020" w:type="dxa"/>
          </w:tcPr>
          <w:p>
            <w:pPr>
              <w:rPr>
                <w:rFonts w:ascii="宋体" w:hAnsi="宋体" w:cs="宋体"/>
                <w:color w:val="auto"/>
                <w:szCs w:val="21"/>
              </w:rPr>
            </w:pPr>
          </w:p>
        </w:tc>
        <w:tc>
          <w:tcPr>
            <w:tcW w:w="1320" w:type="dxa"/>
          </w:tcPr>
          <w:p>
            <w:pPr>
              <w:rPr>
                <w:rFonts w:ascii="宋体" w:hAnsi="宋体" w:cs="宋体"/>
                <w:color w:val="auto"/>
                <w:szCs w:val="21"/>
              </w:rPr>
            </w:pPr>
          </w:p>
        </w:tc>
        <w:tc>
          <w:tcPr>
            <w:tcW w:w="780" w:type="dxa"/>
          </w:tcPr>
          <w:p>
            <w:pPr>
              <w:rPr>
                <w:rFonts w:ascii="宋体" w:hAnsi="宋体" w:cs="宋体"/>
                <w:color w:val="auto"/>
                <w:szCs w:val="21"/>
              </w:rPr>
            </w:pPr>
          </w:p>
        </w:tc>
        <w:tc>
          <w:tcPr>
            <w:tcW w:w="705" w:type="dxa"/>
          </w:tcPr>
          <w:p>
            <w:pPr>
              <w:rPr>
                <w:rFonts w:ascii="宋体" w:hAnsi="宋体" w:cs="宋体"/>
                <w:color w:val="auto"/>
                <w:szCs w:val="21"/>
              </w:rPr>
            </w:pPr>
          </w:p>
        </w:tc>
        <w:tc>
          <w:tcPr>
            <w:tcW w:w="1772" w:type="dxa"/>
          </w:tcPr>
          <w:p>
            <w:pPr>
              <w:rPr>
                <w:rFonts w:ascii="宋体" w:hAnsi="宋体" w:cs="宋体"/>
                <w:color w:val="auto"/>
                <w:szCs w:val="21"/>
              </w:rPr>
            </w:pPr>
          </w:p>
        </w:tc>
        <w:tc>
          <w:tcPr>
            <w:tcW w:w="583" w:type="dxa"/>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034" w:type="dxa"/>
          </w:tcPr>
          <w:p>
            <w:pPr>
              <w:rPr>
                <w:rFonts w:ascii="宋体" w:hAnsi="宋体" w:cs="宋体"/>
                <w:color w:val="auto"/>
                <w:szCs w:val="21"/>
              </w:rPr>
            </w:pPr>
          </w:p>
        </w:tc>
        <w:tc>
          <w:tcPr>
            <w:tcW w:w="1020" w:type="dxa"/>
          </w:tcPr>
          <w:p>
            <w:pPr>
              <w:rPr>
                <w:rFonts w:ascii="宋体" w:hAnsi="宋体" w:cs="宋体"/>
                <w:color w:val="auto"/>
                <w:szCs w:val="21"/>
              </w:rPr>
            </w:pPr>
          </w:p>
        </w:tc>
        <w:tc>
          <w:tcPr>
            <w:tcW w:w="1320" w:type="dxa"/>
          </w:tcPr>
          <w:p>
            <w:pPr>
              <w:rPr>
                <w:rFonts w:ascii="宋体" w:hAnsi="宋体" w:cs="宋体"/>
                <w:color w:val="auto"/>
                <w:szCs w:val="21"/>
              </w:rPr>
            </w:pPr>
          </w:p>
        </w:tc>
        <w:tc>
          <w:tcPr>
            <w:tcW w:w="780" w:type="dxa"/>
          </w:tcPr>
          <w:p>
            <w:pPr>
              <w:rPr>
                <w:rFonts w:ascii="宋体" w:hAnsi="宋体" w:cs="宋体"/>
                <w:color w:val="auto"/>
                <w:szCs w:val="21"/>
              </w:rPr>
            </w:pPr>
          </w:p>
        </w:tc>
        <w:tc>
          <w:tcPr>
            <w:tcW w:w="705" w:type="dxa"/>
          </w:tcPr>
          <w:p>
            <w:pPr>
              <w:rPr>
                <w:rFonts w:ascii="宋体" w:hAnsi="宋体" w:cs="宋体"/>
                <w:color w:val="auto"/>
                <w:szCs w:val="21"/>
              </w:rPr>
            </w:pPr>
          </w:p>
        </w:tc>
        <w:tc>
          <w:tcPr>
            <w:tcW w:w="1772" w:type="dxa"/>
          </w:tcPr>
          <w:p>
            <w:pPr>
              <w:rPr>
                <w:rFonts w:ascii="宋体" w:hAnsi="宋体" w:cs="宋体"/>
                <w:color w:val="auto"/>
                <w:szCs w:val="21"/>
              </w:rPr>
            </w:pPr>
          </w:p>
        </w:tc>
        <w:tc>
          <w:tcPr>
            <w:tcW w:w="583" w:type="dxa"/>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034" w:type="dxa"/>
          </w:tcPr>
          <w:p>
            <w:pPr>
              <w:rPr>
                <w:rFonts w:ascii="宋体" w:hAnsi="宋体" w:cs="宋体"/>
                <w:color w:val="auto"/>
                <w:szCs w:val="21"/>
              </w:rPr>
            </w:pPr>
          </w:p>
        </w:tc>
        <w:tc>
          <w:tcPr>
            <w:tcW w:w="1020" w:type="dxa"/>
          </w:tcPr>
          <w:p>
            <w:pPr>
              <w:rPr>
                <w:rFonts w:ascii="宋体" w:hAnsi="宋体" w:cs="宋体"/>
                <w:color w:val="auto"/>
                <w:szCs w:val="21"/>
              </w:rPr>
            </w:pPr>
          </w:p>
        </w:tc>
        <w:tc>
          <w:tcPr>
            <w:tcW w:w="1320" w:type="dxa"/>
          </w:tcPr>
          <w:p>
            <w:pPr>
              <w:rPr>
                <w:rFonts w:ascii="宋体" w:hAnsi="宋体" w:cs="宋体"/>
                <w:color w:val="auto"/>
                <w:szCs w:val="21"/>
              </w:rPr>
            </w:pPr>
          </w:p>
        </w:tc>
        <w:tc>
          <w:tcPr>
            <w:tcW w:w="780" w:type="dxa"/>
          </w:tcPr>
          <w:p>
            <w:pPr>
              <w:rPr>
                <w:rFonts w:ascii="宋体" w:hAnsi="宋体" w:cs="宋体"/>
                <w:color w:val="auto"/>
                <w:szCs w:val="21"/>
              </w:rPr>
            </w:pPr>
          </w:p>
        </w:tc>
        <w:tc>
          <w:tcPr>
            <w:tcW w:w="705" w:type="dxa"/>
          </w:tcPr>
          <w:p>
            <w:pPr>
              <w:rPr>
                <w:rFonts w:ascii="宋体" w:hAnsi="宋体" w:cs="宋体"/>
                <w:color w:val="auto"/>
                <w:szCs w:val="21"/>
              </w:rPr>
            </w:pPr>
          </w:p>
        </w:tc>
        <w:tc>
          <w:tcPr>
            <w:tcW w:w="1772" w:type="dxa"/>
          </w:tcPr>
          <w:p>
            <w:pPr>
              <w:rPr>
                <w:rFonts w:ascii="宋体" w:hAnsi="宋体" w:cs="宋体"/>
                <w:color w:val="auto"/>
                <w:szCs w:val="21"/>
              </w:rPr>
            </w:pPr>
          </w:p>
        </w:tc>
        <w:tc>
          <w:tcPr>
            <w:tcW w:w="583" w:type="dxa"/>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034" w:type="dxa"/>
          </w:tcPr>
          <w:p>
            <w:pPr>
              <w:rPr>
                <w:rFonts w:ascii="宋体" w:hAnsi="宋体" w:cs="宋体"/>
                <w:color w:val="auto"/>
                <w:szCs w:val="21"/>
              </w:rPr>
            </w:pPr>
          </w:p>
        </w:tc>
        <w:tc>
          <w:tcPr>
            <w:tcW w:w="1020" w:type="dxa"/>
          </w:tcPr>
          <w:p>
            <w:pPr>
              <w:rPr>
                <w:rFonts w:ascii="宋体" w:hAnsi="宋体" w:cs="宋体"/>
                <w:color w:val="auto"/>
                <w:szCs w:val="21"/>
              </w:rPr>
            </w:pPr>
          </w:p>
        </w:tc>
        <w:tc>
          <w:tcPr>
            <w:tcW w:w="1320" w:type="dxa"/>
          </w:tcPr>
          <w:p>
            <w:pPr>
              <w:rPr>
                <w:rFonts w:ascii="宋体" w:hAnsi="宋体" w:cs="宋体"/>
                <w:color w:val="auto"/>
                <w:szCs w:val="21"/>
              </w:rPr>
            </w:pPr>
          </w:p>
        </w:tc>
        <w:tc>
          <w:tcPr>
            <w:tcW w:w="780" w:type="dxa"/>
          </w:tcPr>
          <w:p>
            <w:pPr>
              <w:rPr>
                <w:rFonts w:ascii="宋体" w:hAnsi="宋体" w:cs="宋体"/>
                <w:color w:val="auto"/>
                <w:szCs w:val="21"/>
              </w:rPr>
            </w:pPr>
          </w:p>
        </w:tc>
        <w:tc>
          <w:tcPr>
            <w:tcW w:w="705" w:type="dxa"/>
          </w:tcPr>
          <w:p>
            <w:pPr>
              <w:rPr>
                <w:rFonts w:ascii="宋体" w:hAnsi="宋体" w:cs="宋体"/>
                <w:color w:val="auto"/>
                <w:szCs w:val="21"/>
              </w:rPr>
            </w:pPr>
          </w:p>
        </w:tc>
        <w:tc>
          <w:tcPr>
            <w:tcW w:w="1772" w:type="dxa"/>
          </w:tcPr>
          <w:p>
            <w:pPr>
              <w:rPr>
                <w:rFonts w:ascii="宋体" w:hAnsi="宋体" w:cs="宋体"/>
                <w:color w:val="auto"/>
                <w:szCs w:val="21"/>
              </w:rPr>
            </w:pPr>
          </w:p>
        </w:tc>
        <w:tc>
          <w:tcPr>
            <w:tcW w:w="583" w:type="dxa"/>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034" w:type="dxa"/>
          </w:tcPr>
          <w:p>
            <w:pPr>
              <w:rPr>
                <w:rFonts w:ascii="宋体" w:hAnsi="宋体" w:cs="宋体"/>
                <w:color w:val="auto"/>
                <w:szCs w:val="21"/>
              </w:rPr>
            </w:pPr>
          </w:p>
        </w:tc>
        <w:tc>
          <w:tcPr>
            <w:tcW w:w="1020" w:type="dxa"/>
          </w:tcPr>
          <w:p>
            <w:pPr>
              <w:rPr>
                <w:rFonts w:ascii="宋体" w:hAnsi="宋体" w:cs="宋体"/>
                <w:color w:val="auto"/>
                <w:szCs w:val="21"/>
              </w:rPr>
            </w:pPr>
          </w:p>
        </w:tc>
        <w:tc>
          <w:tcPr>
            <w:tcW w:w="1320" w:type="dxa"/>
          </w:tcPr>
          <w:p>
            <w:pPr>
              <w:rPr>
                <w:rFonts w:ascii="宋体" w:hAnsi="宋体" w:cs="宋体"/>
                <w:color w:val="auto"/>
                <w:szCs w:val="21"/>
              </w:rPr>
            </w:pPr>
          </w:p>
        </w:tc>
        <w:tc>
          <w:tcPr>
            <w:tcW w:w="780" w:type="dxa"/>
          </w:tcPr>
          <w:p>
            <w:pPr>
              <w:rPr>
                <w:rFonts w:ascii="宋体" w:hAnsi="宋体" w:cs="宋体"/>
                <w:color w:val="auto"/>
                <w:szCs w:val="21"/>
              </w:rPr>
            </w:pPr>
          </w:p>
        </w:tc>
        <w:tc>
          <w:tcPr>
            <w:tcW w:w="705" w:type="dxa"/>
          </w:tcPr>
          <w:p>
            <w:pPr>
              <w:rPr>
                <w:rFonts w:ascii="宋体" w:hAnsi="宋体" w:cs="宋体"/>
                <w:color w:val="auto"/>
                <w:szCs w:val="21"/>
              </w:rPr>
            </w:pPr>
          </w:p>
        </w:tc>
        <w:tc>
          <w:tcPr>
            <w:tcW w:w="1772" w:type="dxa"/>
          </w:tcPr>
          <w:p>
            <w:pPr>
              <w:rPr>
                <w:rFonts w:ascii="宋体" w:hAnsi="宋体" w:cs="宋体"/>
                <w:color w:val="auto"/>
                <w:szCs w:val="21"/>
              </w:rPr>
            </w:pPr>
          </w:p>
        </w:tc>
        <w:tc>
          <w:tcPr>
            <w:tcW w:w="583" w:type="dxa"/>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034" w:type="dxa"/>
          </w:tcPr>
          <w:p>
            <w:pPr>
              <w:rPr>
                <w:rFonts w:ascii="宋体" w:hAnsi="宋体" w:cs="宋体"/>
                <w:color w:val="auto"/>
                <w:szCs w:val="21"/>
              </w:rPr>
            </w:pPr>
          </w:p>
        </w:tc>
        <w:tc>
          <w:tcPr>
            <w:tcW w:w="1020" w:type="dxa"/>
          </w:tcPr>
          <w:p>
            <w:pPr>
              <w:rPr>
                <w:rFonts w:ascii="宋体" w:hAnsi="宋体" w:cs="宋体"/>
                <w:color w:val="auto"/>
                <w:szCs w:val="21"/>
              </w:rPr>
            </w:pPr>
          </w:p>
        </w:tc>
        <w:tc>
          <w:tcPr>
            <w:tcW w:w="1320" w:type="dxa"/>
          </w:tcPr>
          <w:p>
            <w:pPr>
              <w:rPr>
                <w:rFonts w:ascii="宋体" w:hAnsi="宋体" w:cs="宋体"/>
                <w:color w:val="auto"/>
                <w:szCs w:val="21"/>
              </w:rPr>
            </w:pPr>
          </w:p>
        </w:tc>
        <w:tc>
          <w:tcPr>
            <w:tcW w:w="780" w:type="dxa"/>
          </w:tcPr>
          <w:p>
            <w:pPr>
              <w:rPr>
                <w:rFonts w:ascii="宋体" w:hAnsi="宋体" w:cs="宋体"/>
                <w:color w:val="auto"/>
                <w:szCs w:val="21"/>
              </w:rPr>
            </w:pPr>
          </w:p>
        </w:tc>
        <w:tc>
          <w:tcPr>
            <w:tcW w:w="705" w:type="dxa"/>
          </w:tcPr>
          <w:p>
            <w:pPr>
              <w:rPr>
                <w:rFonts w:ascii="宋体" w:hAnsi="宋体" w:cs="宋体"/>
                <w:color w:val="auto"/>
                <w:szCs w:val="21"/>
              </w:rPr>
            </w:pPr>
          </w:p>
        </w:tc>
        <w:tc>
          <w:tcPr>
            <w:tcW w:w="1772" w:type="dxa"/>
          </w:tcPr>
          <w:p>
            <w:pPr>
              <w:rPr>
                <w:rFonts w:ascii="宋体" w:hAnsi="宋体" w:cs="宋体"/>
                <w:color w:val="auto"/>
                <w:szCs w:val="21"/>
              </w:rPr>
            </w:pPr>
          </w:p>
        </w:tc>
        <w:tc>
          <w:tcPr>
            <w:tcW w:w="583" w:type="dxa"/>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034" w:type="dxa"/>
          </w:tcPr>
          <w:p>
            <w:pPr>
              <w:rPr>
                <w:rFonts w:ascii="宋体" w:hAnsi="宋体" w:cs="宋体"/>
                <w:color w:val="auto"/>
                <w:szCs w:val="21"/>
              </w:rPr>
            </w:pPr>
          </w:p>
        </w:tc>
        <w:tc>
          <w:tcPr>
            <w:tcW w:w="1020" w:type="dxa"/>
          </w:tcPr>
          <w:p>
            <w:pPr>
              <w:rPr>
                <w:rFonts w:ascii="宋体" w:hAnsi="宋体" w:cs="宋体"/>
                <w:color w:val="auto"/>
                <w:szCs w:val="21"/>
              </w:rPr>
            </w:pPr>
          </w:p>
        </w:tc>
        <w:tc>
          <w:tcPr>
            <w:tcW w:w="1320" w:type="dxa"/>
          </w:tcPr>
          <w:p>
            <w:pPr>
              <w:rPr>
                <w:rFonts w:ascii="宋体" w:hAnsi="宋体" w:cs="宋体"/>
                <w:color w:val="auto"/>
                <w:szCs w:val="21"/>
              </w:rPr>
            </w:pPr>
          </w:p>
        </w:tc>
        <w:tc>
          <w:tcPr>
            <w:tcW w:w="780" w:type="dxa"/>
          </w:tcPr>
          <w:p>
            <w:pPr>
              <w:rPr>
                <w:rFonts w:ascii="宋体" w:hAnsi="宋体" w:cs="宋体"/>
                <w:color w:val="auto"/>
                <w:szCs w:val="21"/>
              </w:rPr>
            </w:pPr>
          </w:p>
        </w:tc>
        <w:tc>
          <w:tcPr>
            <w:tcW w:w="705" w:type="dxa"/>
          </w:tcPr>
          <w:p>
            <w:pPr>
              <w:rPr>
                <w:rFonts w:ascii="宋体" w:hAnsi="宋体" w:cs="宋体"/>
                <w:color w:val="auto"/>
                <w:szCs w:val="21"/>
              </w:rPr>
            </w:pPr>
          </w:p>
        </w:tc>
        <w:tc>
          <w:tcPr>
            <w:tcW w:w="1772" w:type="dxa"/>
          </w:tcPr>
          <w:p>
            <w:pPr>
              <w:rPr>
                <w:rFonts w:ascii="宋体" w:hAnsi="宋体" w:cs="宋体"/>
                <w:color w:val="auto"/>
                <w:szCs w:val="21"/>
              </w:rPr>
            </w:pPr>
          </w:p>
        </w:tc>
        <w:tc>
          <w:tcPr>
            <w:tcW w:w="583" w:type="dxa"/>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034" w:type="dxa"/>
          </w:tcPr>
          <w:p>
            <w:pPr>
              <w:rPr>
                <w:rFonts w:ascii="宋体" w:hAnsi="宋体" w:cs="宋体"/>
                <w:color w:val="auto"/>
                <w:szCs w:val="21"/>
              </w:rPr>
            </w:pPr>
          </w:p>
        </w:tc>
        <w:tc>
          <w:tcPr>
            <w:tcW w:w="1020" w:type="dxa"/>
          </w:tcPr>
          <w:p>
            <w:pPr>
              <w:rPr>
                <w:rFonts w:ascii="宋体" w:hAnsi="宋体" w:cs="宋体"/>
                <w:color w:val="auto"/>
                <w:szCs w:val="21"/>
              </w:rPr>
            </w:pPr>
          </w:p>
        </w:tc>
        <w:tc>
          <w:tcPr>
            <w:tcW w:w="1320" w:type="dxa"/>
          </w:tcPr>
          <w:p>
            <w:pPr>
              <w:rPr>
                <w:rFonts w:ascii="宋体" w:hAnsi="宋体" w:cs="宋体"/>
                <w:color w:val="auto"/>
                <w:szCs w:val="21"/>
              </w:rPr>
            </w:pPr>
          </w:p>
        </w:tc>
        <w:tc>
          <w:tcPr>
            <w:tcW w:w="780" w:type="dxa"/>
          </w:tcPr>
          <w:p>
            <w:pPr>
              <w:rPr>
                <w:rFonts w:ascii="宋体" w:hAnsi="宋体" w:cs="宋体"/>
                <w:color w:val="auto"/>
                <w:szCs w:val="21"/>
              </w:rPr>
            </w:pPr>
          </w:p>
        </w:tc>
        <w:tc>
          <w:tcPr>
            <w:tcW w:w="705" w:type="dxa"/>
          </w:tcPr>
          <w:p>
            <w:pPr>
              <w:rPr>
                <w:rFonts w:ascii="宋体" w:hAnsi="宋体" w:cs="宋体"/>
                <w:color w:val="auto"/>
                <w:szCs w:val="21"/>
              </w:rPr>
            </w:pPr>
          </w:p>
        </w:tc>
        <w:tc>
          <w:tcPr>
            <w:tcW w:w="1772" w:type="dxa"/>
          </w:tcPr>
          <w:p>
            <w:pPr>
              <w:rPr>
                <w:rFonts w:ascii="宋体" w:hAnsi="宋体" w:cs="宋体"/>
                <w:color w:val="auto"/>
                <w:szCs w:val="21"/>
              </w:rPr>
            </w:pPr>
          </w:p>
        </w:tc>
        <w:tc>
          <w:tcPr>
            <w:tcW w:w="583" w:type="dxa"/>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034" w:type="dxa"/>
          </w:tcPr>
          <w:p>
            <w:pPr>
              <w:rPr>
                <w:rFonts w:ascii="宋体" w:hAnsi="宋体" w:cs="宋体"/>
                <w:color w:val="auto"/>
                <w:szCs w:val="21"/>
              </w:rPr>
            </w:pPr>
          </w:p>
        </w:tc>
        <w:tc>
          <w:tcPr>
            <w:tcW w:w="1020" w:type="dxa"/>
          </w:tcPr>
          <w:p>
            <w:pPr>
              <w:rPr>
                <w:rFonts w:ascii="宋体" w:hAnsi="宋体" w:cs="宋体"/>
                <w:color w:val="auto"/>
                <w:szCs w:val="21"/>
              </w:rPr>
            </w:pPr>
          </w:p>
        </w:tc>
        <w:tc>
          <w:tcPr>
            <w:tcW w:w="1320" w:type="dxa"/>
          </w:tcPr>
          <w:p>
            <w:pPr>
              <w:rPr>
                <w:rFonts w:ascii="宋体" w:hAnsi="宋体" w:cs="宋体"/>
                <w:color w:val="auto"/>
                <w:szCs w:val="21"/>
              </w:rPr>
            </w:pPr>
          </w:p>
        </w:tc>
        <w:tc>
          <w:tcPr>
            <w:tcW w:w="780" w:type="dxa"/>
          </w:tcPr>
          <w:p>
            <w:pPr>
              <w:rPr>
                <w:rFonts w:ascii="宋体" w:hAnsi="宋体" w:cs="宋体"/>
                <w:color w:val="auto"/>
                <w:szCs w:val="21"/>
              </w:rPr>
            </w:pPr>
          </w:p>
        </w:tc>
        <w:tc>
          <w:tcPr>
            <w:tcW w:w="705" w:type="dxa"/>
          </w:tcPr>
          <w:p>
            <w:pPr>
              <w:rPr>
                <w:rFonts w:ascii="宋体" w:hAnsi="宋体" w:cs="宋体"/>
                <w:color w:val="auto"/>
                <w:szCs w:val="21"/>
              </w:rPr>
            </w:pPr>
          </w:p>
        </w:tc>
        <w:tc>
          <w:tcPr>
            <w:tcW w:w="1772" w:type="dxa"/>
          </w:tcPr>
          <w:p>
            <w:pPr>
              <w:rPr>
                <w:rFonts w:ascii="宋体" w:hAnsi="宋体" w:cs="宋体"/>
                <w:color w:val="auto"/>
                <w:szCs w:val="21"/>
              </w:rPr>
            </w:pPr>
          </w:p>
        </w:tc>
        <w:tc>
          <w:tcPr>
            <w:tcW w:w="583" w:type="dxa"/>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034" w:type="dxa"/>
          </w:tcPr>
          <w:p>
            <w:pPr>
              <w:rPr>
                <w:rFonts w:ascii="宋体" w:hAnsi="宋体" w:cs="宋体"/>
                <w:color w:val="auto"/>
                <w:szCs w:val="21"/>
              </w:rPr>
            </w:pPr>
          </w:p>
        </w:tc>
        <w:tc>
          <w:tcPr>
            <w:tcW w:w="1020" w:type="dxa"/>
          </w:tcPr>
          <w:p>
            <w:pPr>
              <w:rPr>
                <w:rFonts w:ascii="宋体" w:hAnsi="宋体" w:cs="宋体"/>
                <w:color w:val="auto"/>
                <w:szCs w:val="21"/>
              </w:rPr>
            </w:pPr>
          </w:p>
        </w:tc>
        <w:tc>
          <w:tcPr>
            <w:tcW w:w="1320" w:type="dxa"/>
          </w:tcPr>
          <w:p>
            <w:pPr>
              <w:rPr>
                <w:rFonts w:ascii="宋体" w:hAnsi="宋体" w:cs="宋体"/>
                <w:color w:val="auto"/>
                <w:szCs w:val="21"/>
              </w:rPr>
            </w:pPr>
          </w:p>
        </w:tc>
        <w:tc>
          <w:tcPr>
            <w:tcW w:w="780" w:type="dxa"/>
          </w:tcPr>
          <w:p>
            <w:pPr>
              <w:rPr>
                <w:rFonts w:ascii="宋体" w:hAnsi="宋体" w:cs="宋体"/>
                <w:color w:val="auto"/>
                <w:szCs w:val="21"/>
              </w:rPr>
            </w:pPr>
          </w:p>
        </w:tc>
        <w:tc>
          <w:tcPr>
            <w:tcW w:w="705" w:type="dxa"/>
          </w:tcPr>
          <w:p>
            <w:pPr>
              <w:rPr>
                <w:rFonts w:ascii="宋体" w:hAnsi="宋体" w:cs="宋体"/>
                <w:color w:val="auto"/>
                <w:szCs w:val="21"/>
              </w:rPr>
            </w:pPr>
          </w:p>
        </w:tc>
        <w:tc>
          <w:tcPr>
            <w:tcW w:w="1772" w:type="dxa"/>
          </w:tcPr>
          <w:p>
            <w:pPr>
              <w:rPr>
                <w:rFonts w:ascii="宋体" w:hAnsi="宋体" w:cs="宋体"/>
                <w:color w:val="auto"/>
                <w:szCs w:val="21"/>
              </w:rPr>
            </w:pPr>
          </w:p>
        </w:tc>
        <w:tc>
          <w:tcPr>
            <w:tcW w:w="583" w:type="dxa"/>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034" w:type="dxa"/>
          </w:tcPr>
          <w:p>
            <w:pPr>
              <w:rPr>
                <w:rFonts w:ascii="宋体" w:hAnsi="宋体" w:cs="宋体"/>
                <w:color w:val="auto"/>
                <w:szCs w:val="21"/>
              </w:rPr>
            </w:pPr>
          </w:p>
        </w:tc>
        <w:tc>
          <w:tcPr>
            <w:tcW w:w="1020" w:type="dxa"/>
          </w:tcPr>
          <w:p>
            <w:pPr>
              <w:rPr>
                <w:rFonts w:ascii="宋体" w:hAnsi="宋体" w:cs="宋体"/>
                <w:color w:val="auto"/>
                <w:szCs w:val="21"/>
              </w:rPr>
            </w:pPr>
          </w:p>
        </w:tc>
        <w:tc>
          <w:tcPr>
            <w:tcW w:w="1320" w:type="dxa"/>
          </w:tcPr>
          <w:p>
            <w:pPr>
              <w:rPr>
                <w:rFonts w:ascii="宋体" w:hAnsi="宋体" w:cs="宋体"/>
                <w:color w:val="auto"/>
                <w:szCs w:val="21"/>
              </w:rPr>
            </w:pPr>
          </w:p>
        </w:tc>
        <w:tc>
          <w:tcPr>
            <w:tcW w:w="780" w:type="dxa"/>
          </w:tcPr>
          <w:p>
            <w:pPr>
              <w:rPr>
                <w:rFonts w:ascii="宋体" w:hAnsi="宋体" w:cs="宋体"/>
                <w:color w:val="auto"/>
                <w:szCs w:val="21"/>
              </w:rPr>
            </w:pPr>
          </w:p>
        </w:tc>
        <w:tc>
          <w:tcPr>
            <w:tcW w:w="705" w:type="dxa"/>
          </w:tcPr>
          <w:p>
            <w:pPr>
              <w:rPr>
                <w:rFonts w:ascii="宋体" w:hAnsi="宋体" w:cs="宋体"/>
                <w:color w:val="auto"/>
                <w:szCs w:val="21"/>
              </w:rPr>
            </w:pPr>
          </w:p>
        </w:tc>
        <w:tc>
          <w:tcPr>
            <w:tcW w:w="1772" w:type="dxa"/>
          </w:tcPr>
          <w:p>
            <w:pPr>
              <w:rPr>
                <w:rFonts w:ascii="宋体" w:hAnsi="宋体" w:cs="宋体"/>
                <w:color w:val="auto"/>
                <w:szCs w:val="21"/>
              </w:rPr>
            </w:pPr>
          </w:p>
        </w:tc>
        <w:tc>
          <w:tcPr>
            <w:tcW w:w="583" w:type="dxa"/>
          </w:tcPr>
          <w:p>
            <w:pPr>
              <w:rPr>
                <w:rFonts w:ascii="宋体" w:hAnsi="宋体" w:cs="宋体"/>
                <w:color w:val="auto"/>
                <w:szCs w:val="21"/>
              </w:rPr>
            </w:pPr>
          </w:p>
        </w:tc>
      </w:tr>
    </w:tbl>
    <w:p>
      <w:pPr>
        <w:pStyle w:val="7"/>
        <w:spacing w:line="360" w:lineRule="auto"/>
        <w:ind w:right="86"/>
        <w:outlineLvl w:val="0"/>
        <w:rPr>
          <w:rFonts w:hAnsi="宋体" w:cs="宋体"/>
          <w:b/>
          <w:color w:val="auto"/>
          <w:sz w:val="24"/>
          <w:szCs w:val="24"/>
        </w:rPr>
      </w:pPr>
    </w:p>
    <w:p>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ascii="宋体" w:hAnsi="宋体" w:cs="宋体"/>
          <w:color w:val="auto"/>
          <w:sz w:val="24"/>
        </w:rPr>
      </w:pPr>
      <w:r>
        <w:rPr>
          <w:rFonts w:hint="eastAsia" w:ascii="宋体" w:hAnsi="宋体" w:cs="宋体"/>
          <w:color w:val="auto"/>
          <w:sz w:val="24"/>
        </w:rPr>
        <w:t>注：（仅限于供应商自身实施的项目）以上业绩需提供有关书面证明材料复印件（如成交通知书/成交通知书、采购合同）。</w:t>
      </w:r>
    </w:p>
    <w:p>
      <w:pPr>
        <w:spacing w:line="400" w:lineRule="exact"/>
        <w:rPr>
          <w:rFonts w:ascii="宋体" w:hAnsi="宋体" w:cs="宋体"/>
          <w:color w:val="auto"/>
          <w:sz w:val="24"/>
        </w:rPr>
      </w:pPr>
    </w:p>
    <w:p>
      <w:pPr>
        <w:adjustRightInd w:val="0"/>
        <w:spacing w:line="400" w:lineRule="exact"/>
        <w:ind w:firstLine="480" w:firstLineChars="200"/>
        <w:jc w:val="left"/>
        <w:rPr>
          <w:rFonts w:ascii="宋体" w:hAnsi="宋体" w:cs="宋体"/>
          <w:color w:val="auto"/>
          <w:sz w:val="24"/>
        </w:rPr>
      </w:pPr>
      <w:r>
        <w:rPr>
          <w:rFonts w:hint="eastAsia" w:ascii="宋体" w:hAnsi="宋体" w:cs="宋体"/>
          <w:color w:val="auto"/>
          <w:sz w:val="24"/>
        </w:rPr>
        <w:t xml:space="preserve">供应商（盖章）：         </w:t>
      </w:r>
    </w:p>
    <w:p>
      <w:pPr>
        <w:adjustRightInd w:val="0"/>
        <w:spacing w:line="400" w:lineRule="exact"/>
        <w:ind w:firstLine="480" w:firstLineChars="200"/>
        <w:jc w:val="left"/>
        <w:rPr>
          <w:rFonts w:ascii="宋体" w:hAnsi="宋体" w:cs="宋体"/>
          <w:color w:val="auto"/>
          <w:sz w:val="24"/>
        </w:rPr>
      </w:pPr>
    </w:p>
    <w:p>
      <w:pPr>
        <w:spacing w:line="400" w:lineRule="exact"/>
        <w:ind w:right="480" w:firstLine="480" w:firstLineChars="200"/>
        <w:jc w:val="left"/>
        <w:rPr>
          <w:rFonts w:ascii="宋体" w:hAnsi="宋体" w:cs="宋体"/>
          <w:bCs/>
          <w:color w:val="auto"/>
          <w:sz w:val="24"/>
        </w:rPr>
      </w:pPr>
      <w:r>
        <w:rPr>
          <w:rFonts w:hint="eastAsia" w:ascii="宋体" w:hAnsi="宋体" w:cs="宋体"/>
          <w:color w:val="auto"/>
          <w:sz w:val="24"/>
        </w:rPr>
        <w:t>法定代表人或授权委托人（签字或盖章）：</w:t>
      </w:r>
    </w:p>
    <w:p>
      <w:pPr>
        <w:spacing w:line="400" w:lineRule="exact"/>
        <w:ind w:right="480" w:firstLine="480" w:firstLineChars="200"/>
        <w:jc w:val="right"/>
        <w:rPr>
          <w:rFonts w:ascii="宋体" w:hAnsi="宋体" w:cs="宋体"/>
          <w:b/>
          <w:color w:val="auto"/>
          <w:sz w:val="24"/>
        </w:rPr>
      </w:pPr>
      <w:r>
        <w:rPr>
          <w:rFonts w:hint="eastAsia" w:ascii="宋体" w:hAnsi="宋体" w:cs="宋体"/>
          <w:bCs/>
          <w:color w:val="auto"/>
          <w:sz w:val="24"/>
        </w:rPr>
        <w:t>年  月  日</w:t>
      </w:r>
    </w:p>
    <w:p>
      <w:pPr>
        <w:spacing w:line="420" w:lineRule="exact"/>
        <w:rPr>
          <w:rFonts w:ascii="宋体" w:hAnsi="宋体" w:cs="宋体"/>
          <w:b/>
          <w:bCs/>
          <w:color w:val="auto"/>
          <w:sz w:val="28"/>
          <w:szCs w:val="28"/>
        </w:rPr>
      </w:pPr>
    </w:p>
    <w:p>
      <w:pPr>
        <w:jc w:val="left"/>
        <w:rPr>
          <w:rFonts w:ascii="宋体" w:hAnsi="宋体" w:cs="宋体"/>
          <w:color w:val="auto"/>
          <w:sz w:val="24"/>
        </w:rPr>
      </w:pPr>
    </w:p>
    <w:p>
      <w:pPr>
        <w:pageBreakBefore/>
        <w:jc w:val="center"/>
        <w:rPr>
          <w:rFonts w:ascii="宋体" w:hAnsi="宋体" w:cs="宋体"/>
          <w:b/>
          <w:color w:val="auto"/>
          <w:sz w:val="28"/>
          <w:szCs w:val="28"/>
        </w:rPr>
      </w:pPr>
      <w:r>
        <w:rPr>
          <w:rFonts w:hint="eastAsia" w:ascii="宋体" w:hAnsi="宋体" w:cs="宋体"/>
          <w:b/>
          <w:color w:val="auto"/>
          <w:sz w:val="28"/>
          <w:szCs w:val="28"/>
        </w:rPr>
        <w:t>11、维保服务方案及承诺</w:t>
      </w:r>
    </w:p>
    <w:p>
      <w:pPr>
        <w:jc w:val="left"/>
        <w:rPr>
          <w:rFonts w:ascii="宋体" w:hAnsi="宋体" w:cs="宋体"/>
          <w:color w:val="auto"/>
          <w:szCs w:val="21"/>
        </w:rPr>
      </w:pPr>
    </w:p>
    <w:p>
      <w:pPr>
        <w:jc w:val="left"/>
        <w:rPr>
          <w:rFonts w:ascii="宋体" w:hAnsi="宋体" w:cs="宋体"/>
          <w:color w:val="auto"/>
          <w:sz w:val="24"/>
        </w:rPr>
      </w:pPr>
      <w:r>
        <w:rPr>
          <w:color w:val="auto"/>
        </w:rPr>
        <w:t>内容、格式自拟，内容应包括但不限于磋商文件中规定的内容。</w:t>
      </w:r>
    </w:p>
    <w:p>
      <w:pPr>
        <w:jc w:val="left"/>
        <w:rPr>
          <w:rFonts w:ascii="宋体" w:hAnsi="宋体" w:cs="宋体"/>
          <w:color w:val="auto"/>
          <w:sz w:val="24"/>
        </w:rPr>
      </w:pPr>
    </w:p>
    <w:p>
      <w:pPr>
        <w:jc w:val="left"/>
        <w:rPr>
          <w:rFonts w:ascii="宋体" w:hAnsi="宋体" w:cs="宋体"/>
          <w:color w:val="auto"/>
          <w:sz w:val="24"/>
        </w:rPr>
      </w:pPr>
    </w:p>
    <w:p>
      <w:pPr>
        <w:pageBreakBefore/>
        <w:jc w:val="center"/>
        <w:rPr>
          <w:rFonts w:ascii="宋体" w:hAnsi="宋体" w:cs="宋体"/>
          <w:b/>
          <w:color w:val="auto"/>
          <w:sz w:val="28"/>
          <w:szCs w:val="28"/>
        </w:rPr>
      </w:pPr>
      <w:r>
        <w:rPr>
          <w:rFonts w:hint="eastAsia" w:ascii="宋体" w:hAnsi="宋体" w:cs="宋体"/>
          <w:b/>
          <w:color w:val="auto"/>
          <w:sz w:val="28"/>
          <w:szCs w:val="28"/>
        </w:rPr>
        <w:t>12、资格性/符合性自查表</w:t>
      </w:r>
    </w:p>
    <w:tbl>
      <w:tblPr>
        <w:tblStyle w:val="16"/>
        <w:tblW w:w="9162" w:type="dxa"/>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1391"/>
        <w:gridCol w:w="3295"/>
        <w:gridCol w:w="2106"/>
        <w:gridCol w:w="2370"/>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1213" w:hRule="exact"/>
        </w:trPr>
        <w:tc>
          <w:tcPr>
            <w:tcW w:w="1391" w:type="dxa"/>
            <w:tcBorders>
              <w:top w:val="outset" w:color="111111" w:sz="6" w:space="0"/>
              <w:left w:val="outset" w:color="111111" w:sz="6" w:space="0"/>
              <w:bottom w:val="outset" w:color="111111" w:sz="6" w:space="0"/>
              <w:right w:val="outset" w:color="111111" w:sz="6" w:space="0"/>
            </w:tcBorders>
            <w:vAlign w:val="center"/>
          </w:tcPr>
          <w:p>
            <w:pPr>
              <w:spacing w:line="380" w:lineRule="exact"/>
              <w:jc w:val="center"/>
              <w:rPr>
                <w:rFonts w:ascii="宋体" w:hAnsi="宋体" w:cs="宋体"/>
                <w:color w:val="auto"/>
                <w:sz w:val="24"/>
              </w:rPr>
            </w:pPr>
            <w:r>
              <w:rPr>
                <w:rFonts w:hint="eastAsia" w:ascii="宋体" w:hAnsi="宋体" w:cs="宋体"/>
                <w:b/>
                <w:bCs/>
                <w:color w:val="auto"/>
                <w:spacing w:val="10"/>
                <w:sz w:val="24"/>
              </w:rPr>
              <w:t>评审内容</w:t>
            </w:r>
          </w:p>
        </w:tc>
        <w:tc>
          <w:tcPr>
            <w:tcW w:w="3295" w:type="dxa"/>
            <w:tcBorders>
              <w:top w:val="outset" w:color="111111" w:sz="6" w:space="0"/>
              <w:left w:val="outset" w:color="111111" w:sz="6" w:space="0"/>
              <w:bottom w:val="outset" w:color="111111" w:sz="6" w:space="0"/>
              <w:right w:val="outset" w:color="111111" w:sz="6" w:space="0"/>
            </w:tcBorders>
            <w:vAlign w:val="center"/>
          </w:tcPr>
          <w:p>
            <w:pPr>
              <w:spacing w:line="380" w:lineRule="exact"/>
              <w:jc w:val="center"/>
              <w:rPr>
                <w:rFonts w:ascii="宋体" w:hAnsi="宋体" w:cs="宋体"/>
                <w:color w:val="auto"/>
                <w:sz w:val="24"/>
              </w:rPr>
            </w:pPr>
            <w:r>
              <w:rPr>
                <w:rFonts w:hint="eastAsia" w:ascii="宋体" w:hAnsi="宋体" w:cs="宋体"/>
                <w:b/>
                <w:bCs/>
                <w:color w:val="auto"/>
                <w:spacing w:val="10"/>
                <w:sz w:val="24"/>
              </w:rPr>
              <w:t>采购文件要求</w:t>
            </w:r>
            <w:r>
              <w:rPr>
                <w:rFonts w:hint="eastAsia" w:ascii="宋体" w:hAnsi="宋体" w:cs="宋体"/>
                <w:color w:val="auto"/>
              </w:rPr>
              <w:br w:type="textWrapping"/>
            </w:r>
            <w:r>
              <w:rPr>
                <w:rFonts w:hint="eastAsia" w:ascii="宋体" w:hAnsi="宋体" w:cs="宋体"/>
                <w:color w:val="auto"/>
                <w:sz w:val="24"/>
              </w:rPr>
              <w:t>（详见《资格性和符合性审查表》各项）</w:t>
            </w:r>
          </w:p>
        </w:tc>
        <w:tc>
          <w:tcPr>
            <w:tcW w:w="2106" w:type="dxa"/>
            <w:tcBorders>
              <w:top w:val="outset" w:color="111111" w:sz="6" w:space="0"/>
              <w:left w:val="outset" w:color="111111" w:sz="6" w:space="0"/>
              <w:bottom w:val="outset" w:color="111111" w:sz="6" w:space="0"/>
              <w:right w:val="outset" w:color="111111" w:sz="6" w:space="0"/>
            </w:tcBorders>
            <w:vAlign w:val="center"/>
          </w:tcPr>
          <w:p>
            <w:pPr>
              <w:spacing w:line="380" w:lineRule="exact"/>
              <w:jc w:val="center"/>
              <w:rPr>
                <w:rFonts w:ascii="宋体" w:hAnsi="宋体" w:cs="宋体"/>
                <w:color w:val="auto"/>
                <w:sz w:val="24"/>
              </w:rPr>
            </w:pPr>
            <w:r>
              <w:rPr>
                <w:rFonts w:hint="eastAsia" w:ascii="宋体" w:hAnsi="宋体" w:cs="宋体"/>
                <w:b/>
                <w:bCs/>
                <w:color w:val="auto"/>
                <w:spacing w:val="10"/>
                <w:sz w:val="24"/>
              </w:rPr>
              <w:t>自查结论</w:t>
            </w:r>
          </w:p>
        </w:tc>
        <w:tc>
          <w:tcPr>
            <w:tcW w:w="2370" w:type="dxa"/>
            <w:tcBorders>
              <w:top w:val="outset" w:color="111111" w:sz="6" w:space="0"/>
              <w:left w:val="outset" w:color="111111" w:sz="6" w:space="0"/>
              <w:bottom w:val="outset" w:color="111111" w:sz="6" w:space="0"/>
              <w:right w:val="outset" w:color="111111" w:sz="6" w:space="0"/>
            </w:tcBorders>
            <w:vAlign w:val="center"/>
          </w:tcPr>
          <w:p>
            <w:pPr>
              <w:spacing w:line="380" w:lineRule="exact"/>
              <w:jc w:val="center"/>
              <w:rPr>
                <w:rFonts w:ascii="宋体" w:hAnsi="宋体" w:cs="宋体"/>
                <w:color w:val="auto"/>
                <w:sz w:val="24"/>
              </w:rPr>
            </w:pPr>
            <w:r>
              <w:rPr>
                <w:rFonts w:hint="eastAsia" w:ascii="宋体" w:hAnsi="宋体" w:cs="宋体"/>
                <w:b/>
                <w:bCs/>
                <w:color w:val="auto"/>
                <w:spacing w:val="10"/>
                <w:sz w:val="24"/>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510" w:hRule="exact"/>
        </w:trPr>
        <w:tc>
          <w:tcPr>
            <w:tcW w:w="1391" w:type="dxa"/>
            <w:vMerge w:val="restart"/>
            <w:tcBorders>
              <w:top w:val="outset" w:color="111111" w:sz="6" w:space="0"/>
              <w:left w:val="outset" w:color="111111" w:sz="6" w:space="0"/>
              <w:right w:val="outset" w:color="111111" w:sz="6"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资格性审查</w:t>
            </w:r>
          </w:p>
        </w:tc>
        <w:tc>
          <w:tcPr>
            <w:tcW w:w="3295" w:type="dxa"/>
            <w:tcBorders>
              <w:top w:val="outset" w:color="111111" w:sz="6" w:space="0"/>
              <w:left w:val="outset" w:color="111111" w:sz="6" w:space="0"/>
              <w:bottom w:val="outset" w:color="111111" w:sz="6" w:space="0"/>
              <w:right w:val="outset" w:color="111111" w:sz="6" w:space="0"/>
            </w:tcBorders>
            <w:vAlign w:val="center"/>
          </w:tcPr>
          <w:p>
            <w:pPr>
              <w:spacing w:line="360" w:lineRule="auto"/>
              <w:jc w:val="center"/>
              <w:rPr>
                <w:rFonts w:ascii="宋体" w:hAnsi="宋体" w:cs="宋体"/>
                <w:color w:val="auto"/>
                <w:sz w:val="24"/>
              </w:rPr>
            </w:pPr>
          </w:p>
        </w:tc>
        <w:tc>
          <w:tcPr>
            <w:tcW w:w="2106" w:type="dxa"/>
            <w:tcBorders>
              <w:top w:val="outset" w:color="111111" w:sz="6" w:space="0"/>
              <w:left w:val="outset" w:color="111111" w:sz="6" w:space="0"/>
              <w:bottom w:val="outset" w:color="111111" w:sz="6" w:space="0"/>
              <w:right w:val="outset" w:color="111111" w:sz="6"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□通过 □不通过</w:t>
            </w:r>
          </w:p>
        </w:tc>
        <w:tc>
          <w:tcPr>
            <w:tcW w:w="2370" w:type="dxa"/>
            <w:tcBorders>
              <w:top w:val="outset" w:color="111111" w:sz="6" w:space="0"/>
              <w:left w:val="outset" w:color="111111" w:sz="6" w:space="0"/>
              <w:bottom w:val="outset" w:color="111111" w:sz="6" w:space="0"/>
              <w:right w:val="outset" w:color="111111" w:sz="6"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见响应文件第（）页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510" w:hRule="exact"/>
        </w:trPr>
        <w:tc>
          <w:tcPr>
            <w:tcW w:w="1391" w:type="dxa"/>
            <w:vMerge w:val="continue"/>
            <w:tcBorders>
              <w:left w:val="outset" w:color="111111" w:sz="6" w:space="0"/>
              <w:right w:val="outset" w:color="111111" w:sz="6" w:space="0"/>
            </w:tcBorders>
            <w:vAlign w:val="center"/>
          </w:tcPr>
          <w:p>
            <w:pPr>
              <w:spacing w:line="360" w:lineRule="auto"/>
              <w:jc w:val="center"/>
              <w:rPr>
                <w:rFonts w:ascii="宋体" w:hAnsi="宋体" w:cs="宋体"/>
                <w:color w:val="auto"/>
                <w:sz w:val="24"/>
              </w:rPr>
            </w:pPr>
          </w:p>
        </w:tc>
        <w:tc>
          <w:tcPr>
            <w:tcW w:w="3295" w:type="dxa"/>
            <w:tcBorders>
              <w:top w:val="outset" w:color="111111" w:sz="6" w:space="0"/>
              <w:left w:val="outset" w:color="111111" w:sz="6" w:space="0"/>
              <w:bottom w:val="outset" w:color="111111" w:sz="6" w:space="0"/>
              <w:right w:val="outset" w:color="111111" w:sz="6" w:space="0"/>
            </w:tcBorders>
            <w:vAlign w:val="center"/>
          </w:tcPr>
          <w:p>
            <w:pPr>
              <w:spacing w:line="360" w:lineRule="auto"/>
              <w:jc w:val="center"/>
              <w:rPr>
                <w:rFonts w:ascii="宋体" w:hAnsi="宋体" w:cs="宋体"/>
                <w:color w:val="auto"/>
                <w:sz w:val="24"/>
              </w:rPr>
            </w:pPr>
          </w:p>
        </w:tc>
        <w:tc>
          <w:tcPr>
            <w:tcW w:w="2106" w:type="dxa"/>
            <w:tcBorders>
              <w:top w:val="outset" w:color="111111" w:sz="6" w:space="0"/>
              <w:left w:val="outset" w:color="111111" w:sz="6" w:space="0"/>
              <w:bottom w:val="outset" w:color="111111" w:sz="6" w:space="0"/>
              <w:right w:val="outset" w:color="111111" w:sz="6"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□通过 □不通过</w:t>
            </w:r>
          </w:p>
        </w:tc>
        <w:tc>
          <w:tcPr>
            <w:tcW w:w="2370" w:type="dxa"/>
            <w:tcBorders>
              <w:top w:val="outset" w:color="111111" w:sz="6" w:space="0"/>
              <w:left w:val="outset" w:color="111111" w:sz="6" w:space="0"/>
              <w:bottom w:val="outset" w:color="111111" w:sz="6" w:space="0"/>
              <w:right w:val="outset" w:color="111111" w:sz="6"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见响应文件第（）页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510" w:hRule="exact"/>
        </w:trPr>
        <w:tc>
          <w:tcPr>
            <w:tcW w:w="1391" w:type="dxa"/>
            <w:vMerge w:val="continue"/>
            <w:tcBorders>
              <w:left w:val="outset" w:color="111111" w:sz="6" w:space="0"/>
              <w:right w:val="outset" w:color="111111" w:sz="6" w:space="0"/>
            </w:tcBorders>
            <w:vAlign w:val="center"/>
          </w:tcPr>
          <w:p>
            <w:pPr>
              <w:spacing w:line="360" w:lineRule="auto"/>
              <w:jc w:val="center"/>
              <w:rPr>
                <w:rFonts w:ascii="宋体" w:hAnsi="宋体" w:cs="宋体"/>
                <w:color w:val="auto"/>
                <w:sz w:val="24"/>
              </w:rPr>
            </w:pPr>
          </w:p>
        </w:tc>
        <w:tc>
          <w:tcPr>
            <w:tcW w:w="3295" w:type="dxa"/>
            <w:tcBorders>
              <w:top w:val="outset" w:color="111111" w:sz="6" w:space="0"/>
              <w:left w:val="outset" w:color="111111" w:sz="6" w:space="0"/>
              <w:bottom w:val="outset" w:color="111111" w:sz="6" w:space="0"/>
              <w:right w:val="outset" w:color="111111" w:sz="6" w:space="0"/>
            </w:tcBorders>
            <w:vAlign w:val="center"/>
          </w:tcPr>
          <w:p>
            <w:pPr>
              <w:spacing w:line="360" w:lineRule="auto"/>
              <w:jc w:val="center"/>
              <w:rPr>
                <w:rFonts w:ascii="宋体" w:hAnsi="宋体" w:cs="宋体"/>
                <w:color w:val="auto"/>
                <w:sz w:val="24"/>
              </w:rPr>
            </w:pPr>
          </w:p>
        </w:tc>
        <w:tc>
          <w:tcPr>
            <w:tcW w:w="2106" w:type="dxa"/>
            <w:tcBorders>
              <w:top w:val="outset" w:color="111111" w:sz="6" w:space="0"/>
              <w:left w:val="outset" w:color="111111" w:sz="6" w:space="0"/>
              <w:bottom w:val="outset" w:color="111111" w:sz="6" w:space="0"/>
              <w:right w:val="outset" w:color="111111" w:sz="6"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□通过 □不通过</w:t>
            </w:r>
          </w:p>
        </w:tc>
        <w:tc>
          <w:tcPr>
            <w:tcW w:w="2370" w:type="dxa"/>
            <w:tcBorders>
              <w:top w:val="outset" w:color="111111" w:sz="6" w:space="0"/>
              <w:left w:val="outset" w:color="111111" w:sz="6" w:space="0"/>
              <w:bottom w:val="outset" w:color="111111" w:sz="6" w:space="0"/>
              <w:right w:val="outset" w:color="111111" w:sz="6"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见响应文件第（）页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510" w:hRule="exact"/>
        </w:trPr>
        <w:tc>
          <w:tcPr>
            <w:tcW w:w="1391" w:type="dxa"/>
            <w:vMerge w:val="restart"/>
            <w:tcBorders>
              <w:top w:val="outset" w:color="111111" w:sz="6" w:space="0"/>
              <w:left w:val="outset" w:color="111111" w:sz="6" w:space="0"/>
              <w:right w:val="outset" w:color="111111" w:sz="6"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符合性审查</w:t>
            </w:r>
          </w:p>
        </w:tc>
        <w:tc>
          <w:tcPr>
            <w:tcW w:w="3295" w:type="dxa"/>
            <w:tcBorders>
              <w:top w:val="outset" w:color="111111" w:sz="6" w:space="0"/>
              <w:left w:val="outset" w:color="111111" w:sz="6" w:space="0"/>
              <w:bottom w:val="outset" w:color="111111" w:sz="6" w:space="0"/>
              <w:right w:val="outset" w:color="111111" w:sz="6" w:space="0"/>
            </w:tcBorders>
            <w:vAlign w:val="center"/>
          </w:tcPr>
          <w:p>
            <w:pPr>
              <w:spacing w:line="360" w:lineRule="auto"/>
              <w:jc w:val="center"/>
              <w:rPr>
                <w:rFonts w:ascii="宋体" w:hAnsi="宋体" w:cs="宋体"/>
                <w:color w:val="auto"/>
                <w:sz w:val="24"/>
              </w:rPr>
            </w:pPr>
          </w:p>
        </w:tc>
        <w:tc>
          <w:tcPr>
            <w:tcW w:w="2106" w:type="dxa"/>
            <w:tcBorders>
              <w:top w:val="outset" w:color="111111" w:sz="6" w:space="0"/>
              <w:left w:val="outset" w:color="111111" w:sz="6" w:space="0"/>
              <w:bottom w:val="outset" w:color="111111" w:sz="6" w:space="0"/>
              <w:right w:val="outset" w:color="111111" w:sz="6"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□通过 □不通过</w:t>
            </w:r>
          </w:p>
        </w:tc>
        <w:tc>
          <w:tcPr>
            <w:tcW w:w="2370" w:type="dxa"/>
            <w:tcBorders>
              <w:top w:val="outset" w:color="111111" w:sz="6" w:space="0"/>
              <w:left w:val="outset" w:color="111111" w:sz="6" w:space="0"/>
              <w:bottom w:val="outset" w:color="111111" w:sz="6" w:space="0"/>
              <w:right w:val="outset" w:color="111111" w:sz="6"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见响应文件第（）页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510" w:hRule="exact"/>
        </w:trPr>
        <w:tc>
          <w:tcPr>
            <w:tcW w:w="1391" w:type="dxa"/>
            <w:vMerge w:val="continue"/>
            <w:tcBorders>
              <w:left w:val="outset" w:color="111111" w:sz="6" w:space="0"/>
              <w:right w:val="outset" w:color="111111" w:sz="6" w:space="0"/>
            </w:tcBorders>
            <w:vAlign w:val="center"/>
          </w:tcPr>
          <w:p>
            <w:pPr>
              <w:spacing w:line="360" w:lineRule="auto"/>
              <w:jc w:val="center"/>
              <w:rPr>
                <w:rFonts w:ascii="宋体" w:hAnsi="宋体" w:cs="宋体"/>
                <w:color w:val="auto"/>
                <w:sz w:val="24"/>
              </w:rPr>
            </w:pPr>
          </w:p>
        </w:tc>
        <w:tc>
          <w:tcPr>
            <w:tcW w:w="3295" w:type="dxa"/>
            <w:tcBorders>
              <w:top w:val="outset" w:color="111111" w:sz="6" w:space="0"/>
              <w:left w:val="outset" w:color="111111" w:sz="6" w:space="0"/>
              <w:bottom w:val="outset" w:color="111111" w:sz="6" w:space="0"/>
              <w:right w:val="outset" w:color="111111" w:sz="6" w:space="0"/>
            </w:tcBorders>
            <w:vAlign w:val="center"/>
          </w:tcPr>
          <w:p>
            <w:pPr>
              <w:spacing w:line="360" w:lineRule="auto"/>
              <w:jc w:val="center"/>
              <w:rPr>
                <w:rFonts w:ascii="宋体" w:hAnsi="宋体" w:cs="宋体"/>
                <w:color w:val="auto"/>
                <w:sz w:val="24"/>
              </w:rPr>
            </w:pPr>
          </w:p>
        </w:tc>
        <w:tc>
          <w:tcPr>
            <w:tcW w:w="2106" w:type="dxa"/>
            <w:tcBorders>
              <w:top w:val="outset" w:color="111111" w:sz="6" w:space="0"/>
              <w:left w:val="outset" w:color="111111" w:sz="6" w:space="0"/>
              <w:bottom w:val="outset" w:color="111111" w:sz="6" w:space="0"/>
              <w:right w:val="outset" w:color="111111" w:sz="6"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□通过 □不通过</w:t>
            </w:r>
          </w:p>
        </w:tc>
        <w:tc>
          <w:tcPr>
            <w:tcW w:w="2370" w:type="dxa"/>
            <w:tcBorders>
              <w:top w:val="outset" w:color="111111" w:sz="6" w:space="0"/>
              <w:left w:val="outset" w:color="111111" w:sz="6" w:space="0"/>
              <w:bottom w:val="outset" w:color="111111" w:sz="6" w:space="0"/>
              <w:right w:val="outset" w:color="111111" w:sz="6"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见响应文件第（）页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510" w:hRule="exact"/>
        </w:trPr>
        <w:tc>
          <w:tcPr>
            <w:tcW w:w="1391" w:type="dxa"/>
            <w:vMerge w:val="continue"/>
            <w:tcBorders>
              <w:left w:val="outset" w:color="111111" w:sz="6" w:space="0"/>
              <w:right w:val="outset" w:color="111111" w:sz="6" w:space="0"/>
            </w:tcBorders>
            <w:vAlign w:val="center"/>
          </w:tcPr>
          <w:p>
            <w:pPr>
              <w:spacing w:line="360" w:lineRule="auto"/>
              <w:jc w:val="center"/>
              <w:rPr>
                <w:rFonts w:ascii="宋体" w:hAnsi="宋体" w:cs="宋体"/>
                <w:color w:val="auto"/>
                <w:sz w:val="24"/>
              </w:rPr>
            </w:pPr>
          </w:p>
        </w:tc>
        <w:tc>
          <w:tcPr>
            <w:tcW w:w="3295" w:type="dxa"/>
            <w:tcBorders>
              <w:top w:val="outset" w:color="111111" w:sz="6" w:space="0"/>
              <w:left w:val="outset" w:color="111111" w:sz="6" w:space="0"/>
              <w:bottom w:val="outset" w:color="111111" w:sz="6" w:space="0"/>
              <w:right w:val="outset" w:color="111111" w:sz="6" w:space="0"/>
            </w:tcBorders>
            <w:vAlign w:val="center"/>
          </w:tcPr>
          <w:p>
            <w:pPr>
              <w:spacing w:line="360" w:lineRule="auto"/>
              <w:jc w:val="center"/>
              <w:rPr>
                <w:rFonts w:ascii="宋体" w:hAnsi="宋体" w:cs="宋体"/>
                <w:color w:val="auto"/>
                <w:sz w:val="24"/>
              </w:rPr>
            </w:pPr>
          </w:p>
        </w:tc>
        <w:tc>
          <w:tcPr>
            <w:tcW w:w="2106" w:type="dxa"/>
            <w:tcBorders>
              <w:top w:val="outset" w:color="111111" w:sz="6" w:space="0"/>
              <w:left w:val="outset" w:color="111111" w:sz="6" w:space="0"/>
              <w:bottom w:val="outset" w:color="111111" w:sz="6" w:space="0"/>
              <w:right w:val="outset" w:color="111111" w:sz="6"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□通过 □不通过</w:t>
            </w:r>
          </w:p>
        </w:tc>
        <w:tc>
          <w:tcPr>
            <w:tcW w:w="2370" w:type="dxa"/>
            <w:tcBorders>
              <w:top w:val="outset" w:color="111111" w:sz="6" w:space="0"/>
              <w:left w:val="outset" w:color="111111" w:sz="6" w:space="0"/>
              <w:bottom w:val="outset" w:color="111111" w:sz="6" w:space="0"/>
              <w:right w:val="outset" w:color="111111" w:sz="6"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见响应文件第（）页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510" w:hRule="exact"/>
        </w:trPr>
        <w:tc>
          <w:tcPr>
            <w:tcW w:w="1391" w:type="dxa"/>
            <w:vMerge w:val="continue"/>
            <w:tcBorders>
              <w:left w:val="outset" w:color="111111" w:sz="6" w:space="0"/>
              <w:right w:val="outset" w:color="111111" w:sz="6" w:space="0"/>
            </w:tcBorders>
            <w:vAlign w:val="center"/>
          </w:tcPr>
          <w:p>
            <w:pPr>
              <w:spacing w:line="360" w:lineRule="auto"/>
              <w:jc w:val="center"/>
              <w:rPr>
                <w:rFonts w:ascii="宋体" w:hAnsi="宋体" w:cs="宋体"/>
                <w:color w:val="auto"/>
                <w:sz w:val="24"/>
              </w:rPr>
            </w:pPr>
          </w:p>
        </w:tc>
        <w:tc>
          <w:tcPr>
            <w:tcW w:w="3295" w:type="dxa"/>
            <w:tcBorders>
              <w:top w:val="outset" w:color="111111" w:sz="6" w:space="0"/>
              <w:left w:val="outset" w:color="111111" w:sz="6" w:space="0"/>
              <w:bottom w:val="outset" w:color="111111" w:sz="6" w:space="0"/>
              <w:right w:val="outset" w:color="111111" w:sz="6" w:space="0"/>
            </w:tcBorders>
            <w:vAlign w:val="center"/>
          </w:tcPr>
          <w:p>
            <w:pPr>
              <w:spacing w:line="360" w:lineRule="auto"/>
              <w:jc w:val="center"/>
              <w:rPr>
                <w:rFonts w:ascii="宋体" w:hAnsi="宋体" w:cs="宋体"/>
                <w:color w:val="auto"/>
                <w:sz w:val="24"/>
              </w:rPr>
            </w:pPr>
          </w:p>
        </w:tc>
        <w:tc>
          <w:tcPr>
            <w:tcW w:w="2106" w:type="dxa"/>
            <w:tcBorders>
              <w:top w:val="outset" w:color="111111" w:sz="6" w:space="0"/>
              <w:left w:val="outset" w:color="111111" w:sz="6" w:space="0"/>
              <w:bottom w:val="outset" w:color="111111" w:sz="6" w:space="0"/>
              <w:right w:val="outset" w:color="111111" w:sz="6"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□通过 □不通过</w:t>
            </w:r>
          </w:p>
        </w:tc>
        <w:tc>
          <w:tcPr>
            <w:tcW w:w="2370" w:type="dxa"/>
            <w:tcBorders>
              <w:top w:val="outset" w:color="111111" w:sz="6" w:space="0"/>
              <w:left w:val="outset" w:color="111111" w:sz="6" w:space="0"/>
              <w:bottom w:val="outset" w:color="111111" w:sz="6" w:space="0"/>
              <w:right w:val="outset" w:color="111111" w:sz="6"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见响应文件第（）页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510" w:hRule="exact"/>
        </w:trPr>
        <w:tc>
          <w:tcPr>
            <w:tcW w:w="1391" w:type="dxa"/>
            <w:vMerge w:val="continue"/>
            <w:tcBorders>
              <w:left w:val="outset" w:color="111111" w:sz="6" w:space="0"/>
              <w:right w:val="outset" w:color="111111" w:sz="6" w:space="0"/>
            </w:tcBorders>
            <w:vAlign w:val="center"/>
          </w:tcPr>
          <w:p>
            <w:pPr>
              <w:spacing w:line="360" w:lineRule="auto"/>
              <w:jc w:val="center"/>
              <w:rPr>
                <w:rFonts w:ascii="宋体" w:hAnsi="宋体" w:cs="宋体"/>
                <w:color w:val="auto"/>
                <w:sz w:val="24"/>
              </w:rPr>
            </w:pPr>
          </w:p>
        </w:tc>
        <w:tc>
          <w:tcPr>
            <w:tcW w:w="3295" w:type="dxa"/>
            <w:tcBorders>
              <w:top w:val="outset" w:color="111111" w:sz="6" w:space="0"/>
              <w:left w:val="outset" w:color="111111" w:sz="6" w:space="0"/>
              <w:bottom w:val="outset" w:color="111111" w:sz="6" w:space="0"/>
              <w:right w:val="outset" w:color="111111" w:sz="6" w:space="0"/>
            </w:tcBorders>
            <w:vAlign w:val="center"/>
          </w:tcPr>
          <w:p>
            <w:pPr>
              <w:spacing w:line="360" w:lineRule="auto"/>
              <w:jc w:val="center"/>
              <w:rPr>
                <w:rFonts w:ascii="宋体" w:hAnsi="宋体" w:cs="宋体"/>
                <w:color w:val="auto"/>
                <w:sz w:val="24"/>
              </w:rPr>
            </w:pPr>
          </w:p>
        </w:tc>
        <w:tc>
          <w:tcPr>
            <w:tcW w:w="2106" w:type="dxa"/>
            <w:tcBorders>
              <w:top w:val="outset" w:color="111111" w:sz="6" w:space="0"/>
              <w:left w:val="outset" w:color="111111" w:sz="6" w:space="0"/>
              <w:bottom w:val="outset" w:color="111111" w:sz="6" w:space="0"/>
              <w:right w:val="outset" w:color="111111" w:sz="6"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□通过 □不通过</w:t>
            </w:r>
          </w:p>
        </w:tc>
        <w:tc>
          <w:tcPr>
            <w:tcW w:w="2370" w:type="dxa"/>
            <w:tcBorders>
              <w:top w:val="outset" w:color="111111" w:sz="6" w:space="0"/>
              <w:left w:val="outset" w:color="111111" w:sz="6" w:space="0"/>
              <w:bottom w:val="outset" w:color="111111" w:sz="6" w:space="0"/>
              <w:right w:val="outset" w:color="111111" w:sz="6"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见响应文件第（）页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510" w:hRule="exact"/>
        </w:trPr>
        <w:tc>
          <w:tcPr>
            <w:tcW w:w="1391" w:type="dxa"/>
            <w:vMerge w:val="continue"/>
            <w:tcBorders>
              <w:left w:val="outset" w:color="111111" w:sz="6" w:space="0"/>
              <w:right w:val="outset" w:color="111111" w:sz="6" w:space="0"/>
            </w:tcBorders>
            <w:vAlign w:val="center"/>
          </w:tcPr>
          <w:p>
            <w:pPr>
              <w:spacing w:line="360" w:lineRule="auto"/>
              <w:jc w:val="center"/>
              <w:rPr>
                <w:rFonts w:ascii="宋体" w:hAnsi="宋体" w:cs="宋体"/>
                <w:color w:val="auto"/>
                <w:sz w:val="24"/>
              </w:rPr>
            </w:pPr>
          </w:p>
        </w:tc>
        <w:tc>
          <w:tcPr>
            <w:tcW w:w="3295" w:type="dxa"/>
            <w:tcBorders>
              <w:top w:val="outset" w:color="111111" w:sz="6" w:space="0"/>
              <w:left w:val="outset" w:color="111111" w:sz="6" w:space="0"/>
              <w:bottom w:val="outset" w:color="111111" w:sz="6" w:space="0"/>
              <w:right w:val="outset" w:color="111111" w:sz="6" w:space="0"/>
            </w:tcBorders>
            <w:vAlign w:val="center"/>
          </w:tcPr>
          <w:p>
            <w:pPr>
              <w:spacing w:line="360" w:lineRule="auto"/>
              <w:jc w:val="center"/>
              <w:rPr>
                <w:rFonts w:ascii="宋体" w:hAnsi="宋体" w:cs="宋体"/>
                <w:color w:val="auto"/>
                <w:sz w:val="24"/>
              </w:rPr>
            </w:pPr>
          </w:p>
        </w:tc>
        <w:tc>
          <w:tcPr>
            <w:tcW w:w="2106" w:type="dxa"/>
            <w:tcBorders>
              <w:top w:val="outset" w:color="111111" w:sz="6" w:space="0"/>
              <w:left w:val="outset" w:color="111111" w:sz="6" w:space="0"/>
              <w:bottom w:val="outset" w:color="111111" w:sz="6" w:space="0"/>
              <w:right w:val="outset" w:color="111111" w:sz="6"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□通过 □不通过</w:t>
            </w:r>
          </w:p>
        </w:tc>
        <w:tc>
          <w:tcPr>
            <w:tcW w:w="2370" w:type="dxa"/>
            <w:tcBorders>
              <w:top w:val="outset" w:color="111111" w:sz="6" w:space="0"/>
              <w:left w:val="outset" w:color="111111" w:sz="6" w:space="0"/>
              <w:bottom w:val="outset" w:color="111111" w:sz="6" w:space="0"/>
              <w:right w:val="outset" w:color="111111" w:sz="6"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见响应文件第（）页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510" w:hRule="exact"/>
        </w:trPr>
        <w:tc>
          <w:tcPr>
            <w:tcW w:w="1391" w:type="dxa"/>
            <w:vMerge w:val="continue"/>
            <w:tcBorders>
              <w:left w:val="outset" w:color="111111" w:sz="6" w:space="0"/>
              <w:right w:val="outset" w:color="111111" w:sz="6" w:space="0"/>
            </w:tcBorders>
            <w:vAlign w:val="center"/>
          </w:tcPr>
          <w:p>
            <w:pPr>
              <w:spacing w:line="360" w:lineRule="auto"/>
              <w:jc w:val="center"/>
              <w:rPr>
                <w:rFonts w:ascii="宋体" w:hAnsi="宋体" w:cs="宋体"/>
                <w:color w:val="auto"/>
                <w:sz w:val="24"/>
              </w:rPr>
            </w:pPr>
          </w:p>
        </w:tc>
        <w:tc>
          <w:tcPr>
            <w:tcW w:w="3295" w:type="dxa"/>
            <w:tcBorders>
              <w:top w:val="outset" w:color="111111" w:sz="6" w:space="0"/>
              <w:left w:val="outset" w:color="111111" w:sz="6" w:space="0"/>
              <w:bottom w:val="outset" w:color="111111" w:sz="6" w:space="0"/>
              <w:right w:val="outset" w:color="111111" w:sz="6" w:space="0"/>
            </w:tcBorders>
            <w:vAlign w:val="center"/>
          </w:tcPr>
          <w:p>
            <w:pPr>
              <w:spacing w:line="360" w:lineRule="auto"/>
              <w:jc w:val="center"/>
              <w:rPr>
                <w:rFonts w:ascii="宋体" w:hAnsi="宋体" w:cs="宋体"/>
                <w:color w:val="auto"/>
                <w:sz w:val="24"/>
              </w:rPr>
            </w:pPr>
          </w:p>
        </w:tc>
        <w:tc>
          <w:tcPr>
            <w:tcW w:w="2106" w:type="dxa"/>
            <w:tcBorders>
              <w:top w:val="outset" w:color="111111" w:sz="6" w:space="0"/>
              <w:left w:val="outset" w:color="111111" w:sz="6" w:space="0"/>
              <w:bottom w:val="outset" w:color="111111" w:sz="6" w:space="0"/>
              <w:right w:val="outset" w:color="111111" w:sz="6"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□通过 □不通过</w:t>
            </w:r>
          </w:p>
        </w:tc>
        <w:tc>
          <w:tcPr>
            <w:tcW w:w="2370" w:type="dxa"/>
            <w:tcBorders>
              <w:top w:val="outset" w:color="111111" w:sz="6" w:space="0"/>
              <w:left w:val="outset" w:color="111111" w:sz="6" w:space="0"/>
              <w:bottom w:val="outset" w:color="111111" w:sz="6" w:space="0"/>
              <w:right w:val="outset" w:color="111111" w:sz="6"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见响应文件第（）页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510" w:hRule="exact"/>
        </w:trPr>
        <w:tc>
          <w:tcPr>
            <w:tcW w:w="1391" w:type="dxa"/>
            <w:vMerge w:val="continue"/>
            <w:tcBorders>
              <w:left w:val="outset" w:color="111111" w:sz="6" w:space="0"/>
              <w:right w:val="outset" w:color="111111" w:sz="6" w:space="0"/>
            </w:tcBorders>
            <w:vAlign w:val="center"/>
          </w:tcPr>
          <w:p>
            <w:pPr>
              <w:spacing w:line="360" w:lineRule="auto"/>
              <w:jc w:val="center"/>
              <w:rPr>
                <w:rFonts w:ascii="宋体" w:hAnsi="宋体" w:cs="宋体"/>
                <w:color w:val="auto"/>
                <w:sz w:val="24"/>
              </w:rPr>
            </w:pPr>
          </w:p>
        </w:tc>
        <w:tc>
          <w:tcPr>
            <w:tcW w:w="3295" w:type="dxa"/>
            <w:tcBorders>
              <w:top w:val="outset" w:color="111111" w:sz="6" w:space="0"/>
              <w:left w:val="outset" w:color="111111" w:sz="6" w:space="0"/>
              <w:bottom w:val="outset" w:color="111111" w:sz="6" w:space="0"/>
              <w:right w:val="outset" w:color="111111" w:sz="6" w:space="0"/>
            </w:tcBorders>
            <w:vAlign w:val="center"/>
          </w:tcPr>
          <w:p>
            <w:pPr>
              <w:spacing w:line="360" w:lineRule="auto"/>
              <w:jc w:val="center"/>
              <w:rPr>
                <w:rFonts w:ascii="宋体" w:hAnsi="宋体" w:cs="宋体"/>
                <w:color w:val="auto"/>
                <w:sz w:val="24"/>
              </w:rPr>
            </w:pPr>
          </w:p>
        </w:tc>
        <w:tc>
          <w:tcPr>
            <w:tcW w:w="2106" w:type="dxa"/>
            <w:tcBorders>
              <w:top w:val="outset" w:color="111111" w:sz="6" w:space="0"/>
              <w:left w:val="outset" w:color="111111" w:sz="6" w:space="0"/>
              <w:bottom w:val="outset" w:color="111111" w:sz="6" w:space="0"/>
              <w:right w:val="outset" w:color="111111" w:sz="6"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□通过 □不通过</w:t>
            </w:r>
          </w:p>
        </w:tc>
        <w:tc>
          <w:tcPr>
            <w:tcW w:w="2370" w:type="dxa"/>
            <w:tcBorders>
              <w:top w:val="outset" w:color="111111" w:sz="6" w:space="0"/>
              <w:left w:val="outset" w:color="111111" w:sz="6" w:space="0"/>
              <w:bottom w:val="outset" w:color="111111" w:sz="6" w:space="0"/>
              <w:right w:val="outset" w:color="111111" w:sz="6"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见响应文件第（）页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510" w:hRule="exact"/>
        </w:trPr>
        <w:tc>
          <w:tcPr>
            <w:tcW w:w="1391" w:type="dxa"/>
            <w:vMerge w:val="continue"/>
            <w:tcBorders>
              <w:left w:val="outset" w:color="111111" w:sz="6" w:space="0"/>
              <w:right w:val="outset" w:color="111111" w:sz="6" w:space="0"/>
            </w:tcBorders>
            <w:vAlign w:val="center"/>
          </w:tcPr>
          <w:p>
            <w:pPr>
              <w:spacing w:line="360" w:lineRule="auto"/>
              <w:jc w:val="center"/>
              <w:rPr>
                <w:rFonts w:ascii="宋体" w:hAnsi="宋体" w:cs="宋体"/>
                <w:color w:val="auto"/>
                <w:sz w:val="24"/>
              </w:rPr>
            </w:pPr>
          </w:p>
        </w:tc>
        <w:tc>
          <w:tcPr>
            <w:tcW w:w="3295" w:type="dxa"/>
            <w:tcBorders>
              <w:top w:val="outset" w:color="111111" w:sz="6" w:space="0"/>
              <w:left w:val="outset" w:color="111111" w:sz="6" w:space="0"/>
              <w:bottom w:val="outset" w:color="111111" w:sz="6" w:space="0"/>
              <w:right w:val="outset" w:color="111111" w:sz="6" w:space="0"/>
            </w:tcBorders>
            <w:vAlign w:val="center"/>
          </w:tcPr>
          <w:p>
            <w:pPr>
              <w:spacing w:line="360" w:lineRule="auto"/>
              <w:jc w:val="center"/>
              <w:rPr>
                <w:rFonts w:ascii="宋体" w:hAnsi="宋体" w:cs="宋体"/>
                <w:color w:val="auto"/>
                <w:sz w:val="24"/>
              </w:rPr>
            </w:pPr>
          </w:p>
        </w:tc>
        <w:tc>
          <w:tcPr>
            <w:tcW w:w="2106" w:type="dxa"/>
            <w:tcBorders>
              <w:top w:val="outset" w:color="111111" w:sz="6" w:space="0"/>
              <w:left w:val="outset" w:color="111111" w:sz="6" w:space="0"/>
              <w:bottom w:val="outset" w:color="111111" w:sz="6" w:space="0"/>
              <w:right w:val="outset" w:color="111111" w:sz="6"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□通过 □不通过</w:t>
            </w:r>
          </w:p>
        </w:tc>
        <w:tc>
          <w:tcPr>
            <w:tcW w:w="2370" w:type="dxa"/>
            <w:tcBorders>
              <w:top w:val="outset" w:color="111111" w:sz="6" w:space="0"/>
              <w:left w:val="outset" w:color="111111" w:sz="6" w:space="0"/>
              <w:bottom w:val="outset" w:color="111111" w:sz="6" w:space="0"/>
              <w:right w:val="outset" w:color="111111" w:sz="6"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见响应文件第（）页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510" w:hRule="exact"/>
        </w:trPr>
        <w:tc>
          <w:tcPr>
            <w:tcW w:w="1391" w:type="dxa"/>
            <w:vMerge w:val="continue"/>
            <w:tcBorders>
              <w:left w:val="outset" w:color="111111" w:sz="6" w:space="0"/>
              <w:right w:val="outset" w:color="111111" w:sz="6" w:space="0"/>
            </w:tcBorders>
            <w:vAlign w:val="center"/>
          </w:tcPr>
          <w:p>
            <w:pPr>
              <w:spacing w:line="360" w:lineRule="auto"/>
              <w:jc w:val="center"/>
              <w:rPr>
                <w:rFonts w:ascii="宋体" w:hAnsi="宋体" w:cs="宋体"/>
                <w:color w:val="auto"/>
                <w:sz w:val="24"/>
              </w:rPr>
            </w:pPr>
          </w:p>
        </w:tc>
        <w:tc>
          <w:tcPr>
            <w:tcW w:w="3295" w:type="dxa"/>
            <w:tcBorders>
              <w:top w:val="outset" w:color="111111" w:sz="6" w:space="0"/>
              <w:left w:val="outset" w:color="111111" w:sz="6" w:space="0"/>
              <w:bottom w:val="outset" w:color="111111" w:sz="6" w:space="0"/>
              <w:right w:val="outset" w:color="111111" w:sz="6" w:space="0"/>
            </w:tcBorders>
            <w:vAlign w:val="center"/>
          </w:tcPr>
          <w:p>
            <w:pPr>
              <w:spacing w:line="360" w:lineRule="auto"/>
              <w:jc w:val="center"/>
              <w:rPr>
                <w:rFonts w:ascii="宋体" w:hAnsi="宋体" w:cs="宋体"/>
                <w:color w:val="auto"/>
                <w:sz w:val="24"/>
              </w:rPr>
            </w:pPr>
          </w:p>
        </w:tc>
        <w:tc>
          <w:tcPr>
            <w:tcW w:w="2106" w:type="dxa"/>
            <w:tcBorders>
              <w:top w:val="outset" w:color="111111" w:sz="6" w:space="0"/>
              <w:left w:val="outset" w:color="111111" w:sz="6" w:space="0"/>
              <w:bottom w:val="outset" w:color="111111" w:sz="6" w:space="0"/>
              <w:right w:val="outset" w:color="111111" w:sz="6"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□通过 □不通过</w:t>
            </w:r>
          </w:p>
        </w:tc>
        <w:tc>
          <w:tcPr>
            <w:tcW w:w="2370" w:type="dxa"/>
            <w:tcBorders>
              <w:top w:val="outset" w:color="111111" w:sz="6" w:space="0"/>
              <w:left w:val="outset" w:color="111111" w:sz="6" w:space="0"/>
              <w:bottom w:val="outset" w:color="111111" w:sz="6" w:space="0"/>
              <w:right w:val="outset" w:color="111111" w:sz="6"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见响应文件第（）页</w:t>
            </w:r>
          </w:p>
        </w:tc>
      </w:tr>
    </w:tbl>
    <w:p>
      <w:pPr>
        <w:spacing w:line="360" w:lineRule="auto"/>
        <w:jc w:val="left"/>
        <w:rPr>
          <w:rFonts w:ascii="宋体" w:hAnsi="宋体" w:cs="宋体"/>
          <w:color w:val="auto"/>
          <w:sz w:val="24"/>
        </w:rPr>
      </w:pPr>
      <w:r>
        <w:rPr>
          <w:rFonts w:hint="eastAsia" w:ascii="宋体" w:hAnsi="宋体" w:cs="宋体"/>
          <w:color w:val="auto"/>
          <w:sz w:val="24"/>
        </w:rPr>
        <w:t>注：1、以上材料将作为磋商供应商有效性审核的重要内容之一，供应商必须严格按照其内容及序列要求在响应文件中对应如实提供，对资格性和符合性证明文件的任何缺漏和不符合项将会直接导致响应文件无效！供应商根据自查结论在对应的□打“√”。</w:t>
      </w:r>
    </w:p>
    <w:p>
      <w:pPr>
        <w:spacing w:line="360" w:lineRule="auto"/>
        <w:ind w:firstLine="480" w:firstLineChars="200"/>
        <w:jc w:val="left"/>
        <w:rPr>
          <w:rFonts w:ascii="宋体" w:hAnsi="宋体" w:cs="宋体"/>
          <w:b/>
          <w:bCs/>
          <w:color w:val="auto"/>
          <w:sz w:val="28"/>
          <w:szCs w:val="28"/>
        </w:rPr>
      </w:pPr>
      <w:r>
        <w:rPr>
          <w:rFonts w:hint="eastAsia" w:ascii="宋体" w:hAnsi="宋体" w:cs="宋体"/>
          <w:color w:val="auto"/>
          <w:sz w:val="24"/>
        </w:rPr>
        <w:t>2、各供应商按此表格式填写，表格不够时可自行添加。</w:t>
      </w:r>
    </w:p>
    <w:p>
      <w:pPr>
        <w:spacing w:line="360" w:lineRule="auto"/>
        <w:rPr>
          <w:rFonts w:ascii="宋体" w:hAnsi="宋体" w:cs="宋体"/>
          <w:b/>
          <w:bCs/>
          <w:color w:val="auto"/>
          <w:sz w:val="30"/>
          <w:szCs w:val="30"/>
        </w:rPr>
      </w:pPr>
    </w:p>
    <w:p>
      <w:pPr>
        <w:spacing w:line="360" w:lineRule="auto"/>
        <w:jc w:val="center"/>
        <w:rPr>
          <w:rFonts w:ascii="宋体" w:hAnsi="宋体" w:cs="宋体"/>
          <w:b/>
          <w:bCs/>
          <w:color w:val="auto"/>
          <w:sz w:val="30"/>
          <w:szCs w:val="30"/>
        </w:rPr>
      </w:pPr>
      <w:r>
        <w:rPr>
          <w:rFonts w:hint="eastAsia" w:ascii="宋体" w:hAnsi="宋体" w:cs="宋体"/>
          <w:b/>
          <w:bCs/>
          <w:color w:val="auto"/>
          <w:sz w:val="30"/>
          <w:szCs w:val="30"/>
        </w:rPr>
        <w:t>第六章、评标标准（综合评估法）</w:t>
      </w:r>
    </w:p>
    <w:p>
      <w:pPr>
        <w:spacing w:line="360" w:lineRule="auto"/>
        <w:rPr>
          <w:rFonts w:ascii="宋体" w:hAnsi="宋体" w:cs="宋体"/>
          <w:b/>
          <w:bCs/>
          <w:color w:val="auto"/>
          <w:sz w:val="24"/>
        </w:rPr>
      </w:pPr>
      <w:r>
        <w:rPr>
          <w:rFonts w:hint="eastAsia" w:ascii="宋体" w:hAnsi="宋体" w:cs="宋体"/>
          <w:b/>
          <w:bCs/>
          <w:color w:val="auto"/>
          <w:sz w:val="24"/>
        </w:rPr>
        <w:t>一、初审</w:t>
      </w:r>
    </w:p>
    <w:p>
      <w:pPr>
        <w:spacing w:line="360" w:lineRule="auto"/>
        <w:rPr>
          <w:rFonts w:ascii="宋体" w:hAnsi="宋体" w:cs="宋体"/>
          <w:b/>
          <w:bCs/>
          <w:color w:val="auto"/>
          <w:sz w:val="24"/>
        </w:rPr>
      </w:pPr>
      <w:r>
        <w:rPr>
          <w:rFonts w:hint="eastAsia" w:ascii="宋体" w:hAnsi="宋体" w:cs="宋体"/>
          <w:b/>
          <w:bCs/>
          <w:color w:val="auto"/>
          <w:sz w:val="24"/>
        </w:rPr>
        <w:t>1、资格性审查</w:t>
      </w:r>
    </w:p>
    <w:tbl>
      <w:tblPr>
        <w:tblStyle w:val="16"/>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684"/>
        <w:gridCol w:w="3266"/>
        <w:gridCol w:w="4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6" w:hRule="atLeast"/>
        </w:trPr>
        <w:tc>
          <w:tcPr>
            <w:tcW w:w="707" w:type="dxa"/>
            <w:vAlign w:val="center"/>
          </w:tcPr>
          <w:p>
            <w:pPr>
              <w:spacing w:line="288" w:lineRule="auto"/>
              <w:jc w:val="center"/>
              <w:rPr>
                <w:rFonts w:ascii="宋体" w:hAnsi="宋体" w:cs="宋体"/>
                <w:color w:val="auto"/>
                <w:szCs w:val="21"/>
              </w:rPr>
            </w:pPr>
            <w:r>
              <w:rPr>
                <w:rFonts w:hint="eastAsia" w:ascii="宋体" w:hAnsi="宋体" w:cs="宋体"/>
                <w:color w:val="auto"/>
                <w:szCs w:val="21"/>
              </w:rPr>
              <w:t>序号</w:t>
            </w:r>
          </w:p>
        </w:tc>
        <w:tc>
          <w:tcPr>
            <w:tcW w:w="3950" w:type="dxa"/>
            <w:gridSpan w:val="2"/>
            <w:vAlign w:val="center"/>
          </w:tcPr>
          <w:p>
            <w:pPr>
              <w:spacing w:line="288" w:lineRule="auto"/>
              <w:jc w:val="center"/>
              <w:rPr>
                <w:rFonts w:ascii="宋体" w:hAnsi="宋体" w:cs="宋体"/>
                <w:color w:val="auto"/>
                <w:szCs w:val="21"/>
              </w:rPr>
            </w:pPr>
            <w:r>
              <w:rPr>
                <w:rFonts w:hint="eastAsia" w:ascii="宋体" w:hAnsi="宋体" w:cs="宋体"/>
                <w:color w:val="auto"/>
                <w:szCs w:val="21"/>
              </w:rPr>
              <w:t>评审因素</w:t>
            </w:r>
          </w:p>
        </w:tc>
        <w:tc>
          <w:tcPr>
            <w:tcW w:w="4303" w:type="dxa"/>
            <w:vAlign w:val="center"/>
          </w:tcPr>
          <w:p>
            <w:pPr>
              <w:spacing w:line="288" w:lineRule="auto"/>
              <w:jc w:val="center"/>
              <w:rPr>
                <w:rFonts w:ascii="宋体" w:hAnsi="宋体" w:cs="宋体"/>
                <w:color w:val="auto"/>
                <w:szCs w:val="21"/>
              </w:rPr>
            </w:pPr>
            <w:r>
              <w:rPr>
                <w:rFonts w:hint="eastAsia" w:ascii="宋体" w:hAnsi="宋体" w:cs="宋体"/>
                <w:color w:val="auto"/>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7" w:hRule="atLeast"/>
        </w:trPr>
        <w:tc>
          <w:tcPr>
            <w:tcW w:w="707" w:type="dxa"/>
            <w:vMerge w:val="restart"/>
            <w:vAlign w:val="center"/>
          </w:tcPr>
          <w:p>
            <w:pPr>
              <w:spacing w:line="288" w:lineRule="auto"/>
              <w:jc w:val="center"/>
              <w:rPr>
                <w:rFonts w:ascii="宋体" w:hAnsi="宋体" w:cs="宋体"/>
                <w:color w:val="auto"/>
                <w:szCs w:val="21"/>
              </w:rPr>
            </w:pPr>
            <w:r>
              <w:rPr>
                <w:rFonts w:hint="eastAsia" w:ascii="宋体" w:hAnsi="宋体" w:cs="宋体"/>
                <w:color w:val="auto"/>
                <w:szCs w:val="21"/>
              </w:rPr>
              <w:t>1</w:t>
            </w:r>
          </w:p>
        </w:tc>
        <w:tc>
          <w:tcPr>
            <w:tcW w:w="684" w:type="dxa"/>
            <w:vMerge w:val="restart"/>
            <w:vAlign w:val="center"/>
          </w:tcPr>
          <w:p>
            <w:pPr>
              <w:spacing w:line="288" w:lineRule="auto"/>
              <w:rPr>
                <w:rFonts w:ascii="宋体" w:hAnsi="宋体" w:cs="宋体"/>
                <w:color w:val="auto"/>
                <w:szCs w:val="21"/>
                <w:lang w:val="zh-CN"/>
              </w:rPr>
            </w:pPr>
            <w:r>
              <w:rPr>
                <w:rFonts w:hint="eastAsia" w:ascii="宋体" w:hAnsi="宋体" w:cs="宋体"/>
                <w:color w:val="auto"/>
                <w:szCs w:val="21"/>
                <w:lang w:val="zh-CN"/>
              </w:rPr>
              <w:t>供应商应符合的基本资格条件</w:t>
            </w:r>
          </w:p>
        </w:tc>
        <w:tc>
          <w:tcPr>
            <w:tcW w:w="3266" w:type="dxa"/>
            <w:vAlign w:val="center"/>
          </w:tcPr>
          <w:p>
            <w:pPr>
              <w:spacing w:line="288" w:lineRule="auto"/>
              <w:rPr>
                <w:rFonts w:ascii="宋体" w:hAnsi="宋体" w:cs="宋体"/>
                <w:color w:val="auto"/>
                <w:szCs w:val="21"/>
              </w:rPr>
            </w:pPr>
            <w:r>
              <w:rPr>
                <w:rFonts w:hint="eastAsia" w:ascii="宋体" w:hAnsi="宋体" w:cs="宋体"/>
                <w:color w:val="auto"/>
                <w:szCs w:val="21"/>
              </w:rPr>
              <w:t>（1）具有独立承担民事责任的能力</w:t>
            </w:r>
          </w:p>
        </w:tc>
        <w:tc>
          <w:tcPr>
            <w:tcW w:w="4303" w:type="dxa"/>
            <w:vAlign w:val="center"/>
          </w:tcPr>
          <w:p>
            <w:pPr>
              <w:spacing w:line="288" w:lineRule="auto"/>
              <w:rPr>
                <w:rFonts w:ascii="宋体" w:hAnsi="宋体" w:cs="宋体"/>
                <w:color w:val="auto"/>
                <w:szCs w:val="21"/>
              </w:rPr>
            </w:pPr>
            <w:r>
              <w:rPr>
                <w:rFonts w:hint="eastAsia" w:ascii="宋体" w:hAnsi="宋体" w:cs="宋体"/>
                <w:color w:val="auto"/>
                <w:szCs w:val="21"/>
              </w:rPr>
              <w:t>营业执照等复印件，以及法定代表人身份证明和授权代表委托书等。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7" w:hRule="atLeast"/>
        </w:trPr>
        <w:tc>
          <w:tcPr>
            <w:tcW w:w="707" w:type="dxa"/>
            <w:vMerge w:val="continue"/>
            <w:vAlign w:val="center"/>
          </w:tcPr>
          <w:p>
            <w:pPr>
              <w:spacing w:line="288" w:lineRule="auto"/>
              <w:jc w:val="center"/>
              <w:rPr>
                <w:rFonts w:ascii="宋体" w:hAnsi="宋体" w:cs="宋体"/>
                <w:color w:val="auto"/>
                <w:szCs w:val="21"/>
              </w:rPr>
            </w:pPr>
          </w:p>
        </w:tc>
        <w:tc>
          <w:tcPr>
            <w:tcW w:w="684" w:type="dxa"/>
            <w:vMerge w:val="continue"/>
            <w:vAlign w:val="center"/>
          </w:tcPr>
          <w:p>
            <w:pPr>
              <w:spacing w:line="288" w:lineRule="auto"/>
              <w:rPr>
                <w:rFonts w:ascii="宋体" w:hAnsi="宋体" w:cs="宋体"/>
                <w:color w:val="auto"/>
                <w:szCs w:val="21"/>
                <w:lang w:val="zh-CN"/>
              </w:rPr>
            </w:pPr>
          </w:p>
        </w:tc>
        <w:tc>
          <w:tcPr>
            <w:tcW w:w="3266" w:type="dxa"/>
            <w:vAlign w:val="center"/>
          </w:tcPr>
          <w:p>
            <w:pPr>
              <w:spacing w:line="288" w:lineRule="auto"/>
              <w:rPr>
                <w:rFonts w:ascii="宋体" w:hAnsi="宋体" w:cs="宋体"/>
                <w:color w:val="auto"/>
                <w:szCs w:val="21"/>
              </w:rPr>
            </w:pPr>
            <w:r>
              <w:rPr>
                <w:rFonts w:hint="eastAsia" w:ascii="宋体" w:hAnsi="宋体" w:cs="宋体"/>
                <w:color w:val="auto"/>
                <w:szCs w:val="21"/>
                <w:lang w:val="zh-CN"/>
              </w:rPr>
              <w:t>（2）</w:t>
            </w:r>
            <w:r>
              <w:rPr>
                <w:rFonts w:hint="eastAsia" w:ascii="宋体" w:hAnsi="宋体" w:cs="宋体"/>
                <w:color w:val="auto"/>
                <w:szCs w:val="21"/>
              </w:rPr>
              <w:t>具有良好的商业信誉和健全的财务会计制度</w:t>
            </w:r>
          </w:p>
        </w:tc>
        <w:tc>
          <w:tcPr>
            <w:tcW w:w="4303" w:type="dxa"/>
            <w:vAlign w:val="center"/>
          </w:tcPr>
          <w:p>
            <w:pPr>
              <w:spacing w:line="288" w:lineRule="auto"/>
              <w:rPr>
                <w:rFonts w:ascii="宋体" w:hAnsi="宋体" w:cs="宋体"/>
                <w:color w:val="auto"/>
                <w:szCs w:val="21"/>
              </w:rPr>
            </w:pPr>
            <w:r>
              <w:rPr>
                <w:rFonts w:hint="eastAsia" w:ascii="宋体" w:hAnsi="宋体" w:cs="宋体"/>
                <w:color w:val="auto"/>
                <w:szCs w:val="21"/>
              </w:rPr>
              <w:t>商业信誉情况，以及提供上一年度财务报表复印件。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2" w:hRule="atLeast"/>
        </w:trPr>
        <w:tc>
          <w:tcPr>
            <w:tcW w:w="707" w:type="dxa"/>
            <w:vMerge w:val="continue"/>
            <w:vAlign w:val="center"/>
          </w:tcPr>
          <w:p>
            <w:pPr>
              <w:spacing w:line="288" w:lineRule="auto"/>
              <w:jc w:val="center"/>
              <w:rPr>
                <w:rFonts w:ascii="宋体" w:hAnsi="宋体" w:cs="宋体"/>
                <w:color w:val="auto"/>
                <w:szCs w:val="21"/>
              </w:rPr>
            </w:pPr>
          </w:p>
        </w:tc>
        <w:tc>
          <w:tcPr>
            <w:tcW w:w="684" w:type="dxa"/>
            <w:vMerge w:val="continue"/>
            <w:vAlign w:val="center"/>
          </w:tcPr>
          <w:p>
            <w:pPr>
              <w:spacing w:line="288" w:lineRule="auto"/>
              <w:rPr>
                <w:rFonts w:ascii="宋体" w:hAnsi="宋体" w:cs="宋体"/>
                <w:color w:val="auto"/>
                <w:szCs w:val="21"/>
                <w:lang w:val="zh-CN"/>
              </w:rPr>
            </w:pPr>
          </w:p>
        </w:tc>
        <w:tc>
          <w:tcPr>
            <w:tcW w:w="3266" w:type="dxa"/>
            <w:vAlign w:val="center"/>
          </w:tcPr>
          <w:p>
            <w:pPr>
              <w:spacing w:line="288" w:lineRule="auto"/>
              <w:rPr>
                <w:rFonts w:ascii="宋体" w:hAnsi="宋体" w:cs="宋体"/>
                <w:color w:val="auto"/>
                <w:szCs w:val="21"/>
                <w:lang w:val="zh-CN"/>
              </w:rPr>
            </w:pPr>
            <w:r>
              <w:rPr>
                <w:rFonts w:hint="eastAsia" w:ascii="宋体" w:hAnsi="宋体" w:cs="宋体"/>
                <w:color w:val="auto"/>
                <w:szCs w:val="21"/>
                <w:lang w:val="zh-CN"/>
              </w:rPr>
              <w:t>（3）具有履行合同所必须的设备和专业技术能力</w:t>
            </w:r>
          </w:p>
        </w:tc>
        <w:tc>
          <w:tcPr>
            <w:tcW w:w="4303" w:type="dxa"/>
            <w:vAlign w:val="center"/>
          </w:tcPr>
          <w:p>
            <w:pPr>
              <w:spacing w:line="288" w:lineRule="auto"/>
              <w:rPr>
                <w:rFonts w:ascii="宋体" w:hAnsi="宋体" w:cs="宋体"/>
                <w:color w:val="auto"/>
                <w:szCs w:val="21"/>
              </w:rPr>
            </w:pPr>
            <w:r>
              <w:rPr>
                <w:rFonts w:hint="eastAsia" w:ascii="宋体" w:hAnsi="宋体" w:cs="宋体"/>
                <w:color w:val="auto"/>
                <w:szCs w:val="21"/>
              </w:rPr>
              <w:t>主要设备情况，以及主要技术人员、售后服务机构人员能力等。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7" w:hRule="atLeast"/>
        </w:trPr>
        <w:tc>
          <w:tcPr>
            <w:tcW w:w="707" w:type="dxa"/>
            <w:vMerge w:val="continue"/>
            <w:vAlign w:val="center"/>
          </w:tcPr>
          <w:p>
            <w:pPr>
              <w:spacing w:line="288" w:lineRule="auto"/>
              <w:jc w:val="center"/>
              <w:rPr>
                <w:rFonts w:ascii="宋体" w:hAnsi="宋体" w:cs="宋体"/>
                <w:color w:val="auto"/>
                <w:szCs w:val="21"/>
              </w:rPr>
            </w:pPr>
          </w:p>
        </w:tc>
        <w:tc>
          <w:tcPr>
            <w:tcW w:w="684" w:type="dxa"/>
            <w:vMerge w:val="continue"/>
            <w:vAlign w:val="center"/>
          </w:tcPr>
          <w:p>
            <w:pPr>
              <w:spacing w:line="288" w:lineRule="auto"/>
              <w:rPr>
                <w:rFonts w:ascii="宋体" w:hAnsi="宋体" w:cs="宋体"/>
                <w:color w:val="auto"/>
                <w:szCs w:val="21"/>
                <w:lang w:val="zh-CN"/>
              </w:rPr>
            </w:pPr>
          </w:p>
        </w:tc>
        <w:tc>
          <w:tcPr>
            <w:tcW w:w="3266" w:type="dxa"/>
            <w:vAlign w:val="center"/>
          </w:tcPr>
          <w:p>
            <w:pPr>
              <w:spacing w:line="288" w:lineRule="auto"/>
              <w:rPr>
                <w:rFonts w:ascii="宋体" w:hAnsi="宋体" w:cs="宋体"/>
                <w:color w:val="auto"/>
                <w:szCs w:val="21"/>
                <w:lang w:val="zh-CN"/>
              </w:rPr>
            </w:pPr>
            <w:r>
              <w:rPr>
                <w:rFonts w:hint="eastAsia" w:ascii="宋体" w:hAnsi="宋体" w:cs="宋体"/>
                <w:color w:val="auto"/>
                <w:szCs w:val="21"/>
                <w:lang w:val="zh-CN"/>
              </w:rPr>
              <w:t>（4）有依法缴纳税收和社会保障金的良好记录</w:t>
            </w:r>
          </w:p>
        </w:tc>
        <w:tc>
          <w:tcPr>
            <w:tcW w:w="4303" w:type="dxa"/>
            <w:vAlign w:val="center"/>
          </w:tcPr>
          <w:p>
            <w:pPr>
              <w:spacing w:line="288" w:lineRule="auto"/>
              <w:rPr>
                <w:rFonts w:ascii="宋体" w:hAnsi="宋体" w:cs="宋体"/>
                <w:color w:val="auto"/>
                <w:szCs w:val="21"/>
              </w:rPr>
            </w:pPr>
            <w:r>
              <w:rPr>
                <w:rFonts w:hint="eastAsia" w:ascii="宋体" w:hAnsi="宋体" w:cs="宋体"/>
                <w:color w:val="auto"/>
                <w:szCs w:val="21"/>
              </w:rPr>
              <w:t>上一年度缴税及</w:t>
            </w:r>
            <w:r>
              <w:rPr>
                <w:rFonts w:hint="eastAsia" w:ascii="宋体" w:hAnsi="宋体" w:cs="宋体"/>
                <w:color w:val="auto"/>
                <w:szCs w:val="21"/>
                <w:lang w:val="zh-CN"/>
              </w:rPr>
              <w:t>社会保障金</w:t>
            </w:r>
            <w:r>
              <w:rPr>
                <w:rFonts w:hint="eastAsia" w:ascii="宋体" w:hAnsi="宋体" w:cs="宋体"/>
                <w:color w:val="auto"/>
                <w:szCs w:val="21"/>
              </w:rPr>
              <w:t>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5" w:hRule="atLeast"/>
        </w:trPr>
        <w:tc>
          <w:tcPr>
            <w:tcW w:w="707" w:type="dxa"/>
            <w:vMerge w:val="continue"/>
            <w:vAlign w:val="center"/>
          </w:tcPr>
          <w:p>
            <w:pPr>
              <w:spacing w:line="288" w:lineRule="auto"/>
              <w:jc w:val="center"/>
              <w:rPr>
                <w:rFonts w:ascii="宋体" w:hAnsi="宋体" w:cs="宋体"/>
                <w:color w:val="auto"/>
                <w:szCs w:val="21"/>
              </w:rPr>
            </w:pPr>
          </w:p>
        </w:tc>
        <w:tc>
          <w:tcPr>
            <w:tcW w:w="684" w:type="dxa"/>
            <w:vMerge w:val="continue"/>
            <w:vAlign w:val="center"/>
          </w:tcPr>
          <w:p>
            <w:pPr>
              <w:spacing w:line="288" w:lineRule="auto"/>
              <w:rPr>
                <w:rFonts w:ascii="宋体" w:hAnsi="宋体" w:cs="宋体"/>
                <w:color w:val="auto"/>
                <w:szCs w:val="21"/>
                <w:lang w:val="zh-CN"/>
              </w:rPr>
            </w:pPr>
          </w:p>
        </w:tc>
        <w:tc>
          <w:tcPr>
            <w:tcW w:w="3266" w:type="dxa"/>
            <w:vAlign w:val="center"/>
          </w:tcPr>
          <w:p>
            <w:pPr>
              <w:spacing w:line="288" w:lineRule="auto"/>
              <w:rPr>
                <w:rFonts w:ascii="宋体" w:hAnsi="宋体" w:cs="宋体"/>
                <w:color w:val="auto"/>
                <w:szCs w:val="21"/>
                <w:lang w:val="zh-CN"/>
              </w:rPr>
            </w:pPr>
            <w:r>
              <w:rPr>
                <w:rFonts w:hint="eastAsia" w:ascii="宋体" w:hAnsi="宋体" w:cs="宋体"/>
                <w:color w:val="auto"/>
                <w:szCs w:val="21"/>
              </w:rPr>
              <w:t>（</w:t>
            </w:r>
            <w:r>
              <w:rPr>
                <w:rFonts w:hint="eastAsia" w:ascii="宋体" w:hAnsi="宋体" w:cs="宋体"/>
                <w:color w:val="auto"/>
                <w:szCs w:val="21"/>
                <w:lang w:val="zh-CN"/>
              </w:rPr>
              <w:t>5）参加政府采购活动前三年内，在经营活动中没有重大违法记录</w:t>
            </w:r>
          </w:p>
        </w:tc>
        <w:tc>
          <w:tcPr>
            <w:tcW w:w="4303" w:type="dxa"/>
            <w:vAlign w:val="center"/>
          </w:tcPr>
          <w:p>
            <w:pPr>
              <w:spacing w:line="288" w:lineRule="auto"/>
              <w:rPr>
                <w:rFonts w:ascii="宋体" w:hAnsi="宋体" w:cs="宋体"/>
                <w:color w:val="auto"/>
                <w:szCs w:val="21"/>
              </w:rPr>
            </w:pPr>
            <w:r>
              <w:rPr>
                <w:rFonts w:hint="eastAsia" w:ascii="宋体" w:hAnsi="宋体" w:cs="宋体"/>
                <w:color w:val="auto"/>
                <w:szCs w:val="21"/>
              </w:rPr>
              <w:t>参加本项目准备活动前三年内无重大违法记录声明。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97" w:hRule="atLeast"/>
        </w:trPr>
        <w:tc>
          <w:tcPr>
            <w:tcW w:w="707" w:type="dxa"/>
            <w:vAlign w:val="center"/>
          </w:tcPr>
          <w:p>
            <w:pPr>
              <w:spacing w:line="288" w:lineRule="auto"/>
              <w:jc w:val="center"/>
              <w:rPr>
                <w:rFonts w:ascii="宋体" w:hAnsi="宋体" w:cs="宋体"/>
                <w:color w:val="auto"/>
                <w:szCs w:val="21"/>
              </w:rPr>
            </w:pPr>
            <w:r>
              <w:rPr>
                <w:rFonts w:hint="eastAsia" w:ascii="宋体" w:hAnsi="宋体" w:cs="宋体"/>
                <w:color w:val="auto"/>
                <w:szCs w:val="21"/>
              </w:rPr>
              <w:t>2</w:t>
            </w:r>
          </w:p>
        </w:tc>
        <w:tc>
          <w:tcPr>
            <w:tcW w:w="3950" w:type="dxa"/>
            <w:gridSpan w:val="2"/>
            <w:vAlign w:val="center"/>
          </w:tcPr>
          <w:p>
            <w:pPr>
              <w:spacing w:line="288" w:lineRule="auto"/>
              <w:rPr>
                <w:rFonts w:ascii="宋体" w:hAnsi="宋体" w:cs="宋体"/>
                <w:color w:val="auto"/>
                <w:szCs w:val="21"/>
                <w:lang w:val="zh-CN"/>
              </w:rPr>
            </w:pPr>
            <w:r>
              <w:rPr>
                <w:rFonts w:hint="eastAsia" w:ascii="宋体" w:hAnsi="宋体" w:cs="宋体"/>
                <w:color w:val="auto"/>
                <w:szCs w:val="21"/>
                <w:lang w:val="zh-CN"/>
              </w:rPr>
              <w:t>在中华人民共和国境内注册，具有独立法人资格并依法取得企业营业执照且营业执照在有效期内；</w:t>
            </w:r>
          </w:p>
        </w:tc>
        <w:tc>
          <w:tcPr>
            <w:tcW w:w="4303" w:type="dxa"/>
            <w:vAlign w:val="center"/>
          </w:tcPr>
          <w:p>
            <w:pPr>
              <w:spacing w:line="288" w:lineRule="auto"/>
              <w:rPr>
                <w:rFonts w:ascii="宋体" w:hAnsi="宋体" w:cs="宋体"/>
                <w:color w:val="auto"/>
                <w:szCs w:val="21"/>
                <w:lang w:val="zh-CN"/>
              </w:rPr>
            </w:pPr>
            <w:r>
              <w:rPr>
                <w:rFonts w:hint="eastAsia" w:ascii="宋体" w:hAnsi="宋体" w:cs="宋体"/>
                <w:color w:val="auto"/>
                <w:szCs w:val="21"/>
                <w:lang w:val="zh-CN"/>
              </w:rPr>
              <w:t>符合本竞争性磋商文件规定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52" w:hRule="atLeast"/>
        </w:trPr>
        <w:tc>
          <w:tcPr>
            <w:tcW w:w="707" w:type="dxa"/>
            <w:vAlign w:val="center"/>
          </w:tcPr>
          <w:p>
            <w:pPr>
              <w:spacing w:line="288" w:lineRule="auto"/>
              <w:jc w:val="center"/>
              <w:rPr>
                <w:rFonts w:ascii="宋体" w:hAnsi="宋体" w:cs="宋体"/>
                <w:color w:val="auto"/>
                <w:szCs w:val="21"/>
              </w:rPr>
            </w:pPr>
            <w:r>
              <w:rPr>
                <w:rFonts w:hint="eastAsia" w:ascii="宋体" w:hAnsi="宋体" w:cs="宋体"/>
                <w:color w:val="auto"/>
                <w:szCs w:val="21"/>
              </w:rPr>
              <w:t>3</w:t>
            </w:r>
          </w:p>
        </w:tc>
        <w:tc>
          <w:tcPr>
            <w:tcW w:w="3950" w:type="dxa"/>
            <w:gridSpan w:val="2"/>
            <w:vAlign w:val="center"/>
          </w:tcPr>
          <w:p>
            <w:pPr>
              <w:spacing w:line="288" w:lineRule="auto"/>
              <w:rPr>
                <w:rFonts w:ascii="宋体" w:hAnsi="宋体" w:cs="宋体"/>
                <w:color w:val="auto"/>
                <w:szCs w:val="21"/>
              </w:rPr>
            </w:pPr>
            <w:r>
              <w:rPr>
                <w:rFonts w:hint="eastAsia" w:ascii="宋体" w:hAnsi="宋体" w:cs="宋体"/>
                <w:color w:val="auto"/>
                <w:szCs w:val="21"/>
              </w:rPr>
              <w:t>具有有效期内的消防设施维护保养检测机构二级及以上资质</w:t>
            </w:r>
          </w:p>
        </w:tc>
        <w:tc>
          <w:tcPr>
            <w:tcW w:w="4303" w:type="dxa"/>
            <w:vAlign w:val="center"/>
          </w:tcPr>
          <w:p>
            <w:pPr>
              <w:spacing w:line="288" w:lineRule="auto"/>
              <w:rPr>
                <w:rFonts w:ascii="宋体" w:hAnsi="宋体" w:cs="宋体"/>
                <w:color w:val="auto"/>
                <w:szCs w:val="21"/>
                <w:lang w:val="zh-CN"/>
              </w:rPr>
            </w:pPr>
            <w:r>
              <w:rPr>
                <w:rFonts w:hint="eastAsia" w:ascii="宋体" w:hAnsi="宋体" w:cs="宋体"/>
                <w:color w:val="auto"/>
                <w:szCs w:val="21"/>
                <w:lang w:val="zh-CN"/>
              </w:rPr>
              <w:t>符合本竞争性磋商文件规定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6" w:hRule="atLeast"/>
        </w:trPr>
        <w:tc>
          <w:tcPr>
            <w:tcW w:w="707" w:type="dxa"/>
            <w:vAlign w:val="center"/>
          </w:tcPr>
          <w:p>
            <w:pPr>
              <w:spacing w:line="288" w:lineRule="auto"/>
              <w:jc w:val="center"/>
              <w:rPr>
                <w:rFonts w:ascii="宋体" w:hAnsi="宋体" w:cs="宋体"/>
                <w:color w:val="auto"/>
                <w:szCs w:val="21"/>
              </w:rPr>
            </w:pPr>
            <w:r>
              <w:rPr>
                <w:rFonts w:hint="eastAsia" w:ascii="宋体" w:hAnsi="宋体" w:cs="宋体"/>
                <w:color w:val="auto"/>
                <w:szCs w:val="21"/>
              </w:rPr>
              <w:t>4</w:t>
            </w:r>
          </w:p>
        </w:tc>
        <w:tc>
          <w:tcPr>
            <w:tcW w:w="3950" w:type="dxa"/>
            <w:gridSpan w:val="2"/>
            <w:vAlign w:val="center"/>
          </w:tcPr>
          <w:p>
            <w:pPr>
              <w:spacing w:line="288" w:lineRule="auto"/>
              <w:rPr>
                <w:rFonts w:ascii="宋体" w:hAnsi="宋体" w:cs="宋体"/>
                <w:color w:val="auto"/>
                <w:szCs w:val="21"/>
                <w:lang w:val="zh-CN"/>
              </w:rPr>
            </w:pPr>
            <w:r>
              <w:rPr>
                <w:rFonts w:hint="eastAsia" w:ascii="宋体" w:hAnsi="宋体"/>
                <w:color w:val="auto"/>
                <w:szCs w:val="21"/>
              </w:rPr>
              <w:t>在信合联服网站完成诚信注册备案</w:t>
            </w:r>
            <w:r>
              <w:rPr>
                <w:rFonts w:hint="eastAsia" w:ascii="宋体" w:hAnsi="宋体"/>
                <w:color w:val="auto"/>
                <w:szCs w:val="21"/>
                <w:lang w:eastAsia="zh-CN"/>
              </w:rPr>
              <w:t>，</w:t>
            </w:r>
            <w:r>
              <w:rPr>
                <w:rFonts w:hint="eastAsia" w:ascii="宋体" w:hAnsi="宋体"/>
                <w:color w:val="auto"/>
                <w:szCs w:val="21"/>
                <w:lang w:val="en-US" w:eastAsia="zh-CN"/>
              </w:rPr>
              <w:t>并且综合信用等级为C级以上（含C级）</w:t>
            </w:r>
          </w:p>
        </w:tc>
        <w:tc>
          <w:tcPr>
            <w:tcW w:w="4303" w:type="dxa"/>
            <w:vAlign w:val="center"/>
          </w:tcPr>
          <w:p>
            <w:pPr>
              <w:spacing w:line="288" w:lineRule="auto"/>
              <w:rPr>
                <w:rFonts w:ascii="宋体" w:hAnsi="宋体" w:cs="宋体"/>
                <w:color w:val="auto"/>
                <w:szCs w:val="21"/>
                <w:lang w:val="zh-CN"/>
              </w:rPr>
            </w:pPr>
            <w:r>
              <w:rPr>
                <w:rFonts w:hint="eastAsia" w:ascii="宋体" w:hAnsi="宋体" w:cs="宋体"/>
                <w:color w:val="auto"/>
                <w:szCs w:val="21"/>
                <w:lang w:val="zh-CN"/>
              </w:rPr>
              <w:t>符合本竞争性磋商文件规定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6" w:hRule="atLeast"/>
        </w:trPr>
        <w:tc>
          <w:tcPr>
            <w:tcW w:w="707" w:type="dxa"/>
            <w:vAlign w:val="center"/>
          </w:tcPr>
          <w:p>
            <w:pPr>
              <w:spacing w:line="288" w:lineRule="auto"/>
              <w:jc w:val="center"/>
              <w:rPr>
                <w:rFonts w:ascii="宋体" w:hAnsi="宋体" w:cs="宋体"/>
                <w:color w:val="auto"/>
                <w:szCs w:val="21"/>
              </w:rPr>
            </w:pPr>
            <w:r>
              <w:rPr>
                <w:rFonts w:hint="eastAsia" w:ascii="宋体" w:hAnsi="宋体" w:cs="宋体"/>
                <w:color w:val="auto"/>
                <w:szCs w:val="21"/>
              </w:rPr>
              <w:t>5</w:t>
            </w:r>
          </w:p>
        </w:tc>
        <w:tc>
          <w:tcPr>
            <w:tcW w:w="3950" w:type="dxa"/>
            <w:gridSpan w:val="2"/>
            <w:vAlign w:val="center"/>
          </w:tcPr>
          <w:p>
            <w:pPr>
              <w:spacing w:line="288" w:lineRule="auto"/>
              <w:rPr>
                <w:rFonts w:ascii="宋体" w:hAnsi="宋体" w:cs="宋体"/>
                <w:color w:val="auto"/>
                <w:szCs w:val="21"/>
                <w:lang w:val="zh-CN"/>
              </w:rPr>
            </w:pPr>
            <w:r>
              <w:rPr>
                <w:rFonts w:hint="eastAsia" w:ascii="宋体" w:hAnsi="宋体" w:cs="宋体"/>
                <w:color w:val="auto"/>
                <w:szCs w:val="21"/>
                <w:lang w:val="zh-CN"/>
              </w:rPr>
              <w:t>联合体</w:t>
            </w:r>
          </w:p>
        </w:tc>
        <w:tc>
          <w:tcPr>
            <w:tcW w:w="4303" w:type="dxa"/>
            <w:vAlign w:val="center"/>
          </w:tcPr>
          <w:p>
            <w:pPr>
              <w:spacing w:line="288" w:lineRule="auto"/>
              <w:rPr>
                <w:rFonts w:ascii="宋体" w:hAnsi="宋体" w:cs="宋体"/>
                <w:color w:val="auto"/>
                <w:szCs w:val="21"/>
                <w:lang w:val="zh-CN"/>
              </w:rPr>
            </w:pPr>
            <w:r>
              <w:rPr>
                <w:rFonts w:hint="eastAsia" w:ascii="宋体" w:hAnsi="宋体" w:cs="宋体"/>
                <w:color w:val="auto"/>
                <w:szCs w:val="21"/>
                <w:lang w:val="zh-CN"/>
              </w:rPr>
              <w:t>不接受联合体供应商</w:t>
            </w:r>
          </w:p>
        </w:tc>
      </w:tr>
    </w:tbl>
    <w:p>
      <w:pPr>
        <w:spacing w:line="360" w:lineRule="auto"/>
        <w:rPr>
          <w:rFonts w:ascii="宋体" w:hAnsi="宋体" w:cs="宋体"/>
          <w:b/>
          <w:bCs/>
          <w:color w:val="auto"/>
          <w:sz w:val="24"/>
        </w:rPr>
      </w:pPr>
    </w:p>
    <w:p>
      <w:pPr>
        <w:spacing w:line="360" w:lineRule="auto"/>
        <w:rPr>
          <w:rFonts w:ascii="宋体" w:hAnsi="宋体" w:cs="宋体"/>
          <w:b/>
          <w:bCs/>
          <w:color w:val="auto"/>
          <w:sz w:val="24"/>
        </w:rPr>
      </w:pPr>
    </w:p>
    <w:p>
      <w:pPr>
        <w:spacing w:line="360" w:lineRule="auto"/>
        <w:rPr>
          <w:rFonts w:ascii="宋体" w:hAnsi="宋体" w:cs="宋体"/>
          <w:b/>
          <w:bCs/>
          <w:color w:val="auto"/>
          <w:sz w:val="24"/>
        </w:rPr>
      </w:pPr>
    </w:p>
    <w:p>
      <w:pPr>
        <w:spacing w:line="360" w:lineRule="auto"/>
        <w:rPr>
          <w:rFonts w:ascii="宋体" w:hAnsi="宋体" w:cs="宋体"/>
          <w:b/>
          <w:bCs/>
          <w:color w:val="auto"/>
          <w:sz w:val="24"/>
        </w:rPr>
      </w:pPr>
    </w:p>
    <w:p>
      <w:pPr>
        <w:spacing w:line="360" w:lineRule="auto"/>
        <w:rPr>
          <w:rFonts w:ascii="宋体" w:hAnsi="宋体" w:cs="宋体"/>
          <w:b/>
          <w:bCs/>
          <w:color w:val="auto"/>
          <w:sz w:val="24"/>
        </w:rPr>
      </w:pPr>
      <w:r>
        <w:rPr>
          <w:rFonts w:hint="eastAsia" w:ascii="宋体" w:hAnsi="宋体" w:cs="宋体"/>
          <w:b/>
          <w:bCs/>
          <w:color w:val="auto"/>
          <w:sz w:val="24"/>
        </w:rPr>
        <w:t>2、符合性审查</w:t>
      </w:r>
    </w:p>
    <w:tbl>
      <w:tblPr>
        <w:tblStyle w:val="16"/>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051"/>
        <w:gridCol w:w="2107"/>
        <w:gridCol w:w="5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trPr>
        <w:tc>
          <w:tcPr>
            <w:tcW w:w="716" w:type="dxa"/>
            <w:vAlign w:val="center"/>
          </w:tcPr>
          <w:p>
            <w:pPr>
              <w:spacing w:line="500" w:lineRule="exact"/>
              <w:jc w:val="center"/>
              <w:rPr>
                <w:rFonts w:ascii="宋体" w:hAnsi="宋体" w:cs="宋体"/>
                <w:color w:val="auto"/>
                <w:kern w:val="0"/>
                <w:szCs w:val="21"/>
              </w:rPr>
            </w:pPr>
            <w:r>
              <w:rPr>
                <w:rFonts w:hint="eastAsia" w:ascii="宋体" w:hAnsi="宋体" w:cs="宋体"/>
                <w:color w:val="auto"/>
                <w:kern w:val="0"/>
                <w:szCs w:val="21"/>
              </w:rPr>
              <w:t>序号</w:t>
            </w:r>
          </w:p>
        </w:tc>
        <w:tc>
          <w:tcPr>
            <w:tcW w:w="3158" w:type="dxa"/>
            <w:gridSpan w:val="2"/>
            <w:vAlign w:val="center"/>
          </w:tcPr>
          <w:p>
            <w:pPr>
              <w:spacing w:line="500" w:lineRule="exact"/>
              <w:jc w:val="center"/>
              <w:rPr>
                <w:rFonts w:ascii="宋体" w:hAnsi="宋体" w:cs="宋体"/>
                <w:color w:val="auto"/>
                <w:kern w:val="0"/>
                <w:szCs w:val="21"/>
              </w:rPr>
            </w:pPr>
            <w:r>
              <w:rPr>
                <w:rFonts w:hint="eastAsia" w:ascii="宋体" w:hAnsi="宋体" w:cs="宋体"/>
                <w:color w:val="auto"/>
                <w:kern w:val="0"/>
                <w:szCs w:val="21"/>
              </w:rPr>
              <w:t>评审因素</w:t>
            </w:r>
          </w:p>
        </w:tc>
        <w:tc>
          <w:tcPr>
            <w:tcW w:w="5146" w:type="dxa"/>
            <w:vAlign w:val="center"/>
          </w:tcPr>
          <w:p>
            <w:pPr>
              <w:spacing w:line="500" w:lineRule="exact"/>
              <w:jc w:val="center"/>
              <w:rPr>
                <w:rFonts w:ascii="宋体" w:hAnsi="宋体" w:cs="宋体"/>
                <w:color w:val="auto"/>
                <w:kern w:val="0"/>
                <w:szCs w:val="21"/>
              </w:rPr>
            </w:pPr>
            <w:r>
              <w:rPr>
                <w:rFonts w:hint="eastAsia" w:ascii="宋体" w:hAnsi="宋体" w:cs="宋体"/>
                <w:color w:val="auto"/>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9" w:hRule="atLeast"/>
        </w:trPr>
        <w:tc>
          <w:tcPr>
            <w:tcW w:w="716" w:type="dxa"/>
            <w:vMerge w:val="restart"/>
            <w:vAlign w:val="center"/>
          </w:tcPr>
          <w:p>
            <w:pPr>
              <w:spacing w:line="500" w:lineRule="exact"/>
              <w:jc w:val="center"/>
              <w:rPr>
                <w:rFonts w:ascii="宋体" w:hAnsi="宋体" w:cs="宋体"/>
                <w:color w:val="auto"/>
                <w:kern w:val="0"/>
                <w:szCs w:val="21"/>
              </w:rPr>
            </w:pPr>
            <w:r>
              <w:rPr>
                <w:rFonts w:hint="eastAsia" w:ascii="宋体" w:hAnsi="宋体" w:cs="宋体"/>
                <w:color w:val="auto"/>
                <w:kern w:val="0"/>
                <w:szCs w:val="21"/>
              </w:rPr>
              <w:t>1</w:t>
            </w:r>
          </w:p>
        </w:tc>
        <w:tc>
          <w:tcPr>
            <w:tcW w:w="1051" w:type="dxa"/>
            <w:vMerge w:val="restart"/>
            <w:vAlign w:val="center"/>
          </w:tcPr>
          <w:p>
            <w:pPr>
              <w:spacing w:line="500" w:lineRule="exact"/>
              <w:jc w:val="center"/>
              <w:rPr>
                <w:rFonts w:ascii="宋体" w:hAnsi="宋体" w:cs="宋体"/>
                <w:color w:val="auto"/>
                <w:kern w:val="0"/>
                <w:szCs w:val="21"/>
              </w:rPr>
            </w:pPr>
            <w:r>
              <w:rPr>
                <w:rFonts w:hint="eastAsia" w:ascii="宋体" w:hAnsi="宋体" w:cs="宋体"/>
                <w:color w:val="auto"/>
                <w:kern w:val="0"/>
                <w:szCs w:val="21"/>
              </w:rPr>
              <w:t>有效性审查</w:t>
            </w:r>
          </w:p>
        </w:tc>
        <w:tc>
          <w:tcPr>
            <w:tcW w:w="2107" w:type="dxa"/>
            <w:vAlign w:val="center"/>
          </w:tcPr>
          <w:p>
            <w:pPr>
              <w:spacing w:line="500" w:lineRule="exact"/>
              <w:rPr>
                <w:rFonts w:ascii="宋体" w:hAnsi="宋体" w:cs="宋体"/>
                <w:color w:val="auto"/>
                <w:kern w:val="0"/>
                <w:szCs w:val="21"/>
              </w:rPr>
            </w:pPr>
            <w:r>
              <w:rPr>
                <w:rFonts w:hint="eastAsia" w:ascii="宋体" w:hAnsi="宋体" w:cs="宋体"/>
                <w:color w:val="auto"/>
                <w:szCs w:val="21"/>
                <w:lang w:val="zh-CN"/>
              </w:rPr>
              <w:t>响应文件</w:t>
            </w:r>
            <w:r>
              <w:rPr>
                <w:rFonts w:hint="eastAsia" w:ascii="宋体" w:hAnsi="宋体" w:cs="宋体"/>
                <w:color w:val="auto"/>
                <w:szCs w:val="21"/>
              </w:rPr>
              <w:t>签署</w:t>
            </w:r>
          </w:p>
        </w:tc>
        <w:tc>
          <w:tcPr>
            <w:tcW w:w="5146" w:type="dxa"/>
            <w:vAlign w:val="center"/>
          </w:tcPr>
          <w:p>
            <w:pPr>
              <w:spacing w:line="500" w:lineRule="exact"/>
              <w:rPr>
                <w:rFonts w:ascii="宋体" w:hAnsi="宋体" w:cs="宋体"/>
                <w:color w:val="auto"/>
                <w:kern w:val="0"/>
                <w:szCs w:val="21"/>
              </w:rPr>
            </w:pPr>
            <w:r>
              <w:rPr>
                <w:rFonts w:hint="eastAsia" w:ascii="宋体" w:hAnsi="宋体" w:cs="宋体"/>
                <w:color w:val="auto"/>
                <w:szCs w:val="21"/>
                <w:lang w:val="zh-CN"/>
              </w:rPr>
              <w:t>响应文件</w:t>
            </w:r>
            <w:r>
              <w:rPr>
                <w:rFonts w:hint="eastAsia" w:ascii="宋体" w:hAnsi="宋体" w:cs="宋体"/>
                <w:color w:val="auto"/>
                <w:szCs w:val="21"/>
              </w:rPr>
              <w:t>中法定代表人或其委托代理人的签字或盖章齐全。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6" w:hRule="atLeast"/>
        </w:trPr>
        <w:tc>
          <w:tcPr>
            <w:tcW w:w="716" w:type="dxa"/>
            <w:vMerge w:val="continue"/>
            <w:vAlign w:val="center"/>
          </w:tcPr>
          <w:p>
            <w:pPr>
              <w:spacing w:line="500" w:lineRule="exact"/>
              <w:jc w:val="center"/>
              <w:rPr>
                <w:rFonts w:ascii="宋体" w:hAnsi="宋体" w:cs="宋体"/>
                <w:color w:val="auto"/>
                <w:kern w:val="0"/>
                <w:szCs w:val="21"/>
              </w:rPr>
            </w:pPr>
          </w:p>
        </w:tc>
        <w:tc>
          <w:tcPr>
            <w:tcW w:w="1051" w:type="dxa"/>
            <w:vMerge w:val="continue"/>
            <w:vAlign w:val="center"/>
          </w:tcPr>
          <w:p>
            <w:pPr>
              <w:spacing w:line="500" w:lineRule="exact"/>
              <w:jc w:val="center"/>
              <w:rPr>
                <w:rFonts w:ascii="宋体" w:hAnsi="宋体" w:cs="宋体"/>
                <w:color w:val="auto"/>
                <w:kern w:val="0"/>
                <w:szCs w:val="21"/>
              </w:rPr>
            </w:pPr>
          </w:p>
        </w:tc>
        <w:tc>
          <w:tcPr>
            <w:tcW w:w="2107" w:type="dxa"/>
            <w:vAlign w:val="center"/>
          </w:tcPr>
          <w:p>
            <w:pPr>
              <w:spacing w:line="500" w:lineRule="exact"/>
              <w:rPr>
                <w:rFonts w:ascii="宋体" w:hAnsi="宋体" w:cs="宋体"/>
                <w:color w:val="auto"/>
                <w:szCs w:val="21"/>
              </w:rPr>
            </w:pPr>
            <w:r>
              <w:rPr>
                <w:rFonts w:hint="eastAsia" w:ascii="宋体" w:hAnsi="宋体" w:cs="宋体"/>
                <w:color w:val="auto"/>
                <w:szCs w:val="21"/>
              </w:rPr>
              <w:t>法定代表人身份证明及授权委托书</w:t>
            </w:r>
          </w:p>
        </w:tc>
        <w:tc>
          <w:tcPr>
            <w:tcW w:w="5146" w:type="dxa"/>
            <w:vAlign w:val="center"/>
          </w:tcPr>
          <w:p>
            <w:pPr>
              <w:spacing w:line="500" w:lineRule="exact"/>
              <w:rPr>
                <w:rFonts w:ascii="宋体" w:hAnsi="宋体" w:cs="宋体"/>
                <w:color w:val="auto"/>
                <w:szCs w:val="21"/>
              </w:rPr>
            </w:pPr>
            <w:r>
              <w:rPr>
                <w:rFonts w:hint="eastAsia" w:ascii="宋体" w:hAnsi="宋体" w:cs="宋体"/>
                <w:color w:val="auto"/>
                <w:szCs w:val="21"/>
              </w:rPr>
              <w:t>法定代表人身份证明及授权委托书有效，且符合竞争性磋商文件规定的格式，签字或盖章齐全。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9" w:hRule="atLeast"/>
        </w:trPr>
        <w:tc>
          <w:tcPr>
            <w:tcW w:w="716" w:type="dxa"/>
            <w:vMerge w:val="restart"/>
            <w:vAlign w:val="center"/>
          </w:tcPr>
          <w:p>
            <w:pPr>
              <w:spacing w:line="500" w:lineRule="exact"/>
              <w:jc w:val="center"/>
              <w:rPr>
                <w:rFonts w:ascii="宋体" w:hAnsi="宋体" w:cs="宋体"/>
                <w:color w:val="auto"/>
                <w:kern w:val="0"/>
                <w:szCs w:val="21"/>
              </w:rPr>
            </w:pPr>
            <w:r>
              <w:rPr>
                <w:rFonts w:hint="eastAsia" w:ascii="宋体" w:hAnsi="宋体" w:cs="宋体"/>
                <w:color w:val="auto"/>
                <w:kern w:val="0"/>
                <w:szCs w:val="21"/>
              </w:rPr>
              <w:t>2</w:t>
            </w:r>
          </w:p>
        </w:tc>
        <w:tc>
          <w:tcPr>
            <w:tcW w:w="1051" w:type="dxa"/>
            <w:vMerge w:val="restart"/>
            <w:vAlign w:val="center"/>
          </w:tcPr>
          <w:p>
            <w:pPr>
              <w:spacing w:line="500" w:lineRule="exact"/>
              <w:jc w:val="center"/>
              <w:rPr>
                <w:rFonts w:ascii="宋体" w:hAnsi="宋体" w:cs="宋体"/>
                <w:color w:val="auto"/>
                <w:kern w:val="0"/>
                <w:szCs w:val="21"/>
              </w:rPr>
            </w:pPr>
            <w:r>
              <w:rPr>
                <w:rFonts w:hint="eastAsia" w:ascii="宋体" w:hAnsi="宋体" w:cs="宋体"/>
                <w:color w:val="auto"/>
                <w:kern w:val="0"/>
                <w:szCs w:val="21"/>
              </w:rPr>
              <w:t>完整性审查</w:t>
            </w:r>
          </w:p>
        </w:tc>
        <w:tc>
          <w:tcPr>
            <w:tcW w:w="2107" w:type="dxa"/>
            <w:vAlign w:val="center"/>
          </w:tcPr>
          <w:p>
            <w:pPr>
              <w:spacing w:line="500" w:lineRule="exact"/>
              <w:rPr>
                <w:rFonts w:ascii="宋体" w:hAnsi="宋体" w:cs="宋体"/>
                <w:color w:val="auto"/>
                <w:kern w:val="0"/>
                <w:szCs w:val="21"/>
              </w:rPr>
            </w:pPr>
            <w:r>
              <w:rPr>
                <w:rFonts w:hint="eastAsia" w:ascii="宋体" w:hAnsi="宋体" w:cs="宋体"/>
                <w:color w:val="auto"/>
                <w:szCs w:val="21"/>
                <w:lang w:val="zh-CN"/>
              </w:rPr>
              <w:t>响应文件份数</w:t>
            </w:r>
          </w:p>
        </w:tc>
        <w:tc>
          <w:tcPr>
            <w:tcW w:w="5146" w:type="dxa"/>
            <w:vAlign w:val="center"/>
          </w:tcPr>
          <w:p>
            <w:pPr>
              <w:spacing w:line="500" w:lineRule="exact"/>
              <w:rPr>
                <w:rFonts w:ascii="宋体" w:hAnsi="宋体" w:cs="宋体"/>
                <w:color w:val="auto"/>
                <w:kern w:val="0"/>
                <w:szCs w:val="21"/>
              </w:rPr>
            </w:pPr>
            <w:r>
              <w:rPr>
                <w:rFonts w:hint="eastAsia" w:ascii="宋体" w:hAnsi="宋体" w:cs="宋体"/>
                <w:color w:val="auto"/>
                <w:szCs w:val="21"/>
                <w:lang w:val="zh-CN"/>
              </w:rPr>
              <w:t>响应文件正本、副本等响应文件数量符合</w:t>
            </w:r>
            <w:r>
              <w:rPr>
                <w:rFonts w:hint="eastAsia" w:ascii="宋体" w:hAnsi="宋体" w:cs="宋体"/>
                <w:color w:val="auto"/>
                <w:kern w:val="0"/>
                <w:szCs w:val="21"/>
              </w:rPr>
              <w:t>竞争性磋商文件</w:t>
            </w:r>
            <w:r>
              <w:rPr>
                <w:rFonts w:hint="eastAsia" w:ascii="宋体" w:hAnsi="宋体" w:cs="宋体"/>
                <w:color w:val="auto"/>
                <w:szCs w:val="21"/>
                <w:lang w:val="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716" w:type="dxa"/>
            <w:vMerge w:val="continue"/>
            <w:vAlign w:val="center"/>
          </w:tcPr>
          <w:p>
            <w:pPr>
              <w:spacing w:line="500" w:lineRule="exact"/>
              <w:jc w:val="center"/>
              <w:rPr>
                <w:rFonts w:ascii="宋体" w:hAnsi="宋体" w:cs="宋体"/>
                <w:color w:val="auto"/>
                <w:kern w:val="0"/>
                <w:szCs w:val="21"/>
              </w:rPr>
            </w:pPr>
          </w:p>
        </w:tc>
        <w:tc>
          <w:tcPr>
            <w:tcW w:w="1051" w:type="dxa"/>
            <w:vMerge w:val="continue"/>
            <w:vAlign w:val="center"/>
          </w:tcPr>
          <w:p>
            <w:pPr>
              <w:spacing w:line="500" w:lineRule="exact"/>
              <w:jc w:val="center"/>
              <w:rPr>
                <w:rFonts w:ascii="宋体" w:hAnsi="宋体" w:cs="宋体"/>
                <w:color w:val="auto"/>
                <w:kern w:val="0"/>
                <w:szCs w:val="21"/>
              </w:rPr>
            </w:pPr>
          </w:p>
        </w:tc>
        <w:tc>
          <w:tcPr>
            <w:tcW w:w="2107" w:type="dxa"/>
            <w:vAlign w:val="center"/>
          </w:tcPr>
          <w:p>
            <w:pPr>
              <w:spacing w:line="500" w:lineRule="exact"/>
              <w:rPr>
                <w:rFonts w:ascii="宋体" w:hAnsi="宋体" w:cs="宋体"/>
                <w:color w:val="auto"/>
                <w:szCs w:val="21"/>
                <w:lang w:val="zh-CN"/>
              </w:rPr>
            </w:pPr>
            <w:r>
              <w:rPr>
                <w:rFonts w:hint="eastAsia" w:ascii="宋体" w:hAnsi="宋体" w:cs="宋体"/>
                <w:color w:val="auto"/>
                <w:szCs w:val="21"/>
                <w:lang w:val="zh-CN"/>
              </w:rPr>
              <w:t>响应文件内容</w:t>
            </w:r>
          </w:p>
        </w:tc>
        <w:tc>
          <w:tcPr>
            <w:tcW w:w="5146" w:type="dxa"/>
            <w:vAlign w:val="center"/>
          </w:tcPr>
          <w:p>
            <w:pPr>
              <w:spacing w:line="500" w:lineRule="exact"/>
              <w:rPr>
                <w:rFonts w:ascii="宋体" w:hAnsi="宋体" w:cs="宋体"/>
                <w:color w:val="auto"/>
                <w:szCs w:val="21"/>
                <w:lang w:val="zh-CN"/>
              </w:rPr>
            </w:pPr>
            <w:r>
              <w:rPr>
                <w:rFonts w:hint="eastAsia" w:ascii="宋体" w:hAnsi="宋体" w:cs="宋体"/>
                <w:color w:val="auto"/>
                <w:szCs w:val="21"/>
                <w:lang w:val="zh-CN"/>
              </w:rPr>
              <w:t>响应文件内容齐全、无遗漏。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716" w:type="dxa"/>
            <w:vMerge w:val="restart"/>
            <w:vAlign w:val="center"/>
          </w:tcPr>
          <w:p>
            <w:pPr>
              <w:spacing w:line="500" w:lineRule="exact"/>
              <w:jc w:val="center"/>
              <w:rPr>
                <w:rFonts w:ascii="宋体" w:hAnsi="宋体" w:cs="宋体"/>
                <w:color w:val="auto"/>
                <w:kern w:val="0"/>
                <w:szCs w:val="21"/>
              </w:rPr>
            </w:pPr>
            <w:r>
              <w:rPr>
                <w:rFonts w:hint="eastAsia" w:ascii="宋体" w:hAnsi="宋体" w:cs="宋体"/>
                <w:color w:val="auto"/>
                <w:kern w:val="0"/>
                <w:szCs w:val="21"/>
              </w:rPr>
              <w:t>3</w:t>
            </w:r>
          </w:p>
        </w:tc>
        <w:tc>
          <w:tcPr>
            <w:tcW w:w="1051" w:type="dxa"/>
            <w:vMerge w:val="restart"/>
            <w:vAlign w:val="center"/>
          </w:tcPr>
          <w:p>
            <w:pPr>
              <w:spacing w:line="500" w:lineRule="exact"/>
              <w:jc w:val="center"/>
              <w:rPr>
                <w:rFonts w:ascii="宋体" w:hAnsi="宋体" w:cs="宋体"/>
                <w:color w:val="auto"/>
                <w:szCs w:val="21"/>
                <w:lang w:val="zh-CN"/>
              </w:rPr>
            </w:pPr>
            <w:r>
              <w:rPr>
                <w:rFonts w:hint="eastAsia" w:ascii="宋体" w:hAnsi="宋体" w:cs="宋体"/>
                <w:color w:val="auto"/>
                <w:kern w:val="0"/>
                <w:szCs w:val="21"/>
              </w:rPr>
              <w:t>竞争性磋商文件的响应程度审查</w:t>
            </w:r>
          </w:p>
        </w:tc>
        <w:tc>
          <w:tcPr>
            <w:tcW w:w="2107" w:type="dxa"/>
            <w:vAlign w:val="center"/>
          </w:tcPr>
          <w:p>
            <w:pPr>
              <w:spacing w:line="500" w:lineRule="exact"/>
              <w:rPr>
                <w:rFonts w:ascii="宋体" w:hAnsi="宋体" w:cs="宋体"/>
                <w:color w:val="auto"/>
                <w:kern w:val="0"/>
                <w:szCs w:val="21"/>
              </w:rPr>
            </w:pPr>
            <w:r>
              <w:rPr>
                <w:rFonts w:hint="eastAsia" w:ascii="宋体" w:hAnsi="宋体" w:cs="宋体"/>
                <w:color w:val="auto"/>
                <w:szCs w:val="21"/>
                <w:lang w:val="zh-CN"/>
              </w:rPr>
              <w:t>响应文件</w:t>
            </w:r>
            <w:r>
              <w:rPr>
                <w:rFonts w:hint="eastAsia" w:ascii="宋体" w:hAnsi="宋体" w:cs="宋体"/>
                <w:color w:val="auto"/>
                <w:kern w:val="0"/>
                <w:szCs w:val="21"/>
              </w:rPr>
              <w:t>内容</w:t>
            </w:r>
          </w:p>
        </w:tc>
        <w:tc>
          <w:tcPr>
            <w:tcW w:w="5146" w:type="dxa"/>
            <w:vAlign w:val="center"/>
          </w:tcPr>
          <w:p>
            <w:pPr>
              <w:pStyle w:val="8"/>
              <w:spacing w:line="500" w:lineRule="exact"/>
              <w:ind w:left="0" w:leftChars="0"/>
              <w:rPr>
                <w:rFonts w:ascii="宋体" w:hAnsi="宋体" w:eastAsia="宋体" w:cs="宋体"/>
                <w:color w:val="auto"/>
                <w:kern w:val="0"/>
                <w:sz w:val="21"/>
                <w:szCs w:val="21"/>
              </w:rPr>
            </w:pPr>
            <w:r>
              <w:rPr>
                <w:rFonts w:hint="eastAsia" w:ascii="宋体" w:hAnsi="宋体" w:eastAsia="宋体" w:cs="宋体"/>
                <w:color w:val="auto"/>
                <w:kern w:val="0"/>
                <w:sz w:val="21"/>
                <w:szCs w:val="21"/>
              </w:rPr>
              <w:t>对竞争性磋商文件规定的内容全部做出响应。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716" w:type="dxa"/>
            <w:vMerge w:val="continue"/>
            <w:vAlign w:val="center"/>
          </w:tcPr>
          <w:p>
            <w:pPr>
              <w:spacing w:line="500" w:lineRule="exact"/>
              <w:jc w:val="center"/>
              <w:rPr>
                <w:rFonts w:ascii="宋体" w:hAnsi="宋体" w:cs="宋体"/>
                <w:color w:val="auto"/>
                <w:kern w:val="0"/>
                <w:szCs w:val="21"/>
              </w:rPr>
            </w:pPr>
          </w:p>
        </w:tc>
        <w:tc>
          <w:tcPr>
            <w:tcW w:w="1051" w:type="dxa"/>
            <w:vMerge w:val="continue"/>
            <w:vAlign w:val="center"/>
          </w:tcPr>
          <w:p>
            <w:pPr>
              <w:spacing w:line="500" w:lineRule="exact"/>
              <w:rPr>
                <w:rFonts w:ascii="宋体" w:hAnsi="宋体" w:cs="宋体"/>
                <w:color w:val="auto"/>
                <w:kern w:val="0"/>
                <w:szCs w:val="21"/>
              </w:rPr>
            </w:pPr>
          </w:p>
        </w:tc>
        <w:tc>
          <w:tcPr>
            <w:tcW w:w="2107" w:type="dxa"/>
            <w:vAlign w:val="center"/>
          </w:tcPr>
          <w:p>
            <w:pPr>
              <w:spacing w:line="500" w:lineRule="exact"/>
              <w:rPr>
                <w:rFonts w:ascii="宋体" w:hAnsi="宋体" w:cs="宋体"/>
                <w:color w:val="auto"/>
                <w:kern w:val="0"/>
                <w:szCs w:val="21"/>
              </w:rPr>
            </w:pPr>
            <w:r>
              <w:rPr>
                <w:rFonts w:hint="eastAsia" w:ascii="宋体" w:hAnsi="宋体" w:cs="宋体"/>
                <w:color w:val="auto"/>
                <w:kern w:val="0"/>
                <w:szCs w:val="21"/>
              </w:rPr>
              <w:t>质量技术</w:t>
            </w:r>
          </w:p>
        </w:tc>
        <w:tc>
          <w:tcPr>
            <w:tcW w:w="5146" w:type="dxa"/>
            <w:vAlign w:val="center"/>
          </w:tcPr>
          <w:p>
            <w:pPr>
              <w:spacing w:line="500" w:lineRule="exact"/>
              <w:rPr>
                <w:rFonts w:ascii="宋体" w:hAnsi="宋体" w:cs="宋体"/>
                <w:color w:val="auto"/>
                <w:kern w:val="0"/>
                <w:szCs w:val="21"/>
              </w:rPr>
            </w:pPr>
            <w:r>
              <w:rPr>
                <w:rFonts w:hint="eastAsia" w:ascii="宋体" w:hAnsi="宋体" w:cs="宋体"/>
                <w:color w:val="auto"/>
                <w:kern w:val="0"/>
                <w:szCs w:val="21"/>
              </w:rPr>
              <w:t>满足竞争性磋商文件提出的质量、技术要求。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716" w:type="dxa"/>
            <w:vMerge w:val="continue"/>
            <w:vAlign w:val="center"/>
          </w:tcPr>
          <w:p>
            <w:pPr>
              <w:spacing w:line="500" w:lineRule="exact"/>
              <w:jc w:val="center"/>
              <w:rPr>
                <w:rFonts w:ascii="宋体" w:hAnsi="宋体" w:cs="宋体"/>
                <w:color w:val="auto"/>
                <w:kern w:val="0"/>
                <w:szCs w:val="21"/>
              </w:rPr>
            </w:pPr>
          </w:p>
        </w:tc>
        <w:tc>
          <w:tcPr>
            <w:tcW w:w="1051" w:type="dxa"/>
            <w:vMerge w:val="continue"/>
            <w:vAlign w:val="center"/>
          </w:tcPr>
          <w:p>
            <w:pPr>
              <w:spacing w:line="500" w:lineRule="exact"/>
              <w:rPr>
                <w:rFonts w:ascii="宋体" w:hAnsi="宋体" w:cs="宋体"/>
                <w:color w:val="auto"/>
                <w:kern w:val="0"/>
                <w:szCs w:val="21"/>
              </w:rPr>
            </w:pPr>
          </w:p>
        </w:tc>
        <w:tc>
          <w:tcPr>
            <w:tcW w:w="2107" w:type="dxa"/>
            <w:vAlign w:val="center"/>
          </w:tcPr>
          <w:p>
            <w:pPr>
              <w:spacing w:line="500" w:lineRule="exact"/>
              <w:rPr>
                <w:rFonts w:ascii="宋体" w:hAnsi="宋体" w:cs="宋体"/>
                <w:color w:val="auto"/>
                <w:kern w:val="0"/>
                <w:szCs w:val="21"/>
              </w:rPr>
            </w:pPr>
            <w:r>
              <w:rPr>
                <w:rFonts w:hint="eastAsia" w:ascii="宋体" w:hAnsi="宋体" w:cs="宋体"/>
                <w:color w:val="auto"/>
                <w:kern w:val="0"/>
                <w:szCs w:val="21"/>
              </w:rPr>
              <w:t>完成期限</w:t>
            </w:r>
          </w:p>
        </w:tc>
        <w:tc>
          <w:tcPr>
            <w:tcW w:w="5146" w:type="dxa"/>
            <w:vAlign w:val="center"/>
          </w:tcPr>
          <w:p>
            <w:pPr>
              <w:spacing w:line="500" w:lineRule="exact"/>
              <w:rPr>
                <w:rFonts w:ascii="宋体" w:hAnsi="宋体" w:cs="宋体"/>
                <w:color w:val="auto"/>
                <w:kern w:val="0"/>
                <w:szCs w:val="21"/>
              </w:rPr>
            </w:pPr>
            <w:r>
              <w:rPr>
                <w:rFonts w:hint="eastAsia" w:ascii="宋体" w:hAnsi="宋体" w:cs="宋体"/>
                <w:color w:val="auto"/>
                <w:kern w:val="0"/>
                <w:szCs w:val="21"/>
              </w:rPr>
              <w:t>满足竞争性磋商文件</w:t>
            </w:r>
            <w:r>
              <w:rPr>
                <w:rFonts w:hint="eastAsia" w:ascii="宋体" w:hAnsi="宋体" w:cs="宋体"/>
                <w:color w:val="auto"/>
                <w:szCs w:val="21"/>
                <w:lang w:val="zh-CN"/>
              </w:rPr>
              <w:t>规定</w:t>
            </w:r>
            <w:r>
              <w:rPr>
                <w:rFonts w:hint="eastAsia" w:ascii="宋体" w:hAnsi="宋体" w:cs="宋体"/>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716" w:type="dxa"/>
            <w:vMerge w:val="continue"/>
            <w:vAlign w:val="center"/>
          </w:tcPr>
          <w:p>
            <w:pPr>
              <w:spacing w:line="500" w:lineRule="exact"/>
              <w:jc w:val="center"/>
              <w:rPr>
                <w:rFonts w:ascii="宋体" w:hAnsi="宋体" w:cs="宋体"/>
                <w:color w:val="auto"/>
                <w:kern w:val="0"/>
                <w:szCs w:val="21"/>
              </w:rPr>
            </w:pPr>
          </w:p>
        </w:tc>
        <w:tc>
          <w:tcPr>
            <w:tcW w:w="1051" w:type="dxa"/>
            <w:vMerge w:val="continue"/>
            <w:vAlign w:val="center"/>
          </w:tcPr>
          <w:p>
            <w:pPr>
              <w:spacing w:line="500" w:lineRule="exact"/>
              <w:rPr>
                <w:rFonts w:ascii="宋体" w:hAnsi="宋体" w:cs="宋体"/>
                <w:color w:val="auto"/>
                <w:kern w:val="0"/>
                <w:szCs w:val="21"/>
              </w:rPr>
            </w:pPr>
          </w:p>
        </w:tc>
        <w:tc>
          <w:tcPr>
            <w:tcW w:w="2107" w:type="dxa"/>
            <w:vAlign w:val="center"/>
          </w:tcPr>
          <w:p>
            <w:pPr>
              <w:spacing w:line="500" w:lineRule="exact"/>
              <w:rPr>
                <w:rFonts w:ascii="宋体" w:hAnsi="宋体" w:cs="宋体"/>
                <w:color w:val="auto"/>
                <w:kern w:val="0"/>
                <w:szCs w:val="21"/>
              </w:rPr>
            </w:pPr>
            <w:r>
              <w:rPr>
                <w:rFonts w:hint="eastAsia" w:ascii="宋体" w:hAnsi="宋体" w:cs="宋体"/>
                <w:color w:val="auto"/>
                <w:kern w:val="0"/>
                <w:szCs w:val="21"/>
              </w:rPr>
              <w:t>售后服务</w:t>
            </w:r>
          </w:p>
        </w:tc>
        <w:tc>
          <w:tcPr>
            <w:tcW w:w="5146" w:type="dxa"/>
            <w:vAlign w:val="center"/>
          </w:tcPr>
          <w:p>
            <w:pPr>
              <w:spacing w:line="500" w:lineRule="exact"/>
              <w:rPr>
                <w:rFonts w:ascii="宋体" w:hAnsi="宋体" w:cs="宋体"/>
                <w:color w:val="auto"/>
                <w:kern w:val="0"/>
                <w:szCs w:val="21"/>
              </w:rPr>
            </w:pPr>
            <w:r>
              <w:rPr>
                <w:rFonts w:hint="eastAsia" w:ascii="宋体" w:hAnsi="宋体" w:cs="宋体"/>
                <w:color w:val="auto"/>
                <w:kern w:val="0"/>
                <w:szCs w:val="21"/>
              </w:rPr>
              <w:t>满足竞争性磋商文件</w:t>
            </w:r>
            <w:r>
              <w:rPr>
                <w:rFonts w:hint="eastAsia" w:ascii="宋体" w:hAnsi="宋体" w:cs="宋体"/>
                <w:color w:val="auto"/>
                <w:szCs w:val="21"/>
                <w:lang w:val="zh-CN"/>
              </w:rPr>
              <w:t>规定</w:t>
            </w:r>
            <w:r>
              <w:rPr>
                <w:rFonts w:hint="eastAsia" w:ascii="宋体" w:hAnsi="宋体" w:cs="宋体"/>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716" w:type="dxa"/>
            <w:vMerge w:val="continue"/>
            <w:vAlign w:val="center"/>
          </w:tcPr>
          <w:p>
            <w:pPr>
              <w:spacing w:line="500" w:lineRule="exact"/>
              <w:jc w:val="center"/>
              <w:rPr>
                <w:rFonts w:ascii="宋体" w:hAnsi="宋体" w:cs="宋体"/>
                <w:color w:val="auto"/>
                <w:kern w:val="0"/>
                <w:szCs w:val="21"/>
              </w:rPr>
            </w:pPr>
          </w:p>
        </w:tc>
        <w:tc>
          <w:tcPr>
            <w:tcW w:w="1051" w:type="dxa"/>
            <w:vMerge w:val="continue"/>
            <w:vAlign w:val="center"/>
          </w:tcPr>
          <w:p>
            <w:pPr>
              <w:spacing w:line="500" w:lineRule="exact"/>
              <w:rPr>
                <w:rFonts w:ascii="宋体" w:hAnsi="宋体" w:cs="宋体"/>
                <w:color w:val="auto"/>
                <w:szCs w:val="21"/>
                <w:lang w:val="zh-CN"/>
              </w:rPr>
            </w:pPr>
          </w:p>
        </w:tc>
        <w:tc>
          <w:tcPr>
            <w:tcW w:w="2107" w:type="dxa"/>
            <w:vAlign w:val="center"/>
          </w:tcPr>
          <w:p>
            <w:pPr>
              <w:spacing w:line="500" w:lineRule="exact"/>
              <w:rPr>
                <w:rFonts w:ascii="宋体" w:hAnsi="宋体" w:cs="宋体"/>
                <w:color w:val="auto"/>
                <w:kern w:val="0"/>
                <w:szCs w:val="21"/>
              </w:rPr>
            </w:pPr>
            <w:r>
              <w:rPr>
                <w:rFonts w:hint="eastAsia" w:ascii="宋体" w:hAnsi="宋体" w:cs="宋体"/>
                <w:color w:val="auto"/>
                <w:szCs w:val="21"/>
                <w:lang w:val="zh-CN"/>
              </w:rPr>
              <w:t>响应文件</w:t>
            </w:r>
            <w:r>
              <w:rPr>
                <w:rFonts w:hint="eastAsia" w:ascii="宋体" w:hAnsi="宋体" w:cs="宋体"/>
                <w:color w:val="auto"/>
                <w:kern w:val="0"/>
                <w:szCs w:val="21"/>
              </w:rPr>
              <w:t>有效期</w:t>
            </w:r>
          </w:p>
        </w:tc>
        <w:tc>
          <w:tcPr>
            <w:tcW w:w="5146" w:type="dxa"/>
            <w:vAlign w:val="center"/>
          </w:tcPr>
          <w:p>
            <w:pPr>
              <w:spacing w:line="500" w:lineRule="exact"/>
              <w:rPr>
                <w:rFonts w:ascii="宋体" w:hAnsi="宋体" w:cs="宋体"/>
                <w:color w:val="auto"/>
                <w:kern w:val="0"/>
                <w:szCs w:val="21"/>
              </w:rPr>
            </w:pPr>
            <w:r>
              <w:rPr>
                <w:rFonts w:hint="eastAsia" w:ascii="宋体" w:hAnsi="宋体" w:cs="宋体"/>
                <w:color w:val="auto"/>
                <w:kern w:val="0"/>
                <w:szCs w:val="21"/>
              </w:rPr>
              <w:t>满足竞争性磋商文件</w:t>
            </w:r>
            <w:r>
              <w:rPr>
                <w:rFonts w:hint="eastAsia" w:ascii="宋体" w:hAnsi="宋体" w:cs="宋体"/>
                <w:color w:val="auto"/>
                <w:szCs w:val="21"/>
                <w:lang w:val="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trPr>
        <w:tc>
          <w:tcPr>
            <w:tcW w:w="716" w:type="dxa"/>
            <w:vMerge w:val="continue"/>
            <w:tcBorders>
              <w:bottom w:val="single" w:color="auto" w:sz="4" w:space="0"/>
            </w:tcBorders>
            <w:vAlign w:val="center"/>
          </w:tcPr>
          <w:p>
            <w:pPr>
              <w:spacing w:line="500" w:lineRule="exact"/>
              <w:jc w:val="center"/>
              <w:rPr>
                <w:rFonts w:ascii="宋体" w:hAnsi="宋体" w:cs="宋体"/>
                <w:color w:val="auto"/>
                <w:kern w:val="0"/>
                <w:szCs w:val="21"/>
              </w:rPr>
            </w:pPr>
          </w:p>
        </w:tc>
        <w:tc>
          <w:tcPr>
            <w:tcW w:w="1051" w:type="dxa"/>
            <w:vMerge w:val="continue"/>
            <w:tcBorders>
              <w:bottom w:val="single" w:color="auto" w:sz="4" w:space="0"/>
            </w:tcBorders>
            <w:vAlign w:val="center"/>
          </w:tcPr>
          <w:p>
            <w:pPr>
              <w:spacing w:line="500" w:lineRule="exact"/>
              <w:rPr>
                <w:rFonts w:ascii="宋体" w:hAnsi="宋体" w:cs="宋体"/>
                <w:color w:val="auto"/>
                <w:szCs w:val="21"/>
                <w:lang w:val="zh-CN"/>
              </w:rPr>
            </w:pPr>
          </w:p>
        </w:tc>
        <w:tc>
          <w:tcPr>
            <w:tcW w:w="2107" w:type="dxa"/>
            <w:tcBorders>
              <w:bottom w:val="single" w:color="auto" w:sz="4" w:space="0"/>
            </w:tcBorders>
            <w:vAlign w:val="center"/>
          </w:tcPr>
          <w:p>
            <w:pPr>
              <w:spacing w:line="500" w:lineRule="exact"/>
              <w:rPr>
                <w:rFonts w:ascii="宋体" w:hAnsi="宋体" w:cs="宋体"/>
                <w:color w:val="auto"/>
                <w:kern w:val="0"/>
                <w:szCs w:val="21"/>
              </w:rPr>
            </w:pPr>
            <w:r>
              <w:rPr>
                <w:rFonts w:hint="eastAsia" w:ascii="宋体" w:hAnsi="宋体" w:cs="宋体"/>
                <w:color w:val="auto"/>
                <w:kern w:val="0"/>
                <w:szCs w:val="21"/>
              </w:rPr>
              <w:t>其他</w:t>
            </w:r>
          </w:p>
        </w:tc>
        <w:tc>
          <w:tcPr>
            <w:tcW w:w="5146" w:type="dxa"/>
            <w:tcBorders>
              <w:bottom w:val="single" w:color="auto" w:sz="4" w:space="0"/>
            </w:tcBorders>
            <w:vAlign w:val="center"/>
          </w:tcPr>
          <w:p>
            <w:pPr>
              <w:spacing w:line="500" w:lineRule="exact"/>
              <w:rPr>
                <w:rFonts w:ascii="宋体" w:hAnsi="宋体" w:cs="宋体"/>
                <w:color w:val="auto"/>
                <w:kern w:val="0"/>
                <w:szCs w:val="21"/>
              </w:rPr>
            </w:pPr>
            <w:r>
              <w:rPr>
                <w:rFonts w:hint="eastAsia" w:ascii="宋体" w:hAnsi="宋体" w:cs="宋体"/>
                <w:color w:val="auto"/>
                <w:kern w:val="0"/>
                <w:szCs w:val="21"/>
              </w:rPr>
              <w:t>满足竞争性磋商文件相关</w:t>
            </w:r>
            <w:r>
              <w:rPr>
                <w:rFonts w:hint="eastAsia" w:ascii="宋体" w:hAnsi="宋体" w:cs="宋体"/>
                <w:color w:val="auto"/>
                <w:szCs w:val="21"/>
                <w:lang w:val="zh-CN"/>
              </w:rPr>
              <w:t>规定。</w:t>
            </w:r>
          </w:p>
        </w:tc>
      </w:tr>
    </w:tbl>
    <w:p>
      <w:pPr>
        <w:spacing w:line="360" w:lineRule="auto"/>
        <w:rPr>
          <w:rFonts w:ascii="宋体" w:hAnsi="宋体" w:cs="宋体"/>
          <w:b/>
          <w:bCs/>
          <w:color w:val="auto"/>
          <w:sz w:val="24"/>
        </w:rPr>
      </w:pPr>
    </w:p>
    <w:p>
      <w:pPr>
        <w:rPr>
          <w:rFonts w:ascii="宋体" w:hAnsi="宋体" w:cs="宋体"/>
          <w:b/>
          <w:color w:val="auto"/>
          <w:sz w:val="24"/>
        </w:rPr>
        <w:sectPr>
          <w:footerReference r:id="rId5" w:type="default"/>
          <w:pgSz w:w="11906" w:h="16838"/>
          <w:pgMar w:top="1440" w:right="1486" w:bottom="1440" w:left="1600" w:header="851" w:footer="992" w:gutter="0"/>
          <w:pgNumType w:fmt="numberInDash"/>
          <w:cols w:space="425" w:num="1"/>
          <w:docGrid w:type="lines" w:linePitch="312" w:charSpace="0"/>
        </w:sectPr>
      </w:pPr>
      <w:r>
        <w:rPr>
          <w:rFonts w:hint="eastAsia" w:ascii="宋体" w:hAnsi="宋体" w:cs="宋体"/>
          <w:b/>
          <w:color w:val="auto"/>
          <w:sz w:val="24"/>
        </w:rPr>
        <w:t>注：以上评审内容，有一项不通过者，视为供应商初步评审不通过，未通过初审的其响应文件将按照无效响应处理。</w:t>
      </w:r>
    </w:p>
    <w:p>
      <w:pPr>
        <w:spacing w:line="360" w:lineRule="auto"/>
        <w:rPr>
          <w:rFonts w:ascii="宋体" w:hAnsi="宋体" w:cs="宋体"/>
          <w:b/>
          <w:bCs/>
          <w:color w:val="auto"/>
          <w:sz w:val="24"/>
        </w:rPr>
      </w:pPr>
      <w:r>
        <w:rPr>
          <w:rFonts w:hint="eastAsia" w:ascii="宋体" w:hAnsi="宋体" w:cs="宋体"/>
          <w:b/>
          <w:bCs/>
          <w:color w:val="auto"/>
          <w:sz w:val="24"/>
        </w:rPr>
        <w:t xml:space="preserve">二、评分表 </w:t>
      </w:r>
    </w:p>
    <w:p>
      <w:pPr>
        <w:spacing w:before="38"/>
        <w:ind w:firstLine="480" w:firstLineChars="200"/>
        <w:jc w:val="left"/>
        <w:rPr>
          <w:color w:val="auto"/>
          <w:sz w:val="24"/>
        </w:rPr>
      </w:pPr>
      <w:r>
        <w:rPr>
          <w:rFonts w:hint="eastAsia"/>
          <w:color w:val="auto"/>
          <w:sz w:val="24"/>
        </w:rPr>
        <w:t>本项目评审采用</w:t>
      </w:r>
      <w:r>
        <w:rPr>
          <w:rFonts w:hint="eastAsia"/>
          <w:b/>
          <w:bCs/>
          <w:color w:val="auto"/>
          <w:sz w:val="24"/>
        </w:rPr>
        <w:t>综合评分法</w:t>
      </w:r>
      <w:r>
        <w:rPr>
          <w:color w:val="auto"/>
          <w:sz w:val="24"/>
        </w:rPr>
        <w:t>。由磋商报价</w:t>
      </w:r>
      <w:r>
        <w:rPr>
          <w:rFonts w:hint="eastAsia"/>
          <w:color w:val="auto"/>
          <w:sz w:val="24"/>
        </w:rPr>
        <w:t>、</w:t>
      </w:r>
      <w:r>
        <w:rPr>
          <w:color w:val="auto"/>
          <w:sz w:val="24"/>
        </w:rPr>
        <w:t>商务</w:t>
      </w:r>
      <w:r>
        <w:rPr>
          <w:rFonts w:hint="eastAsia"/>
          <w:color w:val="auto"/>
          <w:sz w:val="24"/>
        </w:rPr>
        <w:t>部分、</w:t>
      </w:r>
      <w:r>
        <w:rPr>
          <w:color w:val="auto"/>
          <w:sz w:val="24"/>
        </w:rPr>
        <w:t>技术</w:t>
      </w:r>
      <w:r>
        <w:rPr>
          <w:rFonts w:hint="eastAsia"/>
          <w:color w:val="auto"/>
          <w:sz w:val="24"/>
        </w:rPr>
        <w:t>部分</w:t>
      </w:r>
      <w:r>
        <w:rPr>
          <w:color w:val="auto"/>
          <w:sz w:val="24"/>
        </w:rPr>
        <w:t xml:space="preserve">三部分组成，总分值为 100分。详细如下： </w:t>
      </w:r>
    </w:p>
    <w:tbl>
      <w:tblPr>
        <w:tblStyle w:val="16"/>
        <w:tblpPr w:leftFromText="180" w:rightFromText="180" w:vertAnchor="text" w:horzAnchor="page" w:tblpX="1479" w:tblpY="289"/>
        <w:tblOverlap w:val="never"/>
        <w:tblW w:w="94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2"/>
        <w:gridCol w:w="713"/>
        <w:gridCol w:w="1570"/>
        <w:gridCol w:w="5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8" w:hRule="atLeast"/>
        </w:trPr>
        <w:tc>
          <w:tcPr>
            <w:tcW w:w="1212" w:type="dxa"/>
            <w:vAlign w:val="center"/>
          </w:tcPr>
          <w:p>
            <w:pPr>
              <w:pStyle w:val="2"/>
              <w:spacing w:before="161"/>
              <w:jc w:val="center"/>
              <w:rPr>
                <w:color w:val="auto"/>
                <w:szCs w:val="21"/>
              </w:rPr>
            </w:pPr>
            <w:r>
              <w:rPr>
                <w:color w:val="auto"/>
                <w:szCs w:val="21"/>
              </w:rPr>
              <w:t>评标项目</w:t>
            </w:r>
          </w:p>
        </w:tc>
        <w:tc>
          <w:tcPr>
            <w:tcW w:w="2283" w:type="dxa"/>
            <w:gridSpan w:val="2"/>
            <w:vAlign w:val="center"/>
          </w:tcPr>
          <w:p>
            <w:pPr>
              <w:pStyle w:val="33"/>
              <w:spacing w:before="67"/>
              <w:ind w:left="707"/>
              <w:jc w:val="center"/>
              <w:rPr>
                <w:rFonts w:ascii="Times New Roman" w:hAnsi="Times New Roman" w:cs="Times New Roman"/>
                <w:color w:val="auto"/>
                <w:szCs w:val="21"/>
                <w:lang w:val="en-US" w:bidi="ar-SA"/>
              </w:rPr>
            </w:pPr>
            <w:r>
              <w:rPr>
                <w:rFonts w:ascii="Times New Roman" w:hAnsi="Times New Roman" w:cs="Times New Roman"/>
                <w:color w:val="auto"/>
                <w:szCs w:val="21"/>
                <w:lang w:val="en-US" w:bidi="ar-SA"/>
              </w:rPr>
              <w:t>评审内容</w:t>
            </w:r>
          </w:p>
        </w:tc>
        <w:tc>
          <w:tcPr>
            <w:tcW w:w="5985" w:type="dxa"/>
            <w:vAlign w:val="center"/>
          </w:tcPr>
          <w:p>
            <w:pPr>
              <w:pStyle w:val="33"/>
              <w:spacing w:before="67"/>
              <w:ind w:left="2461" w:right="2333"/>
              <w:jc w:val="center"/>
              <w:rPr>
                <w:rFonts w:ascii="Times New Roman" w:hAnsi="Times New Roman" w:cs="Times New Roman"/>
                <w:color w:val="auto"/>
                <w:szCs w:val="21"/>
                <w:lang w:val="en-US" w:bidi="ar-SA"/>
              </w:rPr>
            </w:pPr>
            <w:r>
              <w:rPr>
                <w:rFonts w:ascii="Times New Roman" w:hAnsi="Times New Roman" w:cs="Times New Roman"/>
                <w:color w:val="auto"/>
                <w:szCs w:val="21"/>
                <w:lang w:val="en-US" w:bidi="ar-SA"/>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65" w:hRule="atLeast"/>
        </w:trPr>
        <w:tc>
          <w:tcPr>
            <w:tcW w:w="1212" w:type="dxa"/>
            <w:vAlign w:val="center"/>
          </w:tcPr>
          <w:p>
            <w:pPr>
              <w:pStyle w:val="33"/>
              <w:spacing w:line="252" w:lineRule="auto"/>
              <w:ind w:right="84"/>
              <w:jc w:val="center"/>
              <w:rPr>
                <w:rFonts w:ascii="Times New Roman" w:hAnsi="Times New Roman" w:cs="Times New Roman"/>
                <w:color w:val="auto"/>
                <w:szCs w:val="21"/>
                <w:lang w:val="en-US" w:bidi="ar-SA"/>
              </w:rPr>
            </w:pPr>
            <w:r>
              <w:rPr>
                <w:rFonts w:ascii="Times New Roman" w:hAnsi="Times New Roman" w:cs="Times New Roman"/>
                <w:color w:val="auto"/>
                <w:szCs w:val="21"/>
                <w:lang w:val="en-US" w:bidi="ar-SA"/>
              </w:rPr>
              <w:t>磋商报价</w:t>
            </w:r>
          </w:p>
          <w:p>
            <w:pPr>
              <w:pStyle w:val="33"/>
              <w:spacing w:line="252" w:lineRule="auto"/>
              <w:ind w:right="84"/>
              <w:jc w:val="center"/>
              <w:rPr>
                <w:rFonts w:ascii="Times New Roman" w:hAnsi="Times New Roman" w:cs="Times New Roman"/>
                <w:color w:val="auto"/>
                <w:szCs w:val="21"/>
                <w:lang w:val="en-US" w:bidi="ar-SA"/>
              </w:rPr>
            </w:pPr>
            <w:r>
              <w:rPr>
                <w:rFonts w:hint="eastAsia" w:ascii="Times New Roman" w:hAnsi="Times New Roman" w:cs="Times New Roman"/>
                <w:color w:val="auto"/>
                <w:szCs w:val="21"/>
                <w:lang w:val="en-US" w:bidi="ar-SA"/>
              </w:rPr>
              <w:t>(</w:t>
            </w:r>
            <w:r>
              <w:rPr>
                <w:rFonts w:ascii="Times New Roman" w:hAnsi="Times New Roman" w:cs="Times New Roman"/>
                <w:color w:val="auto"/>
                <w:szCs w:val="21"/>
                <w:lang w:val="en-US" w:bidi="ar-SA"/>
              </w:rPr>
              <w:t>10 分</w:t>
            </w:r>
            <w:r>
              <w:rPr>
                <w:rFonts w:hint="eastAsia" w:ascii="Times New Roman" w:hAnsi="Times New Roman" w:cs="Times New Roman"/>
                <w:color w:val="auto"/>
                <w:szCs w:val="21"/>
                <w:lang w:val="en-US" w:bidi="ar-SA"/>
              </w:rPr>
              <w:t>)</w:t>
            </w:r>
          </w:p>
        </w:tc>
        <w:tc>
          <w:tcPr>
            <w:tcW w:w="2283" w:type="dxa"/>
            <w:gridSpan w:val="2"/>
            <w:vAlign w:val="center"/>
          </w:tcPr>
          <w:p>
            <w:pPr>
              <w:pStyle w:val="33"/>
              <w:spacing w:before="189"/>
              <w:jc w:val="center"/>
              <w:rPr>
                <w:rFonts w:ascii="Times New Roman" w:hAnsi="Times New Roman" w:cs="Times New Roman"/>
                <w:color w:val="auto"/>
                <w:szCs w:val="21"/>
                <w:lang w:val="en-US" w:bidi="ar-SA"/>
              </w:rPr>
            </w:pPr>
            <w:r>
              <w:rPr>
                <w:rFonts w:ascii="Times New Roman" w:hAnsi="Times New Roman" w:cs="Times New Roman"/>
                <w:color w:val="auto"/>
                <w:szCs w:val="21"/>
                <w:lang w:val="en-US" w:bidi="ar-SA"/>
              </w:rPr>
              <w:t>磋商报价10</w:t>
            </w:r>
            <w:r>
              <w:rPr>
                <w:rFonts w:hint="eastAsia" w:ascii="Times New Roman" w:hAnsi="Times New Roman" w:cs="Times New Roman"/>
                <w:color w:val="auto"/>
                <w:szCs w:val="21"/>
                <w:lang w:val="en-US" w:bidi="ar-SA"/>
              </w:rPr>
              <w:t>分</w:t>
            </w:r>
          </w:p>
        </w:tc>
        <w:tc>
          <w:tcPr>
            <w:tcW w:w="5985" w:type="dxa"/>
            <w:vAlign w:val="center"/>
          </w:tcPr>
          <w:p>
            <w:pPr>
              <w:pStyle w:val="33"/>
              <w:spacing w:before="16" w:line="249" w:lineRule="auto"/>
              <w:ind w:left="106" w:right="86"/>
              <w:rPr>
                <w:rFonts w:ascii="Times New Roman" w:hAnsi="Times New Roman" w:cs="Times New Roman"/>
                <w:color w:val="auto"/>
                <w:szCs w:val="21"/>
                <w:lang w:val="en-US" w:bidi="ar-SA"/>
              </w:rPr>
            </w:pPr>
            <w:r>
              <w:rPr>
                <w:rFonts w:ascii="Times New Roman" w:hAnsi="Times New Roman" w:cs="Times New Roman"/>
                <w:color w:val="auto"/>
                <w:szCs w:val="21"/>
                <w:lang w:val="en-US" w:bidi="ar-SA"/>
              </w:rPr>
              <w:t>以满足招标文件要求且投标价格最低的磋商报价为评</w:t>
            </w:r>
            <w:r>
              <w:rPr>
                <w:rFonts w:hint="eastAsia" w:ascii="Times New Roman" w:hAnsi="Times New Roman" w:cs="Times New Roman"/>
                <w:color w:val="auto"/>
                <w:szCs w:val="21"/>
                <w:lang w:val="en-US" w:bidi="ar-SA"/>
              </w:rPr>
              <w:t>标</w:t>
            </w:r>
            <w:r>
              <w:rPr>
                <w:rFonts w:ascii="Times New Roman" w:hAnsi="Times New Roman" w:cs="Times New Roman"/>
                <w:color w:val="auto"/>
                <w:szCs w:val="21"/>
                <w:lang w:val="en-US" w:bidi="ar-SA"/>
              </w:rPr>
              <w:t>基准价，其价格分为满分</w:t>
            </w:r>
            <w:r>
              <w:rPr>
                <w:rFonts w:hint="eastAsia" w:ascii="Times New Roman" w:hAnsi="Times New Roman" w:cs="Times New Roman"/>
                <w:color w:val="auto"/>
                <w:szCs w:val="21"/>
                <w:lang w:val="en-US" w:bidi="ar-SA"/>
              </w:rPr>
              <w:t>10分</w:t>
            </w:r>
            <w:r>
              <w:rPr>
                <w:rFonts w:ascii="Times New Roman" w:hAnsi="Times New Roman" w:cs="Times New Roman"/>
                <w:color w:val="auto"/>
                <w:szCs w:val="21"/>
                <w:lang w:val="en-US" w:bidi="ar-SA"/>
              </w:rPr>
              <w:t>。</w:t>
            </w:r>
          </w:p>
          <w:p>
            <w:pPr>
              <w:pStyle w:val="33"/>
              <w:spacing w:before="1" w:line="282" w:lineRule="exact"/>
              <w:rPr>
                <w:rFonts w:ascii="Times New Roman" w:hAnsi="Times New Roman" w:cs="Times New Roman"/>
                <w:color w:val="auto"/>
                <w:szCs w:val="21"/>
                <w:lang w:val="en-US" w:bidi="ar-SA"/>
              </w:rPr>
            </w:pPr>
            <w:r>
              <w:rPr>
                <w:rFonts w:ascii="Times New Roman" w:hAnsi="Times New Roman" w:cs="Times New Roman"/>
                <w:color w:val="auto"/>
                <w:szCs w:val="21"/>
                <w:lang w:val="en-US" w:bidi="ar-SA"/>
              </w:rPr>
              <w:t>其他投标人的价格</w:t>
            </w:r>
            <w:r>
              <w:rPr>
                <w:rFonts w:hint="eastAsia" w:ascii="Times New Roman" w:hAnsi="Times New Roman" w:cs="Times New Roman"/>
                <w:color w:val="auto"/>
                <w:szCs w:val="21"/>
                <w:lang w:val="en-US" w:bidi="ar-SA"/>
              </w:rPr>
              <w:t>得</w:t>
            </w:r>
            <w:r>
              <w:rPr>
                <w:rFonts w:ascii="Times New Roman" w:hAnsi="Times New Roman" w:cs="Times New Roman"/>
                <w:color w:val="auto"/>
                <w:szCs w:val="21"/>
                <w:lang w:val="en-US" w:bidi="ar-SA"/>
              </w:rPr>
              <w:t xml:space="preserve">分按照下列公式计算：投标报价得分＝（评标基准价/磋商报价）×10%×100 </w:t>
            </w:r>
            <w:r>
              <w:rPr>
                <w:rFonts w:hint="eastAsia" w:ascii="Times New Roman" w:hAnsi="Times New Roman" w:cs="Times New Roman"/>
                <w:color w:val="auto"/>
                <w:szCs w:val="21"/>
                <w:lang w:val="en-US" w:bidi="ar-SA"/>
              </w:rPr>
              <w:t>。</w:t>
            </w:r>
          </w:p>
          <w:p>
            <w:pPr>
              <w:pStyle w:val="33"/>
              <w:spacing w:before="1" w:line="282" w:lineRule="exact"/>
              <w:rPr>
                <w:rFonts w:hint="eastAsia" w:ascii="Times New Roman" w:hAnsi="Times New Roman" w:cs="Times New Roman"/>
                <w:color w:val="auto"/>
                <w:szCs w:val="21"/>
                <w:lang w:val="en-US" w:bidi="ar-SA"/>
              </w:rPr>
            </w:pPr>
            <w:r>
              <w:rPr>
                <w:rFonts w:hint="eastAsia" w:ascii="Times New Roman" w:hAnsi="Times New Roman" w:cs="Times New Roman"/>
                <w:color w:val="auto"/>
                <w:szCs w:val="21"/>
                <w:lang w:val="en-US" w:bidi="ar-SA"/>
              </w:rPr>
              <w:t>注：报价得分精确到小数点后两位；无效投标的报价不计入价格分值的计算。</w:t>
            </w:r>
          </w:p>
          <w:p>
            <w:pPr>
              <w:pStyle w:val="33"/>
              <w:spacing w:before="1" w:line="282" w:lineRule="exact"/>
              <w:rPr>
                <w:rFonts w:hint="eastAsia" w:ascii="Times New Roman" w:hAnsi="Times New Roman" w:eastAsia="宋体" w:cs="Times New Roman"/>
                <w:color w:val="auto"/>
                <w:szCs w:val="21"/>
                <w:lang w:val="en-US" w:eastAsia="zh-CN" w:bidi="ar-SA"/>
              </w:rPr>
            </w:pPr>
            <w:r>
              <w:rPr>
                <w:rFonts w:hint="eastAsia" w:ascii="宋体" w:hAnsi="宋体" w:cs="宋体"/>
                <w:b/>
                <w:color w:val="auto"/>
                <w:szCs w:val="21"/>
              </w:rPr>
              <w:t>根据《政府采购促进中小企业发展暂行办法》（财库〔2011〕181号）第五条要求，本项目对小型和微型企业报价给予6%的扣除，用扣除后的投标报价参与评审</w:t>
            </w:r>
            <w:r>
              <w:rPr>
                <w:rFonts w:hint="eastAsia" w:cs="宋体"/>
                <w:b/>
                <w:color w:val="auto"/>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86" w:hRule="atLeast"/>
        </w:trPr>
        <w:tc>
          <w:tcPr>
            <w:tcW w:w="1212" w:type="dxa"/>
            <w:vMerge w:val="restart"/>
            <w:vAlign w:val="center"/>
          </w:tcPr>
          <w:p>
            <w:pPr>
              <w:pStyle w:val="33"/>
              <w:rPr>
                <w:color w:val="auto"/>
                <w:szCs w:val="21"/>
              </w:rPr>
            </w:pPr>
          </w:p>
          <w:p>
            <w:pPr>
              <w:pStyle w:val="33"/>
              <w:rPr>
                <w:color w:val="auto"/>
                <w:szCs w:val="21"/>
              </w:rPr>
            </w:pPr>
          </w:p>
          <w:p>
            <w:pPr>
              <w:pStyle w:val="33"/>
              <w:rPr>
                <w:color w:val="auto"/>
                <w:szCs w:val="21"/>
              </w:rPr>
            </w:pPr>
          </w:p>
          <w:p>
            <w:pPr>
              <w:pStyle w:val="33"/>
              <w:rPr>
                <w:color w:val="auto"/>
                <w:szCs w:val="21"/>
              </w:rPr>
            </w:pPr>
          </w:p>
          <w:p>
            <w:pPr>
              <w:pStyle w:val="33"/>
              <w:spacing w:before="203"/>
              <w:ind w:left="201"/>
              <w:rPr>
                <w:color w:val="auto"/>
                <w:szCs w:val="21"/>
              </w:rPr>
            </w:pPr>
            <w:r>
              <w:rPr>
                <w:color w:val="auto"/>
                <w:spacing w:val="-1"/>
                <w:w w:val="90"/>
                <w:szCs w:val="21"/>
              </w:rPr>
              <w:t>商务部分</w:t>
            </w:r>
          </w:p>
          <w:p>
            <w:pPr>
              <w:pStyle w:val="33"/>
              <w:spacing w:before="12"/>
              <w:ind w:left="175"/>
              <w:rPr>
                <w:color w:val="auto"/>
                <w:szCs w:val="21"/>
              </w:rPr>
            </w:pPr>
            <w:r>
              <w:rPr>
                <w:color w:val="auto"/>
                <w:w w:val="90"/>
                <w:szCs w:val="21"/>
              </w:rPr>
              <w:t>（30</w:t>
            </w:r>
            <w:r>
              <w:rPr>
                <w:color w:val="auto"/>
                <w:spacing w:val="-28"/>
                <w:w w:val="90"/>
                <w:szCs w:val="21"/>
              </w:rPr>
              <w:t xml:space="preserve"> 分</w:t>
            </w:r>
            <w:r>
              <w:rPr>
                <w:color w:val="auto"/>
                <w:w w:val="90"/>
                <w:szCs w:val="21"/>
              </w:rPr>
              <w:t xml:space="preserve">） </w:t>
            </w:r>
          </w:p>
        </w:tc>
        <w:tc>
          <w:tcPr>
            <w:tcW w:w="2283" w:type="dxa"/>
            <w:gridSpan w:val="2"/>
            <w:tcBorders>
              <w:bottom w:val="single" w:color="000000" w:sz="6" w:space="0"/>
            </w:tcBorders>
            <w:vAlign w:val="center"/>
          </w:tcPr>
          <w:p>
            <w:pPr>
              <w:widowControl/>
              <w:spacing w:line="300" w:lineRule="exact"/>
              <w:jc w:val="center"/>
              <w:rPr>
                <w:color w:val="auto"/>
                <w:szCs w:val="21"/>
              </w:rPr>
            </w:pPr>
            <w:r>
              <w:rPr>
                <w:rFonts w:hint="eastAsia" w:ascii="宋体" w:hAnsi="宋体" w:cs="宋体"/>
                <w:color w:val="auto"/>
                <w:kern w:val="0"/>
                <w:szCs w:val="21"/>
              </w:rPr>
              <w:t>信用查询5分</w:t>
            </w:r>
          </w:p>
        </w:tc>
        <w:tc>
          <w:tcPr>
            <w:tcW w:w="5985" w:type="dxa"/>
            <w:tcBorders>
              <w:bottom w:val="single" w:color="000000" w:sz="6" w:space="0"/>
            </w:tcBorders>
            <w:vAlign w:val="center"/>
          </w:tcPr>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开评标现场，通过在信合联服网站（网址http://www.xhlfzx.com.cn/）查询截止当天供应商信用状况，并根据供应商所提供由信合联服（克拉玛依市信用办备案认可信用服务机构）出具的信用报告所评定信用等级评分：</w:t>
            </w:r>
          </w:p>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1、信用等级为AAA级，得5分；</w:t>
            </w:r>
          </w:p>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2、信用等级为AA级，得4.5分；</w:t>
            </w:r>
          </w:p>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3、信用等级为A级，得4分；</w:t>
            </w:r>
          </w:p>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4、信用等级为BBB级，得3.5分；</w:t>
            </w:r>
          </w:p>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5、信用等级为BB级，得3分；</w:t>
            </w:r>
          </w:p>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6、信用等级为B级，得2.5分；</w:t>
            </w:r>
          </w:p>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7、信用等级为CCC级，得2分；</w:t>
            </w:r>
          </w:p>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8、信用等级为CC级，得1.5分；</w:t>
            </w:r>
          </w:p>
          <w:p>
            <w:pPr>
              <w:widowControl/>
              <w:spacing w:line="300" w:lineRule="exact"/>
              <w:jc w:val="left"/>
              <w:rPr>
                <w:rFonts w:ascii="宋体" w:hAnsi="宋体" w:cs="宋体"/>
                <w:color w:val="auto"/>
                <w:kern w:val="0"/>
                <w:szCs w:val="21"/>
              </w:rPr>
            </w:pPr>
            <w:r>
              <w:rPr>
                <w:rFonts w:hint="eastAsia" w:ascii="宋体" w:hAnsi="宋体" w:cs="宋体"/>
                <w:color w:val="auto"/>
                <w:kern w:val="0"/>
                <w:szCs w:val="21"/>
              </w:rPr>
              <w:t>9、信用等级为C级，得1分；</w:t>
            </w:r>
          </w:p>
          <w:p>
            <w:pPr>
              <w:pStyle w:val="33"/>
              <w:spacing w:before="129"/>
              <w:ind w:left="106"/>
              <w:rPr>
                <w:color w:val="auto"/>
                <w:szCs w:val="21"/>
              </w:rPr>
            </w:pPr>
            <w:r>
              <w:rPr>
                <w:rFonts w:hint="eastAsia"/>
                <w:color w:val="auto"/>
                <w:kern w:val="0"/>
                <w:szCs w:val="21"/>
              </w:rPr>
              <w:t>10、未提供信用报告的，此项不得分。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63" w:hRule="atLeast"/>
        </w:trPr>
        <w:tc>
          <w:tcPr>
            <w:tcW w:w="1212" w:type="dxa"/>
            <w:vMerge w:val="continue"/>
            <w:vAlign w:val="center"/>
          </w:tcPr>
          <w:p>
            <w:pPr>
              <w:pStyle w:val="33"/>
              <w:spacing w:before="12"/>
              <w:ind w:left="175"/>
              <w:rPr>
                <w:color w:val="auto"/>
                <w:w w:val="90"/>
                <w:szCs w:val="21"/>
              </w:rPr>
            </w:pPr>
          </w:p>
        </w:tc>
        <w:tc>
          <w:tcPr>
            <w:tcW w:w="2283" w:type="dxa"/>
            <w:gridSpan w:val="2"/>
            <w:tcBorders>
              <w:bottom w:val="single" w:color="000000" w:sz="6" w:space="0"/>
            </w:tcBorders>
            <w:vAlign w:val="center"/>
          </w:tcPr>
          <w:p>
            <w:pPr>
              <w:widowControl/>
              <w:spacing w:line="300" w:lineRule="exact"/>
              <w:jc w:val="center"/>
              <w:rPr>
                <w:color w:val="auto"/>
                <w:szCs w:val="21"/>
              </w:rPr>
            </w:pPr>
            <w:r>
              <w:rPr>
                <w:rFonts w:hint="eastAsia" w:ascii="宋体" w:hAnsi="宋体" w:cs="宋体"/>
                <w:color w:val="auto"/>
                <w:kern w:val="0"/>
                <w:szCs w:val="21"/>
              </w:rPr>
              <w:t>企业经营业绩</w:t>
            </w:r>
            <w:r>
              <w:rPr>
                <w:color w:val="auto"/>
                <w:szCs w:val="21"/>
              </w:rPr>
              <w:t>15 分</w:t>
            </w:r>
          </w:p>
        </w:tc>
        <w:tc>
          <w:tcPr>
            <w:tcW w:w="5985" w:type="dxa"/>
            <w:tcBorders>
              <w:bottom w:val="single" w:color="000000" w:sz="6" w:space="0"/>
            </w:tcBorders>
            <w:vAlign w:val="center"/>
          </w:tcPr>
          <w:p>
            <w:pPr>
              <w:pStyle w:val="33"/>
              <w:spacing w:before="129"/>
              <w:ind w:left="106"/>
              <w:rPr>
                <w:color w:val="auto"/>
                <w:spacing w:val="-8"/>
                <w:w w:val="95"/>
                <w:szCs w:val="21"/>
              </w:rPr>
            </w:pPr>
            <w:r>
              <w:rPr>
                <w:rFonts w:hint="eastAsia"/>
                <w:color w:val="auto"/>
                <w:kern w:val="0"/>
                <w:szCs w:val="21"/>
                <w:lang w:val="en-US" w:bidi="ar-SA"/>
              </w:rPr>
              <w:t>企业近三年（2016年1月1日至今）的类似项目业绩（提供中标通知书或合同），每提供一份得 3 分，累计最高可得 15 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7" w:hRule="atLeast"/>
        </w:trPr>
        <w:tc>
          <w:tcPr>
            <w:tcW w:w="1212" w:type="dxa"/>
            <w:vMerge w:val="continue"/>
            <w:tcBorders>
              <w:top w:val="nil"/>
            </w:tcBorders>
            <w:vAlign w:val="center"/>
          </w:tcPr>
          <w:p>
            <w:pPr>
              <w:rPr>
                <w:color w:val="auto"/>
                <w:szCs w:val="21"/>
              </w:rPr>
            </w:pPr>
          </w:p>
        </w:tc>
        <w:tc>
          <w:tcPr>
            <w:tcW w:w="2283" w:type="dxa"/>
            <w:gridSpan w:val="2"/>
            <w:tcBorders>
              <w:top w:val="single" w:color="000000" w:sz="6" w:space="0"/>
            </w:tcBorders>
            <w:vAlign w:val="center"/>
          </w:tcPr>
          <w:p>
            <w:pPr>
              <w:pStyle w:val="33"/>
              <w:spacing w:before="4" w:line="320" w:lineRule="atLeast"/>
              <w:ind w:left="974" w:right="154" w:hanging="809"/>
              <w:rPr>
                <w:color w:val="auto"/>
                <w:szCs w:val="21"/>
              </w:rPr>
            </w:pPr>
            <w:r>
              <w:rPr>
                <w:rFonts w:hint="eastAsia"/>
                <w:color w:val="auto"/>
                <w:kern w:val="0"/>
                <w:szCs w:val="21"/>
              </w:rPr>
              <w:t>企业经营情况</w:t>
            </w:r>
            <w:r>
              <w:rPr>
                <w:rFonts w:hint="eastAsia"/>
                <w:color w:val="auto"/>
                <w:kern w:val="0"/>
                <w:szCs w:val="21"/>
                <w:lang w:val="en-US"/>
              </w:rPr>
              <w:t>5</w:t>
            </w:r>
            <w:r>
              <w:rPr>
                <w:rFonts w:hint="eastAsia"/>
                <w:color w:val="auto"/>
                <w:kern w:val="0"/>
                <w:szCs w:val="21"/>
              </w:rPr>
              <w:t>分</w:t>
            </w:r>
          </w:p>
        </w:tc>
        <w:tc>
          <w:tcPr>
            <w:tcW w:w="5985" w:type="dxa"/>
            <w:tcBorders>
              <w:top w:val="single" w:color="000000" w:sz="6" w:space="0"/>
            </w:tcBorders>
            <w:vAlign w:val="center"/>
          </w:tcPr>
          <w:p>
            <w:pPr>
              <w:pStyle w:val="33"/>
              <w:spacing w:before="12" w:line="282" w:lineRule="exact"/>
              <w:ind w:left="106"/>
              <w:rPr>
                <w:color w:val="auto"/>
                <w:szCs w:val="21"/>
                <w:highlight w:val="green"/>
              </w:rPr>
            </w:pPr>
            <w:r>
              <w:rPr>
                <w:rFonts w:hint="eastAsia"/>
                <w:color w:val="auto"/>
                <w:szCs w:val="21"/>
              </w:rPr>
              <w:t>投标人经营情况良好，得0-</w:t>
            </w:r>
            <w:r>
              <w:rPr>
                <w:rFonts w:hint="eastAsia"/>
                <w:color w:val="auto"/>
                <w:szCs w:val="21"/>
                <w:lang w:val="en-US"/>
              </w:rPr>
              <w:t>5</w:t>
            </w:r>
            <w:r>
              <w:rPr>
                <w:rFonts w:hint="eastAsia"/>
                <w:color w:val="auto"/>
                <w:szCs w:val="21"/>
              </w:rPr>
              <w:t>分。（提供财务状况报告复印件</w:t>
            </w:r>
            <w:r>
              <w:rPr>
                <w:rFonts w:hint="eastAsia"/>
                <w:color w:val="auto"/>
                <w:szCs w:val="21"/>
                <w:lang w:val="en-US"/>
              </w:rPr>
              <w:t>或情况说明</w:t>
            </w:r>
            <w:r>
              <w:rPr>
                <w:rFonts w:hint="eastAsia"/>
                <w:color w:val="auto"/>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12" w:hRule="atLeast"/>
        </w:trPr>
        <w:tc>
          <w:tcPr>
            <w:tcW w:w="1212" w:type="dxa"/>
            <w:vMerge w:val="continue"/>
            <w:tcBorders>
              <w:top w:val="nil"/>
            </w:tcBorders>
            <w:vAlign w:val="center"/>
          </w:tcPr>
          <w:p>
            <w:pPr>
              <w:rPr>
                <w:color w:val="auto"/>
                <w:szCs w:val="21"/>
              </w:rPr>
            </w:pPr>
          </w:p>
        </w:tc>
        <w:tc>
          <w:tcPr>
            <w:tcW w:w="2283" w:type="dxa"/>
            <w:gridSpan w:val="2"/>
            <w:vAlign w:val="center"/>
          </w:tcPr>
          <w:p>
            <w:pPr>
              <w:pStyle w:val="33"/>
              <w:spacing w:before="4" w:line="320" w:lineRule="atLeast"/>
              <w:ind w:left="974" w:right="154" w:hanging="809"/>
              <w:rPr>
                <w:color w:val="auto"/>
                <w:szCs w:val="21"/>
              </w:rPr>
            </w:pPr>
            <w:r>
              <w:rPr>
                <w:rFonts w:hint="eastAsia"/>
                <w:color w:val="auto"/>
                <w:kern w:val="0"/>
                <w:szCs w:val="21"/>
              </w:rPr>
              <w:t>磋商响应文件质量</w:t>
            </w:r>
            <w:r>
              <w:rPr>
                <w:rFonts w:hint="eastAsia"/>
                <w:color w:val="auto"/>
                <w:kern w:val="0"/>
                <w:szCs w:val="21"/>
                <w:lang w:val="en-US"/>
              </w:rPr>
              <w:t>5</w:t>
            </w:r>
            <w:r>
              <w:rPr>
                <w:rFonts w:hint="eastAsia"/>
                <w:color w:val="auto"/>
                <w:kern w:val="0"/>
                <w:szCs w:val="21"/>
              </w:rPr>
              <w:t xml:space="preserve">分 </w:t>
            </w:r>
          </w:p>
        </w:tc>
        <w:tc>
          <w:tcPr>
            <w:tcW w:w="5985" w:type="dxa"/>
            <w:vAlign w:val="center"/>
          </w:tcPr>
          <w:p>
            <w:pPr>
              <w:pStyle w:val="33"/>
              <w:spacing w:before="16"/>
              <w:ind w:left="106"/>
              <w:rPr>
                <w:color w:val="auto"/>
                <w:kern w:val="0"/>
                <w:szCs w:val="21"/>
              </w:rPr>
            </w:pPr>
            <w:r>
              <w:rPr>
                <w:rFonts w:hint="eastAsia"/>
                <w:color w:val="auto"/>
                <w:kern w:val="0"/>
                <w:szCs w:val="21"/>
              </w:rPr>
              <w:t>投标文件介绍清晰，思路完整，咨询答疑正确简明</w:t>
            </w:r>
            <w:r>
              <w:rPr>
                <w:rFonts w:hint="eastAsia"/>
                <w:color w:val="auto"/>
                <w:kern w:val="0"/>
                <w:szCs w:val="21"/>
                <w:lang w:val="en-US"/>
              </w:rPr>
              <w:t>得0-2分</w:t>
            </w:r>
            <w:r>
              <w:rPr>
                <w:rFonts w:hint="eastAsia"/>
                <w:color w:val="auto"/>
                <w:kern w:val="0"/>
                <w:szCs w:val="21"/>
              </w:rPr>
              <w:t>。</w:t>
            </w:r>
          </w:p>
          <w:p>
            <w:pPr>
              <w:pStyle w:val="33"/>
              <w:spacing w:before="16"/>
              <w:ind w:left="106"/>
              <w:rPr>
                <w:color w:val="auto"/>
                <w:szCs w:val="21"/>
                <w:highlight w:val="green"/>
              </w:rPr>
            </w:pPr>
            <w:r>
              <w:rPr>
                <w:rFonts w:hint="eastAsia"/>
                <w:color w:val="auto"/>
                <w:kern w:val="0"/>
                <w:szCs w:val="21"/>
              </w:rPr>
              <w:t>供应商根据采购文件条款和要求认真组织编写投标文件及相关工作。投标文件编制质量较高，技术方案内容详细，表述完整</w:t>
            </w:r>
            <w:r>
              <w:rPr>
                <w:rFonts w:hint="eastAsia"/>
                <w:color w:val="auto"/>
                <w:kern w:val="0"/>
                <w:szCs w:val="21"/>
                <w:lang w:val="en-US"/>
              </w:rPr>
              <w:t>得0-3</w:t>
            </w:r>
            <w:r>
              <w:rPr>
                <w:rFonts w:hint="eastAsia"/>
                <w:color w:val="auto"/>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5" w:hRule="atLeast"/>
        </w:trPr>
        <w:tc>
          <w:tcPr>
            <w:tcW w:w="1212" w:type="dxa"/>
            <w:vMerge w:val="restart"/>
            <w:vAlign w:val="center"/>
          </w:tcPr>
          <w:p>
            <w:pPr>
              <w:pStyle w:val="33"/>
              <w:jc w:val="center"/>
              <w:rPr>
                <w:color w:val="auto"/>
                <w:szCs w:val="21"/>
              </w:rPr>
            </w:pPr>
            <w:r>
              <w:rPr>
                <w:color w:val="auto"/>
                <w:spacing w:val="-1"/>
                <w:w w:val="90"/>
                <w:szCs w:val="21"/>
              </w:rPr>
              <w:t>技术部分</w:t>
            </w:r>
          </w:p>
          <w:p>
            <w:pPr>
              <w:pStyle w:val="33"/>
              <w:spacing w:before="12"/>
              <w:ind w:left="175"/>
              <w:rPr>
                <w:color w:val="auto"/>
                <w:szCs w:val="21"/>
                <w:highlight w:val="green"/>
              </w:rPr>
            </w:pPr>
            <w:r>
              <w:rPr>
                <w:color w:val="auto"/>
                <w:w w:val="90"/>
                <w:szCs w:val="21"/>
              </w:rPr>
              <w:t>（60</w:t>
            </w:r>
            <w:r>
              <w:rPr>
                <w:color w:val="auto"/>
                <w:spacing w:val="-28"/>
                <w:w w:val="90"/>
                <w:szCs w:val="21"/>
              </w:rPr>
              <w:t xml:space="preserve"> 分</w:t>
            </w:r>
            <w:r>
              <w:rPr>
                <w:color w:val="auto"/>
                <w:w w:val="90"/>
                <w:szCs w:val="21"/>
              </w:rPr>
              <w:t xml:space="preserve">） </w:t>
            </w:r>
          </w:p>
        </w:tc>
        <w:tc>
          <w:tcPr>
            <w:tcW w:w="2283" w:type="dxa"/>
            <w:gridSpan w:val="2"/>
            <w:vAlign w:val="center"/>
          </w:tcPr>
          <w:p>
            <w:pPr>
              <w:pStyle w:val="33"/>
              <w:spacing w:before="16"/>
              <w:ind w:left="106"/>
              <w:jc w:val="center"/>
              <w:rPr>
                <w:color w:val="auto"/>
                <w:kern w:val="0"/>
                <w:szCs w:val="21"/>
              </w:rPr>
            </w:pPr>
          </w:p>
          <w:p>
            <w:pPr>
              <w:pStyle w:val="33"/>
              <w:spacing w:before="16"/>
              <w:ind w:left="106"/>
              <w:jc w:val="center"/>
              <w:rPr>
                <w:color w:val="auto"/>
                <w:kern w:val="0"/>
                <w:szCs w:val="21"/>
              </w:rPr>
            </w:pPr>
            <w:r>
              <w:rPr>
                <w:rFonts w:hint="eastAsia"/>
                <w:color w:val="auto"/>
                <w:kern w:val="0"/>
                <w:szCs w:val="21"/>
              </w:rPr>
              <w:t>维保方案（13 分）</w:t>
            </w:r>
          </w:p>
        </w:tc>
        <w:tc>
          <w:tcPr>
            <w:tcW w:w="5985" w:type="dxa"/>
            <w:vAlign w:val="center"/>
          </w:tcPr>
          <w:p>
            <w:pPr>
              <w:pStyle w:val="33"/>
              <w:spacing w:before="16"/>
              <w:ind w:left="106"/>
              <w:rPr>
                <w:color w:val="auto"/>
                <w:kern w:val="0"/>
                <w:szCs w:val="21"/>
              </w:rPr>
            </w:pPr>
            <w:r>
              <w:rPr>
                <w:rFonts w:hint="eastAsia"/>
                <w:color w:val="auto"/>
                <w:kern w:val="0"/>
                <w:szCs w:val="21"/>
              </w:rPr>
              <w:t>维保方案完备，完全满足要求、优于其他采购人得</w:t>
            </w:r>
            <w:r>
              <w:rPr>
                <w:rFonts w:hint="eastAsia"/>
                <w:color w:val="auto"/>
                <w:kern w:val="0"/>
                <w:szCs w:val="21"/>
                <w:lang w:val="en-US"/>
              </w:rPr>
              <w:t>6-13</w:t>
            </w:r>
            <w:r>
              <w:rPr>
                <w:rFonts w:hint="eastAsia"/>
                <w:color w:val="auto"/>
                <w:kern w:val="0"/>
                <w:szCs w:val="21"/>
              </w:rPr>
              <w:t>分；</w:t>
            </w:r>
          </w:p>
          <w:p>
            <w:pPr>
              <w:pStyle w:val="33"/>
              <w:spacing w:before="16"/>
              <w:ind w:left="106"/>
              <w:rPr>
                <w:color w:val="auto"/>
                <w:kern w:val="0"/>
                <w:szCs w:val="21"/>
              </w:rPr>
            </w:pPr>
            <w:r>
              <w:rPr>
                <w:rFonts w:hint="eastAsia"/>
                <w:color w:val="auto"/>
                <w:kern w:val="0"/>
                <w:szCs w:val="21"/>
              </w:rPr>
              <w:t>维保方案基本完备，基本满足采购人要求</w:t>
            </w:r>
            <w:r>
              <w:rPr>
                <w:rFonts w:hint="eastAsia"/>
                <w:color w:val="auto"/>
                <w:kern w:val="0"/>
                <w:szCs w:val="21"/>
                <w:lang w:val="en-US"/>
              </w:rPr>
              <w:t>1-6</w:t>
            </w:r>
            <w:r>
              <w:rPr>
                <w:rFonts w:hint="eastAsia"/>
                <w:color w:val="auto"/>
                <w:kern w:val="0"/>
                <w:szCs w:val="21"/>
              </w:rPr>
              <w:t>分；</w:t>
            </w:r>
          </w:p>
          <w:p>
            <w:pPr>
              <w:pStyle w:val="33"/>
              <w:spacing w:before="16"/>
              <w:ind w:left="106"/>
              <w:rPr>
                <w:color w:val="auto"/>
                <w:kern w:val="0"/>
                <w:szCs w:val="21"/>
              </w:rPr>
            </w:pPr>
            <w:r>
              <w:rPr>
                <w:rFonts w:hint="eastAsia"/>
                <w:color w:val="auto"/>
                <w:kern w:val="0"/>
                <w:szCs w:val="21"/>
              </w:rPr>
              <w:t>维保方案不完备，不满足采购人要求不得分。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37" w:hRule="atLeast"/>
        </w:trPr>
        <w:tc>
          <w:tcPr>
            <w:tcW w:w="1212" w:type="dxa"/>
            <w:vMerge w:val="continue"/>
            <w:tcBorders>
              <w:top w:val="nil"/>
            </w:tcBorders>
            <w:vAlign w:val="center"/>
          </w:tcPr>
          <w:p>
            <w:pPr>
              <w:rPr>
                <w:color w:val="auto"/>
                <w:szCs w:val="21"/>
                <w:highlight w:val="green"/>
              </w:rPr>
            </w:pPr>
          </w:p>
        </w:tc>
        <w:tc>
          <w:tcPr>
            <w:tcW w:w="2283" w:type="dxa"/>
            <w:gridSpan w:val="2"/>
            <w:vAlign w:val="center"/>
          </w:tcPr>
          <w:p>
            <w:pPr>
              <w:pStyle w:val="33"/>
              <w:spacing w:before="16"/>
              <w:ind w:left="106"/>
              <w:jc w:val="center"/>
              <w:rPr>
                <w:color w:val="auto"/>
                <w:kern w:val="0"/>
                <w:szCs w:val="21"/>
              </w:rPr>
            </w:pPr>
            <w:r>
              <w:rPr>
                <w:rFonts w:hint="eastAsia"/>
                <w:color w:val="auto"/>
                <w:kern w:val="0"/>
                <w:szCs w:val="21"/>
              </w:rPr>
              <w:t>重点、难点的分析及理解（6 分）</w:t>
            </w:r>
          </w:p>
        </w:tc>
        <w:tc>
          <w:tcPr>
            <w:tcW w:w="5985" w:type="dxa"/>
            <w:vAlign w:val="center"/>
          </w:tcPr>
          <w:p>
            <w:pPr>
              <w:pStyle w:val="33"/>
              <w:spacing w:before="16"/>
              <w:ind w:left="106"/>
              <w:rPr>
                <w:color w:val="auto"/>
                <w:kern w:val="0"/>
                <w:szCs w:val="21"/>
              </w:rPr>
            </w:pPr>
            <w:r>
              <w:rPr>
                <w:rFonts w:hint="eastAsia"/>
                <w:color w:val="auto"/>
                <w:kern w:val="0"/>
                <w:szCs w:val="21"/>
              </w:rPr>
              <w:t>供应商对本项目需求重点、难点的分析及理解，好 6-4 分，</w:t>
            </w:r>
          </w:p>
          <w:p>
            <w:pPr>
              <w:pStyle w:val="33"/>
              <w:spacing w:before="16"/>
              <w:ind w:left="106"/>
              <w:rPr>
                <w:color w:val="auto"/>
                <w:kern w:val="0"/>
                <w:szCs w:val="21"/>
              </w:rPr>
            </w:pPr>
            <w:r>
              <w:rPr>
                <w:rFonts w:hint="eastAsia"/>
                <w:color w:val="auto"/>
                <w:kern w:val="0"/>
                <w:szCs w:val="21"/>
              </w:rPr>
              <w:t xml:space="preserve">较好 4-2 分，一般 2-0 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57" w:hRule="atLeast"/>
        </w:trPr>
        <w:tc>
          <w:tcPr>
            <w:tcW w:w="1212" w:type="dxa"/>
            <w:vMerge w:val="continue"/>
            <w:tcBorders>
              <w:top w:val="nil"/>
            </w:tcBorders>
            <w:vAlign w:val="center"/>
          </w:tcPr>
          <w:p>
            <w:pPr>
              <w:rPr>
                <w:color w:val="auto"/>
                <w:szCs w:val="21"/>
                <w:highlight w:val="green"/>
              </w:rPr>
            </w:pPr>
          </w:p>
        </w:tc>
        <w:tc>
          <w:tcPr>
            <w:tcW w:w="2283" w:type="dxa"/>
            <w:gridSpan w:val="2"/>
            <w:vAlign w:val="center"/>
          </w:tcPr>
          <w:p>
            <w:pPr>
              <w:pStyle w:val="33"/>
              <w:spacing w:before="16"/>
              <w:jc w:val="center"/>
              <w:rPr>
                <w:color w:val="auto"/>
                <w:kern w:val="0"/>
                <w:szCs w:val="21"/>
              </w:rPr>
            </w:pPr>
            <w:r>
              <w:rPr>
                <w:rFonts w:hint="eastAsia"/>
                <w:color w:val="auto"/>
                <w:kern w:val="0"/>
                <w:szCs w:val="21"/>
              </w:rPr>
              <w:t>技术人员（4 分）</w:t>
            </w:r>
          </w:p>
        </w:tc>
        <w:tc>
          <w:tcPr>
            <w:tcW w:w="5985" w:type="dxa"/>
            <w:vAlign w:val="center"/>
          </w:tcPr>
          <w:p>
            <w:pPr>
              <w:pStyle w:val="33"/>
              <w:spacing w:before="16"/>
              <w:ind w:left="106"/>
              <w:rPr>
                <w:color w:val="auto"/>
                <w:kern w:val="0"/>
                <w:szCs w:val="21"/>
              </w:rPr>
            </w:pPr>
            <w:r>
              <w:rPr>
                <w:rFonts w:hint="eastAsia"/>
                <w:color w:val="auto"/>
                <w:kern w:val="0"/>
                <w:szCs w:val="21"/>
                <w:lang w:val="en-US"/>
              </w:rPr>
              <w:t>消防维保</w:t>
            </w:r>
            <w:r>
              <w:rPr>
                <w:rFonts w:hint="eastAsia"/>
                <w:color w:val="auto"/>
                <w:kern w:val="0"/>
                <w:szCs w:val="21"/>
              </w:rPr>
              <w:t>技术人员配备情况评分，酌情给分，满分 4 分。</w:t>
            </w:r>
          </w:p>
          <w:p>
            <w:pPr>
              <w:pStyle w:val="33"/>
              <w:spacing w:before="16"/>
              <w:ind w:left="106"/>
              <w:rPr>
                <w:color w:val="auto"/>
                <w:kern w:val="0"/>
                <w:szCs w:val="21"/>
              </w:rPr>
            </w:pPr>
            <w:r>
              <w:rPr>
                <w:rFonts w:hint="eastAsia"/>
                <w:color w:val="auto"/>
                <w:kern w:val="0"/>
                <w:szCs w:val="21"/>
              </w:rPr>
              <w:t>（要求提供相关技术施工人员技术职称证明文件复印件，未</w:t>
            </w:r>
          </w:p>
          <w:p>
            <w:pPr>
              <w:pStyle w:val="33"/>
              <w:spacing w:before="16"/>
              <w:ind w:left="106"/>
              <w:rPr>
                <w:color w:val="auto"/>
                <w:kern w:val="0"/>
                <w:szCs w:val="21"/>
              </w:rPr>
            </w:pPr>
            <w:r>
              <w:rPr>
                <w:rFonts w:hint="eastAsia"/>
                <w:color w:val="auto"/>
                <w:kern w:val="0"/>
                <w:szCs w:val="21"/>
              </w:rPr>
              <w:t xml:space="preserve">提供不得分）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92" w:hRule="atLeast"/>
        </w:trPr>
        <w:tc>
          <w:tcPr>
            <w:tcW w:w="1212" w:type="dxa"/>
            <w:vMerge w:val="continue"/>
            <w:tcBorders>
              <w:top w:val="nil"/>
            </w:tcBorders>
            <w:vAlign w:val="center"/>
          </w:tcPr>
          <w:p>
            <w:pPr>
              <w:rPr>
                <w:color w:val="auto"/>
                <w:szCs w:val="21"/>
                <w:highlight w:val="green"/>
              </w:rPr>
            </w:pPr>
          </w:p>
        </w:tc>
        <w:tc>
          <w:tcPr>
            <w:tcW w:w="2283" w:type="dxa"/>
            <w:gridSpan w:val="2"/>
            <w:vAlign w:val="center"/>
          </w:tcPr>
          <w:p>
            <w:pPr>
              <w:pStyle w:val="33"/>
              <w:spacing w:before="16"/>
              <w:ind w:left="106"/>
              <w:jc w:val="center"/>
              <w:rPr>
                <w:color w:val="auto"/>
                <w:kern w:val="0"/>
                <w:szCs w:val="21"/>
              </w:rPr>
            </w:pPr>
            <w:r>
              <w:rPr>
                <w:rFonts w:hint="eastAsia"/>
                <w:color w:val="auto"/>
                <w:kern w:val="0"/>
                <w:szCs w:val="21"/>
              </w:rPr>
              <w:t>维修方案（1</w:t>
            </w:r>
            <w:r>
              <w:rPr>
                <w:rFonts w:hint="eastAsia"/>
                <w:color w:val="auto"/>
                <w:kern w:val="0"/>
                <w:szCs w:val="21"/>
                <w:lang w:val="en-US"/>
              </w:rPr>
              <w:t>3</w:t>
            </w:r>
            <w:r>
              <w:rPr>
                <w:rFonts w:hint="eastAsia"/>
                <w:color w:val="auto"/>
                <w:kern w:val="0"/>
                <w:szCs w:val="21"/>
              </w:rPr>
              <w:t xml:space="preserve"> 分）</w:t>
            </w:r>
          </w:p>
        </w:tc>
        <w:tc>
          <w:tcPr>
            <w:tcW w:w="5985" w:type="dxa"/>
            <w:vAlign w:val="center"/>
          </w:tcPr>
          <w:p>
            <w:pPr>
              <w:pStyle w:val="33"/>
              <w:spacing w:before="16"/>
              <w:ind w:left="106"/>
              <w:rPr>
                <w:color w:val="auto"/>
                <w:kern w:val="0"/>
                <w:szCs w:val="21"/>
              </w:rPr>
            </w:pPr>
            <w:r>
              <w:rPr>
                <w:rFonts w:hint="eastAsia"/>
                <w:color w:val="auto"/>
                <w:kern w:val="0"/>
                <w:szCs w:val="21"/>
              </w:rPr>
              <w:t>供应商针对本项目自行编制</w:t>
            </w:r>
            <w:r>
              <w:rPr>
                <w:rFonts w:hint="eastAsia"/>
                <w:color w:val="auto"/>
                <w:kern w:val="0"/>
                <w:szCs w:val="21"/>
                <w:lang w:val="en-US"/>
              </w:rPr>
              <w:t>消防维修</w:t>
            </w:r>
            <w:r>
              <w:rPr>
                <w:rFonts w:hint="eastAsia"/>
                <w:color w:val="auto"/>
                <w:kern w:val="0"/>
                <w:szCs w:val="21"/>
              </w:rPr>
              <w:t>方案，提供有计划的</w:t>
            </w:r>
            <w:r>
              <w:rPr>
                <w:rFonts w:hint="eastAsia"/>
                <w:color w:val="auto"/>
                <w:kern w:val="0"/>
                <w:szCs w:val="21"/>
                <w:lang w:val="en-US"/>
              </w:rPr>
              <w:t>维修</w:t>
            </w:r>
            <w:r>
              <w:rPr>
                <w:rFonts w:hint="eastAsia"/>
                <w:color w:val="auto"/>
                <w:kern w:val="0"/>
                <w:szCs w:val="21"/>
              </w:rPr>
              <w:t>保障承诺，评委酌情给分，本项最高 1</w:t>
            </w:r>
            <w:r>
              <w:rPr>
                <w:rFonts w:hint="eastAsia"/>
                <w:color w:val="auto"/>
                <w:kern w:val="0"/>
                <w:szCs w:val="21"/>
                <w:lang w:val="en-US"/>
              </w:rPr>
              <w:t>3</w:t>
            </w:r>
            <w:r>
              <w:rPr>
                <w:rFonts w:hint="eastAsia"/>
                <w:color w:val="auto"/>
                <w:kern w:val="0"/>
                <w:szCs w:val="21"/>
              </w:rPr>
              <w:t xml:space="preserve">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4" w:hRule="atLeast"/>
        </w:trPr>
        <w:tc>
          <w:tcPr>
            <w:tcW w:w="1212" w:type="dxa"/>
            <w:vMerge w:val="continue"/>
            <w:tcBorders>
              <w:top w:val="nil"/>
            </w:tcBorders>
            <w:vAlign w:val="center"/>
          </w:tcPr>
          <w:p>
            <w:pPr>
              <w:rPr>
                <w:color w:val="auto"/>
                <w:szCs w:val="21"/>
                <w:highlight w:val="green"/>
              </w:rPr>
            </w:pPr>
          </w:p>
        </w:tc>
        <w:tc>
          <w:tcPr>
            <w:tcW w:w="2283" w:type="dxa"/>
            <w:gridSpan w:val="2"/>
            <w:vAlign w:val="center"/>
          </w:tcPr>
          <w:p>
            <w:pPr>
              <w:pStyle w:val="33"/>
              <w:spacing w:before="16"/>
              <w:jc w:val="center"/>
              <w:rPr>
                <w:color w:val="auto"/>
                <w:kern w:val="0"/>
                <w:szCs w:val="21"/>
              </w:rPr>
            </w:pPr>
            <w:r>
              <w:rPr>
                <w:rFonts w:hint="eastAsia"/>
                <w:color w:val="auto"/>
                <w:kern w:val="0"/>
                <w:szCs w:val="21"/>
              </w:rPr>
              <w:t>质量保障措施（5 分）</w:t>
            </w:r>
          </w:p>
        </w:tc>
        <w:tc>
          <w:tcPr>
            <w:tcW w:w="5985" w:type="dxa"/>
            <w:vAlign w:val="center"/>
          </w:tcPr>
          <w:p>
            <w:pPr>
              <w:pStyle w:val="33"/>
              <w:spacing w:before="16"/>
              <w:ind w:left="106"/>
              <w:rPr>
                <w:color w:val="auto"/>
                <w:kern w:val="0"/>
                <w:szCs w:val="21"/>
              </w:rPr>
            </w:pPr>
            <w:r>
              <w:rPr>
                <w:rFonts w:hint="eastAsia"/>
                <w:color w:val="auto"/>
                <w:kern w:val="0"/>
                <w:szCs w:val="21"/>
              </w:rPr>
              <w:t>针对本项目的维修材料，提供详细的质量保障措施，保障产品使用质量，配件向原生产厂家采购的得 5 分，向非原生产</w:t>
            </w:r>
          </w:p>
          <w:p>
            <w:pPr>
              <w:pStyle w:val="33"/>
              <w:spacing w:before="16"/>
              <w:ind w:left="106"/>
              <w:rPr>
                <w:color w:val="auto"/>
                <w:kern w:val="0"/>
                <w:szCs w:val="21"/>
              </w:rPr>
            </w:pPr>
            <w:r>
              <w:rPr>
                <w:rFonts w:hint="eastAsia"/>
                <w:color w:val="auto"/>
                <w:kern w:val="0"/>
                <w:szCs w:val="21"/>
              </w:rPr>
              <w:t xml:space="preserve">厂家采购的部件得 2 分，不能满足以上条件的不得分；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90" w:hRule="atLeast"/>
        </w:trPr>
        <w:tc>
          <w:tcPr>
            <w:tcW w:w="1212" w:type="dxa"/>
            <w:vMerge w:val="continue"/>
            <w:tcBorders>
              <w:top w:val="nil"/>
            </w:tcBorders>
            <w:vAlign w:val="center"/>
          </w:tcPr>
          <w:p>
            <w:pPr>
              <w:rPr>
                <w:color w:val="auto"/>
                <w:szCs w:val="21"/>
                <w:highlight w:val="green"/>
              </w:rPr>
            </w:pPr>
          </w:p>
        </w:tc>
        <w:tc>
          <w:tcPr>
            <w:tcW w:w="2283" w:type="dxa"/>
            <w:gridSpan w:val="2"/>
            <w:vAlign w:val="center"/>
          </w:tcPr>
          <w:p>
            <w:pPr>
              <w:pStyle w:val="33"/>
              <w:spacing w:before="16"/>
              <w:ind w:left="106"/>
              <w:jc w:val="center"/>
              <w:rPr>
                <w:color w:val="auto"/>
                <w:kern w:val="0"/>
                <w:szCs w:val="21"/>
              </w:rPr>
            </w:pPr>
            <w:r>
              <w:rPr>
                <w:rFonts w:hint="eastAsia"/>
                <w:color w:val="auto"/>
                <w:kern w:val="0"/>
                <w:szCs w:val="21"/>
              </w:rPr>
              <w:t>配件承诺（3 分）</w:t>
            </w:r>
          </w:p>
        </w:tc>
        <w:tc>
          <w:tcPr>
            <w:tcW w:w="5985" w:type="dxa"/>
            <w:vAlign w:val="center"/>
          </w:tcPr>
          <w:p>
            <w:pPr>
              <w:pStyle w:val="33"/>
              <w:spacing w:before="16"/>
              <w:ind w:left="106"/>
              <w:rPr>
                <w:color w:val="auto"/>
                <w:kern w:val="0"/>
                <w:szCs w:val="21"/>
              </w:rPr>
            </w:pPr>
            <w:r>
              <w:rPr>
                <w:rFonts w:hint="eastAsia"/>
                <w:color w:val="auto"/>
                <w:kern w:val="0"/>
                <w:szCs w:val="21"/>
              </w:rPr>
              <w:t xml:space="preserve">承诺所有相关配件包括在总报价中，不另外收费；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6" w:hRule="atLeast"/>
        </w:trPr>
        <w:tc>
          <w:tcPr>
            <w:tcW w:w="1212" w:type="dxa"/>
            <w:vMerge w:val="continue"/>
            <w:tcBorders>
              <w:top w:val="nil"/>
            </w:tcBorders>
            <w:vAlign w:val="center"/>
          </w:tcPr>
          <w:p>
            <w:pPr>
              <w:rPr>
                <w:color w:val="auto"/>
                <w:szCs w:val="21"/>
                <w:highlight w:val="green"/>
              </w:rPr>
            </w:pPr>
          </w:p>
        </w:tc>
        <w:tc>
          <w:tcPr>
            <w:tcW w:w="713" w:type="dxa"/>
            <w:vMerge w:val="restart"/>
            <w:vAlign w:val="center"/>
          </w:tcPr>
          <w:p>
            <w:pPr>
              <w:pStyle w:val="33"/>
              <w:spacing w:before="16"/>
              <w:ind w:left="106"/>
              <w:jc w:val="center"/>
              <w:rPr>
                <w:color w:val="auto"/>
                <w:kern w:val="0"/>
                <w:szCs w:val="21"/>
              </w:rPr>
            </w:pPr>
          </w:p>
          <w:p>
            <w:pPr>
              <w:pStyle w:val="33"/>
              <w:spacing w:before="16"/>
              <w:ind w:left="106"/>
              <w:jc w:val="center"/>
              <w:rPr>
                <w:color w:val="auto"/>
                <w:kern w:val="0"/>
                <w:szCs w:val="21"/>
              </w:rPr>
            </w:pPr>
            <w:r>
              <w:rPr>
                <w:rFonts w:hint="eastAsia"/>
                <w:color w:val="auto"/>
                <w:kern w:val="0"/>
                <w:szCs w:val="21"/>
              </w:rPr>
              <w:t>售后服务</w:t>
            </w:r>
          </w:p>
          <w:p>
            <w:pPr>
              <w:pStyle w:val="33"/>
              <w:spacing w:before="16"/>
              <w:ind w:left="106"/>
              <w:jc w:val="center"/>
              <w:rPr>
                <w:color w:val="auto"/>
                <w:kern w:val="0"/>
                <w:szCs w:val="21"/>
              </w:rPr>
            </w:pPr>
            <w:r>
              <w:rPr>
                <w:rFonts w:hint="eastAsia"/>
                <w:color w:val="auto"/>
                <w:kern w:val="0"/>
                <w:szCs w:val="21"/>
              </w:rPr>
              <w:t>（16 分）</w:t>
            </w:r>
          </w:p>
        </w:tc>
        <w:tc>
          <w:tcPr>
            <w:tcW w:w="1570" w:type="dxa"/>
            <w:vAlign w:val="center"/>
          </w:tcPr>
          <w:p>
            <w:pPr>
              <w:pStyle w:val="33"/>
              <w:spacing w:before="16"/>
              <w:ind w:left="106"/>
              <w:jc w:val="center"/>
              <w:rPr>
                <w:color w:val="auto"/>
                <w:kern w:val="0"/>
                <w:szCs w:val="21"/>
              </w:rPr>
            </w:pPr>
            <w:r>
              <w:rPr>
                <w:rFonts w:hint="eastAsia"/>
                <w:color w:val="auto"/>
                <w:kern w:val="0"/>
                <w:szCs w:val="21"/>
              </w:rPr>
              <w:t>服务承诺（10 分）</w:t>
            </w:r>
          </w:p>
        </w:tc>
        <w:tc>
          <w:tcPr>
            <w:tcW w:w="5985" w:type="dxa"/>
            <w:vAlign w:val="center"/>
          </w:tcPr>
          <w:p>
            <w:pPr>
              <w:pStyle w:val="33"/>
              <w:spacing w:before="16"/>
              <w:ind w:left="106"/>
              <w:rPr>
                <w:color w:val="auto"/>
                <w:kern w:val="0"/>
                <w:szCs w:val="21"/>
              </w:rPr>
            </w:pPr>
            <w:r>
              <w:rPr>
                <w:rFonts w:hint="eastAsia"/>
                <w:color w:val="auto"/>
                <w:kern w:val="0"/>
                <w:szCs w:val="21"/>
              </w:rPr>
              <w:t xml:space="preserve">投标人具有设备原厂商针对本项目唯一售后服务承诺函的， 投标时提供原件，得 10 分，否则不得分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1212" w:type="dxa"/>
            <w:vMerge w:val="continue"/>
            <w:tcBorders>
              <w:top w:val="nil"/>
            </w:tcBorders>
            <w:vAlign w:val="center"/>
          </w:tcPr>
          <w:p>
            <w:pPr>
              <w:rPr>
                <w:color w:val="auto"/>
                <w:szCs w:val="21"/>
                <w:highlight w:val="green"/>
              </w:rPr>
            </w:pPr>
          </w:p>
        </w:tc>
        <w:tc>
          <w:tcPr>
            <w:tcW w:w="713" w:type="dxa"/>
            <w:vMerge w:val="continue"/>
            <w:tcBorders>
              <w:top w:val="nil"/>
            </w:tcBorders>
            <w:vAlign w:val="center"/>
          </w:tcPr>
          <w:p>
            <w:pPr>
              <w:jc w:val="center"/>
              <w:rPr>
                <w:rFonts w:ascii="宋体" w:hAnsi="宋体" w:cs="宋体"/>
                <w:color w:val="auto"/>
                <w:kern w:val="0"/>
                <w:szCs w:val="21"/>
                <w:lang w:val="zh-CN" w:bidi="zh-CN"/>
              </w:rPr>
            </w:pPr>
          </w:p>
        </w:tc>
        <w:tc>
          <w:tcPr>
            <w:tcW w:w="1570" w:type="dxa"/>
            <w:vMerge w:val="restart"/>
            <w:vAlign w:val="center"/>
          </w:tcPr>
          <w:p>
            <w:pPr>
              <w:pStyle w:val="33"/>
              <w:spacing w:before="11"/>
              <w:jc w:val="center"/>
              <w:rPr>
                <w:color w:val="auto"/>
                <w:kern w:val="0"/>
                <w:szCs w:val="21"/>
              </w:rPr>
            </w:pPr>
          </w:p>
          <w:p>
            <w:pPr>
              <w:pStyle w:val="33"/>
              <w:spacing w:line="252" w:lineRule="auto"/>
              <w:ind w:left="199" w:right="31" w:hanging="27"/>
              <w:jc w:val="center"/>
              <w:rPr>
                <w:color w:val="auto"/>
                <w:kern w:val="0"/>
                <w:szCs w:val="21"/>
              </w:rPr>
            </w:pPr>
            <w:r>
              <w:rPr>
                <w:rFonts w:hint="eastAsia"/>
                <w:color w:val="auto"/>
                <w:kern w:val="0"/>
                <w:szCs w:val="21"/>
              </w:rPr>
              <w:t>售后服务及承诺（0-6 分）</w:t>
            </w:r>
          </w:p>
        </w:tc>
        <w:tc>
          <w:tcPr>
            <w:tcW w:w="5985" w:type="dxa"/>
            <w:vAlign w:val="center"/>
          </w:tcPr>
          <w:p>
            <w:pPr>
              <w:pStyle w:val="33"/>
              <w:spacing w:before="111"/>
              <w:ind w:left="106" w:right="-15"/>
              <w:rPr>
                <w:color w:val="auto"/>
                <w:kern w:val="0"/>
                <w:szCs w:val="21"/>
              </w:rPr>
            </w:pPr>
            <w:r>
              <w:rPr>
                <w:rFonts w:hint="eastAsia"/>
                <w:color w:val="auto"/>
                <w:kern w:val="0"/>
                <w:szCs w:val="21"/>
              </w:rPr>
              <w:t xml:space="preserve">在当地设立了健全的直属售后服务机构得 3 分，否则得 0 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5" w:hRule="atLeast"/>
        </w:trPr>
        <w:tc>
          <w:tcPr>
            <w:tcW w:w="1212" w:type="dxa"/>
            <w:vMerge w:val="continue"/>
            <w:tcBorders>
              <w:top w:val="nil"/>
              <w:bottom w:val="single" w:color="auto" w:sz="4" w:space="0"/>
            </w:tcBorders>
            <w:vAlign w:val="center"/>
          </w:tcPr>
          <w:p>
            <w:pPr>
              <w:rPr>
                <w:color w:val="auto"/>
                <w:szCs w:val="21"/>
                <w:highlight w:val="green"/>
              </w:rPr>
            </w:pPr>
          </w:p>
        </w:tc>
        <w:tc>
          <w:tcPr>
            <w:tcW w:w="713" w:type="dxa"/>
            <w:vMerge w:val="continue"/>
            <w:tcBorders>
              <w:top w:val="nil"/>
              <w:bottom w:val="single" w:color="auto" w:sz="4" w:space="0"/>
            </w:tcBorders>
            <w:vAlign w:val="center"/>
          </w:tcPr>
          <w:p>
            <w:pPr>
              <w:rPr>
                <w:rFonts w:ascii="宋体" w:hAnsi="宋体" w:cs="宋体"/>
                <w:color w:val="auto"/>
                <w:kern w:val="0"/>
                <w:szCs w:val="21"/>
                <w:lang w:val="zh-CN" w:bidi="zh-CN"/>
              </w:rPr>
            </w:pPr>
          </w:p>
        </w:tc>
        <w:tc>
          <w:tcPr>
            <w:tcW w:w="1570" w:type="dxa"/>
            <w:vMerge w:val="continue"/>
            <w:tcBorders>
              <w:top w:val="nil"/>
              <w:bottom w:val="single" w:color="auto" w:sz="4" w:space="0"/>
            </w:tcBorders>
            <w:vAlign w:val="center"/>
          </w:tcPr>
          <w:p>
            <w:pPr>
              <w:rPr>
                <w:rFonts w:ascii="宋体" w:hAnsi="宋体" w:cs="宋体"/>
                <w:color w:val="auto"/>
                <w:kern w:val="0"/>
                <w:szCs w:val="21"/>
                <w:lang w:val="zh-CN" w:bidi="zh-CN"/>
              </w:rPr>
            </w:pPr>
          </w:p>
        </w:tc>
        <w:tc>
          <w:tcPr>
            <w:tcW w:w="5985" w:type="dxa"/>
            <w:tcBorders>
              <w:bottom w:val="single" w:color="auto" w:sz="4" w:space="0"/>
            </w:tcBorders>
            <w:vAlign w:val="center"/>
          </w:tcPr>
          <w:p>
            <w:pPr>
              <w:pStyle w:val="33"/>
              <w:spacing w:before="45"/>
              <w:ind w:left="106"/>
              <w:rPr>
                <w:color w:val="auto"/>
                <w:kern w:val="0"/>
                <w:szCs w:val="21"/>
              </w:rPr>
            </w:pPr>
            <w:r>
              <w:rPr>
                <w:rFonts w:hint="eastAsia"/>
                <w:color w:val="auto"/>
                <w:kern w:val="0"/>
                <w:szCs w:val="21"/>
              </w:rPr>
              <w:t>售后服务点具有相应备品备件，提供清单证明，得 3 分，否</w:t>
            </w:r>
          </w:p>
          <w:p>
            <w:pPr>
              <w:pStyle w:val="33"/>
              <w:spacing w:before="12"/>
              <w:ind w:left="106"/>
              <w:rPr>
                <w:color w:val="auto"/>
                <w:kern w:val="0"/>
                <w:szCs w:val="21"/>
              </w:rPr>
            </w:pPr>
            <w:r>
              <w:rPr>
                <w:rFonts w:hint="eastAsia"/>
                <w:color w:val="auto"/>
                <w:kern w:val="0"/>
                <w:szCs w:val="21"/>
              </w:rPr>
              <w:t xml:space="preserve">则得 0 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93" w:hRule="atLeast"/>
        </w:trPr>
        <w:tc>
          <w:tcPr>
            <w:tcW w:w="9480" w:type="dxa"/>
            <w:gridSpan w:val="4"/>
            <w:tcBorders>
              <w:top w:val="single" w:color="auto" w:sz="4" w:space="0"/>
              <w:left w:val="single" w:color="auto" w:sz="4" w:space="0"/>
              <w:bottom w:val="single" w:color="auto" w:sz="4" w:space="0"/>
              <w:right w:val="single" w:color="auto" w:sz="4" w:space="0"/>
            </w:tcBorders>
            <w:vAlign w:val="center"/>
          </w:tcPr>
          <w:p>
            <w:pPr>
              <w:pStyle w:val="33"/>
              <w:spacing w:before="12"/>
              <w:ind w:left="106"/>
              <w:rPr>
                <w:b/>
                <w:color w:val="auto"/>
                <w:szCs w:val="21"/>
              </w:rPr>
            </w:pPr>
            <w:r>
              <w:rPr>
                <w:rFonts w:hint="eastAsia"/>
                <w:b/>
                <w:color w:val="auto"/>
                <w:szCs w:val="21"/>
              </w:rPr>
              <w:t>合计 100分，供应商综合得分=</w:t>
            </w:r>
            <w:r>
              <w:rPr>
                <w:rFonts w:hint="eastAsia"/>
                <w:b/>
                <w:color w:val="auto"/>
                <w:szCs w:val="21"/>
                <w:lang w:val="en-US"/>
              </w:rPr>
              <w:t>磋商报价得分+</w:t>
            </w:r>
            <w:r>
              <w:rPr>
                <w:rFonts w:hint="eastAsia"/>
                <w:b/>
                <w:color w:val="auto"/>
                <w:szCs w:val="21"/>
              </w:rPr>
              <w:t>商务</w:t>
            </w:r>
            <w:r>
              <w:rPr>
                <w:rFonts w:hint="eastAsia"/>
                <w:b/>
                <w:color w:val="auto"/>
                <w:szCs w:val="21"/>
                <w:lang w:val="en-US"/>
              </w:rPr>
              <w:t>部分</w:t>
            </w:r>
            <w:r>
              <w:rPr>
                <w:rFonts w:hint="eastAsia"/>
                <w:b/>
                <w:color w:val="auto"/>
                <w:szCs w:val="21"/>
              </w:rPr>
              <w:t>得分+技术</w:t>
            </w:r>
            <w:r>
              <w:rPr>
                <w:rFonts w:hint="eastAsia"/>
                <w:b/>
                <w:color w:val="auto"/>
                <w:szCs w:val="21"/>
                <w:lang w:val="en-US"/>
              </w:rPr>
              <w:t>部分</w:t>
            </w:r>
            <w:r>
              <w:rPr>
                <w:rFonts w:hint="eastAsia"/>
                <w:b/>
                <w:color w:val="auto"/>
                <w:szCs w:val="21"/>
              </w:rPr>
              <w:t>得分。</w:t>
            </w:r>
          </w:p>
          <w:p>
            <w:pPr>
              <w:pStyle w:val="33"/>
              <w:spacing w:before="12"/>
              <w:ind w:left="106"/>
              <w:rPr>
                <w:color w:val="auto"/>
                <w:szCs w:val="21"/>
                <w:highlight w:val="green"/>
              </w:rPr>
            </w:pPr>
            <w:r>
              <w:rPr>
                <w:rFonts w:hint="eastAsia"/>
                <w:b/>
                <w:color w:val="auto"/>
                <w:szCs w:val="21"/>
              </w:rPr>
              <w:t>注：</w:t>
            </w:r>
            <w:r>
              <w:rPr>
                <w:rFonts w:hint="eastAsia"/>
                <w:b/>
                <w:color w:val="auto"/>
                <w:szCs w:val="21"/>
                <w:lang w:val="en-US"/>
              </w:rPr>
              <w:t>1、</w:t>
            </w:r>
            <w:r>
              <w:rPr>
                <w:rFonts w:hint="eastAsia"/>
                <w:b/>
                <w:color w:val="auto"/>
                <w:szCs w:val="21"/>
              </w:rPr>
              <w:t>评分计算结果保留两位小数，第三位小数四舍五入。</w:t>
            </w:r>
          </w:p>
        </w:tc>
      </w:tr>
    </w:tbl>
    <w:p>
      <w:pPr>
        <w:spacing w:line="360" w:lineRule="exact"/>
        <w:rPr>
          <w:rFonts w:ascii="宋体" w:hAnsi="宋体" w:cs="宋体"/>
          <w:b/>
          <w:color w:val="auto"/>
          <w:szCs w:val="21"/>
        </w:rPr>
      </w:pPr>
      <w:r>
        <w:rPr>
          <w:rFonts w:hint="eastAsia" w:ascii="宋体" w:hAnsi="宋体" w:cs="宋体"/>
          <w:b/>
          <w:color w:val="auto"/>
          <w:szCs w:val="21"/>
        </w:rPr>
        <w:t>注：</w:t>
      </w:r>
    </w:p>
    <w:p>
      <w:pPr>
        <w:spacing w:line="360" w:lineRule="exact"/>
        <w:rPr>
          <w:rFonts w:ascii="宋体" w:hAnsi="宋体" w:cs="宋体"/>
          <w:b/>
          <w:color w:val="auto"/>
          <w:szCs w:val="21"/>
        </w:rPr>
      </w:pPr>
      <w:r>
        <w:rPr>
          <w:rFonts w:hint="eastAsia" w:ascii="宋体" w:hAnsi="宋体" w:cs="宋体"/>
          <w:b/>
          <w:color w:val="auto"/>
          <w:szCs w:val="21"/>
        </w:rPr>
        <w:t xml:space="preserve">价格扣除的原则：    </w:t>
      </w:r>
    </w:p>
    <w:p>
      <w:pPr>
        <w:pStyle w:val="2"/>
        <w:spacing w:afterLines="30" w:line="360" w:lineRule="exact"/>
        <w:ind w:firstLine="422" w:firstLineChars="200"/>
        <w:rPr>
          <w:rFonts w:ascii="宋体" w:hAnsi="宋体" w:cs="宋体"/>
          <w:b/>
          <w:color w:val="auto"/>
          <w:szCs w:val="21"/>
        </w:rPr>
      </w:pPr>
      <w:r>
        <w:rPr>
          <w:rFonts w:hint="eastAsia" w:ascii="宋体" w:hAnsi="宋体" w:cs="宋体"/>
          <w:b/>
          <w:color w:val="auto"/>
          <w:szCs w:val="21"/>
        </w:rPr>
        <w:t>根据《政府采购促进中小企业发展暂行办法》（财库〔2011〕181号）第五条要求，本项目对小型和微型企业报价给予6%的扣除，用扣除后的投标报价参与评审。</w:t>
      </w:r>
    </w:p>
    <w:p>
      <w:pPr>
        <w:pStyle w:val="2"/>
        <w:spacing w:afterLines="30" w:line="360" w:lineRule="exact"/>
        <w:rPr>
          <w:rFonts w:ascii="宋体" w:hAnsi="宋体" w:cs="宋体"/>
          <w:b/>
          <w:color w:val="auto"/>
          <w:szCs w:val="21"/>
        </w:rPr>
      </w:pPr>
      <w:r>
        <w:rPr>
          <w:rFonts w:hint="eastAsia" w:ascii="宋体" w:hAnsi="宋体" w:cs="宋体"/>
          <w:b/>
          <w:color w:val="auto"/>
          <w:szCs w:val="21"/>
        </w:rPr>
        <w:t xml:space="preserve">    投标人如符合“小型和微型企业”标准，应提供《中小企业声明函》，格式见附件6，未提供声明函者不予认定。</w:t>
      </w:r>
    </w:p>
    <w:p>
      <w:pPr>
        <w:pStyle w:val="2"/>
        <w:rPr>
          <w:rFonts w:ascii="宋体" w:hAnsi="宋体" w:cs="宋体"/>
          <w:b/>
          <w:bCs/>
          <w:color w:val="auto"/>
          <w:sz w:val="24"/>
          <w:highlight w:val="green"/>
        </w:rPr>
      </w:pPr>
    </w:p>
    <w:sectPr>
      <w:headerReference r:id="rId6" w:type="default"/>
      <w:footerReference r:id="rId7" w:type="default"/>
      <w:pgSz w:w="11906" w:h="16838"/>
      <w:pgMar w:top="1440" w:right="1486" w:bottom="1440" w:left="16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体">
    <w:altName w:val="宋体"/>
    <w:panose1 w:val="00000000000000000000"/>
    <w:charset w:val="86"/>
    <w:family w:val="roma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3sbMfq8BAABL&#10;AwAADgAAAAAAAAABACAAAAAeAQAAZHJzL2Uyb0RvYy54bWxQSwUGAAAAAAYABgBZAQAAPwUAAAAA&#10;">
          <v:path/>
          <v:fill on="f" focussize="0,0"/>
          <v:stroke on="f" joinstyle="miter"/>
          <v:imagedata o:title=""/>
          <o:lock v:ext="edit"/>
          <v:textbox inset="0mm,0mm,0mm,0mm" style="mso-fit-shape-to-text:t;">
            <w:txbxContent>
              <w:p>
                <w:pPr>
                  <w:pStyle w:val="11"/>
                </w:pPr>
                <w:r>
                  <w:fldChar w:fldCharType="begin"/>
                </w:r>
                <w:r>
                  <w:instrText xml:space="preserve"> PAGE  \* MERGEFORMAT </w:instrText>
                </w:r>
                <w:r>
                  <w:fldChar w:fldCharType="separate"/>
                </w:r>
                <w:r>
                  <w:t>- 33 -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w:pict>
        <v:shape id="文本框 8" o:spid="_x0000_s1028"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gFgrIrgEAAEsD&#10;AAAOAAAAAAAAAAEAIAAAAB4BAABkcnMvZTJvRG9jLnhtbFBLBQYAAAAABgAGAFkBAAA+BQAAAAA=&#10;">
          <v:path/>
          <v:fill on="f" focussize="0,0"/>
          <v:stroke on="f" joinstyle="miter"/>
          <v:imagedata o:title=""/>
          <o:lock v:ext="edit"/>
          <v:textbox inset="0mm,0mm,0mm,0mm" style="mso-fit-shape-to-text:t;">
            <w:txbxContent>
              <w:p>
                <w:pPr>
                  <w:pStyle w:val="11"/>
                </w:pPr>
                <w:r>
                  <w:fldChar w:fldCharType="begin"/>
                </w:r>
                <w:r>
                  <w:instrText xml:space="preserve"> PAGE  \* MERGEFORMAT </w:instrText>
                </w:r>
                <w:r>
                  <w:fldChar w:fldCharType="separate"/>
                </w:r>
                <w:r>
                  <w:t>- 45 -</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w:pict>
        <v:shape id="文本框 9" o:spid="_x0000_s102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obWprgEAAEsD&#10;AAAOAAAAAAAAAAEAIAAAAB4BAABkcnMvZTJvRG9jLnhtbFBLBQYAAAAABgAGAFkBAAA+BQAAAAA=&#10;">
          <v:path/>
          <v:fill on="f" focussize="0,0"/>
          <v:stroke on="f" joinstyle="miter"/>
          <v:imagedata o:title=""/>
          <o:lock v:ext="edit"/>
          <v:textbox inset="0mm,0mm,0mm,0mm" style="mso-fit-shape-to-text:t;">
            <w:txbxContent>
              <w:p>
                <w:pPr>
                  <w:pStyle w:val="11"/>
                </w:pPr>
                <w:r>
                  <w:fldChar w:fldCharType="begin"/>
                </w:r>
                <w:r>
                  <w:instrText xml:space="preserve"> PAGE  \* MERGEFORMAT </w:instrText>
                </w:r>
                <w:r>
                  <w:fldChar w:fldCharType="separate"/>
                </w:r>
                <w:r>
                  <w:t>- 47 -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6" w:space="3"/>
      </w:pBdr>
      <w:tabs>
        <w:tab w:val="left" w:pos="495"/>
        <w:tab w:val="center" w:pos="4649"/>
        <w:tab w:val="clear" w:pos="8306"/>
      </w:tabs>
    </w:pPr>
    <w:r>
      <w:rPr>
        <w:rFonts w:hint="eastAsia" w:ascii="宋体" w:hAnsi="宋体" w:cs="宋体"/>
        <w:sz w:val="32"/>
        <w:szCs w:val="32"/>
      </w:rPr>
      <w:t xml:space="preserve">新疆永信工程造价咨询有限公司  </w:t>
    </w:r>
    <w:r>
      <w:rPr>
        <w:rFonts w:hint="eastAsia" w:ascii="宋体" w:hAnsi="宋体" w:cs="宋体"/>
        <w:sz w:val="32"/>
        <w:szCs w:val="32"/>
      </w:rPr>
      <w:drawing>
        <wp:inline distT="0" distB="0" distL="114300" distR="114300">
          <wp:extent cx="499745" cy="504190"/>
          <wp:effectExtent l="0" t="0" r="14605" b="10160"/>
          <wp:docPr id="10" name="图片 1"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公司Logo"/>
                  <pic:cNvPicPr>
                    <a:picLocks noChangeAspect="1"/>
                  </pic:cNvPicPr>
                </pic:nvPicPr>
                <pic:blipFill>
                  <a:blip r:embed="rId1"/>
                  <a:stretch>
                    <a:fillRect/>
                  </a:stretch>
                </pic:blipFill>
                <pic:spPr>
                  <a:xfrm>
                    <a:off x="0" y="0"/>
                    <a:ext cx="499745" cy="50419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6" w:space="3"/>
      </w:pBdr>
      <w:tabs>
        <w:tab w:val="left" w:pos="495"/>
        <w:tab w:val="center" w:pos="4649"/>
        <w:tab w:val="clear" w:pos="8306"/>
      </w:tabs>
    </w:pPr>
    <w:r>
      <w:rPr>
        <w:rFonts w:hint="eastAsia" w:ascii="宋体" w:hAnsi="宋体" w:cs="宋体"/>
        <w:sz w:val="32"/>
        <w:szCs w:val="32"/>
      </w:rPr>
      <w:t xml:space="preserve">新疆永信工程造价咨询有限公司  </w:t>
    </w:r>
    <w:r>
      <w:rPr>
        <w:rFonts w:hint="eastAsia" w:ascii="宋体" w:hAnsi="宋体" w:cs="宋体"/>
        <w:sz w:val="32"/>
        <w:szCs w:val="32"/>
      </w:rPr>
      <w:drawing>
        <wp:inline distT="0" distB="0" distL="114300" distR="114300">
          <wp:extent cx="499745" cy="504190"/>
          <wp:effectExtent l="0" t="0" r="14605" b="10160"/>
          <wp:docPr id="11" name="图片 1"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公司Logo"/>
                  <pic:cNvPicPr>
                    <a:picLocks noChangeAspect="1"/>
                  </pic:cNvPicPr>
                </pic:nvPicPr>
                <pic:blipFill>
                  <a:blip r:embed="rId1"/>
                  <a:stretch>
                    <a:fillRect/>
                  </a:stretch>
                </pic:blipFill>
                <pic:spPr>
                  <a:xfrm>
                    <a:off x="0" y="0"/>
                    <a:ext cx="499745" cy="504190"/>
                  </a:xfrm>
                  <a:prstGeom prst="rect">
                    <a:avLst/>
                  </a:prstGeom>
                  <a:noFill/>
                  <a:ln>
                    <a:noFill/>
                  </a:ln>
                </pic:spPr>
              </pic:pic>
            </a:graphicData>
          </a:graphic>
        </wp:inline>
      </w:drawing>
    </w:r>
  </w:p>
  <w:p>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D0B43A"/>
    <w:multiLevelType w:val="singleLevel"/>
    <w:tmpl w:val="BDD0B43A"/>
    <w:lvl w:ilvl="0" w:tentative="0">
      <w:start w:val="4"/>
      <w:numFmt w:val="chineseCounting"/>
      <w:suff w:val="nothing"/>
      <w:lvlText w:val="%1、"/>
      <w:lvlJc w:val="left"/>
      <w:rPr>
        <w:rFonts w:hint="eastAsia"/>
      </w:rPr>
    </w:lvl>
  </w:abstractNum>
  <w:abstractNum w:abstractNumId="1">
    <w:nsid w:val="D5F9091F"/>
    <w:multiLevelType w:val="singleLevel"/>
    <w:tmpl w:val="D5F9091F"/>
    <w:lvl w:ilvl="0" w:tentative="0">
      <w:start w:val="4"/>
      <w:numFmt w:val="chineseCounting"/>
      <w:suff w:val="nothing"/>
      <w:lvlText w:val="第%1章、"/>
      <w:lvlJc w:val="left"/>
      <w:rPr>
        <w:rFonts w:hint="eastAsia"/>
      </w:rPr>
    </w:lvl>
  </w:abstractNum>
  <w:abstractNum w:abstractNumId="2">
    <w:nsid w:val="183C604A"/>
    <w:multiLevelType w:val="singleLevel"/>
    <w:tmpl w:val="183C604A"/>
    <w:lvl w:ilvl="0" w:tentative="0">
      <w:start w:val="1"/>
      <w:numFmt w:val="japaneseCounting"/>
      <w:pStyle w:val="34"/>
      <w:lvlText w:val="%1、"/>
      <w:lvlJc w:val="left"/>
      <w:pPr>
        <w:tabs>
          <w:tab w:val="left" w:pos="960"/>
        </w:tabs>
        <w:ind w:left="960" w:hanging="480"/>
      </w:pPr>
      <w:rPr>
        <w:rFonts w:hint="eastAsia"/>
        <w:b/>
      </w:rPr>
    </w:lvl>
  </w:abstractNum>
  <w:abstractNum w:abstractNumId="3">
    <w:nsid w:val="1CC028F8"/>
    <w:multiLevelType w:val="multilevel"/>
    <w:tmpl w:val="1CC028F8"/>
    <w:lvl w:ilvl="0" w:tentative="0">
      <w:start w:val="1"/>
      <w:numFmt w:val="decimalEnclosedParen"/>
      <w:lvlText w:val="%1、"/>
      <w:lvlJc w:val="left"/>
      <w:pPr>
        <w:ind w:left="1260" w:hanging="720"/>
      </w:pPr>
      <w:rPr>
        <w:rFonts w:hint="default"/>
      </w:rPr>
    </w:lvl>
    <w:lvl w:ilvl="1" w:tentative="0">
      <w:start w:val="1"/>
      <w:numFmt w:val="lowerLetter"/>
      <w:lvlText w:val="%2)"/>
      <w:lvlJc w:val="left"/>
      <w:pPr>
        <w:ind w:left="1380" w:hanging="420"/>
      </w:pPr>
    </w:lvl>
    <w:lvl w:ilvl="2" w:tentative="0">
      <w:start w:val="1"/>
      <w:numFmt w:val="lowerRoman"/>
      <w:lvlText w:val="%3."/>
      <w:lvlJc w:val="right"/>
      <w:pPr>
        <w:ind w:left="1800" w:hanging="420"/>
      </w:pPr>
    </w:lvl>
    <w:lvl w:ilvl="3" w:tentative="0">
      <w:start w:val="1"/>
      <w:numFmt w:val="decimal"/>
      <w:lvlText w:val="%4."/>
      <w:lvlJc w:val="left"/>
      <w:pPr>
        <w:ind w:left="2220" w:hanging="420"/>
      </w:pPr>
    </w:lvl>
    <w:lvl w:ilvl="4" w:tentative="0">
      <w:start w:val="1"/>
      <w:numFmt w:val="lowerLetter"/>
      <w:lvlText w:val="%5)"/>
      <w:lvlJc w:val="left"/>
      <w:pPr>
        <w:ind w:left="2640" w:hanging="420"/>
      </w:pPr>
    </w:lvl>
    <w:lvl w:ilvl="5" w:tentative="0">
      <w:start w:val="1"/>
      <w:numFmt w:val="lowerRoman"/>
      <w:lvlText w:val="%6."/>
      <w:lvlJc w:val="right"/>
      <w:pPr>
        <w:ind w:left="3060" w:hanging="420"/>
      </w:pPr>
    </w:lvl>
    <w:lvl w:ilvl="6" w:tentative="0">
      <w:start w:val="1"/>
      <w:numFmt w:val="decimal"/>
      <w:lvlText w:val="%7."/>
      <w:lvlJc w:val="left"/>
      <w:pPr>
        <w:ind w:left="3480" w:hanging="420"/>
      </w:pPr>
    </w:lvl>
    <w:lvl w:ilvl="7" w:tentative="0">
      <w:start w:val="1"/>
      <w:numFmt w:val="lowerLetter"/>
      <w:lvlText w:val="%8)"/>
      <w:lvlJc w:val="left"/>
      <w:pPr>
        <w:ind w:left="3900" w:hanging="420"/>
      </w:pPr>
    </w:lvl>
    <w:lvl w:ilvl="8" w:tentative="0">
      <w:start w:val="1"/>
      <w:numFmt w:val="lowerRoman"/>
      <w:lvlText w:val="%9."/>
      <w:lvlJc w:val="right"/>
      <w:pPr>
        <w:ind w:left="4320" w:hanging="420"/>
      </w:pPr>
    </w:lvl>
  </w:abstractNum>
  <w:abstractNum w:abstractNumId="4">
    <w:nsid w:val="3287E947"/>
    <w:multiLevelType w:val="singleLevel"/>
    <w:tmpl w:val="3287E947"/>
    <w:lvl w:ilvl="0" w:tentative="0">
      <w:start w:val="3"/>
      <w:numFmt w:val="chineseCounting"/>
      <w:suff w:val="nothing"/>
      <w:lvlText w:val="%1、"/>
      <w:lvlJc w:val="left"/>
      <w:rPr>
        <w:rFonts w:hint="eastAsia"/>
      </w:rPr>
    </w:lvl>
  </w:abstractNum>
  <w:abstractNum w:abstractNumId="5">
    <w:nsid w:val="591526C9"/>
    <w:multiLevelType w:val="singleLevel"/>
    <w:tmpl w:val="591526C9"/>
    <w:lvl w:ilvl="0" w:tentative="0">
      <w:start w:val="1"/>
      <w:numFmt w:val="decimal"/>
      <w:suff w:val="nothing"/>
      <w:lvlText w:val="（%1）"/>
      <w:lvlJc w:val="left"/>
      <w:pPr>
        <w:ind w:left="0" w:firstLine="420"/>
      </w:pPr>
      <w:rPr>
        <w:rFonts w:hint="default"/>
      </w:r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50004A95"/>
    <w:rsid w:val="00044DD5"/>
    <w:rsid w:val="0004637B"/>
    <w:rsid w:val="000C1451"/>
    <w:rsid w:val="00145F98"/>
    <w:rsid w:val="00202FA0"/>
    <w:rsid w:val="0020615F"/>
    <w:rsid w:val="002B66EF"/>
    <w:rsid w:val="002C6FCE"/>
    <w:rsid w:val="00381ACB"/>
    <w:rsid w:val="003913B3"/>
    <w:rsid w:val="004543AC"/>
    <w:rsid w:val="008214B2"/>
    <w:rsid w:val="009364C7"/>
    <w:rsid w:val="0099201E"/>
    <w:rsid w:val="009B3ACF"/>
    <w:rsid w:val="00A3305D"/>
    <w:rsid w:val="00B174BB"/>
    <w:rsid w:val="00C6593F"/>
    <w:rsid w:val="00C82A1E"/>
    <w:rsid w:val="00CD7C0E"/>
    <w:rsid w:val="00D4613E"/>
    <w:rsid w:val="00DF2520"/>
    <w:rsid w:val="00E30219"/>
    <w:rsid w:val="00F735C3"/>
    <w:rsid w:val="00FC2C02"/>
    <w:rsid w:val="01463B4E"/>
    <w:rsid w:val="01480530"/>
    <w:rsid w:val="02025C15"/>
    <w:rsid w:val="02254726"/>
    <w:rsid w:val="024C2043"/>
    <w:rsid w:val="025C4B56"/>
    <w:rsid w:val="026F19EA"/>
    <w:rsid w:val="0296303F"/>
    <w:rsid w:val="02AD62A7"/>
    <w:rsid w:val="02B46D8D"/>
    <w:rsid w:val="034C7867"/>
    <w:rsid w:val="03715449"/>
    <w:rsid w:val="037D4B14"/>
    <w:rsid w:val="039B58CD"/>
    <w:rsid w:val="03E10DFD"/>
    <w:rsid w:val="03F624A2"/>
    <w:rsid w:val="043641EE"/>
    <w:rsid w:val="044F161D"/>
    <w:rsid w:val="04675B95"/>
    <w:rsid w:val="04AD62B3"/>
    <w:rsid w:val="05140EB1"/>
    <w:rsid w:val="055503F5"/>
    <w:rsid w:val="05694D1B"/>
    <w:rsid w:val="05E1620A"/>
    <w:rsid w:val="06620544"/>
    <w:rsid w:val="0675449C"/>
    <w:rsid w:val="068B2214"/>
    <w:rsid w:val="06BB746F"/>
    <w:rsid w:val="06BF3675"/>
    <w:rsid w:val="06D91289"/>
    <w:rsid w:val="06DE1E85"/>
    <w:rsid w:val="06E650DE"/>
    <w:rsid w:val="06F9233E"/>
    <w:rsid w:val="06FA41C0"/>
    <w:rsid w:val="07993E2C"/>
    <w:rsid w:val="07B22191"/>
    <w:rsid w:val="07BE3EE0"/>
    <w:rsid w:val="07CA18BF"/>
    <w:rsid w:val="08CC47DB"/>
    <w:rsid w:val="08E7079B"/>
    <w:rsid w:val="08FE375C"/>
    <w:rsid w:val="093570FD"/>
    <w:rsid w:val="09472EE3"/>
    <w:rsid w:val="0964585E"/>
    <w:rsid w:val="096545A8"/>
    <w:rsid w:val="0A2936FA"/>
    <w:rsid w:val="0AA2391D"/>
    <w:rsid w:val="0B073E1A"/>
    <w:rsid w:val="0B1845FE"/>
    <w:rsid w:val="0B2A4D8B"/>
    <w:rsid w:val="0B7863E5"/>
    <w:rsid w:val="0B8F5E30"/>
    <w:rsid w:val="0BAF49D6"/>
    <w:rsid w:val="0BFE70FF"/>
    <w:rsid w:val="0C630E99"/>
    <w:rsid w:val="0C717FB9"/>
    <w:rsid w:val="0D2A7456"/>
    <w:rsid w:val="0D335317"/>
    <w:rsid w:val="0D454706"/>
    <w:rsid w:val="0D47378E"/>
    <w:rsid w:val="0D86241A"/>
    <w:rsid w:val="0D887384"/>
    <w:rsid w:val="0DA5091D"/>
    <w:rsid w:val="0DD90E2A"/>
    <w:rsid w:val="0DE41035"/>
    <w:rsid w:val="0E0B58F1"/>
    <w:rsid w:val="0E64533D"/>
    <w:rsid w:val="0EB2394C"/>
    <w:rsid w:val="0EEA1C0B"/>
    <w:rsid w:val="0F3D13DF"/>
    <w:rsid w:val="0F7D63F1"/>
    <w:rsid w:val="0F7E56D2"/>
    <w:rsid w:val="0F940C54"/>
    <w:rsid w:val="0F975DF1"/>
    <w:rsid w:val="0FB02B1B"/>
    <w:rsid w:val="0FC06022"/>
    <w:rsid w:val="10356A02"/>
    <w:rsid w:val="104076B2"/>
    <w:rsid w:val="10443145"/>
    <w:rsid w:val="106D1765"/>
    <w:rsid w:val="107B17B8"/>
    <w:rsid w:val="108F132C"/>
    <w:rsid w:val="10C57C93"/>
    <w:rsid w:val="10D92E90"/>
    <w:rsid w:val="10F36923"/>
    <w:rsid w:val="11244F9E"/>
    <w:rsid w:val="112F4A97"/>
    <w:rsid w:val="1152574B"/>
    <w:rsid w:val="11BB0A89"/>
    <w:rsid w:val="12196EE4"/>
    <w:rsid w:val="122E473C"/>
    <w:rsid w:val="12583EBD"/>
    <w:rsid w:val="12592666"/>
    <w:rsid w:val="129F2AC0"/>
    <w:rsid w:val="12AF3AB7"/>
    <w:rsid w:val="12D10FCA"/>
    <w:rsid w:val="12F014E7"/>
    <w:rsid w:val="12FE476A"/>
    <w:rsid w:val="13182BC0"/>
    <w:rsid w:val="13733182"/>
    <w:rsid w:val="13AB6920"/>
    <w:rsid w:val="13C108E8"/>
    <w:rsid w:val="141113EE"/>
    <w:rsid w:val="141D35DE"/>
    <w:rsid w:val="14242D54"/>
    <w:rsid w:val="14555FD9"/>
    <w:rsid w:val="149660DE"/>
    <w:rsid w:val="149B16E7"/>
    <w:rsid w:val="14ED6B54"/>
    <w:rsid w:val="1526009B"/>
    <w:rsid w:val="154243DF"/>
    <w:rsid w:val="156F08E0"/>
    <w:rsid w:val="1579113D"/>
    <w:rsid w:val="15A12701"/>
    <w:rsid w:val="15BD7FDC"/>
    <w:rsid w:val="15C9701E"/>
    <w:rsid w:val="15D55577"/>
    <w:rsid w:val="160551C6"/>
    <w:rsid w:val="161B4C3E"/>
    <w:rsid w:val="163E4BAA"/>
    <w:rsid w:val="166763CC"/>
    <w:rsid w:val="16933417"/>
    <w:rsid w:val="16B6387D"/>
    <w:rsid w:val="174C4771"/>
    <w:rsid w:val="17525D76"/>
    <w:rsid w:val="17C3178D"/>
    <w:rsid w:val="18560727"/>
    <w:rsid w:val="18571F2A"/>
    <w:rsid w:val="186758E5"/>
    <w:rsid w:val="1885392E"/>
    <w:rsid w:val="198454BD"/>
    <w:rsid w:val="19D02FA9"/>
    <w:rsid w:val="1A2A6CED"/>
    <w:rsid w:val="1A3D4FED"/>
    <w:rsid w:val="1A497085"/>
    <w:rsid w:val="1A6D76D7"/>
    <w:rsid w:val="1A766FB0"/>
    <w:rsid w:val="1A812CBA"/>
    <w:rsid w:val="1A847F8B"/>
    <w:rsid w:val="1A9A320F"/>
    <w:rsid w:val="1AB81AF9"/>
    <w:rsid w:val="1ABB591C"/>
    <w:rsid w:val="1ABC4B84"/>
    <w:rsid w:val="1ABF1D44"/>
    <w:rsid w:val="1ACC15FD"/>
    <w:rsid w:val="1ADE01FA"/>
    <w:rsid w:val="1B527D7D"/>
    <w:rsid w:val="1B671CBC"/>
    <w:rsid w:val="1B680D5A"/>
    <w:rsid w:val="1B6C665D"/>
    <w:rsid w:val="1BA03A2D"/>
    <w:rsid w:val="1BC8641D"/>
    <w:rsid w:val="1BED5436"/>
    <w:rsid w:val="1BF5537C"/>
    <w:rsid w:val="1C3642CF"/>
    <w:rsid w:val="1CAA7C13"/>
    <w:rsid w:val="1CD2334A"/>
    <w:rsid w:val="1CE6339E"/>
    <w:rsid w:val="1D3344D5"/>
    <w:rsid w:val="1D39053F"/>
    <w:rsid w:val="1D542B92"/>
    <w:rsid w:val="1D5D37EF"/>
    <w:rsid w:val="1D632C3E"/>
    <w:rsid w:val="1D7F5FC2"/>
    <w:rsid w:val="1DD91C4F"/>
    <w:rsid w:val="1E114522"/>
    <w:rsid w:val="1E562334"/>
    <w:rsid w:val="1E6F40FF"/>
    <w:rsid w:val="1ECE263B"/>
    <w:rsid w:val="1ED23A13"/>
    <w:rsid w:val="1F1678C7"/>
    <w:rsid w:val="1F755A30"/>
    <w:rsid w:val="1FB87BFA"/>
    <w:rsid w:val="1FF83525"/>
    <w:rsid w:val="20123BC6"/>
    <w:rsid w:val="201B5247"/>
    <w:rsid w:val="20595E64"/>
    <w:rsid w:val="20622C0A"/>
    <w:rsid w:val="206E5551"/>
    <w:rsid w:val="2081560C"/>
    <w:rsid w:val="208E2950"/>
    <w:rsid w:val="20F61559"/>
    <w:rsid w:val="20F77EBC"/>
    <w:rsid w:val="21251F39"/>
    <w:rsid w:val="21905CAC"/>
    <w:rsid w:val="219B2976"/>
    <w:rsid w:val="219F223B"/>
    <w:rsid w:val="21AB289C"/>
    <w:rsid w:val="21E166A9"/>
    <w:rsid w:val="221A2761"/>
    <w:rsid w:val="22936EF0"/>
    <w:rsid w:val="22B32CEE"/>
    <w:rsid w:val="22BC18BC"/>
    <w:rsid w:val="23021F62"/>
    <w:rsid w:val="231500E2"/>
    <w:rsid w:val="23C7467A"/>
    <w:rsid w:val="246C6384"/>
    <w:rsid w:val="249356E7"/>
    <w:rsid w:val="24CB4876"/>
    <w:rsid w:val="24F16DAA"/>
    <w:rsid w:val="2501550D"/>
    <w:rsid w:val="252B1A83"/>
    <w:rsid w:val="2543309D"/>
    <w:rsid w:val="254F37EE"/>
    <w:rsid w:val="25791A41"/>
    <w:rsid w:val="25857B76"/>
    <w:rsid w:val="25890204"/>
    <w:rsid w:val="25936EFD"/>
    <w:rsid w:val="2613591B"/>
    <w:rsid w:val="264C7C89"/>
    <w:rsid w:val="264F784E"/>
    <w:rsid w:val="267001AD"/>
    <w:rsid w:val="2693187E"/>
    <w:rsid w:val="269A0FDE"/>
    <w:rsid w:val="269A1B5A"/>
    <w:rsid w:val="27092731"/>
    <w:rsid w:val="27595B5F"/>
    <w:rsid w:val="279B0208"/>
    <w:rsid w:val="27AE07A0"/>
    <w:rsid w:val="280512DC"/>
    <w:rsid w:val="28286D98"/>
    <w:rsid w:val="286710F6"/>
    <w:rsid w:val="28914E20"/>
    <w:rsid w:val="28A354CF"/>
    <w:rsid w:val="28AB2B2B"/>
    <w:rsid w:val="28FC5CE1"/>
    <w:rsid w:val="291268AF"/>
    <w:rsid w:val="293804C3"/>
    <w:rsid w:val="295609D0"/>
    <w:rsid w:val="296F101F"/>
    <w:rsid w:val="297654D4"/>
    <w:rsid w:val="297724FD"/>
    <w:rsid w:val="297E391D"/>
    <w:rsid w:val="298F232A"/>
    <w:rsid w:val="29BD3504"/>
    <w:rsid w:val="29FF4E87"/>
    <w:rsid w:val="2A325E53"/>
    <w:rsid w:val="2A570895"/>
    <w:rsid w:val="2AA52A6F"/>
    <w:rsid w:val="2B1A1EED"/>
    <w:rsid w:val="2BA331AB"/>
    <w:rsid w:val="2BA62F64"/>
    <w:rsid w:val="2BDC0B87"/>
    <w:rsid w:val="2BDD0534"/>
    <w:rsid w:val="2BFE641D"/>
    <w:rsid w:val="2C034AEF"/>
    <w:rsid w:val="2C8E3E4F"/>
    <w:rsid w:val="2CBB5334"/>
    <w:rsid w:val="2CC22F3C"/>
    <w:rsid w:val="2CCB197B"/>
    <w:rsid w:val="2CED7951"/>
    <w:rsid w:val="2CFA25F6"/>
    <w:rsid w:val="2D08487E"/>
    <w:rsid w:val="2D0C02CC"/>
    <w:rsid w:val="2D5E5772"/>
    <w:rsid w:val="2D8D59E1"/>
    <w:rsid w:val="2D9B7484"/>
    <w:rsid w:val="2DA84F1F"/>
    <w:rsid w:val="2DDD5DC6"/>
    <w:rsid w:val="2DF81ED2"/>
    <w:rsid w:val="2E2376BD"/>
    <w:rsid w:val="2E455723"/>
    <w:rsid w:val="2E8876F3"/>
    <w:rsid w:val="2E9302C2"/>
    <w:rsid w:val="2E9455B2"/>
    <w:rsid w:val="2E9E6759"/>
    <w:rsid w:val="2F3E225D"/>
    <w:rsid w:val="2F481714"/>
    <w:rsid w:val="2F4A7B7B"/>
    <w:rsid w:val="2F4E2B4E"/>
    <w:rsid w:val="2F727FF5"/>
    <w:rsid w:val="2F882CB7"/>
    <w:rsid w:val="2F934A7F"/>
    <w:rsid w:val="2FFF30C9"/>
    <w:rsid w:val="3000354E"/>
    <w:rsid w:val="30200ACC"/>
    <w:rsid w:val="30221301"/>
    <w:rsid w:val="30343537"/>
    <w:rsid w:val="3054286C"/>
    <w:rsid w:val="3065144D"/>
    <w:rsid w:val="30693762"/>
    <w:rsid w:val="30730FEF"/>
    <w:rsid w:val="308B70F3"/>
    <w:rsid w:val="30EB1D2E"/>
    <w:rsid w:val="31014948"/>
    <w:rsid w:val="31593CEB"/>
    <w:rsid w:val="31781E33"/>
    <w:rsid w:val="319E6F3D"/>
    <w:rsid w:val="321C5B58"/>
    <w:rsid w:val="322A7BDB"/>
    <w:rsid w:val="324F3E58"/>
    <w:rsid w:val="326371AF"/>
    <w:rsid w:val="32661404"/>
    <w:rsid w:val="32793502"/>
    <w:rsid w:val="3281122A"/>
    <w:rsid w:val="329136D1"/>
    <w:rsid w:val="32C5686F"/>
    <w:rsid w:val="32ED0FC8"/>
    <w:rsid w:val="331827DA"/>
    <w:rsid w:val="332151E0"/>
    <w:rsid w:val="3339664E"/>
    <w:rsid w:val="33641B5F"/>
    <w:rsid w:val="33AF71AB"/>
    <w:rsid w:val="33B84EDE"/>
    <w:rsid w:val="33F16826"/>
    <w:rsid w:val="33F219CB"/>
    <w:rsid w:val="33F97469"/>
    <w:rsid w:val="343A2F39"/>
    <w:rsid w:val="34536C1D"/>
    <w:rsid w:val="347800A3"/>
    <w:rsid w:val="34784400"/>
    <w:rsid w:val="34E177C7"/>
    <w:rsid w:val="34F02CBF"/>
    <w:rsid w:val="35713C89"/>
    <w:rsid w:val="35BE1572"/>
    <w:rsid w:val="35D64063"/>
    <w:rsid w:val="35F76A56"/>
    <w:rsid w:val="3605599D"/>
    <w:rsid w:val="36236C09"/>
    <w:rsid w:val="363132FE"/>
    <w:rsid w:val="367874A2"/>
    <w:rsid w:val="36A673D9"/>
    <w:rsid w:val="37476B9F"/>
    <w:rsid w:val="377E1242"/>
    <w:rsid w:val="37816524"/>
    <w:rsid w:val="37865B39"/>
    <w:rsid w:val="37B96F92"/>
    <w:rsid w:val="381A7128"/>
    <w:rsid w:val="394A7E78"/>
    <w:rsid w:val="39BD1FF4"/>
    <w:rsid w:val="39E71FBB"/>
    <w:rsid w:val="39EA50E1"/>
    <w:rsid w:val="3A1F14C3"/>
    <w:rsid w:val="3AD75C33"/>
    <w:rsid w:val="3B12280B"/>
    <w:rsid w:val="3B3A36C7"/>
    <w:rsid w:val="3B5F6C2C"/>
    <w:rsid w:val="3B710390"/>
    <w:rsid w:val="3B7B2BCE"/>
    <w:rsid w:val="3B9A6D46"/>
    <w:rsid w:val="3BD24A47"/>
    <w:rsid w:val="3BF50A89"/>
    <w:rsid w:val="3BFF0480"/>
    <w:rsid w:val="3C2A693F"/>
    <w:rsid w:val="3C575E36"/>
    <w:rsid w:val="3C6A01A7"/>
    <w:rsid w:val="3CC476A8"/>
    <w:rsid w:val="3CC84F02"/>
    <w:rsid w:val="3CCA25E7"/>
    <w:rsid w:val="3CED5F45"/>
    <w:rsid w:val="3D647164"/>
    <w:rsid w:val="3DA85494"/>
    <w:rsid w:val="3DB91977"/>
    <w:rsid w:val="3DEA5635"/>
    <w:rsid w:val="3E30164A"/>
    <w:rsid w:val="3E9338ED"/>
    <w:rsid w:val="3ED20477"/>
    <w:rsid w:val="3EF33C53"/>
    <w:rsid w:val="3F924BD0"/>
    <w:rsid w:val="3FAD56A8"/>
    <w:rsid w:val="3FC07036"/>
    <w:rsid w:val="3FDB47E3"/>
    <w:rsid w:val="3FEE3093"/>
    <w:rsid w:val="408A05ED"/>
    <w:rsid w:val="40A21439"/>
    <w:rsid w:val="40B8594E"/>
    <w:rsid w:val="40F71D63"/>
    <w:rsid w:val="41416411"/>
    <w:rsid w:val="41603487"/>
    <w:rsid w:val="4170490C"/>
    <w:rsid w:val="41912A36"/>
    <w:rsid w:val="41A43552"/>
    <w:rsid w:val="41C71BC2"/>
    <w:rsid w:val="41D91E3C"/>
    <w:rsid w:val="42195D2D"/>
    <w:rsid w:val="42297E0A"/>
    <w:rsid w:val="42440E69"/>
    <w:rsid w:val="42C24FC5"/>
    <w:rsid w:val="430137E9"/>
    <w:rsid w:val="431A58DF"/>
    <w:rsid w:val="435A2640"/>
    <w:rsid w:val="435B06CF"/>
    <w:rsid w:val="43671615"/>
    <w:rsid w:val="43B14E46"/>
    <w:rsid w:val="43E671DC"/>
    <w:rsid w:val="43FF7BAC"/>
    <w:rsid w:val="444C1712"/>
    <w:rsid w:val="449B0240"/>
    <w:rsid w:val="44C85078"/>
    <w:rsid w:val="45293329"/>
    <w:rsid w:val="452A4420"/>
    <w:rsid w:val="453401B9"/>
    <w:rsid w:val="45865481"/>
    <w:rsid w:val="458B5CA6"/>
    <w:rsid w:val="45AF5471"/>
    <w:rsid w:val="45C35A92"/>
    <w:rsid w:val="45E433E3"/>
    <w:rsid w:val="45F73B36"/>
    <w:rsid w:val="464F674F"/>
    <w:rsid w:val="467E748A"/>
    <w:rsid w:val="46D24BA2"/>
    <w:rsid w:val="46D640A7"/>
    <w:rsid w:val="46D755AD"/>
    <w:rsid w:val="46EC3F9B"/>
    <w:rsid w:val="47142E75"/>
    <w:rsid w:val="471625F2"/>
    <w:rsid w:val="473E467A"/>
    <w:rsid w:val="477D2B79"/>
    <w:rsid w:val="47C13872"/>
    <w:rsid w:val="47D106ED"/>
    <w:rsid w:val="480120F2"/>
    <w:rsid w:val="484B4B8C"/>
    <w:rsid w:val="48B16B7D"/>
    <w:rsid w:val="49AD4432"/>
    <w:rsid w:val="49AD4695"/>
    <w:rsid w:val="49D72BE7"/>
    <w:rsid w:val="49F16684"/>
    <w:rsid w:val="4A1323A4"/>
    <w:rsid w:val="4A1638B0"/>
    <w:rsid w:val="4A3A3BEB"/>
    <w:rsid w:val="4A8C4A78"/>
    <w:rsid w:val="4AA46D5D"/>
    <w:rsid w:val="4AB85386"/>
    <w:rsid w:val="4AC34182"/>
    <w:rsid w:val="4AD74667"/>
    <w:rsid w:val="4AF953CF"/>
    <w:rsid w:val="4B67117B"/>
    <w:rsid w:val="4BB90742"/>
    <w:rsid w:val="4BF1769D"/>
    <w:rsid w:val="4C67308A"/>
    <w:rsid w:val="4CD20C6F"/>
    <w:rsid w:val="4CF57E8F"/>
    <w:rsid w:val="4D060CA7"/>
    <w:rsid w:val="4D356797"/>
    <w:rsid w:val="4D363C4C"/>
    <w:rsid w:val="4DA84B2D"/>
    <w:rsid w:val="4DF23F3B"/>
    <w:rsid w:val="4DF5471B"/>
    <w:rsid w:val="4E21054A"/>
    <w:rsid w:val="4E7C1327"/>
    <w:rsid w:val="4E8B7676"/>
    <w:rsid w:val="4EFD5951"/>
    <w:rsid w:val="4F450787"/>
    <w:rsid w:val="4F4C1064"/>
    <w:rsid w:val="4F77676A"/>
    <w:rsid w:val="4F9F022F"/>
    <w:rsid w:val="4FC34284"/>
    <w:rsid w:val="4FC6443E"/>
    <w:rsid w:val="50004A95"/>
    <w:rsid w:val="50626FC5"/>
    <w:rsid w:val="50A83174"/>
    <w:rsid w:val="50B51408"/>
    <w:rsid w:val="515A20ED"/>
    <w:rsid w:val="519C6CAE"/>
    <w:rsid w:val="51B832C3"/>
    <w:rsid w:val="51DE269C"/>
    <w:rsid w:val="51F3498B"/>
    <w:rsid w:val="52114B18"/>
    <w:rsid w:val="52A5620A"/>
    <w:rsid w:val="52B50F48"/>
    <w:rsid w:val="52C07935"/>
    <w:rsid w:val="52FA39B7"/>
    <w:rsid w:val="53113D7C"/>
    <w:rsid w:val="531E6088"/>
    <w:rsid w:val="532636A9"/>
    <w:rsid w:val="532D2387"/>
    <w:rsid w:val="533704B8"/>
    <w:rsid w:val="53753945"/>
    <w:rsid w:val="53CC7091"/>
    <w:rsid w:val="53D60BEC"/>
    <w:rsid w:val="53E23343"/>
    <w:rsid w:val="53E46566"/>
    <w:rsid w:val="54065170"/>
    <w:rsid w:val="543F4497"/>
    <w:rsid w:val="5446251D"/>
    <w:rsid w:val="54970C2D"/>
    <w:rsid w:val="54EA671B"/>
    <w:rsid w:val="55324787"/>
    <w:rsid w:val="555B27E3"/>
    <w:rsid w:val="555C6AF7"/>
    <w:rsid w:val="55762BE7"/>
    <w:rsid w:val="558D23E4"/>
    <w:rsid w:val="55961E09"/>
    <w:rsid w:val="55C26B6F"/>
    <w:rsid w:val="55C670F5"/>
    <w:rsid w:val="55F27EEA"/>
    <w:rsid w:val="569A354A"/>
    <w:rsid w:val="570E6F3C"/>
    <w:rsid w:val="57263EA4"/>
    <w:rsid w:val="57811640"/>
    <w:rsid w:val="57D7044A"/>
    <w:rsid w:val="58781BC3"/>
    <w:rsid w:val="58CD73F0"/>
    <w:rsid w:val="5A0D21C7"/>
    <w:rsid w:val="5A3F1F40"/>
    <w:rsid w:val="5A5A0E37"/>
    <w:rsid w:val="5AC14C4F"/>
    <w:rsid w:val="5B6861B6"/>
    <w:rsid w:val="5B9C0740"/>
    <w:rsid w:val="5BAC4FB3"/>
    <w:rsid w:val="5BD67B34"/>
    <w:rsid w:val="5BE16D7E"/>
    <w:rsid w:val="5C4E6341"/>
    <w:rsid w:val="5C5C1969"/>
    <w:rsid w:val="5C684645"/>
    <w:rsid w:val="5C87511F"/>
    <w:rsid w:val="5CB72CEF"/>
    <w:rsid w:val="5CB85583"/>
    <w:rsid w:val="5CED1068"/>
    <w:rsid w:val="5D0B3750"/>
    <w:rsid w:val="5D2E3760"/>
    <w:rsid w:val="5DA63671"/>
    <w:rsid w:val="5DA75D46"/>
    <w:rsid w:val="5E162E4A"/>
    <w:rsid w:val="5E897F7A"/>
    <w:rsid w:val="5E9D5478"/>
    <w:rsid w:val="5EAA2F03"/>
    <w:rsid w:val="5F76082E"/>
    <w:rsid w:val="5F88713F"/>
    <w:rsid w:val="5FAC59C4"/>
    <w:rsid w:val="6009431E"/>
    <w:rsid w:val="60391C97"/>
    <w:rsid w:val="606E1D6E"/>
    <w:rsid w:val="609864D9"/>
    <w:rsid w:val="60E33BAB"/>
    <w:rsid w:val="614E38D3"/>
    <w:rsid w:val="61BC58BF"/>
    <w:rsid w:val="61EA54DC"/>
    <w:rsid w:val="61ED38C3"/>
    <w:rsid w:val="625726D0"/>
    <w:rsid w:val="62681347"/>
    <w:rsid w:val="6291631A"/>
    <w:rsid w:val="63241C2E"/>
    <w:rsid w:val="6334412D"/>
    <w:rsid w:val="6352453D"/>
    <w:rsid w:val="64481398"/>
    <w:rsid w:val="64546374"/>
    <w:rsid w:val="64BF604B"/>
    <w:rsid w:val="652A1921"/>
    <w:rsid w:val="656809DC"/>
    <w:rsid w:val="65714685"/>
    <w:rsid w:val="65956842"/>
    <w:rsid w:val="65B52D15"/>
    <w:rsid w:val="65B77C2F"/>
    <w:rsid w:val="65F36D30"/>
    <w:rsid w:val="66127F31"/>
    <w:rsid w:val="663F5653"/>
    <w:rsid w:val="665E34E6"/>
    <w:rsid w:val="6664753D"/>
    <w:rsid w:val="66D45A75"/>
    <w:rsid w:val="66FC541B"/>
    <w:rsid w:val="670B5D1A"/>
    <w:rsid w:val="67187713"/>
    <w:rsid w:val="673812C6"/>
    <w:rsid w:val="67517C95"/>
    <w:rsid w:val="677E6E1E"/>
    <w:rsid w:val="683E4589"/>
    <w:rsid w:val="68AD53A5"/>
    <w:rsid w:val="68C843C0"/>
    <w:rsid w:val="6908537E"/>
    <w:rsid w:val="6912480D"/>
    <w:rsid w:val="69B82549"/>
    <w:rsid w:val="69B93C3B"/>
    <w:rsid w:val="69FF364B"/>
    <w:rsid w:val="69FF6E3D"/>
    <w:rsid w:val="6A294333"/>
    <w:rsid w:val="6A493D3D"/>
    <w:rsid w:val="6A4C7698"/>
    <w:rsid w:val="6AC76B81"/>
    <w:rsid w:val="6AE27287"/>
    <w:rsid w:val="6B161CF0"/>
    <w:rsid w:val="6B7B5DED"/>
    <w:rsid w:val="6B870C51"/>
    <w:rsid w:val="6BBE72BF"/>
    <w:rsid w:val="6BC63E71"/>
    <w:rsid w:val="6BCB787A"/>
    <w:rsid w:val="6C0C1C29"/>
    <w:rsid w:val="6C276253"/>
    <w:rsid w:val="6C5F3CA6"/>
    <w:rsid w:val="6C6E6960"/>
    <w:rsid w:val="6C757B50"/>
    <w:rsid w:val="6C973A2F"/>
    <w:rsid w:val="6CCD74C8"/>
    <w:rsid w:val="6CCF3365"/>
    <w:rsid w:val="6D072B49"/>
    <w:rsid w:val="6D3131F6"/>
    <w:rsid w:val="6D367907"/>
    <w:rsid w:val="6D3F285C"/>
    <w:rsid w:val="6D510F2F"/>
    <w:rsid w:val="6DA647B9"/>
    <w:rsid w:val="6DB712B0"/>
    <w:rsid w:val="6DC92557"/>
    <w:rsid w:val="6E0979AE"/>
    <w:rsid w:val="6E462064"/>
    <w:rsid w:val="6E847AC9"/>
    <w:rsid w:val="6E9103B3"/>
    <w:rsid w:val="6EA969B8"/>
    <w:rsid w:val="6EC73C54"/>
    <w:rsid w:val="6ED15AAA"/>
    <w:rsid w:val="6F114EF6"/>
    <w:rsid w:val="6F53446B"/>
    <w:rsid w:val="6F827811"/>
    <w:rsid w:val="6F9008DB"/>
    <w:rsid w:val="6FB31CD3"/>
    <w:rsid w:val="6FB70DA8"/>
    <w:rsid w:val="6FCD682F"/>
    <w:rsid w:val="6FCF7432"/>
    <w:rsid w:val="6FD44282"/>
    <w:rsid w:val="6FD64C2D"/>
    <w:rsid w:val="6FEA0DFA"/>
    <w:rsid w:val="7011159A"/>
    <w:rsid w:val="704523C0"/>
    <w:rsid w:val="70BF6753"/>
    <w:rsid w:val="70F47233"/>
    <w:rsid w:val="70F91519"/>
    <w:rsid w:val="71525605"/>
    <w:rsid w:val="71B573EC"/>
    <w:rsid w:val="71C17F8B"/>
    <w:rsid w:val="71C25CAC"/>
    <w:rsid w:val="71D112F1"/>
    <w:rsid w:val="71ED117C"/>
    <w:rsid w:val="72325697"/>
    <w:rsid w:val="724F33C0"/>
    <w:rsid w:val="72571B7C"/>
    <w:rsid w:val="726D2330"/>
    <w:rsid w:val="72750F6A"/>
    <w:rsid w:val="729C3486"/>
    <w:rsid w:val="72D116C9"/>
    <w:rsid w:val="72F04FEC"/>
    <w:rsid w:val="73474FE8"/>
    <w:rsid w:val="7373279F"/>
    <w:rsid w:val="73E32710"/>
    <w:rsid w:val="74EC4189"/>
    <w:rsid w:val="753A7D56"/>
    <w:rsid w:val="757E15CA"/>
    <w:rsid w:val="76085DD4"/>
    <w:rsid w:val="76094709"/>
    <w:rsid w:val="767B2CDA"/>
    <w:rsid w:val="76A51FFC"/>
    <w:rsid w:val="76B91F95"/>
    <w:rsid w:val="76D00D99"/>
    <w:rsid w:val="772357B5"/>
    <w:rsid w:val="774066FF"/>
    <w:rsid w:val="77754420"/>
    <w:rsid w:val="77906CA0"/>
    <w:rsid w:val="77DB2A4D"/>
    <w:rsid w:val="78292D1F"/>
    <w:rsid w:val="78BF13BE"/>
    <w:rsid w:val="78D36002"/>
    <w:rsid w:val="78D470D8"/>
    <w:rsid w:val="790F3350"/>
    <w:rsid w:val="792A72E8"/>
    <w:rsid w:val="792F7F47"/>
    <w:rsid w:val="796C129E"/>
    <w:rsid w:val="79A0525E"/>
    <w:rsid w:val="79D40E0D"/>
    <w:rsid w:val="7A3B2C13"/>
    <w:rsid w:val="7A6200CD"/>
    <w:rsid w:val="7A7B44BE"/>
    <w:rsid w:val="7A7E5FBE"/>
    <w:rsid w:val="7ACE07DF"/>
    <w:rsid w:val="7AFA0EA6"/>
    <w:rsid w:val="7B1611E6"/>
    <w:rsid w:val="7B455470"/>
    <w:rsid w:val="7B5960C8"/>
    <w:rsid w:val="7BA80E68"/>
    <w:rsid w:val="7BB9184C"/>
    <w:rsid w:val="7C1F1A6F"/>
    <w:rsid w:val="7C2E1994"/>
    <w:rsid w:val="7C5251D9"/>
    <w:rsid w:val="7D31246A"/>
    <w:rsid w:val="7D6876FE"/>
    <w:rsid w:val="7D7019F1"/>
    <w:rsid w:val="7DC145EF"/>
    <w:rsid w:val="7DCC4BB2"/>
    <w:rsid w:val="7DFB4A46"/>
    <w:rsid w:val="7DFE1F67"/>
    <w:rsid w:val="7E370D29"/>
    <w:rsid w:val="7E733CEE"/>
    <w:rsid w:val="7E784322"/>
    <w:rsid w:val="7EA51D37"/>
    <w:rsid w:val="7ED27E41"/>
    <w:rsid w:val="7ED4224E"/>
    <w:rsid w:val="7EDD6480"/>
    <w:rsid w:val="7F175DC5"/>
    <w:rsid w:val="7F2C5F2D"/>
    <w:rsid w:val="7F327CF2"/>
    <w:rsid w:val="7F43785A"/>
    <w:rsid w:val="7F677DDD"/>
    <w:rsid w:val="7FFC18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outlineLvl w:val="0"/>
    </w:pPr>
    <w:rPr>
      <w:rFonts w:ascii="仿宋_GB2312"/>
      <w:sz w:val="32"/>
    </w:rPr>
  </w:style>
  <w:style w:type="paragraph" w:styleId="4">
    <w:name w:val="heading 4"/>
    <w:basedOn w:val="1"/>
    <w:next w:val="1"/>
    <w:qFormat/>
    <w:uiPriority w:val="0"/>
    <w:pPr>
      <w:keepNext/>
      <w:outlineLvl w:val="3"/>
    </w:pPr>
    <w:rPr>
      <w:rFonts w:ascii="Times New Roman" w:hAnsi="Times New Roman" w:eastAsia="宋体" w:cs="Times New Roman"/>
      <w:sz w:val="28"/>
      <w:szCs w:val="20"/>
    </w:rPr>
  </w:style>
  <w:style w:type="character" w:default="1" w:styleId="18">
    <w:name w:val="Default Paragraph Font"/>
    <w:semiHidden/>
    <w:unhideWhenUsed/>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style>
  <w:style w:type="paragraph" w:styleId="5">
    <w:name w:val="annotation text"/>
    <w:basedOn w:val="1"/>
    <w:qFormat/>
    <w:uiPriority w:val="0"/>
    <w:pPr>
      <w:jc w:val="left"/>
    </w:pPr>
  </w:style>
  <w:style w:type="paragraph" w:styleId="6">
    <w:name w:val="Body Text Indent"/>
    <w:basedOn w:val="1"/>
    <w:qFormat/>
    <w:uiPriority w:val="0"/>
    <w:pPr>
      <w:spacing w:line="360" w:lineRule="auto"/>
    </w:pPr>
    <w:rPr>
      <w:rFonts w:ascii="仿宋体" w:eastAsia="仿宋体"/>
      <w:sz w:val="24"/>
    </w:rPr>
  </w:style>
  <w:style w:type="paragraph" w:styleId="7">
    <w:name w:val="Plain Text"/>
    <w:basedOn w:val="1"/>
    <w:unhideWhenUsed/>
    <w:qFormat/>
    <w:uiPriority w:val="99"/>
    <w:rPr>
      <w:rFonts w:ascii="宋体" w:hAnsi="Courier New" w:cs="Courier New"/>
      <w:szCs w:val="21"/>
    </w:rPr>
  </w:style>
  <w:style w:type="paragraph" w:styleId="8">
    <w:name w:val="Date"/>
    <w:basedOn w:val="1"/>
    <w:next w:val="1"/>
    <w:qFormat/>
    <w:uiPriority w:val="0"/>
    <w:pPr>
      <w:ind w:left="100" w:leftChars="2500"/>
    </w:pPr>
    <w:rPr>
      <w:rFonts w:ascii="华文仿宋" w:hAnsi="华文仿宋" w:eastAsia="华文仿宋"/>
      <w:sz w:val="24"/>
    </w:rPr>
  </w:style>
  <w:style w:type="paragraph" w:styleId="9">
    <w:name w:val="Body Text Indent 2"/>
    <w:basedOn w:val="1"/>
    <w:qFormat/>
    <w:uiPriority w:val="0"/>
    <w:pPr>
      <w:spacing w:line="360" w:lineRule="auto"/>
      <w:ind w:left="839" w:hanging="839" w:hangingChars="355"/>
    </w:pPr>
    <w:rPr>
      <w:b/>
      <w:sz w:val="24"/>
    </w:rPr>
  </w:style>
  <w:style w:type="paragraph" w:styleId="10">
    <w:name w:val="Balloon Text"/>
    <w:basedOn w:val="1"/>
    <w:link w:val="28"/>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widowControl/>
      <w:spacing w:beforeAutospacing="1" w:afterAutospacing="1"/>
      <w:jc w:val="left"/>
    </w:pPr>
    <w:rPr>
      <w:rFonts w:ascii="宋体" w:hAnsi="宋体"/>
      <w:color w:val="000000"/>
      <w:kern w:val="0"/>
      <w:sz w:val="18"/>
      <w:szCs w:val="18"/>
    </w:rPr>
  </w:style>
  <w:style w:type="paragraph" w:styleId="14">
    <w:name w:val="Title"/>
    <w:basedOn w:val="1"/>
    <w:next w:val="1"/>
    <w:qFormat/>
    <w:uiPriority w:val="0"/>
    <w:pPr>
      <w:spacing w:before="240" w:after="60"/>
      <w:jc w:val="center"/>
      <w:outlineLvl w:val="0"/>
    </w:pPr>
    <w:rPr>
      <w:rFonts w:ascii="Cambria" w:hAnsi="Cambria"/>
      <w:b/>
      <w:bCs/>
      <w:sz w:val="32"/>
      <w:szCs w:val="32"/>
    </w:rPr>
  </w:style>
  <w:style w:type="paragraph" w:styleId="15">
    <w:name w:val="Body Text First Indent"/>
    <w:basedOn w:val="2"/>
    <w:qFormat/>
    <w:uiPriority w:val="0"/>
    <w:pPr>
      <w:ind w:firstLine="420" w:firstLineChars="100"/>
    </w:pPr>
    <w:rPr>
      <w:szCs w:val="21"/>
    </w:rPr>
  </w:style>
  <w:style w:type="table" w:styleId="17">
    <w:name w:val="Table Grid"/>
    <w:basedOn w:val="16"/>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9">
    <w:name w:val="Strong"/>
    <w:basedOn w:val="18"/>
    <w:qFormat/>
    <w:uiPriority w:val="0"/>
    <w:rPr>
      <w:b/>
    </w:rPr>
  </w:style>
  <w:style w:type="character" w:styleId="20">
    <w:name w:val="page number"/>
    <w:basedOn w:val="18"/>
    <w:qFormat/>
    <w:uiPriority w:val="0"/>
  </w:style>
  <w:style w:type="paragraph" w:customStyle="1" w:styleId="21">
    <w:name w:val="默认段落字体 Para Char"/>
    <w:basedOn w:val="1"/>
    <w:qFormat/>
    <w:uiPriority w:val="0"/>
    <w:pPr>
      <w:adjustRightInd w:val="0"/>
      <w:spacing w:line="360" w:lineRule="auto"/>
    </w:pPr>
  </w:style>
  <w:style w:type="paragraph" w:customStyle="1" w:styleId="22">
    <w:name w:val="WPSOffice手动目录 1"/>
    <w:qFormat/>
    <w:uiPriority w:val="0"/>
    <w:rPr>
      <w:rFonts w:ascii="Times New Roman" w:hAnsi="Times New Roman" w:eastAsia="宋体" w:cs="Times New Roman"/>
      <w:lang w:val="en-US" w:eastAsia="zh-CN" w:bidi="ar-SA"/>
    </w:rPr>
  </w:style>
  <w:style w:type="paragraph" w:customStyle="1" w:styleId="2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4">
    <w:name w:val="列出段落1"/>
    <w:basedOn w:val="1"/>
    <w:qFormat/>
    <w:uiPriority w:val="34"/>
    <w:pPr>
      <w:ind w:firstLine="420" w:firstLineChars="200"/>
    </w:pPr>
  </w:style>
  <w:style w:type="character" w:customStyle="1" w:styleId="25">
    <w:name w:val="font11"/>
    <w:basedOn w:val="18"/>
    <w:qFormat/>
    <w:uiPriority w:val="0"/>
    <w:rPr>
      <w:rFonts w:hint="default" w:ascii="Times New Roman" w:hAnsi="Times New Roman" w:cs="Times New Roman"/>
      <w:color w:val="000000"/>
      <w:sz w:val="24"/>
      <w:szCs w:val="24"/>
      <w:u w:val="none"/>
    </w:rPr>
  </w:style>
  <w:style w:type="character" w:customStyle="1" w:styleId="26">
    <w:name w:val="font31"/>
    <w:basedOn w:val="18"/>
    <w:qFormat/>
    <w:uiPriority w:val="0"/>
    <w:rPr>
      <w:rFonts w:hint="eastAsia" w:ascii="宋体" w:hAnsi="宋体" w:eastAsia="宋体" w:cs="宋体"/>
      <w:color w:val="000000"/>
      <w:sz w:val="24"/>
      <w:szCs w:val="24"/>
      <w:u w:val="none"/>
    </w:rPr>
  </w:style>
  <w:style w:type="paragraph" w:customStyle="1" w:styleId="27">
    <w:name w:val="WPS Plain"/>
    <w:qFormat/>
    <w:uiPriority w:val="0"/>
    <w:rPr>
      <w:rFonts w:ascii="Times New Roman" w:hAnsi="Times New Roman" w:eastAsia="宋体" w:cs="Times New Roman"/>
      <w:lang w:val="en-US" w:eastAsia="zh-CN" w:bidi="ar-SA"/>
    </w:rPr>
  </w:style>
  <w:style w:type="character" w:customStyle="1" w:styleId="28">
    <w:name w:val="批注框文本 Char"/>
    <w:basedOn w:val="18"/>
    <w:link w:val="10"/>
    <w:qFormat/>
    <w:uiPriority w:val="0"/>
    <w:rPr>
      <w:kern w:val="2"/>
      <w:sz w:val="18"/>
      <w:szCs w:val="18"/>
    </w:rPr>
  </w:style>
  <w:style w:type="paragraph" w:customStyle="1" w:styleId="29">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0">
    <w:name w:val="采购正文"/>
    <w:basedOn w:val="1"/>
    <w:qFormat/>
    <w:uiPriority w:val="0"/>
    <w:pPr>
      <w:snapToGrid w:val="0"/>
      <w:spacing w:line="560" w:lineRule="exact"/>
      <w:ind w:firstLine="480" w:firstLineChars="200"/>
    </w:pPr>
    <w:rPr>
      <w:rFonts w:ascii="仿宋" w:hAnsi="仿宋" w:eastAsia="仿宋"/>
      <w:sz w:val="24"/>
    </w:rPr>
  </w:style>
  <w:style w:type="paragraph" w:customStyle="1" w:styleId="31">
    <w:name w:val="采购二级"/>
    <w:basedOn w:val="1"/>
    <w:qFormat/>
    <w:uiPriority w:val="99"/>
    <w:pPr>
      <w:snapToGrid w:val="0"/>
      <w:spacing w:line="560" w:lineRule="exact"/>
      <w:ind w:firstLine="480" w:firstLineChars="200"/>
      <w:outlineLvl w:val="1"/>
    </w:pPr>
    <w:rPr>
      <w:rFonts w:ascii="仿宋" w:hAnsi="仿宋" w:eastAsia="仿宋"/>
      <w:b/>
      <w:sz w:val="24"/>
    </w:rPr>
  </w:style>
  <w:style w:type="paragraph" w:styleId="32">
    <w:name w:val="List Paragraph"/>
    <w:basedOn w:val="1"/>
    <w:qFormat/>
    <w:uiPriority w:val="34"/>
    <w:pPr>
      <w:ind w:firstLine="420" w:firstLineChars="200"/>
    </w:pPr>
  </w:style>
  <w:style w:type="paragraph" w:customStyle="1" w:styleId="33">
    <w:name w:val="Table Paragraph"/>
    <w:basedOn w:val="1"/>
    <w:qFormat/>
    <w:uiPriority w:val="1"/>
    <w:rPr>
      <w:rFonts w:ascii="宋体" w:hAnsi="宋体" w:cs="宋体"/>
      <w:lang w:val="zh-CN" w:bidi="zh-CN"/>
    </w:rPr>
  </w:style>
  <w:style w:type="paragraph" w:customStyle="1" w:styleId="34">
    <w:name w:val="Item List in Table"/>
    <w:basedOn w:val="1"/>
    <w:qFormat/>
    <w:uiPriority w:val="0"/>
    <w:pPr>
      <w:numPr>
        <w:ilvl w:val="0"/>
        <w:numId w:val="1"/>
      </w:numPr>
      <w:tabs>
        <w:tab w:val="left" w:pos="420"/>
        <w:tab w:val="clear" w:pos="960"/>
      </w:tabs>
      <w:jc w:val="left"/>
    </w:pPr>
    <w:rPr>
      <w:rFonts w:eastAsia="宋体"/>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47</Pages>
  <Words>4246</Words>
  <Characters>24205</Characters>
  <Lines>201</Lines>
  <Paragraphs>56</Paragraphs>
  <TotalTime>4</TotalTime>
  <ScaleCrop>false</ScaleCrop>
  <LinksUpToDate>false</LinksUpToDate>
  <CharactersWithSpaces>28395</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2019-04-23T04:10:00Z</dcterms:created>
  <dc:creator>HapPy</dc:creator>
  <cp:lastModifiedBy>admin</cp:lastModifiedBy>
  <cp:lastPrinted>2019-05-09T12:07:00Z</cp:lastPrinted>
  <dcterms:modified xsi:type="dcterms:W3CDTF">2019-07-02T08:27:31Z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