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color w:val="auto"/>
          <w:highlight w:val="none"/>
        </w:rPr>
      </w:pPr>
    </w:p>
    <w:p>
      <w:pPr>
        <w:tabs>
          <w:tab w:val="left" w:pos="9240"/>
        </w:tabs>
        <w:jc w:val="right"/>
        <w:rPr>
          <w:color w:val="auto"/>
          <w:highlight w:val="none"/>
        </w:rPr>
      </w:pPr>
      <w:r>
        <w:rPr>
          <w:color w:val="auto"/>
          <w:highlight w:val="none"/>
        </w:rPr>
        <w:drawing>
          <wp:inline distT="0" distB="0" distL="0" distR="0">
            <wp:extent cx="698500" cy="42291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698500" cy="422910"/>
                    </a:xfrm>
                    <a:prstGeom prst="rect">
                      <a:avLst/>
                    </a:prstGeom>
                    <a:noFill/>
                    <a:ln w="9525">
                      <a:noFill/>
                    </a:ln>
                  </pic:spPr>
                </pic:pic>
              </a:graphicData>
            </a:graphic>
          </wp:inline>
        </w:drawing>
      </w:r>
    </w:p>
    <w:p>
      <w:pPr>
        <w:ind w:right="105"/>
        <w:jc w:val="right"/>
        <w:rPr>
          <w:rFonts w:ascii="楷体_GB2312" w:eastAsia="楷体_GB2312"/>
          <w:b/>
          <w:color w:val="auto"/>
          <w:highlight w:val="none"/>
        </w:rPr>
      </w:pPr>
      <w:r>
        <w:rPr>
          <w:rFonts w:hint="eastAsia" w:ascii="楷体_GB2312" w:eastAsia="楷体_GB2312"/>
          <w:b/>
          <w:color w:val="auto"/>
          <w:highlight w:val="none"/>
        </w:rPr>
        <w:t>新疆天麒</w:t>
      </w:r>
    </w:p>
    <w:p>
      <w:pPr>
        <w:tabs>
          <w:tab w:val="left" w:pos="9240"/>
        </w:tabs>
        <w:rPr>
          <w:rFonts w:ascii="仿宋_GB2312" w:eastAsia="仿宋_GB2312"/>
          <w:b/>
          <w:bCs/>
          <w:color w:val="auto"/>
          <w:sz w:val="44"/>
          <w:highlight w:val="none"/>
        </w:rPr>
      </w:pPr>
    </w:p>
    <w:p>
      <w:pPr>
        <w:tabs>
          <w:tab w:val="left" w:pos="9240"/>
        </w:tabs>
        <w:rPr>
          <w:rFonts w:ascii="仿宋_GB2312" w:eastAsia="仿宋_GB2312"/>
          <w:b/>
          <w:bCs/>
          <w:color w:val="auto"/>
          <w:sz w:val="44"/>
          <w:highlight w:val="none"/>
        </w:rPr>
      </w:pPr>
    </w:p>
    <w:p>
      <w:pPr>
        <w:spacing w:line="360" w:lineRule="auto"/>
        <w:jc w:val="center"/>
        <w:rPr>
          <w:rFonts w:ascii="仿宋_GB2312" w:hAnsi="宋体" w:eastAsia="仿宋_GB2312"/>
          <w:b/>
          <w:bCs/>
          <w:color w:val="auto"/>
          <w:sz w:val="48"/>
          <w:szCs w:val="48"/>
          <w:highlight w:val="none"/>
        </w:rPr>
      </w:pPr>
      <w:bookmarkStart w:id="0" w:name="_Toc154996575"/>
      <w:r>
        <w:rPr>
          <w:rFonts w:hint="eastAsia" w:ascii="仿宋_GB2312" w:hAnsi="宋体" w:eastAsia="仿宋_GB2312"/>
          <w:b/>
          <w:bCs/>
          <w:color w:val="auto"/>
          <w:sz w:val="48"/>
          <w:szCs w:val="48"/>
          <w:highlight w:val="none"/>
        </w:rPr>
        <w:t>克拉玛依区社区卫生服务机构采购大包装中药免煎颗粒、中草药项目</w:t>
      </w:r>
    </w:p>
    <w:p>
      <w:pPr>
        <w:spacing w:line="360" w:lineRule="auto"/>
        <w:jc w:val="center"/>
        <w:rPr>
          <w:rFonts w:ascii="仿宋_GB2312" w:hAnsi="宋体" w:eastAsia="仿宋_GB2312"/>
          <w:b/>
          <w:bCs/>
          <w:color w:val="auto"/>
          <w:sz w:val="44"/>
          <w:szCs w:val="44"/>
          <w:highlight w:val="none"/>
        </w:rPr>
      </w:pPr>
    </w:p>
    <w:p>
      <w:pPr>
        <w:spacing w:line="360" w:lineRule="auto"/>
        <w:jc w:val="center"/>
        <w:rPr>
          <w:rFonts w:hint="eastAsia" w:ascii="仿宋_GB2312" w:hAnsi="宋体" w:eastAsia="仿宋_GB2312"/>
          <w:b/>
          <w:bCs/>
          <w:color w:val="auto"/>
          <w:sz w:val="72"/>
          <w:szCs w:val="72"/>
          <w:highlight w:val="none"/>
          <w:lang w:eastAsia="zh-CN"/>
        </w:rPr>
      </w:pPr>
      <w:r>
        <w:rPr>
          <w:rFonts w:hint="eastAsia" w:ascii="仿宋_GB2312" w:hAnsi="宋体" w:eastAsia="仿宋_GB2312"/>
          <w:b/>
          <w:bCs/>
          <w:color w:val="auto"/>
          <w:sz w:val="72"/>
          <w:szCs w:val="72"/>
          <w:highlight w:val="none"/>
          <w:lang w:eastAsia="zh-CN"/>
        </w:rPr>
        <w:t>竞争性磋商文件</w:t>
      </w:r>
    </w:p>
    <w:p>
      <w:pPr>
        <w:overflowPunct w:val="0"/>
        <w:spacing w:line="500" w:lineRule="exact"/>
        <w:jc w:val="center"/>
        <w:rPr>
          <w:rFonts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lang w:eastAsia="zh-CN"/>
        </w:rPr>
        <w:t>竞争性磋商文件</w:t>
      </w:r>
      <w:r>
        <w:rPr>
          <w:rFonts w:hint="eastAsia" w:ascii="仿宋_GB2312" w:hAnsi="宋体" w:eastAsia="仿宋_GB2312" w:cs="宋体"/>
          <w:b/>
          <w:color w:val="auto"/>
          <w:kern w:val="0"/>
          <w:sz w:val="24"/>
          <w:highlight w:val="none"/>
        </w:rPr>
        <w:t>编号：KQWJW（ZC）2020-01</w:t>
      </w:r>
    </w:p>
    <w:p>
      <w:pPr>
        <w:overflowPunct w:val="0"/>
        <w:spacing w:line="500" w:lineRule="exact"/>
        <w:rPr>
          <w:rFonts w:ascii="仿宋_GB2312" w:eastAsia="仿宋_GB2312"/>
          <w:color w:val="auto"/>
          <w:sz w:val="32"/>
          <w:szCs w:val="32"/>
          <w:highlight w:val="none"/>
        </w:rPr>
      </w:pPr>
    </w:p>
    <w:p>
      <w:pPr>
        <w:overflowPunct w:val="0"/>
        <w:spacing w:line="500" w:lineRule="exact"/>
        <w:rPr>
          <w:rFonts w:ascii="仿宋_GB2312" w:eastAsia="仿宋_GB2312"/>
          <w:b/>
          <w:color w:val="auto"/>
          <w:sz w:val="30"/>
          <w:szCs w:val="30"/>
          <w:highlight w:val="none"/>
        </w:rPr>
      </w:pPr>
    </w:p>
    <w:p>
      <w:pPr>
        <w:overflowPunct w:val="0"/>
        <w:spacing w:line="500" w:lineRule="exact"/>
        <w:rPr>
          <w:rFonts w:ascii="仿宋_GB2312" w:eastAsia="仿宋_GB2312"/>
          <w:b/>
          <w:color w:val="auto"/>
          <w:sz w:val="30"/>
          <w:szCs w:val="30"/>
          <w:highlight w:val="none"/>
        </w:rPr>
      </w:pPr>
    </w:p>
    <w:p>
      <w:pPr>
        <w:overflowPunct w:val="0"/>
        <w:spacing w:line="500" w:lineRule="exact"/>
        <w:rPr>
          <w:rFonts w:ascii="仿宋_GB2312" w:eastAsia="仿宋_GB2312"/>
          <w:b/>
          <w:color w:val="auto"/>
          <w:sz w:val="30"/>
          <w:szCs w:val="30"/>
          <w:highlight w:val="none"/>
        </w:rPr>
      </w:pPr>
      <w:r>
        <w:rPr>
          <w:rFonts w:hint="eastAsia" w:ascii="仿宋_GB2312" w:eastAsia="仿宋_GB2312"/>
          <w:b/>
          <w:color w:val="auto"/>
          <w:sz w:val="30"/>
          <w:szCs w:val="30"/>
          <w:highlight w:val="none"/>
        </w:rPr>
        <w:t>采购人：克拉玛依市克拉玛依区卫生健康委员会</w:t>
      </w:r>
    </w:p>
    <w:p>
      <w:pPr>
        <w:overflowPunct w:val="0"/>
        <w:spacing w:line="500" w:lineRule="exact"/>
        <w:rPr>
          <w:rFonts w:ascii="仿宋_GB2312" w:eastAsia="仿宋_GB2312"/>
          <w:b/>
          <w:color w:val="auto"/>
          <w:sz w:val="30"/>
          <w:szCs w:val="30"/>
          <w:highlight w:val="none"/>
        </w:rPr>
      </w:pPr>
    </w:p>
    <w:p>
      <w:pPr>
        <w:overflowPunct w:val="0"/>
        <w:spacing w:line="500" w:lineRule="exact"/>
        <w:rPr>
          <w:rFonts w:ascii="仿宋_GB2312" w:eastAsia="仿宋_GB2312"/>
          <w:b/>
          <w:color w:val="auto"/>
          <w:sz w:val="30"/>
          <w:szCs w:val="30"/>
          <w:highlight w:val="none"/>
        </w:rPr>
      </w:pPr>
    </w:p>
    <w:p>
      <w:pPr>
        <w:overflowPunct w:val="0"/>
        <w:spacing w:line="500" w:lineRule="exact"/>
        <w:rPr>
          <w:rFonts w:ascii="仿宋_GB2312" w:eastAsia="仿宋_GB2312"/>
          <w:b/>
          <w:color w:val="auto"/>
          <w:sz w:val="30"/>
          <w:szCs w:val="30"/>
          <w:highlight w:val="none"/>
        </w:rPr>
      </w:pPr>
      <w:r>
        <w:rPr>
          <w:rFonts w:hint="eastAsia" w:ascii="仿宋_GB2312" w:eastAsia="仿宋_GB2312"/>
          <w:b/>
          <w:color w:val="auto"/>
          <w:sz w:val="30"/>
          <w:szCs w:val="30"/>
          <w:highlight w:val="none"/>
        </w:rPr>
        <w:t>采购代理机构：新疆天麒工程项目管理咨询有限责任公司</w:t>
      </w:r>
    </w:p>
    <w:p>
      <w:pPr>
        <w:overflowPunct w:val="0"/>
        <w:spacing w:line="500" w:lineRule="exact"/>
        <w:rPr>
          <w:rFonts w:ascii="仿宋_GB2312" w:eastAsia="仿宋_GB2312"/>
          <w:color w:val="auto"/>
          <w:sz w:val="36"/>
          <w:szCs w:val="36"/>
          <w:highlight w:val="none"/>
        </w:rPr>
      </w:pPr>
    </w:p>
    <w:p>
      <w:pPr>
        <w:overflowPunct w:val="0"/>
        <w:spacing w:line="500" w:lineRule="exact"/>
        <w:rPr>
          <w:rFonts w:ascii="仿宋_GB2312" w:eastAsia="仿宋_GB2312"/>
          <w:color w:val="auto"/>
          <w:sz w:val="36"/>
          <w:szCs w:val="36"/>
          <w:highlight w:val="none"/>
        </w:rPr>
      </w:pPr>
    </w:p>
    <w:p>
      <w:pPr>
        <w:overflowPunct w:val="0"/>
        <w:spacing w:line="500" w:lineRule="exact"/>
        <w:rPr>
          <w:rFonts w:ascii="仿宋_GB2312" w:eastAsia="仿宋_GB2312"/>
          <w:color w:val="auto"/>
          <w:sz w:val="36"/>
          <w:szCs w:val="36"/>
          <w:highlight w:val="none"/>
        </w:rPr>
      </w:pPr>
    </w:p>
    <w:p>
      <w:pPr>
        <w:overflowPunct w:val="0"/>
        <w:spacing w:line="5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二○二○年</w:t>
      </w:r>
      <w:r>
        <w:rPr>
          <w:rFonts w:hint="eastAsia" w:ascii="仿宋_GB2312" w:hAnsi="宋体" w:eastAsia="仿宋_GB2312"/>
          <w:b/>
          <w:color w:val="auto"/>
          <w:sz w:val="32"/>
          <w:szCs w:val="32"/>
          <w:highlight w:val="none"/>
          <w:lang w:eastAsia="zh-CN"/>
        </w:rPr>
        <w:t>九</w:t>
      </w:r>
      <w:r>
        <w:rPr>
          <w:rFonts w:hint="eastAsia" w:ascii="仿宋_GB2312" w:hAnsi="宋体" w:eastAsia="仿宋_GB2312"/>
          <w:b/>
          <w:color w:val="auto"/>
          <w:sz w:val="32"/>
          <w:szCs w:val="32"/>
          <w:highlight w:val="none"/>
        </w:rPr>
        <w:t>月</w:t>
      </w:r>
    </w:p>
    <w:p>
      <w:pPr>
        <w:pStyle w:val="79"/>
        <w:rPr>
          <w:rFonts w:ascii="仿宋_GB2312" w:eastAsia="仿宋_GB2312"/>
          <w:color w:val="auto"/>
          <w:spacing w:val="40"/>
          <w:sz w:val="32"/>
          <w:szCs w:val="32"/>
          <w:highlight w:val="none"/>
        </w:rPr>
        <w:sectPr>
          <w:footerReference r:id="rId3" w:type="default"/>
          <w:pgSz w:w="11907" w:h="16840"/>
          <w:pgMar w:top="1440" w:right="1077" w:bottom="1440" w:left="1077" w:header="964" w:footer="992" w:gutter="0"/>
          <w:pgNumType w:start="1"/>
          <w:cols w:space="720" w:num="1"/>
          <w:docGrid w:linePitch="354" w:charSpace="0"/>
        </w:sectPr>
      </w:pPr>
    </w:p>
    <w:p>
      <w:pPr>
        <w:pStyle w:val="79"/>
        <w:rPr>
          <w:rFonts w:ascii="仿宋_GB2312" w:eastAsia="仿宋_GB2312"/>
          <w:color w:val="auto"/>
          <w:spacing w:val="40"/>
          <w:sz w:val="32"/>
          <w:szCs w:val="32"/>
          <w:highlight w:val="none"/>
        </w:rPr>
      </w:pPr>
    </w:p>
    <w:p>
      <w:pPr>
        <w:pStyle w:val="79"/>
        <w:rPr>
          <w:rFonts w:ascii="仿宋_GB2312" w:eastAsia="仿宋_GB2312"/>
          <w:color w:val="auto"/>
          <w:spacing w:val="40"/>
          <w:sz w:val="32"/>
          <w:szCs w:val="32"/>
          <w:highlight w:val="none"/>
        </w:rPr>
      </w:pPr>
    </w:p>
    <w:p>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总目录</w:t>
      </w:r>
    </w:p>
    <w:p>
      <w:pPr>
        <w:spacing w:line="480" w:lineRule="auto"/>
        <w:ind w:firstLine="560" w:firstLineChars="200"/>
        <w:rPr>
          <w:rFonts w:ascii="仿宋_GB2312" w:eastAsia="仿宋_GB2312"/>
          <w:color w:val="auto"/>
          <w:sz w:val="28"/>
          <w:szCs w:val="28"/>
          <w:highlight w:val="none"/>
        </w:rPr>
      </w:pPr>
    </w:p>
    <w:p>
      <w:pPr>
        <w:spacing w:line="480" w:lineRule="auto"/>
        <w:ind w:firstLine="560" w:firstLineChars="200"/>
        <w:rPr>
          <w:rFonts w:ascii="仿宋_GB2312" w:eastAsia="仿宋_GB2312"/>
          <w:color w:val="auto"/>
          <w:sz w:val="28"/>
          <w:szCs w:val="28"/>
          <w:highlight w:val="none"/>
        </w:rPr>
      </w:pPr>
    </w:p>
    <w:p>
      <w:pPr>
        <w:spacing w:line="48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第一章</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竞争性磋商采购公告------------------------------第2页</w:t>
      </w:r>
    </w:p>
    <w:p>
      <w:pPr>
        <w:spacing w:line="48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第二章  供应商须知--------------------------------------第4页</w:t>
      </w:r>
    </w:p>
    <w:p>
      <w:pPr>
        <w:spacing w:line="48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第三章  项目采购需求------------------------------------第21页</w:t>
      </w:r>
    </w:p>
    <w:p>
      <w:pPr>
        <w:spacing w:line="48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第四章</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合同条款----------------------------------------第4</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页</w:t>
      </w:r>
    </w:p>
    <w:p>
      <w:pPr>
        <w:spacing w:line="480" w:lineRule="auto"/>
        <w:ind w:left="561" w:leftChars="267"/>
        <w:rPr>
          <w:rFonts w:ascii="仿宋_GB2312" w:eastAsia="仿宋_GB2312"/>
          <w:color w:val="auto"/>
          <w:sz w:val="28"/>
          <w:szCs w:val="28"/>
          <w:highlight w:val="none"/>
        </w:rPr>
      </w:pPr>
      <w:r>
        <w:rPr>
          <w:rFonts w:hint="eastAsia" w:ascii="仿宋_GB2312" w:eastAsia="仿宋_GB2312"/>
          <w:color w:val="auto"/>
          <w:sz w:val="28"/>
          <w:szCs w:val="28"/>
          <w:highlight w:val="none"/>
        </w:rPr>
        <w:t>第五章  响应文件格式------------------------------------第</w:t>
      </w:r>
      <w:r>
        <w:rPr>
          <w:rFonts w:hint="eastAsia" w:ascii="仿宋_GB2312" w:eastAsia="仿宋_GB2312"/>
          <w:color w:val="auto"/>
          <w:sz w:val="28"/>
          <w:szCs w:val="28"/>
          <w:highlight w:val="none"/>
          <w:lang w:val="en-US" w:eastAsia="zh-CN"/>
        </w:rPr>
        <w:t>50</w:t>
      </w:r>
      <w:r>
        <w:rPr>
          <w:rFonts w:hint="eastAsia" w:ascii="仿宋_GB2312" w:eastAsia="仿宋_GB2312"/>
          <w:color w:val="auto"/>
          <w:sz w:val="28"/>
          <w:szCs w:val="28"/>
          <w:highlight w:val="none"/>
        </w:rPr>
        <w:t>页</w:t>
      </w:r>
    </w:p>
    <w:p>
      <w:pPr>
        <w:spacing w:line="480" w:lineRule="auto"/>
        <w:ind w:left="561" w:leftChars="267"/>
        <w:rPr>
          <w:rFonts w:ascii="仿宋_GB2312" w:eastAsia="仿宋_GB2312"/>
          <w:color w:val="auto"/>
          <w:sz w:val="28"/>
          <w:szCs w:val="28"/>
          <w:highlight w:val="none"/>
        </w:rPr>
      </w:pPr>
      <w:r>
        <w:rPr>
          <w:rFonts w:hint="eastAsia" w:ascii="仿宋_GB2312" w:eastAsia="仿宋_GB2312"/>
          <w:color w:val="auto"/>
          <w:sz w:val="28"/>
          <w:szCs w:val="28"/>
          <w:highlight w:val="none"/>
        </w:rPr>
        <w:t>第六章  评审标准（综合评分法）--------------------------第6</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页</w:t>
      </w: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spacing w:line="480" w:lineRule="auto"/>
        <w:ind w:left="561" w:leftChars="267"/>
        <w:rPr>
          <w:rFonts w:ascii="仿宋_GB2312" w:eastAsia="仿宋_GB2312"/>
          <w:color w:val="auto"/>
          <w:sz w:val="28"/>
          <w:szCs w:val="28"/>
          <w:highlight w:val="none"/>
        </w:rPr>
      </w:pPr>
    </w:p>
    <w:p>
      <w:pPr>
        <w:pStyle w:val="75"/>
        <w:pageBreakBefore w:val="0"/>
        <w:widowControl w:val="0"/>
        <w:numPr>
          <w:ilvl w:val="0"/>
          <w:numId w:val="2"/>
        </w:numPr>
        <w:kinsoku/>
        <w:wordWrap/>
        <w:overflowPunct/>
        <w:topLinePunct w:val="0"/>
        <w:autoSpaceDE/>
        <w:autoSpaceDN/>
        <w:bidi w:val="0"/>
        <w:adjustRightInd/>
        <w:snapToGrid/>
        <w:spacing w:line="192" w:lineRule="auto"/>
        <w:ind w:firstLineChars="0"/>
        <w:jc w:val="center"/>
        <w:textAlignment w:val="auto"/>
        <w:rPr>
          <w:rFonts w:ascii="仿宋_GB2312" w:eastAsia="仿宋_GB2312" w:cs="Arial"/>
          <w:b/>
          <w:color w:val="auto"/>
          <w:sz w:val="28"/>
          <w:szCs w:val="28"/>
          <w:highlight w:val="none"/>
        </w:rPr>
      </w:pPr>
      <w:r>
        <w:rPr>
          <w:rFonts w:hint="eastAsia" w:ascii="仿宋_GB2312" w:eastAsia="仿宋_GB2312" w:cs="Arial"/>
          <w:b/>
          <w:color w:val="auto"/>
          <w:sz w:val="28"/>
          <w:szCs w:val="28"/>
          <w:highlight w:val="none"/>
        </w:rPr>
        <w:t>竞争性磋商采购公告</w:t>
      </w:r>
    </w:p>
    <w:p>
      <w:pPr>
        <w:pageBreakBefore w:val="0"/>
        <w:widowControl w:val="0"/>
        <w:kinsoku/>
        <w:wordWrap/>
        <w:overflowPunct/>
        <w:topLinePunct w:val="0"/>
        <w:autoSpaceDE/>
        <w:autoSpaceDN/>
        <w:bidi w:val="0"/>
        <w:adjustRightInd/>
        <w:snapToGrid/>
        <w:spacing w:line="192" w:lineRule="auto"/>
        <w:textAlignment w:val="auto"/>
        <w:rPr>
          <w:color w:val="auto"/>
          <w:highlight w:val="none"/>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92"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r>
        <w:rPr>
          <w:rFonts w:hint="eastAsia" w:ascii="仿宋" w:hAnsi="仿宋" w:eastAsia="仿宋"/>
          <w:color w:val="auto"/>
          <w:sz w:val="28"/>
          <w:szCs w:val="28"/>
          <w:highlight w:val="none"/>
          <w:u w:val="single"/>
        </w:rPr>
        <w:t xml:space="preserve"> </w:t>
      </w:r>
      <w:r>
        <w:rPr>
          <w:rFonts w:hint="eastAsia" w:ascii="仿宋" w:hAnsi="仿宋" w:eastAsia="仿宋"/>
          <w:iCs/>
          <w:color w:val="auto"/>
          <w:sz w:val="28"/>
          <w:szCs w:val="28"/>
          <w:highlight w:val="none"/>
          <w:u w:val="single"/>
          <w:lang w:eastAsia="zh-CN"/>
        </w:rPr>
        <w:t>克拉玛依区社区卫生服务机构采购大包装中药免煎颗粒、中草药项目</w:t>
      </w:r>
      <w:r>
        <w:rPr>
          <w:rFonts w:hint="eastAsia" w:ascii="仿宋" w:hAnsi="仿宋" w:eastAsia="仿宋"/>
          <w:color w:val="auto"/>
          <w:sz w:val="28"/>
          <w:szCs w:val="28"/>
          <w:highlight w:val="none"/>
        </w:rPr>
        <w:t xml:space="preserve"> 采购项目的潜在供应商应在</w:t>
      </w:r>
      <w:r>
        <w:rPr>
          <w:rFonts w:hint="eastAsia" w:ascii="仿宋" w:hAnsi="仿宋" w:eastAsia="仿宋"/>
          <w:color w:val="auto"/>
          <w:sz w:val="28"/>
          <w:szCs w:val="28"/>
          <w:highlight w:val="none"/>
          <w:u w:val="single"/>
        </w:rPr>
        <w:t>新疆政府采购网</w:t>
      </w:r>
      <w:r>
        <w:rPr>
          <w:rFonts w:hint="eastAsia" w:ascii="仿宋" w:hAnsi="仿宋" w:eastAsia="仿宋"/>
          <w:color w:val="auto"/>
          <w:sz w:val="28"/>
          <w:szCs w:val="28"/>
          <w:highlight w:val="none"/>
        </w:rPr>
        <w:t>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2020</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22</w:t>
      </w:r>
      <w:r>
        <w:rPr>
          <w:rFonts w:hint="eastAsia" w:ascii="仿宋" w:hAnsi="仿宋" w:eastAsia="仿宋"/>
          <w:bCs/>
          <w:color w:val="auto"/>
          <w:sz w:val="28"/>
          <w:szCs w:val="28"/>
          <w:highlight w:val="none"/>
          <w:u w:val="single"/>
        </w:rPr>
        <w:t>日1</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bookmarkStart w:id="1" w:name="_Toc28359012"/>
      <w:bookmarkStart w:id="2" w:name="_Toc35393798"/>
      <w:bookmarkStart w:id="3" w:name="_Toc28359089"/>
      <w:bookmarkStart w:id="4" w:name="_Toc35393629"/>
      <w:r>
        <w:rPr>
          <w:rFonts w:hint="eastAsia" w:ascii="黑体" w:hAnsi="黑体" w:cs="宋体"/>
          <w:b w:val="0"/>
          <w:color w:val="auto"/>
          <w:sz w:val="28"/>
          <w:szCs w:val="28"/>
          <w:highlight w:val="none"/>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KQWJW（ZC）2020-01 </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克拉玛依区社区卫生服务机构采购大包装中药免煎颗粒、中草药项目</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采购方式：□竞争性谈判 </w:t>
      </w:r>
      <w:r>
        <w:rPr>
          <w:rFonts w:hint="eastAsia" w:ascii="仿宋" w:hAnsi="仿宋" w:eastAsia="仿宋"/>
          <w:color w:val="auto"/>
          <w:sz w:val="28"/>
          <w:szCs w:val="28"/>
          <w:highlight w:val="none"/>
        </w:rPr>
        <w:sym w:font="Wingdings 2" w:char="0052"/>
      </w:r>
      <w:r>
        <w:rPr>
          <w:rFonts w:hint="eastAsia" w:ascii="仿宋" w:hAnsi="仿宋" w:eastAsia="仿宋"/>
          <w:color w:val="auto"/>
          <w:sz w:val="28"/>
          <w:szCs w:val="28"/>
          <w:highlight w:val="none"/>
        </w:rPr>
        <w:t>竞争性磋商 □询价</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eastAsia="zh-CN"/>
        </w:rPr>
        <w:t>无</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eastAsia="zh-CN"/>
        </w:rPr>
        <w:t>无</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采购需求：详见采购文件</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合同履行期限：详见采购文件</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bookmarkStart w:id="5" w:name="_Toc28359013"/>
      <w:bookmarkStart w:id="6" w:name="_Toc35393799"/>
      <w:bookmarkStart w:id="7" w:name="_Toc35393630"/>
      <w:bookmarkStart w:id="8" w:name="_Toc28359090"/>
      <w:r>
        <w:rPr>
          <w:rFonts w:hint="eastAsia" w:ascii="黑体" w:hAnsi="黑体" w:cs="宋体"/>
          <w:b w:val="0"/>
          <w:color w:val="auto"/>
          <w:sz w:val="28"/>
          <w:szCs w:val="28"/>
          <w:highlight w:val="none"/>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u w:val="single"/>
        </w:rPr>
      </w:pPr>
      <w:bookmarkStart w:id="9" w:name="_Toc28359014"/>
      <w:bookmarkStart w:id="10" w:name="_Toc28359091"/>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u w:val="single"/>
        </w:rPr>
        <w:t>1）按照《财政部 工业和信息化部关于印发&lt;政府采购促进中小企业发展暂行办法&gt;的通知》（财库〔2011〕181号）的规定，落实促进中小企业发展政策。2）按照《财政部、司法部关于政府采购支持监狱企业发展有关问题的通知》（财库〔2014〕68号）的规定，落实支持监狱企业发展政策。3）按照《三部门联合发布关于促进残疾人就业政府采购政策的通知》（财库〔2017〕 141号）的规定，落实支持残疾人福利性单位发展政策。</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具有独立法人资格并依法取得企业营业执照及营业执照在有效期内并包含本采购项目相应经营范围；</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2</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具有药品监督管理局核发的有效期内的医疗器械生产企业许可证（如为代理商，为医疗器械经营企业许可证）；国家批准的具备资质的中草药、中药配方颗粒试点生产企业；具有《药品生产质量管理规范认证证书》；同时也是在当地食品药监部门完成备案的中草药、中药配方颗粒生产企业；新疆药监部门关于中药配方颗粒的批复；药品信用证明；</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具有有效期内的投标企业生产许可证（经营许可证）；</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具有有效期内的中药配方颗粒GMP认证证书或当地药监部门现场检查出具的相关证明材料；</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具有新疆维吾尔自治区药品管理部门出具的允许中药配方颗粒剂在本项目所在地使用的相关证明文件或批复。</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bookmarkStart w:id="11" w:name="_Toc35393800"/>
      <w:bookmarkStart w:id="12" w:name="_Toc35393631"/>
      <w:r>
        <w:rPr>
          <w:rFonts w:hint="eastAsia" w:ascii="黑体" w:hAnsi="黑体" w:cs="宋体"/>
          <w:b w:val="0"/>
          <w:color w:val="auto"/>
          <w:sz w:val="28"/>
          <w:szCs w:val="28"/>
          <w:highlight w:val="none"/>
        </w:rPr>
        <w:t>三、获取采购文件</w:t>
      </w:r>
      <w:bookmarkEnd w:id="9"/>
      <w:bookmarkEnd w:id="10"/>
      <w:bookmarkEnd w:id="11"/>
      <w:bookmarkEnd w:id="12"/>
    </w:p>
    <w:p>
      <w:pPr>
        <w:pageBreakBefore w:val="0"/>
        <w:widowControl w:val="0"/>
        <w:kinsoku/>
        <w:wordWrap/>
        <w:overflowPunct/>
        <w:topLinePunct w:val="0"/>
        <w:autoSpaceDE/>
        <w:autoSpaceDN/>
        <w:bidi w:val="0"/>
        <w:adjustRightInd/>
        <w:snapToGrid/>
        <w:spacing w:line="192" w:lineRule="auto"/>
        <w:ind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2020年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2020年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rPr>
        <w:t>日1</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w:t>
      </w:r>
      <w:r>
        <w:rPr>
          <w:rFonts w:hint="eastAsia" w:ascii="仿宋" w:hAnsi="仿宋" w:eastAsia="仿宋" w:cs="宋体"/>
          <w:color w:val="auto"/>
          <w:sz w:val="28"/>
          <w:szCs w:val="28"/>
          <w:highlight w:val="none"/>
          <w:u w:val="single"/>
          <w:lang w:val="en-US" w:eastAsia="zh-CN"/>
        </w:rPr>
        <w:t>00</w:t>
      </w:r>
      <w:r>
        <w:rPr>
          <w:rFonts w:hint="eastAsia" w:ascii="仿宋" w:hAnsi="仿宋" w:eastAsia="仿宋" w:cs="宋体"/>
          <w:color w:val="auto"/>
          <w:sz w:val="28"/>
          <w:szCs w:val="28"/>
          <w:highlight w:val="none"/>
          <w:u w:val="single"/>
        </w:rPr>
        <w:t>止</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rPr>
        <w:t>10:30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13:30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19：</w:t>
      </w:r>
      <w:r>
        <w:rPr>
          <w:rFonts w:hint="eastAsia" w:ascii="仿宋" w:hAnsi="仿宋" w:eastAsia="仿宋" w:cs="宋体"/>
          <w:color w:val="auto"/>
          <w:sz w:val="28"/>
          <w:szCs w:val="28"/>
          <w:highlight w:val="none"/>
          <w:u w:val="single"/>
          <w:lang w:val="en-US" w:eastAsia="zh-CN"/>
        </w:rPr>
        <w:t>0</w:t>
      </w:r>
      <w:r>
        <w:rPr>
          <w:rFonts w:hint="eastAsia" w:ascii="仿宋" w:hAnsi="仿宋" w:eastAsia="仿宋" w:cs="宋体"/>
          <w:color w:val="auto"/>
          <w:sz w:val="28"/>
          <w:szCs w:val="28"/>
          <w:highlight w:val="none"/>
          <w:u w:val="singl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 ）。</w:t>
      </w:r>
    </w:p>
    <w:p>
      <w:pPr>
        <w:pageBreakBefore w:val="0"/>
        <w:widowControl w:val="0"/>
        <w:kinsoku/>
        <w:wordWrap/>
        <w:overflowPunct/>
        <w:topLinePunct w:val="0"/>
        <w:autoSpaceDE/>
        <w:autoSpaceDN/>
        <w:bidi w:val="0"/>
        <w:adjustRightInd/>
        <w:snapToGrid/>
        <w:spacing w:line="192" w:lineRule="auto"/>
        <w:ind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地点：新疆政府采购网</w:t>
      </w:r>
    </w:p>
    <w:p>
      <w:pPr>
        <w:pageBreakBefore w:val="0"/>
        <w:widowControl w:val="0"/>
        <w:kinsoku/>
        <w:wordWrap/>
        <w:overflowPunct/>
        <w:topLinePunct w:val="0"/>
        <w:autoSpaceDE/>
        <w:autoSpaceDN/>
        <w:bidi w:val="0"/>
        <w:adjustRightInd/>
        <w:snapToGrid/>
        <w:spacing w:line="192" w:lineRule="auto"/>
        <w:ind w:firstLine="540"/>
        <w:textAlignment w:val="auto"/>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方式：线上获取</w:t>
      </w:r>
    </w:p>
    <w:p>
      <w:pPr>
        <w:pageBreakBefore w:val="0"/>
        <w:widowControl w:val="0"/>
        <w:kinsoku/>
        <w:wordWrap/>
        <w:overflowPunct/>
        <w:topLinePunct w:val="0"/>
        <w:autoSpaceDE/>
        <w:autoSpaceDN/>
        <w:bidi w:val="0"/>
        <w:adjustRightInd/>
        <w:snapToGrid/>
        <w:spacing w:line="192" w:lineRule="auto"/>
        <w:ind w:firstLine="54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00元/份</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bookmarkStart w:id="13" w:name="_Toc28359015"/>
      <w:bookmarkStart w:id="14" w:name="_Toc35393801"/>
      <w:bookmarkStart w:id="15" w:name="_Toc28359092"/>
      <w:bookmarkStart w:id="16" w:name="_Toc35393632"/>
      <w:r>
        <w:rPr>
          <w:rFonts w:hint="eastAsia" w:ascii="黑体" w:hAnsi="黑体" w:cs="宋体"/>
          <w:b w:val="0"/>
          <w:color w:val="auto"/>
          <w:sz w:val="28"/>
          <w:szCs w:val="28"/>
          <w:highlight w:val="none"/>
        </w:rPr>
        <w:t>四、响应文件提交</w:t>
      </w:r>
      <w:bookmarkEnd w:id="13"/>
      <w:bookmarkEnd w:id="14"/>
      <w:bookmarkEnd w:id="15"/>
      <w:bookmarkEnd w:id="16"/>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rPr>
        <w:t>2020</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22</w:t>
      </w:r>
      <w:r>
        <w:rPr>
          <w:rFonts w:hint="eastAsia" w:ascii="仿宋" w:hAnsi="仿宋" w:eastAsia="仿宋"/>
          <w:bCs/>
          <w:color w:val="auto"/>
          <w:sz w:val="28"/>
          <w:szCs w:val="28"/>
          <w:highlight w:val="none"/>
          <w:u w:val="single"/>
        </w:rPr>
        <w:t>日1</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地点：新疆天麒工程项目管理咨询有限责任公司一楼评标室（克拉玛依市通讯路44号）</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bookmarkStart w:id="17" w:name="_Toc28359016"/>
      <w:bookmarkStart w:id="18" w:name="_Toc35393633"/>
      <w:bookmarkStart w:id="19" w:name="_Toc28359093"/>
      <w:bookmarkStart w:id="20" w:name="_Toc35393802"/>
      <w:r>
        <w:rPr>
          <w:rFonts w:hint="eastAsia" w:ascii="黑体" w:hAnsi="黑体" w:cs="宋体"/>
          <w:b w:val="0"/>
          <w:color w:val="auto"/>
          <w:sz w:val="28"/>
          <w:szCs w:val="28"/>
          <w:highlight w:val="none"/>
        </w:rPr>
        <w:t>五、开启</w:t>
      </w:r>
      <w:bookmarkEnd w:id="17"/>
      <w:bookmarkEnd w:id="18"/>
      <w:bookmarkEnd w:id="19"/>
      <w:bookmarkEnd w:id="20"/>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rPr>
        <w:t>2020</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22</w:t>
      </w:r>
      <w:r>
        <w:rPr>
          <w:rFonts w:hint="eastAsia" w:ascii="仿宋" w:hAnsi="仿宋" w:eastAsia="仿宋"/>
          <w:bCs/>
          <w:color w:val="auto"/>
          <w:sz w:val="28"/>
          <w:szCs w:val="28"/>
          <w:highlight w:val="none"/>
          <w:u w:val="single"/>
        </w:rPr>
        <w:t>日1</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w:t>
      </w:r>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地点：新疆天麒工程项目管理咨询有限责任公司一楼评标室（克拉玛依市通讯路44号）</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bookmarkStart w:id="21" w:name="_Toc35393634"/>
      <w:bookmarkStart w:id="22" w:name="_Toc28359094"/>
      <w:bookmarkStart w:id="23" w:name="_Toc28359017"/>
      <w:bookmarkStart w:id="24" w:name="_Toc35393803"/>
      <w:r>
        <w:rPr>
          <w:rFonts w:hint="eastAsia" w:ascii="黑体" w:hAnsi="黑体" w:cs="宋体"/>
          <w:b w:val="0"/>
          <w:color w:val="auto"/>
          <w:sz w:val="28"/>
          <w:szCs w:val="28"/>
          <w:highlight w:val="none"/>
        </w:rPr>
        <w:t>六、公告期限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192" w:lineRule="auto"/>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pStyle w:val="4"/>
        <w:pageBreakBefore w:val="0"/>
        <w:widowControl w:val="0"/>
        <w:numPr>
          <w:ilvl w:val="0"/>
          <w:numId w:val="3"/>
        </w:numPr>
        <w:kinsoku/>
        <w:wordWrap/>
        <w:overflowPunct/>
        <w:topLinePunct w:val="0"/>
        <w:autoSpaceDE/>
        <w:autoSpaceDN/>
        <w:bidi w:val="0"/>
        <w:adjustRightInd/>
        <w:snapToGrid/>
        <w:spacing w:line="192" w:lineRule="auto"/>
        <w:textAlignment w:val="auto"/>
        <w:rPr>
          <w:rFonts w:hint="eastAsia" w:ascii="黑体" w:hAnsi="黑体" w:cs="宋体"/>
          <w:b w:val="0"/>
          <w:color w:val="auto"/>
          <w:sz w:val="28"/>
          <w:szCs w:val="28"/>
          <w:highlight w:val="none"/>
        </w:rPr>
      </w:pPr>
      <w:bookmarkStart w:id="25" w:name="_Toc35393804"/>
      <w:bookmarkStart w:id="26" w:name="_Toc35393635"/>
      <w:r>
        <w:rPr>
          <w:rFonts w:hint="eastAsia" w:ascii="黑体" w:hAnsi="黑体" w:cs="宋体"/>
          <w:b w:val="0"/>
          <w:color w:val="auto"/>
          <w:sz w:val="28"/>
          <w:szCs w:val="28"/>
          <w:highlight w:val="none"/>
        </w:rPr>
        <w:t>其他补充事宜</w:t>
      </w:r>
      <w:bookmarkEnd w:id="25"/>
      <w:bookmarkEnd w:id="26"/>
      <w:bookmarkStart w:id="27" w:name="_Toc35393805"/>
      <w:bookmarkStart w:id="28" w:name="_Toc35393636"/>
      <w:bookmarkStart w:id="29" w:name="_Toc28359095"/>
      <w:bookmarkStart w:id="30" w:name="_Toc28359018"/>
    </w:p>
    <w:p>
      <w:pPr>
        <w:pStyle w:val="4"/>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黑体" w:hAnsi="黑体" w:cs="宋体"/>
          <w:b w:val="0"/>
          <w:color w:val="auto"/>
          <w:sz w:val="28"/>
          <w:szCs w:val="28"/>
          <w:highlight w:val="none"/>
          <w:lang w:val="en-US" w:eastAsia="zh-CN"/>
        </w:rPr>
      </w:pPr>
      <w:r>
        <w:rPr>
          <w:rFonts w:hint="eastAsia" w:ascii="黑体" w:hAnsi="黑体" w:cs="宋体"/>
          <w:b w:val="0"/>
          <w:color w:val="auto"/>
          <w:sz w:val="28"/>
          <w:szCs w:val="28"/>
          <w:highlight w:val="none"/>
          <w:lang w:val="en-US" w:eastAsia="zh-CN"/>
        </w:rPr>
        <w:t xml:space="preserve">（1）填写《供应商参加政府采购项目申请表》，将《申请表》及采购文件费交纳凭证扫描件一同发送到邮箱：617122271@qq.com ，邮件名称必须为：项目名称+项目编号+供应商名称+供应商联系方式，未提交申请表及采购文件费交纳凭证的供应商不得参加采购活动。申请表必须填写完整并加盖公章。  </w:t>
      </w:r>
    </w:p>
    <w:p>
      <w:pPr>
        <w:pStyle w:val="4"/>
        <w:pageBreakBefore w:val="0"/>
        <w:widowControl w:val="0"/>
        <w:kinsoku/>
        <w:wordWrap/>
        <w:overflowPunct/>
        <w:topLinePunct w:val="0"/>
        <w:autoSpaceDE/>
        <w:autoSpaceDN/>
        <w:bidi w:val="0"/>
        <w:adjustRightInd/>
        <w:snapToGrid/>
        <w:spacing w:line="192" w:lineRule="auto"/>
        <w:ind w:firstLine="560" w:firstLineChars="200"/>
        <w:textAlignment w:val="auto"/>
        <w:rPr>
          <w:rFonts w:hint="eastAsia" w:ascii="黑体" w:hAnsi="黑体" w:cs="宋体"/>
          <w:b w:val="0"/>
          <w:color w:val="auto"/>
          <w:sz w:val="28"/>
          <w:szCs w:val="28"/>
          <w:highlight w:val="none"/>
          <w:lang w:val="en-US" w:eastAsia="zh-CN"/>
        </w:rPr>
      </w:pPr>
      <w:r>
        <w:rPr>
          <w:rFonts w:hint="eastAsia" w:ascii="黑体" w:hAnsi="黑体" w:cs="宋体"/>
          <w:b w:val="0"/>
          <w:color w:val="auto"/>
          <w:sz w:val="28"/>
          <w:szCs w:val="28"/>
          <w:highlight w:val="none"/>
          <w:lang w:val="en-US" w:eastAsia="zh-CN"/>
        </w:rPr>
        <w:t>（2）参加现场交易活动的所有人员须自行全程佩戴口罩，配合进行体温检测和身份登记，符合疫情防控要求方可参加现场交易活动。</w:t>
      </w:r>
    </w:p>
    <w:p>
      <w:pPr>
        <w:pStyle w:val="4"/>
        <w:pageBreakBefore w:val="0"/>
        <w:widowControl w:val="0"/>
        <w:kinsoku/>
        <w:wordWrap/>
        <w:overflowPunct/>
        <w:topLinePunct w:val="0"/>
        <w:autoSpaceDE/>
        <w:autoSpaceDN/>
        <w:bidi w:val="0"/>
        <w:adjustRightInd/>
        <w:snapToGrid/>
        <w:spacing w:line="192" w:lineRule="auto"/>
        <w:textAlignment w:val="auto"/>
        <w:rPr>
          <w:rFonts w:ascii="黑体" w:hAnsi="黑体" w:cs="宋体"/>
          <w:b w:val="0"/>
          <w:color w:val="auto"/>
          <w:sz w:val="28"/>
          <w:szCs w:val="28"/>
          <w:highlight w:val="none"/>
        </w:rPr>
      </w:pPr>
      <w:r>
        <w:rPr>
          <w:rFonts w:hint="eastAsia" w:ascii="黑体" w:hAnsi="黑体" w:cs="宋体"/>
          <w:b w:val="0"/>
          <w:color w:val="auto"/>
          <w:sz w:val="28"/>
          <w:szCs w:val="28"/>
          <w:highlight w:val="none"/>
        </w:rPr>
        <w:t>八、凡对本次采购提出询问，请按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7"/>
      <w:bookmarkEnd w:id="28"/>
      <w:bookmarkEnd w:id="29"/>
      <w:bookmarkEnd w:id="30"/>
    </w:p>
    <w:p>
      <w:pPr>
        <w:pStyle w:val="4"/>
        <w:pageBreakBefore w:val="0"/>
        <w:widowControl w:val="0"/>
        <w:kinsoku/>
        <w:wordWrap/>
        <w:overflowPunct/>
        <w:topLinePunct w:val="0"/>
        <w:autoSpaceDE/>
        <w:autoSpaceDN/>
        <w:bidi w:val="0"/>
        <w:adjustRightInd/>
        <w:snapToGrid/>
        <w:spacing w:line="192" w:lineRule="auto"/>
        <w:ind w:firstLine="840" w:firstLineChars="300"/>
        <w:textAlignment w:val="auto"/>
        <w:rPr>
          <w:rFonts w:ascii="仿宋" w:hAnsi="仿宋" w:eastAsia="仿宋" w:cs="宋体"/>
          <w:b w:val="0"/>
          <w:color w:val="auto"/>
          <w:sz w:val="28"/>
          <w:szCs w:val="28"/>
          <w:highlight w:val="none"/>
        </w:rPr>
      </w:pPr>
      <w:bookmarkStart w:id="31" w:name="_Toc35393637"/>
      <w:bookmarkStart w:id="32" w:name="_Toc35393806"/>
      <w:bookmarkStart w:id="33" w:name="_Toc28359019"/>
      <w:bookmarkStart w:id="34" w:name="_Toc28359096"/>
      <w:r>
        <w:rPr>
          <w:rFonts w:hint="eastAsia" w:ascii="仿宋" w:hAnsi="仿宋" w:eastAsia="仿宋" w:cs="宋体"/>
          <w:b w:val="0"/>
          <w:color w:val="auto"/>
          <w:sz w:val="28"/>
          <w:szCs w:val="28"/>
          <w:highlight w:val="none"/>
        </w:rPr>
        <w:t>1.采购人信息</w:t>
      </w:r>
      <w:bookmarkEnd w:id="31"/>
      <w:bookmarkEnd w:id="32"/>
      <w:bookmarkEnd w:id="33"/>
      <w:bookmarkEnd w:id="34"/>
    </w:p>
    <w:p>
      <w:pPr>
        <w:pageBreakBefore w:val="0"/>
        <w:widowControl w:val="0"/>
        <w:kinsoku/>
        <w:wordWrap/>
        <w:overflowPunct/>
        <w:topLinePunct w:val="0"/>
        <w:autoSpaceDE/>
        <w:autoSpaceDN/>
        <w:bidi w:val="0"/>
        <w:adjustRightInd/>
        <w:snapToGrid/>
        <w:spacing w:line="192" w:lineRule="auto"/>
        <w:ind w:left="1129" w:leftChars="371" w:hanging="350" w:hangingChars="125"/>
        <w:jc w:val="left"/>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克拉玛依市克拉玛依区卫生健康委员会　</w:t>
      </w:r>
    </w:p>
    <w:p>
      <w:pPr>
        <w:pageBreakBefore w:val="0"/>
        <w:widowControl w:val="0"/>
        <w:kinsoku/>
        <w:wordWrap/>
        <w:overflowPunct/>
        <w:topLinePunct w:val="0"/>
        <w:autoSpaceDE/>
        <w:autoSpaceDN/>
        <w:bidi w:val="0"/>
        <w:adjustRightInd/>
        <w:snapToGrid/>
        <w:spacing w:line="192" w:lineRule="auto"/>
        <w:ind w:left="1129" w:leftChars="371" w:hanging="350" w:hangingChars="125"/>
        <w:jc w:val="left"/>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lang w:eastAsia="zh-CN"/>
        </w:rPr>
        <w:t>克拉玛依市天山路42号</w:t>
      </w:r>
    </w:p>
    <w:p>
      <w:pPr>
        <w:pageBreakBefore w:val="0"/>
        <w:widowControl w:val="0"/>
        <w:kinsoku/>
        <w:wordWrap/>
        <w:overflowPunct/>
        <w:topLinePunct w:val="0"/>
        <w:autoSpaceDE/>
        <w:autoSpaceDN/>
        <w:bidi w:val="0"/>
        <w:adjustRightInd/>
        <w:snapToGrid/>
        <w:spacing w:line="192" w:lineRule="auto"/>
        <w:ind w:left="1129" w:leftChars="371" w:hanging="350" w:hangingChars="125"/>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lang w:eastAsia="zh-CN"/>
        </w:rPr>
        <w:t>0990-6283520</w:t>
      </w:r>
      <w:r>
        <w:rPr>
          <w:rFonts w:hint="eastAsia" w:ascii="仿宋" w:hAnsi="仿宋" w:eastAsia="仿宋"/>
          <w:color w:val="auto"/>
          <w:sz w:val="28"/>
          <w:szCs w:val="28"/>
          <w:highlight w:val="none"/>
          <w:u w:val="single"/>
        </w:rPr>
        <w:t xml:space="preserve"> </w:t>
      </w:r>
    </w:p>
    <w:p>
      <w:pPr>
        <w:pStyle w:val="4"/>
        <w:pageBreakBefore w:val="0"/>
        <w:widowControl w:val="0"/>
        <w:kinsoku/>
        <w:wordWrap/>
        <w:overflowPunct/>
        <w:topLinePunct w:val="0"/>
        <w:autoSpaceDE/>
        <w:autoSpaceDN/>
        <w:bidi w:val="0"/>
        <w:adjustRightInd/>
        <w:snapToGrid/>
        <w:spacing w:line="192" w:lineRule="auto"/>
        <w:ind w:firstLine="840" w:firstLineChars="300"/>
        <w:textAlignment w:val="auto"/>
        <w:rPr>
          <w:rFonts w:ascii="仿宋" w:hAnsi="仿宋" w:eastAsia="仿宋" w:cs="宋体"/>
          <w:b w:val="0"/>
          <w:color w:val="auto"/>
          <w:sz w:val="28"/>
          <w:szCs w:val="28"/>
          <w:highlight w:val="none"/>
        </w:rPr>
      </w:pPr>
      <w:bookmarkStart w:id="35" w:name="_Toc28359020"/>
      <w:bookmarkStart w:id="36" w:name="_Toc28359097"/>
      <w:bookmarkStart w:id="37" w:name="_Toc35393638"/>
      <w:bookmarkStart w:id="38" w:name="_Toc35393807"/>
      <w:r>
        <w:rPr>
          <w:rFonts w:hint="eastAsia" w:ascii="仿宋" w:hAnsi="仿宋" w:eastAsia="仿宋" w:cs="宋体"/>
          <w:b w:val="0"/>
          <w:color w:val="auto"/>
          <w:sz w:val="28"/>
          <w:szCs w:val="28"/>
          <w:highlight w:val="none"/>
        </w:rPr>
        <w:t>2.采购代理机构信息</w:t>
      </w:r>
      <w:bookmarkEnd w:id="35"/>
      <w:bookmarkEnd w:id="36"/>
      <w:bookmarkEnd w:id="37"/>
      <w:bookmarkEnd w:id="38"/>
    </w:p>
    <w:p>
      <w:pPr>
        <w:pageBreakBefore w:val="0"/>
        <w:widowControl w:val="0"/>
        <w:kinsoku/>
        <w:wordWrap/>
        <w:overflowPunct/>
        <w:topLinePunct w:val="0"/>
        <w:autoSpaceDE/>
        <w:autoSpaceDN/>
        <w:bidi w:val="0"/>
        <w:adjustRightInd/>
        <w:snapToGrid/>
        <w:spacing w:line="192" w:lineRule="auto"/>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新疆天麒工程项目管理咨询有限责任公司</w:t>
      </w:r>
    </w:p>
    <w:p>
      <w:pPr>
        <w:pageBreakBefore w:val="0"/>
        <w:widowControl w:val="0"/>
        <w:kinsoku/>
        <w:wordWrap/>
        <w:overflowPunct/>
        <w:topLinePunct w:val="0"/>
        <w:autoSpaceDE/>
        <w:autoSpaceDN/>
        <w:bidi w:val="0"/>
        <w:adjustRightInd/>
        <w:snapToGrid/>
        <w:spacing w:line="192" w:lineRule="auto"/>
        <w:ind w:firstLine="840" w:firstLineChars="300"/>
        <w:textAlignment w:val="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新疆克拉玛依市通讯路44号</w:t>
      </w:r>
    </w:p>
    <w:p>
      <w:pPr>
        <w:pageBreakBefore w:val="0"/>
        <w:widowControl w:val="0"/>
        <w:kinsoku/>
        <w:wordWrap/>
        <w:overflowPunct/>
        <w:topLinePunct w:val="0"/>
        <w:autoSpaceDE/>
        <w:autoSpaceDN/>
        <w:bidi w:val="0"/>
        <w:adjustRightInd/>
        <w:snapToGrid/>
        <w:spacing w:line="192" w:lineRule="auto"/>
        <w:ind w:firstLine="840" w:firstLineChars="300"/>
        <w:textAlignment w:val="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0990-6882183</w:t>
      </w:r>
      <w:bookmarkStart w:id="39" w:name="_Toc35393808"/>
      <w:bookmarkStart w:id="40" w:name="_Toc35393639"/>
      <w:bookmarkStart w:id="41" w:name="_Toc28359098"/>
      <w:bookmarkStart w:id="42" w:name="_Toc28359021"/>
    </w:p>
    <w:p>
      <w:pPr>
        <w:pageBreakBefore w:val="0"/>
        <w:widowControl w:val="0"/>
        <w:kinsoku/>
        <w:wordWrap/>
        <w:overflowPunct/>
        <w:topLinePunct w:val="0"/>
        <w:autoSpaceDE/>
        <w:autoSpaceDN/>
        <w:bidi w:val="0"/>
        <w:adjustRightInd/>
        <w:snapToGrid/>
        <w:spacing w:line="192" w:lineRule="auto"/>
        <w:ind w:firstLine="840" w:firstLineChars="300"/>
        <w:textAlignment w:val="auto"/>
        <w:rPr>
          <w:rFonts w:hint="eastAsia" w:ascii="仿宋" w:hAnsi="仿宋" w:eastAsia="仿宋"/>
          <w:color w:val="auto"/>
          <w:sz w:val="28"/>
          <w:szCs w:val="28"/>
          <w:highlight w:val="none"/>
          <w:u w:val="single"/>
        </w:rPr>
      </w:pPr>
    </w:p>
    <w:p>
      <w:pPr>
        <w:pageBreakBefore w:val="0"/>
        <w:widowControl w:val="0"/>
        <w:kinsoku/>
        <w:wordWrap/>
        <w:overflowPunct/>
        <w:topLinePunct w:val="0"/>
        <w:autoSpaceDE/>
        <w:autoSpaceDN/>
        <w:bidi w:val="0"/>
        <w:adjustRightInd/>
        <w:snapToGrid/>
        <w:spacing w:line="192" w:lineRule="auto"/>
        <w:ind w:firstLine="840" w:firstLineChars="300"/>
        <w:textAlignment w:val="auto"/>
        <w:rPr>
          <w:rFonts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3.项目联系</w:t>
      </w:r>
      <w:r>
        <w:rPr>
          <w:rFonts w:ascii="仿宋" w:hAnsi="仿宋" w:eastAsia="仿宋" w:cs="宋体"/>
          <w:b w:val="0"/>
          <w:color w:val="auto"/>
          <w:sz w:val="28"/>
          <w:szCs w:val="28"/>
          <w:highlight w:val="none"/>
        </w:rPr>
        <w:t>方式</w:t>
      </w:r>
      <w:bookmarkEnd w:id="39"/>
      <w:bookmarkEnd w:id="40"/>
      <w:bookmarkEnd w:id="41"/>
      <w:bookmarkEnd w:id="42"/>
    </w:p>
    <w:p>
      <w:pPr>
        <w:pStyle w:val="15"/>
        <w:pageBreakBefore w:val="0"/>
        <w:widowControl w:val="0"/>
        <w:kinsoku/>
        <w:wordWrap/>
        <w:overflowPunct/>
        <w:topLinePunct w:val="0"/>
        <w:autoSpaceDE/>
        <w:autoSpaceDN/>
        <w:bidi w:val="0"/>
        <w:adjustRightInd/>
        <w:snapToGrid/>
        <w:spacing w:line="192" w:lineRule="auto"/>
        <w:ind w:firstLine="840" w:firstLineChars="3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rPr>
        <w:t>潘昕</w:t>
      </w:r>
      <w:r>
        <w:rPr>
          <w:rFonts w:hint="eastAsia" w:ascii="仿宋" w:hAnsi="仿宋" w:eastAsia="仿宋"/>
          <w:color w:val="auto"/>
          <w:sz w:val="28"/>
          <w:szCs w:val="28"/>
          <w:highlight w:val="none"/>
          <w:u w:val="single"/>
          <w:lang w:eastAsia="zh-CN"/>
        </w:rPr>
        <w:t>、李娟</w:t>
      </w:r>
    </w:p>
    <w:p>
      <w:pPr>
        <w:pageBreakBefore w:val="0"/>
        <w:widowControl w:val="0"/>
        <w:kinsoku/>
        <w:wordWrap/>
        <w:overflowPunct/>
        <w:topLinePunct w:val="0"/>
        <w:autoSpaceDE/>
        <w:autoSpaceDN/>
        <w:bidi w:val="0"/>
        <w:adjustRightInd/>
        <w:snapToGrid/>
        <w:spacing w:line="192" w:lineRule="auto"/>
        <w:ind w:firstLine="840" w:firstLineChars="3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lang w:eastAsia="zh-CN"/>
        </w:rPr>
        <w:t>0990-6283520</w:t>
      </w:r>
      <w:r>
        <w:rPr>
          <w:rFonts w:hint="eastAsia" w:ascii="仿宋" w:hAnsi="仿宋" w:eastAsia="仿宋"/>
          <w:color w:val="auto"/>
          <w:sz w:val="28"/>
          <w:szCs w:val="28"/>
          <w:highlight w:val="none"/>
          <w:u w:val="single"/>
        </w:rPr>
        <w:t>、0990-6882183</w:t>
      </w:r>
    </w:p>
    <w:p>
      <w:pPr>
        <w:pStyle w:val="25"/>
        <w:spacing w:before="0" w:beforeAutospacing="0" w:after="0" w:afterAutospacing="0" w:line="264" w:lineRule="auto"/>
        <w:jc w:val="center"/>
        <w:rPr>
          <w:rFonts w:hint="eastAsia" w:ascii="仿宋_GB2312" w:eastAsia="仿宋_GB2312" w:cs="Arial"/>
          <w:b/>
          <w:color w:val="auto"/>
          <w:sz w:val="28"/>
          <w:szCs w:val="28"/>
          <w:highlight w:val="none"/>
        </w:rPr>
      </w:pPr>
    </w:p>
    <w:p>
      <w:pPr>
        <w:pStyle w:val="75"/>
        <w:spacing w:line="500" w:lineRule="exact"/>
        <w:ind w:firstLine="0" w:firstLineChars="0"/>
        <w:rPr>
          <w:rFonts w:ascii="仿宋_GB2312" w:eastAsia="仿宋_GB2312" w:cs="Arial"/>
          <w:b/>
          <w:color w:val="auto"/>
          <w:sz w:val="28"/>
          <w:szCs w:val="28"/>
          <w:highlight w:val="none"/>
        </w:rPr>
      </w:pPr>
    </w:p>
    <w:p>
      <w:pPr>
        <w:pStyle w:val="75"/>
        <w:spacing w:line="500" w:lineRule="exact"/>
        <w:ind w:firstLine="0" w:firstLineChars="0"/>
        <w:rPr>
          <w:rFonts w:ascii="仿宋_GB2312" w:eastAsia="仿宋_GB2312" w:cs="Arial"/>
          <w:b/>
          <w:color w:val="auto"/>
          <w:sz w:val="28"/>
          <w:szCs w:val="28"/>
          <w:highlight w:val="none"/>
        </w:rPr>
      </w:pPr>
    </w:p>
    <w:p>
      <w:pPr>
        <w:spacing w:line="360" w:lineRule="auto"/>
        <w:jc w:val="center"/>
        <w:rPr>
          <w:rFonts w:hint="eastAsia" w:ascii="仿宋_GB2312" w:eastAsia="仿宋_GB2312" w:cs="Arial"/>
          <w:b/>
          <w:color w:val="auto"/>
          <w:sz w:val="28"/>
          <w:szCs w:val="28"/>
          <w:highlight w:val="none"/>
        </w:rPr>
      </w:pPr>
    </w:p>
    <w:p>
      <w:pPr>
        <w:spacing w:line="360" w:lineRule="auto"/>
        <w:jc w:val="center"/>
        <w:rPr>
          <w:rFonts w:ascii="仿宋_GB2312" w:eastAsia="仿宋_GB2312" w:cs="Arial"/>
          <w:b/>
          <w:color w:val="auto"/>
          <w:sz w:val="28"/>
          <w:szCs w:val="28"/>
          <w:highlight w:val="none"/>
        </w:rPr>
      </w:pPr>
      <w:r>
        <w:rPr>
          <w:rFonts w:hint="eastAsia" w:ascii="仿宋_GB2312" w:eastAsia="仿宋_GB2312" w:cs="Arial"/>
          <w:b/>
          <w:color w:val="auto"/>
          <w:sz w:val="28"/>
          <w:szCs w:val="28"/>
          <w:highlight w:val="none"/>
        </w:rPr>
        <w:t>第二章 供应商须知</w:t>
      </w:r>
    </w:p>
    <w:p>
      <w:pPr>
        <w:spacing w:line="360" w:lineRule="auto"/>
        <w:jc w:val="center"/>
        <w:rPr>
          <w:rFonts w:ascii="仿宋_GB2312" w:eastAsia="仿宋_GB2312" w:cs="Arial"/>
          <w:b/>
          <w:color w:val="auto"/>
          <w:sz w:val="28"/>
          <w:szCs w:val="28"/>
          <w:highlight w:val="none"/>
        </w:rPr>
      </w:pPr>
      <w:r>
        <w:rPr>
          <w:rFonts w:hint="eastAsia" w:ascii="仿宋_GB2312" w:eastAsia="仿宋_GB2312" w:cs="Arial"/>
          <w:b/>
          <w:color w:val="auto"/>
          <w:sz w:val="28"/>
          <w:szCs w:val="28"/>
          <w:highlight w:val="none"/>
        </w:rPr>
        <w:t>前附表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项号</w:t>
            </w:r>
          </w:p>
        </w:tc>
        <w:tc>
          <w:tcPr>
            <w:tcW w:w="9616"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1</w:t>
            </w:r>
          </w:p>
        </w:tc>
        <w:tc>
          <w:tcPr>
            <w:tcW w:w="9616" w:type="dxa"/>
            <w:vAlign w:val="center"/>
          </w:tcPr>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项目名称：克拉玛依区社区卫生服务机构采购大包装中药免煎颗粒、中草药项目</w:t>
            </w:r>
          </w:p>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竞争性磋商</w:t>
            </w:r>
            <w:r>
              <w:rPr>
                <w:rFonts w:hint="eastAsia" w:ascii="仿宋_GB2312" w:hAnsi="宋体" w:eastAsia="仿宋_GB2312"/>
                <w:color w:val="auto"/>
                <w:kern w:val="2"/>
                <w:sz w:val="24"/>
                <w:szCs w:val="24"/>
                <w:highlight w:val="none"/>
                <w:lang w:eastAsia="zh-CN"/>
              </w:rPr>
              <w:t>竞争性磋商文件</w:t>
            </w:r>
            <w:r>
              <w:rPr>
                <w:rFonts w:hint="eastAsia" w:ascii="仿宋_GB2312" w:hAnsi="宋体" w:eastAsia="仿宋_GB2312"/>
                <w:color w:val="auto"/>
                <w:kern w:val="2"/>
                <w:sz w:val="24"/>
                <w:szCs w:val="24"/>
                <w:highlight w:val="none"/>
              </w:rPr>
              <w:t>编号：KQWJW（ZC）2020-01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24" w:type="dxa"/>
            <w:vAlign w:val="center"/>
          </w:tcPr>
          <w:p>
            <w:pPr>
              <w:pStyle w:val="15"/>
              <w:spacing w:line="312" w:lineRule="auto"/>
              <w:jc w:val="center"/>
              <w:rPr>
                <w:rFonts w:ascii="仿宋_GB2312" w:eastAsia="仿宋_GB2312"/>
                <w:color w:val="auto"/>
                <w:kern w:val="2"/>
                <w:sz w:val="24"/>
                <w:szCs w:val="24"/>
                <w:highlight w:val="none"/>
              </w:rPr>
            </w:pPr>
            <w:r>
              <w:rPr>
                <w:rFonts w:hint="eastAsia" w:ascii="仿宋_GB2312" w:eastAsia="仿宋_GB2312"/>
                <w:color w:val="auto"/>
                <w:kern w:val="2"/>
                <w:sz w:val="24"/>
                <w:szCs w:val="24"/>
                <w:highlight w:val="none"/>
              </w:rPr>
              <w:t>2</w:t>
            </w:r>
          </w:p>
        </w:tc>
        <w:tc>
          <w:tcPr>
            <w:tcW w:w="9616" w:type="dxa"/>
          </w:tcPr>
          <w:p>
            <w:pPr>
              <w:pStyle w:val="15"/>
              <w:spacing w:line="312" w:lineRule="auto"/>
              <w:rPr>
                <w:rFonts w:ascii="仿宋_GB2312" w:eastAsia="仿宋_GB2312"/>
                <w:color w:val="auto"/>
                <w:kern w:val="2"/>
                <w:sz w:val="24"/>
                <w:szCs w:val="24"/>
                <w:highlight w:val="none"/>
              </w:rPr>
            </w:pPr>
            <w:r>
              <w:rPr>
                <w:rFonts w:hint="eastAsia" w:ascii="仿宋_GB2312" w:eastAsia="仿宋_GB2312"/>
                <w:color w:val="auto"/>
                <w:kern w:val="2"/>
                <w:sz w:val="24"/>
                <w:szCs w:val="24"/>
                <w:highlight w:val="none"/>
              </w:rPr>
              <w:t>采购人：克拉玛依市克拉玛依区卫生健康委员会</w:t>
            </w:r>
          </w:p>
          <w:p>
            <w:pPr>
              <w:pStyle w:val="15"/>
              <w:spacing w:line="312" w:lineRule="auto"/>
              <w:rPr>
                <w:rFonts w:ascii="仿宋_GB2312" w:eastAsia="仿宋_GB2312"/>
                <w:color w:val="auto"/>
                <w:kern w:val="2"/>
                <w:sz w:val="24"/>
                <w:szCs w:val="24"/>
                <w:highlight w:val="none"/>
              </w:rPr>
            </w:pPr>
            <w:r>
              <w:rPr>
                <w:rFonts w:hint="eastAsia" w:ascii="仿宋_GB2312" w:eastAsia="仿宋_GB2312"/>
                <w:color w:val="auto"/>
                <w:kern w:val="2"/>
                <w:sz w:val="24"/>
                <w:szCs w:val="24"/>
                <w:highlight w:val="none"/>
              </w:rPr>
              <w:t xml:space="preserve">地  址：克拉玛依市天山路42号           邮政编码：834000     </w:t>
            </w:r>
          </w:p>
          <w:p>
            <w:pPr>
              <w:pStyle w:val="15"/>
              <w:spacing w:line="312" w:lineRule="auto"/>
              <w:rPr>
                <w:rFonts w:ascii="仿宋_GB2312" w:eastAsia="仿宋_GB2312"/>
                <w:color w:val="auto"/>
                <w:kern w:val="2"/>
                <w:sz w:val="24"/>
                <w:szCs w:val="24"/>
                <w:highlight w:val="none"/>
              </w:rPr>
            </w:pPr>
            <w:r>
              <w:rPr>
                <w:rFonts w:hint="eastAsia" w:ascii="仿宋_GB2312" w:eastAsia="仿宋_GB2312"/>
                <w:color w:val="auto"/>
                <w:kern w:val="2"/>
                <w:sz w:val="24"/>
                <w:szCs w:val="24"/>
                <w:highlight w:val="none"/>
              </w:rPr>
              <w:t>联系人：潘昕                            联系电话：0990-6283520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24" w:type="dxa"/>
            <w:vAlign w:val="center"/>
          </w:tcPr>
          <w:p>
            <w:pPr>
              <w:pStyle w:val="15"/>
              <w:spacing w:line="420" w:lineRule="exact"/>
              <w:jc w:val="center"/>
              <w:rPr>
                <w:rFonts w:ascii="仿宋_GB2312" w:hAnsi="宋体" w:eastAsia="仿宋_GB2312"/>
                <w:color w:val="auto"/>
                <w:kern w:val="2"/>
                <w:sz w:val="24"/>
                <w:szCs w:val="24"/>
                <w:highlight w:val="none"/>
              </w:rPr>
            </w:pPr>
            <w:r>
              <w:rPr>
                <w:rFonts w:hint="eastAsia" w:ascii="仿宋_GB2312" w:hAnsi="宋体" w:eastAsia="仿宋_GB2312"/>
                <w:color w:val="auto"/>
                <w:sz w:val="24"/>
                <w:szCs w:val="24"/>
                <w:highlight w:val="none"/>
              </w:rPr>
              <w:t>3</w:t>
            </w:r>
          </w:p>
        </w:tc>
        <w:tc>
          <w:tcPr>
            <w:tcW w:w="9616" w:type="dxa"/>
            <w:vAlign w:val="center"/>
          </w:tcPr>
          <w:p>
            <w:pPr>
              <w:pStyle w:val="15"/>
              <w:spacing w:line="42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采购代理机构：新疆天麒工程项目管理咨询有限责任公司</w:t>
            </w:r>
          </w:p>
          <w:p>
            <w:pPr>
              <w:pStyle w:val="15"/>
              <w:spacing w:line="42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地址：克拉玛依市通讯路44号     邮政编码：834000</w:t>
            </w:r>
          </w:p>
          <w:p>
            <w:pPr>
              <w:pStyle w:val="15"/>
              <w:spacing w:line="42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开户行：中国工商银行股份有限公司克拉玛依石油分行</w:t>
            </w:r>
          </w:p>
          <w:p>
            <w:pPr>
              <w:pStyle w:val="15"/>
              <w:spacing w:line="42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行号：102882000037</w:t>
            </w:r>
          </w:p>
          <w:p>
            <w:pPr>
              <w:pStyle w:val="15"/>
              <w:spacing w:line="42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银行账号：3003020209024539038</w:t>
            </w:r>
          </w:p>
          <w:p>
            <w:pPr>
              <w:pStyle w:val="15"/>
              <w:spacing w:line="420" w:lineRule="exact"/>
              <w:jc w:val="left"/>
              <w:rPr>
                <w:rFonts w:ascii="仿宋_GB2312" w:hAnsi="宋体" w:eastAsia="仿宋_GB2312"/>
                <w:color w:val="auto"/>
                <w:kern w:val="2"/>
                <w:sz w:val="24"/>
                <w:szCs w:val="24"/>
                <w:highlight w:val="none"/>
              </w:rPr>
            </w:pPr>
            <w:r>
              <w:rPr>
                <w:rFonts w:hint="eastAsia" w:ascii="仿宋_GB2312" w:hAnsi="宋体" w:eastAsia="仿宋_GB2312"/>
                <w:color w:val="auto"/>
                <w:sz w:val="24"/>
                <w:szCs w:val="24"/>
                <w:highlight w:val="none"/>
              </w:rPr>
              <w:t>联系人：李娟   联系电话：0990-6882183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4</w:t>
            </w:r>
          </w:p>
        </w:tc>
        <w:tc>
          <w:tcPr>
            <w:tcW w:w="9616" w:type="dxa"/>
            <w:vAlign w:val="center"/>
          </w:tcPr>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响应文件有效期：递交响应文件截止之日起60天（日历日）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5</w:t>
            </w:r>
          </w:p>
        </w:tc>
        <w:tc>
          <w:tcPr>
            <w:tcW w:w="9616" w:type="dxa"/>
            <w:vAlign w:val="center"/>
          </w:tcPr>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响应文件的份数：</w:t>
            </w:r>
            <w:r>
              <w:rPr>
                <w:rFonts w:hint="eastAsia" w:ascii="仿宋_GB2312" w:hAnsi="宋体" w:eastAsia="仿宋_GB2312"/>
                <w:b/>
                <w:color w:val="auto"/>
                <w:kern w:val="2"/>
                <w:sz w:val="24"/>
                <w:szCs w:val="24"/>
                <w:highlight w:val="none"/>
              </w:rPr>
              <w:t>一式柒份，其中正本壹份，副本陆份。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6</w:t>
            </w:r>
          </w:p>
        </w:tc>
        <w:tc>
          <w:tcPr>
            <w:tcW w:w="9616" w:type="dxa"/>
            <w:vAlign w:val="center"/>
          </w:tcPr>
          <w:p>
            <w:pPr>
              <w:pStyle w:val="7"/>
              <w:spacing w:line="312" w:lineRule="auto"/>
              <w:ind w:firstLine="0"/>
              <w:jc w:val="both"/>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采购人不统一组织考察，各供应商自行对采购项目进行考察。</w:t>
            </w:r>
          </w:p>
          <w:p>
            <w:pPr>
              <w:spacing w:line="312"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供应商如有疑问，于2020年</w:t>
            </w:r>
            <w:r>
              <w:rPr>
                <w:rFonts w:hint="eastAsia" w:ascii="仿宋_GB2312" w:hAnsi="宋体" w:eastAsia="仿宋_GB2312"/>
                <w:color w:val="auto"/>
                <w:sz w:val="24"/>
                <w:highlight w:val="none"/>
                <w:lang w:val="en-US" w:eastAsia="zh-CN"/>
              </w:rPr>
              <w:t>9</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16</w:t>
            </w:r>
            <w:r>
              <w:rPr>
                <w:rFonts w:hint="eastAsia" w:ascii="仿宋_GB2312" w:hAnsi="宋体" w:eastAsia="仿宋_GB2312"/>
                <w:color w:val="auto"/>
                <w:sz w:val="24"/>
                <w:highlight w:val="none"/>
              </w:rPr>
              <w:t>日19：00前将有关疑问以扫描件形式（必须加盖供应商公章）发送到邮箱： 617122271@qq.com ，采购人将对所提疑问以书面形式发至领取竞争性磋商文件的每位供应商，超过此时间所提疑问采购人或采购代理机构均不予答复。</w:t>
            </w:r>
          </w:p>
          <w:p>
            <w:pPr>
              <w:spacing w:line="312"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书面提问传真截止时间：2020年</w:t>
            </w:r>
            <w:r>
              <w:rPr>
                <w:rFonts w:hint="eastAsia" w:ascii="仿宋_GB2312" w:hAnsi="宋体" w:eastAsia="仿宋_GB2312"/>
                <w:color w:val="auto"/>
                <w:sz w:val="24"/>
                <w:highlight w:val="none"/>
                <w:lang w:val="en-US" w:eastAsia="zh-CN"/>
              </w:rPr>
              <w:t>9</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16</w:t>
            </w:r>
            <w:r>
              <w:rPr>
                <w:rFonts w:hint="eastAsia" w:ascii="仿宋_GB2312" w:hAnsi="宋体" w:eastAsia="仿宋_GB2312"/>
                <w:color w:val="auto"/>
                <w:sz w:val="24"/>
                <w:highlight w:val="none"/>
              </w:rPr>
              <w:t>日19：00</w:t>
            </w:r>
          </w:p>
          <w:p>
            <w:pPr>
              <w:spacing w:line="312"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电话： 0990－6882183   联系人：李娟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7</w:t>
            </w:r>
          </w:p>
        </w:tc>
        <w:tc>
          <w:tcPr>
            <w:tcW w:w="9616" w:type="dxa"/>
            <w:vAlign w:val="center"/>
          </w:tcPr>
          <w:p>
            <w:pPr>
              <w:pStyle w:val="15"/>
              <w:spacing w:line="312" w:lineRule="auto"/>
              <w:rPr>
                <w:rFonts w:hint="default" w:ascii="仿宋_GB2312" w:hAnsi="宋体" w:eastAsia="仿宋_GB2312"/>
                <w:color w:val="auto"/>
                <w:kern w:val="2"/>
                <w:sz w:val="24"/>
                <w:szCs w:val="24"/>
                <w:highlight w:val="none"/>
                <w:lang w:val="en-US" w:eastAsia="zh-CN"/>
              </w:rPr>
            </w:pPr>
            <w:r>
              <w:rPr>
                <w:rFonts w:hint="eastAsia" w:ascii="仿宋_GB2312" w:hAnsi="宋体" w:eastAsia="仿宋_GB2312"/>
                <w:color w:val="auto"/>
                <w:kern w:val="2"/>
                <w:sz w:val="24"/>
                <w:szCs w:val="24"/>
                <w:highlight w:val="none"/>
              </w:rPr>
              <w:t>递交响应文件截止时间：2020年</w:t>
            </w:r>
            <w:r>
              <w:rPr>
                <w:rFonts w:hint="eastAsia" w:ascii="仿宋_GB2312" w:hAnsi="宋体" w:eastAsia="仿宋_GB2312"/>
                <w:color w:val="auto"/>
                <w:kern w:val="2"/>
                <w:sz w:val="24"/>
                <w:szCs w:val="24"/>
                <w:highlight w:val="none"/>
                <w:lang w:val="en-US" w:eastAsia="zh-CN"/>
              </w:rPr>
              <w:t>9</w:t>
            </w:r>
            <w:r>
              <w:rPr>
                <w:rFonts w:hint="eastAsia" w:ascii="仿宋_GB2312" w:hAnsi="宋体" w:eastAsia="仿宋_GB2312"/>
                <w:color w:val="auto"/>
                <w:kern w:val="2"/>
                <w:sz w:val="24"/>
                <w:szCs w:val="24"/>
                <w:highlight w:val="none"/>
              </w:rPr>
              <w:t>月</w:t>
            </w:r>
            <w:r>
              <w:rPr>
                <w:rFonts w:hint="eastAsia" w:ascii="仿宋_GB2312" w:hAnsi="宋体" w:eastAsia="仿宋_GB2312"/>
                <w:color w:val="auto"/>
                <w:kern w:val="2"/>
                <w:sz w:val="24"/>
                <w:szCs w:val="24"/>
                <w:highlight w:val="none"/>
                <w:lang w:val="en-US" w:eastAsia="zh-CN"/>
              </w:rPr>
              <w:t>22</w:t>
            </w:r>
            <w:r>
              <w:rPr>
                <w:rFonts w:hint="eastAsia" w:ascii="仿宋_GB2312" w:hAnsi="宋体" w:eastAsia="仿宋_GB2312"/>
                <w:color w:val="auto"/>
                <w:kern w:val="2"/>
                <w:sz w:val="24"/>
                <w:szCs w:val="24"/>
                <w:highlight w:val="none"/>
              </w:rPr>
              <w:t>日1</w:t>
            </w:r>
            <w:r>
              <w:rPr>
                <w:rFonts w:hint="eastAsia" w:ascii="仿宋_GB2312" w:hAnsi="宋体" w:eastAsia="仿宋_GB2312"/>
                <w:color w:val="auto"/>
                <w:kern w:val="2"/>
                <w:sz w:val="24"/>
                <w:szCs w:val="24"/>
                <w:highlight w:val="none"/>
                <w:lang w:val="en-US" w:eastAsia="zh-CN"/>
              </w:rPr>
              <w:t>6</w:t>
            </w:r>
            <w:r>
              <w:rPr>
                <w:rFonts w:hint="eastAsia" w:ascii="仿宋_GB2312" w:hAnsi="宋体" w:eastAsia="仿宋_GB2312"/>
                <w:color w:val="auto"/>
                <w:kern w:val="2"/>
                <w:sz w:val="24"/>
                <w:szCs w:val="24"/>
                <w:highlight w:val="none"/>
              </w:rPr>
              <w:t>:</w:t>
            </w:r>
            <w:r>
              <w:rPr>
                <w:rFonts w:hint="eastAsia" w:ascii="仿宋_GB2312" w:hAnsi="宋体" w:eastAsia="仿宋_GB2312"/>
                <w:color w:val="auto"/>
                <w:kern w:val="2"/>
                <w:sz w:val="24"/>
                <w:szCs w:val="24"/>
                <w:highlight w:val="none"/>
                <w:lang w:val="en-US" w:eastAsia="zh-CN"/>
              </w:rPr>
              <w:t>30</w:t>
            </w:r>
          </w:p>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递交响应文件时间：2020年</w:t>
            </w:r>
            <w:r>
              <w:rPr>
                <w:rFonts w:hint="eastAsia" w:ascii="仿宋_GB2312" w:hAnsi="宋体" w:eastAsia="仿宋_GB2312"/>
                <w:color w:val="auto"/>
                <w:kern w:val="2"/>
                <w:sz w:val="24"/>
                <w:szCs w:val="24"/>
                <w:highlight w:val="none"/>
                <w:lang w:val="en-US" w:eastAsia="zh-CN"/>
              </w:rPr>
              <w:t>9</w:t>
            </w:r>
            <w:r>
              <w:rPr>
                <w:rFonts w:hint="eastAsia" w:ascii="仿宋_GB2312" w:hAnsi="宋体" w:eastAsia="仿宋_GB2312"/>
                <w:color w:val="auto"/>
                <w:kern w:val="2"/>
                <w:sz w:val="24"/>
                <w:szCs w:val="24"/>
                <w:highlight w:val="none"/>
              </w:rPr>
              <w:t>月</w:t>
            </w:r>
            <w:r>
              <w:rPr>
                <w:rFonts w:hint="eastAsia" w:ascii="仿宋_GB2312" w:hAnsi="宋体" w:eastAsia="仿宋_GB2312"/>
                <w:color w:val="auto"/>
                <w:kern w:val="2"/>
                <w:sz w:val="24"/>
                <w:szCs w:val="24"/>
                <w:highlight w:val="none"/>
                <w:lang w:val="en-US" w:eastAsia="zh-CN"/>
              </w:rPr>
              <w:t>22</w:t>
            </w:r>
            <w:r>
              <w:rPr>
                <w:rFonts w:hint="eastAsia" w:ascii="仿宋_GB2312" w:hAnsi="宋体" w:eastAsia="仿宋_GB2312"/>
                <w:color w:val="auto"/>
                <w:kern w:val="2"/>
                <w:sz w:val="24"/>
                <w:szCs w:val="24"/>
                <w:highlight w:val="none"/>
              </w:rPr>
              <w:t>日1</w:t>
            </w:r>
            <w:r>
              <w:rPr>
                <w:rFonts w:hint="eastAsia" w:ascii="仿宋_GB2312" w:hAnsi="宋体" w:eastAsia="仿宋_GB2312"/>
                <w:color w:val="auto"/>
                <w:kern w:val="2"/>
                <w:sz w:val="24"/>
                <w:szCs w:val="24"/>
                <w:highlight w:val="none"/>
                <w:lang w:val="en-US" w:eastAsia="zh-CN"/>
              </w:rPr>
              <w:t>6</w:t>
            </w:r>
            <w:r>
              <w:rPr>
                <w:rFonts w:hint="eastAsia" w:ascii="仿宋_GB2312" w:hAnsi="宋体" w:eastAsia="仿宋_GB2312"/>
                <w:color w:val="auto"/>
                <w:kern w:val="2"/>
                <w:sz w:val="24"/>
                <w:szCs w:val="24"/>
                <w:highlight w:val="none"/>
              </w:rPr>
              <w:t>：</w:t>
            </w:r>
            <w:r>
              <w:rPr>
                <w:rFonts w:hint="eastAsia" w:ascii="仿宋_GB2312" w:hAnsi="宋体" w:eastAsia="仿宋_GB2312"/>
                <w:color w:val="auto"/>
                <w:kern w:val="2"/>
                <w:sz w:val="24"/>
                <w:szCs w:val="24"/>
                <w:highlight w:val="none"/>
                <w:lang w:val="en-US" w:eastAsia="zh-CN"/>
              </w:rPr>
              <w:t>0</w:t>
            </w:r>
            <w:r>
              <w:rPr>
                <w:rFonts w:hint="eastAsia" w:ascii="仿宋_GB2312" w:hAnsi="宋体" w:eastAsia="仿宋_GB2312"/>
                <w:color w:val="auto"/>
                <w:kern w:val="2"/>
                <w:sz w:val="24"/>
                <w:szCs w:val="24"/>
                <w:highlight w:val="none"/>
              </w:rPr>
              <w:t>0 ～1</w:t>
            </w:r>
            <w:r>
              <w:rPr>
                <w:rFonts w:hint="eastAsia" w:ascii="仿宋_GB2312" w:hAnsi="宋体" w:eastAsia="仿宋_GB2312"/>
                <w:color w:val="auto"/>
                <w:kern w:val="2"/>
                <w:sz w:val="24"/>
                <w:szCs w:val="24"/>
                <w:highlight w:val="none"/>
                <w:lang w:val="en-US" w:eastAsia="zh-CN"/>
              </w:rPr>
              <w:t>6</w:t>
            </w:r>
            <w:r>
              <w:rPr>
                <w:rFonts w:hint="eastAsia" w:ascii="仿宋_GB2312" w:hAnsi="宋体" w:eastAsia="仿宋_GB2312"/>
                <w:color w:val="auto"/>
                <w:kern w:val="2"/>
                <w:sz w:val="24"/>
                <w:szCs w:val="24"/>
                <w:highlight w:val="none"/>
              </w:rPr>
              <w:t>：</w:t>
            </w:r>
            <w:r>
              <w:rPr>
                <w:rFonts w:hint="eastAsia" w:ascii="仿宋_GB2312" w:hAnsi="宋体" w:eastAsia="仿宋_GB2312"/>
                <w:color w:val="auto"/>
                <w:kern w:val="2"/>
                <w:sz w:val="24"/>
                <w:szCs w:val="24"/>
                <w:highlight w:val="none"/>
                <w:lang w:val="en-US" w:eastAsia="zh-CN"/>
              </w:rPr>
              <w:t>30</w:t>
            </w:r>
            <w:r>
              <w:rPr>
                <w:rFonts w:hint="eastAsia" w:ascii="仿宋_GB2312" w:hAnsi="宋体" w:eastAsia="仿宋_GB2312"/>
                <w:color w:val="auto"/>
                <w:kern w:val="2"/>
                <w:sz w:val="24"/>
                <w:szCs w:val="24"/>
                <w:highlight w:val="none"/>
              </w:rPr>
              <w:t xml:space="preserve"> </w:t>
            </w:r>
          </w:p>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 xml:space="preserve">递交响应文件地点：新疆天麒工程项目管理咨询有限责任公司一楼评标室（克拉玛依市通讯路44号）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8</w:t>
            </w:r>
          </w:p>
        </w:tc>
        <w:tc>
          <w:tcPr>
            <w:tcW w:w="9616" w:type="dxa"/>
            <w:vAlign w:val="center"/>
          </w:tcPr>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磋商时间：2020年</w:t>
            </w:r>
            <w:r>
              <w:rPr>
                <w:rFonts w:hint="eastAsia" w:ascii="仿宋_GB2312" w:hAnsi="宋体" w:eastAsia="仿宋_GB2312"/>
                <w:color w:val="auto"/>
                <w:kern w:val="2"/>
                <w:sz w:val="24"/>
                <w:szCs w:val="24"/>
                <w:highlight w:val="none"/>
                <w:lang w:val="en-US" w:eastAsia="zh-CN"/>
              </w:rPr>
              <w:t>9</w:t>
            </w:r>
            <w:r>
              <w:rPr>
                <w:rFonts w:hint="eastAsia" w:ascii="仿宋_GB2312" w:hAnsi="宋体" w:eastAsia="仿宋_GB2312"/>
                <w:color w:val="auto"/>
                <w:kern w:val="2"/>
                <w:sz w:val="24"/>
                <w:szCs w:val="24"/>
                <w:highlight w:val="none"/>
              </w:rPr>
              <w:t>月</w:t>
            </w:r>
            <w:r>
              <w:rPr>
                <w:rFonts w:hint="eastAsia" w:ascii="仿宋_GB2312" w:hAnsi="宋体" w:eastAsia="仿宋_GB2312"/>
                <w:color w:val="auto"/>
                <w:kern w:val="2"/>
                <w:sz w:val="24"/>
                <w:szCs w:val="24"/>
                <w:highlight w:val="none"/>
                <w:lang w:val="en-US" w:eastAsia="zh-CN"/>
              </w:rPr>
              <w:t>22</w:t>
            </w:r>
            <w:r>
              <w:rPr>
                <w:rFonts w:hint="eastAsia" w:ascii="仿宋_GB2312" w:hAnsi="宋体" w:eastAsia="仿宋_GB2312"/>
                <w:color w:val="auto"/>
                <w:kern w:val="2"/>
                <w:sz w:val="24"/>
                <w:szCs w:val="24"/>
                <w:highlight w:val="none"/>
              </w:rPr>
              <w:t>日</w:t>
            </w:r>
            <w:r>
              <w:rPr>
                <w:rFonts w:hint="eastAsia" w:ascii="仿宋_GB2312" w:hAnsi="宋体" w:eastAsia="仿宋_GB2312"/>
                <w:color w:val="auto"/>
                <w:kern w:val="2"/>
                <w:sz w:val="24"/>
                <w:szCs w:val="24"/>
                <w:highlight w:val="none"/>
                <w:lang w:val="en-US" w:eastAsia="zh-CN"/>
              </w:rPr>
              <w:t>16</w:t>
            </w:r>
            <w:r>
              <w:rPr>
                <w:rFonts w:hint="eastAsia" w:ascii="仿宋_GB2312" w:hAnsi="宋体" w:eastAsia="仿宋_GB2312"/>
                <w:color w:val="auto"/>
                <w:kern w:val="2"/>
                <w:sz w:val="24"/>
                <w:szCs w:val="24"/>
                <w:highlight w:val="none"/>
              </w:rPr>
              <w:t>：</w:t>
            </w:r>
            <w:r>
              <w:rPr>
                <w:rFonts w:hint="eastAsia" w:ascii="仿宋_GB2312" w:hAnsi="宋体" w:eastAsia="仿宋_GB2312"/>
                <w:color w:val="auto"/>
                <w:kern w:val="2"/>
                <w:sz w:val="24"/>
                <w:szCs w:val="24"/>
                <w:highlight w:val="none"/>
                <w:lang w:val="en-US" w:eastAsia="zh-CN"/>
              </w:rPr>
              <w:t>30</w:t>
            </w:r>
            <w:r>
              <w:rPr>
                <w:rFonts w:hint="eastAsia" w:ascii="仿宋_GB2312" w:hAnsi="宋体" w:eastAsia="仿宋_GB2312"/>
                <w:color w:val="auto"/>
                <w:kern w:val="2"/>
                <w:sz w:val="24"/>
                <w:szCs w:val="24"/>
                <w:highlight w:val="none"/>
              </w:rPr>
              <w:t xml:space="preserve">  </w:t>
            </w:r>
          </w:p>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 xml:space="preserve">磋商地点：新疆天麒工程项目管理咨询有限责任公司一楼评标室（克拉玛依市通讯路44号）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pPr>
              <w:pStyle w:val="15"/>
              <w:spacing w:line="312" w:lineRule="auto"/>
              <w:jc w:val="center"/>
              <w:rPr>
                <w:rFonts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9</w:t>
            </w:r>
          </w:p>
        </w:tc>
        <w:tc>
          <w:tcPr>
            <w:tcW w:w="9616" w:type="dxa"/>
            <w:vAlign w:val="center"/>
          </w:tcPr>
          <w:p>
            <w:pPr>
              <w:pStyle w:val="15"/>
              <w:spacing w:line="312" w:lineRule="auto"/>
              <w:rPr>
                <w:rFonts w:ascii="仿宋_GB2312" w:hAnsi="宋体" w:eastAsia="仿宋_GB2312"/>
                <w:color w:val="auto"/>
                <w:kern w:val="2"/>
                <w:sz w:val="24"/>
                <w:szCs w:val="24"/>
                <w:highlight w:val="none"/>
              </w:rPr>
            </w:pPr>
            <w:r>
              <w:rPr>
                <w:rFonts w:hint="eastAsia" w:ascii="仿宋_GB2312" w:hAnsi="宋体" w:eastAsia="仿宋_GB2312"/>
                <w:b/>
                <w:color w:val="auto"/>
                <w:kern w:val="2"/>
                <w:sz w:val="24"/>
                <w:szCs w:val="24"/>
                <w:highlight w:val="none"/>
              </w:rPr>
              <w:t>本项目无采购项目预算。</w:t>
            </w:r>
          </w:p>
        </w:tc>
      </w:tr>
    </w:tbl>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b/>
          <w:color w:val="auto"/>
          <w:sz w:val="28"/>
          <w:szCs w:val="28"/>
          <w:highlight w:val="none"/>
        </w:rPr>
      </w:pPr>
      <w:r>
        <w:rPr>
          <w:rFonts w:hint="eastAsia" w:ascii="仿宋_GB2312" w:eastAsia="仿宋_GB2312"/>
          <w:color w:val="auto"/>
          <w:sz w:val="28"/>
          <w:szCs w:val="28"/>
          <w:highlight w:val="none"/>
        </w:rPr>
        <w:t>A</w:t>
      </w:r>
      <w:bookmarkEnd w:id="0"/>
      <w:bookmarkStart w:id="43" w:name="_Toc154996576"/>
      <w:r>
        <w:rPr>
          <w:rFonts w:hint="eastAsia" w:ascii="仿宋_GB2312" w:eastAsia="仿宋_GB2312"/>
          <w:b/>
          <w:color w:val="auto"/>
          <w:sz w:val="28"/>
          <w:szCs w:val="28"/>
          <w:highlight w:val="none"/>
        </w:rPr>
        <w:t>说明</w:t>
      </w:r>
    </w:p>
    <w:p>
      <w:pPr>
        <w:pStyle w:val="15"/>
        <w:spacing w:line="360" w:lineRule="auto"/>
        <w:ind w:firstLine="480" w:firstLineChars="200"/>
        <w:outlineLvl w:val="1"/>
        <w:rPr>
          <w:rFonts w:ascii="仿宋_GB2312" w:eastAsia="仿宋_GB2312"/>
          <w:color w:val="auto"/>
          <w:sz w:val="24"/>
          <w:highlight w:val="none"/>
        </w:rPr>
      </w:pPr>
      <w:bookmarkStart w:id="44" w:name="_Toc243907571"/>
      <w:bookmarkStart w:id="45" w:name="_Toc233274811"/>
      <w:bookmarkStart w:id="46" w:name="_Toc243906311"/>
      <w:bookmarkStart w:id="47" w:name="_Toc246216180"/>
      <w:r>
        <w:rPr>
          <w:rFonts w:hint="eastAsia" w:ascii="仿宋_GB2312" w:eastAsia="仿宋_GB2312"/>
          <w:color w:val="auto"/>
          <w:sz w:val="24"/>
          <w:highlight w:val="none"/>
        </w:rPr>
        <w:t>1、适用范围</w:t>
      </w:r>
      <w:bookmarkEnd w:id="44"/>
      <w:bookmarkEnd w:id="45"/>
      <w:bookmarkEnd w:id="46"/>
      <w:bookmarkEnd w:id="47"/>
      <w:r>
        <w:rPr>
          <w:rFonts w:hint="eastAsia" w:ascii="仿宋_GB2312" w:eastAsia="仿宋_GB2312"/>
          <w:color w:val="auto"/>
          <w:sz w:val="24"/>
          <w:highlight w:val="none"/>
        </w:rPr>
        <w:t>及磋商依据</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1.1 适用范围</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本</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仅适用克拉玛依区社区卫生服务机构采购大包装中药免煎颗粒、中草药以及建设中心饮片药房的采购</w:t>
      </w:r>
      <w:r>
        <w:rPr>
          <w:rFonts w:hint="eastAsia" w:ascii="仿宋_GB2312" w:eastAsia="仿宋_GB2312"/>
          <w:color w:val="auto"/>
          <w:sz w:val="24"/>
          <w:szCs w:val="24"/>
          <w:highlight w:val="none"/>
        </w:rPr>
        <w:t>。</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1.2</w:t>
      </w:r>
      <w:r>
        <w:rPr>
          <w:rFonts w:hint="eastAsia" w:ascii="仿宋_GB2312" w:hAnsi="宋体" w:eastAsia="仿宋_GB2312"/>
          <w:color w:val="auto"/>
          <w:sz w:val="24"/>
          <w:highlight w:val="none"/>
        </w:rPr>
        <w:t>磋商依据</w:t>
      </w:r>
    </w:p>
    <w:p>
      <w:pPr>
        <w:widowControl/>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根据《中华人民共和国政府采购法》、《中华人民共和国政府采购实施条例》、《</w:t>
      </w:r>
      <w:r>
        <w:rPr>
          <w:rFonts w:ascii="仿宋_GB2312" w:eastAsia="仿宋_GB2312"/>
          <w:color w:val="auto"/>
          <w:sz w:val="24"/>
          <w:highlight w:val="none"/>
        </w:rPr>
        <w:t>财政部关于印发</w:t>
      </w:r>
      <w:r>
        <w:rPr>
          <w:rFonts w:hint="eastAsia" w:ascii="仿宋_GB2312" w:eastAsia="仿宋_GB2312"/>
          <w:color w:val="auto"/>
          <w:sz w:val="24"/>
          <w:highlight w:val="none"/>
        </w:rPr>
        <w:t>〈</w:t>
      </w:r>
      <w:r>
        <w:rPr>
          <w:rFonts w:ascii="仿宋_GB2312" w:eastAsia="仿宋_GB2312"/>
          <w:color w:val="auto"/>
          <w:sz w:val="24"/>
          <w:highlight w:val="none"/>
        </w:rPr>
        <w:t>政府采购竞争性磋商</w:t>
      </w:r>
      <w:r>
        <w:rPr>
          <w:rFonts w:hint="eastAsia" w:ascii="仿宋_GB2312" w:eastAsia="仿宋_GB2312"/>
          <w:color w:val="auto"/>
          <w:sz w:val="24"/>
          <w:highlight w:val="none"/>
        </w:rPr>
        <w:t>采购方式</w:t>
      </w:r>
      <w:r>
        <w:rPr>
          <w:rFonts w:ascii="仿宋_GB2312" w:eastAsia="仿宋_GB2312"/>
          <w:color w:val="auto"/>
          <w:sz w:val="24"/>
          <w:highlight w:val="none"/>
        </w:rPr>
        <w:t>管理暂行办法</w:t>
      </w:r>
      <w:r>
        <w:rPr>
          <w:rFonts w:hint="eastAsia" w:ascii="仿宋_GB2312" w:eastAsia="仿宋_GB2312"/>
          <w:color w:val="auto"/>
          <w:sz w:val="24"/>
          <w:highlight w:val="none"/>
        </w:rPr>
        <w:t>〉</w:t>
      </w:r>
      <w:r>
        <w:rPr>
          <w:rFonts w:ascii="仿宋_GB2312" w:eastAsia="仿宋_GB2312"/>
          <w:color w:val="auto"/>
          <w:sz w:val="24"/>
          <w:highlight w:val="none"/>
        </w:rPr>
        <w:t>的通知</w:t>
      </w:r>
      <w:r>
        <w:rPr>
          <w:rFonts w:hint="eastAsia" w:ascii="仿宋_GB2312" w:eastAsia="仿宋_GB2312"/>
          <w:color w:val="auto"/>
          <w:sz w:val="24"/>
          <w:highlight w:val="none"/>
        </w:rPr>
        <w:t>》（</w:t>
      </w:r>
      <w:r>
        <w:rPr>
          <w:rFonts w:ascii="仿宋_GB2312" w:eastAsia="仿宋_GB2312"/>
          <w:color w:val="auto"/>
          <w:sz w:val="24"/>
          <w:highlight w:val="none"/>
        </w:rPr>
        <w:t>财库〔2014〕214号</w:t>
      </w:r>
      <w:r>
        <w:rPr>
          <w:rFonts w:hint="eastAsia" w:ascii="仿宋_GB2312" w:eastAsia="仿宋_GB2312"/>
          <w:color w:val="auto"/>
          <w:sz w:val="24"/>
          <w:highlight w:val="none"/>
        </w:rPr>
        <w:t>）及有关法律、法规。</w:t>
      </w:r>
    </w:p>
    <w:p>
      <w:pPr>
        <w:pStyle w:val="15"/>
        <w:spacing w:line="360" w:lineRule="auto"/>
        <w:ind w:firstLine="480" w:firstLineChars="200"/>
        <w:outlineLvl w:val="1"/>
        <w:rPr>
          <w:rFonts w:ascii="仿宋_GB2312" w:eastAsia="仿宋_GB2312"/>
          <w:color w:val="auto"/>
          <w:sz w:val="24"/>
          <w:highlight w:val="none"/>
        </w:rPr>
      </w:pPr>
      <w:bookmarkStart w:id="48" w:name="_Toc233274812"/>
      <w:bookmarkStart w:id="49" w:name="_Toc243907572"/>
      <w:bookmarkStart w:id="50" w:name="_Toc246216181"/>
      <w:bookmarkStart w:id="51" w:name="_Toc243906312"/>
      <w:r>
        <w:rPr>
          <w:rFonts w:hint="eastAsia" w:ascii="仿宋_GB2312" w:eastAsia="仿宋_GB2312"/>
          <w:color w:val="auto"/>
          <w:sz w:val="24"/>
          <w:highlight w:val="none"/>
        </w:rPr>
        <w:t>2、定义</w:t>
      </w:r>
      <w:bookmarkEnd w:id="48"/>
      <w:bookmarkEnd w:id="49"/>
      <w:bookmarkEnd w:id="50"/>
      <w:bookmarkEnd w:id="51"/>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2.1 “采购人”系指克拉玛依市克拉玛依区卫生健康委员会，在签订和执行合同阶段称“甲方”。</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2.2 </w:t>
      </w:r>
      <w:r>
        <w:rPr>
          <w:rFonts w:hint="eastAsia" w:ascii="仿宋_GB2312" w:eastAsia="仿宋_GB2312"/>
          <w:color w:val="auto"/>
          <w:sz w:val="24"/>
          <w:szCs w:val="24"/>
          <w:highlight w:val="none"/>
        </w:rPr>
        <w:t>“采购代理机构”</w:t>
      </w:r>
      <w:r>
        <w:rPr>
          <w:rFonts w:hint="eastAsia" w:ascii="仿宋_GB2312" w:eastAsia="仿宋_GB2312"/>
          <w:color w:val="auto"/>
          <w:sz w:val="24"/>
          <w:highlight w:val="none"/>
        </w:rPr>
        <w:t>系指新疆天麒工程项目管理咨询有限责任公司。</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2.3 “供应商”系指具备资格并响应</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要求提交响应文件的法人，供应商若成交，在签订和执行合同阶段称“乙方”。</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 “</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”系指由采购人向供应商发出的本采购项目的全部文件（包括修改文件、项目采购需求、补充文件、答疑纪要、各种通知和附件等）。</w:t>
      </w:r>
    </w:p>
    <w:p>
      <w:pPr>
        <w:pStyle w:val="15"/>
        <w:spacing w:line="360" w:lineRule="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2.5 “响应文件”系指供应商根据</w:t>
      </w:r>
      <w:r>
        <w:rPr>
          <w:rFonts w:hint="eastAsia" w:ascii="仿宋_GB2312" w:eastAsia="仿宋_GB2312"/>
          <w:color w:val="auto"/>
          <w:sz w:val="24"/>
          <w:szCs w:val="24"/>
          <w:highlight w:val="none"/>
          <w:lang w:eastAsia="zh-CN"/>
        </w:rPr>
        <w:t>竞争性磋商文件</w:t>
      </w:r>
      <w:r>
        <w:rPr>
          <w:rFonts w:hint="eastAsia" w:ascii="仿宋_GB2312" w:eastAsia="仿宋_GB2312"/>
          <w:color w:val="auto"/>
          <w:sz w:val="24"/>
          <w:szCs w:val="24"/>
          <w:highlight w:val="none"/>
        </w:rPr>
        <w:t>提交的所有文件。</w:t>
      </w:r>
    </w:p>
    <w:p>
      <w:pPr>
        <w:spacing w:line="360" w:lineRule="auto"/>
        <w:ind w:firstLine="480" w:firstLineChars="200"/>
        <w:rPr>
          <w:rFonts w:ascii="仿宋_GB2312" w:hAnsi="新宋体" w:eastAsia="仿宋_GB2312"/>
          <w:b/>
          <w:color w:val="auto"/>
          <w:sz w:val="24"/>
          <w:highlight w:val="none"/>
        </w:rPr>
      </w:pPr>
      <w:r>
        <w:rPr>
          <w:rFonts w:hint="eastAsia" w:ascii="仿宋_GB2312" w:eastAsia="仿宋_GB2312"/>
          <w:color w:val="auto"/>
          <w:sz w:val="24"/>
          <w:highlight w:val="none"/>
        </w:rPr>
        <w:t>2.6 “服务”系指合同条款、技术规范及标准、项目采购需求、本</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规定，成交供应商为保证</w:t>
      </w:r>
      <w:r>
        <w:rPr>
          <w:rFonts w:hint="eastAsia" w:ascii="仿宋_GB2312" w:eastAsia="仿宋_GB2312"/>
          <w:b/>
          <w:bCs/>
          <w:color w:val="auto"/>
          <w:sz w:val="24"/>
          <w:highlight w:val="none"/>
        </w:rPr>
        <w:t>完成克拉玛依区社区卫生服务机构采购大包装中药免煎颗粒、中草药项目应承担的所有工作，根据社区卫生服务机构饮片、免煎颗粒采购计划提供并配送药品，以及对社区卫生服务机构所开具的中医饮片处方的调配、煎药、配送；提供专业的学术服务，定期组织中医药相关培训及卫生行政部门认可的中医专家坐诊带教；以及卫生行政部门批准的其他适宜社区医疗的服务，并配合采购人完成与此服务相关的合同条款、项目采购需求、</w:t>
      </w:r>
      <w:r>
        <w:rPr>
          <w:rFonts w:hint="eastAsia" w:ascii="仿宋_GB2312" w:eastAsia="仿宋_GB2312"/>
          <w:b/>
          <w:bCs/>
          <w:color w:val="auto"/>
          <w:sz w:val="24"/>
          <w:highlight w:val="none"/>
          <w:lang w:eastAsia="zh-CN"/>
        </w:rPr>
        <w:t>竞争性磋商文件</w:t>
      </w:r>
      <w:r>
        <w:rPr>
          <w:rFonts w:hint="eastAsia" w:ascii="仿宋_GB2312" w:eastAsia="仿宋_GB2312"/>
          <w:b/>
          <w:bCs/>
          <w:color w:val="auto"/>
          <w:sz w:val="24"/>
          <w:highlight w:val="none"/>
        </w:rPr>
        <w:t>约定的全部内容及责任和义务</w:t>
      </w:r>
      <w:r>
        <w:rPr>
          <w:rFonts w:hint="eastAsia" w:ascii="仿宋_GB2312" w:hAnsi="新宋体" w:eastAsia="仿宋_GB2312"/>
          <w:b/>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2.7凡提及的“天、日期、星期、月份和年份”系指公历日历的日历天、日期、星期、月份和年份。 </w:t>
      </w:r>
    </w:p>
    <w:p>
      <w:pPr>
        <w:pStyle w:val="15"/>
        <w:spacing w:line="360" w:lineRule="auto"/>
        <w:ind w:firstLine="482" w:firstLineChars="200"/>
        <w:outlineLvl w:val="1"/>
        <w:rPr>
          <w:rFonts w:ascii="仿宋_GB2312" w:hAnsi="新宋体" w:eastAsia="仿宋_GB2312"/>
          <w:b/>
          <w:color w:val="auto"/>
          <w:kern w:val="2"/>
          <w:sz w:val="24"/>
          <w:szCs w:val="24"/>
          <w:highlight w:val="none"/>
        </w:rPr>
      </w:pPr>
      <w:bookmarkStart w:id="52" w:name="_Toc243907573"/>
      <w:bookmarkStart w:id="53" w:name="_Toc243906313"/>
      <w:bookmarkStart w:id="54" w:name="_Toc233274813"/>
      <w:bookmarkStart w:id="55" w:name="_Toc246216182"/>
      <w:bookmarkStart w:id="56" w:name="_Toc243906314"/>
      <w:bookmarkStart w:id="57" w:name="_Toc243907574"/>
      <w:bookmarkStart w:id="58" w:name="_Toc246216183"/>
      <w:bookmarkStart w:id="59" w:name="_Toc233274814"/>
      <w:r>
        <w:rPr>
          <w:rFonts w:hint="eastAsia" w:ascii="仿宋_GB2312" w:hAnsi="新宋体" w:eastAsia="仿宋_GB2312"/>
          <w:b/>
          <w:color w:val="auto"/>
          <w:kern w:val="2"/>
          <w:sz w:val="24"/>
          <w:szCs w:val="24"/>
          <w:highlight w:val="none"/>
        </w:rPr>
        <w:t>3、采购范围</w:t>
      </w:r>
      <w:bookmarkEnd w:id="52"/>
      <w:bookmarkEnd w:id="53"/>
      <w:bookmarkEnd w:id="54"/>
      <w:bookmarkEnd w:id="55"/>
      <w:r>
        <w:rPr>
          <w:rFonts w:hint="eastAsia" w:ascii="仿宋_GB2312" w:hAnsi="新宋体" w:eastAsia="仿宋_GB2312"/>
          <w:b/>
          <w:color w:val="auto"/>
          <w:kern w:val="2"/>
          <w:sz w:val="24"/>
          <w:szCs w:val="24"/>
          <w:highlight w:val="none"/>
        </w:rPr>
        <w:t>及</w:t>
      </w:r>
      <w:r>
        <w:rPr>
          <w:rFonts w:hint="eastAsia" w:ascii="仿宋_GB2312" w:hAnsi="新宋体" w:eastAsia="仿宋_GB2312"/>
          <w:b/>
          <w:color w:val="auto"/>
          <w:sz w:val="24"/>
          <w:highlight w:val="none"/>
        </w:rPr>
        <w:t>服务期限</w:t>
      </w:r>
    </w:p>
    <w:p>
      <w:pPr>
        <w:spacing w:line="360" w:lineRule="auto"/>
        <w:ind w:firstLine="482"/>
        <w:jc w:val="left"/>
        <w:rPr>
          <w:rFonts w:ascii="仿宋_GB2312" w:eastAsia="仿宋_GB2312"/>
          <w:b/>
          <w:bCs/>
          <w:color w:val="auto"/>
          <w:sz w:val="24"/>
          <w:highlight w:val="none"/>
        </w:rPr>
      </w:pPr>
      <w:r>
        <w:rPr>
          <w:rFonts w:hint="eastAsia" w:ascii="仿宋_GB2312" w:hAnsi="新宋体" w:eastAsia="仿宋_GB2312"/>
          <w:b/>
          <w:color w:val="auto"/>
          <w:sz w:val="24"/>
          <w:highlight w:val="none"/>
        </w:rPr>
        <w:t>3.1采购范围：完成克拉玛依区社区卫生服务机构采购大包装中药免煎颗粒、中草药项目应承担的所有工作，按卫生行政部门要求完成中心中草药房的设计、装修，根据社区卫生服务机构饮片、免煎颗粒采购计划提供并配送药品，以及对社区卫生服务机构所开具的中医饮片处方的调配、煎药、配送；提供专业的学术服务，定期组织中医药相关培训及卫生行政部门认可的中医专家坐诊带教；以及卫生行政部门批准的其他适宜社区医疗的服务，并配合采购人完成与此服务相关的合同条款、项目采购需求、</w:t>
      </w:r>
      <w:r>
        <w:rPr>
          <w:rFonts w:hint="eastAsia" w:ascii="仿宋_GB2312" w:hAnsi="新宋体" w:eastAsia="仿宋_GB2312"/>
          <w:b/>
          <w:color w:val="auto"/>
          <w:sz w:val="24"/>
          <w:highlight w:val="none"/>
          <w:lang w:eastAsia="zh-CN"/>
        </w:rPr>
        <w:t>竞争性磋商文件</w:t>
      </w:r>
      <w:r>
        <w:rPr>
          <w:rFonts w:hint="eastAsia" w:ascii="仿宋_GB2312" w:hAnsi="新宋体" w:eastAsia="仿宋_GB2312"/>
          <w:b/>
          <w:color w:val="auto"/>
          <w:sz w:val="24"/>
          <w:highlight w:val="none"/>
        </w:rPr>
        <w:t>约定的全部内容及责任和义务</w:t>
      </w:r>
      <w:r>
        <w:rPr>
          <w:rFonts w:hint="eastAsia" w:ascii="仿宋_GB2312" w:eastAsia="仿宋_GB2312"/>
          <w:b/>
          <w:bCs/>
          <w:color w:val="auto"/>
          <w:sz w:val="24"/>
          <w:highlight w:val="none"/>
        </w:rPr>
        <w:t>。</w:t>
      </w:r>
    </w:p>
    <w:p>
      <w:pPr>
        <w:spacing w:line="360" w:lineRule="auto"/>
        <w:ind w:firstLine="482" w:firstLineChars="200"/>
        <w:rPr>
          <w:rFonts w:ascii="仿宋_GB2312" w:hAnsi="新宋体" w:eastAsia="仿宋_GB2312"/>
          <w:b/>
          <w:color w:val="auto"/>
          <w:sz w:val="24"/>
          <w:highlight w:val="none"/>
        </w:rPr>
      </w:pPr>
      <w:r>
        <w:rPr>
          <w:rFonts w:hint="eastAsia" w:ascii="仿宋_GB2312" w:hAnsi="新宋体" w:eastAsia="仿宋_GB2312"/>
          <w:b/>
          <w:color w:val="auto"/>
          <w:sz w:val="24"/>
          <w:highlight w:val="none"/>
        </w:rPr>
        <w:t>3.2服务期限：</w:t>
      </w:r>
      <w:r>
        <w:rPr>
          <w:rFonts w:hint="eastAsia" w:ascii="仿宋_GB2312" w:hAnsi="新宋体" w:eastAsia="仿宋_GB2312"/>
          <w:b/>
          <w:color w:val="auto"/>
          <w:sz w:val="24"/>
          <w:highlight w:val="none"/>
          <w:lang w:eastAsia="zh-CN"/>
        </w:rPr>
        <w:t>自签订合同之日起三年整，合同一年一签，按年度考核验收，考核验收合格后续签下一年合同</w:t>
      </w:r>
      <w:r>
        <w:rPr>
          <w:rFonts w:hint="eastAsia" w:ascii="仿宋_GB2312" w:hAnsi="新宋体" w:eastAsia="仿宋_GB2312"/>
          <w:b/>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w:t>
      </w:r>
      <w:bookmarkEnd w:id="56"/>
      <w:bookmarkEnd w:id="57"/>
      <w:bookmarkEnd w:id="58"/>
      <w:bookmarkEnd w:id="59"/>
      <w:r>
        <w:rPr>
          <w:rFonts w:hint="eastAsia" w:ascii="仿宋_GB2312" w:eastAsia="仿宋_GB2312"/>
          <w:color w:val="auto"/>
          <w:sz w:val="24"/>
          <w:highlight w:val="none"/>
        </w:rPr>
        <w:t>合格供应商资格要求</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4.1详见第一章“竞争性磋商采购公告”中的供应商资格要求。</w:t>
      </w:r>
      <w:bookmarkStart w:id="60" w:name="_Toc243906315"/>
      <w:bookmarkStart w:id="61" w:name="_Toc233274815"/>
      <w:bookmarkStart w:id="62" w:name="_Toc245897275"/>
      <w:bookmarkStart w:id="63" w:name="_Toc243907575"/>
    </w:p>
    <w:p>
      <w:pPr>
        <w:spacing w:line="360" w:lineRule="auto"/>
        <w:ind w:firstLine="482" w:firstLineChars="200"/>
        <w:rPr>
          <w:rFonts w:hint="eastAsia" w:ascii="仿宋_GB2312" w:hAnsi="新宋体" w:eastAsia="仿宋_GB2312" w:cs="Times New Roman"/>
          <w:b/>
          <w:color w:val="auto"/>
          <w:sz w:val="24"/>
          <w:highlight w:val="none"/>
          <w:lang w:eastAsia="zh-CN"/>
        </w:rPr>
      </w:pPr>
      <w:r>
        <w:rPr>
          <w:rFonts w:hint="eastAsia" w:ascii="仿宋_GB2312" w:hAnsi="新宋体" w:eastAsia="仿宋_GB2312" w:cs="Times New Roman"/>
          <w:b/>
          <w:color w:val="auto"/>
          <w:sz w:val="24"/>
          <w:highlight w:val="none"/>
          <w:lang w:eastAsia="zh-CN"/>
        </w:rPr>
        <w:t>4.2单位负责人为同一人或者存在直接控股、管理关系的不同供应商，不得参加同一合同项下的政府采购活动。</w:t>
      </w:r>
    </w:p>
    <w:p>
      <w:pPr>
        <w:snapToGrid w:val="0"/>
        <w:spacing w:line="360" w:lineRule="auto"/>
        <w:ind w:firstLine="479" w:firstLineChars="199"/>
        <w:rPr>
          <w:rFonts w:ascii="仿宋_GB2312" w:eastAsia="仿宋_GB2312"/>
          <w:b/>
          <w:color w:val="auto"/>
          <w:sz w:val="24"/>
          <w:highlight w:val="none"/>
        </w:rPr>
      </w:pPr>
      <w:r>
        <w:rPr>
          <w:rFonts w:hint="eastAsia" w:ascii="仿宋_GB2312" w:eastAsia="仿宋_GB2312"/>
          <w:b/>
          <w:color w:val="auto"/>
          <w:sz w:val="24"/>
          <w:highlight w:val="none"/>
        </w:rPr>
        <w:t>4. 3</w:t>
      </w:r>
      <w:r>
        <w:rPr>
          <w:rFonts w:ascii="仿宋_GB2312" w:eastAsia="仿宋_GB2312"/>
          <w:b/>
          <w:color w:val="auto"/>
          <w:sz w:val="24"/>
          <w:highlight w:val="none"/>
        </w:rPr>
        <w:t>为采购项目提供整体设计、规范编制或者项目管理、监理、检测等服务的供应商，不得再参加</w:t>
      </w:r>
      <w:r>
        <w:rPr>
          <w:rFonts w:hint="eastAsia" w:ascii="仿宋_GB2312" w:eastAsia="仿宋_GB2312"/>
          <w:b/>
          <w:color w:val="auto"/>
          <w:sz w:val="24"/>
          <w:highlight w:val="none"/>
        </w:rPr>
        <w:t>该采购</w:t>
      </w:r>
      <w:r>
        <w:rPr>
          <w:rFonts w:ascii="仿宋_GB2312" w:eastAsia="仿宋_GB2312"/>
          <w:b/>
          <w:color w:val="auto"/>
          <w:sz w:val="24"/>
          <w:highlight w:val="none"/>
        </w:rPr>
        <w:t>项目的</w:t>
      </w:r>
      <w:r>
        <w:rPr>
          <w:rFonts w:hint="eastAsia" w:ascii="仿宋_GB2312" w:eastAsia="仿宋_GB2312"/>
          <w:b/>
          <w:color w:val="auto"/>
          <w:sz w:val="24"/>
          <w:highlight w:val="none"/>
        </w:rPr>
        <w:t>其他</w:t>
      </w:r>
      <w:r>
        <w:rPr>
          <w:rFonts w:ascii="仿宋_GB2312" w:eastAsia="仿宋_GB2312"/>
          <w:b/>
          <w:color w:val="auto"/>
          <w:sz w:val="24"/>
          <w:highlight w:val="none"/>
        </w:rPr>
        <w:t>采购活动。</w:t>
      </w:r>
    </w:p>
    <w:p>
      <w:pPr>
        <w:snapToGrid w:val="0"/>
        <w:spacing w:line="360" w:lineRule="auto"/>
        <w:ind w:firstLine="479" w:firstLineChars="199"/>
        <w:rPr>
          <w:rFonts w:ascii="仿宋_GB2312" w:eastAsia="仿宋_GB2312"/>
          <w:b/>
          <w:color w:val="auto"/>
          <w:sz w:val="24"/>
          <w:highlight w:val="none"/>
        </w:rPr>
      </w:pPr>
      <w:r>
        <w:rPr>
          <w:rFonts w:hint="eastAsia" w:ascii="仿宋_GB2312" w:eastAsia="仿宋_GB2312"/>
          <w:b/>
          <w:color w:val="auto"/>
          <w:sz w:val="24"/>
          <w:highlight w:val="none"/>
        </w:rPr>
        <w:t>4. 4在单一品目的货物采购采购中，同一品牌同一型号的产品有多家供应商参加磋商，只能按照一家供应商计算。</w:t>
      </w:r>
    </w:p>
    <w:p>
      <w:pPr>
        <w:pStyle w:val="82"/>
        <w:snapToGrid w:val="0"/>
        <w:spacing w:line="360" w:lineRule="auto"/>
        <w:ind w:firstLine="477" w:firstLineChars="198"/>
        <w:rPr>
          <w:rFonts w:ascii="仿宋_GB2312" w:eastAsia="仿宋_GB2312"/>
          <w:b/>
          <w:color w:val="auto"/>
          <w:sz w:val="24"/>
          <w:highlight w:val="none"/>
        </w:rPr>
      </w:pPr>
      <w:r>
        <w:rPr>
          <w:rFonts w:hint="eastAsia" w:ascii="仿宋_GB2312" w:eastAsia="仿宋_GB2312"/>
          <w:b/>
          <w:color w:val="auto"/>
          <w:sz w:val="24"/>
          <w:highlight w:val="none"/>
        </w:rPr>
        <w:t>4.5同一分包的货物，制造商参与磋商的，不得再委托代理商参与磋商。</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5、回避。政府采购活动中，采购人员及相关人员与供应商有下列利害关系之一的，应当回避：</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5.1参加采购活动前3年内与供应商存在劳动关系；</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5.2参加采购活动前3年内担任供应商的董事、监事；</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5.3参加采购活动前3年内是供应商的控股股东或者实际控制人；</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5.4与供应商的法定代表人或者负责人有夫妻、直系血亲、三代以内旁系血亲或者近姻亲关系；</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5.5与供应商有其他可能影响政府采购活动公平、公正进行的关系。</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87"/>
        <w:spacing w:line="360" w:lineRule="auto"/>
        <w:ind w:left="1" w:firstLine="482" w:firstLineChars="200"/>
        <w:rPr>
          <w:rFonts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6、实地考察和费用</w:t>
      </w:r>
      <w:bookmarkEnd w:id="60"/>
      <w:bookmarkEnd w:id="61"/>
      <w:bookmarkEnd w:id="62"/>
      <w:bookmarkEnd w:id="63"/>
    </w:p>
    <w:p>
      <w:pPr>
        <w:pStyle w:val="15"/>
        <w:spacing w:line="360" w:lineRule="auto"/>
        <w:ind w:firstLine="480" w:firstLineChars="20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6.1实地考察</w:t>
      </w:r>
    </w:p>
    <w:p>
      <w:pPr>
        <w:pStyle w:val="15"/>
        <w:spacing w:line="360" w:lineRule="auto"/>
        <w:ind w:firstLine="480" w:firstLineChars="20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采购人不组织统一实地考察。供应商须对采购项目的现场及采购项目所涉及的国家、自治区、克拉玛依地区、相关部门等与此相关的政策进行充分的调查、研究，参观并考察项目情况及其周围环境（包括当地气候条件及自然环境等）以取得所有与准备磋商和实施磋商有关的必要资料及信息。实地考察所发生的任何费用均由供应商自理。</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6.2参与磋商费用</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6.2.1供应商应承担所有与磋商准备和磋商有关的全部费用，不论磋商结果如何，采购人和采购代理机构无义务和责任承担供应商所发生的一切费用。</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6.2.2供应商在磋商准备、实地考察和磋商的全过程中，如果发生人身伤亡、财物或其它任何损失，不论何种原因所造成，均由供应商自行承担全部责任和损失。</w:t>
      </w:r>
    </w:p>
    <w:p>
      <w:pPr>
        <w:pStyle w:val="15"/>
        <w:spacing w:line="360" w:lineRule="auto"/>
        <w:ind w:firstLine="480" w:firstLineChars="200"/>
        <w:outlineLvl w:val="1"/>
        <w:rPr>
          <w:rFonts w:ascii="仿宋_GB2312" w:eastAsia="仿宋_GB2312"/>
          <w:color w:val="auto"/>
          <w:sz w:val="24"/>
          <w:highlight w:val="none"/>
        </w:rPr>
      </w:pPr>
      <w:bookmarkStart w:id="64" w:name="_Toc243906316"/>
      <w:bookmarkStart w:id="65" w:name="_Toc245897276"/>
      <w:bookmarkStart w:id="66" w:name="_Toc243907576"/>
      <w:bookmarkStart w:id="67" w:name="_Toc233274816"/>
      <w:r>
        <w:rPr>
          <w:rFonts w:hint="eastAsia" w:ascii="仿宋_GB2312" w:eastAsia="仿宋_GB2312"/>
          <w:color w:val="auto"/>
          <w:sz w:val="24"/>
          <w:highlight w:val="none"/>
        </w:rPr>
        <w:t>7、法律适用</w:t>
      </w:r>
      <w:bookmarkEnd w:id="64"/>
      <w:bookmarkEnd w:id="65"/>
      <w:bookmarkEnd w:id="66"/>
      <w:bookmarkEnd w:id="67"/>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7.1本次磋商活动及由本次磋商产生的合同受中国法律制约和保护。</w:t>
      </w:r>
    </w:p>
    <w:p>
      <w:pPr>
        <w:pStyle w:val="15"/>
        <w:spacing w:line="360" w:lineRule="auto"/>
        <w:ind w:firstLine="480" w:firstLineChars="200"/>
        <w:outlineLvl w:val="1"/>
        <w:rPr>
          <w:rFonts w:ascii="仿宋_GB2312" w:eastAsia="仿宋_GB2312"/>
          <w:color w:val="auto"/>
          <w:sz w:val="24"/>
          <w:highlight w:val="none"/>
        </w:rPr>
      </w:pPr>
      <w:bookmarkStart w:id="68" w:name="_Toc243907577"/>
      <w:bookmarkStart w:id="69" w:name="_Toc245897277"/>
      <w:bookmarkStart w:id="70" w:name="_Toc243906317"/>
      <w:bookmarkStart w:id="71" w:name="_Toc233274817"/>
      <w:r>
        <w:rPr>
          <w:rFonts w:hint="eastAsia" w:ascii="仿宋_GB2312" w:eastAsia="仿宋_GB2312"/>
          <w:color w:val="auto"/>
          <w:sz w:val="24"/>
          <w:highlight w:val="none"/>
        </w:rPr>
        <w:t>8、</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的约束力</w:t>
      </w:r>
      <w:bookmarkEnd w:id="68"/>
      <w:bookmarkEnd w:id="69"/>
      <w:bookmarkEnd w:id="70"/>
      <w:bookmarkEnd w:id="71"/>
    </w:p>
    <w:p>
      <w:pPr>
        <w:pStyle w:val="15"/>
        <w:spacing w:line="360" w:lineRule="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8.1供应商若成交，即被认为接受了本</w:t>
      </w:r>
      <w:r>
        <w:rPr>
          <w:rFonts w:hint="eastAsia" w:ascii="仿宋_GB2312" w:eastAsia="仿宋_GB2312"/>
          <w:color w:val="auto"/>
          <w:sz w:val="24"/>
          <w:szCs w:val="24"/>
          <w:highlight w:val="none"/>
          <w:lang w:eastAsia="zh-CN"/>
        </w:rPr>
        <w:t>竞争性磋商文件</w:t>
      </w:r>
      <w:r>
        <w:rPr>
          <w:rFonts w:hint="eastAsia" w:ascii="仿宋_GB2312" w:eastAsia="仿宋_GB2312"/>
          <w:color w:val="auto"/>
          <w:sz w:val="24"/>
          <w:szCs w:val="24"/>
          <w:highlight w:val="none"/>
        </w:rPr>
        <w:t>中的所有条件和规定。是采购人与成交供应商签订合同的依据且是合同的组成部分。</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8.2、技术资料</w:t>
      </w:r>
    </w:p>
    <w:p>
      <w:pPr>
        <w:spacing w:line="360" w:lineRule="auto"/>
        <w:ind w:firstLine="495"/>
        <w:rPr>
          <w:rFonts w:hint="eastAsia" w:ascii="仿宋_GB2312" w:eastAsia="仿宋_GB2312"/>
          <w:color w:val="auto"/>
          <w:sz w:val="24"/>
          <w:highlight w:val="none"/>
        </w:rPr>
      </w:pPr>
      <w:r>
        <w:rPr>
          <w:rFonts w:hint="eastAsia" w:ascii="仿宋_GB2312" w:eastAsia="仿宋_GB2312"/>
          <w:color w:val="auto"/>
          <w:sz w:val="24"/>
          <w:highlight w:val="none"/>
        </w:rPr>
        <w:t>8.2.1供应商确认采购人提供的技术资料（详见本</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第三章）存在缺项、漏项或计算误差，应在前附表第6项规定的提问截止时间前，以书面方式向采购人提出。供应商未在规定的时间内对采购人提供的技术资料提出异议，视为供应商已认可采购人提供的资料包含了所需的技术资料全部内容。</w:t>
      </w:r>
    </w:p>
    <w:p>
      <w:pPr>
        <w:spacing w:line="360" w:lineRule="auto"/>
        <w:ind w:firstLine="495"/>
        <w:rPr>
          <w:rFonts w:hint="eastAsia" w:ascii="仿宋_GB2312" w:eastAsia="仿宋_GB2312"/>
          <w:b/>
          <w:color w:val="auto"/>
          <w:sz w:val="24"/>
          <w:highlight w:val="none"/>
        </w:rPr>
      </w:pPr>
      <w:r>
        <w:rPr>
          <w:rFonts w:hint="eastAsia" w:ascii="仿宋_GB2312" w:eastAsia="仿宋_GB2312"/>
          <w:b/>
          <w:color w:val="auto"/>
          <w:sz w:val="24"/>
          <w:highlight w:val="none"/>
        </w:rPr>
        <w:t>8.3、磋商报价</w:t>
      </w:r>
    </w:p>
    <w:p>
      <w:pPr>
        <w:spacing w:line="360" w:lineRule="auto"/>
        <w:ind w:firstLine="495"/>
        <w:rPr>
          <w:rFonts w:hint="eastAsia" w:ascii="仿宋_GB2312" w:eastAsia="仿宋_GB2312"/>
          <w:color w:val="auto"/>
          <w:sz w:val="24"/>
          <w:highlight w:val="none"/>
        </w:rPr>
      </w:pPr>
      <w:r>
        <w:rPr>
          <w:rFonts w:hint="eastAsia" w:ascii="仿宋_GB2312" w:eastAsia="仿宋_GB2312"/>
          <w:b/>
          <w:color w:val="auto"/>
          <w:sz w:val="24"/>
          <w:highlight w:val="none"/>
        </w:rPr>
        <w:t>8.3.1磋商报价内容</w:t>
      </w:r>
    </w:p>
    <w:p>
      <w:pPr>
        <w:pStyle w:val="27"/>
        <w:widowControl/>
        <w:spacing w:after="0" w:line="360" w:lineRule="auto"/>
        <w:ind w:firstLine="482" w:firstLineChars="200"/>
        <w:rPr>
          <w:rFonts w:ascii="仿宋_GB2312" w:hAnsi="宋体" w:eastAsia="仿宋_GB2312" w:cs="宋体"/>
          <w:b/>
          <w:color w:val="auto"/>
          <w:sz w:val="24"/>
          <w:highlight w:val="none"/>
        </w:rPr>
      </w:pPr>
      <w:r>
        <w:rPr>
          <w:rFonts w:hint="eastAsia" w:ascii="仿宋_GB2312" w:hAnsi="宋体" w:eastAsia="仿宋_GB2312" w:cs="宋体"/>
          <w:b/>
          <w:color w:val="auto"/>
          <w:sz w:val="24"/>
          <w:highlight w:val="none"/>
          <w:lang w:val="en-US" w:eastAsia="zh-CN"/>
        </w:rPr>
        <w:t>8.3.1.1</w:t>
      </w:r>
      <w:r>
        <w:rPr>
          <w:rFonts w:hint="eastAsia" w:ascii="仿宋_GB2312" w:hAnsi="宋体" w:eastAsia="仿宋_GB2312" w:cs="宋体"/>
          <w:b/>
          <w:color w:val="auto"/>
          <w:sz w:val="24"/>
          <w:highlight w:val="none"/>
          <w:lang w:eastAsia="zh-CN"/>
        </w:rPr>
        <w:t>供应商</w:t>
      </w:r>
      <w:r>
        <w:rPr>
          <w:rFonts w:hint="eastAsia" w:ascii="仿宋_GB2312" w:hAnsi="宋体" w:eastAsia="仿宋_GB2312" w:cs="宋体"/>
          <w:b/>
          <w:color w:val="auto"/>
          <w:sz w:val="24"/>
          <w:highlight w:val="none"/>
        </w:rPr>
        <w:t>根据</w:t>
      </w:r>
      <w:r>
        <w:rPr>
          <w:rFonts w:hint="eastAsia" w:ascii="仿宋_GB2312" w:hAnsi="宋体" w:eastAsia="仿宋_GB2312" w:cs="宋体"/>
          <w:b/>
          <w:color w:val="auto"/>
          <w:sz w:val="24"/>
          <w:highlight w:val="none"/>
          <w:lang w:eastAsia="zh-CN"/>
        </w:rPr>
        <w:t>相关</w:t>
      </w:r>
      <w:r>
        <w:rPr>
          <w:rFonts w:hint="eastAsia" w:ascii="仿宋_GB2312" w:hAnsi="宋体" w:eastAsia="仿宋_GB2312" w:cs="宋体"/>
          <w:b/>
          <w:color w:val="auto"/>
          <w:sz w:val="24"/>
          <w:highlight w:val="none"/>
        </w:rPr>
        <w:t>标准须报出</w:t>
      </w:r>
      <w:r>
        <w:rPr>
          <w:rFonts w:hint="eastAsia" w:ascii="仿宋_GB2312" w:hAnsi="宋体" w:eastAsia="仿宋_GB2312" w:cs="宋体"/>
          <w:b/>
          <w:color w:val="auto"/>
          <w:sz w:val="24"/>
          <w:highlight w:val="none"/>
          <w:lang w:eastAsia="zh-CN"/>
        </w:rPr>
        <w:t>月</w:t>
      </w:r>
      <w:r>
        <w:rPr>
          <w:rFonts w:hint="eastAsia" w:ascii="仿宋_GB2312" w:hAnsi="宋体" w:eastAsia="仿宋_GB2312" w:cs="宋体"/>
          <w:b/>
          <w:color w:val="auto"/>
          <w:sz w:val="24"/>
          <w:highlight w:val="none"/>
        </w:rPr>
        <w:t>结算价下浮率，并作为报价得分的依据，但承诺</w:t>
      </w:r>
      <w:r>
        <w:rPr>
          <w:rFonts w:hint="eastAsia" w:ascii="仿宋_GB2312" w:hAnsi="宋体" w:eastAsia="仿宋_GB2312" w:cs="宋体"/>
          <w:b/>
          <w:color w:val="auto"/>
          <w:sz w:val="24"/>
          <w:highlight w:val="none"/>
          <w:lang w:eastAsia="zh-CN"/>
        </w:rPr>
        <w:t>月结算价</w:t>
      </w:r>
      <w:r>
        <w:rPr>
          <w:rFonts w:hint="eastAsia" w:ascii="仿宋_GB2312" w:hAnsi="宋体" w:eastAsia="仿宋_GB2312" w:cs="宋体"/>
          <w:b/>
          <w:color w:val="auto"/>
          <w:sz w:val="24"/>
          <w:highlight w:val="none"/>
        </w:rPr>
        <w:t>下浮率数值范围应大于0，否则报价得分按零分计取。</w:t>
      </w:r>
    </w:p>
    <w:p>
      <w:pPr>
        <w:spacing w:line="360" w:lineRule="auto"/>
        <w:ind w:firstLine="482" w:firstLineChars="200"/>
        <w:jc w:val="left"/>
        <w:rPr>
          <w:rFonts w:ascii="仿宋_GB2312" w:hAnsi="宋体" w:eastAsia="仿宋_GB2312" w:cs="宋体"/>
          <w:b/>
          <w:color w:val="auto"/>
          <w:sz w:val="24"/>
          <w:szCs w:val="21"/>
          <w:highlight w:val="none"/>
        </w:rPr>
      </w:pPr>
      <w:r>
        <w:rPr>
          <w:rFonts w:hint="eastAsia" w:ascii="仿宋_GB2312" w:hAnsi="宋体" w:eastAsia="仿宋_GB2312" w:cs="宋体"/>
          <w:b/>
          <w:color w:val="auto"/>
          <w:sz w:val="24"/>
          <w:szCs w:val="21"/>
          <w:highlight w:val="none"/>
          <w:lang w:val="en-US" w:eastAsia="zh-CN"/>
        </w:rPr>
        <w:t>8.3.1.2</w:t>
      </w:r>
      <w:r>
        <w:rPr>
          <w:rFonts w:hint="eastAsia" w:ascii="仿宋_GB2312" w:hAnsi="宋体" w:eastAsia="仿宋_GB2312" w:cs="宋体"/>
          <w:b/>
          <w:color w:val="auto"/>
          <w:sz w:val="24"/>
          <w:szCs w:val="21"/>
          <w:highlight w:val="none"/>
        </w:rPr>
        <w:t>最终结算的价款，按照经审定批准的价款结算与（1-</w:t>
      </w:r>
      <w:r>
        <w:rPr>
          <w:rFonts w:hint="eastAsia" w:ascii="仿宋_GB2312" w:hAnsi="宋体" w:eastAsia="仿宋_GB2312" w:cs="宋体"/>
          <w:b/>
          <w:color w:val="auto"/>
          <w:sz w:val="24"/>
          <w:szCs w:val="21"/>
          <w:highlight w:val="none"/>
          <w:lang w:eastAsia="zh-CN"/>
        </w:rPr>
        <w:t>成交供应商</w:t>
      </w:r>
      <w:r>
        <w:rPr>
          <w:rFonts w:hint="eastAsia" w:ascii="仿宋_GB2312" w:hAnsi="宋体" w:eastAsia="仿宋_GB2312" w:cs="宋体"/>
          <w:b/>
          <w:color w:val="auto"/>
          <w:sz w:val="24"/>
          <w:szCs w:val="21"/>
          <w:highlight w:val="none"/>
        </w:rPr>
        <w:t>的承诺</w:t>
      </w:r>
      <w:r>
        <w:rPr>
          <w:rFonts w:hint="eastAsia" w:ascii="仿宋_GB2312" w:hAnsi="宋体" w:eastAsia="仿宋_GB2312" w:cs="宋体"/>
          <w:b/>
          <w:color w:val="auto"/>
          <w:sz w:val="24"/>
          <w:szCs w:val="21"/>
          <w:highlight w:val="none"/>
          <w:lang w:eastAsia="zh-CN"/>
        </w:rPr>
        <w:t>月结算</w:t>
      </w:r>
      <w:r>
        <w:rPr>
          <w:rFonts w:hint="eastAsia" w:ascii="仿宋_GB2312" w:hAnsi="宋体" w:eastAsia="仿宋_GB2312" w:cs="宋体"/>
          <w:b/>
          <w:color w:val="auto"/>
          <w:sz w:val="24"/>
          <w:szCs w:val="21"/>
          <w:highlight w:val="none"/>
        </w:rPr>
        <w:t>下浮率）之积进行结算。</w:t>
      </w:r>
    </w:p>
    <w:bookmarkEnd w:id="43"/>
    <w:p>
      <w:pPr>
        <w:pStyle w:val="15"/>
        <w:spacing w:line="360" w:lineRule="auto"/>
        <w:ind w:firstLine="200"/>
        <w:jc w:val="center"/>
        <w:outlineLvl w:val="1"/>
        <w:rPr>
          <w:rFonts w:ascii="仿宋_GB2312" w:eastAsia="仿宋_GB2312"/>
          <w:b/>
          <w:color w:val="auto"/>
          <w:sz w:val="28"/>
          <w:szCs w:val="28"/>
          <w:highlight w:val="none"/>
        </w:rPr>
      </w:pPr>
      <w:r>
        <w:rPr>
          <w:rFonts w:hint="eastAsia" w:ascii="仿宋_GB2312" w:eastAsia="仿宋_GB2312"/>
          <w:b/>
          <w:bCs/>
          <w:color w:val="auto"/>
          <w:sz w:val="28"/>
          <w:szCs w:val="28"/>
          <w:highlight w:val="none"/>
        </w:rPr>
        <w:t>B   磋 商 文 件</w:t>
      </w:r>
    </w:p>
    <w:p>
      <w:pPr>
        <w:pStyle w:val="15"/>
        <w:spacing w:line="360" w:lineRule="auto"/>
        <w:ind w:firstLine="480" w:firstLineChars="200"/>
        <w:outlineLvl w:val="1"/>
        <w:rPr>
          <w:rFonts w:ascii="仿宋_GB2312" w:eastAsia="仿宋_GB2312"/>
          <w:color w:val="auto"/>
          <w:sz w:val="24"/>
          <w:highlight w:val="none"/>
        </w:rPr>
      </w:pPr>
      <w:bookmarkStart w:id="72" w:name="_Toc233274819"/>
      <w:bookmarkStart w:id="73" w:name="_Toc243906319"/>
      <w:bookmarkStart w:id="74" w:name="_Toc243907579"/>
      <w:bookmarkStart w:id="75" w:name="_Toc246216188"/>
      <w:r>
        <w:rPr>
          <w:rFonts w:hint="eastAsia" w:ascii="仿宋_GB2312" w:eastAsia="仿宋_GB2312"/>
          <w:color w:val="auto"/>
          <w:sz w:val="24"/>
          <w:highlight w:val="none"/>
        </w:rPr>
        <w:t>9、</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的组成</w:t>
      </w:r>
      <w:bookmarkEnd w:id="72"/>
      <w:bookmarkEnd w:id="73"/>
      <w:bookmarkEnd w:id="74"/>
      <w:bookmarkEnd w:id="75"/>
    </w:p>
    <w:p>
      <w:pPr>
        <w:spacing w:line="360" w:lineRule="auto"/>
        <w:ind w:firstLine="480" w:firstLineChars="200"/>
        <w:rPr>
          <w:rFonts w:ascii="仿宋_GB2312" w:eastAsia="仿宋_GB2312"/>
          <w:color w:val="auto"/>
          <w:highlight w:val="none"/>
        </w:rPr>
      </w:pPr>
      <w:r>
        <w:rPr>
          <w:rFonts w:hint="eastAsia" w:ascii="仿宋_GB2312" w:eastAsia="仿宋_GB2312"/>
          <w:color w:val="auto"/>
          <w:sz w:val="24"/>
          <w:highlight w:val="none"/>
        </w:rPr>
        <w:t>9.1 本</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是对克拉玛依区社区卫生服务机构采购大包装中药免煎颗粒、中草药以及建设中心饮片药房磋商程序、合同条款进行说明。</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包括下列内容：</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第一章  竞争性磋商采购公告</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第二章  供应商须知</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第三章  项目采购需求</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第四章  合同条款</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第五章  响应文件格式</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第六章  评审标准（综合评分法）</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9.2 </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以中文编印，以中文文本为准。</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9.3 除非有特殊要求，</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不单独提供采购项目使用地的自然环境、气候条件、劳动力及公用设施等情况，供应商被视为熟悉上述条件或若成交履行合同有关的一切情况。</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9.4采购人向供应商提供的有关数据和资料，是采购人现有的能被供应商利用的资料，供应商对此做出的推论、理解和结论自行负责。</w:t>
      </w:r>
    </w:p>
    <w:p>
      <w:pPr>
        <w:pStyle w:val="15"/>
        <w:spacing w:line="360" w:lineRule="auto"/>
        <w:ind w:firstLine="480" w:firstLineChars="200"/>
        <w:outlineLvl w:val="1"/>
        <w:rPr>
          <w:rFonts w:ascii="仿宋_GB2312" w:eastAsia="仿宋_GB2312"/>
          <w:color w:val="auto"/>
          <w:sz w:val="24"/>
          <w:highlight w:val="none"/>
        </w:rPr>
      </w:pPr>
      <w:bookmarkStart w:id="76" w:name="_Toc243907580"/>
      <w:bookmarkStart w:id="77" w:name="_Toc245897280"/>
      <w:bookmarkStart w:id="78" w:name="_Toc243906320"/>
      <w:bookmarkStart w:id="79" w:name="_Toc233274820"/>
      <w:r>
        <w:rPr>
          <w:rFonts w:hint="eastAsia" w:ascii="仿宋_GB2312" w:eastAsia="仿宋_GB2312"/>
          <w:color w:val="auto"/>
          <w:sz w:val="24"/>
          <w:highlight w:val="none"/>
        </w:rPr>
        <w:t>10、</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的澄清</w:t>
      </w:r>
      <w:bookmarkEnd w:id="76"/>
      <w:bookmarkEnd w:id="77"/>
      <w:bookmarkEnd w:id="78"/>
      <w:bookmarkEnd w:id="79"/>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10.1 供应商对竞争性磋商文件如有疑问，可要求澄清，应按竞争性磋商文件“供应商须知前附表第6条”扫描件形式（必须加盖供应商公章）发送到邮箱： 617122271@qq.com 。采购人和采购代理机构将视情况以书面形式予以答复，并发至领取竞争性磋商文件的每位供应商。答复中包括所提问题，但不包括问题的来源。</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10.2 如果上述答复涉及对</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的修改或补充，则它将被视为</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的组成部分。凡原先所发</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中的内容与答复中的内容不一致之处，以最后书面答复为准。任何电话或口头咨询和答复的意思解释均不具有法律约束力。</w:t>
      </w:r>
    </w:p>
    <w:p>
      <w:pPr>
        <w:pStyle w:val="15"/>
        <w:spacing w:line="360" w:lineRule="auto"/>
        <w:ind w:firstLine="480" w:firstLineChars="200"/>
        <w:outlineLvl w:val="1"/>
        <w:rPr>
          <w:rFonts w:ascii="仿宋_GB2312" w:eastAsia="仿宋_GB2312"/>
          <w:color w:val="auto"/>
          <w:sz w:val="24"/>
          <w:highlight w:val="none"/>
        </w:rPr>
      </w:pPr>
      <w:bookmarkStart w:id="80" w:name="_Toc245897281"/>
      <w:bookmarkStart w:id="81" w:name="_Toc243906321"/>
      <w:bookmarkStart w:id="82" w:name="_Toc233274821"/>
      <w:bookmarkStart w:id="83" w:name="_Toc243907581"/>
      <w:r>
        <w:rPr>
          <w:rFonts w:hint="eastAsia" w:ascii="仿宋_GB2312" w:eastAsia="仿宋_GB2312"/>
          <w:color w:val="auto"/>
          <w:sz w:val="24"/>
          <w:highlight w:val="none"/>
        </w:rPr>
        <w:t>11、</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的修改和补充</w:t>
      </w:r>
      <w:bookmarkEnd w:id="80"/>
      <w:bookmarkEnd w:id="81"/>
      <w:bookmarkEnd w:id="82"/>
      <w:bookmarkEnd w:id="83"/>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11.1在递交响应文件截止日期5日前的任何时候，采购人可主动地或依据供应商要求澄清的疑问而修改、补充</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，采购代理机构将对修改和补充的内容以书面形式发至所有获取</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的每位供应商，修改和补充文件将作为</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的组成部分，对所有供应商具有约束力。</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11.2为使供应商在准备响应文件时有合理的时间考虑</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的修改和/或补充，采购代理机构可延长递交响应文件截止时间和开启时间，</w:t>
      </w:r>
      <w:r>
        <w:rPr>
          <w:rFonts w:hint="eastAsia" w:ascii="仿宋_GB2312" w:hAnsi="宋体" w:eastAsia="仿宋_GB2312" w:cs="宋体"/>
          <w:color w:val="auto"/>
          <w:sz w:val="24"/>
          <w:highlight w:val="none"/>
        </w:rPr>
        <w:t>但至少应当在规定的递交响应文件的截止时间</w:t>
      </w:r>
      <w:r>
        <w:rPr>
          <w:rFonts w:hint="eastAsia" w:ascii="仿宋_GB2312" w:hAnsi="宋体" w:eastAsia="仿宋_GB2312" w:cs="宋体"/>
          <w:color w:val="auto"/>
          <w:sz w:val="24"/>
          <w:highlight w:val="none"/>
          <w:u w:val="single"/>
        </w:rPr>
        <w:t>5</w:t>
      </w:r>
      <w:r>
        <w:rPr>
          <w:rFonts w:hint="eastAsia" w:ascii="仿宋_GB2312" w:hAnsi="宋体" w:eastAsia="仿宋_GB2312" w:cs="宋体"/>
          <w:color w:val="auto"/>
          <w:sz w:val="24"/>
          <w:highlight w:val="none"/>
        </w:rPr>
        <w:t>日前，</w:t>
      </w:r>
      <w:r>
        <w:rPr>
          <w:rFonts w:hint="eastAsia" w:ascii="仿宋_GB2312" w:eastAsia="仿宋_GB2312"/>
          <w:color w:val="auto"/>
          <w:sz w:val="24"/>
          <w:highlight w:val="none"/>
        </w:rPr>
        <w:t>以书面形式通知所有获取</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的每位供应商。</w:t>
      </w:r>
    </w:p>
    <w:p>
      <w:pPr>
        <w:pStyle w:val="15"/>
        <w:spacing w:line="360" w:lineRule="auto"/>
        <w:ind w:firstLine="480" w:firstLineChars="200"/>
        <w:rPr>
          <w:rFonts w:ascii="仿宋_GB2312" w:eastAsia="仿宋_GB2312"/>
          <w:b/>
          <w:bCs/>
          <w:color w:val="auto"/>
          <w:sz w:val="28"/>
          <w:szCs w:val="28"/>
          <w:highlight w:val="none"/>
        </w:rPr>
      </w:pPr>
      <w:r>
        <w:rPr>
          <w:rFonts w:hint="eastAsia" w:ascii="仿宋_GB2312" w:eastAsia="仿宋_GB2312"/>
          <w:color w:val="auto"/>
          <w:sz w:val="24"/>
          <w:highlight w:val="none"/>
        </w:rPr>
        <w:t>11.3供应商在每次收到采购代理机构发至的书面文件后，应在收到后24小时内以书面形式并加盖供应商公章予以确认。</w:t>
      </w:r>
      <w:bookmarkStart w:id="84" w:name="_Toc243907582"/>
      <w:bookmarkStart w:id="85" w:name="_Toc243906322"/>
      <w:bookmarkStart w:id="86" w:name="_Toc233274822"/>
      <w:bookmarkStart w:id="87" w:name="_Toc246216191"/>
      <w:bookmarkStart w:id="88" w:name="_Toc154996580"/>
    </w:p>
    <w:p>
      <w:pPr>
        <w:pStyle w:val="15"/>
        <w:spacing w:line="360" w:lineRule="auto"/>
        <w:ind w:firstLine="200"/>
        <w:jc w:val="center"/>
        <w:outlineLvl w:val="1"/>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C   响应文件的编写</w:t>
      </w:r>
      <w:bookmarkEnd w:id="84"/>
      <w:bookmarkEnd w:id="85"/>
      <w:bookmarkEnd w:id="86"/>
      <w:bookmarkEnd w:id="87"/>
    </w:p>
    <w:p>
      <w:pPr>
        <w:pStyle w:val="15"/>
        <w:spacing w:line="360" w:lineRule="auto"/>
        <w:ind w:firstLine="480" w:firstLineChars="200"/>
        <w:rPr>
          <w:rFonts w:ascii="仿宋_GB2312" w:eastAsia="仿宋_GB2312"/>
          <w:color w:val="auto"/>
          <w:sz w:val="24"/>
          <w:highlight w:val="none"/>
        </w:rPr>
      </w:pPr>
    </w:p>
    <w:p>
      <w:pPr>
        <w:pStyle w:val="15"/>
        <w:spacing w:line="360" w:lineRule="auto"/>
        <w:ind w:firstLine="480" w:firstLineChars="200"/>
        <w:outlineLvl w:val="1"/>
        <w:rPr>
          <w:rFonts w:ascii="仿宋_GB2312" w:eastAsia="仿宋_GB2312"/>
          <w:color w:val="auto"/>
          <w:sz w:val="24"/>
          <w:highlight w:val="none"/>
        </w:rPr>
      </w:pPr>
      <w:bookmarkStart w:id="89" w:name="_Toc233274823"/>
      <w:bookmarkStart w:id="90" w:name="_Toc243906323"/>
      <w:bookmarkStart w:id="91" w:name="_Toc245897283"/>
      <w:bookmarkStart w:id="92" w:name="_Toc243907583"/>
      <w:r>
        <w:rPr>
          <w:rFonts w:hint="eastAsia" w:ascii="仿宋_GB2312" w:eastAsia="仿宋_GB2312"/>
          <w:color w:val="auto"/>
          <w:sz w:val="24"/>
          <w:highlight w:val="none"/>
        </w:rPr>
        <w:t>1</w:t>
      </w:r>
      <w:bookmarkEnd w:id="89"/>
      <w:r>
        <w:rPr>
          <w:rFonts w:hint="eastAsia" w:ascii="仿宋_GB2312" w:eastAsia="仿宋_GB2312"/>
          <w:color w:val="auto"/>
          <w:sz w:val="24"/>
          <w:highlight w:val="none"/>
        </w:rPr>
        <w:t>2、响应文件的编写</w:t>
      </w:r>
      <w:bookmarkEnd w:id="90"/>
      <w:bookmarkEnd w:id="91"/>
      <w:bookmarkEnd w:id="92"/>
    </w:p>
    <w:p>
      <w:pPr>
        <w:spacing w:line="360" w:lineRule="auto"/>
        <w:ind w:firstLine="480" w:firstLineChars="200"/>
        <w:rPr>
          <w:rFonts w:ascii="仿宋_GB2312" w:eastAsia="仿宋_GB2312"/>
          <w:color w:val="auto"/>
          <w:highlight w:val="none"/>
        </w:rPr>
      </w:pPr>
      <w:r>
        <w:rPr>
          <w:rFonts w:hint="eastAsia" w:ascii="仿宋_GB2312" w:eastAsia="仿宋_GB2312"/>
          <w:color w:val="auto"/>
          <w:sz w:val="24"/>
          <w:highlight w:val="none"/>
        </w:rPr>
        <w:t>12.1供应商必须详细阅读</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的章、节、条款、格式等所有内容，按</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的要求提交响应文件，并保证所提供的全部文件及相关资料的真实性，以使其对</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做出实质性响应。供应商应仔细阅读并充分理解</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、技术规范及标准、项目采购需求、合同条款后</w:t>
      </w:r>
      <w:r>
        <w:rPr>
          <w:rFonts w:hint="eastAsia" w:ascii="黑体" w:eastAsia="黑体"/>
          <w:b/>
          <w:color w:val="auto"/>
          <w:sz w:val="24"/>
          <w:highlight w:val="none"/>
        </w:rPr>
        <w:t>编制响应文件</w:t>
      </w:r>
      <w:r>
        <w:rPr>
          <w:rFonts w:hint="eastAsia" w:ascii="仿宋_GB2312" w:eastAsia="仿宋_GB2312"/>
          <w:color w:val="auto"/>
          <w:sz w:val="24"/>
          <w:highlight w:val="none"/>
        </w:rPr>
        <w:t>。</w:t>
      </w:r>
    </w:p>
    <w:p>
      <w:pPr>
        <w:pStyle w:val="15"/>
        <w:spacing w:line="360" w:lineRule="auto"/>
        <w:ind w:firstLine="480" w:firstLineChars="200"/>
        <w:outlineLvl w:val="1"/>
        <w:rPr>
          <w:rFonts w:ascii="仿宋_GB2312" w:eastAsia="仿宋_GB2312"/>
          <w:color w:val="auto"/>
          <w:sz w:val="24"/>
          <w:highlight w:val="none"/>
        </w:rPr>
      </w:pPr>
      <w:bookmarkStart w:id="93" w:name="_Toc233274824"/>
      <w:bookmarkStart w:id="94" w:name="_Toc243906324"/>
      <w:bookmarkStart w:id="95" w:name="_Toc243907584"/>
      <w:bookmarkStart w:id="96" w:name="_Toc245897284"/>
      <w:r>
        <w:rPr>
          <w:rFonts w:hint="eastAsia" w:ascii="仿宋_GB2312" w:eastAsia="仿宋_GB2312"/>
          <w:color w:val="auto"/>
          <w:sz w:val="24"/>
          <w:highlight w:val="none"/>
        </w:rPr>
        <w:t>13、响应文件的语言及计量单位</w:t>
      </w:r>
      <w:bookmarkEnd w:id="93"/>
      <w:bookmarkEnd w:id="94"/>
      <w:bookmarkEnd w:id="95"/>
      <w:bookmarkEnd w:id="96"/>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13.1 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pPr>
        <w:pStyle w:val="15"/>
        <w:spacing w:line="360" w:lineRule="auto"/>
        <w:ind w:firstLine="480" w:firstLineChars="200"/>
        <w:rPr>
          <w:rFonts w:ascii="仿宋_GB2312" w:hAnsi="仿宋" w:eastAsia="仿宋_GB2312"/>
          <w:b/>
          <w:bCs/>
          <w:color w:val="auto"/>
          <w:sz w:val="24"/>
          <w:highlight w:val="none"/>
        </w:rPr>
      </w:pPr>
      <w:r>
        <w:rPr>
          <w:rFonts w:hint="eastAsia" w:ascii="仿宋_GB2312" w:eastAsia="仿宋_GB2312"/>
          <w:color w:val="auto"/>
          <w:sz w:val="24"/>
          <w:highlight w:val="none"/>
        </w:rPr>
        <w:t>13.2 除在</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的项目采购需求中另有规定外，计量单位应使用中华人民共和国法定计量单位（国际单位制和国家选定的其它计量单位）。如供应商采用其它计量单位，需事先得到采购人的同意。</w:t>
      </w:r>
    </w:p>
    <w:p>
      <w:pPr>
        <w:pStyle w:val="15"/>
        <w:spacing w:line="360" w:lineRule="auto"/>
        <w:ind w:firstLine="480" w:firstLineChars="200"/>
        <w:outlineLvl w:val="1"/>
        <w:rPr>
          <w:rFonts w:ascii="仿宋_GB2312" w:eastAsia="仿宋_GB2312"/>
          <w:b/>
          <w:color w:val="auto"/>
          <w:sz w:val="24"/>
          <w:szCs w:val="24"/>
          <w:highlight w:val="none"/>
        </w:rPr>
      </w:pPr>
      <w:bookmarkStart w:id="97" w:name="_Toc245897285"/>
      <w:bookmarkStart w:id="98" w:name="_Toc233274825"/>
      <w:bookmarkStart w:id="99" w:name="_Toc243907585"/>
      <w:bookmarkStart w:id="100" w:name="_Toc243906325"/>
      <w:r>
        <w:rPr>
          <w:rFonts w:hint="eastAsia" w:ascii="仿宋_GB2312" w:eastAsia="仿宋_GB2312"/>
          <w:color w:val="auto"/>
          <w:sz w:val="24"/>
          <w:highlight w:val="none"/>
        </w:rPr>
        <w:t>14、</w:t>
      </w:r>
      <w:bookmarkEnd w:id="97"/>
      <w:bookmarkEnd w:id="98"/>
      <w:bookmarkEnd w:id="99"/>
      <w:bookmarkEnd w:id="100"/>
      <w:r>
        <w:rPr>
          <w:rFonts w:hint="eastAsia" w:ascii="仿宋_GB2312" w:eastAsia="仿宋_GB2312"/>
          <w:b/>
          <w:color w:val="auto"/>
          <w:sz w:val="24"/>
          <w:szCs w:val="24"/>
          <w:highlight w:val="none"/>
        </w:rPr>
        <w:t>响应文件的组成：</w:t>
      </w:r>
      <w:r>
        <w:rPr>
          <w:rFonts w:hint="eastAsia" w:ascii="仿宋_GB2312" w:hAnsi="华文中宋" w:eastAsia="仿宋_GB2312"/>
          <w:b/>
          <w:bCs/>
          <w:color w:val="auto"/>
          <w:kern w:val="2"/>
          <w:sz w:val="24"/>
          <w:szCs w:val="24"/>
          <w:highlight w:val="none"/>
        </w:rPr>
        <w:t>一式柒份，其中正本壹份，副本陆份，需编制目录及页码。</w:t>
      </w:r>
      <w:r>
        <w:rPr>
          <w:rFonts w:hint="eastAsia" w:ascii="仿宋_GB2312" w:eastAsia="仿宋_GB2312"/>
          <w:b/>
          <w:color w:val="auto"/>
          <w:sz w:val="24"/>
          <w:szCs w:val="24"/>
          <w:highlight w:val="none"/>
        </w:rPr>
        <w:t>在每一份响应文件上要明确注明“正本”或“副本”字样，如正、副本之间有差异，以正本为准。</w:t>
      </w:r>
    </w:p>
    <w:p>
      <w:pPr>
        <w:spacing w:line="360" w:lineRule="auto"/>
        <w:ind w:firstLine="482" w:firstLineChars="200"/>
        <w:rPr>
          <w:rFonts w:ascii="仿宋_GB2312" w:eastAsia="仿宋_GB2312"/>
          <w:color w:val="auto"/>
          <w:sz w:val="24"/>
          <w:highlight w:val="none"/>
        </w:rPr>
      </w:pPr>
      <w:bookmarkStart w:id="101" w:name="_Toc245897286"/>
      <w:bookmarkStart w:id="102" w:name="_Toc243907587"/>
      <w:bookmarkStart w:id="103" w:name="_Toc243906326"/>
      <w:bookmarkStart w:id="104" w:name="_Toc246216196"/>
      <w:bookmarkStart w:id="105" w:name="_Toc233274827"/>
      <w:r>
        <w:rPr>
          <w:rFonts w:hint="eastAsia" w:ascii="仿宋_GB2312" w:eastAsia="仿宋_GB2312"/>
          <w:b/>
          <w:color w:val="auto"/>
          <w:sz w:val="24"/>
          <w:highlight w:val="none"/>
        </w:rPr>
        <w:t>响应文件</w:t>
      </w:r>
      <w:r>
        <w:rPr>
          <w:rFonts w:hint="eastAsia" w:ascii="仿宋_GB2312" w:hAnsi="宋体" w:eastAsia="仿宋_GB2312"/>
          <w:b/>
          <w:color w:val="auto"/>
          <w:sz w:val="24"/>
          <w:highlight w:val="none"/>
        </w:rPr>
        <w:t>应包括以下内容（但不限于以下内容）</w:t>
      </w:r>
      <w:r>
        <w:rPr>
          <w:rFonts w:hint="eastAsia" w:ascii="仿宋_GB2312" w:eastAsia="仿宋_GB2312"/>
          <w:b/>
          <w:color w:val="auto"/>
          <w:sz w:val="24"/>
          <w:highlight w:val="none"/>
        </w:rPr>
        <w:t>：</w:t>
      </w:r>
    </w:p>
    <w:p>
      <w:pPr>
        <w:spacing w:line="360" w:lineRule="auto"/>
        <w:ind w:firstLine="480" w:firstLineChars="200"/>
        <w:jc w:val="left"/>
        <w:rPr>
          <w:rFonts w:ascii="仿宋_GB2312" w:hAnsi="华文中宋"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华文中宋" w:eastAsia="仿宋_GB2312"/>
          <w:color w:val="auto"/>
          <w:sz w:val="24"/>
          <w:highlight w:val="none"/>
        </w:rPr>
        <w:t>响应函（详见格式1）；</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（2）中小企业声明函（详见格式2）；</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（3）商务报价一览表（首次）；</w:t>
      </w:r>
    </w:p>
    <w:p>
      <w:pPr>
        <w:tabs>
          <w:tab w:val="left" w:pos="360"/>
          <w:tab w:val="left" w:pos="1800"/>
        </w:tabs>
        <w:spacing w:line="360" w:lineRule="auto"/>
        <w:ind w:firstLine="480" w:firstLineChars="200"/>
        <w:jc w:val="left"/>
        <w:rPr>
          <w:rFonts w:ascii="仿宋_GB2312" w:eastAsia="仿宋_GB2312"/>
          <w:bCs/>
          <w:color w:val="auto"/>
          <w:sz w:val="24"/>
          <w:highlight w:val="none"/>
        </w:rPr>
      </w:pPr>
      <w:r>
        <w:rPr>
          <w:rFonts w:hint="eastAsia" w:ascii="仿宋_GB2312" w:hAnsi="宋体" w:eastAsia="仿宋_GB2312"/>
          <w:color w:val="auto"/>
          <w:sz w:val="24"/>
          <w:highlight w:val="none"/>
        </w:rPr>
        <w:t>（4）</w:t>
      </w:r>
      <w:r>
        <w:rPr>
          <w:rFonts w:hint="eastAsia" w:ascii="仿宋_GB2312" w:eastAsia="仿宋_GB2312"/>
          <w:bCs/>
          <w:color w:val="auto"/>
          <w:sz w:val="24"/>
          <w:highlight w:val="none"/>
        </w:rPr>
        <w:t>法定代表人资格证明书</w:t>
      </w:r>
      <w:r>
        <w:rPr>
          <w:rFonts w:hint="eastAsia" w:ascii="仿宋_GB2312" w:hAnsi="华文中宋" w:eastAsia="仿宋_GB2312"/>
          <w:color w:val="auto"/>
          <w:sz w:val="24"/>
          <w:highlight w:val="none"/>
        </w:rPr>
        <w:t>（详见格式3）；</w:t>
      </w:r>
    </w:p>
    <w:p>
      <w:pPr>
        <w:spacing w:line="360" w:lineRule="auto"/>
        <w:ind w:firstLine="480" w:firstLineChars="200"/>
        <w:rPr>
          <w:rFonts w:ascii="仿宋_GB2312" w:eastAsia="仿宋_GB2312"/>
          <w:bCs/>
          <w:color w:val="auto"/>
          <w:sz w:val="24"/>
          <w:highlight w:val="none"/>
        </w:rPr>
      </w:pPr>
      <w:r>
        <w:rPr>
          <w:rFonts w:hint="eastAsia" w:ascii="仿宋_GB2312" w:hAnsi="宋体" w:eastAsia="仿宋_GB2312"/>
          <w:color w:val="auto"/>
          <w:sz w:val="24"/>
          <w:highlight w:val="none"/>
        </w:rPr>
        <w:t>（5）</w:t>
      </w:r>
      <w:r>
        <w:rPr>
          <w:rFonts w:hint="eastAsia" w:ascii="仿宋_GB2312" w:eastAsia="仿宋_GB2312"/>
          <w:bCs/>
          <w:color w:val="auto"/>
          <w:sz w:val="24"/>
          <w:highlight w:val="none"/>
        </w:rPr>
        <w:t>法定代表人授权书</w:t>
      </w:r>
      <w:r>
        <w:rPr>
          <w:rFonts w:hint="eastAsia" w:ascii="仿宋_GB2312" w:hAnsi="华文中宋" w:eastAsia="仿宋_GB2312"/>
          <w:color w:val="auto"/>
          <w:sz w:val="24"/>
          <w:highlight w:val="none"/>
        </w:rPr>
        <w:t>（详见格式4）；</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（6）有效期内三证合一的营业执照（复印件加盖供应商公章）；</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7）具有药品监督管理局核发的有效期内的医疗器械生产企业许可证（如为代理商，为医疗器械经营企业许可证）；国家批准的具备资质的中草药、中药配方颗粒试点生产企业；具有《药品生产质量管理规范认证证书》；同时也是在当地食品药监部门完成备案的中草药、中药配方颗粒生产企业；新疆药监部门关于中药配方颗粒的批复；药品信用证明；</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（8）具有有效期内的投标企业生产许可证（经营许可证）；</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（9）具有有效期内的中药配方颗粒GMP认证证书或当地药监部门现场检查出具的相关证明材料</w:t>
      </w:r>
      <w:r>
        <w:rPr>
          <w:rFonts w:hint="eastAsia" w:ascii="仿宋_GB2312" w:hAnsi="宋体" w:eastAsia="仿宋_GB2312"/>
          <w:color w:val="auto"/>
          <w:sz w:val="24"/>
          <w:highlight w:val="none"/>
        </w:rPr>
        <w:t>；</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（10）具有新疆维吾尔自治区药品管理部门出具的允许中药配方颗粒剂在本项目所在地使用的相关证明文件或批复</w:t>
      </w:r>
      <w:r>
        <w:rPr>
          <w:rFonts w:hint="eastAsia" w:ascii="仿宋_GB2312" w:eastAsia="仿宋_GB2312"/>
          <w:color w:val="auto"/>
          <w:sz w:val="24"/>
          <w:highlight w:val="none"/>
          <w:lang w:eastAsia="zh-CN"/>
        </w:rPr>
        <w:t>；</w:t>
      </w:r>
    </w:p>
    <w:p>
      <w:pPr>
        <w:spacing w:line="360" w:lineRule="auto"/>
        <w:ind w:firstLine="482" w:firstLineChars="200"/>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（11）供应商根据《中华人民共和国政府采购法》第二十二条规定提供相应的证明材料；</w:t>
      </w:r>
    </w:p>
    <w:p>
      <w:pPr>
        <w:spacing w:line="360" w:lineRule="auto"/>
        <w:ind w:firstLine="480" w:firstLineChars="200"/>
        <w:rPr>
          <w:rFonts w:ascii="仿宋_GB2312" w:hAnsi="华文中宋" w:eastAsia="仿宋_GB2312"/>
          <w:color w:val="auto"/>
          <w:sz w:val="24"/>
          <w:highlight w:val="none"/>
        </w:rPr>
      </w:pPr>
      <w:r>
        <w:rPr>
          <w:rFonts w:hint="eastAsia" w:ascii="仿宋_GB2312" w:eastAsia="仿宋_GB2312"/>
          <w:color w:val="auto"/>
          <w:sz w:val="24"/>
          <w:highlight w:val="none"/>
        </w:rPr>
        <w:t>（12）供应商资格声明</w:t>
      </w:r>
      <w:r>
        <w:rPr>
          <w:rFonts w:hint="eastAsia" w:ascii="仿宋_GB2312" w:hAnsi="宋体" w:eastAsia="仿宋_GB2312"/>
          <w:color w:val="auto"/>
          <w:sz w:val="24"/>
          <w:highlight w:val="none"/>
        </w:rPr>
        <w:t>（详见格式5）；</w:t>
      </w:r>
    </w:p>
    <w:p>
      <w:pPr>
        <w:spacing w:line="360" w:lineRule="auto"/>
        <w:ind w:firstLine="481"/>
        <w:rPr>
          <w:rFonts w:ascii="仿宋_GB2312" w:eastAsia="仿宋_GB2312"/>
          <w:b/>
          <w:bCs/>
          <w:color w:val="auto"/>
          <w:sz w:val="24"/>
          <w:highlight w:val="none"/>
        </w:rPr>
      </w:pPr>
      <w:r>
        <w:rPr>
          <w:rFonts w:hint="eastAsia" w:ascii="仿宋_GB2312" w:eastAsia="仿宋_GB2312"/>
          <w:color w:val="auto"/>
          <w:sz w:val="24"/>
          <w:highlight w:val="none"/>
        </w:rPr>
        <w:t>（13）</w:t>
      </w:r>
      <w:r>
        <w:rPr>
          <w:rFonts w:hint="eastAsia" w:ascii="仿宋_GB2312" w:hAnsi="宋体" w:eastAsia="仿宋_GB2312"/>
          <w:color w:val="auto"/>
          <w:sz w:val="24"/>
          <w:highlight w:val="none"/>
        </w:rPr>
        <w:t>项目主要管理人员表（详见格式6），</w:t>
      </w:r>
      <w:r>
        <w:rPr>
          <w:rFonts w:hint="eastAsia" w:ascii="仿宋_GB2312" w:eastAsia="仿宋_GB2312"/>
          <w:b/>
          <w:color w:val="auto"/>
          <w:sz w:val="24"/>
          <w:highlight w:val="none"/>
        </w:rPr>
        <w:t>按采购需求配备项目任务组并提供</w:t>
      </w:r>
      <w:r>
        <w:rPr>
          <w:rFonts w:hint="eastAsia" w:ascii="仿宋_GB2312" w:hAnsi="仿宋_GB2312" w:eastAsia="仿宋_GB2312" w:cs="仿宋_GB2312"/>
          <w:b/>
          <w:bCs/>
          <w:color w:val="auto"/>
          <w:kern w:val="0"/>
          <w:sz w:val="24"/>
          <w:highlight w:val="none"/>
        </w:rPr>
        <w:t>主要管理、工作人员花名册及其简历基本信息、</w:t>
      </w:r>
      <w:r>
        <w:rPr>
          <w:rFonts w:hint="eastAsia" w:ascii="仿宋_GB2312" w:eastAsia="仿宋_GB2312"/>
          <w:b/>
          <w:color w:val="auto"/>
          <w:sz w:val="24"/>
          <w:highlight w:val="none"/>
        </w:rPr>
        <w:t>岗位资格、</w:t>
      </w:r>
      <w:r>
        <w:rPr>
          <w:rFonts w:hint="eastAsia" w:ascii="仿宋_GB2312" w:hAnsi="仿宋_GB2312" w:eastAsia="仿宋_GB2312" w:cs="仿宋_GB2312"/>
          <w:b/>
          <w:bCs/>
          <w:color w:val="auto"/>
          <w:kern w:val="0"/>
          <w:sz w:val="24"/>
          <w:highlight w:val="none"/>
        </w:rPr>
        <w:t>职称证书、证件等证明材料</w:t>
      </w:r>
      <w:r>
        <w:rPr>
          <w:rFonts w:hint="eastAsia" w:ascii="仿宋_GB2312" w:hAnsi="宋体" w:eastAsia="仿宋_GB2312"/>
          <w:b/>
          <w:bCs/>
          <w:color w:val="auto"/>
          <w:sz w:val="24"/>
          <w:highlight w:val="none"/>
        </w:rPr>
        <w:t>（复印件加盖供应商公章）</w:t>
      </w:r>
      <w:r>
        <w:rPr>
          <w:rFonts w:hint="eastAsia" w:ascii="仿宋_GB2312" w:eastAsia="仿宋_GB2312"/>
          <w:b/>
          <w:bCs/>
          <w:color w:val="auto"/>
          <w:sz w:val="24"/>
          <w:highlight w:val="none"/>
        </w:rPr>
        <w:t>；</w:t>
      </w:r>
    </w:p>
    <w:p>
      <w:pPr>
        <w:spacing w:line="360" w:lineRule="auto"/>
        <w:ind w:firstLine="481"/>
        <w:rPr>
          <w:rFonts w:ascii="仿宋_GB2312" w:eastAsia="仿宋_GB2312"/>
          <w:color w:val="auto"/>
          <w:sz w:val="24"/>
          <w:highlight w:val="none"/>
        </w:rPr>
      </w:pPr>
      <w:r>
        <w:rPr>
          <w:rFonts w:hint="eastAsia" w:ascii="仿宋_GB2312" w:eastAsia="仿宋_GB2312"/>
          <w:color w:val="auto"/>
          <w:sz w:val="24"/>
          <w:highlight w:val="none"/>
        </w:rPr>
        <w:t>（14）医用耗材、器械、医用</w:t>
      </w:r>
      <w:r>
        <w:rPr>
          <w:rFonts w:hint="eastAsia" w:ascii="仿宋_GB2312" w:hAnsi="宋体" w:eastAsia="仿宋_GB2312"/>
          <w:color w:val="auto"/>
          <w:sz w:val="24"/>
          <w:highlight w:val="none"/>
        </w:rPr>
        <w:t>设备、仪器一览表（详见格</w:t>
      </w:r>
      <w:bookmarkStart w:id="245" w:name="_GoBack"/>
      <w:bookmarkEnd w:id="245"/>
      <w:r>
        <w:rPr>
          <w:rFonts w:hint="eastAsia" w:ascii="仿宋_GB2312" w:hAnsi="宋体" w:eastAsia="仿宋_GB2312"/>
          <w:color w:val="auto"/>
          <w:sz w:val="24"/>
          <w:highlight w:val="none"/>
        </w:rPr>
        <w:t>式7）</w:t>
      </w:r>
      <w:r>
        <w:rPr>
          <w:rFonts w:hint="eastAsia" w:ascii="仿宋_GB2312" w:eastAsia="仿宋_GB2312"/>
          <w:color w:val="auto"/>
          <w:sz w:val="24"/>
          <w:highlight w:val="none"/>
        </w:rPr>
        <w:t>；</w:t>
      </w:r>
    </w:p>
    <w:p>
      <w:pPr>
        <w:spacing w:line="360" w:lineRule="auto"/>
        <w:ind w:firstLine="481"/>
        <w:rPr>
          <w:rFonts w:ascii="仿宋_GB2312" w:eastAsia="仿宋_GB2312"/>
          <w:color w:val="auto"/>
          <w:sz w:val="24"/>
          <w:highlight w:val="none"/>
        </w:rPr>
      </w:pPr>
      <w:r>
        <w:rPr>
          <w:rFonts w:hint="eastAsia" w:ascii="仿宋_GB2312" w:hAnsi="宋体" w:eastAsia="仿宋_GB2312"/>
          <w:color w:val="auto"/>
          <w:sz w:val="24"/>
          <w:highlight w:val="none"/>
        </w:rPr>
        <w:t>（15）</w:t>
      </w:r>
      <w:r>
        <w:rPr>
          <w:rFonts w:hint="eastAsia" w:ascii="仿宋_GB2312" w:eastAsia="仿宋_GB2312"/>
          <w:color w:val="auto"/>
          <w:sz w:val="24"/>
          <w:highlight w:val="none"/>
        </w:rPr>
        <w:t>参与过的同类服务项目业绩表（详见格式</w:t>
      </w:r>
      <w:r>
        <w:rPr>
          <w:rFonts w:hint="eastAsia" w:ascii="仿宋_GB2312" w:hAnsi="华文中宋" w:eastAsia="仿宋_GB2312"/>
          <w:color w:val="auto"/>
          <w:sz w:val="24"/>
          <w:highlight w:val="none"/>
        </w:rPr>
        <w:t>8）</w:t>
      </w:r>
      <w:r>
        <w:rPr>
          <w:rFonts w:hint="eastAsia" w:ascii="仿宋_GB2312" w:eastAsia="仿宋_GB2312"/>
          <w:color w:val="auto"/>
          <w:sz w:val="24"/>
          <w:highlight w:val="none"/>
        </w:rPr>
        <w:t>；</w:t>
      </w:r>
    </w:p>
    <w:p>
      <w:pPr>
        <w:spacing w:line="360" w:lineRule="auto"/>
        <w:ind w:firstLine="481"/>
        <w:rPr>
          <w:rFonts w:ascii="仿宋_GB2312" w:hAnsi="宋体" w:eastAsia="仿宋_GB2312"/>
          <w:color w:val="auto"/>
          <w:sz w:val="24"/>
          <w:highlight w:val="none"/>
        </w:rPr>
      </w:pPr>
      <w:r>
        <w:rPr>
          <w:rFonts w:hint="eastAsia" w:ascii="仿宋_GB2312" w:hAnsi="宋体" w:eastAsia="仿宋_GB2312"/>
          <w:color w:val="auto"/>
          <w:sz w:val="24"/>
          <w:highlight w:val="none"/>
        </w:rPr>
        <w:t>（16）考核验收规范及标准（详见格式9）；</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（17）项目运行方案（详见格式10）；</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w:t>
      </w:r>
      <w:r>
        <w:rPr>
          <w:rFonts w:ascii="仿宋_GB2312" w:hAnsi="宋体" w:eastAsia="仿宋_GB2312"/>
          <w:color w:val="auto"/>
          <w:sz w:val="24"/>
          <w:highlight w:val="none"/>
        </w:rPr>
        <w:t>）</w:t>
      </w:r>
      <w:r>
        <w:rPr>
          <w:rFonts w:hint="eastAsia" w:ascii="仿宋_GB2312" w:hAnsi="宋体" w:eastAsia="仿宋_GB2312"/>
          <w:color w:val="auto"/>
          <w:sz w:val="24"/>
          <w:highlight w:val="none"/>
        </w:rPr>
        <w:t>质量管理及服务安全保证措施及承诺（详见格式11）；</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（19）最优服务及实质性的承诺；</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（20）资格性/符合性自查表（详见文件格式12）；</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（21）诚信声明（详见文件格式13）；</w:t>
      </w:r>
    </w:p>
    <w:p>
      <w:pPr>
        <w:spacing w:line="360" w:lineRule="auto"/>
        <w:ind w:firstLine="480" w:firstLineChars="200"/>
        <w:rPr>
          <w:rFonts w:ascii="仿宋_GB2312" w:hAnsi="华文中宋" w:eastAsia="仿宋_GB2312"/>
          <w:color w:val="auto"/>
          <w:sz w:val="24"/>
          <w:highlight w:val="none"/>
        </w:rPr>
      </w:pPr>
      <w:r>
        <w:rPr>
          <w:rFonts w:hint="eastAsia" w:ascii="仿宋_GB2312" w:hAnsi="华文中宋" w:eastAsia="仿宋_GB2312"/>
          <w:color w:val="auto"/>
          <w:sz w:val="24"/>
          <w:highlight w:val="none"/>
        </w:rPr>
        <w:t>（22）</w:t>
      </w:r>
      <w:r>
        <w:rPr>
          <w:rFonts w:hint="eastAsia" w:ascii="仿宋_GB2312" w:hAnsi="宋体" w:eastAsia="仿宋_GB2312"/>
          <w:color w:val="auto"/>
          <w:sz w:val="24"/>
          <w:highlight w:val="none"/>
        </w:rPr>
        <w:t>提供上一年度经审计的财务报告/财务报表（包括资产负</w:t>
      </w:r>
      <w:r>
        <w:rPr>
          <w:rFonts w:hint="eastAsia" w:ascii="仿宋_GB2312" w:hAnsi="华文中宋" w:eastAsia="仿宋_GB2312"/>
          <w:color w:val="auto"/>
          <w:sz w:val="24"/>
          <w:highlight w:val="none"/>
        </w:rPr>
        <w:t>债表、损益表及经营状况；新成立的公司提供说明）（</w:t>
      </w:r>
      <w:r>
        <w:rPr>
          <w:rFonts w:hint="eastAsia" w:ascii="仿宋_GB2312" w:hAnsi="宋体" w:eastAsia="仿宋_GB2312"/>
          <w:color w:val="auto"/>
          <w:sz w:val="24"/>
          <w:highlight w:val="none"/>
        </w:rPr>
        <w:t>附</w:t>
      </w:r>
      <w:r>
        <w:rPr>
          <w:rFonts w:hint="eastAsia" w:ascii="仿宋_GB2312" w:hAnsi="华文中宋" w:eastAsia="仿宋_GB2312"/>
          <w:color w:val="auto"/>
          <w:sz w:val="24"/>
          <w:highlight w:val="none"/>
        </w:rPr>
        <w:t>复印件加盖供应商公章）；</w:t>
      </w:r>
    </w:p>
    <w:p>
      <w:pPr>
        <w:spacing w:line="360" w:lineRule="auto"/>
        <w:ind w:firstLine="480" w:firstLineChars="200"/>
        <w:rPr>
          <w:rFonts w:ascii="仿宋_GB2312" w:hAnsi="华文中宋" w:eastAsia="仿宋_GB2312"/>
          <w:color w:val="auto"/>
          <w:sz w:val="24"/>
          <w:highlight w:val="none"/>
        </w:rPr>
      </w:pPr>
      <w:r>
        <w:rPr>
          <w:rFonts w:hint="eastAsia" w:ascii="仿宋_GB2312" w:hAnsi="华文中宋" w:eastAsia="仿宋_GB2312"/>
          <w:color w:val="auto"/>
          <w:sz w:val="24"/>
          <w:highlight w:val="none"/>
        </w:rPr>
        <w:t>（23）</w:t>
      </w:r>
      <w:r>
        <w:rPr>
          <w:rFonts w:hint="eastAsia" w:ascii="仿宋_GB2312" w:hAnsi="宋体" w:eastAsia="仿宋_GB2312"/>
          <w:color w:val="auto"/>
          <w:sz w:val="24"/>
          <w:highlight w:val="none"/>
        </w:rPr>
        <w:t>提供上一年度依法缴纳税收和社会保障资金的良好记录的证明材料（附复印件加盖供应商公章）</w:t>
      </w:r>
      <w:r>
        <w:rPr>
          <w:rFonts w:hint="eastAsia" w:ascii="仿宋_GB2312" w:hAnsi="华文中宋" w:eastAsia="仿宋_GB2312"/>
          <w:color w:val="auto"/>
          <w:sz w:val="24"/>
          <w:highlight w:val="none"/>
        </w:rPr>
        <w:t>；</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（24）其它与本项目有关的能证明企业实力的各项证明资料。</w:t>
      </w:r>
    </w:p>
    <w:p>
      <w:pPr>
        <w:tabs>
          <w:tab w:val="left" w:pos="360"/>
          <w:tab w:val="left" w:pos="1800"/>
        </w:tabs>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（25）磋商文件要求提供的其它材料以及供应商认为需要提交的材料。</w:t>
      </w:r>
    </w:p>
    <w:p>
      <w:pPr>
        <w:pStyle w:val="15"/>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特别说明：①上述各种证件、证书复印件须加盖供应商公章。如未按要求加盖供应商公章者，可能导致其响应文件无效。</w:t>
      </w:r>
    </w:p>
    <w:p>
      <w:pPr>
        <w:pStyle w:val="15"/>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②供应商应如实提供资料，并保证真实可靠，不得弄虚作假。如供应商隐瞒事实真相、弄虚作假，一经查实，取消该供应商的磋商资格，若成交的，取消其成交资格。</w:t>
      </w:r>
    </w:p>
    <w:bookmarkEnd w:id="88"/>
    <w:bookmarkEnd w:id="101"/>
    <w:bookmarkEnd w:id="102"/>
    <w:bookmarkEnd w:id="103"/>
    <w:bookmarkEnd w:id="104"/>
    <w:bookmarkEnd w:id="105"/>
    <w:p>
      <w:pPr>
        <w:pStyle w:val="15"/>
        <w:spacing w:line="360" w:lineRule="auto"/>
        <w:ind w:firstLine="480" w:firstLineChars="200"/>
        <w:rPr>
          <w:rFonts w:ascii="仿宋_GB2312" w:eastAsia="仿宋_GB2312"/>
          <w:b/>
          <w:color w:val="auto"/>
          <w:sz w:val="24"/>
          <w:highlight w:val="none"/>
        </w:rPr>
      </w:pPr>
      <w:bookmarkStart w:id="106" w:name="_Toc243906333"/>
      <w:bookmarkStart w:id="107" w:name="_Toc233274834"/>
      <w:bookmarkStart w:id="108" w:name="_Toc246216203"/>
      <w:bookmarkStart w:id="109" w:name="_Toc243907594"/>
      <w:r>
        <w:rPr>
          <w:rFonts w:hint="eastAsia" w:ascii="仿宋_GB2312" w:eastAsia="仿宋_GB2312"/>
          <w:color w:val="auto"/>
          <w:sz w:val="24"/>
          <w:highlight w:val="none"/>
        </w:rPr>
        <w:t>15、响应文件格式</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15.1供应商应按</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提供的格式及商务报价说明完整地填写所提供的服务以及数量、单价和合价等内容。</w:t>
      </w:r>
    </w:p>
    <w:p>
      <w:pPr>
        <w:pStyle w:val="15"/>
        <w:spacing w:line="360" w:lineRule="auto"/>
        <w:ind w:firstLine="480" w:firstLineChars="200"/>
        <w:outlineLvl w:val="1"/>
        <w:rPr>
          <w:rFonts w:ascii="仿宋_GB2312" w:eastAsia="仿宋_GB2312"/>
          <w:color w:val="auto"/>
          <w:sz w:val="24"/>
          <w:highlight w:val="none"/>
        </w:rPr>
      </w:pPr>
      <w:bookmarkStart w:id="110" w:name="_Toc245897289"/>
      <w:bookmarkStart w:id="111" w:name="_Toc233274829"/>
      <w:bookmarkStart w:id="112" w:name="_Toc243906328"/>
      <w:bookmarkStart w:id="113" w:name="_Toc243907589"/>
      <w:r>
        <w:rPr>
          <w:rFonts w:hint="eastAsia" w:ascii="仿宋_GB2312" w:eastAsia="仿宋_GB2312"/>
          <w:color w:val="auto"/>
          <w:sz w:val="24"/>
          <w:highlight w:val="none"/>
        </w:rPr>
        <w:t>16、供应商资格证明文件</w:t>
      </w:r>
      <w:bookmarkEnd w:id="110"/>
      <w:bookmarkEnd w:id="111"/>
      <w:bookmarkEnd w:id="112"/>
      <w:bookmarkEnd w:id="113"/>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16.1 供应商必须提交证明其有资格参加磋商和成交后有能力履行合同的文件。</w:t>
      </w:r>
    </w:p>
    <w:p>
      <w:pPr>
        <w:pStyle w:val="15"/>
        <w:spacing w:line="360" w:lineRule="auto"/>
        <w:ind w:firstLine="480" w:firstLineChars="200"/>
        <w:outlineLvl w:val="1"/>
        <w:rPr>
          <w:rFonts w:ascii="仿宋_GB2312" w:eastAsia="仿宋_GB2312"/>
          <w:color w:val="auto"/>
          <w:sz w:val="24"/>
          <w:highlight w:val="none"/>
        </w:rPr>
      </w:pPr>
      <w:bookmarkStart w:id="114" w:name="_Toc233274830"/>
      <w:bookmarkStart w:id="115" w:name="_Toc243906329"/>
      <w:bookmarkStart w:id="116" w:name="_Toc245897290"/>
      <w:bookmarkStart w:id="117" w:name="_Toc243907590"/>
      <w:r>
        <w:rPr>
          <w:rFonts w:hint="eastAsia" w:ascii="仿宋_GB2312" w:eastAsia="仿宋_GB2312"/>
          <w:color w:val="auto"/>
          <w:sz w:val="24"/>
          <w:highlight w:val="none"/>
        </w:rPr>
        <w:t>17、提供的服务符合</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规定的技术响应文件</w:t>
      </w:r>
      <w:bookmarkEnd w:id="114"/>
      <w:bookmarkEnd w:id="115"/>
      <w:bookmarkEnd w:id="116"/>
      <w:bookmarkEnd w:id="117"/>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17.1 供应商须提交证明其拟供服务符合</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、技术规范及标准、项目采购需求规定的技术响应文件，作为响应文件的一部分；</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17.2上述文件可以是文字资料、图纸和数据，并须提供主要技术性能的详细描述及设备清单和所提供服务的详细说明；</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17.3供应商应逐条对</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、项目采购需求、合同条款等进行仔细阅读，提出自己提供的服务是否对其做出了实质性的响应。</w:t>
      </w:r>
    </w:p>
    <w:p>
      <w:pPr>
        <w:pStyle w:val="15"/>
        <w:spacing w:line="360" w:lineRule="auto"/>
        <w:ind w:firstLine="480" w:firstLineChars="200"/>
        <w:outlineLvl w:val="1"/>
        <w:rPr>
          <w:rFonts w:ascii="仿宋_GB2312" w:eastAsia="仿宋_GB2312"/>
          <w:color w:val="auto"/>
          <w:sz w:val="24"/>
          <w:highlight w:val="none"/>
        </w:rPr>
      </w:pPr>
      <w:bookmarkStart w:id="118" w:name="_Toc233274831"/>
      <w:bookmarkStart w:id="119" w:name="_Toc245897291"/>
      <w:bookmarkStart w:id="120" w:name="_Toc243907591"/>
      <w:bookmarkStart w:id="121" w:name="_Toc243906330"/>
      <w:r>
        <w:rPr>
          <w:rFonts w:hint="eastAsia" w:ascii="仿宋_GB2312" w:eastAsia="仿宋_GB2312"/>
          <w:color w:val="auto"/>
          <w:sz w:val="24"/>
          <w:highlight w:val="none"/>
        </w:rPr>
        <w:t>18、响应文件有效期</w:t>
      </w:r>
      <w:bookmarkEnd w:id="118"/>
      <w:bookmarkEnd w:id="119"/>
      <w:bookmarkEnd w:id="120"/>
      <w:bookmarkEnd w:id="121"/>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18.1</w:t>
      </w:r>
      <w:r>
        <w:rPr>
          <w:rFonts w:hint="eastAsia" w:ascii="仿宋_GB2312" w:eastAsia="仿宋_GB2312"/>
          <w:b/>
          <w:color w:val="auto"/>
          <w:sz w:val="24"/>
          <w:highlight w:val="none"/>
        </w:rPr>
        <w:t>响应文件有效期为</w:t>
      </w:r>
      <w:r>
        <w:rPr>
          <w:rFonts w:hint="eastAsia" w:ascii="仿宋_GB2312" w:hAnsi="宋体" w:eastAsia="仿宋_GB2312"/>
          <w:b/>
          <w:color w:val="auto"/>
          <w:sz w:val="24"/>
          <w:highlight w:val="none"/>
        </w:rPr>
        <w:t>递交响应文件截止之日起60天（日历日）</w:t>
      </w:r>
      <w:r>
        <w:rPr>
          <w:rFonts w:hint="eastAsia" w:ascii="仿宋_GB2312" w:eastAsia="仿宋_GB2312"/>
          <w:color w:val="auto"/>
          <w:sz w:val="24"/>
          <w:highlight w:val="none"/>
        </w:rPr>
        <w:t>。供应商的响应文件有效期比规定的有效期短的，将被视为非响应而予以拒绝。</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18.2 特殊情况下，在原有效期届满之前，采购人可征得供应商的同意延长其有效期，这种要求与答复均应以书面形式。供应商拒绝延长的，其响应文件失效。同意延长有效期的供应商，既不要求也不允许其修改响应文件。</w:t>
      </w:r>
    </w:p>
    <w:p>
      <w:pPr>
        <w:pStyle w:val="15"/>
        <w:spacing w:line="360" w:lineRule="auto"/>
        <w:ind w:firstLine="480" w:firstLineChars="200"/>
        <w:outlineLvl w:val="1"/>
        <w:rPr>
          <w:rFonts w:ascii="仿宋_GB2312" w:eastAsia="仿宋_GB2312"/>
          <w:color w:val="auto"/>
          <w:sz w:val="24"/>
          <w:highlight w:val="none"/>
        </w:rPr>
      </w:pPr>
      <w:bookmarkStart w:id="122" w:name="_Toc245897292"/>
      <w:bookmarkStart w:id="123" w:name="_Toc233274832"/>
      <w:bookmarkStart w:id="124" w:name="_Toc243906331"/>
      <w:bookmarkStart w:id="125" w:name="_Toc243907592"/>
      <w:r>
        <w:rPr>
          <w:rFonts w:hint="eastAsia" w:ascii="仿宋_GB2312" w:eastAsia="仿宋_GB2312"/>
          <w:color w:val="auto"/>
          <w:sz w:val="24"/>
          <w:highlight w:val="none"/>
        </w:rPr>
        <w:t>19、响应文件的签署及规定</w:t>
      </w:r>
      <w:bookmarkEnd w:id="122"/>
      <w:bookmarkEnd w:id="123"/>
      <w:bookmarkEnd w:id="124"/>
      <w:bookmarkEnd w:id="125"/>
    </w:p>
    <w:p>
      <w:pPr>
        <w:spacing w:line="360" w:lineRule="auto"/>
        <w:ind w:firstLine="480" w:firstLineChars="200"/>
        <w:rPr>
          <w:rFonts w:ascii="仿宋_GB2312" w:eastAsia="仿宋_GB2312"/>
          <w:b/>
          <w:color w:val="auto"/>
          <w:sz w:val="24"/>
          <w:highlight w:val="none"/>
        </w:rPr>
      </w:pPr>
      <w:r>
        <w:rPr>
          <w:rFonts w:hint="eastAsia" w:ascii="仿宋_GB2312" w:eastAsia="仿宋_GB2312"/>
          <w:color w:val="auto"/>
          <w:sz w:val="24"/>
          <w:highlight w:val="none"/>
        </w:rPr>
        <w:t>19.1供应商应提交本须知第14条规定的</w:t>
      </w:r>
      <w:r>
        <w:rPr>
          <w:rFonts w:hint="eastAsia" w:ascii="仿宋_GB2312" w:eastAsia="仿宋_GB2312"/>
          <w:b/>
          <w:color w:val="auto"/>
          <w:sz w:val="24"/>
          <w:highlight w:val="none"/>
        </w:rPr>
        <w:t>书面响应文件一式</w:t>
      </w:r>
      <w:r>
        <w:rPr>
          <w:rFonts w:hint="eastAsia" w:ascii="仿宋_GB2312" w:eastAsia="仿宋_GB2312"/>
          <w:b/>
          <w:color w:val="auto"/>
          <w:sz w:val="24"/>
          <w:highlight w:val="none"/>
          <w:u w:val="single"/>
        </w:rPr>
        <w:t>柒份</w:t>
      </w:r>
      <w:r>
        <w:rPr>
          <w:rFonts w:hint="eastAsia" w:ascii="仿宋_GB2312" w:eastAsia="仿宋_GB2312"/>
          <w:color w:val="auto"/>
          <w:sz w:val="24"/>
          <w:highlight w:val="none"/>
        </w:rPr>
        <w:t>，其中：</w:t>
      </w:r>
      <w:r>
        <w:rPr>
          <w:rFonts w:hint="eastAsia" w:ascii="仿宋_GB2312" w:eastAsia="仿宋_GB2312"/>
          <w:b/>
          <w:color w:val="auto"/>
          <w:sz w:val="24"/>
          <w:highlight w:val="none"/>
          <w:u w:val="single"/>
        </w:rPr>
        <w:t>壹份正本</w:t>
      </w:r>
      <w:r>
        <w:rPr>
          <w:rFonts w:hint="eastAsia" w:ascii="仿宋_GB2312" w:eastAsia="仿宋_GB2312"/>
          <w:b/>
          <w:color w:val="auto"/>
          <w:sz w:val="24"/>
          <w:highlight w:val="none"/>
        </w:rPr>
        <w:t>和</w:t>
      </w:r>
      <w:r>
        <w:rPr>
          <w:rFonts w:hint="eastAsia" w:ascii="仿宋_GB2312" w:eastAsia="仿宋_GB2312"/>
          <w:b/>
          <w:color w:val="auto"/>
          <w:sz w:val="24"/>
          <w:highlight w:val="none"/>
          <w:u w:val="single"/>
        </w:rPr>
        <w:t>陆份副本</w:t>
      </w:r>
      <w:r>
        <w:rPr>
          <w:rFonts w:hint="eastAsia" w:ascii="仿宋_GB2312" w:eastAsia="仿宋_GB2312"/>
          <w:color w:val="auto"/>
          <w:sz w:val="24"/>
          <w:highlight w:val="none"/>
        </w:rPr>
        <w:t>，在每一份响应文件上应明确注明“正本”或“副本”字样，如正、副本之间有差异，以正本为准。</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19.2响应文件正本和副本须打印并由法定代表人或委托代理人签字或盖章。响应文件应加盖供应商的公章。</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19.3 除供应商对错误做必要修改外，响应文件中不许有增删、涂改或改写。若确有修改必须由签署响应文件的委托代理人签字或盖章。</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19.4响应文件副本的上述签名及盖章之处既可由供应商的法定代表人或其委托代理人签字或盖章，也可通过复印正本将上述签名及盖章复制到副本上。</w:t>
      </w:r>
    </w:p>
    <w:p>
      <w:pPr>
        <w:pStyle w:val="15"/>
        <w:spacing w:line="360" w:lineRule="auto"/>
        <w:ind w:firstLine="480" w:firstLineChars="200"/>
        <w:rPr>
          <w:rFonts w:ascii="仿宋_GB2312" w:eastAsia="仿宋_GB2312"/>
          <w:b/>
          <w:bCs/>
          <w:color w:val="auto"/>
          <w:sz w:val="28"/>
          <w:szCs w:val="28"/>
          <w:highlight w:val="none"/>
        </w:rPr>
      </w:pPr>
      <w:r>
        <w:rPr>
          <w:rFonts w:hint="eastAsia" w:ascii="仿宋_GB2312" w:eastAsia="仿宋_GB2312"/>
          <w:color w:val="auto"/>
          <w:sz w:val="24"/>
          <w:highlight w:val="none"/>
        </w:rPr>
        <w:t>19.5 采购人概不接受电报、电传、电话、邮寄以及电子邮件等方式的磋商。</w:t>
      </w:r>
    </w:p>
    <w:p>
      <w:pPr>
        <w:pStyle w:val="15"/>
        <w:spacing w:line="360" w:lineRule="auto"/>
        <w:ind w:firstLine="562" w:firstLineChars="200"/>
        <w:jc w:val="center"/>
        <w:outlineLvl w:val="1"/>
        <w:rPr>
          <w:rFonts w:ascii="仿宋_GB2312" w:eastAsia="仿宋_GB2312"/>
          <w:b/>
          <w:bCs/>
          <w:color w:val="auto"/>
          <w:sz w:val="28"/>
          <w:szCs w:val="28"/>
          <w:highlight w:val="none"/>
        </w:rPr>
      </w:pPr>
    </w:p>
    <w:p>
      <w:pPr>
        <w:pStyle w:val="15"/>
        <w:spacing w:line="360" w:lineRule="auto"/>
        <w:ind w:firstLine="562" w:firstLineChars="200"/>
        <w:jc w:val="center"/>
        <w:outlineLvl w:val="1"/>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D  响应文件的递交、修改和撤回</w:t>
      </w:r>
      <w:bookmarkEnd w:id="106"/>
      <w:bookmarkEnd w:id="107"/>
      <w:bookmarkEnd w:id="108"/>
      <w:bookmarkEnd w:id="109"/>
    </w:p>
    <w:p>
      <w:pPr>
        <w:spacing w:line="360" w:lineRule="auto"/>
        <w:ind w:firstLine="480" w:firstLineChars="200"/>
        <w:outlineLvl w:val="1"/>
        <w:rPr>
          <w:rFonts w:ascii="仿宋_GB2312" w:eastAsia="仿宋_GB2312"/>
          <w:color w:val="auto"/>
          <w:sz w:val="24"/>
          <w:highlight w:val="none"/>
        </w:rPr>
      </w:pPr>
      <w:bookmarkStart w:id="126" w:name="_Toc233274835"/>
      <w:bookmarkStart w:id="127" w:name="_Toc243906334"/>
      <w:bookmarkStart w:id="128" w:name="_Toc243907595"/>
      <w:bookmarkStart w:id="129" w:name="_Toc245897295"/>
      <w:r>
        <w:rPr>
          <w:rFonts w:hint="eastAsia" w:ascii="仿宋_GB2312" w:eastAsia="仿宋_GB2312"/>
          <w:color w:val="auto"/>
          <w:sz w:val="24"/>
          <w:highlight w:val="none"/>
        </w:rPr>
        <w:t>20、响应文件的密封和标记</w:t>
      </w:r>
      <w:bookmarkEnd w:id="126"/>
      <w:bookmarkEnd w:id="127"/>
      <w:bookmarkEnd w:id="128"/>
      <w:bookmarkEnd w:id="129"/>
    </w:p>
    <w:p>
      <w:pPr>
        <w:spacing w:line="360" w:lineRule="auto"/>
        <w:ind w:firstLine="480" w:firstLineChars="200"/>
        <w:outlineLvl w:val="1"/>
        <w:rPr>
          <w:rFonts w:ascii="仿宋_GB2312" w:eastAsia="仿宋_GB2312"/>
          <w:b/>
          <w:color w:val="auto"/>
          <w:highlight w:val="none"/>
        </w:rPr>
      </w:pPr>
      <w:r>
        <w:rPr>
          <w:rFonts w:hint="eastAsia" w:ascii="仿宋_GB2312" w:eastAsia="仿宋_GB2312"/>
          <w:color w:val="auto"/>
          <w:sz w:val="24"/>
          <w:highlight w:val="none"/>
        </w:rPr>
        <w:t>20.1</w:t>
      </w:r>
      <w:r>
        <w:rPr>
          <w:rFonts w:hint="eastAsia" w:ascii="黑体" w:eastAsia="黑体"/>
          <w:b/>
          <w:color w:val="auto"/>
          <w:sz w:val="24"/>
          <w:highlight w:val="none"/>
        </w:rPr>
        <w:t>响应文件均按A4复印纸页面编制、装订。所有响应文件均为明标。</w:t>
      </w:r>
    </w:p>
    <w:p>
      <w:pPr>
        <w:spacing w:line="360" w:lineRule="auto"/>
        <w:ind w:firstLine="480" w:firstLineChars="200"/>
        <w:rPr>
          <w:rFonts w:ascii="黑体" w:eastAsia="黑体"/>
          <w:b/>
          <w:color w:val="auto"/>
          <w:sz w:val="24"/>
          <w:highlight w:val="none"/>
        </w:rPr>
      </w:pPr>
      <w:r>
        <w:rPr>
          <w:rFonts w:hint="eastAsia" w:ascii="仿宋_GB2312" w:eastAsia="仿宋_GB2312"/>
          <w:color w:val="auto"/>
          <w:sz w:val="24"/>
          <w:highlight w:val="none"/>
        </w:rPr>
        <w:t>20.2</w:t>
      </w:r>
      <w:r>
        <w:rPr>
          <w:rFonts w:hint="eastAsia" w:ascii="黑体" w:hAnsi="宋体" w:eastAsia="黑体"/>
          <w:b/>
          <w:color w:val="auto"/>
          <w:sz w:val="24"/>
          <w:highlight w:val="none"/>
        </w:rPr>
        <w:t>供应商应将响应文件装订、密封，并在密封处加盖供应商公章。</w:t>
      </w:r>
    </w:p>
    <w:p>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20.3</w:t>
      </w:r>
      <w:r>
        <w:rPr>
          <w:rFonts w:hint="eastAsia" w:ascii="仿宋_GB2312" w:hAnsi="宋体" w:eastAsia="仿宋_GB2312"/>
          <w:color w:val="auto"/>
          <w:sz w:val="24"/>
          <w:highlight w:val="none"/>
        </w:rPr>
        <w:t xml:space="preserve">响应文件密封袋上均应写明“采购人”、“ 项目名称”、“ </w:t>
      </w:r>
      <w:r>
        <w:rPr>
          <w:rFonts w:hint="eastAsia" w:ascii="仿宋_GB2312" w:hAnsi="宋体" w:eastAsia="仿宋_GB2312"/>
          <w:color w:val="auto"/>
          <w:sz w:val="24"/>
          <w:highlight w:val="none"/>
          <w:lang w:eastAsia="zh-CN"/>
        </w:rPr>
        <w:t>竞争性磋商文件</w:t>
      </w:r>
      <w:r>
        <w:rPr>
          <w:rFonts w:hint="eastAsia" w:ascii="仿宋_GB2312" w:hAnsi="宋体" w:eastAsia="仿宋_GB2312"/>
          <w:color w:val="auto"/>
          <w:sz w:val="24"/>
          <w:highlight w:val="none"/>
        </w:rPr>
        <w:t>编号”、“ 供应商名称”和“地址”等事项并注明“开启前不准启封”等字样。</w:t>
      </w:r>
    </w:p>
    <w:p>
      <w:pPr>
        <w:spacing w:line="360" w:lineRule="auto"/>
        <w:ind w:firstLine="480" w:firstLineChars="200"/>
        <w:rPr>
          <w:rFonts w:ascii="仿宋_GB2312" w:eastAsia="仿宋_GB2312"/>
          <w:color w:val="auto"/>
          <w:highlight w:val="none"/>
        </w:rPr>
      </w:pPr>
      <w:r>
        <w:rPr>
          <w:rFonts w:hint="eastAsia" w:ascii="仿宋_GB2312" w:eastAsia="仿宋_GB2312"/>
          <w:color w:val="auto"/>
          <w:sz w:val="24"/>
          <w:highlight w:val="none"/>
        </w:rPr>
        <w:t>20.4未按本要求密封、标记的响应文件，采购人（或采购代理机构）不对后果负责。</w:t>
      </w:r>
    </w:p>
    <w:p>
      <w:pPr>
        <w:pStyle w:val="15"/>
        <w:spacing w:line="360" w:lineRule="auto"/>
        <w:ind w:firstLine="480" w:firstLineChars="200"/>
        <w:outlineLvl w:val="1"/>
        <w:rPr>
          <w:rFonts w:ascii="仿宋_GB2312" w:eastAsia="仿宋_GB2312"/>
          <w:color w:val="auto"/>
          <w:sz w:val="24"/>
          <w:szCs w:val="24"/>
          <w:highlight w:val="none"/>
        </w:rPr>
      </w:pPr>
      <w:bookmarkStart w:id="130" w:name="_Toc245897296"/>
      <w:bookmarkStart w:id="131" w:name="_Toc243907596"/>
      <w:bookmarkStart w:id="132" w:name="_Toc233274836"/>
      <w:bookmarkStart w:id="133" w:name="_Toc243906335"/>
      <w:r>
        <w:rPr>
          <w:rFonts w:hint="eastAsia" w:ascii="仿宋_GB2312" w:eastAsia="仿宋_GB2312"/>
          <w:color w:val="auto"/>
          <w:sz w:val="24"/>
          <w:szCs w:val="24"/>
          <w:highlight w:val="none"/>
        </w:rPr>
        <w:t>21、递交响应文件截止时间</w:t>
      </w:r>
      <w:bookmarkEnd w:id="130"/>
      <w:bookmarkEnd w:id="131"/>
      <w:bookmarkEnd w:id="132"/>
      <w:bookmarkEnd w:id="133"/>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szCs w:val="24"/>
          <w:highlight w:val="none"/>
        </w:rPr>
        <w:t>21.1 所有响应文件都必须按采购人</w:t>
      </w:r>
      <w:r>
        <w:rPr>
          <w:rFonts w:hint="eastAsia" w:ascii="仿宋_GB2312" w:eastAsia="仿宋_GB2312"/>
          <w:color w:val="auto"/>
          <w:sz w:val="24"/>
          <w:highlight w:val="none"/>
        </w:rPr>
        <w:t>在供应商须知前格式中规定的截止时间之前送达。</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21.2出现因</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的修改推迟截止日期时，则按采购代理机构修改通知规定的时间递交响应文件。在此情况下，采购人和采购代理机构与供应商之间受截止期制约的所有权利和义务应延长至新的截止期。</w:t>
      </w:r>
    </w:p>
    <w:p>
      <w:pPr>
        <w:pStyle w:val="15"/>
        <w:spacing w:line="360" w:lineRule="auto"/>
        <w:ind w:firstLine="480" w:firstLineChars="200"/>
        <w:outlineLvl w:val="1"/>
        <w:rPr>
          <w:rFonts w:ascii="仿宋_GB2312" w:eastAsia="仿宋_GB2312"/>
          <w:color w:val="auto"/>
          <w:sz w:val="24"/>
          <w:highlight w:val="none"/>
        </w:rPr>
      </w:pPr>
      <w:bookmarkStart w:id="134" w:name="_Toc233274837"/>
      <w:bookmarkStart w:id="135" w:name="_Toc245897297"/>
      <w:bookmarkStart w:id="136" w:name="_Toc243906336"/>
      <w:bookmarkStart w:id="137" w:name="_Toc243907597"/>
      <w:r>
        <w:rPr>
          <w:rFonts w:hint="eastAsia" w:ascii="仿宋_GB2312" w:eastAsia="仿宋_GB2312"/>
          <w:color w:val="auto"/>
          <w:sz w:val="24"/>
          <w:highlight w:val="none"/>
        </w:rPr>
        <w:t>22、迟交的响应文件</w:t>
      </w:r>
      <w:bookmarkEnd w:id="134"/>
      <w:bookmarkEnd w:id="135"/>
      <w:bookmarkEnd w:id="136"/>
      <w:bookmarkEnd w:id="137"/>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22.1 采购人将拒绝并原封退回在其规定的截止时间后送达的响应文件。</w:t>
      </w:r>
    </w:p>
    <w:p>
      <w:pPr>
        <w:pStyle w:val="15"/>
        <w:spacing w:line="360" w:lineRule="auto"/>
        <w:ind w:firstLine="480" w:firstLineChars="200"/>
        <w:outlineLvl w:val="1"/>
        <w:rPr>
          <w:rFonts w:ascii="仿宋_GB2312" w:eastAsia="仿宋_GB2312"/>
          <w:color w:val="auto"/>
          <w:sz w:val="24"/>
          <w:highlight w:val="none"/>
        </w:rPr>
      </w:pPr>
      <w:bookmarkStart w:id="138" w:name="_Toc245897298"/>
      <w:bookmarkStart w:id="139" w:name="_Toc243906337"/>
      <w:bookmarkStart w:id="140" w:name="_Toc243907598"/>
      <w:bookmarkStart w:id="141" w:name="_Toc233274838"/>
      <w:r>
        <w:rPr>
          <w:rFonts w:hint="eastAsia" w:ascii="仿宋_GB2312" w:eastAsia="仿宋_GB2312"/>
          <w:color w:val="auto"/>
          <w:sz w:val="24"/>
          <w:highlight w:val="none"/>
        </w:rPr>
        <w:t>23、响应文件的修改和撤回</w:t>
      </w:r>
      <w:bookmarkEnd w:id="138"/>
      <w:bookmarkEnd w:id="139"/>
      <w:bookmarkEnd w:id="140"/>
      <w:bookmarkEnd w:id="141"/>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23.1 供应商在提交响应文件后可在截止时间前对其响应文件进行修改或撤回，但采购人须在截止时间之前收到该修改或撤回的书面通知，该通知须有法定代表人或经有效授权的委托代理人签字或盖章。</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23.2 供应商对响应文件修改的书面材料或撤回的通知应按第20条和第21条规定进行编写、密封、标记和递交，并注明“修改响应文件”或“撤回响应文件”字样。</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23.3截止时间之后，供应商不得对响应文件做任何修改。</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23.4 供应商不得在截止时间起至响应文件有效期期满前撤回响应文件。</w:t>
      </w:r>
    </w:p>
    <w:p>
      <w:pPr>
        <w:spacing w:line="360" w:lineRule="auto"/>
        <w:ind w:firstLine="480" w:firstLineChars="200"/>
        <w:outlineLvl w:val="1"/>
        <w:rPr>
          <w:rFonts w:ascii="仿宋_GB2312" w:hAnsi="宋体" w:eastAsia="仿宋_GB2312"/>
          <w:color w:val="auto"/>
          <w:sz w:val="24"/>
          <w:highlight w:val="none"/>
        </w:rPr>
      </w:pPr>
      <w:bookmarkStart w:id="142" w:name="_Toc243906338"/>
      <w:bookmarkStart w:id="143" w:name="_Toc245897299"/>
      <w:bookmarkStart w:id="144" w:name="_Toc233274839"/>
      <w:bookmarkStart w:id="145" w:name="_Toc243907599"/>
      <w:r>
        <w:rPr>
          <w:rFonts w:hint="eastAsia" w:ascii="仿宋_GB2312" w:hAnsi="宋体" w:eastAsia="仿宋_GB2312"/>
          <w:color w:val="auto"/>
          <w:sz w:val="24"/>
          <w:highlight w:val="none"/>
        </w:rPr>
        <w:t>24、递交响应文件</w:t>
      </w:r>
      <w:bookmarkEnd w:id="142"/>
      <w:bookmarkEnd w:id="143"/>
      <w:bookmarkEnd w:id="144"/>
      <w:bookmarkEnd w:id="145"/>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24.1供应商应按本供应商须知前格式第7项规定的时间及地点递交响应文件。</w:t>
      </w:r>
    </w:p>
    <w:p>
      <w:pPr>
        <w:spacing w:line="360" w:lineRule="auto"/>
        <w:ind w:firstLine="482" w:firstLineChars="200"/>
        <w:rPr>
          <w:rFonts w:ascii="黑体" w:hAnsi="宋体" w:eastAsia="黑体"/>
          <w:b/>
          <w:color w:val="auto"/>
          <w:sz w:val="24"/>
          <w:highlight w:val="none"/>
        </w:rPr>
      </w:pPr>
      <w:r>
        <w:rPr>
          <w:rFonts w:hint="eastAsia" w:ascii="黑体" w:hAnsi="宋体" w:eastAsia="黑体"/>
          <w:b/>
          <w:color w:val="auto"/>
          <w:sz w:val="24"/>
          <w:highlight w:val="none"/>
        </w:rPr>
        <w:t>24.2有下列情形之一的，采购人不予接收其响应文件：</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24.2.1供应商在递交响应文件截止时间后送达或未送达到指定地点的响应文件；</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24.2.2 响应文件未按</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要求密封的。</w:t>
      </w:r>
    </w:p>
    <w:p>
      <w:pPr>
        <w:spacing w:line="360" w:lineRule="auto"/>
        <w:ind w:firstLine="562" w:firstLineChars="200"/>
        <w:jc w:val="center"/>
        <w:outlineLvl w:val="1"/>
        <w:rPr>
          <w:rFonts w:ascii="仿宋_GB2312" w:hAnsi="Courier New" w:eastAsia="仿宋_GB2312"/>
          <w:b/>
          <w:bCs/>
          <w:color w:val="auto"/>
          <w:sz w:val="28"/>
          <w:szCs w:val="28"/>
          <w:highlight w:val="none"/>
        </w:rPr>
      </w:pPr>
      <w:bookmarkStart w:id="146" w:name="_Toc233274840"/>
      <w:bookmarkStart w:id="147" w:name="_Toc243906339"/>
      <w:bookmarkStart w:id="148" w:name="_Toc246216209"/>
      <w:bookmarkStart w:id="149" w:name="_Toc243907600"/>
      <w:r>
        <w:rPr>
          <w:rFonts w:hint="eastAsia" w:ascii="仿宋_GB2312" w:hAnsi="Courier New" w:eastAsia="仿宋_GB2312"/>
          <w:b/>
          <w:bCs/>
          <w:color w:val="auto"/>
          <w:sz w:val="28"/>
          <w:szCs w:val="28"/>
          <w:highlight w:val="none"/>
        </w:rPr>
        <w:t>E  磋商、评审、</w:t>
      </w:r>
      <w:bookmarkEnd w:id="146"/>
      <w:bookmarkEnd w:id="147"/>
      <w:bookmarkEnd w:id="148"/>
      <w:bookmarkEnd w:id="149"/>
      <w:r>
        <w:rPr>
          <w:rFonts w:hint="eastAsia" w:ascii="仿宋_GB2312" w:hAnsi="Courier New" w:eastAsia="仿宋_GB2312"/>
          <w:b/>
          <w:bCs/>
          <w:color w:val="auto"/>
          <w:sz w:val="28"/>
          <w:szCs w:val="28"/>
          <w:highlight w:val="none"/>
        </w:rPr>
        <w:t>确定成交供应商</w:t>
      </w:r>
    </w:p>
    <w:p>
      <w:pPr>
        <w:spacing w:line="360" w:lineRule="auto"/>
        <w:ind w:firstLine="480" w:firstLineChars="200"/>
        <w:rPr>
          <w:rFonts w:ascii="仿宋_GB2312" w:hAnsi="Courier New" w:eastAsia="仿宋_GB2312"/>
          <w:color w:val="auto"/>
          <w:sz w:val="24"/>
          <w:szCs w:val="20"/>
          <w:highlight w:val="none"/>
        </w:rPr>
      </w:pPr>
    </w:p>
    <w:p>
      <w:pPr>
        <w:spacing w:line="360" w:lineRule="auto"/>
        <w:ind w:firstLine="480" w:firstLineChars="200"/>
        <w:outlineLvl w:val="1"/>
        <w:rPr>
          <w:rFonts w:ascii="仿宋_GB2312" w:hAnsi="宋体" w:eastAsia="仿宋_GB2312"/>
          <w:color w:val="auto"/>
          <w:sz w:val="24"/>
          <w:szCs w:val="20"/>
          <w:highlight w:val="none"/>
        </w:rPr>
      </w:pPr>
      <w:bookmarkStart w:id="150" w:name="_Toc243906340"/>
      <w:bookmarkStart w:id="151" w:name="_Toc233274841"/>
      <w:bookmarkStart w:id="152" w:name="_Toc245897301"/>
      <w:bookmarkStart w:id="153" w:name="_Toc243907601"/>
      <w:r>
        <w:rPr>
          <w:rFonts w:hint="eastAsia" w:ascii="仿宋_GB2312" w:hAnsi="宋体" w:eastAsia="仿宋_GB2312"/>
          <w:color w:val="auto"/>
          <w:sz w:val="24"/>
          <w:szCs w:val="20"/>
          <w:highlight w:val="none"/>
        </w:rPr>
        <w:t>25、</w:t>
      </w:r>
      <w:bookmarkEnd w:id="150"/>
      <w:bookmarkEnd w:id="151"/>
      <w:bookmarkEnd w:id="152"/>
      <w:bookmarkEnd w:id="153"/>
      <w:r>
        <w:rPr>
          <w:rFonts w:hint="eastAsia" w:ascii="仿宋_GB2312" w:hAnsi="宋体" w:eastAsia="仿宋_GB2312"/>
          <w:color w:val="auto"/>
          <w:sz w:val="24"/>
          <w:szCs w:val="20"/>
          <w:highlight w:val="none"/>
        </w:rPr>
        <w:t>磋商会议</w:t>
      </w:r>
    </w:p>
    <w:p>
      <w:pPr>
        <w:spacing w:line="360" w:lineRule="auto"/>
        <w:ind w:firstLine="480" w:firstLineChars="200"/>
        <w:rPr>
          <w:rFonts w:ascii="仿宋_GB2312" w:hAnsi="宋体" w:eastAsia="仿宋_GB2312"/>
          <w:color w:val="auto"/>
          <w:sz w:val="24"/>
          <w:szCs w:val="20"/>
          <w:highlight w:val="none"/>
        </w:rPr>
      </w:pPr>
      <w:r>
        <w:rPr>
          <w:rFonts w:hint="eastAsia" w:ascii="仿宋_GB2312" w:hAnsi="宋体" w:eastAsia="仿宋_GB2312"/>
          <w:color w:val="auto"/>
          <w:sz w:val="24"/>
          <w:szCs w:val="20"/>
          <w:highlight w:val="none"/>
        </w:rPr>
        <w:t>25.1采购人在本供应商须知前格式第8项规定的时间和地点组织磋商会议。</w:t>
      </w:r>
    </w:p>
    <w:p>
      <w:pPr>
        <w:spacing w:line="360" w:lineRule="auto"/>
        <w:ind w:firstLine="480" w:firstLineChars="200"/>
        <w:rPr>
          <w:rFonts w:ascii="仿宋_GB2312" w:hAnsi="宋体" w:eastAsia="仿宋_GB2312"/>
          <w:color w:val="auto"/>
          <w:sz w:val="24"/>
          <w:szCs w:val="20"/>
          <w:highlight w:val="none"/>
        </w:rPr>
      </w:pPr>
      <w:r>
        <w:rPr>
          <w:rFonts w:hint="eastAsia" w:ascii="仿宋_GB2312" w:hAnsi="宋体" w:eastAsia="仿宋_GB2312"/>
          <w:color w:val="auto"/>
          <w:sz w:val="24"/>
          <w:szCs w:val="20"/>
          <w:highlight w:val="none"/>
        </w:rPr>
        <w:t>25.2供应商应委派代表参加磋商会议。</w:t>
      </w:r>
      <w:r>
        <w:rPr>
          <w:rFonts w:hint="eastAsia" w:ascii="黑体" w:hAnsi="宋体" w:eastAsia="黑体"/>
          <w:b/>
          <w:color w:val="auto"/>
          <w:sz w:val="24"/>
          <w:szCs w:val="20"/>
          <w:highlight w:val="none"/>
        </w:rPr>
        <w:t>参加磋商会议的代表应持有法定代表人身份证原件或法定代表人授权委托书及委托代理人身份证原件</w:t>
      </w:r>
      <w:r>
        <w:rPr>
          <w:rFonts w:hint="eastAsia" w:ascii="仿宋_GB2312" w:hAnsi="宋体" w:eastAsia="仿宋_GB2312"/>
          <w:color w:val="auto"/>
          <w:sz w:val="24"/>
          <w:szCs w:val="20"/>
          <w:highlight w:val="none"/>
        </w:rPr>
        <w:t>。</w:t>
      </w:r>
      <w:r>
        <w:rPr>
          <w:rFonts w:hint="eastAsia" w:ascii="黑体" w:hAnsi="宋体" w:eastAsia="黑体"/>
          <w:b/>
          <w:color w:val="auto"/>
          <w:sz w:val="24"/>
          <w:szCs w:val="20"/>
          <w:highlight w:val="none"/>
        </w:rPr>
        <w:t>供应商法定代表人委托代理人须是本企业的人员。</w:t>
      </w:r>
    </w:p>
    <w:p>
      <w:pPr>
        <w:spacing w:line="360" w:lineRule="auto"/>
        <w:ind w:firstLine="480" w:firstLineChars="200"/>
        <w:rPr>
          <w:rFonts w:ascii="仿宋_GB2312" w:hAnsi="宋体" w:eastAsia="仿宋_GB2312"/>
          <w:color w:val="auto"/>
          <w:sz w:val="24"/>
          <w:szCs w:val="20"/>
          <w:highlight w:val="none"/>
        </w:rPr>
      </w:pPr>
      <w:r>
        <w:rPr>
          <w:rFonts w:hint="eastAsia" w:ascii="仿宋_GB2312" w:hAnsi="宋体" w:eastAsia="仿宋_GB2312"/>
          <w:color w:val="auto"/>
          <w:sz w:val="24"/>
          <w:szCs w:val="20"/>
          <w:highlight w:val="none"/>
        </w:rPr>
        <w:t>25.3磋商会议由采购代理机构组织并主持。</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25.4在磋商过程中，工作人员如发现响应文件组成部分不齐全，由磋商小组认定其有效性。磋商小组认定的无效响应文件将不进入磋商、评审阶段。</w:t>
      </w:r>
    </w:p>
    <w:p>
      <w:pPr>
        <w:spacing w:line="360" w:lineRule="auto"/>
        <w:ind w:firstLine="480" w:firstLineChars="200"/>
        <w:outlineLvl w:val="1"/>
        <w:rPr>
          <w:rFonts w:ascii="仿宋_GB2312" w:hAnsi="Courier New" w:eastAsia="仿宋_GB2312"/>
          <w:color w:val="auto"/>
          <w:sz w:val="24"/>
          <w:szCs w:val="20"/>
          <w:highlight w:val="none"/>
        </w:rPr>
      </w:pPr>
      <w:bookmarkStart w:id="154" w:name="_Toc243906341"/>
      <w:bookmarkStart w:id="155" w:name="_Toc233274842"/>
      <w:bookmarkStart w:id="156" w:name="_Toc245897302"/>
      <w:bookmarkStart w:id="157" w:name="_Toc243907602"/>
      <w:r>
        <w:rPr>
          <w:rFonts w:hint="eastAsia" w:ascii="仿宋_GB2312" w:hAnsi="Courier New" w:eastAsia="仿宋_GB2312"/>
          <w:color w:val="auto"/>
          <w:sz w:val="24"/>
          <w:szCs w:val="20"/>
          <w:highlight w:val="none"/>
        </w:rPr>
        <w:t>26、磋商小组</w:t>
      </w:r>
      <w:bookmarkEnd w:id="154"/>
      <w:bookmarkEnd w:id="155"/>
      <w:bookmarkEnd w:id="156"/>
      <w:bookmarkEnd w:id="157"/>
    </w:p>
    <w:p>
      <w:pPr>
        <w:widowControl/>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26.1磋商小组成员组成：按照</w:t>
      </w:r>
      <w:r>
        <w:rPr>
          <w:rFonts w:hint="eastAsia" w:ascii="仿宋_GB2312" w:hAnsi="宋体" w:eastAsia="仿宋_GB2312" w:cs="宋体"/>
          <w:color w:val="auto"/>
          <w:sz w:val="24"/>
          <w:highlight w:val="none"/>
        </w:rPr>
        <w:t>《中华人民共和国政府采购法》、《政府采购竞争性磋商采购方式管理暂行办法》</w:t>
      </w:r>
      <w:r>
        <w:rPr>
          <w:rFonts w:hint="eastAsia" w:ascii="仿宋_GB2312" w:hAnsi="Courier New" w:eastAsia="仿宋_GB2312"/>
          <w:color w:val="auto"/>
          <w:sz w:val="24"/>
          <w:szCs w:val="20"/>
          <w:highlight w:val="none"/>
        </w:rPr>
        <w:t>及相关法律、法规规定组建</w:t>
      </w:r>
      <w:r>
        <w:rPr>
          <w:rFonts w:hint="eastAsia" w:ascii="仿宋_GB2312" w:hAnsi="宋体" w:eastAsia="仿宋_GB2312" w:cs="宋体"/>
          <w:color w:val="auto"/>
          <w:sz w:val="24"/>
          <w:highlight w:val="none"/>
        </w:rPr>
        <w:t>，由采购人代表和评审专家组成</w:t>
      </w:r>
      <w:r>
        <w:rPr>
          <w:rFonts w:hint="eastAsia" w:ascii="仿宋_GB2312" w:hAnsi="Courier New" w:eastAsia="仿宋_GB2312"/>
          <w:color w:val="auto"/>
          <w:sz w:val="24"/>
          <w:szCs w:val="20"/>
          <w:highlight w:val="none"/>
        </w:rPr>
        <w:t>。磋商小组将负责对供应商提交的响应文件进行磋商、评审，确保磋商、评审过程公正、合法、保密，并向采购人推荐成交供应商。</w:t>
      </w:r>
    </w:p>
    <w:p>
      <w:pPr>
        <w:widowControl/>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27、磋商</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27.1磋商小组所有成员集中与单一供应商分别进行磋商。供应商应由法定代表人或法定代表人授权的供应商代表及专业技术人员参与磋商。供应商所作的重要答复均应以书面形式予以补充，并经法定代表人或授权人签署，作为响应文件的一部分，对供应商具有约束力，但不得对磋商内容进行实质性修改。在磋商中，磋商的任何一方不得透露与磋商有关的其他供应商的技术资料和其他信息。</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27.2在磋商小组与各供应商进行了相同轮次的磋商后，为了更好地实现采购目标，磋商小组可以修改</w:t>
      </w:r>
      <w:r>
        <w:rPr>
          <w:rFonts w:hint="eastAsia" w:ascii="仿宋_GB2312" w:hAnsi="宋体" w:eastAsia="仿宋_GB2312" w:cs="宋体"/>
          <w:color w:val="auto"/>
          <w:sz w:val="24"/>
          <w:highlight w:val="none"/>
          <w:lang w:eastAsia="zh-CN"/>
        </w:rPr>
        <w:t>竞争性磋商文件</w:t>
      </w:r>
      <w:r>
        <w:rPr>
          <w:rFonts w:hint="eastAsia" w:ascii="仿宋_GB2312" w:hAnsi="宋体" w:eastAsia="仿宋_GB2312" w:cs="宋体"/>
          <w:color w:val="auto"/>
          <w:sz w:val="24"/>
          <w:highlight w:val="none"/>
        </w:rPr>
        <w:t>，但涉及实质性变动的，将以书面形式通知所有参加磋商的供应商。供应商收到修改</w:t>
      </w:r>
      <w:r>
        <w:rPr>
          <w:rFonts w:hint="eastAsia" w:ascii="仿宋_GB2312" w:hAnsi="宋体" w:eastAsia="仿宋_GB2312" w:cs="宋体"/>
          <w:color w:val="auto"/>
          <w:sz w:val="24"/>
          <w:highlight w:val="none"/>
          <w:lang w:eastAsia="zh-CN"/>
        </w:rPr>
        <w:t>竞争性磋商文件</w:t>
      </w:r>
      <w:r>
        <w:rPr>
          <w:rFonts w:hint="eastAsia" w:ascii="仿宋_GB2312" w:hAnsi="宋体" w:eastAsia="仿宋_GB2312" w:cs="宋体"/>
          <w:color w:val="auto"/>
          <w:sz w:val="24"/>
          <w:highlight w:val="none"/>
        </w:rPr>
        <w:t>的通知后，可以决定是否继续参加磋商活动。</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27.3</w:t>
      </w:r>
      <w:r>
        <w:rPr>
          <w:rFonts w:ascii="仿宋_GB2312" w:hAnsi="宋体" w:eastAsia="仿宋_GB2312" w:cs="宋体"/>
          <w:color w:val="auto"/>
          <w:sz w:val="24"/>
          <w:highlight w:val="none"/>
        </w:rPr>
        <w:t>供应商应当按照</w:t>
      </w:r>
      <w:r>
        <w:rPr>
          <w:rFonts w:hint="eastAsia" w:ascii="仿宋_GB2312" w:hAnsi="宋体" w:eastAsia="仿宋_GB2312" w:cs="宋体"/>
          <w:color w:val="auto"/>
          <w:sz w:val="24"/>
          <w:highlight w:val="none"/>
          <w:lang w:eastAsia="zh-CN"/>
        </w:rPr>
        <w:t>竞争性磋商文件</w:t>
      </w:r>
      <w:r>
        <w:rPr>
          <w:rFonts w:ascii="仿宋_GB2312" w:hAnsi="宋体" w:eastAsia="仿宋_GB2312" w:cs="宋体"/>
          <w:color w:val="auto"/>
          <w:sz w:val="24"/>
          <w:highlight w:val="none"/>
        </w:rPr>
        <w:t>的变动情况和磋商小组的要求重新提交响应文件，并由其法定代表人或</w:t>
      </w:r>
      <w:r>
        <w:rPr>
          <w:rFonts w:hint="eastAsia" w:ascii="仿宋_GB2312" w:hAnsi="宋体" w:eastAsia="仿宋_GB2312" w:cs="宋体"/>
          <w:color w:val="auto"/>
          <w:sz w:val="24"/>
          <w:highlight w:val="none"/>
        </w:rPr>
        <w:t>委托代理人</w:t>
      </w:r>
      <w:r>
        <w:rPr>
          <w:rFonts w:ascii="仿宋_GB2312" w:hAnsi="宋体" w:eastAsia="仿宋_GB2312" w:cs="宋体"/>
          <w:color w:val="auto"/>
          <w:sz w:val="24"/>
          <w:highlight w:val="none"/>
        </w:rPr>
        <w:t>签字或者加盖公章。由</w:t>
      </w:r>
      <w:r>
        <w:rPr>
          <w:rFonts w:hint="eastAsia" w:ascii="仿宋_GB2312" w:hAnsi="宋体" w:eastAsia="仿宋_GB2312" w:cs="宋体"/>
          <w:color w:val="auto"/>
          <w:sz w:val="24"/>
          <w:highlight w:val="none"/>
        </w:rPr>
        <w:t>委托代理人</w:t>
      </w:r>
      <w:r>
        <w:rPr>
          <w:rFonts w:ascii="仿宋_GB2312" w:hAnsi="宋体" w:eastAsia="仿宋_GB2312" w:cs="宋体"/>
          <w:color w:val="auto"/>
          <w:sz w:val="24"/>
          <w:highlight w:val="none"/>
        </w:rPr>
        <w:t>签字的，应当附法定代表人授权书。</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27.4</w:t>
      </w:r>
      <w:r>
        <w:rPr>
          <w:rFonts w:hint="eastAsia" w:ascii="仿宋_GB2312" w:hAnsi="宋体" w:eastAsia="仿宋_GB2312" w:cs="宋体"/>
          <w:color w:val="auto"/>
          <w:sz w:val="24"/>
          <w:highlight w:val="none"/>
          <w:lang w:eastAsia="zh-CN"/>
        </w:rPr>
        <w:t>竞争性磋商文件</w:t>
      </w:r>
      <w:r>
        <w:rPr>
          <w:rFonts w:ascii="仿宋_GB2312" w:hAnsi="宋体" w:eastAsia="仿宋_GB2312" w:cs="宋体"/>
          <w:color w:val="auto"/>
          <w:sz w:val="24"/>
          <w:highlight w:val="none"/>
        </w:rPr>
        <w:t>能够详细列明采购标的的技术、服务要求的，</w:t>
      </w:r>
      <w:r>
        <w:rPr>
          <w:rFonts w:hint="eastAsia" w:ascii="仿宋_GB2312" w:hAnsi="宋体" w:eastAsia="仿宋_GB2312" w:cs="宋体"/>
          <w:color w:val="auto"/>
          <w:sz w:val="24"/>
          <w:highlight w:val="none"/>
        </w:rPr>
        <w:t>磋商小组在磋商结束后，</w:t>
      </w:r>
      <w:r>
        <w:rPr>
          <w:rFonts w:ascii="仿宋_GB2312" w:hAnsi="宋体" w:eastAsia="仿宋_GB2312" w:cs="宋体"/>
          <w:color w:val="auto"/>
          <w:sz w:val="24"/>
          <w:highlight w:val="none"/>
        </w:rPr>
        <w:t>磋商小组应当要求所有实质性响应的供应商在规定时间内提交最后报价</w:t>
      </w:r>
      <w:r>
        <w:rPr>
          <w:rFonts w:hint="eastAsia" w:ascii="仿宋_GB2312" w:hAnsi="宋体" w:eastAsia="仿宋_GB2312" w:cs="宋体"/>
          <w:color w:val="auto"/>
          <w:sz w:val="24"/>
          <w:highlight w:val="none"/>
        </w:rPr>
        <w:t>，最后报价是供应商响应文件的有效组成部分。</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27.5</w:t>
      </w:r>
      <w:r>
        <w:rPr>
          <w:rFonts w:hint="eastAsia" w:ascii="仿宋_GB2312" w:hAnsi="宋体" w:eastAsia="仿宋_GB2312" w:cs="宋体"/>
          <w:color w:val="auto"/>
          <w:sz w:val="24"/>
          <w:highlight w:val="none"/>
          <w:lang w:eastAsia="zh-CN"/>
        </w:rPr>
        <w:t>竞争性磋商文件</w:t>
      </w:r>
      <w:r>
        <w:rPr>
          <w:rFonts w:ascii="仿宋_GB2312" w:hAnsi="宋体" w:eastAsia="仿宋_GB2312" w:cs="宋体"/>
          <w:color w:val="auto"/>
          <w:sz w:val="24"/>
          <w:highlight w:val="none"/>
        </w:rPr>
        <w:t>不能详细列明采购标的的技术、服务要求，需经磋商由供应商提供最终整修方案或解决方案的，磋商结束后，磋商小组应当按照少数服从多数的原则投票推荐3家以上供应商的整修方案或者解决方案，并要求其在规定时间内提交最后报价。</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27.6</w:t>
      </w:r>
      <w:r>
        <w:rPr>
          <w:rFonts w:ascii="仿宋_GB2312" w:hAnsi="宋体" w:eastAsia="仿宋_GB2312" w:cs="宋体"/>
          <w:color w:val="auto"/>
          <w:sz w:val="24"/>
          <w:highlight w:val="none"/>
        </w:rPr>
        <w:t>已提交响应文件的供应商，在提交最后报价之前，可以根据磋商情况退出磋商。</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宋体" w:eastAsia="仿宋_GB2312" w:cs="宋体"/>
          <w:color w:val="auto"/>
          <w:sz w:val="24"/>
          <w:highlight w:val="none"/>
        </w:rPr>
        <w:t>27.7</w:t>
      </w:r>
      <w:r>
        <w:rPr>
          <w:rFonts w:hint="eastAsia" w:ascii="仿宋_GB2312" w:hAnsi="Courier New" w:eastAsia="仿宋_GB2312"/>
          <w:color w:val="auto"/>
          <w:sz w:val="24"/>
          <w:szCs w:val="20"/>
          <w:highlight w:val="none"/>
        </w:rPr>
        <w:t>磋商小组判断响应文件的响应性仅基于响应文件本身而不依靠任何外部证据，但响应文件有不真实、不正确的内容除外。</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27.8如果响应文件实质上没有响应</w:t>
      </w:r>
      <w:r>
        <w:rPr>
          <w:rFonts w:hint="eastAsia" w:ascii="仿宋_GB2312" w:hAnsi="Courier New" w:eastAsia="仿宋_GB2312"/>
          <w:color w:val="auto"/>
          <w:sz w:val="24"/>
          <w:szCs w:val="20"/>
          <w:highlight w:val="none"/>
          <w:lang w:eastAsia="zh-CN"/>
        </w:rPr>
        <w:t>竞争性磋商文件</w:t>
      </w:r>
      <w:r>
        <w:rPr>
          <w:rFonts w:hint="eastAsia" w:ascii="仿宋_GB2312" w:hAnsi="Courier New" w:eastAsia="仿宋_GB2312"/>
          <w:color w:val="auto"/>
          <w:sz w:val="24"/>
          <w:szCs w:val="20"/>
          <w:highlight w:val="none"/>
        </w:rPr>
        <w:t>的要求，磋商小组将予以拒绝，供应商不得通过修正或撤消不符合要求的偏离或保留，而使其成为实质上响应。</w:t>
      </w:r>
    </w:p>
    <w:p>
      <w:pPr>
        <w:spacing w:line="360" w:lineRule="auto"/>
        <w:ind w:firstLine="480" w:firstLineChars="200"/>
        <w:outlineLvl w:val="1"/>
        <w:rPr>
          <w:rFonts w:ascii="仿宋_GB2312" w:hAnsi="Courier New" w:eastAsia="仿宋_GB2312"/>
          <w:color w:val="auto"/>
          <w:sz w:val="24"/>
          <w:highlight w:val="none"/>
        </w:rPr>
      </w:pPr>
      <w:bookmarkStart w:id="158" w:name="_Toc243907605"/>
      <w:bookmarkStart w:id="159" w:name="_Toc233274843"/>
      <w:bookmarkStart w:id="160" w:name="_Toc243906344"/>
      <w:bookmarkStart w:id="161" w:name="_Toc245897304"/>
      <w:r>
        <w:rPr>
          <w:rFonts w:hint="eastAsia" w:ascii="仿宋_GB2312" w:hAnsi="Courier New" w:eastAsia="仿宋_GB2312"/>
          <w:color w:val="auto"/>
          <w:sz w:val="24"/>
          <w:highlight w:val="none"/>
        </w:rPr>
        <w:t>28、评审</w:t>
      </w:r>
      <w:bookmarkEnd w:id="158"/>
      <w:bookmarkEnd w:id="159"/>
      <w:bookmarkEnd w:id="160"/>
      <w:bookmarkEnd w:id="161"/>
    </w:p>
    <w:p>
      <w:pPr>
        <w:spacing w:line="360" w:lineRule="auto"/>
        <w:ind w:firstLine="480" w:firstLineChars="200"/>
        <w:outlineLvl w:val="1"/>
        <w:rPr>
          <w:rFonts w:ascii="仿宋_GB2312" w:hAnsi="Courier New" w:eastAsia="仿宋_GB2312"/>
          <w:b/>
          <w:bCs/>
          <w:color w:val="auto"/>
          <w:sz w:val="24"/>
          <w:highlight w:val="none"/>
        </w:rPr>
      </w:pPr>
      <w:r>
        <w:rPr>
          <w:rFonts w:hint="eastAsia" w:ascii="仿宋_GB2312" w:hAnsi="Courier New" w:eastAsia="仿宋_GB2312"/>
          <w:color w:val="auto"/>
          <w:sz w:val="24"/>
          <w:highlight w:val="none"/>
        </w:rPr>
        <w:t>28.1经磋商确定最终采购需求的供应商后，</w:t>
      </w:r>
      <w:r>
        <w:rPr>
          <w:rFonts w:hint="eastAsia" w:ascii="仿宋_GB2312" w:hAnsi="Courier New" w:eastAsia="仿宋_GB2312"/>
          <w:b/>
          <w:bCs/>
          <w:color w:val="auto"/>
          <w:sz w:val="24"/>
          <w:highlight w:val="none"/>
        </w:rPr>
        <w:t>由磋商小组采用综合评分法对提交最后报价的供应商响应文件和最后报价进行综合评分。</w:t>
      </w:r>
    </w:p>
    <w:p>
      <w:pPr>
        <w:spacing w:line="360" w:lineRule="auto"/>
        <w:ind w:firstLine="480" w:firstLineChars="200"/>
        <w:rPr>
          <w:rFonts w:ascii="仿宋_GB2312" w:hAnsi="宋体" w:eastAsia="仿宋_GB2312"/>
          <w:color w:val="auto"/>
          <w:sz w:val="24"/>
          <w:szCs w:val="20"/>
          <w:highlight w:val="none"/>
        </w:rPr>
      </w:pPr>
      <w:r>
        <w:rPr>
          <w:rFonts w:hint="eastAsia" w:ascii="仿宋_GB2312" w:hAnsi="Courier New" w:eastAsia="仿宋_GB2312"/>
          <w:color w:val="auto"/>
          <w:sz w:val="24"/>
          <w:szCs w:val="20"/>
          <w:highlight w:val="none"/>
        </w:rPr>
        <w:t>28.2磋商小组将对实质性响应</w:t>
      </w:r>
      <w:r>
        <w:rPr>
          <w:rFonts w:hint="eastAsia" w:ascii="仿宋_GB2312" w:hAnsi="Courier New" w:eastAsia="仿宋_GB2312"/>
          <w:color w:val="auto"/>
          <w:sz w:val="24"/>
          <w:szCs w:val="20"/>
          <w:highlight w:val="none"/>
          <w:lang w:eastAsia="zh-CN"/>
        </w:rPr>
        <w:t>竞争性磋商文件</w:t>
      </w:r>
      <w:r>
        <w:rPr>
          <w:rFonts w:hint="eastAsia" w:ascii="仿宋_GB2312" w:hAnsi="Courier New" w:eastAsia="仿宋_GB2312"/>
          <w:color w:val="auto"/>
          <w:sz w:val="24"/>
          <w:szCs w:val="20"/>
          <w:highlight w:val="none"/>
        </w:rPr>
        <w:t>的响应文件进行详细评审和比较。</w:t>
      </w:r>
      <w:r>
        <w:rPr>
          <w:rFonts w:hint="eastAsia" w:ascii="仿宋_GB2312" w:hAnsi="宋体" w:eastAsia="仿宋_GB2312"/>
          <w:color w:val="auto"/>
          <w:sz w:val="24"/>
          <w:szCs w:val="20"/>
          <w:highlight w:val="none"/>
        </w:rPr>
        <w:t>对技术要求等进行比较，并与</w:t>
      </w:r>
      <w:r>
        <w:rPr>
          <w:rFonts w:hint="eastAsia" w:ascii="仿宋_GB2312" w:hAnsi="宋体" w:eastAsia="仿宋_GB2312"/>
          <w:color w:val="auto"/>
          <w:sz w:val="24"/>
          <w:szCs w:val="20"/>
          <w:highlight w:val="none"/>
          <w:lang w:eastAsia="zh-CN"/>
        </w:rPr>
        <w:t>竞争性磋商文件</w:t>
      </w:r>
      <w:r>
        <w:rPr>
          <w:rFonts w:hint="eastAsia" w:ascii="仿宋_GB2312" w:hAnsi="宋体" w:eastAsia="仿宋_GB2312"/>
          <w:color w:val="auto"/>
          <w:sz w:val="24"/>
          <w:szCs w:val="20"/>
          <w:highlight w:val="none"/>
        </w:rPr>
        <w:t>、项目采购需求和采购人的实际需要进行比较和评价。</w:t>
      </w:r>
    </w:p>
    <w:p>
      <w:pPr>
        <w:spacing w:line="360" w:lineRule="auto"/>
        <w:ind w:firstLine="480" w:firstLineChars="200"/>
        <w:outlineLvl w:val="1"/>
        <w:rPr>
          <w:rFonts w:ascii="仿宋_GB2312" w:hAnsi="宋体" w:eastAsia="仿宋_GB2312"/>
          <w:color w:val="auto"/>
          <w:highlight w:val="none"/>
        </w:rPr>
      </w:pPr>
      <w:bookmarkStart w:id="162" w:name="_Toc224624628"/>
      <w:bookmarkStart w:id="163" w:name="_Toc224623557"/>
      <w:bookmarkStart w:id="164" w:name="_Toc224623663"/>
      <w:bookmarkStart w:id="165" w:name="_Toc224620150"/>
      <w:bookmarkStart w:id="166" w:name="_Toc224623451"/>
      <w:bookmarkStart w:id="167" w:name="_Toc224624767"/>
      <w:bookmarkStart w:id="168" w:name="_Toc243906345"/>
      <w:bookmarkStart w:id="169" w:name="_Toc245897305"/>
      <w:bookmarkStart w:id="170" w:name="_Toc224624488"/>
      <w:bookmarkStart w:id="171" w:name="_Toc224622928"/>
      <w:bookmarkStart w:id="172" w:name="_Toc243907606"/>
      <w:bookmarkStart w:id="173" w:name="_Toc224620071"/>
      <w:r>
        <w:rPr>
          <w:rFonts w:hint="eastAsia" w:ascii="仿宋_GB2312" w:hAnsi="宋体" w:eastAsia="仿宋_GB2312"/>
          <w:color w:val="auto"/>
          <w:sz w:val="24"/>
          <w:highlight w:val="none"/>
        </w:rPr>
        <w:t>29、响应文件的澄清</w:t>
      </w:r>
      <w:bookmarkEnd w:id="162"/>
      <w:bookmarkEnd w:id="163"/>
      <w:bookmarkEnd w:id="164"/>
      <w:bookmarkEnd w:id="165"/>
      <w:bookmarkEnd w:id="166"/>
      <w:bookmarkEnd w:id="167"/>
      <w:bookmarkEnd w:id="168"/>
      <w:bookmarkEnd w:id="169"/>
      <w:bookmarkEnd w:id="170"/>
      <w:bookmarkEnd w:id="171"/>
      <w:bookmarkEnd w:id="172"/>
      <w:bookmarkEnd w:id="173"/>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29.1为有助于对响应文件的审查、评价和比较，磋商小组在评审过程中有权随时请供应商对其响应文件进行澄清，有关澄清的要求和答复应以书面形式提交，供应商对澄清问题的书面答复应有法定代表人或委托代理人签字或盖章，但不得寻求、提供或响应文件中的其他实质性内容做任何更改。</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29.2供应商法定代表人或委托代理人在评审过程中应保证随时接受磋商小组质询。若供应商法定代表人或委托代理人因故不能接受质询，其响应文件仍有效，但应视为供应商已默认磋商小组对缺席的质询所作出的结论。</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29.3 磋商小组允许供应商通过澄清答复修正其最后报价中不构成重大偏离的、微小的、非正规的、不一致的或不规范的地方，但这些修正不能影响任何供应商的相关名次排列。</w:t>
      </w:r>
    </w:p>
    <w:p>
      <w:pPr>
        <w:spacing w:line="360" w:lineRule="auto"/>
        <w:ind w:firstLine="482" w:firstLineChars="200"/>
        <w:rPr>
          <w:rFonts w:ascii="仿宋_GB2312" w:hAnsi="宋体" w:eastAsia="仿宋_GB2312"/>
          <w:color w:val="auto"/>
          <w:sz w:val="24"/>
          <w:szCs w:val="20"/>
          <w:highlight w:val="none"/>
        </w:rPr>
      </w:pPr>
      <w:r>
        <w:rPr>
          <w:rFonts w:hint="eastAsia" w:ascii="黑体" w:hAnsi="宋体" w:eastAsia="黑体"/>
          <w:b/>
          <w:color w:val="auto"/>
          <w:sz w:val="24"/>
          <w:szCs w:val="20"/>
          <w:highlight w:val="none"/>
        </w:rPr>
        <w:t>29.4</w:t>
      </w:r>
      <w:r>
        <w:rPr>
          <w:rFonts w:hint="eastAsia" w:ascii="黑体" w:hAnsi="Courier New" w:eastAsia="黑体"/>
          <w:b/>
          <w:color w:val="auto"/>
          <w:sz w:val="24"/>
          <w:szCs w:val="20"/>
          <w:highlight w:val="none"/>
        </w:rPr>
        <w:t>如果供应商在响应文件中未对</w:t>
      </w:r>
      <w:r>
        <w:rPr>
          <w:rFonts w:hint="eastAsia" w:ascii="黑体" w:hAnsi="Courier New" w:eastAsia="黑体"/>
          <w:b/>
          <w:color w:val="auto"/>
          <w:sz w:val="24"/>
          <w:szCs w:val="20"/>
          <w:highlight w:val="none"/>
          <w:lang w:eastAsia="zh-CN"/>
        </w:rPr>
        <w:t>竞争性磋商文件</w:t>
      </w:r>
      <w:r>
        <w:rPr>
          <w:rFonts w:hint="eastAsia" w:ascii="黑体" w:hAnsi="Courier New" w:eastAsia="黑体"/>
          <w:b/>
          <w:color w:val="auto"/>
          <w:sz w:val="24"/>
          <w:szCs w:val="20"/>
          <w:highlight w:val="none"/>
        </w:rPr>
        <w:t>、技术规格及标准、项目采购需求、合同条款等提出偏离意见或澄清，将视同供应商同意上述文件的全部条款和要求。</w:t>
      </w:r>
    </w:p>
    <w:p>
      <w:pPr>
        <w:spacing w:line="360" w:lineRule="auto"/>
        <w:ind w:firstLine="482" w:firstLineChars="200"/>
        <w:outlineLvl w:val="1"/>
        <w:rPr>
          <w:rFonts w:ascii="仿宋_GB2312" w:hAnsi="Courier New" w:eastAsia="仿宋_GB2312"/>
          <w:color w:val="auto"/>
          <w:sz w:val="24"/>
          <w:szCs w:val="20"/>
          <w:highlight w:val="none"/>
        </w:rPr>
      </w:pPr>
      <w:bookmarkStart w:id="174" w:name="_Toc245897306"/>
      <w:bookmarkStart w:id="175" w:name="_Toc243907607"/>
      <w:bookmarkStart w:id="176" w:name="_Toc243906346"/>
      <w:bookmarkStart w:id="177" w:name="_Toc233274845"/>
      <w:r>
        <w:rPr>
          <w:rFonts w:hint="eastAsia" w:ascii="黑体" w:hAnsi="Courier New" w:eastAsia="黑体"/>
          <w:b/>
          <w:color w:val="auto"/>
          <w:sz w:val="24"/>
          <w:szCs w:val="20"/>
          <w:highlight w:val="none"/>
        </w:rPr>
        <w:t>30、重大偏离</w:t>
      </w:r>
      <w:bookmarkEnd w:id="174"/>
      <w:bookmarkEnd w:id="175"/>
      <w:bookmarkEnd w:id="176"/>
      <w:bookmarkEnd w:id="177"/>
    </w:p>
    <w:p>
      <w:pPr>
        <w:spacing w:line="360" w:lineRule="auto"/>
        <w:ind w:firstLine="482" w:firstLineChars="200"/>
        <w:rPr>
          <w:rFonts w:ascii="黑体" w:hAnsi="Courier New" w:eastAsia="黑体"/>
          <w:b/>
          <w:color w:val="auto"/>
          <w:sz w:val="24"/>
          <w:szCs w:val="20"/>
          <w:highlight w:val="none"/>
        </w:rPr>
      </w:pPr>
      <w:bookmarkStart w:id="178" w:name="_Toc245897307"/>
      <w:bookmarkStart w:id="179" w:name="_Toc243906347"/>
      <w:bookmarkStart w:id="180" w:name="_Toc233274846"/>
      <w:bookmarkStart w:id="181" w:name="_Toc243907608"/>
      <w:r>
        <w:rPr>
          <w:rFonts w:hint="eastAsia" w:ascii="黑体" w:hAnsi="Courier New" w:eastAsia="黑体"/>
          <w:b/>
          <w:color w:val="auto"/>
          <w:sz w:val="24"/>
          <w:szCs w:val="20"/>
          <w:highlight w:val="none"/>
        </w:rPr>
        <w:t>重大偏离是指实质上影响合同的采购范围、服务期限、质量和性能等，或者实质上不满足</w:t>
      </w:r>
      <w:r>
        <w:rPr>
          <w:rFonts w:hint="eastAsia" w:ascii="黑体" w:hAnsi="Courier New" w:eastAsia="黑体"/>
          <w:b/>
          <w:color w:val="auto"/>
          <w:sz w:val="24"/>
          <w:szCs w:val="20"/>
          <w:highlight w:val="none"/>
          <w:lang w:eastAsia="zh-CN"/>
        </w:rPr>
        <w:t>竞争性磋商文件</w:t>
      </w:r>
      <w:r>
        <w:rPr>
          <w:rFonts w:hint="eastAsia" w:ascii="黑体" w:hAnsi="Courier New" w:eastAsia="黑体"/>
          <w:b/>
          <w:color w:val="auto"/>
          <w:sz w:val="24"/>
          <w:szCs w:val="20"/>
          <w:highlight w:val="none"/>
        </w:rPr>
        <w:t>的要求，而且限制了采购人的权力或减轻了供应商的义务。纠正或承认这些偏离将会对其他实质上响应要求的供应商合理的竞争地位产生不公正的影响。</w:t>
      </w:r>
    </w:p>
    <w:p>
      <w:pPr>
        <w:spacing w:line="360" w:lineRule="auto"/>
        <w:ind w:firstLine="482" w:firstLineChars="200"/>
        <w:outlineLvl w:val="1"/>
        <w:rPr>
          <w:rFonts w:ascii="黑体" w:hAnsi="Courier New" w:eastAsia="黑体"/>
          <w:b/>
          <w:color w:val="auto"/>
          <w:sz w:val="24"/>
          <w:szCs w:val="20"/>
          <w:highlight w:val="none"/>
        </w:rPr>
      </w:pPr>
      <w:r>
        <w:rPr>
          <w:rFonts w:hint="eastAsia" w:ascii="黑体" w:hAnsi="Courier New" w:eastAsia="黑体"/>
          <w:b/>
          <w:color w:val="auto"/>
          <w:sz w:val="24"/>
          <w:szCs w:val="20"/>
          <w:highlight w:val="none"/>
        </w:rPr>
        <w:t>31、</w:t>
      </w:r>
      <w:bookmarkEnd w:id="178"/>
      <w:bookmarkEnd w:id="179"/>
      <w:bookmarkEnd w:id="180"/>
      <w:bookmarkEnd w:id="181"/>
      <w:r>
        <w:rPr>
          <w:rFonts w:hint="eastAsia" w:ascii="黑体" w:hAnsi="Courier New" w:eastAsia="黑体"/>
          <w:b/>
          <w:color w:val="auto"/>
          <w:sz w:val="24"/>
          <w:szCs w:val="20"/>
          <w:highlight w:val="none"/>
        </w:rPr>
        <w:t>无效响应文件</w:t>
      </w:r>
    </w:p>
    <w:p>
      <w:pPr>
        <w:spacing w:line="360" w:lineRule="auto"/>
        <w:ind w:firstLine="482" w:firstLineChars="200"/>
        <w:rPr>
          <w:rFonts w:ascii="黑体" w:hAnsi="Courier New" w:eastAsia="黑体"/>
          <w:b/>
          <w:color w:val="auto"/>
          <w:sz w:val="24"/>
          <w:szCs w:val="20"/>
          <w:highlight w:val="none"/>
        </w:rPr>
      </w:pPr>
      <w:r>
        <w:rPr>
          <w:rFonts w:hint="eastAsia" w:ascii="黑体" w:hAnsi="Courier New" w:eastAsia="黑体"/>
          <w:b/>
          <w:color w:val="auto"/>
          <w:sz w:val="24"/>
          <w:highlight w:val="none"/>
        </w:rPr>
        <w:t>响应文件有下列情形之一的，由磋商小组评审后按无效响应文件处理：</w:t>
      </w:r>
    </w:p>
    <w:p>
      <w:pPr>
        <w:spacing w:line="360" w:lineRule="auto"/>
        <w:ind w:firstLine="482" w:firstLineChars="200"/>
        <w:rPr>
          <w:rFonts w:ascii="黑体" w:hAnsi="Courier New" w:eastAsia="黑体"/>
          <w:b/>
          <w:color w:val="auto"/>
          <w:sz w:val="24"/>
          <w:highlight w:val="none"/>
        </w:rPr>
      </w:pPr>
      <w:r>
        <w:rPr>
          <w:rFonts w:hint="eastAsia" w:ascii="黑体" w:hAnsi="Courier New" w:eastAsia="黑体"/>
          <w:b/>
          <w:color w:val="auto"/>
          <w:sz w:val="24"/>
          <w:highlight w:val="none"/>
        </w:rPr>
        <w:t>31.1供应商的商务报价高于采购项目预算；</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31.2响应文件附有采购人不能接受条件的；</w:t>
      </w:r>
    </w:p>
    <w:p>
      <w:pPr>
        <w:widowControl/>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31.3</w:t>
      </w:r>
      <w:r>
        <w:rPr>
          <w:rFonts w:hint="eastAsia" w:ascii="仿宋_GB2312" w:hAnsi="宋体" w:eastAsia="仿宋_GB2312" w:cs="宋体"/>
          <w:color w:val="auto"/>
          <w:sz w:val="24"/>
          <w:highlight w:val="none"/>
        </w:rPr>
        <w:t>出现重大偏离的</w:t>
      </w:r>
      <w:r>
        <w:rPr>
          <w:rFonts w:hint="eastAsia" w:ascii="仿宋_GB2312" w:hAnsi="宋体" w:eastAsia="仿宋_GB2312"/>
          <w:color w:val="auto"/>
          <w:sz w:val="24"/>
          <w:highlight w:val="none"/>
        </w:rPr>
        <w:t>；</w:t>
      </w:r>
    </w:p>
    <w:p>
      <w:pPr>
        <w:widowControl/>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olor w:val="auto"/>
          <w:sz w:val="24"/>
          <w:highlight w:val="none"/>
        </w:rPr>
        <w:t>31.4</w:t>
      </w:r>
      <w:r>
        <w:rPr>
          <w:rFonts w:hint="eastAsia" w:ascii="仿宋_GB2312" w:hAnsi="宋体" w:eastAsia="仿宋_GB2312" w:cs="宋体"/>
          <w:color w:val="auto"/>
          <w:sz w:val="24"/>
          <w:highlight w:val="none"/>
        </w:rPr>
        <w:t>对</w:t>
      </w:r>
      <w:r>
        <w:rPr>
          <w:rFonts w:hint="eastAsia" w:ascii="仿宋_GB2312" w:hAnsi="宋体" w:eastAsia="仿宋_GB2312" w:cs="宋体"/>
          <w:color w:val="auto"/>
          <w:sz w:val="24"/>
          <w:highlight w:val="none"/>
          <w:lang w:eastAsia="zh-CN"/>
        </w:rPr>
        <w:t>竞争性磋商文件</w:t>
      </w:r>
      <w:r>
        <w:rPr>
          <w:rFonts w:hint="eastAsia" w:ascii="仿宋_GB2312" w:hAnsi="宋体" w:eastAsia="仿宋_GB2312" w:cs="宋体"/>
          <w:color w:val="auto"/>
          <w:sz w:val="24"/>
          <w:highlight w:val="none"/>
        </w:rPr>
        <w:t>提出的实质性要求和条件未能实质性响应；</w:t>
      </w:r>
    </w:p>
    <w:p>
      <w:pPr>
        <w:spacing w:line="360" w:lineRule="auto"/>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31.5《中华人民共和国政府采购法》、《</w:t>
      </w:r>
      <w:r>
        <w:rPr>
          <w:rFonts w:ascii="仿宋_GB2312" w:eastAsia="仿宋_GB2312"/>
          <w:color w:val="auto"/>
          <w:sz w:val="24"/>
          <w:highlight w:val="none"/>
        </w:rPr>
        <w:t>政府采购竞争性磋商</w:t>
      </w:r>
      <w:r>
        <w:rPr>
          <w:rFonts w:hint="eastAsia" w:ascii="仿宋_GB2312" w:eastAsia="仿宋_GB2312"/>
          <w:color w:val="auto"/>
          <w:sz w:val="24"/>
          <w:highlight w:val="none"/>
        </w:rPr>
        <w:t>采购方式</w:t>
      </w:r>
      <w:r>
        <w:rPr>
          <w:rFonts w:ascii="仿宋_GB2312" w:eastAsia="仿宋_GB2312"/>
          <w:color w:val="auto"/>
          <w:sz w:val="24"/>
          <w:highlight w:val="none"/>
        </w:rPr>
        <w:t>管理暂行办法</w:t>
      </w:r>
      <w:r>
        <w:rPr>
          <w:rFonts w:hint="eastAsia" w:ascii="仿宋_GB2312" w:eastAsia="仿宋_GB2312"/>
          <w:color w:val="auto"/>
          <w:sz w:val="24"/>
          <w:highlight w:val="none"/>
        </w:rPr>
        <w:t>》及相关法律法规及</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明确规定可以作无效响应的其他情形。</w:t>
      </w:r>
    </w:p>
    <w:p>
      <w:pPr>
        <w:spacing w:line="360" w:lineRule="auto"/>
        <w:ind w:firstLine="482" w:firstLineChars="200"/>
        <w:outlineLvl w:val="1"/>
        <w:rPr>
          <w:rFonts w:ascii="仿宋_GB2312" w:hAnsi="Courier New" w:eastAsia="仿宋_GB2312"/>
          <w:b/>
          <w:color w:val="auto"/>
          <w:sz w:val="24"/>
          <w:szCs w:val="20"/>
          <w:highlight w:val="none"/>
        </w:rPr>
      </w:pPr>
      <w:bookmarkStart w:id="182" w:name="_Toc243906348"/>
      <w:bookmarkStart w:id="183" w:name="_Toc233274847"/>
      <w:bookmarkStart w:id="184" w:name="_Toc243907609"/>
      <w:bookmarkStart w:id="185" w:name="_Toc245897308"/>
      <w:r>
        <w:rPr>
          <w:rFonts w:hint="eastAsia" w:ascii="仿宋_GB2312" w:hAnsi="Courier New" w:eastAsia="仿宋_GB2312"/>
          <w:b/>
          <w:color w:val="auto"/>
          <w:sz w:val="24"/>
          <w:szCs w:val="20"/>
          <w:highlight w:val="none"/>
        </w:rPr>
        <w:t>32、评审</w:t>
      </w:r>
      <w:bookmarkEnd w:id="182"/>
      <w:bookmarkEnd w:id="183"/>
      <w:bookmarkEnd w:id="184"/>
      <w:bookmarkEnd w:id="185"/>
      <w:r>
        <w:rPr>
          <w:rFonts w:hint="eastAsia" w:ascii="仿宋_GB2312" w:hAnsi="Courier New" w:eastAsia="仿宋_GB2312"/>
          <w:b/>
          <w:color w:val="auto"/>
          <w:sz w:val="24"/>
          <w:szCs w:val="20"/>
          <w:highlight w:val="none"/>
        </w:rPr>
        <w:t>标准</w:t>
      </w:r>
    </w:p>
    <w:p>
      <w:pPr>
        <w:spacing w:line="360" w:lineRule="auto"/>
        <w:ind w:firstLine="482" w:firstLineChars="200"/>
        <w:rPr>
          <w:rFonts w:ascii="仿宋_GB2312" w:hAnsi="Courier New" w:eastAsia="仿宋_GB2312"/>
          <w:b/>
          <w:bCs/>
          <w:color w:val="auto"/>
          <w:sz w:val="24"/>
          <w:szCs w:val="20"/>
          <w:highlight w:val="none"/>
        </w:rPr>
      </w:pPr>
      <w:r>
        <w:rPr>
          <w:rFonts w:hint="eastAsia" w:ascii="仿宋_GB2312" w:hAnsi="Courier New" w:eastAsia="仿宋_GB2312"/>
          <w:b/>
          <w:color w:val="auto"/>
          <w:sz w:val="24"/>
          <w:szCs w:val="20"/>
          <w:highlight w:val="none"/>
        </w:rPr>
        <w:t>32.1</w:t>
      </w:r>
      <w:r>
        <w:rPr>
          <w:rFonts w:hint="eastAsia" w:ascii="仿宋_GB2312" w:hAnsi="Courier New" w:eastAsia="仿宋_GB2312"/>
          <w:b/>
          <w:bCs/>
          <w:color w:val="auto"/>
          <w:sz w:val="24"/>
          <w:szCs w:val="20"/>
          <w:highlight w:val="none"/>
        </w:rPr>
        <w:t>本项目评审严格按照</w:t>
      </w:r>
      <w:r>
        <w:rPr>
          <w:rFonts w:hint="eastAsia" w:ascii="仿宋_GB2312" w:hAnsi="Courier New" w:eastAsia="仿宋_GB2312"/>
          <w:b/>
          <w:bCs/>
          <w:color w:val="auto"/>
          <w:sz w:val="24"/>
          <w:szCs w:val="20"/>
          <w:highlight w:val="none"/>
          <w:lang w:eastAsia="zh-CN"/>
        </w:rPr>
        <w:t>竞争性磋商文件</w:t>
      </w:r>
      <w:r>
        <w:rPr>
          <w:rFonts w:hint="eastAsia" w:ascii="仿宋_GB2312" w:hAnsi="Courier New" w:eastAsia="仿宋_GB2312"/>
          <w:b/>
          <w:bCs/>
          <w:color w:val="auto"/>
          <w:sz w:val="24"/>
          <w:szCs w:val="20"/>
          <w:highlight w:val="none"/>
        </w:rPr>
        <w:t>的要求和条件进行。</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hAnsi="Courier New" w:eastAsia="仿宋_GB2312"/>
          <w:b/>
          <w:color w:val="auto"/>
          <w:sz w:val="24"/>
          <w:szCs w:val="20"/>
          <w:highlight w:val="none"/>
        </w:rPr>
        <w:t>32.2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hAnsi="Courier New" w:eastAsia="仿宋_GB2312"/>
          <w:b/>
          <w:color w:val="auto"/>
          <w:sz w:val="24"/>
          <w:szCs w:val="20"/>
          <w:highlight w:val="none"/>
        </w:rPr>
        <w:t>32.3响应文件</w:t>
      </w:r>
      <w:r>
        <w:rPr>
          <w:rFonts w:ascii="仿宋_GB2312" w:hAnsi="Courier New" w:eastAsia="仿宋_GB2312"/>
          <w:b/>
          <w:color w:val="auto"/>
          <w:sz w:val="24"/>
          <w:szCs w:val="20"/>
          <w:highlight w:val="none"/>
        </w:rPr>
        <w:t>初审。初审分为资格性</w:t>
      </w:r>
      <w:r>
        <w:rPr>
          <w:rFonts w:hint="eastAsia" w:ascii="仿宋_GB2312" w:hAnsi="Courier New" w:eastAsia="仿宋_GB2312"/>
          <w:b/>
          <w:color w:val="auto"/>
          <w:sz w:val="24"/>
          <w:szCs w:val="20"/>
          <w:highlight w:val="none"/>
        </w:rPr>
        <w:t>审</w:t>
      </w:r>
      <w:r>
        <w:rPr>
          <w:rFonts w:ascii="仿宋_GB2312" w:hAnsi="Courier New" w:eastAsia="仿宋_GB2312"/>
          <w:b/>
          <w:color w:val="auto"/>
          <w:sz w:val="24"/>
          <w:szCs w:val="20"/>
          <w:highlight w:val="none"/>
        </w:rPr>
        <w:t>查和符合性</w:t>
      </w:r>
      <w:r>
        <w:rPr>
          <w:rFonts w:hint="eastAsia" w:ascii="仿宋_GB2312" w:hAnsi="Courier New" w:eastAsia="仿宋_GB2312"/>
          <w:b/>
          <w:color w:val="auto"/>
          <w:sz w:val="24"/>
          <w:szCs w:val="20"/>
          <w:highlight w:val="none"/>
        </w:rPr>
        <w:t>审</w:t>
      </w:r>
      <w:r>
        <w:rPr>
          <w:rFonts w:ascii="仿宋_GB2312" w:hAnsi="Courier New" w:eastAsia="仿宋_GB2312"/>
          <w:b/>
          <w:color w:val="auto"/>
          <w:sz w:val="24"/>
          <w:szCs w:val="20"/>
          <w:highlight w:val="none"/>
        </w:rPr>
        <w:t>查。</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hAnsi="Courier New" w:eastAsia="仿宋_GB2312"/>
          <w:b/>
          <w:color w:val="auto"/>
          <w:sz w:val="24"/>
          <w:szCs w:val="20"/>
          <w:highlight w:val="none"/>
        </w:rPr>
        <w:t>32.3.</w:t>
      </w:r>
      <w:r>
        <w:rPr>
          <w:rFonts w:ascii="仿宋_GB2312" w:hAnsi="Courier New" w:eastAsia="仿宋_GB2312"/>
          <w:b/>
          <w:color w:val="auto"/>
          <w:sz w:val="24"/>
          <w:szCs w:val="20"/>
          <w:highlight w:val="none"/>
        </w:rPr>
        <w:t>1资格性检查。依据法律法规和</w:t>
      </w:r>
      <w:r>
        <w:rPr>
          <w:rFonts w:hint="eastAsia" w:ascii="仿宋_GB2312" w:hAnsi="Courier New" w:eastAsia="仿宋_GB2312"/>
          <w:b/>
          <w:color w:val="auto"/>
          <w:sz w:val="24"/>
          <w:szCs w:val="20"/>
          <w:highlight w:val="none"/>
          <w:lang w:eastAsia="zh-CN"/>
        </w:rPr>
        <w:t>竞争性磋商文件</w:t>
      </w:r>
      <w:r>
        <w:rPr>
          <w:rFonts w:ascii="仿宋_GB2312" w:hAnsi="Courier New" w:eastAsia="仿宋_GB2312"/>
          <w:b/>
          <w:color w:val="auto"/>
          <w:sz w:val="24"/>
          <w:szCs w:val="20"/>
          <w:highlight w:val="none"/>
        </w:rPr>
        <w:t>的规定，对</w:t>
      </w:r>
      <w:r>
        <w:rPr>
          <w:rFonts w:hint="eastAsia" w:ascii="仿宋_GB2312" w:hAnsi="Courier New" w:eastAsia="仿宋_GB2312"/>
          <w:b/>
          <w:color w:val="auto"/>
          <w:sz w:val="24"/>
          <w:szCs w:val="20"/>
          <w:highlight w:val="none"/>
        </w:rPr>
        <w:t>响应文件</w:t>
      </w:r>
      <w:r>
        <w:rPr>
          <w:rFonts w:ascii="仿宋_GB2312" w:hAnsi="Courier New" w:eastAsia="仿宋_GB2312"/>
          <w:b/>
          <w:color w:val="auto"/>
          <w:sz w:val="24"/>
          <w:szCs w:val="20"/>
          <w:highlight w:val="none"/>
        </w:rPr>
        <w:t>中的资格</w:t>
      </w:r>
      <w:r>
        <w:rPr>
          <w:rFonts w:hint="eastAsia" w:ascii="仿宋_GB2312" w:hAnsi="Courier New" w:eastAsia="仿宋_GB2312"/>
          <w:b/>
          <w:color w:val="auto"/>
          <w:sz w:val="24"/>
          <w:szCs w:val="20"/>
          <w:highlight w:val="none"/>
        </w:rPr>
        <w:t>条件</w:t>
      </w:r>
      <w:r>
        <w:rPr>
          <w:rFonts w:ascii="仿宋_GB2312" w:hAnsi="Courier New" w:eastAsia="仿宋_GB2312"/>
          <w:b/>
          <w:color w:val="auto"/>
          <w:sz w:val="24"/>
          <w:szCs w:val="20"/>
          <w:highlight w:val="none"/>
        </w:rPr>
        <w:t>等进行审查，以确定</w:t>
      </w:r>
      <w:r>
        <w:rPr>
          <w:rFonts w:hint="eastAsia" w:ascii="仿宋_GB2312" w:hAnsi="Courier New" w:eastAsia="仿宋_GB2312"/>
          <w:b/>
          <w:color w:val="auto"/>
          <w:sz w:val="24"/>
          <w:szCs w:val="20"/>
          <w:highlight w:val="none"/>
        </w:rPr>
        <w:t>供应商</w:t>
      </w:r>
      <w:r>
        <w:rPr>
          <w:rFonts w:ascii="仿宋_GB2312" w:hAnsi="Courier New" w:eastAsia="仿宋_GB2312"/>
          <w:b/>
          <w:color w:val="auto"/>
          <w:sz w:val="24"/>
          <w:szCs w:val="20"/>
          <w:highlight w:val="none"/>
        </w:rPr>
        <w:t>是否具备</w:t>
      </w:r>
      <w:r>
        <w:rPr>
          <w:rFonts w:hint="eastAsia" w:ascii="仿宋_GB2312" w:hAnsi="Courier New" w:eastAsia="仿宋_GB2312"/>
          <w:b/>
          <w:color w:val="auto"/>
          <w:sz w:val="24"/>
          <w:szCs w:val="20"/>
          <w:highlight w:val="none"/>
        </w:rPr>
        <w:t>磋商</w:t>
      </w:r>
      <w:r>
        <w:rPr>
          <w:rFonts w:ascii="仿宋_GB2312" w:hAnsi="Courier New" w:eastAsia="仿宋_GB2312"/>
          <w:b/>
          <w:color w:val="auto"/>
          <w:sz w:val="24"/>
          <w:szCs w:val="20"/>
          <w:highlight w:val="none"/>
        </w:rPr>
        <w:t>资格。</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hAnsi="Courier New" w:eastAsia="仿宋_GB2312"/>
          <w:b/>
          <w:color w:val="auto"/>
          <w:sz w:val="24"/>
          <w:szCs w:val="20"/>
          <w:highlight w:val="none"/>
        </w:rPr>
        <w:t>32.3.2</w:t>
      </w:r>
      <w:r>
        <w:rPr>
          <w:rFonts w:ascii="仿宋_GB2312" w:hAnsi="Courier New" w:eastAsia="仿宋_GB2312"/>
          <w:b/>
          <w:color w:val="auto"/>
          <w:sz w:val="24"/>
          <w:szCs w:val="20"/>
          <w:highlight w:val="none"/>
        </w:rPr>
        <w:t>符合性检查。依据</w:t>
      </w:r>
      <w:r>
        <w:rPr>
          <w:rFonts w:hint="eastAsia" w:ascii="仿宋_GB2312" w:hAnsi="Courier New" w:eastAsia="仿宋_GB2312"/>
          <w:b/>
          <w:color w:val="auto"/>
          <w:sz w:val="24"/>
          <w:szCs w:val="20"/>
          <w:highlight w:val="none"/>
          <w:lang w:eastAsia="zh-CN"/>
        </w:rPr>
        <w:t>竞争性磋商文件</w:t>
      </w:r>
      <w:r>
        <w:rPr>
          <w:rFonts w:ascii="仿宋_GB2312" w:hAnsi="Courier New" w:eastAsia="仿宋_GB2312"/>
          <w:b/>
          <w:color w:val="auto"/>
          <w:sz w:val="24"/>
          <w:szCs w:val="20"/>
          <w:highlight w:val="none"/>
        </w:rPr>
        <w:t>的规定，从</w:t>
      </w:r>
      <w:r>
        <w:rPr>
          <w:rFonts w:hint="eastAsia" w:ascii="仿宋_GB2312" w:hAnsi="Courier New" w:eastAsia="仿宋_GB2312"/>
          <w:b/>
          <w:color w:val="auto"/>
          <w:sz w:val="24"/>
          <w:szCs w:val="20"/>
          <w:highlight w:val="none"/>
        </w:rPr>
        <w:t>响应文件</w:t>
      </w:r>
      <w:r>
        <w:rPr>
          <w:rFonts w:ascii="仿宋_GB2312" w:hAnsi="Courier New" w:eastAsia="仿宋_GB2312"/>
          <w:b/>
          <w:color w:val="auto"/>
          <w:sz w:val="24"/>
          <w:szCs w:val="20"/>
          <w:highlight w:val="none"/>
        </w:rPr>
        <w:t>的有效性、完整性和对</w:t>
      </w:r>
      <w:r>
        <w:rPr>
          <w:rFonts w:hint="eastAsia" w:ascii="仿宋_GB2312" w:hAnsi="Courier New" w:eastAsia="仿宋_GB2312"/>
          <w:b/>
          <w:color w:val="auto"/>
          <w:sz w:val="24"/>
          <w:szCs w:val="20"/>
          <w:highlight w:val="none"/>
          <w:lang w:eastAsia="zh-CN"/>
        </w:rPr>
        <w:t>竞争性磋商文件</w:t>
      </w:r>
      <w:r>
        <w:rPr>
          <w:rFonts w:ascii="仿宋_GB2312" w:hAnsi="Courier New" w:eastAsia="仿宋_GB2312"/>
          <w:b/>
          <w:color w:val="auto"/>
          <w:sz w:val="24"/>
          <w:szCs w:val="20"/>
          <w:highlight w:val="none"/>
        </w:rPr>
        <w:t>的响应程度进行审查，以确定是否对</w:t>
      </w:r>
      <w:r>
        <w:rPr>
          <w:rFonts w:hint="eastAsia" w:ascii="仿宋_GB2312" w:hAnsi="Courier New" w:eastAsia="仿宋_GB2312"/>
          <w:b/>
          <w:color w:val="auto"/>
          <w:sz w:val="24"/>
          <w:szCs w:val="20"/>
          <w:highlight w:val="none"/>
          <w:lang w:eastAsia="zh-CN"/>
        </w:rPr>
        <w:t>竞争性磋商文件</w:t>
      </w:r>
      <w:r>
        <w:rPr>
          <w:rFonts w:ascii="仿宋_GB2312" w:hAnsi="Courier New" w:eastAsia="仿宋_GB2312"/>
          <w:b/>
          <w:color w:val="auto"/>
          <w:sz w:val="24"/>
          <w:szCs w:val="20"/>
          <w:highlight w:val="none"/>
        </w:rPr>
        <w:t>的实质性要求作出响应。</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hAnsi="Courier New" w:eastAsia="仿宋_GB2312"/>
          <w:b/>
          <w:color w:val="auto"/>
          <w:sz w:val="24"/>
          <w:szCs w:val="20"/>
          <w:highlight w:val="none"/>
        </w:rPr>
        <w:t>32.3.3</w:t>
      </w:r>
      <w:r>
        <w:rPr>
          <w:rFonts w:ascii="仿宋_GB2312" w:hAnsi="Courier New" w:eastAsia="仿宋_GB2312"/>
          <w:b/>
          <w:color w:val="auto"/>
          <w:sz w:val="24"/>
          <w:szCs w:val="20"/>
          <w:highlight w:val="none"/>
        </w:rPr>
        <w:t>澄清有关问题。对</w:t>
      </w:r>
      <w:r>
        <w:rPr>
          <w:rFonts w:hint="eastAsia" w:ascii="仿宋_GB2312" w:hAnsi="Courier New" w:eastAsia="仿宋_GB2312"/>
          <w:b/>
          <w:color w:val="auto"/>
          <w:sz w:val="24"/>
          <w:szCs w:val="20"/>
          <w:highlight w:val="none"/>
        </w:rPr>
        <w:t>响应文件</w:t>
      </w:r>
      <w:r>
        <w:rPr>
          <w:rFonts w:ascii="仿宋_GB2312" w:hAnsi="Courier New" w:eastAsia="仿宋_GB2312"/>
          <w:b/>
          <w:color w:val="auto"/>
          <w:sz w:val="24"/>
          <w:szCs w:val="20"/>
          <w:highlight w:val="none"/>
        </w:rPr>
        <w:t>中含义不明确、同类问题表述不一致或者有明显文字和计算错误的内容，</w:t>
      </w:r>
      <w:r>
        <w:rPr>
          <w:rFonts w:hint="eastAsia" w:ascii="仿宋_GB2312" w:hAnsi="Courier New" w:eastAsia="仿宋_GB2312"/>
          <w:b/>
          <w:color w:val="auto"/>
          <w:sz w:val="24"/>
          <w:szCs w:val="20"/>
          <w:highlight w:val="none"/>
        </w:rPr>
        <w:t>磋商小组</w:t>
      </w:r>
      <w:r>
        <w:rPr>
          <w:rFonts w:ascii="仿宋_GB2312" w:hAnsi="Courier New" w:eastAsia="仿宋_GB2312"/>
          <w:b/>
          <w:color w:val="auto"/>
          <w:sz w:val="24"/>
          <w:szCs w:val="20"/>
          <w:highlight w:val="none"/>
        </w:rPr>
        <w:t>可以书面形式要求</w:t>
      </w:r>
      <w:r>
        <w:rPr>
          <w:rFonts w:hint="eastAsia" w:ascii="仿宋_GB2312" w:hAnsi="Courier New" w:eastAsia="仿宋_GB2312"/>
          <w:b/>
          <w:color w:val="auto"/>
          <w:sz w:val="24"/>
          <w:szCs w:val="20"/>
          <w:highlight w:val="none"/>
        </w:rPr>
        <w:t>供应商</w:t>
      </w:r>
      <w:r>
        <w:rPr>
          <w:rFonts w:ascii="仿宋_GB2312" w:hAnsi="Courier New" w:eastAsia="仿宋_GB2312"/>
          <w:b/>
          <w:color w:val="auto"/>
          <w:sz w:val="24"/>
          <w:szCs w:val="20"/>
          <w:highlight w:val="none"/>
        </w:rPr>
        <w:t>作出必要的澄清、说明或者纠正。</w:t>
      </w:r>
      <w:r>
        <w:rPr>
          <w:rFonts w:hint="eastAsia" w:ascii="仿宋_GB2312" w:hAnsi="Courier New" w:eastAsia="仿宋_GB2312"/>
          <w:b/>
          <w:color w:val="auto"/>
          <w:sz w:val="24"/>
          <w:szCs w:val="20"/>
          <w:highlight w:val="none"/>
        </w:rPr>
        <w:t>供应商</w:t>
      </w:r>
      <w:r>
        <w:rPr>
          <w:rFonts w:ascii="仿宋_GB2312" w:hAnsi="Courier New" w:eastAsia="仿宋_GB2312"/>
          <w:b/>
          <w:color w:val="auto"/>
          <w:sz w:val="24"/>
          <w:szCs w:val="20"/>
          <w:highlight w:val="none"/>
        </w:rPr>
        <w:t>的澄清、说明或者补正应当采用书面形式，由其授权的代表签字，并不得超出</w:t>
      </w:r>
      <w:r>
        <w:rPr>
          <w:rFonts w:hint="eastAsia" w:ascii="仿宋_GB2312" w:hAnsi="Courier New" w:eastAsia="仿宋_GB2312"/>
          <w:b/>
          <w:color w:val="auto"/>
          <w:sz w:val="24"/>
          <w:szCs w:val="20"/>
          <w:highlight w:val="none"/>
        </w:rPr>
        <w:t>响应文件</w:t>
      </w:r>
      <w:r>
        <w:rPr>
          <w:rFonts w:ascii="仿宋_GB2312" w:hAnsi="Courier New" w:eastAsia="仿宋_GB2312"/>
          <w:b/>
          <w:color w:val="auto"/>
          <w:sz w:val="24"/>
          <w:szCs w:val="20"/>
          <w:highlight w:val="none"/>
        </w:rPr>
        <w:t>的范围或者改变</w:t>
      </w:r>
      <w:r>
        <w:rPr>
          <w:rFonts w:hint="eastAsia" w:ascii="仿宋_GB2312" w:hAnsi="Courier New" w:eastAsia="仿宋_GB2312"/>
          <w:b/>
          <w:color w:val="auto"/>
          <w:sz w:val="24"/>
          <w:szCs w:val="20"/>
          <w:highlight w:val="none"/>
        </w:rPr>
        <w:t>响应文件</w:t>
      </w:r>
      <w:r>
        <w:rPr>
          <w:rFonts w:ascii="仿宋_GB2312" w:hAnsi="Courier New" w:eastAsia="仿宋_GB2312"/>
          <w:b/>
          <w:color w:val="auto"/>
          <w:sz w:val="24"/>
          <w:szCs w:val="20"/>
          <w:highlight w:val="none"/>
        </w:rPr>
        <w:t>的实质性内容。</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eastAsia="仿宋_GB2312"/>
          <w:b/>
          <w:color w:val="auto"/>
          <w:sz w:val="24"/>
          <w:szCs w:val="20"/>
          <w:highlight w:val="none"/>
        </w:rPr>
        <w:t>32.3.4</w:t>
      </w:r>
      <w:r>
        <w:rPr>
          <w:rFonts w:ascii="仿宋_GB2312" w:eastAsia="仿宋_GB2312"/>
          <w:b/>
          <w:color w:val="auto"/>
          <w:sz w:val="24"/>
          <w:szCs w:val="20"/>
          <w:highlight w:val="none"/>
        </w:rPr>
        <w:t>比较与评价。</w:t>
      </w:r>
      <w:r>
        <w:rPr>
          <w:rFonts w:hint="eastAsia" w:ascii="仿宋_GB2312" w:eastAsia="仿宋_GB2312"/>
          <w:b/>
          <w:color w:val="auto"/>
          <w:sz w:val="24"/>
          <w:szCs w:val="20"/>
          <w:highlight w:val="none"/>
        </w:rPr>
        <w:t>磋商小组</w:t>
      </w:r>
      <w:r>
        <w:rPr>
          <w:rFonts w:ascii="仿宋_GB2312" w:eastAsia="仿宋_GB2312"/>
          <w:b/>
          <w:color w:val="auto"/>
          <w:sz w:val="24"/>
          <w:szCs w:val="20"/>
          <w:highlight w:val="none"/>
        </w:rPr>
        <w:t>按</w:t>
      </w:r>
      <w:r>
        <w:rPr>
          <w:rFonts w:hint="eastAsia" w:ascii="仿宋_GB2312" w:eastAsia="仿宋_GB2312"/>
          <w:b/>
          <w:color w:val="auto"/>
          <w:sz w:val="24"/>
          <w:szCs w:val="20"/>
          <w:highlight w:val="none"/>
        </w:rPr>
        <w:t>磋商文件</w:t>
      </w:r>
      <w:r>
        <w:rPr>
          <w:rFonts w:ascii="仿宋_GB2312" w:eastAsia="仿宋_GB2312"/>
          <w:b/>
          <w:color w:val="auto"/>
          <w:sz w:val="24"/>
          <w:szCs w:val="20"/>
          <w:highlight w:val="none"/>
        </w:rPr>
        <w:t>中规定的</w:t>
      </w:r>
      <w:r>
        <w:rPr>
          <w:rFonts w:hint="eastAsia" w:ascii="仿宋_GB2312" w:eastAsia="仿宋_GB2312"/>
          <w:b/>
          <w:color w:val="auto"/>
          <w:sz w:val="24"/>
          <w:szCs w:val="20"/>
          <w:highlight w:val="none"/>
        </w:rPr>
        <w:t>评审方法</w:t>
      </w:r>
      <w:r>
        <w:rPr>
          <w:rFonts w:ascii="仿宋_GB2312" w:eastAsia="仿宋_GB2312"/>
          <w:b/>
          <w:color w:val="auto"/>
          <w:sz w:val="24"/>
          <w:szCs w:val="20"/>
          <w:highlight w:val="none"/>
        </w:rPr>
        <w:t>和标准，对资格性检查和符合性检查合格的</w:t>
      </w:r>
      <w:r>
        <w:rPr>
          <w:rFonts w:hint="eastAsia" w:ascii="仿宋_GB2312" w:eastAsia="仿宋_GB2312"/>
          <w:b/>
          <w:color w:val="auto"/>
          <w:sz w:val="24"/>
          <w:szCs w:val="20"/>
          <w:highlight w:val="none"/>
        </w:rPr>
        <w:t>响应文件</w:t>
      </w:r>
      <w:r>
        <w:rPr>
          <w:rFonts w:ascii="仿宋_GB2312" w:eastAsia="仿宋_GB2312"/>
          <w:b/>
          <w:color w:val="auto"/>
          <w:sz w:val="24"/>
          <w:szCs w:val="20"/>
          <w:highlight w:val="none"/>
        </w:rPr>
        <w:t>进行商务和技术评估，综合比较与评价。</w:t>
      </w:r>
    </w:p>
    <w:p>
      <w:pPr>
        <w:spacing w:line="360" w:lineRule="auto"/>
        <w:ind w:firstLine="482" w:firstLineChars="200"/>
        <w:rPr>
          <w:rFonts w:ascii="仿宋_GB2312" w:hAnsi="Courier New" w:eastAsia="仿宋_GB2312"/>
          <w:color w:val="auto"/>
          <w:sz w:val="24"/>
          <w:szCs w:val="20"/>
          <w:highlight w:val="none"/>
        </w:rPr>
      </w:pPr>
      <w:r>
        <w:rPr>
          <w:rFonts w:hint="eastAsia" w:ascii="仿宋_GB2312" w:hAnsi="Courier New" w:eastAsia="仿宋_GB2312"/>
          <w:b/>
          <w:color w:val="auto"/>
          <w:sz w:val="24"/>
          <w:szCs w:val="20"/>
          <w:highlight w:val="none"/>
        </w:rPr>
        <w:t>32.4</w:t>
      </w:r>
      <w:r>
        <w:rPr>
          <w:rFonts w:hint="eastAsia" w:ascii="仿宋_GB2312" w:hAnsi="Courier New" w:eastAsia="仿宋_GB2312"/>
          <w:color w:val="auto"/>
          <w:sz w:val="24"/>
          <w:szCs w:val="20"/>
          <w:highlight w:val="none"/>
        </w:rPr>
        <w:t>本项目评审</w:t>
      </w:r>
      <w:r>
        <w:rPr>
          <w:rFonts w:hint="eastAsia" w:ascii="黑体" w:hAnsi="Courier New" w:eastAsia="黑体"/>
          <w:b/>
          <w:color w:val="auto"/>
          <w:sz w:val="24"/>
          <w:szCs w:val="20"/>
          <w:highlight w:val="none"/>
        </w:rPr>
        <w:t>采用综合评分法</w:t>
      </w:r>
      <w:r>
        <w:rPr>
          <w:rFonts w:hint="eastAsia" w:ascii="仿宋_GB2312" w:hAnsi="Courier New" w:eastAsia="仿宋_GB2312"/>
          <w:color w:val="auto"/>
          <w:sz w:val="24"/>
          <w:szCs w:val="20"/>
          <w:highlight w:val="none"/>
        </w:rPr>
        <w:t>，严格按照</w:t>
      </w:r>
      <w:r>
        <w:rPr>
          <w:rFonts w:hint="eastAsia" w:ascii="仿宋_GB2312" w:hAnsi="Courier New" w:eastAsia="仿宋_GB2312"/>
          <w:color w:val="auto"/>
          <w:sz w:val="24"/>
          <w:szCs w:val="20"/>
          <w:highlight w:val="none"/>
          <w:lang w:eastAsia="zh-CN"/>
        </w:rPr>
        <w:t>竞争性磋商文件</w:t>
      </w:r>
      <w:r>
        <w:rPr>
          <w:rFonts w:hint="eastAsia" w:ascii="仿宋_GB2312" w:hAnsi="Courier New" w:eastAsia="仿宋_GB2312"/>
          <w:color w:val="auto"/>
          <w:sz w:val="24"/>
          <w:szCs w:val="20"/>
          <w:highlight w:val="none"/>
        </w:rPr>
        <w:t>的要求和条件进行。</w:t>
      </w:r>
    </w:p>
    <w:p>
      <w:pPr>
        <w:spacing w:line="360" w:lineRule="auto"/>
        <w:ind w:firstLine="482" w:firstLineChars="200"/>
        <w:rPr>
          <w:rFonts w:ascii="黑体" w:hAnsi="Courier New" w:eastAsia="黑体"/>
          <w:color w:val="auto"/>
          <w:sz w:val="24"/>
          <w:szCs w:val="20"/>
          <w:highlight w:val="none"/>
        </w:rPr>
      </w:pPr>
      <w:r>
        <w:rPr>
          <w:rFonts w:hint="eastAsia" w:ascii="黑体" w:hAnsi="Courier New" w:eastAsia="黑体"/>
          <w:b/>
          <w:color w:val="auto"/>
          <w:sz w:val="24"/>
          <w:szCs w:val="20"/>
          <w:highlight w:val="none"/>
        </w:rPr>
        <w:t>32.5评审分值：总分值为100分，其中价格分值为20分，其余部分分值为80分，具体评审评分内容详本</w:t>
      </w:r>
      <w:r>
        <w:rPr>
          <w:rFonts w:hint="eastAsia" w:ascii="黑体" w:hAnsi="Courier New" w:eastAsia="黑体"/>
          <w:b/>
          <w:color w:val="auto"/>
          <w:sz w:val="24"/>
          <w:szCs w:val="20"/>
          <w:highlight w:val="none"/>
          <w:lang w:eastAsia="zh-CN"/>
        </w:rPr>
        <w:t>竞争性磋商文件</w:t>
      </w:r>
      <w:r>
        <w:rPr>
          <w:rFonts w:hint="eastAsia" w:ascii="黑体" w:hAnsi="Courier New" w:eastAsia="黑体"/>
          <w:b/>
          <w:color w:val="auto"/>
          <w:sz w:val="24"/>
          <w:szCs w:val="20"/>
          <w:highlight w:val="none"/>
        </w:rPr>
        <w:t>第六章“评审标准（综合评分法）”。</w:t>
      </w:r>
    </w:p>
    <w:p>
      <w:pPr>
        <w:spacing w:line="360" w:lineRule="auto"/>
        <w:ind w:firstLine="482" w:firstLineChars="200"/>
        <w:rPr>
          <w:rFonts w:ascii="仿宋_GB2312" w:hAnsi="Courier New" w:eastAsia="仿宋_GB2312"/>
          <w:b/>
          <w:color w:val="auto"/>
          <w:sz w:val="24"/>
          <w:szCs w:val="20"/>
          <w:highlight w:val="none"/>
        </w:rPr>
      </w:pPr>
      <w:r>
        <w:rPr>
          <w:rFonts w:hint="eastAsia" w:ascii="仿宋_GB2312" w:hAnsi="Courier New" w:eastAsia="仿宋_GB2312"/>
          <w:b/>
          <w:color w:val="auto"/>
          <w:sz w:val="24"/>
          <w:szCs w:val="20"/>
          <w:highlight w:val="none"/>
        </w:rPr>
        <w:t>32.6推荐成交候选供应商</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32.6.1各供应商的评审得分由高至低排序，评审得分排列前3名的供应商被推荐为成交候选供应商。</w:t>
      </w:r>
      <w:r>
        <w:rPr>
          <w:rFonts w:hint="eastAsia" w:ascii="仿宋_GB2312" w:hAnsi="宋体" w:eastAsia="仿宋_GB2312" w:cs="宋体"/>
          <w:b/>
          <w:color w:val="auto"/>
          <w:sz w:val="24"/>
          <w:highlight w:val="none"/>
        </w:rPr>
        <w:t>评审得分相同的，按照最后报价由低到高的顺序推荐。评审得分且最后报价相同的，按照技术指标优劣顺序推荐。</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32.6.2评分计算结果保留两位小数，第三位小数四舍五入。</w:t>
      </w:r>
    </w:p>
    <w:p>
      <w:pPr>
        <w:spacing w:line="360" w:lineRule="auto"/>
        <w:ind w:firstLine="482" w:firstLineChars="200"/>
        <w:rPr>
          <w:rFonts w:ascii="黑体" w:hAnsi="黑体" w:eastAsia="黑体" w:cs="黑体"/>
          <w:b/>
          <w:color w:val="auto"/>
          <w:sz w:val="24"/>
          <w:szCs w:val="20"/>
          <w:highlight w:val="none"/>
        </w:rPr>
      </w:pPr>
      <w:r>
        <w:rPr>
          <w:rFonts w:hint="eastAsia" w:ascii="黑体" w:hAnsi="黑体" w:eastAsia="黑体" w:cs="黑体"/>
          <w:b/>
          <w:color w:val="auto"/>
          <w:sz w:val="24"/>
          <w:highlight w:val="none"/>
        </w:rPr>
        <w:t>32.7</w:t>
      </w:r>
      <w:r>
        <w:rPr>
          <w:rFonts w:hint="eastAsia" w:ascii="黑体" w:hAnsi="黑体" w:eastAsia="黑体" w:cs="黑体"/>
          <w:b/>
          <w:color w:val="auto"/>
          <w:sz w:val="24"/>
          <w:szCs w:val="20"/>
          <w:highlight w:val="none"/>
        </w:rPr>
        <w:t>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555"/>
        <w:rPr>
          <w:rFonts w:ascii="仿宋_GB2312" w:eastAsia="仿宋_GB2312"/>
          <w:b/>
          <w:color w:val="auto"/>
          <w:sz w:val="24"/>
          <w:highlight w:val="none"/>
        </w:rPr>
      </w:pPr>
      <w:r>
        <w:rPr>
          <w:rFonts w:hint="eastAsia" w:ascii="仿宋_GB2312" w:hAnsi="宋体" w:eastAsia="仿宋_GB2312" w:cs="Arial"/>
          <w:b/>
          <w:color w:val="auto"/>
          <w:sz w:val="24"/>
          <w:highlight w:val="none"/>
        </w:rPr>
        <w:t>32.8</w:t>
      </w:r>
      <w:r>
        <w:rPr>
          <w:rFonts w:hint="eastAsia" w:ascii="仿宋_GB2312" w:eastAsia="仿宋_GB2312"/>
          <w:b/>
          <w:color w:val="auto"/>
          <w:sz w:val="24"/>
          <w:highlight w:val="none"/>
        </w:rPr>
        <w:t>采购人根据磋商小组推荐的成交候选供应商及有关规定确定成交供应商</w:t>
      </w:r>
      <w:r>
        <w:rPr>
          <w:rFonts w:ascii="仿宋_GB2312" w:eastAsia="仿宋_GB2312"/>
          <w:b/>
          <w:color w:val="auto"/>
          <w:sz w:val="24"/>
          <w:highlight w:val="none"/>
        </w:rPr>
        <w:t>。</w:t>
      </w:r>
    </w:p>
    <w:p>
      <w:pPr>
        <w:spacing w:line="360" w:lineRule="auto"/>
        <w:ind w:firstLine="480" w:firstLineChars="200"/>
        <w:outlineLvl w:val="1"/>
        <w:rPr>
          <w:rFonts w:ascii="仿宋_GB2312" w:hAnsi="Courier New" w:eastAsia="仿宋_GB2312"/>
          <w:color w:val="auto"/>
          <w:sz w:val="24"/>
          <w:szCs w:val="20"/>
          <w:highlight w:val="none"/>
        </w:rPr>
      </w:pPr>
      <w:bookmarkStart w:id="186" w:name="_Toc233274848"/>
      <w:bookmarkStart w:id="187" w:name="_Toc245897309"/>
      <w:bookmarkStart w:id="188" w:name="_Toc243907610"/>
      <w:bookmarkStart w:id="189" w:name="_Toc243906349"/>
      <w:r>
        <w:rPr>
          <w:rFonts w:hint="eastAsia" w:ascii="仿宋_GB2312" w:hAnsi="Courier New" w:eastAsia="仿宋_GB2312"/>
          <w:color w:val="auto"/>
          <w:sz w:val="24"/>
          <w:szCs w:val="20"/>
          <w:highlight w:val="none"/>
        </w:rPr>
        <w:t>33、采购人依法接受和拒绝任一或所有供应商的权力</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采购人保留确定成交供应商之前的任何时候依法接受或拒绝任一或所有供应商的权力，对受影响的供应商不承担任何责任，也无义务向受影响的供应商解释采取这一行动的理由。</w:t>
      </w:r>
    </w:p>
    <w:p>
      <w:pPr>
        <w:spacing w:line="360" w:lineRule="auto"/>
        <w:ind w:firstLine="480" w:firstLineChars="200"/>
        <w:outlineLvl w:val="1"/>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34、成交通知</w:t>
      </w:r>
      <w:bookmarkEnd w:id="186"/>
      <w:bookmarkEnd w:id="187"/>
      <w:bookmarkEnd w:id="188"/>
      <w:bookmarkEnd w:id="189"/>
      <w:r>
        <w:rPr>
          <w:rFonts w:hint="eastAsia" w:ascii="仿宋_GB2312" w:hAnsi="Courier New" w:eastAsia="仿宋_GB2312"/>
          <w:color w:val="auto"/>
          <w:sz w:val="24"/>
          <w:szCs w:val="20"/>
          <w:highlight w:val="none"/>
        </w:rPr>
        <w:t>书</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34.1采购人确定成交供应商后，及时通知采购代理机构，采购代理机构将按程序公告成交结果，同时向成交供应商发出成交通知书，成交通知书一经发出即发生法律效力。</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34.2《成交通知书》将是合同的组成部分。</w:t>
      </w:r>
    </w:p>
    <w:p>
      <w:pPr>
        <w:spacing w:line="360" w:lineRule="auto"/>
        <w:ind w:firstLine="480" w:firstLineChars="200"/>
        <w:outlineLvl w:val="1"/>
        <w:rPr>
          <w:rFonts w:ascii="仿宋_GB2312" w:hAnsi="Courier New" w:eastAsia="仿宋_GB2312"/>
          <w:color w:val="auto"/>
          <w:sz w:val="24"/>
          <w:szCs w:val="20"/>
          <w:highlight w:val="none"/>
        </w:rPr>
      </w:pPr>
      <w:bookmarkStart w:id="190" w:name="_Toc233274849"/>
      <w:bookmarkStart w:id="191" w:name="_Toc243906350"/>
      <w:bookmarkStart w:id="192" w:name="_Toc245897310"/>
      <w:bookmarkStart w:id="193" w:name="_Toc243907611"/>
      <w:r>
        <w:rPr>
          <w:rFonts w:hint="eastAsia" w:ascii="仿宋_GB2312" w:hAnsi="Courier New" w:eastAsia="仿宋_GB2312"/>
          <w:color w:val="auto"/>
          <w:sz w:val="24"/>
          <w:szCs w:val="20"/>
          <w:highlight w:val="none"/>
        </w:rPr>
        <w:t>35、纪律与保密事项</w:t>
      </w:r>
      <w:bookmarkEnd w:id="190"/>
      <w:bookmarkEnd w:id="191"/>
      <w:bookmarkEnd w:id="192"/>
      <w:bookmarkEnd w:id="193"/>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35.1凡参与磋商工作的有关人员均应自觉接受有关主管部门的监督，不得向他人透露可能影响公平竞争的有关磋商的其他情况。</w:t>
      </w:r>
    </w:p>
    <w:p>
      <w:pPr>
        <w:spacing w:line="360" w:lineRule="auto"/>
        <w:ind w:firstLine="480" w:firstLineChars="200"/>
        <w:rPr>
          <w:rFonts w:ascii="仿宋_GB2312" w:hAnsi="Courier New" w:eastAsia="仿宋_GB2312"/>
          <w:color w:val="auto"/>
          <w:sz w:val="24"/>
          <w:highlight w:val="none"/>
        </w:rPr>
      </w:pPr>
      <w:r>
        <w:rPr>
          <w:rFonts w:hint="eastAsia" w:ascii="仿宋_GB2312" w:hAnsi="Courier New" w:eastAsia="仿宋_GB2312"/>
          <w:color w:val="auto"/>
          <w:sz w:val="24"/>
          <w:highlight w:val="none"/>
        </w:rPr>
        <w:t>35.2领取本</w:t>
      </w:r>
      <w:r>
        <w:rPr>
          <w:rFonts w:hint="eastAsia" w:ascii="仿宋_GB2312" w:hAnsi="Courier New" w:eastAsia="仿宋_GB2312"/>
          <w:color w:val="auto"/>
          <w:sz w:val="24"/>
          <w:highlight w:val="none"/>
          <w:lang w:eastAsia="zh-CN"/>
        </w:rPr>
        <w:t>竞争性磋商文件</w:t>
      </w:r>
      <w:r>
        <w:rPr>
          <w:rFonts w:hint="eastAsia" w:ascii="仿宋_GB2312" w:hAnsi="Courier New" w:eastAsia="仿宋_GB2312"/>
          <w:color w:val="auto"/>
          <w:sz w:val="24"/>
          <w:highlight w:val="none"/>
        </w:rPr>
        <w:t>及其它相关资料者，应对文件进行保密，不得用作本次磋商以外的任何用途。由采购人向供应商提供的图纸、技术资料和所有其它资料，均视为保密资料，除非得到采购人的同意，不得向第三方透露。</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35.3供应商不得与采购人串通磋商，不得向采购人或者磋商小组成员行贿谋取成交，不得以他人名义参与磋商或者以其它任何方式弄虚作假骗取参与磋商；供应商不得以任何方式干扰、影响评审工作。如果供应商或者其他利害关系人通过捏造事实、伪造证明材料等方式提出质疑，干扰政府采购活动正常进行的，属于严重不良行为，采购人、采购代理机构将提请财政部门将其列入不良行为记录名单，并依法予以处罚。</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35.4供应商不得在磋商过程中互相串通、结盟、损害磋商的公正性和竞争性，或以任何方式影响其他供应商参与正当磋商。扰乱磋商市场，破坏公平竞争原则。如供应商在磋商过程中互相串通，一经查实，将取消磋商资格。</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35.5 磋商之日起直至授予成交供应商合同为止，凡属于对响应文件的审查、澄清、评价、比较有关的资料和成交人的推荐情况及与评审有关的其他任何情况均严格保密。</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35.6从磋商之日起至授予合同期间，供应商试图向磋商小组、采购代理机构施加任何影响或对采购人的比较及授予合同的决定进行影响，都可能导致其响应文件被拒绝。</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35.7除供应商被要求对响应文件进行澄清外，从磋商之时起至授予合同期间，供应商不得就与其响应文件有关的事项主动与磋商小组、采购代理机构以及采购人联系。</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35.8成交供应商确定后，采购人不对未成交供应商就评审过程以及未能成交原因作出任何解释，未成交供应商不得向磋商小组或其他有关人员询问评审过程的情况和索取评审过程的资料。</w:t>
      </w:r>
    </w:p>
    <w:p>
      <w:pPr>
        <w:pStyle w:val="15"/>
        <w:spacing w:line="360" w:lineRule="auto"/>
        <w:ind w:firstLine="562" w:firstLineChars="200"/>
        <w:jc w:val="center"/>
        <w:outlineLvl w:val="1"/>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F   授予合同</w:t>
      </w:r>
      <w:bookmarkStart w:id="194" w:name="_Toc243906355"/>
      <w:bookmarkStart w:id="195" w:name="_Toc245897315"/>
      <w:bookmarkStart w:id="196" w:name="_Toc233274853"/>
      <w:bookmarkStart w:id="197" w:name="_Toc243907618"/>
    </w:p>
    <w:bookmarkEnd w:id="194"/>
    <w:bookmarkEnd w:id="195"/>
    <w:bookmarkEnd w:id="196"/>
    <w:bookmarkEnd w:id="197"/>
    <w:p>
      <w:pPr>
        <w:pStyle w:val="15"/>
        <w:spacing w:line="360" w:lineRule="auto"/>
        <w:ind w:firstLine="480" w:firstLineChars="200"/>
        <w:outlineLvl w:val="1"/>
        <w:rPr>
          <w:rFonts w:ascii="仿宋_GB2312" w:eastAsia="仿宋_GB2312"/>
          <w:bCs/>
          <w:color w:val="auto"/>
          <w:sz w:val="24"/>
          <w:szCs w:val="24"/>
          <w:highlight w:val="none"/>
        </w:rPr>
      </w:pPr>
      <w:r>
        <w:rPr>
          <w:rFonts w:hint="eastAsia" w:ascii="仿宋_GB2312" w:eastAsia="仿宋_GB2312"/>
          <w:bCs/>
          <w:color w:val="auto"/>
          <w:sz w:val="24"/>
          <w:szCs w:val="24"/>
          <w:highlight w:val="none"/>
        </w:rPr>
        <w:t>36、授予合同标准</w:t>
      </w:r>
    </w:p>
    <w:p>
      <w:pPr>
        <w:pStyle w:val="15"/>
        <w:spacing w:line="360" w:lineRule="auto"/>
        <w:ind w:firstLine="480" w:firstLineChars="200"/>
        <w:rPr>
          <w:rFonts w:ascii="仿宋_GB2312" w:eastAsia="仿宋_GB2312"/>
          <w:bCs/>
          <w:color w:val="auto"/>
          <w:sz w:val="24"/>
          <w:szCs w:val="24"/>
          <w:highlight w:val="none"/>
        </w:rPr>
      </w:pPr>
      <w:r>
        <w:rPr>
          <w:rFonts w:hint="eastAsia" w:ascii="仿宋_GB2312" w:eastAsia="仿宋_GB2312"/>
          <w:bCs/>
          <w:color w:val="auto"/>
          <w:sz w:val="24"/>
          <w:szCs w:val="24"/>
          <w:highlight w:val="none"/>
        </w:rPr>
        <w:t>36.1本采购项目的采购合同将授予按本须知第32条所确定成交供应商。</w:t>
      </w:r>
    </w:p>
    <w:p>
      <w:pPr>
        <w:pStyle w:val="15"/>
        <w:spacing w:line="360" w:lineRule="auto"/>
        <w:ind w:firstLine="480" w:firstLineChars="200"/>
        <w:outlineLvl w:val="1"/>
        <w:rPr>
          <w:rFonts w:ascii="仿宋_GB2312" w:eastAsia="仿宋_GB2312"/>
          <w:color w:val="auto"/>
          <w:sz w:val="24"/>
          <w:highlight w:val="none"/>
        </w:rPr>
      </w:pPr>
      <w:bookmarkStart w:id="198" w:name="_Toc245897317"/>
      <w:bookmarkStart w:id="199" w:name="_Toc233274855"/>
      <w:bookmarkStart w:id="200" w:name="_Toc243907620"/>
      <w:bookmarkStart w:id="201" w:name="_Toc243906357"/>
      <w:r>
        <w:rPr>
          <w:rFonts w:hint="eastAsia" w:ascii="仿宋_GB2312" w:eastAsia="仿宋_GB2312"/>
          <w:color w:val="auto"/>
          <w:sz w:val="24"/>
          <w:highlight w:val="none"/>
        </w:rPr>
        <w:t>37、签订合同</w:t>
      </w:r>
      <w:bookmarkEnd w:id="198"/>
      <w:bookmarkEnd w:id="199"/>
      <w:bookmarkEnd w:id="200"/>
      <w:bookmarkEnd w:id="201"/>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37.1成交供应商应当自成交通知书发出之日起三十日内，按照</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和成交供应商的响应文件订立书面合同。成交供应商不得要求订立背离本响应文件合同条款等响应文件实质性内容的其他协议。</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37.2 成交通知书、成交供应商的响应文件及其澄清文件、技术规范及标准、项目采购需求、本</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（含修改文件或补充文件）及答疑纪要等，均为签订合同的依据。</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37.3采购人如不按本须知37.1条规定与成交供应商签订合同，或者采购人、成交供应商签订背离合同实质性内容的协议，由监督管理部门责令其改正。</w:t>
      </w:r>
    </w:p>
    <w:p>
      <w:pPr>
        <w:pStyle w:val="15"/>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37.4成交供应商如不按本须知37.1条规定与采购人签订合同，则按违约处理，采购人将有权取消成交供应商资格，给采购人造成损失，还应当予以赔偿，同时依法承担相应的法律责任。</w:t>
      </w:r>
    </w:p>
    <w:p>
      <w:pPr>
        <w:spacing w:line="360" w:lineRule="auto"/>
        <w:ind w:firstLine="482" w:firstLineChars="200"/>
        <w:rPr>
          <w:rFonts w:ascii="仿宋_GB2312" w:eastAsia="仿宋_GB2312"/>
          <w:color w:val="auto"/>
          <w:highlight w:val="none"/>
        </w:rPr>
      </w:pPr>
      <w:r>
        <w:rPr>
          <w:rFonts w:hint="eastAsia" w:ascii="黑体" w:eastAsia="黑体"/>
          <w:b/>
          <w:color w:val="auto"/>
          <w:sz w:val="24"/>
          <w:highlight w:val="none"/>
        </w:rPr>
        <w:t>37.5成交供应商拒绝与采购人签订合同的，采购人可以按照评审报告推荐的成交候选人名单排序，确定下一名候选人为成交供应商，并组织重新选定的成交供应商和采购人签订合同，也可以重新开展政府采购活动。</w:t>
      </w:r>
    </w:p>
    <w:p>
      <w:pPr>
        <w:spacing w:line="360" w:lineRule="auto"/>
        <w:ind w:firstLine="482" w:firstLineChars="200"/>
        <w:outlineLvl w:val="1"/>
        <w:rPr>
          <w:rFonts w:ascii="仿宋_GB2312" w:eastAsia="仿宋_GB2312"/>
          <w:b/>
          <w:color w:val="auto"/>
          <w:highlight w:val="none"/>
        </w:rPr>
      </w:pPr>
      <w:bookmarkStart w:id="202" w:name="_Toc245897318"/>
      <w:bookmarkStart w:id="203" w:name="_Toc243907621"/>
      <w:r>
        <w:rPr>
          <w:rFonts w:hint="eastAsia" w:ascii="仿宋_GB2312" w:eastAsia="仿宋_GB2312"/>
          <w:b/>
          <w:color w:val="auto"/>
          <w:sz w:val="24"/>
          <w:highlight w:val="none"/>
        </w:rPr>
        <w:t>38、合同的签订准则</w:t>
      </w:r>
      <w:bookmarkEnd w:id="202"/>
      <w:bookmarkEnd w:id="203"/>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38.1合同签订必须由采购人、成交供应商双方法定代表人或其委托代理人签署并加盖法人公章后方能生效。</w:t>
      </w:r>
    </w:p>
    <w:p>
      <w:pPr>
        <w:spacing w:line="360" w:lineRule="auto"/>
        <w:ind w:firstLine="482" w:firstLineChars="200"/>
        <w:rPr>
          <w:rFonts w:ascii="黑体" w:hAnsi="黑体" w:eastAsia="黑体" w:cs="黑体"/>
          <w:b/>
          <w:bCs/>
          <w:color w:val="auto"/>
          <w:sz w:val="24"/>
          <w:highlight w:val="none"/>
        </w:rPr>
      </w:pPr>
      <w:r>
        <w:rPr>
          <w:rFonts w:hint="eastAsia" w:ascii="黑体" w:hAnsi="黑体" w:eastAsia="黑体" w:cs="黑体"/>
          <w:b/>
          <w:bCs/>
          <w:color w:val="auto"/>
          <w:sz w:val="24"/>
          <w:highlight w:val="none"/>
        </w:rPr>
        <w:t>38.2合同转包（实质性要求）</w:t>
      </w:r>
    </w:p>
    <w:p>
      <w:pPr>
        <w:spacing w:line="360" w:lineRule="auto"/>
        <w:ind w:firstLine="482" w:firstLineChars="200"/>
        <w:rPr>
          <w:rFonts w:ascii="黑体" w:hAnsi="黑体" w:eastAsia="黑体" w:cs="黑体"/>
          <w:b/>
          <w:bCs/>
          <w:color w:val="auto"/>
          <w:sz w:val="24"/>
          <w:highlight w:val="none"/>
        </w:rPr>
      </w:pPr>
      <w:r>
        <w:rPr>
          <w:rFonts w:hint="eastAsia" w:ascii="黑体" w:hAnsi="黑体" w:eastAsia="黑体" w:cs="黑体"/>
          <w:b/>
          <w:bCs/>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ascii="黑体" w:hAnsi="黑体" w:eastAsia="黑体" w:cs="黑体"/>
          <w:b/>
          <w:bCs/>
          <w:color w:val="auto"/>
          <w:sz w:val="24"/>
          <w:highlight w:val="none"/>
        </w:rPr>
      </w:pPr>
      <w:r>
        <w:rPr>
          <w:rFonts w:hint="eastAsia" w:ascii="黑体" w:hAnsi="黑体" w:eastAsia="黑体" w:cs="黑体"/>
          <w:b/>
          <w:bCs/>
          <w:color w:val="auto"/>
          <w:sz w:val="24"/>
          <w:highlight w:val="none"/>
        </w:rPr>
        <w:t>成交供应商转包的，视同拒绝履行政府采购合同义务，将依法追究法律责任。</w:t>
      </w:r>
    </w:p>
    <w:p>
      <w:pPr>
        <w:spacing w:line="360" w:lineRule="auto"/>
        <w:ind w:firstLine="482" w:firstLineChars="200"/>
        <w:rPr>
          <w:rFonts w:ascii="黑体" w:hAnsi="黑体" w:eastAsia="黑体" w:cs="黑体"/>
          <w:b/>
          <w:bCs/>
          <w:color w:val="auto"/>
          <w:sz w:val="24"/>
          <w:highlight w:val="none"/>
        </w:rPr>
      </w:pPr>
      <w:r>
        <w:rPr>
          <w:rFonts w:hint="eastAsia" w:ascii="黑体" w:hAnsi="黑体" w:eastAsia="黑体" w:cs="黑体"/>
          <w:b/>
          <w:bCs/>
          <w:color w:val="auto"/>
          <w:sz w:val="24"/>
          <w:highlight w:val="none"/>
        </w:rPr>
        <w:t>39、验收</w:t>
      </w:r>
    </w:p>
    <w:p>
      <w:pPr>
        <w:spacing w:line="360" w:lineRule="auto"/>
        <w:ind w:firstLine="482" w:firstLineChars="200"/>
        <w:rPr>
          <w:rFonts w:ascii="黑体" w:hAnsi="黑体" w:eastAsia="黑体" w:cs="黑体"/>
          <w:b/>
          <w:bCs/>
          <w:color w:val="auto"/>
          <w:sz w:val="24"/>
          <w:highlight w:val="none"/>
        </w:rPr>
      </w:pPr>
      <w:r>
        <w:rPr>
          <w:rFonts w:hint="eastAsia" w:ascii="黑体" w:hAnsi="黑体" w:eastAsia="黑体" w:cs="黑体"/>
          <w:b/>
          <w:bCs/>
          <w:color w:val="auto"/>
          <w:sz w:val="24"/>
          <w:highlight w:val="none"/>
        </w:rPr>
        <w:t>39.1本项目采购人将严格按照政府采购相关法律法规以及《克拉玛依市政府采购项目需求论证和履约验收管理办法》（克财发〔2016〕9号）的要求进行验收。</w:t>
      </w:r>
    </w:p>
    <w:p>
      <w:pPr>
        <w:snapToGrid w:val="0"/>
        <w:spacing w:line="360" w:lineRule="auto"/>
        <w:ind w:firstLine="562" w:firstLineChars="200"/>
        <w:jc w:val="center"/>
        <w:rPr>
          <w:rFonts w:ascii="仿宋_GB2312" w:hAnsi="Courier New" w:eastAsia="仿宋_GB2312"/>
          <w:b/>
          <w:bCs/>
          <w:color w:val="auto"/>
          <w:kern w:val="0"/>
          <w:sz w:val="28"/>
          <w:szCs w:val="28"/>
          <w:highlight w:val="none"/>
        </w:rPr>
      </w:pPr>
      <w:r>
        <w:rPr>
          <w:rFonts w:hint="eastAsia" w:ascii="仿宋_GB2312" w:hAnsi="Courier New" w:eastAsia="仿宋_GB2312"/>
          <w:b/>
          <w:bCs/>
          <w:color w:val="auto"/>
          <w:kern w:val="0"/>
          <w:sz w:val="28"/>
          <w:szCs w:val="28"/>
          <w:highlight w:val="none"/>
        </w:rPr>
        <w:t>G  询问、质疑、投诉</w:t>
      </w:r>
    </w:p>
    <w:p>
      <w:pPr>
        <w:snapToGrid w:val="0"/>
        <w:spacing w:line="360" w:lineRule="auto"/>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40、询问</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40.1供应商对采购活动事项有疑问的，可以向采购人或采购代理机构提出询问，采购人或采购代理机构应当在三个工作日内对供应商依法提出的询问作出答复，但答复的内容不得涉及商业秘密。</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41、质疑</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w:t>
      </w:r>
      <w:r>
        <w:rPr>
          <w:rFonts w:ascii="仿宋_GB2312" w:eastAsia="仿宋_GB2312"/>
          <w:color w:val="auto"/>
          <w:sz w:val="24"/>
          <w:highlight w:val="none"/>
        </w:rPr>
        <w:t>.</w:t>
      </w:r>
      <w:r>
        <w:rPr>
          <w:rFonts w:hint="eastAsia" w:ascii="仿宋_GB2312" w:eastAsia="仿宋_GB2312"/>
          <w:color w:val="auto"/>
          <w:sz w:val="24"/>
          <w:highlight w:val="none"/>
        </w:rPr>
        <w:t>1供应商认为</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、采购过程和成交结果使自己的合法权益受到损害的，可以在知道或者应知其权益受到损害之日起七个工作日内，将质疑文件原件和必要的证明材料书面送达采购人或采购代理机构。</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41.2供应商如对</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技术指标、参数、评分标准有质疑，向采购人提出，由采购人按相关规定做出答复或委托采购代理机构代为答复。供应商如对采购过程和采购结果有质疑，向采购代理机构提出，由采购代理机构按相关规定作出答复。</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41.3</w:t>
      </w:r>
      <w:r>
        <w:rPr>
          <w:rFonts w:ascii="仿宋_GB2312" w:eastAsia="仿宋_GB2312"/>
          <w:color w:val="auto"/>
          <w:sz w:val="24"/>
          <w:highlight w:val="none"/>
        </w:rPr>
        <w:t xml:space="preserve">上述应知其权益受到损害之日是指：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（1）对</w:t>
      </w:r>
      <w:r>
        <w:rPr>
          <w:rFonts w:hint="eastAsia" w:ascii="仿宋_GB2312" w:eastAsia="仿宋_GB2312"/>
          <w:color w:val="auto"/>
          <w:sz w:val="24"/>
          <w:highlight w:val="none"/>
          <w:lang w:eastAsia="zh-CN"/>
        </w:rPr>
        <w:t>竞争性磋商文件</w:t>
      </w:r>
      <w:r>
        <w:rPr>
          <w:rFonts w:ascii="仿宋_GB2312" w:eastAsia="仿宋_GB2312"/>
          <w:color w:val="auto"/>
          <w:sz w:val="24"/>
          <w:highlight w:val="none"/>
        </w:rPr>
        <w:t>提出质疑的，为</w:t>
      </w:r>
      <w:r>
        <w:rPr>
          <w:rFonts w:hint="eastAsia" w:ascii="仿宋_GB2312" w:eastAsia="仿宋_GB2312"/>
          <w:color w:val="auto"/>
          <w:sz w:val="24"/>
          <w:highlight w:val="none"/>
          <w:lang w:eastAsia="zh-CN"/>
        </w:rPr>
        <w:t>竞争性磋商文件</w:t>
      </w:r>
      <w:r>
        <w:rPr>
          <w:rFonts w:ascii="仿宋_GB2312" w:eastAsia="仿宋_GB2312"/>
          <w:color w:val="auto"/>
          <w:sz w:val="24"/>
          <w:highlight w:val="none"/>
        </w:rPr>
        <w:t xml:space="preserve">公告期限届满之日起计算；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（2）对采购过程提出质疑的，自采购程序环节结束之日起计算；</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（3）对中标</w:t>
      </w:r>
      <w:r>
        <w:rPr>
          <w:rFonts w:hint="eastAsia" w:ascii="仿宋_GB2312" w:eastAsia="仿宋_GB2312"/>
          <w:color w:val="auto"/>
          <w:sz w:val="24"/>
          <w:highlight w:val="none"/>
        </w:rPr>
        <w:t>或者成交</w:t>
      </w:r>
      <w:r>
        <w:rPr>
          <w:rFonts w:ascii="仿宋_GB2312" w:eastAsia="仿宋_GB2312"/>
          <w:color w:val="auto"/>
          <w:sz w:val="24"/>
          <w:highlight w:val="none"/>
        </w:rPr>
        <w:t>结果提出质疑的，自中标</w:t>
      </w:r>
      <w:r>
        <w:rPr>
          <w:rFonts w:hint="eastAsia" w:ascii="仿宋_GB2312" w:eastAsia="仿宋_GB2312"/>
          <w:color w:val="auto"/>
          <w:sz w:val="24"/>
          <w:highlight w:val="none"/>
        </w:rPr>
        <w:t>或者成交</w:t>
      </w:r>
      <w:r>
        <w:rPr>
          <w:rFonts w:ascii="仿宋_GB2312" w:eastAsia="仿宋_GB2312"/>
          <w:color w:val="auto"/>
          <w:sz w:val="24"/>
          <w:highlight w:val="none"/>
        </w:rPr>
        <w:t>结果公告期限届满之日起计算。</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41.4</w:t>
      </w:r>
      <w:r>
        <w:rPr>
          <w:rFonts w:ascii="仿宋_GB2312" w:eastAsia="仿宋_GB2312"/>
          <w:color w:val="auto"/>
          <w:sz w:val="24"/>
          <w:highlight w:val="none"/>
        </w:rPr>
        <w:t>质疑供应商在法定质疑期内应当一次性提出针对同一采购环节提出质疑</w:t>
      </w:r>
      <w:r>
        <w:rPr>
          <w:rFonts w:hint="eastAsia" w:ascii="仿宋_GB2312" w:eastAsia="仿宋_GB2312"/>
          <w:color w:val="auto"/>
          <w:sz w:val="24"/>
          <w:highlight w:val="none"/>
        </w:rPr>
        <w:t>。</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41.5质疑文件应包括以下主要内容，并按照</w:t>
      </w:r>
      <w:r>
        <w:rPr>
          <w:rFonts w:ascii="仿宋_GB2312" w:eastAsia="仿宋_GB2312"/>
          <w:b/>
          <w:color w:val="auto"/>
          <w:sz w:val="24"/>
          <w:highlight w:val="none"/>
        </w:rPr>
        <w:t>“</w:t>
      </w:r>
      <w:r>
        <w:rPr>
          <w:rFonts w:hint="eastAsia" w:ascii="仿宋_GB2312" w:eastAsia="仿宋_GB2312"/>
          <w:b/>
          <w:color w:val="auto"/>
          <w:sz w:val="24"/>
          <w:highlight w:val="none"/>
        </w:rPr>
        <w:t>谁主张、谁举证</w:t>
      </w:r>
      <w:r>
        <w:rPr>
          <w:rFonts w:ascii="仿宋_GB2312" w:eastAsia="仿宋_GB2312"/>
          <w:b/>
          <w:color w:val="auto"/>
          <w:sz w:val="24"/>
          <w:highlight w:val="none"/>
        </w:rPr>
        <w:t>”</w:t>
      </w:r>
      <w:r>
        <w:rPr>
          <w:rFonts w:hint="eastAsia" w:ascii="仿宋_GB2312" w:eastAsia="仿宋_GB2312"/>
          <w:b/>
          <w:color w:val="auto"/>
          <w:sz w:val="24"/>
          <w:highlight w:val="none"/>
        </w:rPr>
        <w:t>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 xml:space="preserve">（1）供应商的姓名或者名称、地址、邮编、联系人及联系电话（包括座机、手机、传真号码等）；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（2）质疑项目的名称、项目编号、包号、</w:t>
      </w:r>
      <w:r>
        <w:rPr>
          <w:rFonts w:hint="eastAsia" w:ascii="仿宋_GB2312" w:eastAsia="仿宋_GB2312"/>
          <w:color w:val="auto"/>
          <w:sz w:val="24"/>
          <w:highlight w:val="none"/>
        </w:rPr>
        <w:t>采购</w:t>
      </w:r>
      <w:r>
        <w:rPr>
          <w:rFonts w:ascii="仿宋_GB2312" w:eastAsia="仿宋_GB2312"/>
          <w:color w:val="auto"/>
          <w:sz w:val="24"/>
          <w:highlight w:val="none"/>
        </w:rPr>
        <w:t>公告发布时间、</w:t>
      </w:r>
      <w:r>
        <w:rPr>
          <w:rFonts w:hint="eastAsia" w:ascii="仿宋_GB2312" w:eastAsia="仿宋_GB2312"/>
          <w:color w:val="auto"/>
          <w:sz w:val="24"/>
          <w:highlight w:val="none"/>
        </w:rPr>
        <w:t>递交响应文件或响应文件截止</w:t>
      </w:r>
      <w:r>
        <w:rPr>
          <w:rFonts w:ascii="仿宋_GB2312" w:eastAsia="仿宋_GB2312"/>
          <w:color w:val="auto"/>
          <w:sz w:val="24"/>
          <w:highlight w:val="none"/>
        </w:rPr>
        <w:t xml:space="preserve">时间；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 xml:space="preserve">（3）具体、明确的质疑事项和与质疑事项相关的请求；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 xml:space="preserve">（5）必要的法律依据； </w:t>
      </w:r>
    </w:p>
    <w:p>
      <w:pPr>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（6）提起质疑的日期</w:t>
      </w:r>
      <w:r>
        <w:rPr>
          <w:rFonts w:hint="eastAsia" w:ascii="仿宋_GB2312" w:eastAsia="仿宋_GB2312"/>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（8）供应商委托代理质疑的，应当提交授权委托书，</w:t>
      </w:r>
      <w:r>
        <w:rPr>
          <w:rFonts w:ascii="仿宋_GB2312" w:eastAsia="仿宋_GB2312"/>
          <w:color w:val="auto"/>
          <w:sz w:val="24"/>
          <w:highlight w:val="none"/>
        </w:rPr>
        <w:t>并载明代理人的姓名或者名称、代理事项、 具体权限、期限和相关事项</w:t>
      </w:r>
      <w:r>
        <w:rPr>
          <w:rFonts w:hint="eastAsia" w:ascii="仿宋_GB2312" w:eastAsia="仿宋_GB2312"/>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41.6质疑供应商是指直接参加本项目采购活动的供应商，</w:t>
      </w:r>
      <w:r>
        <w:rPr>
          <w:rFonts w:ascii="仿宋_GB2312" w:eastAsia="仿宋_GB2312"/>
          <w:color w:val="auto"/>
          <w:sz w:val="24"/>
          <w:highlight w:val="none"/>
        </w:rPr>
        <w:t>未参加</w:t>
      </w:r>
      <w:r>
        <w:rPr>
          <w:rFonts w:hint="eastAsia" w:ascii="仿宋_GB2312" w:eastAsia="仿宋_GB2312"/>
          <w:color w:val="auto"/>
          <w:sz w:val="24"/>
          <w:highlight w:val="none"/>
        </w:rPr>
        <w:t>政府采购</w:t>
      </w:r>
      <w:r>
        <w:rPr>
          <w:rFonts w:ascii="仿宋_GB2312" w:eastAsia="仿宋_GB2312"/>
          <w:color w:val="auto"/>
          <w:sz w:val="24"/>
          <w:highlight w:val="none"/>
        </w:rPr>
        <w:t>活动的供应商或在</w:t>
      </w:r>
      <w:r>
        <w:rPr>
          <w:rFonts w:hint="eastAsia" w:ascii="仿宋_GB2312" w:eastAsia="仿宋_GB2312"/>
          <w:color w:val="auto"/>
          <w:sz w:val="24"/>
          <w:highlight w:val="none"/>
        </w:rPr>
        <w:t>采购</w:t>
      </w:r>
      <w:r>
        <w:rPr>
          <w:rFonts w:ascii="仿宋_GB2312" w:eastAsia="仿宋_GB2312"/>
          <w:color w:val="auto"/>
          <w:sz w:val="24"/>
          <w:highlight w:val="none"/>
        </w:rPr>
        <w:t>活动中自身权益未受到损害的供应商所提出的质疑不予受理。</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41.7采购人、采购代理机构在收到供应商的书面质疑后将及时组织调查核实，在七个工作日内作出答复，并以书面形式通知质疑供应商和其他有关供应商，答复的内容不涉及商业秘密。</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42、投诉</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42.1质疑供应商对采购人、采购代理机构的答复不满意，或采购人、采购代理机构未在规定的时间内作出答复的，可以在答复期满后十五个工作日内向采购项目同级财政部门提起投诉。</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42.2供应商投诉的事项不得超出已质疑事项的范围，但基于质疑答复内容提出的投诉事项除外。</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43、诚实信用</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43.1 供应商不得虚假承诺，否则，按照提供虚假材料谋取中标或成交处理。</w:t>
      </w:r>
    </w:p>
    <w:p>
      <w:pPr>
        <w:snapToGrid w:val="0"/>
        <w:spacing w:line="360" w:lineRule="auto"/>
        <w:ind w:firstLine="562" w:firstLineChars="200"/>
        <w:jc w:val="center"/>
        <w:rPr>
          <w:rFonts w:ascii="仿宋_GB2312" w:hAnsi="Courier New" w:eastAsia="仿宋_GB2312"/>
          <w:b/>
          <w:bCs/>
          <w:color w:val="auto"/>
          <w:kern w:val="0"/>
          <w:sz w:val="28"/>
          <w:szCs w:val="28"/>
          <w:highlight w:val="none"/>
        </w:rPr>
      </w:pPr>
    </w:p>
    <w:p>
      <w:pPr>
        <w:snapToGrid w:val="0"/>
        <w:spacing w:line="360" w:lineRule="auto"/>
        <w:ind w:firstLine="562" w:firstLineChars="200"/>
        <w:jc w:val="center"/>
        <w:rPr>
          <w:rFonts w:ascii="仿宋_GB2312" w:hAnsi="Courier New" w:eastAsia="仿宋_GB2312"/>
          <w:b/>
          <w:bCs/>
          <w:color w:val="auto"/>
          <w:kern w:val="0"/>
          <w:sz w:val="28"/>
          <w:szCs w:val="28"/>
          <w:highlight w:val="none"/>
        </w:rPr>
      </w:pPr>
      <w:r>
        <w:rPr>
          <w:rFonts w:hint="eastAsia" w:ascii="仿宋_GB2312" w:hAnsi="Courier New" w:eastAsia="仿宋_GB2312"/>
          <w:b/>
          <w:bCs/>
          <w:color w:val="auto"/>
          <w:kern w:val="0"/>
          <w:sz w:val="28"/>
          <w:szCs w:val="28"/>
          <w:highlight w:val="none"/>
        </w:rPr>
        <w:t>H   义务、工作纪律</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44、磋商小组在政府采购活动中承担以下义务：</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（一）遵守评审工作纪律；</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（二）按照客观、公正、审慎的原则，根据</w:t>
      </w:r>
      <w:r>
        <w:rPr>
          <w:rFonts w:hint="eastAsia" w:ascii="黑体" w:hAnsi="黑体" w:eastAsia="黑体" w:cs="黑体"/>
          <w:bCs/>
          <w:color w:val="auto"/>
          <w:sz w:val="24"/>
          <w:highlight w:val="none"/>
          <w:lang w:eastAsia="zh-CN"/>
        </w:rPr>
        <w:t>竞争性磋商文件</w:t>
      </w:r>
      <w:r>
        <w:rPr>
          <w:rFonts w:hint="eastAsia" w:ascii="黑体" w:hAnsi="黑体" w:eastAsia="黑体" w:cs="黑体"/>
          <w:bCs/>
          <w:color w:val="auto"/>
          <w:sz w:val="24"/>
          <w:highlight w:val="none"/>
        </w:rPr>
        <w:t>规定的评审程序、评审方法和评审标准进行独立评审；</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（三）不得泄露评审文件、评审情况和在评审过程中获悉的商业秘密；</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（五）发现</w:t>
      </w:r>
      <w:r>
        <w:rPr>
          <w:rFonts w:hint="eastAsia" w:ascii="黑体" w:hAnsi="黑体" w:eastAsia="黑体" w:cs="黑体"/>
          <w:bCs/>
          <w:color w:val="auto"/>
          <w:sz w:val="24"/>
          <w:highlight w:val="none"/>
          <w:lang w:eastAsia="zh-CN"/>
        </w:rPr>
        <w:t>竞争性磋商文件</w:t>
      </w:r>
      <w:r>
        <w:rPr>
          <w:rFonts w:hint="eastAsia" w:ascii="黑体" w:hAnsi="黑体" w:eastAsia="黑体" w:cs="黑体"/>
          <w:bCs/>
          <w:color w:val="auto"/>
          <w:sz w:val="24"/>
          <w:highlight w:val="none"/>
        </w:rPr>
        <w:t>内容违反国家有关强制性规定或者</w:t>
      </w:r>
      <w:r>
        <w:rPr>
          <w:rFonts w:hint="eastAsia" w:ascii="黑体" w:hAnsi="黑体" w:eastAsia="黑体" w:cs="黑体"/>
          <w:bCs/>
          <w:color w:val="auto"/>
          <w:sz w:val="24"/>
          <w:highlight w:val="none"/>
          <w:lang w:eastAsia="zh-CN"/>
        </w:rPr>
        <w:t>竞争性磋商文件</w:t>
      </w:r>
      <w:r>
        <w:rPr>
          <w:rFonts w:hint="eastAsia" w:ascii="黑体" w:hAnsi="黑体" w:eastAsia="黑体" w:cs="黑体"/>
          <w:bCs/>
          <w:color w:val="auto"/>
          <w:sz w:val="24"/>
          <w:highlight w:val="none"/>
        </w:rPr>
        <w:t>存在歧义、重大缺陷导致评审工作无法进行时，停止评审并向采购人或者采购代理机构书面说明情况；</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（六）及时向财政、监察等部门举报在评审过程中受到非法干预的情况；</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（七）配合答复处理供应商的询问、质疑和投诉等事项；</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（八）法律、法规和规章规定的其他义务。</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45、磋商小组在政府采购活动中应当遵守以下工作纪律：</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（二）评审前，应当将通讯工具或者相关电子设备交由采购代理机构统一保管；</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（四）评审过程中，不得发表影响评审公正的倾向性、歧视性言论，不得征询或者接受采购人的倾向性意见，不得明示或暗示供应商在澄清时表达与其响应文件原义不同的意见，不得以</w:t>
      </w:r>
      <w:r>
        <w:rPr>
          <w:rFonts w:hint="eastAsia" w:ascii="黑体" w:hAnsi="黑体" w:eastAsia="黑体" w:cs="黑体"/>
          <w:bCs/>
          <w:color w:val="auto"/>
          <w:sz w:val="24"/>
          <w:highlight w:val="none"/>
          <w:lang w:eastAsia="zh-CN"/>
        </w:rPr>
        <w:t>竞争性磋商文件</w:t>
      </w:r>
      <w:r>
        <w:rPr>
          <w:rFonts w:hint="eastAsia" w:ascii="黑体" w:hAnsi="黑体" w:eastAsia="黑体" w:cs="黑体"/>
          <w:bCs/>
          <w:color w:val="auto"/>
          <w:sz w:val="24"/>
          <w:highlight w:val="none"/>
        </w:rPr>
        <w:t>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（六）评审现场服从采购代理机构工作人员的管理，接受现场监督人员的合法监督；</w:t>
      </w:r>
    </w:p>
    <w:p>
      <w:pPr>
        <w:tabs>
          <w:tab w:val="left" w:pos="7665"/>
        </w:tabs>
        <w:spacing w:line="360" w:lineRule="auto"/>
        <w:ind w:firstLine="480" w:firstLineChars="200"/>
        <w:rPr>
          <w:rFonts w:ascii="黑体" w:hAnsi="黑体" w:eastAsia="黑体" w:cs="黑体"/>
          <w:bCs/>
          <w:color w:val="auto"/>
          <w:sz w:val="24"/>
          <w:highlight w:val="none"/>
        </w:rPr>
      </w:pPr>
      <w:r>
        <w:rPr>
          <w:rFonts w:hint="eastAsia" w:ascii="黑体" w:hAnsi="黑体" w:eastAsia="黑体" w:cs="黑体"/>
          <w:bCs/>
          <w:color w:val="auto"/>
          <w:sz w:val="24"/>
          <w:highlight w:val="none"/>
        </w:rPr>
        <w:t>（七）遵守有关廉洁自律规定，不得私下接触供应商，不得收受供应商及有关业务单位和个人的财物或好处，不得接受采购代理机构的请托。</w:t>
      </w:r>
    </w:p>
    <w:p>
      <w:pPr>
        <w:tabs>
          <w:tab w:val="left" w:pos="7665"/>
        </w:tabs>
        <w:spacing w:line="360" w:lineRule="auto"/>
        <w:ind w:firstLine="482" w:firstLineChars="200"/>
        <w:rPr>
          <w:rFonts w:ascii="黑体" w:hAnsi="黑体" w:eastAsia="黑体" w:cs="黑体"/>
          <w:b/>
          <w:color w:val="auto"/>
          <w:sz w:val="24"/>
          <w:highlight w:val="none"/>
        </w:rPr>
      </w:pPr>
      <w:r>
        <w:rPr>
          <w:rFonts w:hint="eastAsia" w:ascii="黑体" w:hAnsi="黑体" w:eastAsia="黑体" w:cs="黑体"/>
          <w:b/>
          <w:color w:val="auto"/>
          <w:sz w:val="24"/>
          <w:highlight w:val="none"/>
        </w:rPr>
        <w:t>46、采购代理服务费</w:t>
      </w:r>
    </w:p>
    <w:p>
      <w:pPr>
        <w:snapToGrid w:val="0"/>
        <w:spacing w:line="360" w:lineRule="auto"/>
        <w:ind w:firstLine="482" w:firstLineChars="200"/>
        <w:jc w:val="left"/>
        <w:rPr>
          <w:rFonts w:ascii="黑体" w:hAnsi="黑体" w:eastAsia="黑体" w:cs="黑体"/>
          <w:b/>
          <w:color w:val="auto"/>
          <w:sz w:val="24"/>
          <w:highlight w:val="none"/>
        </w:rPr>
      </w:pPr>
      <w:r>
        <w:rPr>
          <w:rFonts w:hint="eastAsia" w:ascii="黑体" w:hAnsi="黑体" w:eastAsia="黑体" w:cs="黑体"/>
          <w:b/>
          <w:color w:val="auto"/>
          <w:sz w:val="24"/>
          <w:highlight w:val="none"/>
        </w:rPr>
        <w:t>46、1经与采购人协商，本项目采购代理服务费由成交供应商在领取成交通知书同时向采购代理机构支付，采购代理服务费为：¥3万元整（大写：人民币叁万元整）。</w:t>
      </w: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adjustRightInd w:val="0"/>
        <w:snapToGrid w:val="0"/>
        <w:spacing w:line="400" w:lineRule="exact"/>
        <w:jc w:val="center"/>
        <w:rPr>
          <w:rFonts w:ascii="仿宋_GB2312" w:eastAsia="仿宋_GB2312"/>
          <w:b/>
          <w:bCs/>
          <w:color w:val="auto"/>
          <w:sz w:val="28"/>
          <w:szCs w:val="28"/>
          <w:highlight w:val="none"/>
        </w:rPr>
      </w:pPr>
    </w:p>
    <w:p>
      <w:pPr>
        <w:pStyle w:val="15"/>
        <w:keepNext w:val="0"/>
        <w:keepLines w:val="0"/>
        <w:pageBreakBefore w:val="0"/>
        <w:kinsoku/>
        <w:wordWrap/>
        <w:overflowPunct/>
        <w:topLinePunct w:val="0"/>
        <w:autoSpaceDE/>
        <w:autoSpaceDN/>
        <w:bidi w:val="0"/>
        <w:adjustRightInd w:val="0"/>
        <w:snapToGrid w:val="0"/>
        <w:spacing w:line="216" w:lineRule="auto"/>
        <w:jc w:val="center"/>
        <w:textAlignment w:val="auto"/>
        <w:rPr>
          <w:rFonts w:ascii="仿宋_GB2312" w:eastAsia="仿宋_GB2312"/>
          <w:b/>
          <w:color w:val="auto"/>
          <w:sz w:val="28"/>
          <w:szCs w:val="28"/>
          <w:highlight w:val="none"/>
        </w:rPr>
      </w:pPr>
      <w:r>
        <w:rPr>
          <w:rFonts w:hint="eastAsia" w:ascii="仿宋_GB2312" w:eastAsia="仿宋_GB2312"/>
          <w:b/>
          <w:bCs/>
          <w:color w:val="auto"/>
          <w:sz w:val="28"/>
          <w:szCs w:val="28"/>
          <w:highlight w:val="none"/>
        </w:rPr>
        <w:t xml:space="preserve">第三章   </w:t>
      </w:r>
      <w:r>
        <w:rPr>
          <w:rFonts w:hint="eastAsia" w:ascii="仿宋_GB2312" w:eastAsia="仿宋_GB2312"/>
          <w:b/>
          <w:color w:val="auto"/>
          <w:sz w:val="28"/>
          <w:szCs w:val="28"/>
          <w:highlight w:val="none"/>
        </w:rPr>
        <w:t>项目采购需求</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color w:val="auto"/>
          <w:sz w:val="24"/>
          <w:highlight w:val="none"/>
        </w:rPr>
      </w:pPr>
      <w:r>
        <w:rPr>
          <w:rFonts w:hint="eastAsia" w:ascii="仿宋_GB2312" w:eastAsia="仿宋_GB2312"/>
          <w:color w:val="auto"/>
          <w:sz w:val="24"/>
          <w:highlight w:val="none"/>
        </w:rPr>
        <w:t>1、总则</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color w:val="auto"/>
          <w:sz w:val="24"/>
          <w:highlight w:val="none"/>
        </w:rPr>
      </w:pPr>
      <w:r>
        <w:rPr>
          <w:rFonts w:hint="eastAsia" w:ascii="仿宋_GB2312" w:eastAsia="仿宋_GB2312"/>
          <w:color w:val="auto"/>
          <w:sz w:val="24"/>
          <w:highlight w:val="none"/>
        </w:rPr>
        <w:t>1.1本章条款仅限于克拉玛依区社区卫生服务机构采购大包装中药免煎颗粒、中草药项目的采购。</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color w:val="auto"/>
          <w:highlight w:val="none"/>
        </w:rPr>
      </w:pPr>
      <w:r>
        <w:rPr>
          <w:rFonts w:hint="eastAsia" w:ascii="仿宋_GB2312" w:eastAsia="仿宋_GB2312"/>
          <w:color w:val="auto"/>
          <w:sz w:val="24"/>
          <w:highlight w:val="none"/>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color w:val="auto"/>
          <w:highlight w:val="none"/>
        </w:rPr>
      </w:pPr>
      <w:r>
        <w:rPr>
          <w:rFonts w:hint="eastAsia" w:ascii="仿宋_GB2312" w:eastAsia="仿宋_GB2312"/>
          <w:color w:val="auto"/>
          <w:sz w:val="24"/>
          <w:highlight w:val="none"/>
        </w:rPr>
        <w:t>1.3如果供应商没有以书面形式对本章条款提出异议，采购人就可以认为供应商提供的成果符合本章条款的要求。</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1.4供应商在响应文件中，应对</w:t>
      </w:r>
      <w:r>
        <w:rPr>
          <w:rFonts w:hint="eastAsia" w:ascii="仿宋_GB2312" w:eastAsia="仿宋_GB2312"/>
          <w:color w:val="auto"/>
          <w:sz w:val="24"/>
          <w:highlight w:val="none"/>
          <w:lang w:eastAsia="zh-CN"/>
        </w:rPr>
        <w:t>竞争性磋商文件</w:t>
      </w:r>
      <w:r>
        <w:rPr>
          <w:rFonts w:hint="eastAsia" w:ascii="仿宋_GB2312" w:eastAsia="仿宋_GB2312"/>
          <w:color w:val="auto"/>
          <w:sz w:val="24"/>
          <w:highlight w:val="none"/>
        </w:rPr>
        <w:t>中的服务进行详细的说明。</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color w:val="auto"/>
          <w:highlight w:val="none"/>
        </w:rPr>
      </w:pPr>
      <w:r>
        <w:rPr>
          <w:rFonts w:hint="eastAsia" w:ascii="仿宋_GB2312" w:eastAsia="仿宋_GB2312"/>
          <w:color w:val="auto"/>
          <w:sz w:val="24"/>
          <w:highlight w:val="none"/>
        </w:rPr>
        <w:t>1.5在签订合同之后，采购人有权提出因规范标准有变化而产生的一些补充要求。</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b/>
          <w:color w:val="auto"/>
          <w:sz w:val="28"/>
          <w:szCs w:val="28"/>
          <w:highlight w:val="none"/>
        </w:rPr>
      </w:pPr>
      <w:r>
        <w:rPr>
          <w:rFonts w:hint="eastAsia" w:ascii="仿宋_GB2312" w:eastAsia="仿宋_GB2312"/>
          <w:color w:val="auto"/>
          <w:sz w:val="24"/>
          <w:highlight w:val="none"/>
        </w:rPr>
        <w:t>1.6本章条款使用标准如与供应商所执行标准发生矛盾时，按较高标准执行。</w:t>
      </w:r>
    </w:p>
    <w:p>
      <w:pPr>
        <w:keepNext w:val="0"/>
        <w:keepLines w:val="0"/>
        <w:pageBreakBefore w:val="0"/>
        <w:kinsoku/>
        <w:wordWrap/>
        <w:overflowPunct/>
        <w:topLinePunct w:val="0"/>
        <w:autoSpaceDE/>
        <w:autoSpaceDN/>
        <w:bidi w:val="0"/>
        <w:spacing w:line="216" w:lineRule="auto"/>
        <w:ind w:firstLine="481"/>
        <w:textAlignment w:val="auto"/>
        <w:rPr>
          <w:rFonts w:ascii="仿宋_GB2312" w:eastAsia="仿宋_GB2312"/>
          <w:color w:val="auto"/>
          <w:sz w:val="24"/>
          <w:highlight w:val="none"/>
        </w:rPr>
      </w:pPr>
      <w:r>
        <w:rPr>
          <w:rFonts w:hint="eastAsia" w:ascii="仿宋_GB2312" w:eastAsia="仿宋_GB2312"/>
          <w:color w:val="auto"/>
          <w:sz w:val="24"/>
          <w:highlight w:val="none"/>
        </w:rPr>
        <w:t>2、执行的规范和标准</w:t>
      </w:r>
    </w:p>
    <w:p>
      <w:pPr>
        <w:keepNext w:val="0"/>
        <w:keepLines w:val="0"/>
        <w:pageBreakBefore w:val="0"/>
        <w:kinsoku/>
        <w:wordWrap/>
        <w:overflowPunct/>
        <w:topLinePunct w:val="0"/>
        <w:autoSpaceDE/>
        <w:autoSpaceDN/>
        <w:bidi w:val="0"/>
        <w:spacing w:line="216"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本项目必须遵循国家规范和标准并应按最新版本执行，若标准、规范出现矛盾时，以最新、最高标准规范执行。</w:t>
      </w:r>
    </w:p>
    <w:p>
      <w:pPr>
        <w:keepNext w:val="0"/>
        <w:keepLines w:val="0"/>
        <w:pageBreakBefore w:val="0"/>
        <w:widowControl/>
        <w:kinsoku/>
        <w:wordWrap/>
        <w:overflowPunct/>
        <w:topLinePunct w:val="0"/>
        <w:autoSpaceDE/>
        <w:autoSpaceDN/>
        <w:bidi w:val="0"/>
        <w:adjustRightInd w:val="0"/>
        <w:snapToGrid w:val="0"/>
        <w:spacing w:line="216" w:lineRule="auto"/>
        <w:ind w:firstLine="482" w:firstLineChars="200"/>
        <w:jc w:val="left"/>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3、项目需求</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一、采购、建设依据</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按照《社区卫生服务中心服务能力评价指南(2019年版)》、《关于印发乡镇卫生院 社区卫生服务中心中医综合服务区（中医馆）建设指南的通知》（国中医药办医政发〔2016〕32号)文件中设置相对独立的中药房，有条件的可设置煎药室，其使用面积原则上不低于10平米；也可与上级中医医院或有合格资质的药品经营企业等进行合作的要求以及《国务院关于印发中医药发展战略规划纲要（2016—2030年）的通知》(国发〔2016〕15号)中到2020年人人享有基本中医药服务的要求。</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为推进中医药服务能力建设，提升克拉玛依区社区卫生服务机构中医药服务能力，拟采购中药免煎颗粒以及中草药，提供中草药、颗粒剂以及代煎药、配送服务。</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color w:val="auto"/>
          <w:sz w:val="24"/>
          <w:highlight w:val="none"/>
        </w:rPr>
      </w:pPr>
      <w:r>
        <w:rPr>
          <w:rFonts w:hint="eastAsia" w:ascii="仿宋_GB2312" w:eastAsia="仿宋_GB2312"/>
          <w:b/>
          <w:bCs/>
          <w:color w:val="auto"/>
          <w:sz w:val="24"/>
          <w:highlight w:val="none"/>
        </w:rPr>
        <w:t>二、</w:t>
      </w:r>
      <w:r>
        <w:rPr>
          <w:rFonts w:hint="eastAsia" w:ascii="仿宋_GB2312" w:eastAsia="仿宋_GB2312"/>
          <w:b/>
          <w:bCs/>
          <w:color w:val="auto"/>
          <w:sz w:val="24"/>
          <w:highlight w:val="none"/>
        </w:rPr>
        <w:t>项目实施地点</w:t>
      </w:r>
      <w:r>
        <w:rPr>
          <w:rFonts w:hint="eastAsia" w:ascii="仿宋_GB2312" w:eastAsia="仿宋_GB2312"/>
          <w:b/>
          <w:bCs/>
          <w:color w:val="auto"/>
          <w:sz w:val="24"/>
          <w:highlight w:val="none"/>
          <w:lang w:eastAsia="zh-CN"/>
        </w:rPr>
        <w:t>：</w:t>
      </w:r>
      <w:r>
        <w:rPr>
          <w:rFonts w:hint="eastAsia" w:ascii="仿宋_GB2312" w:eastAsia="仿宋_GB2312"/>
          <w:color w:val="auto"/>
          <w:sz w:val="24"/>
          <w:highlight w:val="none"/>
        </w:rPr>
        <w:t>克拉玛依区天山路街道社区卫生服务中心</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二、服务期限</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color w:val="auto"/>
          <w:sz w:val="24"/>
          <w:highlight w:val="none"/>
        </w:rPr>
      </w:pPr>
      <w:r>
        <w:rPr>
          <w:rFonts w:hint="eastAsia" w:ascii="仿宋_GB2312" w:hAnsi="新宋体" w:eastAsia="仿宋_GB2312"/>
          <w:b/>
          <w:color w:val="auto"/>
          <w:sz w:val="24"/>
          <w:highlight w:val="none"/>
        </w:rPr>
        <w:t>自签订合同之日起三年整，合同一年一签，按年度考核验收，考核验收合格后续签下一年合同</w:t>
      </w:r>
      <w:r>
        <w:rPr>
          <w:rFonts w:hint="eastAsia" w:ascii="仿宋_GB2312" w:eastAsia="仿宋_GB2312"/>
          <w:color w:val="auto"/>
          <w:sz w:val="24"/>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经费保障</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按克拉玛依区社区卫生服务机构药品采购方式执行。</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四、运行管理准则</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1、饮片、免煎颗粒品种目录、服务内容按克拉玛依区社区卫生服务机构可提供的服务项目为标准，超出服务项目范围的需经区卫健委批准、审核，中心饮片药房由所在地社区卫生服务中心负责监督管理。</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2、成交供应商提供的中药饮片、免煎颗粒应由具备合法合规资质厂家生产，同时符合《中国药典》现行版制剂通则中相关规定。</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3、成交供应商根据社区卫生服务机构中医饮片及免煎颗粒采购计划提供中药饮片、免煎颗粒、配套设备及配送，以及社区卫生服务机构开具中医饮片处方的调配、煎药、封装、配送等工作，收费由社区卫生服务机构药房执行。</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4、成交供应商应中标后60日内完成克拉玛依区社区卫生服务机构在新疆维吾尔自治区药监部门的中药配方颗粒使用备案。</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5、成交供应商需提供与中标中药配方颗粒目录对等的中药饮片，且价格不得高于市人民医院（市中医医院）同期，中药饮片质量按《中国药典2015版》执行。</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五、成交供应商的权利与义务</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 成交供应商应够按照国家、克拉玛依市和克拉玛依区社区卫生服务机构药品管理规范及要求，履行提供合格中药材及煎配药服务。</w:t>
      </w:r>
    </w:p>
    <w:p>
      <w:pPr>
        <w:pStyle w:val="25"/>
        <w:keepNext w:val="0"/>
        <w:keepLines w:val="0"/>
        <w:pageBreakBefore w:val="0"/>
        <w:kinsoku/>
        <w:wordWrap/>
        <w:overflowPunct/>
        <w:topLinePunct w:val="0"/>
        <w:autoSpaceDE/>
        <w:autoSpaceDN/>
        <w:bidi w:val="0"/>
        <w:spacing w:before="0" w:beforeAutospacing="0" w:after="0" w:afterAutospacing="0" w:line="216" w:lineRule="auto"/>
        <w:jc w:val="both"/>
        <w:textAlignment w:val="auto"/>
        <w:rPr>
          <w:rFonts w:ascii="仿宋_GB2312" w:hAnsi="Calibri" w:eastAsia="仿宋_GB2312" w:cs="Times New Roman"/>
          <w:color w:val="auto"/>
          <w:kern w:val="2"/>
          <w:highlight w:val="none"/>
        </w:rPr>
      </w:pPr>
      <w:r>
        <w:rPr>
          <w:rFonts w:hint="eastAsia" w:ascii="仿宋_GB2312" w:hAnsi="Calibri" w:eastAsia="仿宋_GB2312" w:cs="Times New Roman"/>
          <w:color w:val="auto"/>
          <w:kern w:val="2"/>
          <w:highlight w:val="none"/>
        </w:rPr>
        <w:t xml:space="preserve">    2、</w:t>
      </w:r>
      <w:r>
        <w:rPr>
          <w:rFonts w:hint="eastAsia" w:ascii="仿宋_GB2312" w:hAnsi="Calibri" w:eastAsia="仿宋_GB2312" w:cs="Times New Roman"/>
          <w:color w:val="auto"/>
          <w:kern w:val="2"/>
          <w:highlight w:val="none"/>
          <w:lang w:eastAsia="zh-CN"/>
        </w:rPr>
        <w:t>成交供应商</w:t>
      </w:r>
      <w:r>
        <w:rPr>
          <w:rFonts w:hint="eastAsia" w:ascii="仿宋_GB2312" w:hAnsi="Calibri" w:eastAsia="仿宋_GB2312" w:cs="Times New Roman"/>
          <w:color w:val="auto"/>
          <w:kern w:val="2"/>
          <w:highlight w:val="none"/>
        </w:rPr>
        <w:t>应免费提供颗粒剂调制设备及中草药煎药、包装等相关设备及维护维修服务</w:t>
      </w:r>
      <w:r>
        <w:rPr>
          <w:rFonts w:hint="eastAsia" w:ascii="仿宋_GB2312" w:hAnsi="Calibri" w:eastAsia="仿宋_GB2312" w:cs="Times New Roman"/>
          <w:color w:val="auto"/>
          <w:kern w:val="2"/>
          <w:highlight w:val="none"/>
        </w:rPr>
        <w:t>并按要求负责克拉玛依区中心中草药房的设计、装修</w:t>
      </w:r>
      <w:r>
        <w:rPr>
          <w:rFonts w:hint="eastAsia" w:ascii="仿宋_GB2312" w:hAnsi="Calibri" w:eastAsia="仿宋_GB2312" w:cs="Times New Roman"/>
          <w:color w:val="auto"/>
          <w:kern w:val="2"/>
          <w:highlight w:val="none"/>
        </w:rPr>
        <w:t>，</w:t>
      </w:r>
      <w:r>
        <w:rPr>
          <w:rFonts w:hint="eastAsia" w:ascii="仿宋_GB2312" w:hAnsi="Calibri" w:eastAsia="仿宋_GB2312" w:cs="Times New Roman"/>
          <w:color w:val="auto"/>
          <w:kern w:val="2"/>
          <w:highlight w:val="none"/>
          <w:lang w:eastAsia="zh-CN"/>
        </w:rPr>
        <w:t>成交供应商</w:t>
      </w:r>
      <w:r>
        <w:rPr>
          <w:rFonts w:hint="eastAsia" w:ascii="仿宋_GB2312" w:hAnsi="Calibri" w:eastAsia="仿宋_GB2312" w:cs="Times New Roman"/>
          <w:color w:val="auto"/>
          <w:kern w:val="2"/>
          <w:highlight w:val="none"/>
        </w:rPr>
        <w:t>提供设备参数不低于市人民医院</w:t>
      </w:r>
      <w:r>
        <w:rPr>
          <w:rFonts w:hint="eastAsia" w:ascii="仿宋_GB2312" w:hAnsi="Calibri" w:eastAsia="仿宋_GB2312" w:cs="Times New Roman"/>
          <w:color w:val="auto"/>
          <w:kern w:val="2"/>
          <w:highlight w:val="none"/>
        </w:rPr>
        <w:t>（市中医医院）</w:t>
      </w:r>
      <w:r>
        <w:rPr>
          <w:rFonts w:hint="eastAsia" w:ascii="仿宋_GB2312" w:hAnsi="Calibri" w:eastAsia="仿宋_GB2312" w:cs="Times New Roman"/>
          <w:color w:val="auto"/>
          <w:kern w:val="2"/>
          <w:highlight w:val="none"/>
        </w:rPr>
        <w:t>所使用的设备参数。</w:t>
      </w:r>
    </w:p>
    <w:p>
      <w:pPr>
        <w:pStyle w:val="25"/>
        <w:keepNext w:val="0"/>
        <w:keepLines w:val="0"/>
        <w:pageBreakBefore w:val="0"/>
        <w:kinsoku/>
        <w:wordWrap/>
        <w:overflowPunct/>
        <w:topLinePunct w:val="0"/>
        <w:autoSpaceDE/>
        <w:autoSpaceDN/>
        <w:bidi w:val="0"/>
        <w:spacing w:before="0" w:beforeAutospacing="0" w:after="0" w:afterAutospacing="0" w:line="216" w:lineRule="auto"/>
        <w:jc w:val="both"/>
        <w:textAlignment w:val="auto"/>
        <w:rPr>
          <w:rFonts w:ascii="仿宋_GB2312" w:hAnsi="Calibri" w:eastAsia="仿宋_GB2312" w:cs="Times New Roman"/>
          <w:color w:val="auto"/>
          <w:kern w:val="2"/>
          <w:highlight w:val="none"/>
        </w:rPr>
      </w:pPr>
      <w:r>
        <w:rPr>
          <w:rFonts w:hint="eastAsia" w:ascii="仿宋_GB2312" w:hAnsi="Calibri" w:eastAsia="仿宋_GB2312" w:cs="Times New Roman"/>
          <w:color w:val="auto"/>
          <w:kern w:val="2"/>
          <w:highlight w:val="none"/>
        </w:rPr>
        <w:t xml:space="preserve"> </w:t>
      </w:r>
      <w:r>
        <w:rPr>
          <w:rFonts w:hint="eastAsia" w:ascii="仿宋_GB2312" w:hAnsi="Calibri" w:eastAsia="仿宋_GB2312" w:cs="Times New Roman"/>
          <w:color w:val="auto"/>
          <w:kern w:val="2"/>
          <w:highlight w:val="none"/>
        </w:rPr>
        <w:t xml:space="preserve">   3、服务方提供的中药免煎颗粒价格</w:t>
      </w:r>
      <w:r>
        <w:rPr>
          <w:rFonts w:hint="eastAsia" w:ascii="仿宋_GB2312" w:hAnsi="宋体" w:eastAsia="仿宋_GB2312" w:cs="宋体"/>
          <w:b w:val="0"/>
          <w:bCs/>
          <w:color w:val="auto"/>
          <w:sz w:val="24"/>
          <w:szCs w:val="21"/>
          <w:highlight w:val="none"/>
        </w:rPr>
        <w:t>按照经审定批准的价款结算与（1-</w:t>
      </w:r>
      <w:r>
        <w:rPr>
          <w:rFonts w:hint="eastAsia" w:ascii="仿宋_GB2312" w:eastAsia="仿宋_GB2312" w:cs="宋体"/>
          <w:b w:val="0"/>
          <w:bCs/>
          <w:color w:val="auto"/>
          <w:sz w:val="24"/>
          <w:szCs w:val="21"/>
          <w:highlight w:val="none"/>
          <w:lang w:eastAsia="zh-CN"/>
        </w:rPr>
        <w:t>成交</w:t>
      </w:r>
      <w:r>
        <w:rPr>
          <w:rFonts w:hint="eastAsia" w:ascii="仿宋_GB2312" w:hAnsi="宋体" w:eastAsia="仿宋_GB2312" w:cs="宋体"/>
          <w:b w:val="0"/>
          <w:bCs/>
          <w:color w:val="auto"/>
          <w:sz w:val="24"/>
          <w:szCs w:val="21"/>
          <w:highlight w:val="none"/>
          <w:lang w:eastAsia="zh-CN"/>
        </w:rPr>
        <w:t>供应商</w:t>
      </w:r>
      <w:r>
        <w:rPr>
          <w:rFonts w:hint="eastAsia" w:ascii="仿宋_GB2312" w:hAnsi="宋体" w:eastAsia="仿宋_GB2312" w:cs="宋体"/>
          <w:b w:val="0"/>
          <w:bCs/>
          <w:color w:val="auto"/>
          <w:sz w:val="24"/>
          <w:szCs w:val="21"/>
          <w:highlight w:val="none"/>
        </w:rPr>
        <w:t>的承诺下浮率）之积进行结算</w:t>
      </w:r>
      <w:r>
        <w:rPr>
          <w:rFonts w:hint="eastAsia" w:ascii="仿宋_GB2312" w:hAnsi="Calibri" w:eastAsia="仿宋_GB2312" w:cs="Times New Roman"/>
          <w:color w:val="auto"/>
          <w:kern w:val="2"/>
          <w:highlight w:val="none"/>
        </w:rPr>
        <w:t>执行，同时需提供与中药免煎颗粒中标目录相同的中药饮片，同等品质下价格不高于市人民医院（市中医医院）同期</w:t>
      </w:r>
      <w:r>
        <w:rPr>
          <w:rFonts w:hint="eastAsia" w:ascii="仿宋_GB2312" w:hAnsi="Calibri" w:eastAsia="仿宋_GB2312" w:cs="Times New Roman"/>
          <w:color w:val="auto"/>
          <w:kern w:val="2"/>
          <w:highlight w:val="none"/>
          <w:lang w:val="en-US" w:eastAsia="zh-CN"/>
        </w:rPr>
        <w:t>且执行与中药免煎颗粒同等结算下浮率</w:t>
      </w:r>
      <w:r>
        <w:rPr>
          <w:rFonts w:hint="eastAsia" w:ascii="仿宋_GB2312" w:hAnsi="Calibri" w:eastAsia="仿宋_GB2312" w:cs="Times New Roman"/>
          <w:color w:val="auto"/>
          <w:kern w:val="2"/>
          <w:highlight w:val="none"/>
        </w:rPr>
        <w:t>，</w:t>
      </w:r>
      <w:r>
        <w:rPr>
          <w:rFonts w:hint="eastAsia" w:ascii="仿宋_GB2312" w:hAnsi="Calibri" w:eastAsia="仿宋_GB2312" w:cs="Times New Roman"/>
          <w:color w:val="auto"/>
          <w:kern w:val="2"/>
          <w:highlight w:val="none"/>
          <w:lang w:val="en-US" w:eastAsia="zh-CN"/>
        </w:rPr>
        <w:t>并</w:t>
      </w:r>
      <w:r>
        <w:rPr>
          <w:rFonts w:hint="eastAsia" w:ascii="仿宋_GB2312" w:hAnsi="Calibri" w:eastAsia="仿宋_GB2312" w:cs="Times New Roman"/>
          <w:color w:val="auto"/>
          <w:kern w:val="2"/>
          <w:highlight w:val="none"/>
        </w:rPr>
        <w:t>严格按照收费标准进行收费，并依据有关规定提供减免费用等惠民服务，服务方在服务期限内有权提出调价申请，经社区卫生服务机构药事委员会审议通过后报卫生行政主管部门核准后执行，未经批准的按招标价格执行。</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4、成交供应商应定期提供中医药服务培训，并组织经卫生行政部门认可的国内、疆内中医专家定期坐诊带教。</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5、成交供应商需按经招标确定的中药饮片及免煎颗粒品种目录备货，备货量、配送率连续60天不足招标目录80%将取消供货资格。</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6、成交供应商煎配药及配送至居民交接时长不应超过24小时，由卫生行政部门进行的年度满意度考核不足80%的，取消供货资格。</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六、成交供应商的监管和退出</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 成交供应商自申请取得区卫生行政部门准许并投标成功、签订协议后，除遇不可抗拒因素外，未经区卫生行政部门同意，2年内不得申请退出。</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2、成交供应商60日内未完成克拉玛依区社区卫生服务机构在新疆维吾尔自治区药监部门的中药配方颗粒使用备案，取消其供货资格，合同废止。</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3、 将成交供应商所提供中药材及配套服务纳入全行业医疗监督执法和医疗质量监管范围。加强所提供中草药、免煎颗粒监管。对借用社区卫生服务机构名义开展诊疗活动、唆使医务人员开具大处方、违规用药、乱收费、违法违规发布药品广告、欺骗患者谋取不当利益、出现重大医疗事故、弄虚作假骗取医疗保险基金等方面的问题进行重点监督，并依法进行查处。对违法违规行为，由政府相关部门依法处置。构成犯罪的，依法追究刑事责任。</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4、 成交供应商按年度参加卫生行政部门、专业机构的业务指导、评价及绩效考核。区卫生行政部门将根据评价及绩效考核的结果给予奖惩。</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5、成交供应商凡发生以下情况，由区卫生行政部门终止与其签订的相关协议，并责令其退出社区卫生服务体系。</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(1)以次充好，提供不合格中草药及免煎颗粒。</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(2)连续两年评价及绩效考核不合格或主要工作指标未能按照卫生行政部门要求完成的。</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(3)一个服务周期内受到卫生行政处罚或调查属实的情节恶劣、影响广泛、造成严重后果的举报投诉两次以上(含两次)的。</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(4)发生其他造成恶劣影响的，不符合服务要求或不适合承担社区卫生服务职能的行为。</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ascii="仿宋_GB2312" w:eastAsia="仿宋_GB2312"/>
          <w:b/>
          <w:bCs/>
          <w:color w:val="auto"/>
          <w:sz w:val="24"/>
          <w:highlight w:val="none"/>
        </w:rPr>
      </w:pPr>
      <w:r>
        <w:rPr>
          <w:rFonts w:hint="eastAsia" w:ascii="仿宋_GB2312" w:eastAsia="仿宋_GB2312"/>
          <w:b/>
          <w:bCs/>
          <w:color w:val="auto"/>
          <w:sz w:val="24"/>
          <w:highlight w:val="none"/>
        </w:rPr>
        <w:t>七、服务范围及内容</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（一）服务范围</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克拉玛依区所属社区卫生服务机构。</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（二）服务内容</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1、根据社区卫生服务机构饮片、免煎颗粒采购计划提供并配送药品，以及对社区卫生服务机构所开具的中医饮片处方的调配、煎药、配送。</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2、能够提供专业的学术服务，定期组织中医药相关培训及卫生行政部门认可的中医专家坐诊带教。</w:t>
      </w:r>
    </w:p>
    <w:p>
      <w:pPr>
        <w:keepNext w:val="0"/>
        <w:keepLines w:val="0"/>
        <w:pageBreakBefore w:val="0"/>
        <w:kinsoku/>
        <w:wordWrap/>
        <w:overflowPunct/>
        <w:topLinePunct w:val="0"/>
        <w:autoSpaceDE/>
        <w:autoSpaceDN/>
        <w:bidi w:val="0"/>
        <w:adjustRightInd w:val="0"/>
        <w:snapToGrid w:val="0"/>
        <w:spacing w:line="216" w:lineRule="auto"/>
        <w:ind w:firstLine="480" w:firstLineChars="200"/>
        <w:textAlignment w:val="auto"/>
        <w:rPr>
          <w:color w:val="auto"/>
          <w:highlight w:val="none"/>
        </w:rPr>
      </w:pPr>
      <w:r>
        <w:rPr>
          <w:rFonts w:hint="eastAsia" w:ascii="仿宋_GB2312" w:eastAsia="仿宋_GB2312"/>
          <w:color w:val="auto"/>
          <w:sz w:val="24"/>
          <w:highlight w:val="none"/>
        </w:rPr>
        <w:t>3、卫生行政部门批准的其他适宜社区医疗的服务。</w:t>
      </w:r>
    </w:p>
    <w:p>
      <w:pPr>
        <w:keepNext w:val="0"/>
        <w:keepLines w:val="0"/>
        <w:pageBreakBefore w:val="0"/>
        <w:kinsoku/>
        <w:wordWrap/>
        <w:overflowPunct/>
        <w:topLinePunct w:val="0"/>
        <w:autoSpaceDE/>
        <w:autoSpaceDN/>
        <w:bidi w:val="0"/>
        <w:adjustRightInd w:val="0"/>
        <w:snapToGrid w:val="0"/>
        <w:spacing w:line="216" w:lineRule="auto"/>
        <w:ind w:firstLine="482" w:firstLineChars="200"/>
        <w:textAlignment w:val="auto"/>
        <w:rPr>
          <w:rFonts w:hint="eastAsia" w:ascii="仿宋_GB2312" w:eastAsia="仿宋_GB2312"/>
          <w:b/>
          <w:bCs/>
          <w:color w:val="auto"/>
          <w:sz w:val="24"/>
          <w:highlight w:val="none"/>
          <w:lang w:val="en-US" w:eastAsia="zh-CN"/>
        </w:rPr>
      </w:pPr>
    </w:p>
    <w:p>
      <w:pPr>
        <w:pStyle w:val="2"/>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附件1：</w:t>
      </w:r>
    </w:p>
    <w:p>
      <w:pPr>
        <w:pStyle w:val="2"/>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克拉玛依区社区卫生服务机构免煎颗粒</w:t>
      </w:r>
      <w:r>
        <w:rPr>
          <w:rFonts w:hint="eastAsia" w:ascii="方正小标宋简体" w:hAnsi="方正小标宋简体" w:eastAsia="方正小标宋简体" w:cs="方正小标宋简体"/>
          <w:b w:val="0"/>
          <w:bCs w:val="0"/>
          <w:color w:val="auto"/>
          <w:sz w:val="36"/>
          <w:szCs w:val="36"/>
          <w:highlight w:val="none"/>
        </w:rPr>
        <w:t>采购目录</w:t>
      </w:r>
    </w:p>
    <w:tbl>
      <w:tblPr>
        <w:tblStyle w:val="28"/>
        <w:tblW w:w="6392" w:type="dxa"/>
        <w:jc w:val="center"/>
        <w:tblLayout w:type="autofit"/>
        <w:tblCellMar>
          <w:top w:w="0" w:type="dxa"/>
          <w:left w:w="0" w:type="dxa"/>
          <w:bottom w:w="0" w:type="dxa"/>
          <w:right w:w="0" w:type="dxa"/>
        </w:tblCellMar>
      </w:tblPr>
      <w:tblGrid>
        <w:gridCol w:w="503"/>
        <w:gridCol w:w="1695"/>
        <w:gridCol w:w="1848"/>
        <w:gridCol w:w="816"/>
        <w:gridCol w:w="1530"/>
      </w:tblGrid>
      <w:tr>
        <w:tblPrEx>
          <w:tblCellMar>
            <w:top w:w="0" w:type="dxa"/>
            <w:left w:w="0" w:type="dxa"/>
            <w:bottom w:w="0" w:type="dxa"/>
            <w:right w:w="0" w:type="dxa"/>
          </w:tblCellMar>
        </w:tblPrEx>
        <w:trPr>
          <w:trHeight w:val="58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品名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仿宋_GB2312"/>
                <w:color w:val="auto"/>
                <w:sz w:val="16"/>
                <w:szCs w:val="16"/>
                <w:highlight w:val="none"/>
              </w:rPr>
            </w:pPr>
            <w:r>
              <w:rPr>
                <w:rFonts w:hint="eastAsia" w:ascii="宋体" w:hAnsi="宋体" w:cs="仿宋_GB2312"/>
                <w:color w:val="auto"/>
                <w:kern w:val="0"/>
                <w:sz w:val="16"/>
                <w:szCs w:val="16"/>
                <w:highlight w:val="none"/>
                <w:lang w:val="en-US" w:eastAsia="zh-CN"/>
              </w:rPr>
              <w:t>执行</w:t>
            </w:r>
            <w:r>
              <w:rPr>
                <w:rFonts w:hint="eastAsia" w:ascii="宋体" w:hAnsi="宋体" w:eastAsia="宋体" w:cs="仿宋_GB2312"/>
                <w:color w:val="auto"/>
                <w:kern w:val="0"/>
                <w:sz w:val="16"/>
                <w:szCs w:val="16"/>
                <w:highlight w:val="none"/>
              </w:rPr>
              <w:t>标准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单位</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16"/>
                <w:szCs w:val="16"/>
                <w:highlight w:val="none"/>
                <w:lang w:val="en-US" w:eastAsia="zh-CN"/>
              </w:rPr>
            </w:pPr>
            <w:r>
              <w:rPr>
                <w:rFonts w:hint="eastAsia" w:ascii="宋体" w:hAnsi="宋体" w:eastAsia="宋体" w:cs="宋体"/>
                <w:color w:val="auto"/>
                <w:kern w:val="0"/>
                <w:sz w:val="16"/>
                <w:szCs w:val="16"/>
                <w:highlight w:val="none"/>
              </w:rPr>
              <w:t>折合100g饮片价格</w:t>
            </w:r>
            <w:r>
              <w:rPr>
                <w:rFonts w:hint="eastAsia" w:ascii="宋体" w:hAnsi="宋体" w:cs="宋体"/>
                <w:color w:val="auto"/>
                <w:kern w:val="0"/>
                <w:sz w:val="16"/>
                <w:szCs w:val="16"/>
                <w:highlight w:val="none"/>
                <w:lang w:eastAsia="zh-CN"/>
              </w:rPr>
              <w:t>（</w:t>
            </w:r>
            <w:r>
              <w:rPr>
                <w:rFonts w:hint="eastAsia" w:ascii="宋体" w:hAnsi="宋体" w:cs="宋体"/>
                <w:color w:val="auto"/>
                <w:kern w:val="0"/>
                <w:sz w:val="16"/>
                <w:szCs w:val="16"/>
                <w:highlight w:val="none"/>
                <w:lang w:val="en-US" w:eastAsia="zh-CN"/>
              </w:rPr>
              <w:t>基准价）</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黄芪</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丹参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三七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茯苓</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枸杞子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薏苡仁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当归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山药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党参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苏木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陈皮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马齿苋</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赤芍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宋体"/>
                <w:color w:val="auto"/>
                <w:kern w:val="0"/>
                <w:sz w:val="16"/>
                <w:szCs w:val="16"/>
                <w:highlight w:val="none"/>
              </w:rPr>
              <w:t>豨</w:t>
            </w:r>
            <w:r>
              <w:rPr>
                <w:rFonts w:hint="eastAsia" w:ascii="宋体" w:hAnsi="宋体" w:eastAsia="宋体" w:cs="仿宋_GB2312"/>
                <w:color w:val="auto"/>
                <w:kern w:val="0"/>
                <w:sz w:val="16"/>
                <w:szCs w:val="16"/>
                <w:highlight w:val="none"/>
              </w:rPr>
              <w:t>莶草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红花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透骨草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花椒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牡丹皮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柴胡</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莲子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阿胶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百合</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鸡血藤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川芎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麦冬</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伸筋草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首乌藤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304"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白花蛇舌草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玫瑰花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蒲公英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葛根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艾叶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泽泻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金银花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芡实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黄芩</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合欢花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浮小麦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赤小豆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菟丝子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土茯苓</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地榆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合欢皮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石斛</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太子参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荆芥</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杜仲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覆盆子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桂枝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茯神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皂角刺</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牡蛎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郁金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防风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益母草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厚朴</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4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巴戟天</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玄参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女贞子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夏枯草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蛇床子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桑椹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威灵仙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赤芍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白芷</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续断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广藿香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干姜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车前草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苦参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桑叶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竹茹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肉桂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半枝莲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珍珠母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龙骨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川贝母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760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知母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红景天</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火麻仁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菊花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钩藤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草果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荷叶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路路通</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石菖蒲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桔梗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木香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砂仁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茵陈</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石决明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白鲜皮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胖大海</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冬瓜子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独活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大青叶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天花粉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海桐皮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茺蔚子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佛手</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玉竹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猪苓</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羌活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桑螵蛸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败酱草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鱼腥草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鹿角胶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367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仙鹤草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荔枝核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墨旱莲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僵蚕</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瓜蒌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阳起石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槐花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麻黄根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金樱子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乌梅</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六月雪</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地肤子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泽兰</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骨碎补</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桑枝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金钱草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莪术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小通草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芦根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三棱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炮姜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薄荷</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冬瓜皮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升麻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土鳖虫</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紫苏叶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地骨皮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紫花地丁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积雪草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五加皮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蒲黄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蝉蜕</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土荆皮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淡竹叶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木瓜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龙胆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白及</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肉豆蔻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沙苑子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丁香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薤白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海风藤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郁李仁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五倍子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莲子心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浙贝母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天冬</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淡豆豉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秦艽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木通</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茜草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香橼</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芒硝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络石藤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灵芝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仙茅</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白茅根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细辛</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葶苈子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番泻叶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全蝎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忍冬藤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小蓟</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大蓟</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金荞麦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金银花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海螵蛸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瓜蒌皮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瞿麦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灯心草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乌药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八月扎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海浮石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鹿衔草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锁阳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甘松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鹿角霜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鬼箭羽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防己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木蝴蝶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青风藤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海藻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炒白术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地黄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炒酸枣仁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甘草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山楂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酒萸肉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法半夏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炙甘草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熟地黄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麸炒枳壳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盐车前子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炒蒺藜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宋体"/>
                <w:color w:val="auto"/>
                <w:kern w:val="0"/>
                <w:sz w:val="16"/>
                <w:szCs w:val="16"/>
                <w:highlight w:val="none"/>
              </w:rPr>
              <w:t>燀</w:t>
            </w:r>
            <w:r>
              <w:rPr>
                <w:rFonts w:hint="eastAsia" w:ascii="宋体" w:hAnsi="宋体" w:eastAsia="宋体" w:cs="仿宋_GB2312"/>
                <w:color w:val="auto"/>
                <w:kern w:val="0"/>
                <w:sz w:val="16"/>
                <w:szCs w:val="16"/>
                <w:highlight w:val="none"/>
              </w:rPr>
              <w:t>桃仁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麸炒苍术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醋香附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炒决明子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川牛膝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煅牡蛎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制远志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制乳香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南沙参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醋五味子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煅龙骨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桑寄生</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淫羊藿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炒麦芽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醋延胡索</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烫狗脊</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麸炒枳实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佩兰</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盐益智仁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炙黄芪</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炒鸡内金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酒黄精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焦栀子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百部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炒白扁豆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紫菀</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柏子仁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广地龙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制何首乌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焦六神曲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焦山楂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酒苁蓉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炒川楝子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栀子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炒王不留行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侧柏叶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滑石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蜜桑白皮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制吴茱萸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炒莱菔子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大黄炭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炒紫苏子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粉萆</w:t>
            </w:r>
            <w:r>
              <w:rPr>
                <w:rFonts w:hint="eastAsia" w:ascii="宋体" w:hAnsi="宋体" w:eastAsia="宋体" w:cs="宋体"/>
                <w:color w:val="auto"/>
                <w:kern w:val="0"/>
                <w:sz w:val="16"/>
                <w:szCs w:val="16"/>
                <w:highlight w:val="none"/>
              </w:rPr>
              <w:t>薢</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西洋参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400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宋体"/>
                <w:color w:val="auto"/>
                <w:kern w:val="0"/>
                <w:sz w:val="16"/>
                <w:szCs w:val="16"/>
                <w:highlight w:val="none"/>
              </w:rPr>
              <w:t>燀</w:t>
            </w:r>
            <w:r>
              <w:rPr>
                <w:rFonts w:hint="eastAsia" w:ascii="宋体" w:hAnsi="宋体" w:eastAsia="宋体" w:cs="仿宋_GB2312"/>
                <w:color w:val="auto"/>
                <w:kern w:val="0"/>
                <w:sz w:val="16"/>
                <w:szCs w:val="16"/>
                <w:highlight w:val="none"/>
              </w:rPr>
              <w:t>苦杏仁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制草乌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炒没药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黑附片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盐小茴香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制天南星</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北沙参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豆蔻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大血藤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盐补骨脂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大黄炭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醋鳖甲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煅磁石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盐橘核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炒苍耳子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煅瓦楞子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旋覆花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醋五灵脂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麸炒薏苡仁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麦芽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宋体"/>
                <w:color w:val="auto"/>
                <w:kern w:val="0"/>
                <w:sz w:val="16"/>
                <w:szCs w:val="16"/>
                <w:highlight w:val="none"/>
              </w:rPr>
              <w:t>萹</w:t>
            </w:r>
            <w:r>
              <w:rPr>
                <w:rFonts w:hint="eastAsia" w:ascii="宋体" w:hAnsi="宋体" w:eastAsia="宋体" w:cs="仿宋_GB2312"/>
                <w:color w:val="auto"/>
                <w:kern w:val="0"/>
                <w:sz w:val="16"/>
                <w:szCs w:val="16"/>
                <w:highlight w:val="none"/>
              </w:rPr>
              <w:t>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烫水蛭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板蓝根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蜜麻黄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野菊花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炒牛蒡子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蜜紫菀</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酒乌梢蛇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麻黄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蜜款冬花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辛夷</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芡实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炒芥子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6.8</w:t>
            </w:r>
          </w:p>
        </w:tc>
      </w:tr>
      <w:tr>
        <w:tblPrEx>
          <w:tblCellMar>
            <w:top w:w="0" w:type="dxa"/>
            <w:left w:w="0" w:type="dxa"/>
            <w:bottom w:w="0" w:type="dxa"/>
            <w:right w:w="0" w:type="dxa"/>
          </w:tblCellMar>
        </w:tblPrEx>
        <w:trPr>
          <w:trHeight w:val="253"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明矾（外用）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r>
      <w:tr>
        <w:tblPrEx>
          <w:tblCellMar>
            <w:top w:w="0" w:type="dxa"/>
            <w:left w:w="0" w:type="dxa"/>
            <w:bottom w:w="0" w:type="dxa"/>
            <w:right w:w="0" w:type="dxa"/>
          </w:tblCellMar>
        </w:tblPrEx>
        <w:trPr>
          <w:trHeight w:val="282"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醋煅紫石英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姜半夏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人参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红参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炒党参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玄参炭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299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生地炭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熟地炭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酒当归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当归尾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清半夏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竹沥半夏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熟大黄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酒黄芩</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黄芩炭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胡黄连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醋三棱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醋莪术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炒赤芍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炒白芍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白头翁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盐知母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盐续断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续断炭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牛膝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土牛膝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制川乌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何首乌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藁本</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附片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制白附子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茜草炭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猫爪草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前胡</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银柴胡</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山慈菇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九节菖蒲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高良姜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生姜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炮姜炭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片姜黄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地榆炭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拳参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重楼</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千年健</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醋商陆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射干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贯众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贯众炭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藕节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藕节炭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蜜百部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漏芦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墓头回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苎麻根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糯稻根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虎杖</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黄药子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天葵子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紫苏梗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马勃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沉香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530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檀香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降香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接骨木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天仙藤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寻骨风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荆芥炭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荆芥穗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肿节风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香薷</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木贼</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谷精草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广金钱草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朱灯心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黛灯心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鸡骨草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凤尾草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醋柴胡</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马鞭草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浮萍</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通天草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紫珠草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卷柏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平地木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千里光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石见穿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血见愁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半边莲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刘寄奴</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田基黄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荔枝草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徐长卿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穿心莲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艾叶炭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石楠叶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功劳叶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桔叶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侧柏炭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枇杷叶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399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蜜枇杷叶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丹皮炭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香加皮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秦皮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石榴皮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大腹皮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茯苓皮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麸炒椿皮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紫荆皮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天浆壳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柿蒂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姜竹茹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橘红</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橘络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盐杜仲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黄柏炭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姜厚朴</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棕榈炭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贯叶连翘</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厚朴花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扁豆花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梅花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月季花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炒槐花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葛花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荠菜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凌霄花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密蒙花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鸡冠花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蒲黄炭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莲须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荜茇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玉米须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瓜蒌仁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草豆蔻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藏青果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无花果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红豆蔻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醋青皮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槟榔</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鬼球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乌梅炭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瘪桃干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丝瓜络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蜜马兜铃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罗汉果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大枣</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龙眼肉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韭菜子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炒蔓荆子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酒女贞子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芫荽子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天竺子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冬葵子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胡芦巴</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青葙子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诃子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急性子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楮实子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娑罗子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水红花子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望江南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黑丑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黑大豆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炒谷芽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焦麦芽</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淮小麦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黑芝麻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紫河车</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504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血余炭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鹿角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胆南星</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刺猬皮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水牛角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煅石决明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蛤壳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乌贼骨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蜈蚣</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439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蛇蜕</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蚕砂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炒僵蚕</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雄蚕蛾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炒九香虫</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蜂房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龙齿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煅自然铜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3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硼砂（外用)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青礞石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煅赭石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花蕊石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赤石脂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w:t>
            </w:r>
          </w:p>
        </w:tc>
      </w:tr>
      <w:tr>
        <w:tblPrEx>
          <w:tblCellMar>
            <w:top w:w="0" w:type="dxa"/>
            <w:left w:w="0" w:type="dxa"/>
            <w:bottom w:w="0" w:type="dxa"/>
            <w:right w:w="0" w:type="dxa"/>
          </w:tblCellMar>
        </w:tblPrEx>
        <w:trPr>
          <w:trHeight w:val="151"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冰片(外用)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血竭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1870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芦荟</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琥珀</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天竺黄</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50</w:t>
            </w:r>
          </w:p>
        </w:tc>
      </w:tr>
      <w:tr>
        <w:tblPrEx>
          <w:tblCellMar>
            <w:top w:w="0" w:type="dxa"/>
            <w:left w:w="0" w:type="dxa"/>
            <w:bottom w:w="0" w:type="dxa"/>
            <w:right w:w="0" w:type="dxa"/>
          </w:tblCellMar>
        </w:tblPrEx>
        <w:trPr>
          <w:trHeight w:val="3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玄明粉（外用）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499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海金沙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青黛</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昆布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建曲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六神曲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六一散</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失笑散</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菝葜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黄毛耳草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鸭跖草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垂盆草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蛇莓</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龙葵</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地锦草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人参叶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羊蹄根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藤梨根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鬼针草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雷公藤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绞股蓝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蛇六谷</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荷包草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野葡萄根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刺五加</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猫人参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穿山龙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两面针</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金雀根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七叶莲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叶下珠</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石上柏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千斤拔</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牛大力</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毛冬青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布渣叶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宽筋藤</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青天葵</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蝉花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白屈菜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锦灯笼</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救必应</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穿破石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岗稔根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岗梅根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五爪龙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芒果核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独角金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295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溪黄草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苇茎</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粟米心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土公英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狗肝草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鹰不泊</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乌豆衣</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老桑枝</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白背叶根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胡颓叶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山豆根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焦槟榔</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葛根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连翘</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茯苓</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酒萸肉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33.3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虎杖</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桑白皮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景天三七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喜树果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鸡内金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绿豆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酒黄连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炙升麻</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苍术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枳壳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枳实</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延胡索</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五味子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蒺藜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炒建曲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仙灵脾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薜荔果</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老鹳草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儿茶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红豆杉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干蟾皮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山海螺</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胡麻仁</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芦子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银杏叶</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麸炒白术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炒山药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浙桐皮</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车前子</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蕤仁肉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炒槐角</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寒水石</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当药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款冬花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45</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醋艾炭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8</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姜炭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铁包金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599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黑豆</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醋乳香</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14</w:t>
            </w:r>
          </w:p>
        </w:tc>
      </w:tr>
      <w:tr>
        <w:tblPrEx>
          <w:tblCellMar>
            <w:top w:w="0" w:type="dxa"/>
            <w:left w:w="0" w:type="dxa"/>
            <w:bottom w:w="0" w:type="dxa"/>
            <w:right w:w="0" w:type="dxa"/>
          </w:tblCellMar>
        </w:tblPrEx>
        <w:trPr>
          <w:trHeight w:val="38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绵马贯众炭</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绵马贯众</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醋没药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21</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小青草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22</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葎草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连钱草</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煅紫石英</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7</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栀子根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13</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609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麸炒山药</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19</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淡附片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56</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炮山甲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2500</w:t>
            </w:r>
          </w:p>
        </w:tc>
      </w:tr>
      <w:tr>
        <w:tblPrEx>
          <w:tblCellMar>
            <w:top w:w="0" w:type="dxa"/>
            <w:left w:w="0" w:type="dxa"/>
            <w:bottom w:w="0" w:type="dxa"/>
            <w:right w:w="0" w:type="dxa"/>
          </w:tblCellMar>
        </w:tblPrEx>
        <w:trPr>
          <w:trHeight w:val="2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612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醋龟甲</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中国药典2015版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auto"/>
                <w:sz w:val="16"/>
                <w:szCs w:val="16"/>
                <w:highlight w:val="none"/>
              </w:rPr>
            </w:pPr>
            <w:r>
              <w:rPr>
                <w:rFonts w:hint="eastAsia" w:ascii="宋体" w:hAnsi="宋体" w:eastAsia="宋体" w:cs="仿宋_GB2312"/>
                <w:color w:val="auto"/>
                <w:kern w:val="0"/>
                <w:sz w:val="16"/>
                <w:szCs w:val="16"/>
                <w:highlight w:val="none"/>
              </w:rPr>
              <w:t>袋</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122</w:t>
            </w:r>
          </w:p>
        </w:tc>
      </w:tr>
    </w:tbl>
    <w:p>
      <w:pPr>
        <w:spacing w:line="360" w:lineRule="auto"/>
        <w:ind w:firstLine="482"/>
        <w:jc w:val="cente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pStyle w:val="2"/>
        <w:rPr>
          <w:rFonts w:ascii="仿宋_GB2312" w:eastAsia="仿宋_GB2312"/>
          <w:b/>
          <w:color w:val="auto"/>
          <w:sz w:val="28"/>
          <w:szCs w:val="28"/>
          <w:highlight w:val="none"/>
        </w:rPr>
      </w:pPr>
    </w:p>
    <w:p>
      <w:pPr>
        <w:rPr>
          <w:color w:val="auto"/>
          <w:highlight w:val="none"/>
        </w:rPr>
      </w:pPr>
    </w:p>
    <w:p>
      <w:pPr>
        <w:rPr>
          <w:rFonts w:ascii="仿宋_GB2312" w:eastAsia="仿宋_GB2312"/>
          <w:b/>
          <w:color w:val="auto"/>
          <w:sz w:val="28"/>
          <w:szCs w:val="28"/>
          <w:highlight w:val="none"/>
        </w:rPr>
      </w:pPr>
    </w:p>
    <w:p>
      <w:pPr>
        <w:pStyle w:val="2"/>
        <w:rPr>
          <w:rFonts w:hint="default" w:ascii="仿宋_GB2312" w:eastAsia="仿宋_GB2312"/>
          <w:b w:val="0"/>
          <w:bCs w:val="0"/>
          <w:color w:val="auto"/>
          <w:sz w:val="28"/>
          <w:szCs w:val="28"/>
          <w:highlight w:val="none"/>
          <w:lang w:val="en-US" w:eastAsia="zh-CN"/>
        </w:rPr>
      </w:pPr>
      <w:r>
        <w:rPr>
          <w:rFonts w:hint="eastAsia" w:ascii="仿宋_GB2312" w:eastAsia="仿宋_GB2312"/>
          <w:b w:val="0"/>
          <w:bCs w:val="0"/>
          <w:color w:val="auto"/>
          <w:sz w:val="28"/>
          <w:szCs w:val="28"/>
          <w:highlight w:val="none"/>
          <w:lang w:val="en-US" w:eastAsia="zh-CN"/>
        </w:rPr>
        <w:t>附件2：</w:t>
      </w:r>
    </w:p>
    <w:p>
      <w:pPr>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克拉玛依区社区卫生服务机构</w:t>
      </w:r>
      <w:r>
        <w:rPr>
          <w:rFonts w:hint="eastAsia" w:ascii="方正小标宋简体" w:hAnsi="方正小标宋简体" w:eastAsia="方正小标宋简体" w:cs="方正小标宋简体"/>
          <w:b w:val="0"/>
          <w:bCs w:val="0"/>
          <w:color w:val="auto"/>
          <w:sz w:val="36"/>
          <w:szCs w:val="36"/>
          <w:highlight w:val="none"/>
          <w:lang w:val="en-US" w:eastAsia="zh-CN"/>
        </w:rPr>
        <w:t>中药饮片</w:t>
      </w:r>
      <w:r>
        <w:rPr>
          <w:rFonts w:hint="eastAsia" w:ascii="方正小标宋简体" w:hAnsi="方正小标宋简体" w:eastAsia="方正小标宋简体" w:cs="方正小标宋简体"/>
          <w:b w:val="0"/>
          <w:bCs w:val="0"/>
          <w:color w:val="auto"/>
          <w:sz w:val="36"/>
          <w:szCs w:val="36"/>
          <w:highlight w:val="none"/>
        </w:rPr>
        <w:t>采购目录</w:t>
      </w:r>
    </w:p>
    <w:tbl>
      <w:tblPr>
        <w:tblStyle w:val="28"/>
        <w:tblW w:w="0" w:type="auto"/>
        <w:jc w:val="center"/>
        <w:shd w:val="clear" w:color="auto" w:fill="auto"/>
        <w:tblLayout w:type="fixed"/>
        <w:tblCellMar>
          <w:top w:w="0" w:type="dxa"/>
          <w:left w:w="0" w:type="dxa"/>
          <w:bottom w:w="0" w:type="dxa"/>
          <w:right w:w="0" w:type="dxa"/>
        </w:tblCellMar>
      </w:tblPr>
      <w:tblGrid>
        <w:gridCol w:w="390"/>
        <w:gridCol w:w="1380"/>
        <w:gridCol w:w="899"/>
        <w:gridCol w:w="1063"/>
        <w:gridCol w:w="1587"/>
        <w:gridCol w:w="2518"/>
      </w:tblGrid>
      <w:tr>
        <w:tblPrEx>
          <w:shd w:val="clear" w:color="auto" w:fill="auto"/>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lang w:val="en-US" w:eastAsia="zh-CN"/>
              </w:rPr>
            </w:pPr>
            <w:r>
              <w:rPr>
                <w:rFonts w:hint="eastAsia" w:ascii="宋体" w:hAnsi="宋体" w:cs="宋体"/>
                <w:i w:val="0"/>
                <w:color w:val="auto"/>
                <w:sz w:val="16"/>
                <w:szCs w:val="16"/>
                <w:highlight w:val="none"/>
                <w:u w:val="none"/>
                <w:lang w:val="en-US" w:eastAsia="zh-CN"/>
              </w:rPr>
              <w:t>品名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规格</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基准价</w:t>
            </w:r>
            <w:r>
              <w:rPr>
                <w:rFonts w:hint="eastAsia" w:ascii="宋体" w:hAnsi="宋体" w:eastAsia="宋体" w:cs="宋体"/>
                <w:i w:val="0"/>
                <w:color w:val="auto"/>
                <w:kern w:val="0"/>
                <w:sz w:val="16"/>
                <w:szCs w:val="16"/>
                <w:highlight w:val="none"/>
                <w:u w:val="none"/>
                <w:lang w:val="en-US" w:eastAsia="zh-CN" w:bidi="ar"/>
              </w:rPr>
              <w:t>(元）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执行标准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产地（生产厂家）</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阿胶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1,980.00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伊犁全鹿制药有限公司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艾叶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八月扎(预知子）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巴戟天</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白扁豆[炒]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白地紫苑</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白豆蔻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白矾</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白附片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白附子（制）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白果仁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白胡椒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白花蛇舌草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白及</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贵州</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白茅根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白芍[炒]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白芍[生]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白术[炒]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白术[生]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白鲜皮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白芷</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百部[生]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百部[炙]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百合</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柏子仁（炒）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败酱草（北）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板兰根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半夏[法制]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半夏[法制]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安徽精诚本草中药饮片有限公司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半夏[姜制]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安徽精诚本草中药饮片有限公司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半枝莲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薄荷</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扁蓄</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鳖甲[炙]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槟榔</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冰片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冰片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补骨脂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蚕沙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苍耳子[炒]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苍术[炒]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苍术[炒]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草果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草乌[制]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草乌[制]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侧柏叶[生]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侧柏叶[炭]</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柴胡</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蝉蜕</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炒莱菔子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车前草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车前子[盐炙]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沉香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陈皮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赤芍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内蒙古</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赤石脂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赤小豆</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茺蔚子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川贝母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川楝子[炒]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川木通</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川牛膝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川牛膝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川乌[制]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川乌[制]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川芎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磁石</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磁石[煅]</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刺猬皮[炒炭]</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大腹皮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大黄[生]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大黄[制]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大青叶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大枣</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大皂角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丹参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胆南星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成都兴沣瑞中药饮片有限责任公司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胆南星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新疆本草堂药业有限公司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淡豆豉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淡竹叶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当归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党参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灯心草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地肤子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地骨皮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宁夏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地龙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地榆</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丁香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冬瓜皮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冬瓜子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独活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独活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杜仲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莪术</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莪术（炒）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鹅不食草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番泻叶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防风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内蒙古</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防己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防己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蜂房</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佛手</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芙蓉叶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茯苓</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茯苓皮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茯神</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浮海石</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浮萍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浮小麦</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覆盆子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甘草[生]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甘草[生]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甘草[炙]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甘草[炙]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甘松</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干姜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高良姜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藁本</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葛根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钩藤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狗脊[炙]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枸杞子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谷芽（炒）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骨碎补（砂烫）</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瓜蒌</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瓜蒌皮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瓜蒌子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贯众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贯众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广藿香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龟甲[炙]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龟甲胶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湖南爱敬堂制药有限公司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鬼箭羽</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桂枝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海风藤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海金沙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海螵蛸</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海桐皮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诃子肉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合欢花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合欢皮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何首乌[制]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荷叶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荷叶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黑顺片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黑顺片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黑顺片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亳州市善安堂中药饮片有限公司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红参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吉林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红花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红景天</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红曲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红藤(大血藤）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厚朴</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胡黄连</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胡芦巴</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槲寄生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68.24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虎杖</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琥珀</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花椒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滑石粉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槐花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黄柏</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黄精[酒炙]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黄连</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黄芪</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黄芪[炙]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黄芩</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火麻仁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鸡内金[炒]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鸡血藤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积雪草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蒺藜[盐炙]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东北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姜黄</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僵蚕（炒）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降香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芥子[炒]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金钱白花蛇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1条</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金钱草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金荞麦</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金雀根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金银花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金樱子肉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荆芥</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韭菜子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桔梗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菊花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菊花[精]</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50g/袋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橘核</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橘红</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橘叶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决明子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苦参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款冬花[蜜炙]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昆布</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荔枝核</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连翘</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莲子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莲子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莲子心</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灵芝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六月雪</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龙胆</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龙骨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龙骨[煅]</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龙眼肉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芦根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鹿角胶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伊犁全鹿制药有限公司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鹿角霜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鹿衔草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路路通</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络石藤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麻黄[生]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安徽精诚本草中药饮片有限公司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麻黄[生]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麻黄[炙]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麻黄根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马齿苋</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麦冬</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麦芽</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麦芽[炒]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蔓荆子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芒硝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猫爪草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没药[炙]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玫瑰花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密蒙花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密蒙花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绵萆薢</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墨旱莲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牡丹皮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牡蛎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7.92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牡蛎[煅]</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木瓜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木蝴蝶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木香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木贼</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南沙参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牛蒡子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牛膝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糯稻根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女贞子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藕节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胖大海</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炮姜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佩兰叶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枇杷叶[蜜炙]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蒲公英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蒲黄</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千年健</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33.68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前胡</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芡实</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芡实（麸炒）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茜草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陕西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羌活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秦艽</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青风藤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青蒿</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青葙子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瞿麦</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忍冬藤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肉苁蓉[酒炙]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肉豆蔻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肉桂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65.6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乳香[醋炙]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三棱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三棱&lt;炒&gt;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三七</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云南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三七[粉]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安徽精诚本草中药饮片有限公司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桑白皮[炙]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桑螵蛸</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亳州市善安堂中药饮片有限公司</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桑螵蛸</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桑椹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桑叶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桑枝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沙参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沙苑子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陕西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砂仁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790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山慈姑</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山慈姑</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山豆根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山柰</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山药</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山楂[炒]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山楂[生]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山茱萸[酒炙]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蛇床子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射干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伸筋草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神曲（建曲）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神曲[炒]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升麻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生地黄</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生晒参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吉林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石菖蒲</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石膏（粒）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石斛</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石见穿</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石决明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石榴皮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石韦</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柿蒂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首乌藤</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熟地黄</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水蛭[制]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2,552.00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丝瓜络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苏木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酸枣仁[炒]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525.45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锁阳</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内蒙古</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太子参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檀香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桃仁[炒]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天冬</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贵州</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天花粉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天麻（片）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天南星[制]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葶苈子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通草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透骨草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土鳖虫</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土茯苓</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土荆皮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菟丝子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瓦楞子[煅]</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王不留行（炒）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威灵仙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乌梅</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乌梢蛇（制）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1,078.00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乌药</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吴茱萸[制]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贵州</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蜈蚣</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1条</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五倍子</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66.4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五加皮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五灵脂[炙]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五味子[炙]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西洋参[国]</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1,870.00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吉林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豨莶草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细辛</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夏枯草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仙鹤草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仙茅</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香附子[炙]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香橼</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小茴香[盐炙]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33.55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缬草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贵州</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薤白</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辛夷</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甘肃</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杏仁[制]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徐长卿</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续断</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玄参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旋覆花（制）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血竭</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血余炭</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安徽</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延胡索[醋炙]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阳起石</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湖北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野菊花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伊贝母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益母草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益智仁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薏苡仁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薏苡仁（制）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茵陈</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银柴胡</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内蒙古</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淫羊藿叶（制）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陕西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油松节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鱼腥草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玉竹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郁金</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郁李仁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辽宁</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远志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陕西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远志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陕西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皂角刺</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泽兰</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黑龙江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泽泻</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福建</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赭石</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9.38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浙贝母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珍珠母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知母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栀子[炒]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栀子[生]</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浙江</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枳壳[炒]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江苏</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枳实[炒]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重楼</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广东</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猪苓</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陕西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竹茹</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紫草</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新疆</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紫花地丁</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紫石英</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山西</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紫苏梗</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紫苏叶</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紫苏子（炒）</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紫菀[炙]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79.2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河北</w:t>
            </w:r>
          </w:p>
        </w:tc>
      </w:tr>
      <w:tr>
        <w:tblPrEx>
          <w:tblCellMar>
            <w:top w:w="0" w:type="dxa"/>
            <w:left w:w="0" w:type="dxa"/>
            <w:bottom w:w="0" w:type="dxa"/>
            <w:right w:w="0" w:type="dxa"/>
          </w:tblCellMar>
        </w:tblPrEx>
        <w:trPr>
          <w:trHeight w:val="2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自然铜</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1000g</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11.88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中国药典2015版</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w:t>
            </w:r>
          </w:p>
        </w:tc>
      </w:tr>
    </w:tbl>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360" w:lineRule="auto"/>
        <w:ind w:firstLine="482"/>
        <w:jc w:val="center"/>
        <w:rPr>
          <w:rFonts w:hint="eastAsia" w:ascii="仿宋_GB2312" w:eastAsia="仿宋_GB2312"/>
          <w:b/>
          <w:color w:val="auto"/>
          <w:sz w:val="28"/>
          <w:szCs w:val="28"/>
          <w:highlight w:val="none"/>
        </w:rPr>
      </w:pPr>
    </w:p>
    <w:p>
      <w:pPr>
        <w:spacing w:line="360" w:lineRule="auto"/>
        <w:ind w:firstLine="482"/>
        <w:jc w:val="center"/>
        <w:rPr>
          <w:rFonts w:ascii="仿宋_GB2312" w:eastAsia="仿宋_GB2312"/>
          <w:b/>
          <w:color w:val="auto"/>
          <w:highlight w:val="none"/>
        </w:rPr>
      </w:pPr>
      <w:r>
        <w:rPr>
          <w:rFonts w:hint="eastAsia" w:ascii="仿宋_GB2312" w:eastAsia="仿宋_GB2312"/>
          <w:b/>
          <w:color w:val="auto"/>
          <w:sz w:val="28"/>
          <w:szCs w:val="28"/>
          <w:highlight w:val="none"/>
        </w:rPr>
        <w:t>第四章  合同条款</w:t>
      </w:r>
    </w:p>
    <w:p>
      <w:pPr>
        <w:spacing w:line="360" w:lineRule="auto"/>
        <w:ind w:firstLine="472" w:firstLineChars="196"/>
        <w:outlineLvl w:val="2"/>
        <w:rPr>
          <w:rFonts w:ascii="仿宋_GB2312" w:eastAsia="仿宋_GB2312"/>
          <w:b/>
          <w:color w:val="auto"/>
          <w:highlight w:val="none"/>
        </w:rPr>
      </w:pPr>
      <w:bookmarkStart w:id="204" w:name="_Toc243906397"/>
      <w:bookmarkStart w:id="205" w:name="_Toc243907627"/>
      <w:bookmarkStart w:id="206" w:name="_Toc233274440"/>
      <w:bookmarkStart w:id="207" w:name="_Toc246216290"/>
      <w:bookmarkStart w:id="208" w:name="_Toc246216267"/>
      <w:bookmarkStart w:id="209" w:name="_Toc245369990"/>
      <w:bookmarkStart w:id="210" w:name="_Toc233275179"/>
      <w:bookmarkStart w:id="211" w:name="_Toc233274892"/>
      <w:bookmarkStart w:id="212" w:name="_Toc245370108"/>
      <w:bookmarkStart w:id="213" w:name="_Toc246216425"/>
      <w:bookmarkStart w:id="214" w:name="_Toc243904849"/>
      <w:r>
        <w:rPr>
          <w:rFonts w:hint="eastAsia" w:ascii="仿宋_GB2312" w:eastAsia="仿宋_GB2312"/>
          <w:b/>
          <w:color w:val="auto"/>
          <w:sz w:val="24"/>
          <w:highlight w:val="none"/>
        </w:rPr>
        <w:t>1、定义</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1.1“合同”系指甲乙双方共同签署的、合同中载明的甲乙双方所达成的协议，包括：成交通知书；合同条款；响应文件及承诺；项目采购需；磋商文件（含补充文件、修改文件）及答疑纪要；双方约定的其他所有文件等构成合同的所有文件的总称。</w:t>
      </w:r>
    </w:p>
    <w:p>
      <w:pPr>
        <w:spacing w:line="360" w:lineRule="auto"/>
        <w:ind w:firstLine="480" w:firstLineChars="200"/>
        <w:rPr>
          <w:rFonts w:ascii="仿宋_GB2312" w:eastAsia="仿宋_GB2312"/>
          <w:color w:val="auto"/>
          <w:sz w:val="24"/>
          <w:highlight w:val="none"/>
        </w:rPr>
      </w:pPr>
      <w:r>
        <w:rPr>
          <w:rFonts w:hint="eastAsia" w:ascii="仿宋_GB2312" w:hAnsi="宋体" w:eastAsia="仿宋_GB2312"/>
          <w:color w:val="auto"/>
          <w:sz w:val="24"/>
          <w:highlight w:val="none"/>
        </w:rPr>
        <w:t>1.2“甲方”系指克拉玛依市克拉玛依区卫生健康委员会</w:t>
      </w:r>
      <w:r>
        <w:rPr>
          <w:rFonts w:hint="eastAsia" w:ascii="仿宋_GB2312" w:eastAsia="仿宋_GB2312"/>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1.3“乙方”系指取得成交资格，提供合同服务的成交供应商。</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1.4“服务费用”系指根据合同条款、技术规范及标准、项目采购需求、本磋商文件的规定，乙方在正确、完整地履行合同义务后，采购人应支付给乙方实际提供合同服务的金额。</w:t>
      </w:r>
    </w:p>
    <w:p>
      <w:pPr>
        <w:spacing w:line="360" w:lineRule="auto"/>
        <w:ind w:firstLine="480" w:firstLineChars="200"/>
        <w:rPr>
          <w:rFonts w:ascii="仿宋_GB2312" w:hAnsi="新宋体" w:eastAsia="仿宋_GB2312"/>
          <w:b/>
          <w:color w:val="auto"/>
          <w:sz w:val="24"/>
          <w:highlight w:val="none"/>
        </w:rPr>
      </w:pPr>
      <w:r>
        <w:rPr>
          <w:rFonts w:hint="eastAsia" w:ascii="仿宋_GB2312" w:eastAsia="仿宋_GB2312"/>
          <w:color w:val="auto"/>
          <w:sz w:val="24"/>
          <w:highlight w:val="none"/>
        </w:rPr>
        <w:t>1.5“服务”系指合同条款、技术规范及标准、项目采购需求、本磋商文件规定，乙方为保证</w:t>
      </w:r>
      <w:r>
        <w:rPr>
          <w:rFonts w:hint="eastAsia" w:ascii="仿宋_GB2312" w:eastAsia="仿宋_GB2312"/>
          <w:b/>
          <w:bCs/>
          <w:color w:val="auto"/>
          <w:sz w:val="24"/>
          <w:highlight w:val="none"/>
        </w:rPr>
        <w:t>完成克拉玛依区社区卫生服务机构采购大包装中药免煎颗粒、中草药项目应承担的所有工作，根据社区卫生服务机构饮片、免煎颗粒采购计划提供并配送药品，以及对社区卫生服务机构所开具的中医饮片处方的调配、煎药、配送；提供专业的学术服务，定期组织中医药相关培训及卫生行政部门认可的中医专家坐诊带教；以及卫生行政部门批准的其他适宜社区医疗的服务，并配合采购人完成与此服务相关的合同条款、项目采购需求、</w:t>
      </w:r>
      <w:r>
        <w:rPr>
          <w:rFonts w:hint="eastAsia" w:ascii="仿宋_GB2312" w:eastAsia="仿宋_GB2312"/>
          <w:b/>
          <w:bCs/>
          <w:color w:val="auto"/>
          <w:sz w:val="24"/>
          <w:highlight w:val="none"/>
          <w:lang w:eastAsia="zh-CN"/>
        </w:rPr>
        <w:t>竞争性磋商文件</w:t>
      </w:r>
      <w:r>
        <w:rPr>
          <w:rFonts w:hint="eastAsia" w:ascii="仿宋_GB2312" w:eastAsia="仿宋_GB2312"/>
          <w:b/>
          <w:bCs/>
          <w:color w:val="auto"/>
          <w:sz w:val="24"/>
          <w:highlight w:val="none"/>
        </w:rPr>
        <w:t>约定的全部内容及责任和义务。</w:t>
      </w:r>
    </w:p>
    <w:p>
      <w:pPr>
        <w:pStyle w:val="15"/>
        <w:spacing w:line="360" w:lineRule="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1.6“技术规范及标准”系指适用于本项目所有的规范及标准。当新的规范及标准颁布后以新颁布的规范及标准执行。</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1.7凡提及的“天、日期、星期、月份和年份”系指公历日历的日历天、日期、星期、月份和年份。</w:t>
      </w:r>
    </w:p>
    <w:p>
      <w:pPr>
        <w:spacing w:line="360" w:lineRule="auto"/>
        <w:ind w:firstLine="482" w:firstLineChars="200"/>
        <w:outlineLvl w:val="2"/>
        <w:rPr>
          <w:rFonts w:ascii="仿宋_GB2312" w:eastAsia="仿宋_GB2312"/>
          <w:b/>
          <w:color w:val="auto"/>
          <w:sz w:val="24"/>
          <w:highlight w:val="none"/>
        </w:rPr>
      </w:pPr>
      <w:bookmarkStart w:id="215" w:name="_Toc246216233"/>
      <w:r>
        <w:rPr>
          <w:rFonts w:hint="eastAsia" w:ascii="仿宋_GB2312" w:eastAsia="仿宋_GB2312"/>
          <w:b/>
          <w:color w:val="auto"/>
          <w:sz w:val="24"/>
          <w:highlight w:val="none"/>
        </w:rPr>
        <w:t>2、适用范围</w:t>
      </w:r>
      <w:bookmarkEnd w:id="215"/>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2.1 本合同条款适用于本次克拉玛依区社区卫生服务机构采购大包装中药免煎颗粒、中草药项目。</w:t>
      </w:r>
    </w:p>
    <w:p>
      <w:pPr>
        <w:spacing w:line="360" w:lineRule="auto"/>
        <w:ind w:firstLine="482" w:firstLineChars="200"/>
        <w:outlineLvl w:val="2"/>
        <w:rPr>
          <w:rFonts w:ascii="仿宋_GB2312" w:eastAsia="仿宋_GB2312"/>
          <w:b/>
          <w:color w:val="auto"/>
          <w:sz w:val="24"/>
          <w:highlight w:val="none"/>
        </w:rPr>
      </w:pPr>
      <w:bookmarkStart w:id="216" w:name="_Toc260246971"/>
      <w:bookmarkStart w:id="217" w:name="_Toc260247209"/>
      <w:bookmarkStart w:id="218" w:name="_Toc260246972"/>
      <w:bookmarkStart w:id="219" w:name="_Toc246216237"/>
      <w:bookmarkStart w:id="220" w:name="_Toc231451677"/>
      <w:bookmarkStart w:id="221" w:name="_Toc260247210"/>
      <w:r>
        <w:rPr>
          <w:rFonts w:hint="eastAsia" w:ascii="仿宋_GB2312" w:eastAsia="仿宋_GB2312"/>
          <w:b/>
          <w:color w:val="auto"/>
          <w:sz w:val="24"/>
          <w:highlight w:val="none"/>
        </w:rPr>
        <w:t>3、服务费用支付条款</w:t>
      </w:r>
      <w:bookmarkEnd w:id="216"/>
      <w:bookmarkEnd w:id="217"/>
    </w:p>
    <w:p>
      <w:pPr>
        <w:pStyle w:val="89"/>
        <w:spacing w:line="360" w:lineRule="auto"/>
        <w:ind w:firstLine="472" w:firstLineChars="196"/>
        <w:rPr>
          <w:rFonts w:ascii="仿宋_GB2312" w:hAnsi="新宋体" w:eastAsia="仿宋_GB2312"/>
          <w:b/>
          <w:color w:val="auto"/>
          <w:kern w:val="2"/>
          <w:highlight w:val="none"/>
        </w:rPr>
      </w:pPr>
      <w:r>
        <w:rPr>
          <w:rFonts w:hint="eastAsia" w:ascii="仿宋_GB2312" w:hAnsi="新宋体" w:eastAsia="仿宋_GB2312"/>
          <w:b/>
          <w:color w:val="auto"/>
          <w:kern w:val="2"/>
          <w:highlight w:val="none"/>
        </w:rPr>
        <w:t xml:space="preserve">3.1 </w:t>
      </w:r>
      <w:r>
        <w:rPr>
          <w:rFonts w:hint="eastAsia" w:ascii="仿宋_GB2312" w:eastAsia="仿宋_GB2312"/>
          <w:b/>
          <w:color w:val="auto"/>
          <w:highlight w:val="none"/>
        </w:rPr>
        <w:t>服务费用</w:t>
      </w:r>
      <w:r>
        <w:rPr>
          <w:rFonts w:hint="eastAsia" w:ascii="仿宋_GB2312" w:hAnsi="新宋体" w:eastAsia="仿宋_GB2312"/>
          <w:b/>
          <w:color w:val="auto"/>
          <w:kern w:val="2"/>
          <w:highlight w:val="none"/>
        </w:rPr>
        <w:t>的支付币种为人民币。</w:t>
      </w:r>
      <w:bookmarkEnd w:id="218"/>
      <w:bookmarkEnd w:id="219"/>
      <w:bookmarkEnd w:id="220"/>
      <w:bookmarkEnd w:id="221"/>
    </w:p>
    <w:p>
      <w:pPr>
        <w:pStyle w:val="89"/>
        <w:spacing w:line="360" w:lineRule="auto"/>
        <w:ind w:firstLine="472" w:firstLineChars="196"/>
        <w:rPr>
          <w:rFonts w:ascii="仿宋_GB2312" w:hAnsi="新宋体" w:eastAsia="仿宋_GB2312"/>
          <w:b/>
          <w:color w:val="auto"/>
          <w:kern w:val="2"/>
          <w:highlight w:val="none"/>
        </w:rPr>
      </w:pPr>
      <w:r>
        <w:rPr>
          <w:rFonts w:hint="eastAsia" w:ascii="仿宋_GB2312" w:hAnsi="新宋体" w:eastAsia="仿宋_GB2312"/>
          <w:b/>
          <w:color w:val="auto"/>
          <w:kern w:val="2"/>
          <w:highlight w:val="none"/>
        </w:rPr>
        <w:t xml:space="preserve">3.2 </w:t>
      </w:r>
      <w:r>
        <w:rPr>
          <w:rFonts w:hint="eastAsia" w:ascii="仿宋_GB2312" w:eastAsia="仿宋_GB2312"/>
          <w:b/>
          <w:color w:val="auto"/>
          <w:highlight w:val="none"/>
        </w:rPr>
        <w:t>服务费用</w:t>
      </w:r>
      <w:r>
        <w:rPr>
          <w:rFonts w:hint="eastAsia" w:ascii="仿宋_GB2312" w:hAnsi="新宋体" w:eastAsia="仿宋_GB2312"/>
          <w:b/>
          <w:color w:val="auto"/>
          <w:kern w:val="2"/>
          <w:highlight w:val="none"/>
        </w:rPr>
        <w:t>支付方式 ：</w:t>
      </w:r>
      <w:r>
        <w:rPr>
          <w:rFonts w:hint="eastAsia" w:ascii="仿宋_GB2312" w:eastAsia="仿宋_GB2312"/>
          <w:b/>
          <w:bCs/>
          <w:color w:val="auto"/>
          <w:highlight w:val="none"/>
        </w:rPr>
        <w:t>完成克拉玛依区社区卫生服务机构采购大包装中药免煎颗粒、中草药项目应承担的所有工作，根据社区卫生服务机构饮片、免煎颗粒采购计划提供并配送药品，以及对社区卫生服务机构所开具的中医饮片处方的调配、煎药、配送；提供专业的学术服务，定期组织中医药相关培训及卫生行政部门认可的中医专家坐诊带教；以及卫生行政部门批准的其他适宜社区医疗的服务，并配合采购人完成与此服务相关的合同条款、项目采购需求、</w:t>
      </w:r>
      <w:r>
        <w:rPr>
          <w:rFonts w:hint="eastAsia" w:ascii="仿宋_GB2312" w:eastAsia="仿宋_GB2312"/>
          <w:b/>
          <w:bCs/>
          <w:color w:val="auto"/>
          <w:highlight w:val="none"/>
          <w:lang w:eastAsia="zh-CN"/>
        </w:rPr>
        <w:t>竞争性磋商文件</w:t>
      </w:r>
      <w:r>
        <w:rPr>
          <w:rFonts w:hint="eastAsia" w:ascii="仿宋_GB2312" w:eastAsia="仿宋_GB2312"/>
          <w:b/>
          <w:bCs/>
          <w:color w:val="auto"/>
          <w:highlight w:val="none"/>
        </w:rPr>
        <w:t>约定的全部内容及责任和义务的全部风险和费用</w:t>
      </w:r>
      <w:r>
        <w:rPr>
          <w:rFonts w:hint="eastAsia" w:ascii="仿宋_GB2312" w:hAnsi="新宋体" w:eastAsia="仿宋_GB2312"/>
          <w:b/>
          <w:color w:val="auto"/>
          <w:kern w:val="2"/>
          <w:highlight w:val="none"/>
        </w:rPr>
        <w:t>。</w:t>
      </w:r>
    </w:p>
    <w:p>
      <w:pPr>
        <w:spacing w:line="360" w:lineRule="auto"/>
        <w:ind w:firstLine="482" w:firstLineChars="200"/>
        <w:rPr>
          <w:rFonts w:ascii="仿宋_GB2312" w:hAnsi="宋体" w:eastAsia="仿宋_GB2312" w:cs="宋体"/>
          <w:b/>
          <w:color w:val="auto"/>
          <w:sz w:val="24"/>
          <w:highlight w:val="none"/>
        </w:rPr>
      </w:pPr>
      <w:r>
        <w:rPr>
          <w:rFonts w:hint="eastAsia" w:ascii="仿宋_GB2312" w:hAnsi="新宋体" w:eastAsia="仿宋_GB2312"/>
          <w:b/>
          <w:color w:val="auto"/>
          <w:sz w:val="24"/>
          <w:highlight w:val="none"/>
        </w:rPr>
        <w:t>4、服务期限：自签订合同之日起三年整，合同一年一签，按年度考核验收，考核验收合格后续签下一年合同。</w:t>
      </w:r>
    </w:p>
    <w:p>
      <w:pPr>
        <w:spacing w:line="360" w:lineRule="auto"/>
        <w:ind w:firstLine="482" w:firstLineChars="200"/>
        <w:outlineLvl w:val="2"/>
        <w:rPr>
          <w:rFonts w:ascii="仿宋_GB2312" w:eastAsia="仿宋_GB2312"/>
          <w:b/>
          <w:color w:val="auto"/>
          <w:sz w:val="24"/>
          <w:highlight w:val="none"/>
        </w:rPr>
      </w:pPr>
      <w:bookmarkStart w:id="222" w:name="_Toc258681731"/>
      <w:r>
        <w:rPr>
          <w:rFonts w:hint="eastAsia" w:ascii="仿宋_GB2312" w:eastAsia="仿宋_GB2312"/>
          <w:b/>
          <w:color w:val="auto"/>
          <w:sz w:val="24"/>
          <w:highlight w:val="none"/>
        </w:rPr>
        <w:t>5、</w:t>
      </w:r>
      <w:bookmarkEnd w:id="222"/>
      <w:r>
        <w:rPr>
          <w:rFonts w:hint="eastAsia" w:ascii="仿宋_GB2312" w:eastAsia="仿宋_GB2312"/>
          <w:b/>
          <w:color w:val="auto"/>
          <w:sz w:val="24"/>
          <w:highlight w:val="none"/>
        </w:rPr>
        <w:t>技术资料</w:t>
      </w:r>
    </w:p>
    <w:p>
      <w:pPr>
        <w:spacing w:line="360" w:lineRule="auto"/>
        <w:ind w:firstLine="481"/>
        <w:rPr>
          <w:rFonts w:ascii="仿宋_GB2312" w:eastAsia="仿宋_GB2312"/>
          <w:color w:val="auto"/>
          <w:highlight w:val="none"/>
        </w:rPr>
      </w:pPr>
      <w:bookmarkStart w:id="223" w:name="_Toc258681733"/>
      <w:r>
        <w:rPr>
          <w:rFonts w:hint="eastAsia" w:ascii="仿宋_GB2312" w:eastAsia="仿宋_GB2312"/>
          <w:color w:val="auto"/>
          <w:sz w:val="24"/>
          <w:highlight w:val="none"/>
        </w:rPr>
        <w:t>5.1乙方应准备与服务相符的技术资料，并于合同生效后七日内送（或寄）至甲方，例如：手册、标准和服务手册等。如本条款所述资料有不完整或丢失，乙方应在收到甲方通知后3日内免费另寄（送）。</w:t>
      </w:r>
    </w:p>
    <w:bookmarkEnd w:id="223"/>
    <w:p>
      <w:pPr>
        <w:spacing w:line="360" w:lineRule="auto"/>
        <w:ind w:firstLine="480"/>
        <w:outlineLvl w:val="2"/>
        <w:rPr>
          <w:rFonts w:ascii="仿宋_GB2312" w:eastAsia="仿宋_GB2312"/>
          <w:b/>
          <w:color w:val="auto"/>
          <w:sz w:val="24"/>
          <w:highlight w:val="none"/>
        </w:rPr>
      </w:pPr>
      <w:bookmarkStart w:id="224" w:name="_Toc260247219"/>
      <w:bookmarkStart w:id="225" w:name="_Toc260246981"/>
      <w:r>
        <w:rPr>
          <w:rFonts w:hint="eastAsia" w:ascii="仿宋_GB2312" w:eastAsia="仿宋_GB2312"/>
          <w:b/>
          <w:color w:val="auto"/>
          <w:sz w:val="24"/>
          <w:highlight w:val="none"/>
        </w:rPr>
        <w:t>6、乙方人员</w:t>
      </w:r>
      <w:bookmarkEnd w:id="224"/>
      <w:bookmarkEnd w:id="225"/>
    </w:p>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    6.1乙方应委派有经验的技术人员进行克拉玛依区社区卫生服务机构采购大包装中药免煎颗粒、中草药项目相关等服务。乙方应对克拉玛依区社区卫生服务机构采购大包装中药免煎颗粒、中草药项目相关的质量负责，使其符合技术规范和有关标准的要求。</w:t>
      </w:r>
    </w:p>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    6.2如果甲方认为乙方派遣的执行本项目的有关人员不称职，将有权要求乙方更换，乙方对于甲方的此类要求应予以满足。</w:t>
      </w:r>
    </w:p>
    <w:p>
      <w:pPr>
        <w:spacing w:line="360" w:lineRule="auto"/>
        <w:ind w:left="2" w:firstLine="482" w:firstLineChars="200"/>
        <w:outlineLvl w:val="2"/>
        <w:rPr>
          <w:rFonts w:ascii="仿宋_GB2312" w:eastAsia="仿宋_GB2312"/>
          <w:b/>
          <w:color w:val="auto"/>
          <w:sz w:val="24"/>
          <w:highlight w:val="none"/>
        </w:rPr>
      </w:pPr>
      <w:bookmarkStart w:id="226" w:name="_Toc258681749"/>
      <w:r>
        <w:rPr>
          <w:rFonts w:hint="eastAsia" w:ascii="仿宋_GB2312" w:hAnsi="宋体" w:eastAsia="仿宋_GB2312"/>
          <w:b/>
          <w:color w:val="auto"/>
          <w:sz w:val="24"/>
          <w:highlight w:val="none"/>
        </w:rPr>
        <w:t>7、</w:t>
      </w:r>
      <w:r>
        <w:rPr>
          <w:rFonts w:hint="eastAsia" w:ascii="仿宋_GB2312" w:eastAsia="仿宋_GB2312"/>
          <w:b/>
          <w:color w:val="auto"/>
          <w:sz w:val="24"/>
          <w:highlight w:val="none"/>
        </w:rPr>
        <w:t>乙方履约延误和延期赔偿</w:t>
      </w:r>
      <w:bookmarkEnd w:id="226"/>
    </w:p>
    <w:p>
      <w:pPr>
        <w:spacing w:line="360" w:lineRule="auto"/>
        <w:ind w:left="2" w:firstLine="480" w:firstLineChars="200"/>
        <w:rPr>
          <w:rFonts w:ascii="仿宋_GB2312" w:eastAsia="仿宋_GB2312"/>
          <w:color w:val="auto"/>
          <w:sz w:val="24"/>
          <w:highlight w:val="none"/>
        </w:rPr>
      </w:pPr>
      <w:r>
        <w:rPr>
          <w:rFonts w:hint="eastAsia" w:ascii="仿宋_GB2312" w:eastAsia="仿宋_GB2312"/>
          <w:color w:val="auto"/>
          <w:sz w:val="24"/>
          <w:highlight w:val="none"/>
        </w:rPr>
        <w:t>7.1 如果乙方未能按合同规定的时间按期提供服务，将加收延期赔偿或终止合同。</w:t>
      </w:r>
    </w:p>
    <w:p>
      <w:pPr>
        <w:spacing w:line="360" w:lineRule="auto"/>
        <w:ind w:left="2" w:firstLine="480" w:firstLineChars="200"/>
        <w:rPr>
          <w:rFonts w:ascii="仿宋_GB2312" w:eastAsia="仿宋_GB2312"/>
          <w:color w:val="auto"/>
          <w:sz w:val="24"/>
          <w:highlight w:val="none"/>
        </w:rPr>
      </w:pPr>
      <w:r>
        <w:rPr>
          <w:rFonts w:hint="eastAsia" w:ascii="仿宋_GB2312" w:eastAsia="仿宋_GB2312"/>
          <w:color w:val="auto"/>
          <w:sz w:val="24"/>
          <w:highlight w:val="none"/>
        </w:rPr>
        <w:t>7.2在履约过程中，如果乙方可能遇到妨碍按时提供服务的情况时，应及时以书面形式将迟延的事实、可能迟延的期限和原因通知甲方。甲方在收到乙方通知后，应尽快对情况进行分析，并确定是否同意延长交货时间以及是否收取误期赔偿费。延期应通过修改合同的方式由乙方认可。如乙方在原定提供服务期限后7天未提供服务，则甲方有权终止合同。</w:t>
      </w:r>
    </w:p>
    <w:p>
      <w:pPr>
        <w:spacing w:line="360" w:lineRule="auto"/>
        <w:ind w:left="2" w:firstLine="480" w:firstLineChars="200"/>
        <w:rPr>
          <w:rFonts w:ascii="仿宋_GB2312" w:eastAsia="仿宋_GB2312"/>
          <w:color w:val="auto"/>
          <w:sz w:val="24"/>
          <w:highlight w:val="none"/>
        </w:rPr>
      </w:pPr>
      <w:r>
        <w:rPr>
          <w:rFonts w:hint="eastAsia" w:ascii="仿宋_GB2312" w:eastAsia="仿宋_GB2312"/>
          <w:color w:val="auto"/>
          <w:sz w:val="24"/>
          <w:highlight w:val="none"/>
        </w:rPr>
        <w:t>7.3 如乙方未能就合理提供服务日期达成一致意见，甲方有权将服务价降低到双方同意的水平，并由乙方赔偿由此造成的所有损失。</w:t>
      </w:r>
    </w:p>
    <w:p>
      <w:pPr>
        <w:spacing w:line="360" w:lineRule="auto"/>
        <w:ind w:firstLine="480"/>
        <w:outlineLvl w:val="2"/>
        <w:rPr>
          <w:rFonts w:ascii="仿宋_GB2312" w:eastAsia="仿宋_GB2312"/>
          <w:b/>
          <w:color w:val="auto"/>
          <w:sz w:val="24"/>
          <w:highlight w:val="none"/>
        </w:rPr>
      </w:pPr>
      <w:bookmarkStart w:id="227" w:name="_Toc258681751"/>
      <w:r>
        <w:rPr>
          <w:rFonts w:hint="eastAsia" w:ascii="仿宋_GB2312" w:eastAsia="仿宋_GB2312"/>
          <w:b/>
          <w:color w:val="auto"/>
          <w:sz w:val="24"/>
          <w:highlight w:val="none"/>
        </w:rPr>
        <w:t>8、违约责任</w:t>
      </w:r>
      <w:bookmarkEnd w:id="227"/>
      <w:bookmarkStart w:id="228" w:name="_Toc258681752"/>
    </w:p>
    <w:p>
      <w:pPr>
        <w:spacing w:line="360" w:lineRule="auto"/>
        <w:ind w:firstLine="482" w:firstLineChars="200"/>
        <w:rPr>
          <w:rFonts w:ascii="仿宋_GB2312" w:hAnsi="宋体" w:eastAsia="仿宋_GB2312"/>
          <w:color w:val="auto"/>
          <w:sz w:val="24"/>
          <w:highlight w:val="none"/>
        </w:rPr>
      </w:pPr>
      <w:r>
        <w:rPr>
          <w:rFonts w:hint="eastAsia" w:ascii="仿宋_GB2312" w:eastAsia="仿宋_GB2312"/>
          <w:b/>
          <w:color w:val="auto"/>
          <w:kern w:val="0"/>
          <w:sz w:val="24"/>
          <w:highlight w:val="none"/>
        </w:rPr>
        <w:t>8.1若乙方未按本项目采购需求承担相关工作，由此造成的责任和损失由乙方自行承担。</w:t>
      </w:r>
    </w:p>
    <w:p>
      <w:pPr>
        <w:spacing w:line="360" w:lineRule="auto"/>
        <w:ind w:firstLine="482" w:firstLineChars="200"/>
        <w:outlineLvl w:val="2"/>
        <w:rPr>
          <w:rFonts w:ascii="仿宋_GB2312" w:eastAsia="仿宋_GB2312"/>
          <w:b/>
          <w:color w:val="auto"/>
          <w:sz w:val="24"/>
          <w:highlight w:val="none"/>
        </w:rPr>
      </w:pPr>
      <w:r>
        <w:rPr>
          <w:rFonts w:hint="eastAsia" w:ascii="仿宋_GB2312" w:eastAsia="仿宋_GB2312"/>
          <w:b/>
          <w:color w:val="auto"/>
          <w:sz w:val="24"/>
          <w:highlight w:val="none"/>
        </w:rPr>
        <w:t>9、不可抗力</w:t>
      </w:r>
      <w:bookmarkEnd w:id="228"/>
    </w:p>
    <w:p>
      <w:pPr>
        <w:spacing w:line="360" w:lineRule="auto"/>
        <w:ind w:firstLine="480"/>
        <w:rPr>
          <w:rFonts w:ascii="仿宋_GB2312" w:eastAsia="仿宋_GB2312"/>
          <w:color w:val="auto"/>
          <w:sz w:val="24"/>
          <w:highlight w:val="none"/>
        </w:rPr>
      </w:pPr>
      <w:bookmarkStart w:id="229" w:name="_Toc258681753"/>
      <w:r>
        <w:rPr>
          <w:rFonts w:hint="eastAsia" w:ascii="仿宋_GB2312" w:eastAsia="仿宋_GB2312"/>
          <w:color w:val="auto"/>
          <w:sz w:val="24"/>
          <w:highlight w:val="none"/>
        </w:rPr>
        <w:t>9.1甲乙双方</w:t>
      </w:r>
      <w:r>
        <w:rPr>
          <w:rFonts w:hint="eastAsia" w:ascii="仿宋_GB2312" w:hAnsi="宋体" w:eastAsia="仿宋_GB2312"/>
          <w:color w:val="auto"/>
          <w:sz w:val="24"/>
          <w:highlight w:val="none"/>
        </w:rPr>
        <w:t>任一方由于受不可抗力事件的影响而不能履行合同时，履行合同的期限应予以延长，其延长的期限应相当于事件所影响的时间。不可抗力事件系指</w:t>
      </w:r>
      <w:r>
        <w:rPr>
          <w:rFonts w:hint="eastAsia" w:ascii="仿宋_GB2312" w:eastAsia="仿宋_GB2312"/>
          <w:color w:val="auto"/>
          <w:sz w:val="24"/>
          <w:highlight w:val="none"/>
        </w:rPr>
        <w:t>甲乙双方</w:t>
      </w:r>
      <w:r>
        <w:rPr>
          <w:rFonts w:hint="eastAsia" w:ascii="仿宋_GB2312" w:hAnsi="宋体" w:eastAsia="仿宋_GB2312"/>
          <w:color w:val="auto"/>
          <w:sz w:val="24"/>
          <w:highlight w:val="none"/>
        </w:rPr>
        <w:t>在缔结合同时所不能预见的，并且它的发生及其后果是无法避免和无法克服的事件，诸如战争、严重火灾、洪水、台风以及其他双方商定的事件。但不包括违约或疏忽。</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9.2</w:t>
      </w:r>
      <w:r>
        <w:rPr>
          <w:rFonts w:hint="eastAsia" w:ascii="仿宋_GB2312" w:eastAsia="仿宋_GB2312"/>
          <w:color w:val="auto"/>
          <w:sz w:val="24"/>
          <w:highlight w:val="none"/>
        </w:rPr>
        <w:t>在不可抗力事件发生后，受不可抗力影响的一方应</w:t>
      </w:r>
      <w:r>
        <w:rPr>
          <w:rFonts w:hint="eastAsia" w:ascii="仿宋_GB2312" w:hAnsi="宋体" w:eastAsia="仿宋_GB2312"/>
          <w:color w:val="auto"/>
          <w:sz w:val="24"/>
          <w:highlight w:val="none"/>
        </w:rPr>
        <w:t>尽快以书面形式（如电报、传真或电传）将不可抗力的情况和原因通知对方，并于事件发生后14天内将有关当局出具的证明文件用特快专递或挂号信寄给对方审阅确认。</w:t>
      </w:r>
      <w:r>
        <w:rPr>
          <w:rFonts w:hint="eastAsia" w:ascii="仿宋_GB2312" w:eastAsia="仿宋_GB2312"/>
          <w:color w:val="auto"/>
          <w:sz w:val="24"/>
          <w:highlight w:val="none"/>
        </w:rPr>
        <w:t>除对方书面另行要求外，受不可抗力影响的一方应尽实际可能继续履行合同义务，并积极寻求采取合理的方案履行未受不可抗力影响的其他合同事项。</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9.3如果不可抗力事件的影响持续45天以上，双方应通过友好协商在合理的时间内达成进一步履行合同的协议。</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9.4如果因不可抗力而导致合同实施延误或不能履行合同义务的，受不可抗力影响的一方不应承担违约责任。</w:t>
      </w:r>
    </w:p>
    <w:p>
      <w:pPr>
        <w:spacing w:line="360" w:lineRule="auto"/>
        <w:ind w:firstLine="482" w:firstLineChars="200"/>
        <w:outlineLvl w:val="2"/>
        <w:rPr>
          <w:rFonts w:ascii="仿宋_GB2312" w:eastAsia="仿宋_GB2312"/>
          <w:b/>
          <w:color w:val="auto"/>
          <w:sz w:val="24"/>
          <w:highlight w:val="none"/>
        </w:rPr>
      </w:pPr>
      <w:r>
        <w:rPr>
          <w:rFonts w:hint="eastAsia" w:ascii="仿宋_GB2312" w:eastAsia="仿宋_GB2312"/>
          <w:b/>
          <w:color w:val="auto"/>
          <w:sz w:val="24"/>
          <w:highlight w:val="none"/>
        </w:rPr>
        <w:t>10、税费</w:t>
      </w:r>
      <w:bookmarkEnd w:id="229"/>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10.1根据国家现行税法规定对与本合同有关的一切税费，包括按税法规定应由甲方承担的税费，均已包括在合同总价款之中，甲方不再与乙方另行结算税费。</w:t>
      </w:r>
    </w:p>
    <w:p>
      <w:pPr>
        <w:spacing w:line="360" w:lineRule="auto"/>
        <w:ind w:firstLine="482" w:firstLineChars="200"/>
        <w:outlineLvl w:val="2"/>
        <w:rPr>
          <w:rFonts w:ascii="仿宋_GB2312" w:eastAsia="仿宋_GB2312"/>
          <w:b/>
          <w:color w:val="auto"/>
          <w:sz w:val="24"/>
          <w:highlight w:val="none"/>
        </w:rPr>
      </w:pPr>
      <w:bookmarkStart w:id="230" w:name="_Toc258681754"/>
      <w:bookmarkStart w:id="231" w:name="_Toc243904847"/>
      <w:bookmarkStart w:id="232" w:name="_Toc243905150"/>
      <w:r>
        <w:rPr>
          <w:rFonts w:hint="eastAsia" w:ascii="仿宋_GB2312" w:eastAsia="仿宋_GB2312"/>
          <w:b/>
          <w:color w:val="auto"/>
          <w:sz w:val="24"/>
          <w:highlight w:val="none"/>
        </w:rPr>
        <w:t>11、争端的解决</w:t>
      </w:r>
      <w:bookmarkEnd w:id="230"/>
      <w:bookmarkEnd w:id="231"/>
      <w:bookmarkEnd w:id="232"/>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11.1甲乙双方应通过友好协商，解决在执行本合同过程中所发生的或与本合同有关的一切争端。当事人不愿和解、调解或者和解、调解不成，向项目所在地人民法院提出诉讼。</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11.2在双方之间的争议尚未解决之前，如甲方以书面形式坚持要求乙方按其意见行事，则乙方应按甲方的意见执行，但由此产生的一切不良后果和责任均应有乙方承担。但乙方不能因此而故意采取可能导致不良后果的行为。</w:t>
      </w:r>
    </w:p>
    <w:p>
      <w:pPr>
        <w:spacing w:line="360" w:lineRule="auto"/>
        <w:ind w:firstLine="482" w:firstLineChars="200"/>
        <w:outlineLvl w:val="2"/>
        <w:rPr>
          <w:rFonts w:ascii="仿宋_GB2312" w:eastAsia="仿宋_GB2312"/>
          <w:b/>
          <w:color w:val="auto"/>
          <w:sz w:val="24"/>
          <w:highlight w:val="none"/>
        </w:rPr>
      </w:pPr>
      <w:bookmarkStart w:id="233" w:name="_Toc258681755"/>
      <w:r>
        <w:rPr>
          <w:rFonts w:hint="eastAsia" w:ascii="仿宋_GB2312" w:eastAsia="仿宋_GB2312"/>
          <w:b/>
          <w:color w:val="auto"/>
          <w:sz w:val="24"/>
          <w:highlight w:val="none"/>
        </w:rPr>
        <w:t>12、违约终止合同</w:t>
      </w:r>
      <w:bookmarkEnd w:id="233"/>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12.1在甲方对乙方违约而采取的任何补救措施不受影响的情况下，甲方可在下列情况下向乙方发出书面通知书，提出终止部分或全部合同：</w:t>
      </w:r>
    </w:p>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    (1)乙方未能在合同规定的限期或甲方同意延长的限期内提供服务。</w:t>
      </w:r>
    </w:p>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    (2)乙方未能履行合同规定的其他任何义务。</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12.2如果甲方根据上述第13.1条的规定，终止了部分或全部合同，乙方除应退还终止的部分或全部服务费用外，还应按本合同第9.1条的规定承担的违约责任。同时，乙方仍应继续执行合同中未终止的部分。</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12.3在终止合同后，甲方有权按下面方式对乙方进行处置；</w:t>
      </w:r>
    </w:p>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    (1)赔偿设备、材料损失和因乙方违约而造成的维护管理期延期的损失；</w:t>
      </w:r>
    </w:p>
    <w:p>
      <w:pPr>
        <w:spacing w:line="360" w:lineRule="auto"/>
        <w:ind w:left="2" w:leftChars="1" w:firstLine="480" w:firstLineChars="200"/>
        <w:rPr>
          <w:rFonts w:ascii="仿宋_GB2312" w:eastAsia="仿宋_GB2312"/>
          <w:color w:val="auto"/>
          <w:sz w:val="24"/>
          <w:highlight w:val="none"/>
        </w:rPr>
      </w:pPr>
      <w:r>
        <w:rPr>
          <w:rFonts w:hint="eastAsia" w:ascii="仿宋_GB2312" w:eastAsia="仿宋_GB2312"/>
          <w:color w:val="auto"/>
          <w:sz w:val="24"/>
          <w:highlight w:val="none"/>
        </w:rPr>
        <w:t>(2)乙方退场，并向甲方赔偿因乙方违约而造成的维护管理期延期的损失，以及甲方更换新单位所发生的一切费用。</w:t>
      </w:r>
    </w:p>
    <w:p>
      <w:pPr>
        <w:spacing w:line="360" w:lineRule="auto"/>
        <w:ind w:firstLine="482" w:firstLineChars="200"/>
        <w:outlineLvl w:val="2"/>
        <w:rPr>
          <w:rFonts w:ascii="仿宋_GB2312" w:eastAsia="仿宋_GB2312"/>
          <w:b/>
          <w:color w:val="auto"/>
          <w:sz w:val="24"/>
          <w:highlight w:val="none"/>
        </w:rPr>
      </w:pPr>
      <w:bookmarkStart w:id="234" w:name="_Toc258681756"/>
      <w:r>
        <w:rPr>
          <w:rFonts w:hint="eastAsia" w:ascii="仿宋_GB2312" w:eastAsia="仿宋_GB2312"/>
          <w:b/>
          <w:color w:val="auto"/>
          <w:sz w:val="24"/>
          <w:highlight w:val="none"/>
        </w:rPr>
        <w:t>13、破产终止合同</w:t>
      </w:r>
      <w:bookmarkEnd w:id="234"/>
    </w:p>
    <w:p>
      <w:pPr>
        <w:spacing w:line="360" w:lineRule="auto"/>
        <w:ind w:left="2" w:firstLine="480" w:firstLineChars="200"/>
        <w:rPr>
          <w:rFonts w:ascii="仿宋_GB2312" w:eastAsia="仿宋_GB2312"/>
          <w:color w:val="auto"/>
          <w:sz w:val="24"/>
          <w:highlight w:val="none"/>
        </w:rPr>
      </w:pPr>
      <w:r>
        <w:rPr>
          <w:rFonts w:hint="eastAsia" w:ascii="仿宋_GB2312" w:eastAsia="仿宋_GB2312"/>
          <w:color w:val="auto"/>
          <w:sz w:val="24"/>
          <w:highlight w:val="none"/>
        </w:rPr>
        <w:t>13.1当乙方破产或丧失清偿能力，甲方可在任何时候以书面形式通知乙方终止合同而不给乙方补偿。该终止合同的行为将不损害或影响甲方在本合同项下已经或将要采取的任何其他行动或补救措施的权力。</w:t>
      </w:r>
    </w:p>
    <w:p>
      <w:pPr>
        <w:spacing w:line="360" w:lineRule="auto"/>
        <w:ind w:firstLine="482" w:firstLineChars="200"/>
        <w:outlineLvl w:val="2"/>
        <w:rPr>
          <w:rFonts w:ascii="仿宋_GB2312" w:eastAsia="仿宋_GB2312"/>
          <w:b/>
          <w:color w:val="auto"/>
          <w:sz w:val="24"/>
          <w:highlight w:val="none"/>
        </w:rPr>
      </w:pPr>
      <w:bookmarkStart w:id="235" w:name="_Toc258681758"/>
      <w:r>
        <w:rPr>
          <w:rFonts w:hint="eastAsia" w:ascii="仿宋_GB2312" w:eastAsia="仿宋_GB2312"/>
          <w:b/>
          <w:color w:val="auto"/>
          <w:sz w:val="24"/>
          <w:highlight w:val="none"/>
        </w:rPr>
        <w:t>14、合同修改</w:t>
      </w:r>
      <w:bookmarkEnd w:id="235"/>
    </w:p>
    <w:p>
      <w:pPr>
        <w:spacing w:line="360" w:lineRule="auto"/>
        <w:ind w:firstLine="436" w:firstLineChars="182"/>
        <w:rPr>
          <w:rFonts w:ascii="仿宋_GB2312" w:eastAsia="仿宋_GB2312"/>
          <w:color w:val="auto"/>
          <w:sz w:val="24"/>
          <w:highlight w:val="none"/>
        </w:rPr>
      </w:pPr>
      <w:r>
        <w:rPr>
          <w:rFonts w:hint="eastAsia" w:ascii="仿宋_GB2312" w:eastAsia="仿宋_GB2312"/>
          <w:color w:val="auto"/>
          <w:sz w:val="24"/>
          <w:highlight w:val="none"/>
        </w:rPr>
        <w:t>14.1欲对合同条款作出任何改动，均须由甲乙双方签署书面的合同修改书。</w:t>
      </w:r>
    </w:p>
    <w:p>
      <w:pPr>
        <w:spacing w:line="360" w:lineRule="auto"/>
        <w:ind w:left="479" w:leftChars="228"/>
        <w:rPr>
          <w:rFonts w:ascii="仿宋_GB2312" w:eastAsia="仿宋_GB2312"/>
          <w:color w:val="auto"/>
          <w:sz w:val="24"/>
          <w:highlight w:val="none"/>
        </w:rPr>
      </w:pPr>
      <w:r>
        <w:rPr>
          <w:rFonts w:hint="eastAsia" w:ascii="仿宋_GB2312" w:eastAsia="仿宋_GB2312"/>
          <w:color w:val="auto"/>
          <w:sz w:val="24"/>
          <w:highlight w:val="none"/>
        </w:rPr>
        <w:t>14.2 乙方的书面承诺被甲方接受后视作合同附件，与合同具有同等法律效力</w:t>
      </w:r>
      <w:bookmarkStart w:id="236" w:name="_Toc258681759"/>
      <w:r>
        <w:rPr>
          <w:rFonts w:hint="eastAsia" w:ascii="仿宋_GB2312" w:eastAsia="仿宋_GB2312"/>
          <w:color w:val="auto"/>
          <w:sz w:val="24"/>
          <w:highlight w:val="none"/>
        </w:rPr>
        <w:t>。</w:t>
      </w:r>
    </w:p>
    <w:p>
      <w:pPr>
        <w:spacing w:line="360" w:lineRule="auto"/>
        <w:ind w:left="479" w:leftChars="228"/>
        <w:rPr>
          <w:rFonts w:ascii="仿宋_GB2312" w:eastAsia="仿宋_GB2312"/>
          <w:color w:val="auto"/>
          <w:sz w:val="24"/>
          <w:highlight w:val="none"/>
        </w:rPr>
      </w:pPr>
      <w:r>
        <w:rPr>
          <w:rFonts w:hint="eastAsia" w:ascii="仿宋_GB2312" w:eastAsia="仿宋_GB2312"/>
          <w:b/>
          <w:color w:val="auto"/>
          <w:sz w:val="24"/>
          <w:highlight w:val="none"/>
        </w:rPr>
        <w:t>15、转让和分包</w:t>
      </w:r>
      <w:bookmarkEnd w:id="236"/>
    </w:p>
    <w:p>
      <w:pPr>
        <w:spacing w:line="360" w:lineRule="auto"/>
        <w:ind w:firstLine="480" w:firstLineChars="200"/>
        <w:outlineLvl w:val="2"/>
        <w:rPr>
          <w:rFonts w:ascii="仿宋_GB2312" w:eastAsia="仿宋_GB2312"/>
          <w:color w:val="auto"/>
          <w:sz w:val="24"/>
          <w:highlight w:val="none"/>
        </w:rPr>
      </w:pPr>
      <w:bookmarkStart w:id="237" w:name="_Toc258681760"/>
      <w:r>
        <w:rPr>
          <w:rFonts w:hint="eastAsia" w:ascii="仿宋_GB2312" w:eastAsia="仿宋_GB2312"/>
          <w:color w:val="auto"/>
          <w:sz w:val="24"/>
          <w:highlight w:val="none"/>
        </w:rPr>
        <w:t>15.1本项目不允许以任何形式的转让和分包。</w:t>
      </w:r>
    </w:p>
    <w:bookmarkEnd w:id="237"/>
    <w:p>
      <w:pPr>
        <w:spacing w:line="360" w:lineRule="auto"/>
        <w:ind w:firstLine="482" w:firstLineChars="200"/>
        <w:outlineLvl w:val="2"/>
        <w:rPr>
          <w:rFonts w:ascii="仿宋_GB2312" w:eastAsia="仿宋_GB2312"/>
          <w:b/>
          <w:color w:val="auto"/>
          <w:sz w:val="24"/>
          <w:highlight w:val="none"/>
        </w:rPr>
      </w:pPr>
      <w:r>
        <w:rPr>
          <w:rFonts w:hint="eastAsia" w:ascii="仿宋_GB2312" w:eastAsia="仿宋_GB2312"/>
          <w:b/>
          <w:color w:val="auto"/>
          <w:sz w:val="24"/>
          <w:highlight w:val="none"/>
        </w:rPr>
        <w:t>16、适用法律</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16.1本合同的适用法律为中华人民共和国的现行法律和地方法规。</w:t>
      </w:r>
    </w:p>
    <w:p>
      <w:pPr>
        <w:spacing w:line="360" w:lineRule="auto"/>
        <w:ind w:firstLine="482" w:firstLineChars="200"/>
        <w:outlineLvl w:val="2"/>
        <w:rPr>
          <w:rFonts w:ascii="仿宋_GB2312" w:eastAsia="仿宋_GB2312"/>
          <w:b/>
          <w:color w:val="auto"/>
          <w:sz w:val="24"/>
          <w:highlight w:val="none"/>
        </w:rPr>
      </w:pPr>
      <w:bookmarkStart w:id="238" w:name="_Toc258681761"/>
      <w:bookmarkStart w:id="239" w:name="_Toc243905151"/>
      <w:bookmarkStart w:id="240" w:name="_Toc243904848"/>
      <w:r>
        <w:rPr>
          <w:rFonts w:hint="eastAsia" w:ascii="仿宋_GB2312" w:eastAsia="仿宋_GB2312"/>
          <w:b/>
          <w:color w:val="auto"/>
          <w:sz w:val="24"/>
          <w:highlight w:val="none"/>
        </w:rPr>
        <w:t>17、适用语言和计量单位</w:t>
      </w:r>
      <w:bookmarkEnd w:id="238"/>
      <w:bookmarkEnd w:id="239"/>
      <w:bookmarkEnd w:id="240"/>
    </w:p>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    17.1本合同的适用语言为中文，所有与本合同有关的来往函件、通知及其他文件均应使用中文。</w:t>
      </w:r>
    </w:p>
    <w:p>
      <w:pPr>
        <w:spacing w:line="360" w:lineRule="auto"/>
        <w:ind w:firstLine="120" w:firstLineChars="50"/>
        <w:rPr>
          <w:rFonts w:ascii="仿宋_GB2312" w:eastAsia="仿宋_GB2312"/>
          <w:color w:val="auto"/>
          <w:sz w:val="24"/>
          <w:highlight w:val="none"/>
        </w:rPr>
      </w:pPr>
      <w:r>
        <w:rPr>
          <w:rFonts w:hint="eastAsia" w:ascii="仿宋_GB2312" w:eastAsia="仿宋_GB2312"/>
          <w:color w:val="auto"/>
          <w:sz w:val="24"/>
          <w:highlight w:val="none"/>
        </w:rPr>
        <w:t xml:space="preserve">   17.2乙方可以提交用其他语言(原文)打印的资料，但必须翻译成中文，当原文和译文(中文)之间存有差异和/或矛盾时，以中文为准。</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17.3除“项目采购需求”另有规定外，计量单位应使用国家标准规定的法定计量单位。</w:t>
      </w:r>
    </w:p>
    <w:p>
      <w:pPr>
        <w:spacing w:line="360" w:lineRule="auto"/>
        <w:ind w:firstLine="482" w:firstLineChars="200"/>
        <w:outlineLvl w:val="2"/>
        <w:rPr>
          <w:rFonts w:ascii="仿宋_GB2312" w:eastAsia="仿宋_GB2312"/>
          <w:b/>
          <w:color w:val="auto"/>
          <w:sz w:val="24"/>
          <w:highlight w:val="none"/>
        </w:rPr>
      </w:pPr>
      <w:bookmarkStart w:id="241" w:name="_Toc258681763"/>
      <w:r>
        <w:rPr>
          <w:rFonts w:hint="eastAsia" w:ascii="仿宋_GB2312" w:eastAsia="仿宋_GB2312"/>
          <w:b/>
          <w:color w:val="auto"/>
          <w:sz w:val="24"/>
          <w:highlight w:val="none"/>
        </w:rPr>
        <w:t>18、通知</w:t>
      </w:r>
      <w:bookmarkEnd w:id="241"/>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18.1本合同一方给另一方的通知均应以书面或电报、电传或传真的形式发送，而另一方应以书面形式确认并送到对方明确的地址。</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18.2通知以送到日期或通知书的生效日期为生效日期，两者中以晚的一个日期为准。</w:t>
      </w:r>
    </w:p>
    <w:p>
      <w:pPr>
        <w:spacing w:line="360" w:lineRule="auto"/>
        <w:ind w:firstLine="482" w:firstLineChars="200"/>
        <w:outlineLvl w:val="2"/>
        <w:rPr>
          <w:rFonts w:ascii="仿宋_GB2312" w:eastAsia="仿宋_GB2312"/>
          <w:b/>
          <w:color w:val="auto"/>
          <w:sz w:val="24"/>
          <w:highlight w:val="none"/>
        </w:rPr>
      </w:pPr>
      <w:bookmarkStart w:id="242" w:name="_Toc258681764"/>
      <w:r>
        <w:rPr>
          <w:rFonts w:hint="eastAsia" w:ascii="仿宋_GB2312" w:eastAsia="仿宋_GB2312"/>
          <w:b/>
          <w:color w:val="auto"/>
          <w:sz w:val="24"/>
          <w:highlight w:val="none"/>
        </w:rPr>
        <w:t>19、合同文件及资料的使用</w:t>
      </w:r>
      <w:bookmarkEnd w:id="242"/>
    </w:p>
    <w:p>
      <w:pPr>
        <w:spacing w:line="360" w:lineRule="auto"/>
        <w:ind w:firstLine="480" w:firstLineChars="200"/>
        <w:rPr>
          <w:rFonts w:ascii="仿宋_GB2312" w:eastAsia="仿宋_GB2312"/>
          <w:color w:val="auto"/>
          <w:highlight w:val="none"/>
        </w:rPr>
      </w:pPr>
      <w:r>
        <w:rPr>
          <w:rFonts w:hint="eastAsia" w:ascii="仿宋_GB2312" w:eastAsia="仿宋_GB2312"/>
          <w:color w:val="auto"/>
          <w:sz w:val="24"/>
          <w:highlight w:val="none"/>
        </w:rPr>
        <w:t>19.1除了乙方执行合同人员外，在未经甲方同意的情况下，乙方不得将合同、合同中规定、规格、计划、或乙方为上述内容向甲方提供的资料透露给任何人。乙方须在对外保密的前提下，对其工作人员提供有关情况，所提供情况仅限于执行合同必不可少的范围内。</w:t>
      </w:r>
    </w:p>
    <w:p>
      <w:pPr>
        <w:spacing w:line="360" w:lineRule="auto"/>
        <w:ind w:firstLine="480" w:firstLineChars="200"/>
        <w:rPr>
          <w:rFonts w:ascii="仿宋_GB2312" w:eastAsia="仿宋_GB2312"/>
          <w:color w:val="auto"/>
          <w:highlight w:val="none"/>
        </w:rPr>
      </w:pPr>
      <w:r>
        <w:rPr>
          <w:rFonts w:hint="eastAsia" w:ascii="仿宋_GB2312" w:eastAsia="仿宋_GB2312"/>
          <w:color w:val="auto"/>
          <w:sz w:val="24"/>
          <w:highlight w:val="none"/>
        </w:rPr>
        <w:t>19.2除非执行合同需要，在事先未得到甲方书面同意的情况下，乙方不得使用第20.1款所列的任何文件和资料。</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19.3除合同本身以外列明的所有资料始终为甲方财产，若甲方要求，乙方应于其合同义务履行完毕后将这些资料（包括所有副本）退还甲方。</w:t>
      </w:r>
    </w:p>
    <w:p>
      <w:pPr>
        <w:spacing w:line="360" w:lineRule="auto"/>
        <w:ind w:firstLine="482" w:firstLineChars="200"/>
        <w:outlineLvl w:val="2"/>
        <w:rPr>
          <w:rFonts w:ascii="仿宋_GB2312" w:eastAsia="仿宋_GB2312"/>
          <w:b/>
          <w:color w:val="auto"/>
          <w:sz w:val="24"/>
          <w:highlight w:val="none"/>
        </w:rPr>
      </w:pPr>
      <w:bookmarkStart w:id="243" w:name="_Toc258681765"/>
      <w:r>
        <w:rPr>
          <w:rFonts w:hint="eastAsia" w:ascii="仿宋_GB2312" w:eastAsia="仿宋_GB2312"/>
          <w:b/>
          <w:color w:val="auto"/>
          <w:sz w:val="24"/>
          <w:highlight w:val="none"/>
        </w:rPr>
        <w:t>20、合同生效及其它</w:t>
      </w:r>
      <w:bookmarkEnd w:id="243"/>
    </w:p>
    <w:p>
      <w:pPr>
        <w:spacing w:line="360" w:lineRule="auto"/>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20.1</w:t>
      </w:r>
      <w:r>
        <w:rPr>
          <w:rFonts w:hint="eastAsia" w:ascii="仿宋_GB2312" w:hAnsi="宋体" w:eastAsia="仿宋_GB2312"/>
          <w:color w:val="auto"/>
          <w:sz w:val="24"/>
          <w:highlight w:val="none"/>
        </w:rPr>
        <w:t>合同正本一式贰份，</w:t>
      </w:r>
      <w:r>
        <w:rPr>
          <w:rFonts w:hint="eastAsia" w:ascii="仿宋_GB2312" w:eastAsia="仿宋_GB2312"/>
          <w:color w:val="auto"/>
          <w:sz w:val="24"/>
          <w:highlight w:val="none"/>
        </w:rPr>
        <w:t>甲乙双方</w:t>
      </w:r>
      <w:r>
        <w:rPr>
          <w:rFonts w:hint="eastAsia" w:ascii="仿宋_GB2312" w:hAnsi="宋体" w:eastAsia="仿宋_GB2312"/>
          <w:color w:val="auto"/>
          <w:sz w:val="24"/>
          <w:highlight w:val="none"/>
        </w:rPr>
        <w:t>各执壹份；副本一式陆份，以满足</w:t>
      </w:r>
      <w:r>
        <w:rPr>
          <w:rFonts w:hint="eastAsia" w:ascii="仿宋_GB2312" w:eastAsia="仿宋_GB2312"/>
          <w:color w:val="auto"/>
          <w:sz w:val="24"/>
          <w:highlight w:val="none"/>
        </w:rPr>
        <w:t>甲乙双方</w:t>
      </w:r>
      <w:r>
        <w:rPr>
          <w:rFonts w:hint="eastAsia" w:ascii="仿宋_GB2312" w:hAnsi="宋体" w:eastAsia="仿宋_GB2312"/>
          <w:color w:val="auto"/>
          <w:sz w:val="24"/>
          <w:highlight w:val="none"/>
        </w:rPr>
        <w:t>及相关备案部门的需求。</w:t>
      </w:r>
      <w:r>
        <w:rPr>
          <w:rFonts w:hint="eastAsia" w:ascii="仿宋_GB2312" w:eastAsia="仿宋_GB2312"/>
          <w:color w:val="auto"/>
          <w:sz w:val="24"/>
          <w:highlight w:val="none"/>
        </w:rPr>
        <w:t>本合同经双方法定代表人或其授权的委托代理人签署并加盖法人公章后生效。</w:t>
      </w:r>
    </w:p>
    <w:bookmarkEnd w:id="204"/>
    <w:bookmarkEnd w:id="205"/>
    <w:bookmarkEnd w:id="206"/>
    <w:bookmarkEnd w:id="207"/>
    <w:bookmarkEnd w:id="208"/>
    <w:bookmarkEnd w:id="209"/>
    <w:bookmarkEnd w:id="210"/>
    <w:bookmarkEnd w:id="211"/>
    <w:bookmarkEnd w:id="212"/>
    <w:bookmarkEnd w:id="213"/>
    <w:bookmarkEnd w:id="214"/>
    <w:p>
      <w:pPr>
        <w:rPr>
          <w:color w:val="auto"/>
          <w:highlight w:val="none"/>
        </w:rPr>
      </w:pPr>
    </w:p>
    <w:p>
      <w:pPr>
        <w:spacing w:line="440" w:lineRule="exact"/>
        <w:jc w:val="center"/>
        <w:rPr>
          <w:rFonts w:ascii="仿宋_GB2312" w:eastAsia="仿宋_GB2312"/>
          <w:b/>
          <w:color w:val="auto"/>
          <w:sz w:val="28"/>
          <w:szCs w:val="28"/>
          <w:highlight w:val="none"/>
        </w:rPr>
      </w:pPr>
    </w:p>
    <w:p>
      <w:pPr>
        <w:spacing w:line="440" w:lineRule="exact"/>
        <w:jc w:val="center"/>
        <w:rPr>
          <w:rFonts w:ascii="仿宋_GB2312" w:eastAsia="仿宋_GB2312"/>
          <w:b/>
          <w:color w:val="auto"/>
          <w:sz w:val="28"/>
          <w:szCs w:val="28"/>
          <w:highlight w:val="none"/>
        </w:rPr>
      </w:pPr>
    </w:p>
    <w:p>
      <w:pPr>
        <w:spacing w:line="440" w:lineRule="exact"/>
        <w:jc w:val="center"/>
        <w:rPr>
          <w:rFonts w:ascii="仿宋_GB2312" w:eastAsia="仿宋_GB2312"/>
          <w:b/>
          <w:bCs/>
          <w:color w:val="auto"/>
          <w:sz w:val="28"/>
          <w:szCs w:val="28"/>
          <w:highlight w:val="none"/>
        </w:rPr>
      </w:pPr>
      <w:r>
        <w:rPr>
          <w:rFonts w:hint="eastAsia" w:ascii="仿宋_GB2312" w:eastAsia="仿宋_GB2312"/>
          <w:b/>
          <w:color w:val="auto"/>
          <w:sz w:val="28"/>
          <w:szCs w:val="28"/>
          <w:highlight w:val="none"/>
        </w:rPr>
        <w:t xml:space="preserve">第五章 </w:t>
      </w:r>
      <w:r>
        <w:rPr>
          <w:rFonts w:hint="eastAsia" w:ascii="仿宋_GB2312" w:eastAsia="仿宋_GB2312"/>
          <w:b/>
          <w:bCs/>
          <w:color w:val="auto"/>
          <w:sz w:val="28"/>
          <w:szCs w:val="28"/>
          <w:highlight w:val="none"/>
        </w:rPr>
        <w:t xml:space="preserve"> 响应文件格式</w:t>
      </w:r>
    </w:p>
    <w:p>
      <w:pPr>
        <w:spacing w:line="360" w:lineRule="auto"/>
        <w:ind w:firstLine="573"/>
        <w:jc w:val="left"/>
        <w:rPr>
          <w:rFonts w:ascii="仿宋_GB2312" w:hAnsi="华文中宋" w:eastAsia="仿宋_GB2312"/>
          <w:color w:val="auto"/>
          <w:sz w:val="24"/>
          <w:highlight w:val="none"/>
        </w:rPr>
      </w:pPr>
    </w:p>
    <w:p>
      <w:pPr>
        <w:spacing w:line="360" w:lineRule="auto"/>
        <w:ind w:firstLine="573"/>
        <w:jc w:val="left"/>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响应文件封面</w:t>
      </w:r>
    </w:p>
    <w:p>
      <w:pPr>
        <w:spacing w:line="360" w:lineRule="auto"/>
        <w:ind w:firstLine="573"/>
        <w:jc w:val="left"/>
        <w:rPr>
          <w:rFonts w:ascii="仿宋_GB2312" w:hAnsi="华文中宋" w:eastAsia="仿宋_GB2312"/>
          <w:color w:val="auto"/>
          <w:sz w:val="24"/>
          <w:highlight w:val="none"/>
        </w:rPr>
      </w:pPr>
      <w:r>
        <w:rPr>
          <w:rFonts w:hint="eastAsia" w:ascii="仿宋_GB2312" w:hAnsi="华文中宋" w:eastAsia="仿宋_GB2312"/>
          <w:color w:val="auto"/>
          <w:sz w:val="24"/>
          <w:highlight w:val="none"/>
        </w:rPr>
        <w:t xml:space="preserve">格式1   </w:t>
      </w:r>
      <w:r>
        <w:rPr>
          <w:rFonts w:hint="eastAsia" w:ascii="仿宋_GB2312" w:hAnsi="华文中宋" w:eastAsia="仿宋_GB2312"/>
          <w:color w:val="auto"/>
          <w:sz w:val="24"/>
          <w:highlight w:val="none"/>
          <w:lang w:val="en-US" w:eastAsia="zh-CN"/>
        </w:rPr>
        <w:t xml:space="preserve"> </w:t>
      </w:r>
      <w:r>
        <w:rPr>
          <w:rFonts w:hint="eastAsia" w:ascii="仿宋_GB2312" w:hAnsi="华文中宋" w:eastAsia="仿宋_GB2312"/>
          <w:color w:val="auto"/>
          <w:sz w:val="24"/>
          <w:highlight w:val="none"/>
        </w:rPr>
        <w:t>响应函</w:t>
      </w:r>
    </w:p>
    <w:p>
      <w:pPr>
        <w:spacing w:line="360" w:lineRule="auto"/>
        <w:ind w:firstLine="638" w:firstLineChars="266"/>
        <w:jc w:val="left"/>
        <w:rPr>
          <w:rFonts w:ascii="仿宋_GB2312" w:eastAsia="仿宋_GB2312"/>
          <w:bCs/>
          <w:color w:val="auto"/>
          <w:sz w:val="24"/>
          <w:highlight w:val="none"/>
        </w:rPr>
      </w:pPr>
      <w:r>
        <w:rPr>
          <w:rFonts w:hint="eastAsia" w:ascii="仿宋_GB2312" w:eastAsia="仿宋_GB2312"/>
          <w:bCs/>
          <w:color w:val="auto"/>
          <w:sz w:val="24"/>
          <w:highlight w:val="none"/>
        </w:rPr>
        <w:t>格式2   中小企业声明函</w:t>
      </w:r>
    </w:p>
    <w:p>
      <w:pPr>
        <w:spacing w:line="360" w:lineRule="auto"/>
        <w:ind w:firstLine="638" w:firstLineChars="266"/>
        <w:jc w:val="left"/>
        <w:rPr>
          <w:rFonts w:ascii="仿宋_GB2312" w:eastAsia="仿宋_GB2312"/>
          <w:bCs/>
          <w:color w:val="auto"/>
          <w:sz w:val="36"/>
          <w:szCs w:val="36"/>
          <w:highlight w:val="none"/>
        </w:rPr>
      </w:pPr>
      <w:r>
        <w:rPr>
          <w:rFonts w:hint="eastAsia" w:ascii="仿宋_GB2312" w:eastAsia="仿宋_GB2312"/>
          <w:bCs/>
          <w:color w:val="auto"/>
          <w:sz w:val="24"/>
          <w:highlight w:val="none"/>
        </w:rPr>
        <w:t>格式3</w:t>
      </w:r>
      <w:r>
        <w:rPr>
          <w:rFonts w:hint="eastAsia" w:ascii="仿宋_GB2312" w:eastAsia="仿宋_GB2312"/>
          <w:bCs/>
          <w:color w:val="auto"/>
          <w:sz w:val="24"/>
          <w:highlight w:val="none"/>
          <w:lang w:val="en-US" w:eastAsia="zh-CN"/>
        </w:rPr>
        <w:t xml:space="preserve">   </w:t>
      </w:r>
      <w:r>
        <w:rPr>
          <w:rFonts w:hint="eastAsia" w:ascii="仿宋_GB2312" w:hAnsi="Courier New" w:eastAsia="仿宋_GB2312"/>
          <w:bCs/>
          <w:color w:val="auto"/>
          <w:sz w:val="24"/>
          <w:highlight w:val="none"/>
        </w:rPr>
        <w:t>商务报价一览表（首次）</w:t>
      </w:r>
    </w:p>
    <w:p>
      <w:pPr>
        <w:spacing w:line="360" w:lineRule="auto"/>
        <w:ind w:firstLine="573"/>
        <w:jc w:val="left"/>
        <w:rPr>
          <w:rFonts w:ascii="仿宋_GB2312" w:hAnsi="宋体" w:eastAsia="仿宋_GB2312"/>
          <w:bCs/>
          <w:color w:val="auto"/>
          <w:sz w:val="28"/>
          <w:szCs w:val="28"/>
          <w:highlight w:val="none"/>
        </w:rPr>
      </w:pPr>
      <w:r>
        <w:rPr>
          <w:rFonts w:hint="eastAsia" w:ascii="仿宋_GB2312" w:eastAsia="仿宋_GB2312"/>
          <w:bCs/>
          <w:color w:val="auto"/>
          <w:sz w:val="24"/>
          <w:highlight w:val="none"/>
        </w:rPr>
        <w:t xml:space="preserve">格式4   </w:t>
      </w:r>
      <w:r>
        <w:rPr>
          <w:rFonts w:hint="eastAsia" w:ascii="仿宋_GB2312" w:eastAsia="仿宋_GB2312"/>
          <w:bCs/>
          <w:color w:val="auto"/>
          <w:sz w:val="24"/>
          <w:highlight w:val="none"/>
          <w:lang w:val="en-US" w:eastAsia="zh-CN"/>
        </w:rPr>
        <w:t xml:space="preserve"> </w:t>
      </w:r>
      <w:r>
        <w:rPr>
          <w:rFonts w:hint="eastAsia" w:ascii="仿宋_GB2312" w:eastAsia="仿宋_GB2312"/>
          <w:bCs/>
          <w:color w:val="auto"/>
          <w:sz w:val="24"/>
          <w:highlight w:val="none"/>
        </w:rPr>
        <w:t>法定代表人资格证明书</w:t>
      </w:r>
    </w:p>
    <w:p>
      <w:pPr>
        <w:tabs>
          <w:tab w:val="left" w:pos="360"/>
          <w:tab w:val="left" w:pos="1800"/>
        </w:tabs>
        <w:spacing w:line="360" w:lineRule="auto"/>
        <w:ind w:firstLine="600" w:firstLineChars="250"/>
        <w:jc w:val="left"/>
        <w:rPr>
          <w:rFonts w:ascii="仿宋_GB2312" w:eastAsia="仿宋_GB2312"/>
          <w:bCs/>
          <w:color w:val="auto"/>
          <w:sz w:val="24"/>
          <w:highlight w:val="none"/>
        </w:rPr>
      </w:pPr>
      <w:r>
        <w:rPr>
          <w:rFonts w:hint="eastAsia" w:ascii="仿宋_GB2312" w:eastAsia="仿宋_GB2312"/>
          <w:bCs/>
          <w:color w:val="auto"/>
          <w:sz w:val="24"/>
          <w:highlight w:val="none"/>
        </w:rPr>
        <w:t>格式5   法定代表人授权书</w:t>
      </w:r>
    </w:p>
    <w:p>
      <w:pPr>
        <w:spacing w:line="360" w:lineRule="auto"/>
        <w:ind w:firstLine="638" w:firstLineChars="266"/>
        <w:jc w:val="left"/>
        <w:rPr>
          <w:rFonts w:ascii="仿宋_GB2312" w:eastAsia="仿宋_GB2312"/>
          <w:color w:val="auto"/>
          <w:sz w:val="24"/>
          <w:highlight w:val="none"/>
        </w:rPr>
      </w:pPr>
      <w:r>
        <w:rPr>
          <w:rFonts w:hint="eastAsia" w:ascii="仿宋_GB2312" w:eastAsia="仿宋_GB2312"/>
          <w:bCs/>
          <w:color w:val="auto"/>
          <w:sz w:val="24"/>
          <w:highlight w:val="none"/>
        </w:rPr>
        <w:t>格式6</w:t>
      </w:r>
      <w:r>
        <w:rPr>
          <w:rFonts w:hint="eastAsia" w:ascii="仿宋_GB2312" w:eastAsia="仿宋_GB2312"/>
          <w:bCs/>
          <w:color w:val="auto"/>
          <w:sz w:val="24"/>
          <w:highlight w:val="none"/>
          <w:lang w:val="en-US" w:eastAsia="zh-CN"/>
        </w:rPr>
        <w:t xml:space="preserve">   </w:t>
      </w:r>
      <w:r>
        <w:rPr>
          <w:rFonts w:hint="eastAsia" w:ascii="仿宋_GB2312" w:eastAsia="仿宋_GB2312"/>
          <w:color w:val="auto"/>
          <w:sz w:val="24"/>
          <w:highlight w:val="none"/>
        </w:rPr>
        <w:t>供应商资格声明</w:t>
      </w:r>
    </w:p>
    <w:p>
      <w:pPr>
        <w:tabs>
          <w:tab w:val="left" w:pos="360"/>
          <w:tab w:val="left" w:pos="1800"/>
        </w:tabs>
        <w:spacing w:line="360" w:lineRule="auto"/>
        <w:ind w:firstLine="600" w:firstLineChars="250"/>
        <w:jc w:val="left"/>
        <w:rPr>
          <w:rFonts w:ascii="仿宋_GB2312" w:eastAsia="仿宋_GB2312"/>
          <w:color w:val="auto"/>
          <w:sz w:val="24"/>
          <w:highlight w:val="none"/>
        </w:rPr>
      </w:pPr>
      <w:r>
        <w:rPr>
          <w:rFonts w:hint="eastAsia" w:ascii="仿宋_GB2312" w:eastAsia="仿宋_GB2312"/>
          <w:bCs/>
          <w:color w:val="auto"/>
          <w:sz w:val="24"/>
          <w:highlight w:val="none"/>
        </w:rPr>
        <w:t>格式7</w:t>
      </w:r>
      <w:r>
        <w:rPr>
          <w:rFonts w:hint="eastAsia" w:ascii="仿宋_GB2312" w:eastAsia="仿宋_GB2312"/>
          <w:bCs/>
          <w:color w:val="auto"/>
          <w:sz w:val="24"/>
          <w:highlight w:val="none"/>
          <w:lang w:val="en-US" w:eastAsia="zh-CN"/>
        </w:rPr>
        <w:t xml:space="preserve">   </w:t>
      </w:r>
      <w:r>
        <w:rPr>
          <w:rFonts w:hint="eastAsia" w:ascii="仿宋_GB2312" w:eastAsia="仿宋_GB2312"/>
          <w:color w:val="auto"/>
          <w:sz w:val="24"/>
          <w:highlight w:val="none"/>
        </w:rPr>
        <w:t>项目主要管理人员表</w:t>
      </w:r>
    </w:p>
    <w:p>
      <w:pPr>
        <w:spacing w:line="360" w:lineRule="auto"/>
        <w:ind w:firstLine="573"/>
        <w:jc w:val="left"/>
        <w:rPr>
          <w:rFonts w:ascii="仿宋_GB2312" w:eastAsia="仿宋_GB2312"/>
          <w:bCs/>
          <w:color w:val="auto"/>
          <w:sz w:val="24"/>
          <w:highlight w:val="none"/>
        </w:rPr>
      </w:pPr>
      <w:r>
        <w:rPr>
          <w:rFonts w:hint="eastAsia" w:ascii="仿宋_GB2312" w:eastAsia="仿宋_GB2312"/>
          <w:bCs/>
          <w:color w:val="auto"/>
          <w:sz w:val="24"/>
          <w:highlight w:val="none"/>
        </w:rPr>
        <w:t>格式8</w:t>
      </w:r>
      <w:r>
        <w:rPr>
          <w:rFonts w:hint="eastAsia" w:ascii="仿宋_GB2312" w:eastAsia="仿宋_GB2312"/>
          <w:bCs/>
          <w:color w:val="auto"/>
          <w:sz w:val="24"/>
          <w:highlight w:val="none"/>
          <w:lang w:val="en-US" w:eastAsia="zh-CN"/>
        </w:rPr>
        <w:t xml:space="preserve">    </w:t>
      </w:r>
      <w:r>
        <w:rPr>
          <w:rFonts w:hint="eastAsia" w:ascii="仿宋_GB2312" w:eastAsia="仿宋_GB2312"/>
          <w:color w:val="auto"/>
          <w:sz w:val="24"/>
          <w:highlight w:val="none"/>
        </w:rPr>
        <w:t>医用耗材、器械、医用</w:t>
      </w:r>
      <w:r>
        <w:rPr>
          <w:rFonts w:hint="eastAsia" w:ascii="仿宋_GB2312" w:hAnsi="宋体" w:eastAsia="仿宋_GB2312"/>
          <w:color w:val="auto"/>
          <w:sz w:val="24"/>
          <w:highlight w:val="none"/>
        </w:rPr>
        <w:t>设备、仪器一览表</w:t>
      </w:r>
    </w:p>
    <w:p>
      <w:pPr>
        <w:spacing w:line="360" w:lineRule="auto"/>
        <w:ind w:firstLine="573"/>
        <w:jc w:val="left"/>
        <w:rPr>
          <w:rFonts w:ascii="仿宋_GB2312" w:eastAsia="仿宋_GB2312"/>
          <w:color w:val="auto"/>
          <w:sz w:val="24"/>
          <w:highlight w:val="none"/>
        </w:rPr>
      </w:pPr>
      <w:r>
        <w:rPr>
          <w:rFonts w:hint="eastAsia" w:ascii="仿宋_GB2312" w:eastAsia="仿宋_GB2312"/>
          <w:bCs/>
          <w:color w:val="auto"/>
          <w:sz w:val="24"/>
          <w:highlight w:val="none"/>
        </w:rPr>
        <w:t>格式9</w:t>
      </w:r>
      <w:r>
        <w:rPr>
          <w:rFonts w:hint="eastAsia" w:ascii="仿宋_GB2312" w:eastAsia="仿宋_GB2312"/>
          <w:bCs/>
          <w:color w:val="auto"/>
          <w:sz w:val="24"/>
          <w:highlight w:val="none"/>
          <w:lang w:val="en-US" w:eastAsia="zh-CN"/>
        </w:rPr>
        <w:t xml:space="preserve">    </w:t>
      </w:r>
      <w:r>
        <w:rPr>
          <w:rFonts w:hint="eastAsia" w:ascii="仿宋_GB2312" w:eastAsia="仿宋_GB2312"/>
          <w:color w:val="auto"/>
          <w:sz w:val="24"/>
          <w:highlight w:val="none"/>
        </w:rPr>
        <w:t>参与过的同类服务项目业绩表</w:t>
      </w:r>
    </w:p>
    <w:p>
      <w:pPr>
        <w:spacing w:line="360" w:lineRule="auto"/>
        <w:ind w:firstLine="573"/>
        <w:jc w:val="left"/>
        <w:rPr>
          <w:rFonts w:ascii="仿宋_GB2312" w:eastAsia="仿宋_GB2312"/>
          <w:bCs/>
          <w:color w:val="auto"/>
          <w:sz w:val="24"/>
          <w:highlight w:val="none"/>
        </w:rPr>
      </w:pPr>
      <w:r>
        <w:rPr>
          <w:rFonts w:hint="eastAsia" w:ascii="仿宋_GB2312" w:eastAsia="仿宋_GB2312"/>
          <w:bCs/>
          <w:color w:val="auto"/>
          <w:sz w:val="24"/>
          <w:highlight w:val="none"/>
        </w:rPr>
        <w:t>格式10</w:t>
      </w:r>
      <w:r>
        <w:rPr>
          <w:rFonts w:hint="eastAsia" w:ascii="仿宋_GB2312" w:eastAsia="仿宋_GB2312"/>
          <w:bCs/>
          <w:color w:val="auto"/>
          <w:sz w:val="24"/>
          <w:highlight w:val="none"/>
          <w:lang w:val="en-US" w:eastAsia="zh-CN"/>
        </w:rPr>
        <w:t xml:space="preserve">   </w:t>
      </w:r>
      <w:r>
        <w:rPr>
          <w:rFonts w:hint="eastAsia" w:ascii="仿宋_GB2312" w:hAnsi="宋体" w:eastAsia="仿宋_GB2312"/>
          <w:color w:val="auto"/>
          <w:sz w:val="24"/>
          <w:highlight w:val="none"/>
        </w:rPr>
        <w:t>考核验收规范及标准</w:t>
      </w:r>
    </w:p>
    <w:p>
      <w:pPr>
        <w:spacing w:line="360" w:lineRule="auto"/>
        <w:ind w:firstLine="573"/>
        <w:jc w:val="left"/>
        <w:rPr>
          <w:rFonts w:ascii="仿宋_GB2312" w:eastAsia="仿宋_GB2312"/>
          <w:color w:val="auto"/>
          <w:sz w:val="24"/>
          <w:highlight w:val="none"/>
        </w:rPr>
      </w:pPr>
      <w:r>
        <w:rPr>
          <w:rFonts w:hint="eastAsia" w:ascii="仿宋_GB2312" w:eastAsia="仿宋_GB2312"/>
          <w:bCs/>
          <w:color w:val="auto"/>
          <w:sz w:val="24"/>
          <w:highlight w:val="none"/>
        </w:rPr>
        <w:t>格式11</w:t>
      </w:r>
      <w:r>
        <w:rPr>
          <w:rFonts w:hint="eastAsia" w:ascii="仿宋_GB2312" w:eastAsia="仿宋_GB2312"/>
          <w:bCs/>
          <w:color w:val="auto"/>
          <w:sz w:val="24"/>
          <w:highlight w:val="none"/>
          <w:lang w:val="en-US" w:eastAsia="zh-CN"/>
        </w:rPr>
        <w:t xml:space="preserve">   </w:t>
      </w:r>
      <w:r>
        <w:rPr>
          <w:rFonts w:hint="eastAsia" w:ascii="仿宋_GB2312" w:eastAsia="仿宋_GB2312"/>
          <w:color w:val="auto"/>
          <w:sz w:val="24"/>
          <w:highlight w:val="none"/>
        </w:rPr>
        <w:t>项目运行方案</w:t>
      </w:r>
    </w:p>
    <w:p>
      <w:pPr>
        <w:spacing w:line="360" w:lineRule="auto"/>
        <w:ind w:firstLine="573"/>
        <w:jc w:val="left"/>
        <w:rPr>
          <w:rFonts w:ascii="仿宋_GB2312" w:eastAsia="仿宋_GB2312"/>
          <w:color w:val="auto"/>
          <w:sz w:val="24"/>
          <w:highlight w:val="none"/>
        </w:rPr>
      </w:pPr>
      <w:r>
        <w:rPr>
          <w:rFonts w:hint="eastAsia" w:ascii="仿宋_GB2312" w:eastAsia="仿宋_GB2312"/>
          <w:bCs/>
          <w:color w:val="auto"/>
          <w:sz w:val="24"/>
          <w:highlight w:val="none"/>
        </w:rPr>
        <w:t>格式12</w:t>
      </w:r>
      <w:r>
        <w:rPr>
          <w:rFonts w:hint="eastAsia" w:ascii="仿宋_GB2312" w:eastAsia="仿宋_GB2312"/>
          <w:bCs/>
          <w:color w:val="auto"/>
          <w:sz w:val="24"/>
          <w:highlight w:val="none"/>
          <w:lang w:val="en-US" w:eastAsia="zh-CN"/>
        </w:rPr>
        <w:t xml:space="preserve">   </w:t>
      </w:r>
      <w:r>
        <w:rPr>
          <w:rFonts w:hint="eastAsia" w:ascii="仿宋_GB2312" w:eastAsia="仿宋_GB2312"/>
          <w:color w:val="auto"/>
          <w:sz w:val="24"/>
          <w:highlight w:val="none"/>
        </w:rPr>
        <w:t>质量管理及服务安全保证措施及承诺</w:t>
      </w:r>
    </w:p>
    <w:p>
      <w:pPr>
        <w:spacing w:line="360" w:lineRule="auto"/>
        <w:ind w:firstLine="573"/>
        <w:jc w:val="left"/>
        <w:rPr>
          <w:rFonts w:ascii="仿宋_GB2312" w:eastAsia="仿宋_GB2312"/>
          <w:bCs/>
          <w:color w:val="auto"/>
          <w:sz w:val="24"/>
          <w:highlight w:val="none"/>
        </w:rPr>
      </w:pPr>
      <w:r>
        <w:rPr>
          <w:rFonts w:hint="eastAsia" w:ascii="仿宋_GB2312" w:eastAsia="仿宋_GB2312"/>
          <w:bCs/>
          <w:color w:val="auto"/>
          <w:sz w:val="24"/>
          <w:highlight w:val="none"/>
        </w:rPr>
        <w:t xml:space="preserve">格式13  </w:t>
      </w:r>
      <w:r>
        <w:rPr>
          <w:rFonts w:hint="eastAsia" w:ascii="仿宋_GB2312" w:eastAsia="仿宋_GB2312"/>
          <w:bCs/>
          <w:color w:val="auto"/>
          <w:sz w:val="24"/>
          <w:highlight w:val="none"/>
          <w:lang w:val="en-US" w:eastAsia="zh-CN"/>
        </w:rPr>
        <w:t xml:space="preserve"> </w:t>
      </w:r>
      <w:r>
        <w:rPr>
          <w:rFonts w:hint="eastAsia" w:ascii="仿宋_GB2312" w:eastAsia="仿宋_GB2312"/>
          <w:bCs/>
          <w:color w:val="auto"/>
          <w:sz w:val="24"/>
          <w:highlight w:val="none"/>
        </w:rPr>
        <w:t>资格性/符合性自查表</w:t>
      </w:r>
    </w:p>
    <w:p>
      <w:pPr>
        <w:spacing w:line="360" w:lineRule="auto"/>
        <w:ind w:firstLine="573"/>
        <w:jc w:val="left"/>
        <w:rPr>
          <w:rFonts w:ascii="仿宋_GB2312" w:eastAsia="仿宋_GB2312"/>
          <w:bCs/>
          <w:color w:val="auto"/>
          <w:sz w:val="24"/>
          <w:highlight w:val="none"/>
        </w:rPr>
      </w:pPr>
      <w:r>
        <w:rPr>
          <w:rFonts w:hint="eastAsia" w:ascii="仿宋_GB2312" w:eastAsia="仿宋_GB2312"/>
          <w:bCs/>
          <w:color w:val="auto"/>
          <w:sz w:val="24"/>
          <w:highlight w:val="none"/>
        </w:rPr>
        <w:t xml:space="preserve">格式14  </w:t>
      </w:r>
      <w:r>
        <w:rPr>
          <w:rFonts w:hint="eastAsia" w:ascii="仿宋_GB2312" w:eastAsia="仿宋_GB2312"/>
          <w:bCs/>
          <w:color w:val="auto"/>
          <w:sz w:val="24"/>
          <w:highlight w:val="none"/>
          <w:lang w:val="en-US" w:eastAsia="zh-CN"/>
        </w:rPr>
        <w:t xml:space="preserve"> </w:t>
      </w:r>
      <w:r>
        <w:rPr>
          <w:rFonts w:hint="eastAsia" w:ascii="仿宋_GB2312" w:eastAsia="仿宋_GB2312"/>
          <w:bCs/>
          <w:color w:val="auto"/>
          <w:sz w:val="24"/>
          <w:highlight w:val="none"/>
        </w:rPr>
        <w:t>诚信声明</w:t>
      </w:r>
    </w:p>
    <w:p>
      <w:pPr>
        <w:spacing w:line="360" w:lineRule="auto"/>
        <w:ind w:firstLine="573"/>
        <w:jc w:val="left"/>
        <w:rPr>
          <w:rFonts w:ascii="仿宋_GB2312" w:eastAsia="仿宋_GB2312"/>
          <w:color w:val="auto"/>
          <w:sz w:val="24"/>
          <w:highlight w:val="none"/>
        </w:rPr>
      </w:pPr>
    </w:p>
    <w:p>
      <w:pPr>
        <w:spacing w:line="360" w:lineRule="auto"/>
        <w:jc w:val="center"/>
        <w:rPr>
          <w:rFonts w:ascii="仿宋_GB2312" w:eastAsia="仿宋_GB2312"/>
          <w:b/>
          <w:bCs/>
          <w:color w:val="auto"/>
          <w:sz w:val="36"/>
          <w:szCs w:val="36"/>
          <w:highlight w:val="none"/>
        </w:rPr>
      </w:pPr>
    </w:p>
    <w:p>
      <w:pPr>
        <w:spacing w:line="360" w:lineRule="auto"/>
        <w:jc w:val="center"/>
        <w:rPr>
          <w:rFonts w:ascii="仿宋_GB2312" w:eastAsia="仿宋_GB2312"/>
          <w:b/>
          <w:bCs/>
          <w:color w:val="auto"/>
          <w:sz w:val="36"/>
          <w:szCs w:val="36"/>
          <w:highlight w:val="none"/>
        </w:rPr>
      </w:pPr>
    </w:p>
    <w:p>
      <w:pPr>
        <w:spacing w:line="360" w:lineRule="auto"/>
        <w:jc w:val="center"/>
        <w:rPr>
          <w:rFonts w:ascii="仿宋_GB2312" w:eastAsia="仿宋_GB2312"/>
          <w:b/>
          <w:bCs/>
          <w:color w:val="auto"/>
          <w:sz w:val="36"/>
          <w:szCs w:val="36"/>
          <w:highlight w:val="none"/>
        </w:rPr>
      </w:pPr>
    </w:p>
    <w:p>
      <w:pPr>
        <w:spacing w:line="360" w:lineRule="auto"/>
        <w:jc w:val="center"/>
        <w:rPr>
          <w:rFonts w:ascii="仿宋_GB2312" w:eastAsia="仿宋_GB2312"/>
          <w:b/>
          <w:bCs/>
          <w:color w:val="auto"/>
          <w:sz w:val="36"/>
          <w:szCs w:val="36"/>
          <w:highlight w:val="none"/>
        </w:rPr>
      </w:pPr>
    </w:p>
    <w:p>
      <w:pPr>
        <w:spacing w:line="360" w:lineRule="auto"/>
        <w:jc w:val="center"/>
        <w:rPr>
          <w:rFonts w:ascii="仿宋_GB2312" w:eastAsia="仿宋_GB2312"/>
          <w:b/>
          <w:bCs/>
          <w:color w:val="auto"/>
          <w:sz w:val="36"/>
          <w:szCs w:val="36"/>
          <w:highlight w:val="none"/>
        </w:rPr>
      </w:pPr>
    </w:p>
    <w:p>
      <w:pPr>
        <w:spacing w:line="360" w:lineRule="auto"/>
        <w:jc w:val="center"/>
        <w:rPr>
          <w:rFonts w:ascii="仿宋_GB2312" w:eastAsia="仿宋_GB2312"/>
          <w:b/>
          <w:bCs/>
          <w:color w:val="auto"/>
          <w:sz w:val="36"/>
          <w:szCs w:val="36"/>
          <w:highlight w:val="none"/>
        </w:rPr>
      </w:pPr>
    </w:p>
    <w:p>
      <w:pPr>
        <w:widowControl/>
        <w:jc w:val="left"/>
        <w:rPr>
          <w:color w:val="auto"/>
          <w:highlight w:val="none"/>
        </w:rPr>
      </w:pPr>
    </w:p>
    <w:p>
      <w:pPr>
        <w:pStyle w:val="2"/>
        <w:rPr>
          <w:color w:val="auto"/>
          <w:highlight w:val="none"/>
        </w:rPr>
      </w:pPr>
    </w:p>
    <w:p>
      <w:pPr>
        <w:rPr>
          <w:color w:val="auto"/>
          <w:highlight w:val="none"/>
        </w:rPr>
      </w:pPr>
    </w:p>
    <w:p>
      <w:pPr>
        <w:widowControl/>
        <w:jc w:val="left"/>
        <w:rPr>
          <w:color w:val="auto"/>
          <w:highlight w:val="none"/>
        </w:rPr>
      </w:pPr>
    </w:p>
    <w:p>
      <w:pPr>
        <w:spacing w:line="360" w:lineRule="auto"/>
        <w:jc w:val="center"/>
        <w:rPr>
          <w:rFonts w:ascii="仿宋_GB2312" w:hAnsi="宋体" w:eastAsia="仿宋_GB2312"/>
          <w:b/>
          <w:bCs/>
          <w:color w:val="auto"/>
          <w:sz w:val="48"/>
          <w:szCs w:val="48"/>
          <w:highlight w:val="none"/>
        </w:rPr>
      </w:pPr>
      <w:r>
        <w:rPr>
          <w:rFonts w:hint="eastAsia" w:ascii="仿宋_GB2312" w:hAnsi="宋体" w:eastAsia="仿宋_GB2312"/>
          <w:b/>
          <w:bCs/>
          <w:color w:val="auto"/>
          <w:sz w:val="48"/>
          <w:szCs w:val="48"/>
          <w:highlight w:val="none"/>
        </w:rPr>
        <w:t>克拉玛依区社区卫生服务机构采购大包装中药免煎颗粒、中草药项目</w:t>
      </w:r>
    </w:p>
    <w:p>
      <w:pPr>
        <w:spacing w:line="360" w:lineRule="auto"/>
        <w:rPr>
          <w:color w:val="auto"/>
          <w:sz w:val="28"/>
          <w:szCs w:val="28"/>
          <w:highlight w:val="none"/>
        </w:rPr>
      </w:pPr>
    </w:p>
    <w:p>
      <w:pPr>
        <w:pStyle w:val="2"/>
        <w:rPr>
          <w:color w:val="auto"/>
          <w:highlight w:val="none"/>
        </w:rPr>
      </w:pPr>
    </w:p>
    <w:p>
      <w:pPr>
        <w:rPr>
          <w:color w:val="auto"/>
          <w:highlight w:val="none"/>
        </w:rPr>
      </w:pPr>
    </w:p>
    <w:p>
      <w:pPr>
        <w:rPr>
          <w:color w:val="auto"/>
          <w:highlight w:val="none"/>
        </w:rPr>
      </w:pPr>
    </w:p>
    <w:p>
      <w:pPr>
        <w:jc w:val="center"/>
        <w:rPr>
          <w:rFonts w:ascii="仿宋_GB2312" w:eastAsia="仿宋_GB2312"/>
          <w:b/>
          <w:color w:val="auto"/>
          <w:sz w:val="72"/>
          <w:szCs w:val="72"/>
          <w:highlight w:val="none"/>
        </w:rPr>
      </w:pPr>
      <w:r>
        <w:rPr>
          <w:rFonts w:hint="eastAsia" w:ascii="仿宋_GB2312" w:eastAsia="仿宋_GB2312"/>
          <w:b/>
          <w:color w:val="auto"/>
          <w:sz w:val="72"/>
          <w:szCs w:val="72"/>
          <w:highlight w:val="none"/>
        </w:rPr>
        <w:t>响  应  文  件</w:t>
      </w:r>
    </w:p>
    <w:p>
      <w:pPr>
        <w:snapToGrid w:val="0"/>
        <w:spacing w:line="374" w:lineRule="atLeast"/>
        <w:jc w:val="center"/>
        <w:rPr>
          <w:rFonts w:ascii="仿宋_GB2312" w:eastAsia="仿宋_GB2312"/>
          <w:b/>
          <w:color w:val="auto"/>
          <w:sz w:val="30"/>
          <w:highlight w:val="none"/>
        </w:rPr>
      </w:pPr>
      <w:r>
        <w:rPr>
          <w:rFonts w:hint="eastAsia" w:ascii="仿宋_GB2312" w:eastAsia="仿宋_GB2312"/>
          <w:b/>
          <w:color w:val="auto"/>
          <w:sz w:val="30"/>
          <w:highlight w:val="none"/>
        </w:rPr>
        <w:t>磋商文件编号：</w:t>
      </w:r>
      <w:r>
        <w:rPr>
          <w:rFonts w:hint="eastAsia" w:ascii="仿宋_GB2312" w:hAnsi="宋体" w:eastAsia="仿宋_GB2312" w:cs="宋体"/>
          <w:b/>
          <w:color w:val="auto"/>
          <w:kern w:val="0"/>
          <w:sz w:val="24"/>
          <w:highlight w:val="none"/>
        </w:rPr>
        <w:t>KQWJW（ZC）2020-01</w:t>
      </w:r>
    </w:p>
    <w:p>
      <w:pPr>
        <w:spacing w:line="360" w:lineRule="auto"/>
        <w:rPr>
          <w:rFonts w:ascii="仿宋_GB2312" w:hAnsi="宋体" w:eastAsia="仿宋_GB2312"/>
          <w:b/>
          <w:color w:val="auto"/>
          <w:sz w:val="32"/>
          <w:szCs w:val="32"/>
          <w:highlight w:val="none"/>
        </w:rPr>
      </w:pPr>
    </w:p>
    <w:p>
      <w:pPr>
        <w:spacing w:line="360" w:lineRule="auto"/>
        <w:rPr>
          <w:rFonts w:ascii="仿宋_GB2312" w:hAnsi="宋体" w:eastAsia="仿宋_GB2312"/>
          <w:b/>
          <w:color w:val="auto"/>
          <w:sz w:val="32"/>
          <w:szCs w:val="32"/>
          <w:highlight w:val="none"/>
        </w:rPr>
      </w:pPr>
    </w:p>
    <w:p>
      <w:pPr>
        <w:spacing w:line="360" w:lineRule="auto"/>
        <w:rPr>
          <w:rFonts w:ascii="仿宋_GB2312" w:hAnsi="宋体" w:eastAsia="仿宋_GB2312"/>
          <w:b/>
          <w:color w:val="auto"/>
          <w:sz w:val="32"/>
          <w:szCs w:val="32"/>
          <w:highlight w:val="none"/>
        </w:rPr>
      </w:pPr>
    </w:p>
    <w:p>
      <w:pPr>
        <w:spacing w:line="360" w:lineRule="auto"/>
        <w:rPr>
          <w:rFonts w:ascii="仿宋_GB2312" w:hAnsi="宋体" w:eastAsia="仿宋_GB2312"/>
          <w:b/>
          <w:color w:val="auto"/>
          <w:sz w:val="32"/>
          <w:szCs w:val="32"/>
          <w:highlight w:val="none"/>
        </w:rPr>
      </w:pPr>
    </w:p>
    <w:p>
      <w:pPr>
        <w:spacing w:line="360" w:lineRule="auto"/>
        <w:rPr>
          <w:rFonts w:ascii="仿宋_GB2312" w:hAnsi="宋体" w:eastAsia="仿宋_GB2312"/>
          <w:b/>
          <w:color w:val="auto"/>
          <w:highlight w:val="none"/>
        </w:rPr>
      </w:pPr>
    </w:p>
    <w:p>
      <w:pPr>
        <w:spacing w:line="360" w:lineRule="auto"/>
        <w:ind w:firstLine="602"/>
        <w:rPr>
          <w:rFonts w:ascii="仿宋_GB2312" w:eastAsia="仿宋_GB2312"/>
          <w:b/>
          <w:color w:val="auto"/>
          <w:sz w:val="30"/>
          <w:szCs w:val="30"/>
          <w:highlight w:val="none"/>
        </w:rPr>
      </w:pPr>
      <w:r>
        <w:rPr>
          <w:rFonts w:hint="eastAsia" w:ascii="仿宋_GB2312" w:eastAsia="仿宋_GB2312"/>
          <w:b/>
          <w:color w:val="auto"/>
          <w:sz w:val="30"/>
          <w:szCs w:val="30"/>
          <w:highlight w:val="none"/>
        </w:rPr>
        <w:t>供应商： （单位名称）盖章</w:t>
      </w:r>
    </w:p>
    <w:p>
      <w:pPr>
        <w:spacing w:line="360" w:lineRule="auto"/>
        <w:rPr>
          <w:rFonts w:ascii="仿宋_GB2312" w:eastAsia="仿宋_GB2312"/>
          <w:b/>
          <w:color w:val="auto"/>
          <w:sz w:val="30"/>
          <w:szCs w:val="30"/>
          <w:highlight w:val="none"/>
        </w:rPr>
      </w:pPr>
    </w:p>
    <w:p>
      <w:pPr>
        <w:spacing w:line="360" w:lineRule="auto"/>
        <w:ind w:firstLine="602"/>
        <w:rPr>
          <w:rFonts w:ascii="仿宋_GB2312" w:eastAsia="仿宋_GB2312"/>
          <w:b/>
          <w:color w:val="auto"/>
          <w:sz w:val="30"/>
          <w:szCs w:val="30"/>
          <w:highlight w:val="none"/>
        </w:rPr>
      </w:pPr>
      <w:r>
        <w:rPr>
          <w:rFonts w:hint="eastAsia" w:ascii="仿宋_GB2312" w:eastAsia="仿宋_GB2312"/>
          <w:b/>
          <w:color w:val="auto"/>
          <w:sz w:val="30"/>
          <w:szCs w:val="30"/>
          <w:highlight w:val="none"/>
        </w:rPr>
        <w:t>单位地址：</w:t>
      </w:r>
    </w:p>
    <w:p>
      <w:pPr>
        <w:spacing w:line="360" w:lineRule="auto"/>
        <w:ind w:firstLine="602"/>
        <w:rPr>
          <w:rFonts w:ascii="仿宋_GB2312" w:eastAsia="仿宋_GB2312"/>
          <w:b/>
          <w:color w:val="auto"/>
          <w:sz w:val="30"/>
          <w:szCs w:val="30"/>
          <w:highlight w:val="none"/>
        </w:rPr>
      </w:pPr>
    </w:p>
    <w:p>
      <w:pPr>
        <w:pStyle w:val="15"/>
        <w:ind w:firstLine="744" w:firstLineChars="247"/>
        <w:outlineLvl w:val="0"/>
        <w:rPr>
          <w:rFonts w:ascii="仿宋_GB2312" w:eastAsia="仿宋_GB2312"/>
          <w:color w:val="auto"/>
          <w:sz w:val="24"/>
          <w:highlight w:val="none"/>
        </w:rPr>
      </w:pPr>
      <w:r>
        <w:rPr>
          <w:rFonts w:hint="eastAsia" w:ascii="仿宋_GB2312" w:eastAsia="仿宋_GB2312"/>
          <w:b/>
          <w:color w:val="auto"/>
          <w:sz w:val="30"/>
          <w:szCs w:val="30"/>
          <w:highlight w:val="none"/>
        </w:rPr>
        <w:t>联系人：                   联系电话：</w:t>
      </w:r>
    </w:p>
    <w:p>
      <w:pPr>
        <w:spacing w:line="440" w:lineRule="exact"/>
        <w:jc w:val="center"/>
        <w:rPr>
          <w:rFonts w:ascii="仿宋_GB2312" w:hAnsi="华文中宋" w:eastAsia="仿宋_GB2312"/>
          <w:b/>
          <w:color w:val="auto"/>
          <w:sz w:val="24"/>
          <w:highlight w:val="none"/>
        </w:rPr>
      </w:pPr>
    </w:p>
    <w:p>
      <w:pPr>
        <w:spacing w:line="440" w:lineRule="exact"/>
        <w:jc w:val="center"/>
        <w:rPr>
          <w:rFonts w:ascii="仿宋_GB2312" w:hAnsi="华文中宋" w:eastAsia="仿宋_GB2312"/>
          <w:b/>
          <w:color w:val="auto"/>
          <w:sz w:val="24"/>
          <w:highlight w:val="none"/>
        </w:rPr>
      </w:pPr>
    </w:p>
    <w:p>
      <w:pPr>
        <w:spacing w:line="440" w:lineRule="exact"/>
        <w:jc w:val="center"/>
        <w:rPr>
          <w:rFonts w:ascii="仿宋_GB2312" w:hAnsi="华文中宋" w:eastAsia="仿宋_GB2312"/>
          <w:b/>
          <w:color w:val="auto"/>
          <w:sz w:val="24"/>
          <w:highlight w:val="none"/>
        </w:rPr>
      </w:pPr>
    </w:p>
    <w:p>
      <w:pPr>
        <w:spacing w:line="440" w:lineRule="exact"/>
        <w:jc w:val="center"/>
        <w:rPr>
          <w:rFonts w:ascii="仿宋_GB2312" w:hAnsi="华文中宋" w:eastAsia="仿宋_GB2312"/>
          <w:b/>
          <w:color w:val="auto"/>
          <w:sz w:val="24"/>
          <w:highlight w:val="none"/>
        </w:rPr>
      </w:pPr>
      <w:r>
        <w:rPr>
          <w:rFonts w:hint="eastAsia" w:ascii="仿宋_GB2312" w:hAnsi="华文中宋" w:eastAsia="仿宋_GB2312"/>
          <w:b/>
          <w:color w:val="auto"/>
          <w:sz w:val="24"/>
          <w:highlight w:val="none"/>
        </w:rPr>
        <w:t>格式1  响  应  函</w:t>
      </w:r>
    </w:p>
    <w:p>
      <w:pPr>
        <w:spacing w:line="360" w:lineRule="auto"/>
        <w:ind w:firstLine="480" w:firstLineChars="200"/>
        <w:rPr>
          <w:rFonts w:ascii="仿宋_GB2312" w:hAnsi="宋体" w:eastAsia="仿宋_GB2312" w:cs="宋体"/>
          <w:color w:val="auto"/>
          <w:kern w:val="0"/>
          <w:sz w:val="24"/>
          <w:highlight w:val="none"/>
        </w:rPr>
      </w:pPr>
    </w:p>
    <w:p>
      <w:pPr>
        <w:spacing w:line="360" w:lineRule="auto"/>
        <w:jc w:val="left"/>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rPr>
        <w:t>克拉玛依市克拉玛依区卫生健康委员会</w:t>
      </w:r>
      <w:r>
        <w:rPr>
          <w:rFonts w:hint="eastAsia" w:ascii="仿宋_GB2312" w:hAnsi="宋体" w:eastAsia="仿宋_GB2312"/>
          <w:color w:val="auto"/>
          <w:sz w:val="32"/>
          <w:szCs w:val="32"/>
          <w:highlight w:val="none"/>
        </w:rPr>
        <w:t>：</w:t>
      </w:r>
    </w:p>
    <w:p>
      <w:pPr>
        <w:pStyle w:val="17"/>
        <w:ind w:left="0"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我方全面研究了</w:t>
      </w:r>
      <w:r>
        <w:rPr>
          <w:rFonts w:hint="eastAsia" w:ascii="仿宋_GB2312" w:eastAsia="仿宋_GB2312"/>
          <w:b w:val="0"/>
          <w:bCs/>
          <w:color w:val="auto"/>
          <w:highlight w:val="none"/>
          <w:u w:val="single"/>
        </w:rPr>
        <w:t xml:space="preserve"> “         ”</w:t>
      </w:r>
      <w:r>
        <w:rPr>
          <w:rFonts w:hint="eastAsia" w:ascii="仿宋_GB2312" w:eastAsia="仿宋_GB2312"/>
          <w:b w:val="0"/>
          <w:bCs/>
          <w:color w:val="auto"/>
          <w:highlight w:val="none"/>
        </w:rPr>
        <w:t>项目磋商文件</w:t>
      </w:r>
      <w:r>
        <w:rPr>
          <w:rFonts w:hint="eastAsia" w:ascii="仿宋_GB2312" w:eastAsia="仿宋_GB2312"/>
          <w:b w:val="0"/>
          <w:bCs/>
          <w:color w:val="auto"/>
          <w:highlight w:val="none"/>
          <w:u w:val="single"/>
        </w:rPr>
        <w:t>（文件编号：       ）</w:t>
      </w:r>
      <w:r>
        <w:rPr>
          <w:rFonts w:hint="eastAsia" w:ascii="仿宋_GB2312" w:eastAsia="仿宋_GB2312"/>
          <w:b w:val="0"/>
          <w:bCs/>
          <w:color w:val="auto"/>
          <w:highlight w:val="none"/>
        </w:rPr>
        <w:t>，决定参加本项目竞争性磋商。我方授权</w:t>
      </w:r>
      <w:r>
        <w:rPr>
          <w:rFonts w:hint="eastAsia" w:ascii="仿宋_GB2312" w:eastAsia="仿宋_GB2312"/>
          <w:b w:val="0"/>
          <w:bCs/>
          <w:color w:val="auto"/>
          <w:highlight w:val="none"/>
          <w:u w:val="single"/>
        </w:rPr>
        <w:t xml:space="preserve">        （姓名、职务）</w:t>
      </w:r>
      <w:r>
        <w:rPr>
          <w:rFonts w:hint="eastAsia" w:ascii="仿宋_GB2312" w:eastAsia="仿宋_GB2312"/>
          <w:b w:val="0"/>
          <w:bCs/>
          <w:color w:val="auto"/>
          <w:highlight w:val="none"/>
        </w:rPr>
        <w:t>代表我方</w:t>
      </w:r>
      <w:r>
        <w:rPr>
          <w:rFonts w:hint="eastAsia" w:ascii="仿宋_GB2312" w:eastAsia="仿宋_GB2312"/>
          <w:b w:val="0"/>
          <w:bCs/>
          <w:color w:val="auto"/>
          <w:highlight w:val="none"/>
          <w:u w:val="single"/>
        </w:rPr>
        <w:t xml:space="preserve">                 （供应商的名称）</w:t>
      </w:r>
      <w:r>
        <w:rPr>
          <w:rFonts w:hint="eastAsia" w:ascii="仿宋_GB2312" w:eastAsia="仿宋_GB2312"/>
          <w:b w:val="0"/>
          <w:bCs/>
          <w:color w:val="auto"/>
          <w:highlight w:val="none"/>
        </w:rPr>
        <w:t>全权处理本项目磋商的有关事宜。</w:t>
      </w:r>
    </w:p>
    <w:p>
      <w:pPr>
        <w:pStyle w:val="17"/>
        <w:ind w:left="0"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1、我方自愿按照磋商文件规定的各项要求向采购人提供所需服务。</w:t>
      </w:r>
      <w:r>
        <w:rPr>
          <w:rFonts w:hint="eastAsia" w:ascii="仿宋_GB2312" w:eastAsia="仿宋_GB2312"/>
          <w:b w:val="0"/>
          <w:bCs/>
          <w:color w:val="auto"/>
          <w:highlight w:val="none"/>
          <w:lang w:eastAsia="zh-CN"/>
        </w:rPr>
        <w:t>月计算价下浮率为：</w:t>
      </w:r>
      <w:r>
        <w:rPr>
          <w:rFonts w:hint="eastAsia" w:ascii="仿宋_GB2312" w:eastAsia="仿宋_GB2312"/>
          <w:b w:val="0"/>
          <w:bCs/>
          <w:color w:val="auto"/>
          <w:highlight w:val="none"/>
          <w:u w:val="single"/>
          <w:lang w:val="en-US" w:eastAsia="zh-CN"/>
        </w:rPr>
        <w:t xml:space="preserve">    %</w:t>
      </w:r>
      <w:r>
        <w:rPr>
          <w:rFonts w:hint="eastAsia" w:ascii="仿宋_GB2312" w:eastAsia="仿宋_GB2312"/>
          <w:b w:val="0"/>
          <w:bCs/>
          <w:color w:val="auto"/>
          <w:highlight w:val="none"/>
        </w:rPr>
        <w:t>。</w:t>
      </w:r>
    </w:p>
    <w:p>
      <w:pPr>
        <w:pStyle w:val="17"/>
        <w:ind w:left="0"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2、一旦我方成交，我方将严格履行合同规定的责任和义务，保证按采购人要求及我方承诺完成所需服务及应尽义务。</w:t>
      </w:r>
    </w:p>
    <w:p>
      <w:pPr>
        <w:pStyle w:val="17"/>
        <w:ind w:left="0" w:firstLine="482" w:firstLineChars="200"/>
        <w:rPr>
          <w:rFonts w:ascii="仿宋_GB2312" w:eastAsia="仿宋_GB2312"/>
          <w:b w:val="0"/>
          <w:bCs/>
          <w:color w:val="auto"/>
          <w:highlight w:val="none"/>
        </w:rPr>
      </w:pPr>
      <w:r>
        <w:rPr>
          <w:rFonts w:hint="eastAsia" w:ascii="仿宋_GB2312" w:hAnsi="宋体" w:eastAsia="仿宋_GB2312"/>
          <w:color w:val="auto"/>
          <w:highlight w:val="none"/>
        </w:rPr>
        <w:t>3．响应文件有效期为自递交响应文件截止之日起为</w:t>
      </w:r>
      <w:r>
        <w:rPr>
          <w:rFonts w:hint="eastAsia" w:ascii="仿宋_GB2312" w:hAnsi="宋体" w:eastAsia="仿宋_GB2312"/>
          <w:color w:val="auto"/>
          <w:highlight w:val="none"/>
          <w:u w:val="single"/>
        </w:rPr>
        <w:t xml:space="preserve"> 60 </w:t>
      </w:r>
      <w:r>
        <w:rPr>
          <w:rFonts w:hint="eastAsia" w:ascii="仿宋_GB2312" w:hAnsi="宋体" w:eastAsia="仿宋_GB2312"/>
          <w:color w:val="auto"/>
          <w:highlight w:val="none"/>
        </w:rPr>
        <w:t>天（日历日）。如果我方的响应文件被接受，则至合同生效时止，本响应文件始终有效，我们将按合同条款、承诺及</w:t>
      </w:r>
      <w:r>
        <w:rPr>
          <w:rFonts w:hint="eastAsia" w:ascii="仿宋_GB2312" w:hAnsi="宋体" w:eastAsia="仿宋_GB2312"/>
          <w:color w:val="auto"/>
          <w:highlight w:val="none"/>
          <w:lang w:eastAsia="zh-CN"/>
        </w:rPr>
        <w:t>竞争性磋商文件</w:t>
      </w:r>
      <w:r>
        <w:rPr>
          <w:rFonts w:hint="eastAsia" w:ascii="仿宋_GB2312" w:hAnsi="宋体" w:eastAsia="仿宋_GB2312"/>
          <w:color w:val="auto"/>
          <w:highlight w:val="none"/>
        </w:rPr>
        <w:t>的规定履行合同责任和义务。</w:t>
      </w:r>
    </w:p>
    <w:p>
      <w:pPr>
        <w:pStyle w:val="17"/>
        <w:ind w:left="0"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4、我方为本项目提交的响应文件一式柒份，其中正本壹份，副本</w:t>
      </w:r>
      <w:r>
        <w:rPr>
          <w:rFonts w:hint="eastAsia" w:ascii="仿宋_GB2312" w:hAnsi="宋体" w:eastAsia="仿宋_GB2312"/>
          <w:b w:val="0"/>
          <w:color w:val="auto"/>
          <w:highlight w:val="none"/>
        </w:rPr>
        <w:t>陆</w:t>
      </w:r>
      <w:r>
        <w:rPr>
          <w:rFonts w:hint="eastAsia" w:ascii="仿宋_GB2312" w:eastAsia="仿宋_GB2312"/>
          <w:b w:val="0"/>
          <w:bCs/>
          <w:color w:val="auto"/>
          <w:highlight w:val="none"/>
        </w:rPr>
        <w:t>份。</w:t>
      </w:r>
    </w:p>
    <w:p>
      <w:pPr>
        <w:pStyle w:val="17"/>
        <w:ind w:left="0"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5、我方愿意提供采购人可能另外要求的，与磋商有关的文件资料，并保证我方已提供和将要提供的文件资料是真实、准确的。</w:t>
      </w:r>
    </w:p>
    <w:p>
      <w:pPr>
        <w:pStyle w:val="17"/>
        <w:ind w:left="836" w:leftChars="228" w:hanging="357" w:hangingChars="149"/>
        <w:rPr>
          <w:rFonts w:ascii="仿宋_GB2312" w:eastAsia="仿宋_GB2312"/>
          <w:b w:val="0"/>
          <w:bCs/>
          <w:color w:val="auto"/>
          <w:highlight w:val="none"/>
        </w:rPr>
      </w:pPr>
      <w:r>
        <w:rPr>
          <w:rFonts w:hint="eastAsia" w:ascii="仿宋_GB2312" w:eastAsia="仿宋_GB2312"/>
          <w:b w:val="0"/>
          <w:bCs/>
          <w:color w:val="auto"/>
          <w:highlight w:val="none"/>
        </w:rPr>
        <w:t>6、我方完全理解采购人不一定将合同授予最低报价的供应商的行为。</w:t>
      </w:r>
    </w:p>
    <w:p>
      <w:pPr>
        <w:pStyle w:val="17"/>
        <w:ind w:left="852" w:firstLine="480" w:firstLineChars="200"/>
        <w:rPr>
          <w:rFonts w:ascii="仿宋_GB2312" w:eastAsia="仿宋_GB2312"/>
          <w:b w:val="0"/>
          <w:bCs/>
          <w:color w:val="auto"/>
          <w:highlight w:val="none"/>
        </w:rPr>
      </w:pP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供应商名称：        （盖章）</w:t>
      </w: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法定代表人或授权代表（签字）或盖章：</w:t>
      </w: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通讯地址：</w:t>
      </w: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邮政编码：</w:t>
      </w: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联系电话：</w:t>
      </w: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传    真：</w:t>
      </w:r>
    </w:p>
    <w:p>
      <w:pPr>
        <w:pStyle w:val="17"/>
        <w:ind w:left="838" w:firstLine="480" w:firstLineChars="200"/>
        <w:rPr>
          <w:rFonts w:ascii="仿宋_GB2312" w:eastAsia="仿宋_GB2312"/>
          <w:b w:val="0"/>
          <w:bCs/>
          <w:color w:val="auto"/>
          <w:highlight w:val="none"/>
        </w:rPr>
      </w:pPr>
      <w:r>
        <w:rPr>
          <w:rFonts w:hint="eastAsia" w:ascii="仿宋_GB2312" w:eastAsia="仿宋_GB2312"/>
          <w:b w:val="0"/>
          <w:bCs/>
          <w:color w:val="auto"/>
          <w:highlight w:val="none"/>
        </w:rPr>
        <w:t>日    期：2020年  月  日</w:t>
      </w:r>
    </w:p>
    <w:p>
      <w:pPr>
        <w:spacing w:line="440" w:lineRule="exact"/>
        <w:jc w:val="center"/>
        <w:rPr>
          <w:rFonts w:ascii="仿宋_GB2312" w:eastAsia="仿宋_GB2312"/>
          <w:b/>
          <w:bCs/>
          <w:color w:val="auto"/>
          <w:sz w:val="24"/>
          <w:highlight w:val="none"/>
        </w:rPr>
      </w:pPr>
    </w:p>
    <w:p>
      <w:pPr>
        <w:spacing w:line="440" w:lineRule="exact"/>
        <w:jc w:val="center"/>
        <w:rPr>
          <w:rFonts w:ascii="仿宋_GB2312" w:eastAsia="仿宋_GB2312"/>
          <w:b/>
          <w:bCs/>
          <w:color w:val="auto"/>
          <w:sz w:val="24"/>
          <w:highlight w:val="none"/>
        </w:rPr>
      </w:pPr>
    </w:p>
    <w:p>
      <w:pPr>
        <w:spacing w:line="440" w:lineRule="exact"/>
        <w:jc w:val="center"/>
        <w:rPr>
          <w:rFonts w:ascii="仿宋_GB2312" w:eastAsia="仿宋_GB2312"/>
          <w:b/>
          <w:bCs/>
          <w:color w:val="auto"/>
          <w:sz w:val="24"/>
          <w:highlight w:val="none"/>
        </w:rPr>
      </w:pPr>
    </w:p>
    <w:p>
      <w:pPr>
        <w:tabs>
          <w:tab w:val="left" w:pos="6300"/>
        </w:tabs>
        <w:snapToGrid w:val="0"/>
        <w:spacing w:line="500" w:lineRule="exact"/>
        <w:jc w:val="center"/>
        <w:outlineLvl w:val="0"/>
        <w:rPr>
          <w:rFonts w:ascii="仿宋_GB2312" w:eastAsia="仿宋_GB2312"/>
          <w:b/>
          <w:color w:val="auto"/>
          <w:sz w:val="24"/>
          <w:highlight w:val="none"/>
        </w:rPr>
      </w:pPr>
      <w:r>
        <w:rPr>
          <w:rFonts w:hint="eastAsia" w:ascii="仿宋_GB2312" w:eastAsia="仿宋_GB2312"/>
          <w:b/>
          <w:color w:val="auto"/>
          <w:sz w:val="24"/>
          <w:highlight w:val="none"/>
        </w:rPr>
        <w:t>格式2   中小企业声明函</w:t>
      </w:r>
    </w:p>
    <w:p>
      <w:pPr>
        <w:tabs>
          <w:tab w:val="left" w:pos="6300"/>
        </w:tabs>
        <w:snapToGrid w:val="0"/>
        <w:spacing w:line="500" w:lineRule="exact"/>
        <w:ind w:firstLine="720" w:firstLineChars="200"/>
        <w:jc w:val="center"/>
        <w:outlineLvl w:val="0"/>
        <w:rPr>
          <w:rFonts w:ascii="仿宋_GB2312" w:hAnsi="仿宋" w:eastAsia="仿宋_GB2312"/>
          <w:color w:val="auto"/>
          <w:sz w:val="36"/>
          <w:szCs w:val="36"/>
          <w:highlight w:val="none"/>
        </w:rPr>
      </w:pP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政府采购促进中小企业发展暂行办法》（财库〔2011〕181号）、《工业和信息化部、国家统计局、国家发展和改革委员会、财政部关于印发中小企业划型标准规定的通知》（工信部联企业〔2011〕300号）的规定，本公司郑重声明：</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一、本公司为 （请填写：中型、小型、微型）企业。</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本公司所属行业为。（请填写：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（二）本公司从业人员人。</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（三）本公司上年度营业收入万元。</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二、本公司参加单位的项目采购活动提供本企业制造的货物或由本公司参加单位的项目采购活动提供服务。</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或者[本公司参加单位的项目采购活动提供其他（请填写：中型、小型、微型）企业制造的货物。]</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本公司对上述声明的真实性负责。如有虚假，将依法承担相应责任。</w:t>
      </w:r>
    </w:p>
    <w:p>
      <w:pPr>
        <w:spacing w:line="360" w:lineRule="auto"/>
        <w:ind w:firstLine="480"/>
        <w:rPr>
          <w:rFonts w:ascii="仿宋_GB2312" w:hAnsi="仿宋_GB2312" w:eastAsia="仿宋_GB2312" w:cs="仿宋_GB2312"/>
          <w:color w:val="auto"/>
          <w:sz w:val="24"/>
          <w:highlight w:val="none"/>
        </w:rPr>
      </w:pPr>
    </w:p>
    <w:p>
      <w:pPr>
        <w:spacing w:line="360" w:lineRule="auto"/>
        <w:ind w:firstLine="480"/>
        <w:rPr>
          <w:rFonts w:ascii="仿宋_GB2312" w:hAnsi="仿宋_GB2312" w:eastAsia="仿宋_GB2312" w:cs="仿宋_GB2312"/>
          <w:color w:val="auto"/>
          <w:sz w:val="24"/>
          <w:highlight w:val="none"/>
        </w:rPr>
      </w:pPr>
    </w:p>
    <w:p>
      <w:pPr>
        <w:spacing w:line="360" w:lineRule="auto"/>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企业名称（盖章）：</w:t>
      </w:r>
    </w:p>
    <w:p>
      <w:pPr>
        <w:pStyle w:val="15"/>
        <w:spacing w:line="360" w:lineRule="auto"/>
        <w:ind w:firstLine="480"/>
        <w:rPr>
          <w:rFonts w:ascii="仿宋_GB2312" w:hAnsi="仿宋_GB2312" w:eastAsia="仿宋_GB2312" w:cs="仿宋_GB2312"/>
          <w:color w:val="auto"/>
          <w:sz w:val="24"/>
          <w:szCs w:val="24"/>
          <w:highlight w:val="none"/>
        </w:rPr>
        <w:sectPr>
          <w:headerReference r:id="rId4" w:type="default"/>
          <w:footerReference r:id="rId5" w:type="default"/>
          <w:pgSz w:w="11907" w:h="16840"/>
          <w:pgMar w:top="1440" w:right="1077" w:bottom="1440" w:left="1077" w:header="964" w:footer="992" w:gutter="0"/>
          <w:pgNumType w:fmt="decimal" w:start="1"/>
          <w:cols w:space="720" w:num="1"/>
          <w:docGrid w:linePitch="354" w:charSpace="0"/>
        </w:sectPr>
      </w:pPr>
      <w:r>
        <w:rPr>
          <w:rFonts w:hint="eastAsia" w:ascii="仿宋_GB2312" w:hAnsi="仿宋_GB2312" w:eastAsia="仿宋_GB2312" w:cs="仿宋_GB2312"/>
          <w:color w:val="auto"/>
          <w:sz w:val="24"/>
          <w:szCs w:val="24"/>
          <w:highlight w:val="none"/>
        </w:rPr>
        <w:t xml:space="preserve">                            日期：</w:t>
      </w:r>
    </w:p>
    <w:p>
      <w:pPr>
        <w:spacing w:line="440" w:lineRule="exact"/>
        <w:jc w:val="center"/>
        <w:rPr>
          <w:rFonts w:ascii="仿宋_GB2312" w:hAnsi="宋体" w:eastAsia="仿宋_GB2312"/>
          <w:b/>
          <w:bCs/>
          <w:color w:val="auto"/>
          <w:sz w:val="28"/>
          <w:szCs w:val="28"/>
          <w:highlight w:val="none"/>
        </w:rPr>
      </w:pPr>
      <w:r>
        <w:rPr>
          <w:rFonts w:hint="eastAsia" w:ascii="仿宋_GB2312" w:eastAsia="仿宋_GB2312"/>
          <w:b/>
          <w:bCs/>
          <w:color w:val="auto"/>
          <w:sz w:val="24"/>
          <w:highlight w:val="none"/>
        </w:rPr>
        <w:t>格式3  商务报价一览表（首次）</w:t>
      </w:r>
    </w:p>
    <w:p>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项目名称：                                                     币种：人民币</w:t>
      </w:r>
    </w:p>
    <w:tbl>
      <w:tblPr>
        <w:tblStyle w:val="28"/>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2522"/>
        <w:gridCol w:w="2584"/>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9" w:hRule="atLeast"/>
        </w:trPr>
        <w:tc>
          <w:tcPr>
            <w:tcW w:w="537" w:type="dxa"/>
            <w:tcBorders>
              <w:top w:val="single" w:color="000000" w:sz="2" w:space="0"/>
              <w:left w:val="single" w:color="000000" w:sz="2" w:space="0"/>
              <w:right w:val="single" w:color="000000" w:sz="2"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522" w:type="dxa"/>
            <w:tcBorders>
              <w:top w:val="single" w:color="000000" w:sz="2" w:space="0"/>
              <w:left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p>
        </w:tc>
        <w:tc>
          <w:tcPr>
            <w:tcW w:w="2584" w:type="dxa"/>
            <w:tcBorders>
              <w:top w:val="single" w:color="000000" w:sz="2" w:space="0"/>
              <w:left w:val="single" w:color="auto" w:sz="4" w:space="0"/>
            </w:tcBorders>
            <w:noWrap/>
            <w:vAlign w:val="center"/>
          </w:tcPr>
          <w:p>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下浮率</w:t>
            </w:r>
            <w:r>
              <w:rPr>
                <w:rFonts w:hint="eastAsia" w:ascii="仿宋_GB2312" w:hAnsi="仿宋_GB2312" w:eastAsia="仿宋_GB2312" w:cs="仿宋_GB2312"/>
                <w:color w:val="auto"/>
                <w:sz w:val="24"/>
                <w:highlight w:val="none"/>
                <w:lang w:val="en-US" w:eastAsia="zh-CN"/>
              </w:rPr>
              <w:t>%</w:t>
            </w:r>
          </w:p>
        </w:tc>
        <w:tc>
          <w:tcPr>
            <w:tcW w:w="4597" w:type="dxa"/>
            <w:tcBorders>
              <w:top w:val="single" w:color="000000" w:sz="2" w:space="0"/>
              <w:left w:val="single" w:color="auto" w:sz="4"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8" w:hRule="atLeast"/>
        </w:trPr>
        <w:tc>
          <w:tcPr>
            <w:tcW w:w="537" w:type="dxa"/>
            <w:tcBorders>
              <w:top w:val="single" w:color="000000" w:sz="2" w:space="0"/>
              <w:left w:val="single" w:color="000000" w:sz="2" w:space="0"/>
              <w:right w:val="single" w:color="000000" w:sz="2"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522" w:type="dxa"/>
            <w:tcBorders>
              <w:top w:val="single" w:color="000000" w:sz="2" w:space="0"/>
              <w:left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val="0"/>
                <w:bCs w:val="0"/>
                <w:color w:val="auto"/>
                <w:sz w:val="24"/>
                <w:szCs w:val="24"/>
                <w:highlight w:val="none"/>
              </w:rPr>
              <w:t>月结算</w:t>
            </w:r>
            <w:r>
              <w:rPr>
                <w:rFonts w:hint="eastAsia" w:ascii="仿宋_GB2312" w:hAnsi="仿宋_GB2312" w:eastAsia="仿宋_GB2312" w:cs="仿宋_GB2312"/>
                <w:b w:val="0"/>
                <w:bCs w:val="0"/>
                <w:color w:val="auto"/>
                <w:sz w:val="24"/>
                <w:szCs w:val="24"/>
                <w:highlight w:val="none"/>
                <w:lang w:eastAsia="zh-CN"/>
              </w:rPr>
              <w:t>价</w:t>
            </w:r>
            <w:r>
              <w:rPr>
                <w:rFonts w:hint="eastAsia" w:ascii="仿宋_GB2312" w:hAnsi="仿宋_GB2312" w:eastAsia="仿宋_GB2312" w:cs="仿宋_GB2312"/>
                <w:b w:val="0"/>
                <w:bCs w:val="0"/>
                <w:color w:val="auto"/>
                <w:sz w:val="24"/>
                <w:szCs w:val="24"/>
                <w:highlight w:val="none"/>
              </w:rPr>
              <w:t>下浮率</w:t>
            </w:r>
            <w:r>
              <w:rPr>
                <w:rFonts w:hint="eastAsia" w:ascii="仿宋_GB2312" w:hAnsi="仿宋_GB2312" w:eastAsia="仿宋_GB2312" w:cs="仿宋_GB2312"/>
                <w:b w:val="0"/>
                <w:bCs w:val="0"/>
                <w:color w:val="auto"/>
                <w:sz w:val="24"/>
                <w:szCs w:val="24"/>
                <w:highlight w:val="none"/>
                <w:lang w:val="en-US" w:eastAsia="zh-CN"/>
              </w:rPr>
              <w:t>%</w:t>
            </w:r>
          </w:p>
        </w:tc>
        <w:tc>
          <w:tcPr>
            <w:tcW w:w="2584" w:type="dxa"/>
            <w:tcBorders>
              <w:top w:val="single" w:color="000000" w:sz="2" w:space="0"/>
              <w:left w:val="single" w:color="auto" w:sz="4"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tc>
        <w:tc>
          <w:tcPr>
            <w:tcW w:w="4597" w:type="dxa"/>
            <w:tcBorders>
              <w:top w:val="single" w:color="000000" w:sz="2" w:space="0"/>
              <w:left w:val="single" w:color="auto" w:sz="4" w:space="0"/>
            </w:tcBorders>
            <w:noWrap/>
            <w:vAlign w:val="center"/>
          </w:tcPr>
          <w:p>
            <w:pPr>
              <w:spacing w:line="360" w:lineRule="auto"/>
              <w:ind w:firstLine="482"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根据</w:t>
            </w:r>
            <w:r>
              <w:rPr>
                <w:rFonts w:hint="eastAsia" w:ascii="仿宋_GB2312" w:hAnsi="仿宋_GB2312" w:eastAsia="仿宋_GB2312" w:cs="仿宋_GB2312"/>
                <w:b/>
                <w:bCs/>
                <w:color w:val="auto"/>
                <w:sz w:val="24"/>
                <w:szCs w:val="24"/>
                <w:highlight w:val="none"/>
                <w:lang w:eastAsia="zh-CN"/>
              </w:rPr>
              <w:t>相关</w:t>
            </w:r>
            <w:r>
              <w:rPr>
                <w:rFonts w:hint="eastAsia" w:ascii="仿宋_GB2312" w:hAnsi="仿宋_GB2312" w:eastAsia="仿宋_GB2312" w:cs="仿宋_GB2312"/>
                <w:b/>
                <w:bCs/>
                <w:color w:val="auto"/>
                <w:sz w:val="24"/>
                <w:szCs w:val="24"/>
                <w:highlight w:val="none"/>
              </w:rPr>
              <w:t>标准须报出</w:t>
            </w:r>
            <w:r>
              <w:rPr>
                <w:rFonts w:hint="eastAsia" w:ascii="仿宋_GB2312" w:hAnsi="仿宋_GB2312" w:eastAsia="仿宋_GB2312" w:cs="仿宋_GB2312"/>
                <w:b/>
                <w:bCs/>
                <w:color w:val="auto"/>
                <w:sz w:val="24"/>
                <w:szCs w:val="24"/>
                <w:highlight w:val="none"/>
                <w:lang w:eastAsia="zh-CN"/>
              </w:rPr>
              <w:t>月</w:t>
            </w:r>
            <w:r>
              <w:rPr>
                <w:rFonts w:hint="eastAsia" w:ascii="仿宋_GB2312" w:hAnsi="仿宋_GB2312" w:eastAsia="仿宋_GB2312" w:cs="仿宋_GB2312"/>
                <w:b/>
                <w:bCs/>
                <w:color w:val="auto"/>
                <w:sz w:val="24"/>
                <w:szCs w:val="24"/>
                <w:highlight w:val="none"/>
              </w:rPr>
              <w:t>结算价下浮率，并作为报价得分的依据，但承诺下浮率数值范围应大于0，否则报价得分按零分计取。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537" w:type="dxa"/>
            <w:tcBorders>
              <w:top w:val="single" w:color="auto" w:sz="4" w:space="0"/>
              <w:left w:val="single" w:color="000000" w:sz="2" w:space="0"/>
              <w:bottom w:val="single" w:color="000000" w:sz="2" w:space="0"/>
              <w:right w:val="single" w:color="000000" w:sz="2"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522" w:type="dxa"/>
            <w:tcBorders>
              <w:top w:val="single" w:color="auto" w:sz="4" w:space="0"/>
              <w:left w:val="single" w:color="auto" w:sz="4" w:space="0"/>
              <w:bottom w:val="single" w:color="000000" w:sz="2" w:space="0"/>
              <w:right w:val="single" w:color="auto" w:sz="4"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服务期</w:t>
            </w:r>
          </w:p>
        </w:tc>
        <w:tc>
          <w:tcPr>
            <w:tcW w:w="7181" w:type="dxa"/>
            <w:gridSpan w:val="2"/>
            <w:tcBorders>
              <w:top w:val="single" w:color="auto" w:sz="4" w:space="0"/>
              <w:left w:val="single" w:color="auto" w:sz="4" w:space="0"/>
              <w:bottom w:val="single" w:color="000000" w:sz="2" w:space="0"/>
              <w:right w:val="single" w:color="000000" w:sz="2" w:space="0"/>
            </w:tcBorders>
            <w:noWrap/>
            <w:vAlign w:val="center"/>
          </w:tcPr>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新宋体" w:eastAsia="仿宋_GB2312"/>
                <w:b/>
                <w:color w:val="auto"/>
                <w:sz w:val="24"/>
                <w:highlight w:val="none"/>
              </w:rPr>
              <w:t>自签订合同之日起三年整，合同一年一签，按年度考核验收，考核验收合格后续签下一年合同。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4" w:hRule="atLeast"/>
        </w:trPr>
        <w:tc>
          <w:tcPr>
            <w:tcW w:w="537" w:type="dxa"/>
            <w:tcBorders>
              <w:top w:val="single" w:color="auto" w:sz="4" w:space="0"/>
              <w:left w:val="single" w:color="000000" w:sz="2" w:space="0"/>
              <w:bottom w:val="single" w:color="000000" w:sz="2" w:space="0"/>
              <w:right w:val="single" w:color="000000" w:sz="2" w:space="0"/>
            </w:tcBorders>
            <w:noWrap/>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522" w:type="dxa"/>
            <w:tcBorders>
              <w:top w:val="single" w:color="auto" w:sz="4" w:space="0"/>
              <w:left w:val="single" w:color="auto" w:sz="4" w:space="0"/>
              <w:bottom w:val="single" w:color="000000" w:sz="2" w:space="0"/>
              <w:right w:val="single" w:color="000000" w:sz="2" w:space="0"/>
            </w:tcBorders>
            <w:noWrap/>
            <w:vAlign w:val="center"/>
          </w:tcPr>
          <w:p>
            <w:pPr>
              <w:spacing w:line="360" w:lineRule="auto"/>
              <w:ind w:firstLine="9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供应商其它说明（由各供应商根据本采购项目要求自行列出需说明及承诺内容）</w:t>
            </w:r>
          </w:p>
        </w:tc>
        <w:tc>
          <w:tcPr>
            <w:tcW w:w="7181" w:type="dxa"/>
            <w:gridSpan w:val="2"/>
            <w:tcBorders>
              <w:top w:val="single" w:color="auto" w:sz="4" w:space="0"/>
              <w:left w:val="single" w:color="auto" w:sz="4" w:space="0"/>
              <w:bottom w:val="single" w:color="000000" w:sz="2" w:space="0"/>
              <w:right w:val="single" w:color="000000" w:sz="2" w:space="0"/>
            </w:tcBorders>
            <w:noWrap/>
            <w:vAlign w:val="center"/>
          </w:tcPr>
          <w:p>
            <w:pPr>
              <w:spacing w:line="360" w:lineRule="auto"/>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3" w:hRule="exact"/>
        </w:trPr>
        <w:tc>
          <w:tcPr>
            <w:tcW w:w="10240" w:type="dxa"/>
            <w:gridSpan w:val="4"/>
            <w:tcBorders>
              <w:top w:val="single" w:color="auto" w:sz="4" w:space="0"/>
              <w:left w:val="single" w:color="000000" w:sz="2" w:space="0"/>
              <w:bottom w:val="single" w:color="000000" w:sz="2" w:space="0"/>
              <w:right w:val="single" w:color="000000" w:sz="2" w:space="0"/>
            </w:tcBorders>
            <w:noWrap/>
            <w:vAlign w:val="center"/>
          </w:tcPr>
          <w:p>
            <w:pPr>
              <w:spacing w:line="360" w:lineRule="auto"/>
              <w:ind w:right="122" w:rightChars="58"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报价包含的内容：完成克拉玛依区社区卫生服务机构采购大包装中药免煎颗粒、中草药项目应承担的所有工作，根据社区卫生服务机构饮片、免煎颗粒采购计划提供并配送药品，以及对社区卫生服务机构所开具的中医饮片处方的调配、煎药、配送；提供专业的学术服务，定期组织中医药相关培训及卫生行政部门认可的中医专家坐诊带教；以及卫生行政部门批准的其他适宜社区医疗的服务，并配合采购人完成与此服务相关的合同条款、项目采购需求、</w:t>
            </w:r>
            <w:r>
              <w:rPr>
                <w:rFonts w:hint="eastAsia" w:ascii="仿宋_GB2312" w:hAnsi="仿宋_GB2312" w:eastAsia="仿宋_GB2312" w:cs="仿宋_GB2312"/>
                <w:color w:val="auto"/>
                <w:sz w:val="24"/>
                <w:highlight w:val="none"/>
                <w:lang w:eastAsia="zh-CN"/>
              </w:rPr>
              <w:t>竞争性磋商文件</w:t>
            </w:r>
            <w:r>
              <w:rPr>
                <w:rFonts w:hint="eastAsia" w:ascii="仿宋_GB2312" w:hAnsi="仿宋_GB2312" w:eastAsia="仿宋_GB2312" w:cs="仿宋_GB2312"/>
                <w:color w:val="auto"/>
                <w:sz w:val="24"/>
                <w:highlight w:val="none"/>
              </w:rPr>
              <w:t>约定的全部内容及责任和义务。</w:t>
            </w:r>
          </w:p>
          <w:p>
            <w:pPr>
              <w:spacing w:line="360" w:lineRule="auto"/>
              <w:ind w:right="122" w:rightChars="58" w:firstLine="480" w:firstLineChars="200"/>
              <w:rPr>
                <w:rFonts w:ascii="仿宋_GB2312" w:hAnsi="仿宋_GB2312" w:eastAsia="仿宋_GB2312" w:cs="仿宋_GB2312"/>
                <w:color w:val="auto"/>
                <w:sz w:val="24"/>
                <w:highlight w:val="none"/>
              </w:rPr>
            </w:pPr>
            <w:r>
              <w:rPr>
                <w:rFonts w:hint="eastAsia" w:ascii="仿宋_GB2312" w:hAnsi="宋体" w:eastAsia="仿宋_GB2312" w:cs="宋体"/>
                <w:b w:val="0"/>
                <w:bCs/>
                <w:color w:val="auto"/>
                <w:sz w:val="24"/>
                <w:szCs w:val="21"/>
                <w:highlight w:val="none"/>
                <w:lang w:val="en-US" w:eastAsia="zh-CN"/>
              </w:rPr>
              <w:t>2、</w:t>
            </w:r>
            <w:r>
              <w:rPr>
                <w:rFonts w:hint="eastAsia" w:ascii="仿宋_GB2312" w:hAnsi="宋体" w:eastAsia="仿宋_GB2312" w:cs="宋体"/>
                <w:b w:val="0"/>
                <w:bCs/>
                <w:color w:val="auto"/>
                <w:sz w:val="24"/>
                <w:szCs w:val="21"/>
                <w:highlight w:val="none"/>
              </w:rPr>
              <w:t>最终结算的价款，按照</w:t>
            </w:r>
            <w:r>
              <w:rPr>
                <w:rFonts w:hint="eastAsia" w:ascii="仿宋_GB2312" w:hAnsi="宋体" w:eastAsia="仿宋_GB2312" w:cs="宋体"/>
                <w:b w:val="0"/>
                <w:bCs/>
                <w:color w:val="auto"/>
                <w:sz w:val="24"/>
                <w:szCs w:val="21"/>
                <w:highlight w:val="none"/>
                <w:lang w:eastAsia="zh-CN"/>
              </w:rPr>
              <w:t>成交供应商</w:t>
            </w:r>
            <w:r>
              <w:rPr>
                <w:rFonts w:hint="eastAsia" w:ascii="仿宋_GB2312" w:hAnsi="宋体" w:eastAsia="仿宋_GB2312" w:cs="宋体"/>
                <w:b w:val="0"/>
                <w:bCs/>
                <w:color w:val="auto"/>
                <w:sz w:val="24"/>
                <w:szCs w:val="21"/>
                <w:highlight w:val="none"/>
              </w:rPr>
              <w:t>经审定批准的价款与（1-</w:t>
            </w:r>
            <w:r>
              <w:rPr>
                <w:rFonts w:hint="eastAsia" w:ascii="仿宋_GB2312" w:hAnsi="宋体" w:eastAsia="仿宋_GB2312" w:cs="宋体"/>
                <w:b w:val="0"/>
                <w:bCs/>
                <w:color w:val="auto"/>
                <w:sz w:val="24"/>
                <w:szCs w:val="21"/>
                <w:highlight w:val="none"/>
                <w:lang w:eastAsia="zh-CN"/>
              </w:rPr>
              <w:t>成交供应商经审定</w:t>
            </w:r>
            <w:r>
              <w:rPr>
                <w:rFonts w:hint="eastAsia" w:ascii="仿宋_GB2312" w:hAnsi="宋体" w:eastAsia="仿宋_GB2312" w:cs="宋体"/>
                <w:b w:val="0"/>
                <w:bCs/>
                <w:color w:val="auto"/>
                <w:sz w:val="24"/>
                <w:szCs w:val="21"/>
                <w:highlight w:val="none"/>
              </w:rPr>
              <w:t>的</w:t>
            </w:r>
            <w:r>
              <w:rPr>
                <w:rFonts w:hint="eastAsia" w:ascii="仿宋_GB2312" w:hAnsi="宋体" w:eastAsia="仿宋_GB2312" w:cs="宋体"/>
                <w:b w:val="0"/>
                <w:bCs/>
                <w:color w:val="auto"/>
                <w:sz w:val="24"/>
                <w:szCs w:val="21"/>
                <w:highlight w:val="none"/>
                <w:lang w:eastAsia="zh-CN"/>
              </w:rPr>
              <w:t>月结算价</w:t>
            </w:r>
            <w:r>
              <w:rPr>
                <w:rFonts w:hint="eastAsia" w:ascii="仿宋_GB2312" w:hAnsi="宋体" w:eastAsia="仿宋_GB2312" w:cs="宋体"/>
                <w:b w:val="0"/>
                <w:bCs/>
                <w:color w:val="auto"/>
                <w:sz w:val="24"/>
                <w:szCs w:val="21"/>
                <w:highlight w:val="none"/>
              </w:rPr>
              <w:t>下浮率）之积进行结算。</w:t>
            </w:r>
          </w:p>
        </w:tc>
      </w:tr>
    </w:tbl>
    <w:p>
      <w:pPr>
        <w:spacing w:line="360" w:lineRule="exact"/>
        <w:rPr>
          <w:rFonts w:ascii="仿宋_GB2312" w:hAnsi="宋体" w:eastAsia="仿宋_GB2312"/>
          <w:color w:val="auto"/>
          <w:sz w:val="24"/>
          <w:highlight w:val="none"/>
        </w:rPr>
      </w:pPr>
    </w:p>
    <w:p>
      <w:pPr>
        <w:spacing w:line="360" w:lineRule="auto"/>
        <w:ind w:firstLine="240" w:firstLineChars="100"/>
        <w:rPr>
          <w:rFonts w:ascii="仿宋_GB2312" w:eastAsia="仿宋_GB2312"/>
          <w:color w:val="auto"/>
          <w:sz w:val="24"/>
          <w:highlight w:val="none"/>
        </w:rPr>
      </w:pPr>
      <w:r>
        <w:rPr>
          <w:rFonts w:hint="eastAsia" w:ascii="仿宋_GB2312" w:eastAsia="仿宋_GB2312"/>
          <w:color w:val="auto"/>
          <w:sz w:val="24"/>
          <w:highlight w:val="none"/>
        </w:rPr>
        <w:t xml:space="preserve">供应商(盖章)： </w:t>
      </w:r>
    </w:p>
    <w:p>
      <w:pPr>
        <w:spacing w:line="360" w:lineRule="auto"/>
        <w:ind w:firstLine="240" w:firstLineChars="100"/>
        <w:rPr>
          <w:rFonts w:ascii="仿宋_GB2312" w:eastAsia="仿宋_GB2312"/>
          <w:color w:val="auto"/>
          <w:sz w:val="24"/>
          <w:highlight w:val="none"/>
        </w:rPr>
      </w:pPr>
      <w:r>
        <w:rPr>
          <w:rFonts w:hint="eastAsia" w:ascii="仿宋_GB2312" w:eastAsia="仿宋_GB2312"/>
          <w:color w:val="auto"/>
          <w:sz w:val="24"/>
          <w:highlight w:val="none"/>
        </w:rPr>
        <w:t>法定代表人或委托代理人（签字或盖章）：</w:t>
      </w:r>
    </w:p>
    <w:p>
      <w:pPr>
        <w:spacing w:line="360" w:lineRule="auto"/>
        <w:jc w:val="right"/>
        <w:rPr>
          <w:rFonts w:ascii="仿宋_GB2312" w:eastAsia="仿宋_GB2312"/>
          <w:color w:val="auto"/>
          <w:szCs w:val="21"/>
          <w:highlight w:val="none"/>
        </w:rPr>
      </w:pPr>
      <w:r>
        <w:rPr>
          <w:rFonts w:hint="eastAsia" w:ascii="仿宋_GB2312" w:eastAsia="仿宋_GB2312"/>
          <w:color w:val="auto"/>
          <w:sz w:val="24"/>
          <w:highlight w:val="none"/>
        </w:rPr>
        <w:t>报价日期：   年  月   日</w:t>
      </w:r>
    </w:p>
    <w:p>
      <w:pPr>
        <w:spacing w:line="360" w:lineRule="auto"/>
        <w:ind w:firstLine="482" w:firstLineChars="200"/>
        <w:rPr>
          <w:rFonts w:ascii="黑体" w:hAnsi="黑体" w:eastAsia="黑体" w:cs="黑体"/>
          <w:b/>
          <w:color w:val="auto"/>
          <w:sz w:val="24"/>
          <w:highlight w:val="none"/>
        </w:rPr>
      </w:pPr>
      <w:r>
        <w:rPr>
          <w:rFonts w:hint="eastAsia" w:ascii="黑体" w:hAnsi="黑体" w:eastAsia="黑体" w:cs="黑体"/>
          <w:b/>
          <w:color w:val="auto"/>
          <w:sz w:val="24"/>
          <w:highlight w:val="none"/>
        </w:rPr>
        <w:t>注：</w:t>
      </w:r>
      <w:bookmarkStart w:id="244" w:name="_Toc217446087"/>
    </w:p>
    <w:bookmarkEnd w:id="244"/>
    <w:p>
      <w:pPr>
        <w:spacing w:line="360" w:lineRule="auto"/>
        <w:ind w:firstLine="482" w:firstLineChars="200"/>
        <w:rPr>
          <w:rFonts w:hint="eastAsia" w:ascii="黑体" w:hAnsi="黑体" w:eastAsia="黑体" w:cs="黑体"/>
          <w:b/>
          <w:color w:val="auto"/>
          <w:sz w:val="24"/>
          <w:highlight w:val="none"/>
          <w:lang w:eastAsia="zh-CN"/>
        </w:rPr>
      </w:pPr>
      <w:r>
        <w:rPr>
          <w:rFonts w:hint="eastAsia" w:ascii="黑体" w:hAnsi="黑体" w:eastAsia="黑体" w:cs="黑体"/>
          <w:b/>
          <w:color w:val="auto"/>
          <w:sz w:val="24"/>
          <w:highlight w:val="none"/>
        </w:rPr>
        <w:t>1、供应商须按本商务报价一览表格式制作“最后报价表”，并加盖单位公章后自行带至磋商现场，经磋商后由各供应商填写最后报价</w:t>
      </w:r>
      <w:r>
        <w:rPr>
          <w:rFonts w:hint="eastAsia" w:ascii="黑体" w:hAnsi="黑体" w:eastAsia="黑体" w:cs="黑体"/>
          <w:b/>
          <w:color w:val="auto"/>
          <w:sz w:val="24"/>
          <w:highlight w:val="none"/>
          <w:lang w:eastAsia="zh-CN"/>
        </w:rPr>
        <w:t>。</w:t>
      </w:r>
    </w:p>
    <w:p>
      <w:pPr>
        <w:spacing w:line="360" w:lineRule="auto"/>
        <w:ind w:firstLine="482" w:firstLineChars="200"/>
        <w:rPr>
          <w:rFonts w:ascii="黑体" w:hAnsi="黑体" w:eastAsia="黑体" w:cs="黑体"/>
          <w:b/>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hint="eastAsia" w:ascii="仿宋_GB2312" w:eastAsia="仿宋_GB2312"/>
          <w:b/>
          <w:bCs/>
          <w:color w:val="auto"/>
          <w:sz w:val="24"/>
          <w:highlight w:val="none"/>
        </w:rPr>
      </w:pPr>
    </w:p>
    <w:p>
      <w:pPr>
        <w:spacing w:line="360" w:lineRule="auto"/>
        <w:jc w:val="center"/>
        <w:rPr>
          <w:rFonts w:ascii="仿宋_GB2312" w:eastAsia="仿宋_GB2312"/>
          <w:b/>
          <w:color w:val="auto"/>
          <w:sz w:val="24"/>
          <w:highlight w:val="none"/>
        </w:rPr>
      </w:pPr>
      <w:r>
        <w:rPr>
          <w:rFonts w:hint="eastAsia" w:ascii="仿宋_GB2312" w:eastAsia="仿宋_GB2312"/>
          <w:b/>
          <w:bCs/>
          <w:color w:val="auto"/>
          <w:sz w:val="24"/>
          <w:highlight w:val="none"/>
        </w:rPr>
        <w:t>格式4  法定代表人资格证明书</w:t>
      </w:r>
    </w:p>
    <w:p>
      <w:pPr>
        <w:tabs>
          <w:tab w:val="left" w:pos="360"/>
          <w:tab w:val="left" w:pos="1800"/>
        </w:tabs>
        <w:spacing w:line="480" w:lineRule="exact"/>
        <w:ind w:left="540"/>
        <w:rPr>
          <w:rFonts w:ascii="仿宋_GB2312" w:eastAsia="仿宋_GB2312"/>
          <w:bCs/>
          <w:color w:val="auto"/>
          <w:sz w:val="24"/>
          <w:highlight w:val="none"/>
        </w:rPr>
      </w:pPr>
    </w:p>
    <w:p>
      <w:pPr>
        <w:tabs>
          <w:tab w:val="left" w:pos="360"/>
          <w:tab w:val="left" w:pos="1800"/>
        </w:tabs>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单位名称：</w:t>
      </w:r>
    </w:p>
    <w:p>
      <w:pPr>
        <w:tabs>
          <w:tab w:val="left" w:pos="360"/>
          <w:tab w:val="left" w:pos="1800"/>
        </w:tabs>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地址：</w:t>
      </w:r>
    </w:p>
    <w:p>
      <w:pPr>
        <w:tabs>
          <w:tab w:val="left" w:pos="360"/>
          <w:tab w:val="left" w:pos="720"/>
          <w:tab w:val="left" w:pos="900"/>
          <w:tab w:val="left" w:pos="1800"/>
        </w:tabs>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姓名：        性别：       年龄：         职务： </w:t>
      </w:r>
    </w:p>
    <w:p>
      <w:pPr>
        <w:tabs>
          <w:tab w:val="left" w:pos="360"/>
          <w:tab w:val="left" w:pos="1800"/>
        </w:tabs>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系</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单位）的法定代表人。为的服务，签署上述工程的相应文件、进行合同谈判、签署合同和处理与之有关的一切事务。</w:t>
      </w:r>
    </w:p>
    <w:p>
      <w:pPr>
        <w:tabs>
          <w:tab w:val="left" w:pos="360"/>
          <w:tab w:val="left" w:pos="1800"/>
        </w:tabs>
        <w:spacing w:line="360" w:lineRule="auto"/>
        <w:rPr>
          <w:rFonts w:ascii="仿宋_GB2312" w:eastAsia="仿宋_GB2312"/>
          <w:color w:val="auto"/>
          <w:sz w:val="24"/>
          <w:highlight w:val="none"/>
        </w:rPr>
      </w:pPr>
    </w:p>
    <w:p>
      <w:pPr>
        <w:tabs>
          <w:tab w:val="left" w:pos="360"/>
          <w:tab w:val="left" w:pos="1800"/>
        </w:tabs>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特此证明。</w:t>
      </w:r>
    </w:p>
    <w:p>
      <w:pPr>
        <w:tabs>
          <w:tab w:val="left" w:pos="360"/>
          <w:tab w:val="left" w:pos="1800"/>
        </w:tabs>
        <w:spacing w:line="360" w:lineRule="auto"/>
        <w:ind w:left="4500"/>
        <w:rPr>
          <w:rFonts w:ascii="仿宋_GB2312" w:eastAsia="仿宋_GB2312"/>
          <w:color w:val="auto"/>
          <w:sz w:val="24"/>
          <w:highlight w:val="none"/>
        </w:rPr>
      </w:pPr>
      <w:r>
        <w:rPr>
          <w:rFonts w:hint="eastAsia" w:ascii="仿宋_GB2312" w:eastAsia="仿宋_GB2312"/>
          <w:color w:val="auto"/>
          <w:sz w:val="24"/>
          <w:highlight w:val="none"/>
        </w:rPr>
        <w:t>供应商：（盖章）</w:t>
      </w:r>
    </w:p>
    <w:p>
      <w:pPr>
        <w:tabs>
          <w:tab w:val="left" w:pos="360"/>
          <w:tab w:val="left" w:pos="1800"/>
        </w:tabs>
        <w:spacing w:line="360" w:lineRule="auto"/>
        <w:ind w:left="4500"/>
        <w:rPr>
          <w:rFonts w:ascii="仿宋_GB2312" w:eastAsia="仿宋_GB2312"/>
          <w:color w:val="auto"/>
          <w:sz w:val="24"/>
          <w:highlight w:val="none"/>
        </w:rPr>
      </w:pPr>
      <w:r>
        <w:rPr>
          <w:rFonts w:hint="eastAsia" w:ascii="仿宋_GB2312" w:eastAsia="仿宋_GB2312"/>
          <w:color w:val="auto"/>
          <w:sz w:val="24"/>
          <w:highlight w:val="none"/>
        </w:rPr>
        <w:t>日期：    年   月   日</w:t>
      </w:r>
    </w:p>
    <w:p>
      <w:pPr>
        <w:tabs>
          <w:tab w:val="left" w:pos="360"/>
          <w:tab w:val="left" w:pos="1800"/>
        </w:tabs>
        <w:spacing w:line="360" w:lineRule="auto"/>
        <w:ind w:firstLine="6000" w:firstLineChars="2500"/>
        <w:rPr>
          <w:rFonts w:ascii="仿宋_GB2312" w:eastAsia="仿宋_GB2312"/>
          <w:bCs/>
          <w:color w:val="auto"/>
          <w:sz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tcPr>
          <w:p>
            <w:pPr>
              <w:tabs>
                <w:tab w:val="left" w:pos="360"/>
                <w:tab w:val="left" w:pos="1800"/>
              </w:tabs>
              <w:spacing w:line="480" w:lineRule="auto"/>
              <w:jc w:val="center"/>
              <w:rPr>
                <w:rFonts w:ascii="仿宋_GB2312" w:hAnsi="Tahoma" w:eastAsia="仿宋_GB2312"/>
                <w:color w:val="auto"/>
                <w:sz w:val="24"/>
                <w:highlight w:val="none"/>
              </w:rPr>
            </w:pPr>
          </w:p>
          <w:p>
            <w:pPr>
              <w:tabs>
                <w:tab w:val="left" w:pos="360"/>
                <w:tab w:val="left" w:pos="1800"/>
              </w:tabs>
              <w:spacing w:line="480" w:lineRule="auto"/>
              <w:jc w:val="center"/>
              <w:rPr>
                <w:rFonts w:ascii="仿宋_GB2312" w:hAnsi="Tahoma" w:eastAsia="仿宋_GB2312"/>
                <w:color w:val="auto"/>
                <w:sz w:val="24"/>
                <w:highlight w:val="none"/>
              </w:rPr>
            </w:pPr>
          </w:p>
          <w:p>
            <w:pPr>
              <w:tabs>
                <w:tab w:val="left" w:pos="360"/>
                <w:tab w:val="left" w:pos="1800"/>
              </w:tabs>
              <w:spacing w:line="480" w:lineRule="auto"/>
              <w:jc w:val="center"/>
              <w:rPr>
                <w:rFonts w:ascii="仿宋_GB2312" w:hAnsi="Tahoma" w:eastAsia="仿宋_GB2312"/>
                <w:color w:val="auto"/>
                <w:sz w:val="24"/>
                <w:highlight w:val="none"/>
              </w:rPr>
            </w:pPr>
            <w:r>
              <w:rPr>
                <w:rFonts w:hint="eastAsia" w:ascii="仿宋_GB2312" w:hAnsi="Tahoma" w:eastAsia="仿宋_GB2312"/>
                <w:color w:val="auto"/>
                <w:sz w:val="24"/>
                <w:highlight w:val="none"/>
              </w:rPr>
              <w:t>法定代表人身份证复印件或扫描件（正、反两面）</w:t>
            </w:r>
          </w:p>
        </w:tc>
      </w:tr>
    </w:tbl>
    <w:p>
      <w:pPr>
        <w:tabs>
          <w:tab w:val="left" w:pos="360"/>
          <w:tab w:val="left" w:pos="1800"/>
        </w:tabs>
        <w:spacing w:line="480" w:lineRule="exact"/>
        <w:jc w:val="center"/>
        <w:rPr>
          <w:rFonts w:ascii="仿宋_GB2312" w:eastAsia="仿宋_GB2312"/>
          <w:b/>
          <w:bCs/>
          <w:color w:val="auto"/>
          <w:sz w:val="24"/>
          <w:highlight w:val="none"/>
        </w:rPr>
      </w:pPr>
      <w:r>
        <w:rPr>
          <w:rFonts w:hint="eastAsia" w:ascii="仿宋_GB2312" w:eastAsia="仿宋_GB2312"/>
          <w:b/>
          <w:bCs/>
          <w:color w:val="auto"/>
          <w:sz w:val="24"/>
          <w:highlight w:val="none"/>
        </w:rPr>
        <w:t>注：法定代表人身份证复印件或扫描件应反映出证件有效期等所载内容。</w:t>
      </w:r>
    </w:p>
    <w:p>
      <w:pPr>
        <w:tabs>
          <w:tab w:val="left" w:pos="360"/>
          <w:tab w:val="left" w:pos="1800"/>
        </w:tabs>
        <w:spacing w:line="480" w:lineRule="exact"/>
        <w:ind w:left="1980" w:firstLine="1080"/>
        <w:rPr>
          <w:rFonts w:ascii="仿宋_GB2312" w:eastAsia="仿宋_GB2312"/>
          <w:bCs/>
          <w:color w:val="auto"/>
          <w:highlight w:val="none"/>
        </w:rPr>
      </w:pPr>
    </w:p>
    <w:p>
      <w:pPr>
        <w:tabs>
          <w:tab w:val="left" w:pos="360"/>
          <w:tab w:val="left" w:pos="1800"/>
        </w:tabs>
        <w:spacing w:line="480" w:lineRule="exact"/>
        <w:rPr>
          <w:rFonts w:ascii="仿宋_GB2312" w:eastAsia="仿宋_GB2312"/>
          <w:bCs/>
          <w:color w:val="auto"/>
          <w:sz w:val="24"/>
          <w:highlight w:val="none"/>
        </w:rPr>
      </w:pPr>
    </w:p>
    <w:p>
      <w:pPr>
        <w:tabs>
          <w:tab w:val="left" w:pos="360"/>
          <w:tab w:val="left" w:pos="1800"/>
        </w:tabs>
        <w:spacing w:line="480" w:lineRule="exact"/>
        <w:rPr>
          <w:rFonts w:ascii="仿宋_GB2312" w:eastAsia="仿宋_GB2312"/>
          <w:bCs/>
          <w:color w:val="auto"/>
          <w:sz w:val="24"/>
          <w:highlight w:val="none"/>
        </w:rPr>
      </w:pPr>
    </w:p>
    <w:p>
      <w:pPr>
        <w:tabs>
          <w:tab w:val="left" w:pos="360"/>
          <w:tab w:val="left" w:pos="1800"/>
        </w:tabs>
        <w:spacing w:line="480" w:lineRule="exact"/>
        <w:rPr>
          <w:rFonts w:ascii="仿宋_GB2312" w:eastAsia="仿宋_GB2312"/>
          <w:bCs/>
          <w:color w:val="auto"/>
          <w:sz w:val="24"/>
          <w:highlight w:val="none"/>
        </w:rPr>
      </w:pPr>
    </w:p>
    <w:p>
      <w:pPr>
        <w:tabs>
          <w:tab w:val="left" w:pos="360"/>
          <w:tab w:val="left" w:pos="1800"/>
        </w:tabs>
        <w:spacing w:line="480" w:lineRule="exact"/>
        <w:rPr>
          <w:rFonts w:ascii="仿宋_GB2312" w:eastAsia="仿宋_GB2312"/>
          <w:bCs/>
          <w:color w:val="auto"/>
          <w:sz w:val="24"/>
          <w:highlight w:val="none"/>
        </w:rPr>
      </w:pPr>
    </w:p>
    <w:p>
      <w:pPr>
        <w:tabs>
          <w:tab w:val="left" w:pos="360"/>
          <w:tab w:val="left" w:pos="1800"/>
        </w:tabs>
        <w:spacing w:line="480" w:lineRule="exact"/>
        <w:rPr>
          <w:rFonts w:ascii="仿宋_GB2312" w:eastAsia="仿宋_GB2312"/>
          <w:bCs/>
          <w:color w:val="auto"/>
          <w:sz w:val="24"/>
          <w:highlight w:val="none"/>
        </w:rPr>
      </w:pPr>
    </w:p>
    <w:p>
      <w:pPr>
        <w:tabs>
          <w:tab w:val="left" w:pos="360"/>
          <w:tab w:val="left" w:pos="1800"/>
        </w:tabs>
        <w:spacing w:line="480" w:lineRule="exact"/>
        <w:jc w:val="center"/>
        <w:rPr>
          <w:rFonts w:ascii="仿宋_GB2312" w:eastAsia="仿宋_GB2312"/>
          <w:b/>
          <w:bCs/>
          <w:color w:val="auto"/>
          <w:sz w:val="24"/>
          <w:highlight w:val="none"/>
        </w:rPr>
      </w:pPr>
      <w:r>
        <w:rPr>
          <w:rFonts w:hint="eastAsia" w:ascii="仿宋_GB2312" w:eastAsia="仿宋_GB2312"/>
          <w:b/>
          <w:bCs/>
          <w:color w:val="auto"/>
          <w:sz w:val="24"/>
          <w:highlight w:val="none"/>
        </w:rPr>
        <w:t>格式5  法定代表人授权书</w:t>
      </w:r>
    </w:p>
    <w:p>
      <w:pPr>
        <w:tabs>
          <w:tab w:val="left" w:pos="360"/>
          <w:tab w:val="left" w:pos="1800"/>
        </w:tabs>
        <w:spacing w:line="480" w:lineRule="exact"/>
        <w:ind w:left="239" w:leftChars="114" w:firstLine="240" w:firstLineChars="100"/>
        <w:rPr>
          <w:rFonts w:ascii="仿宋_GB2312" w:eastAsia="仿宋_GB2312"/>
          <w:color w:val="auto"/>
          <w:sz w:val="24"/>
          <w:highlight w:val="none"/>
        </w:rPr>
      </w:pPr>
    </w:p>
    <w:p>
      <w:pPr>
        <w:tabs>
          <w:tab w:val="left" w:pos="360"/>
          <w:tab w:val="left" w:pos="1800"/>
        </w:tabs>
        <w:spacing w:line="480" w:lineRule="exact"/>
        <w:ind w:left="239" w:leftChars="114"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rPr>
        <w:t>本授权委托书声明：我</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姓名）系</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供应商名称）的法定代表人，现授权委托</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供应商名称）的（姓名），其身份证号为为我供应商代理人，以本供应商的名义参加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采购人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磋商项目名称）的磋商活动。</w:t>
      </w:r>
    </w:p>
    <w:p>
      <w:pPr>
        <w:tabs>
          <w:tab w:val="left" w:pos="360"/>
          <w:tab w:val="left" w:pos="1800"/>
        </w:tabs>
        <w:spacing w:line="48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代理人在递交响应文件、磋商、合同谈判过程中所签署的一切文件和处理与之有关的一切事务，我均予以承认。</w:t>
      </w:r>
    </w:p>
    <w:p>
      <w:pPr>
        <w:tabs>
          <w:tab w:val="left" w:pos="360"/>
          <w:tab w:val="left" w:pos="1800"/>
        </w:tabs>
        <w:spacing w:line="480" w:lineRule="exact"/>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rPr>
        <w:t>本授权委托书期限自年月日起至年月日止。</w:t>
      </w:r>
    </w:p>
    <w:p>
      <w:pPr>
        <w:tabs>
          <w:tab w:val="left" w:pos="360"/>
          <w:tab w:val="left" w:pos="1800"/>
        </w:tabs>
        <w:spacing w:line="48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委托代理人无转委权。特此委托。</w:t>
      </w:r>
    </w:p>
    <w:p>
      <w:pPr>
        <w:tabs>
          <w:tab w:val="left" w:pos="360"/>
          <w:tab w:val="left" w:pos="1800"/>
        </w:tabs>
        <w:spacing w:line="48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委托代理人：            性别：           年龄：</w:t>
      </w:r>
    </w:p>
    <w:p>
      <w:pPr>
        <w:tabs>
          <w:tab w:val="left" w:pos="360"/>
          <w:tab w:val="left" w:pos="1800"/>
        </w:tabs>
        <w:spacing w:line="48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单位：                  部门：           职务：</w:t>
      </w:r>
    </w:p>
    <w:p>
      <w:pPr>
        <w:tabs>
          <w:tab w:val="left" w:pos="360"/>
          <w:tab w:val="left" w:pos="1800"/>
        </w:tabs>
        <w:spacing w:line="480" w:lineRule="exact"/>
        <w:ind w:firstLine="3600"/>
        <w:rPr>
          <w:rFonts w:ascii="仿宋_GB2312" w:eastAsia="仿宋_GB2312"/>
          <w:color w:val="auto"/>
          <w:sz w:val="24"/>
          <w:highlight w:val="none"/>
        </w:rPr>
      </w:pPr>
      <w:r>
        <w:rPr>
          <w:rFonts w:hint="eastAsia" w:ascii="仿宋_GB2312" w:eastAsia="仿宋_GB2312"/>
          <w:color w:val="auto"/>
          <w:sz w:val="24"/>
          <w:highlight w:val="none"/>
        </w:rPr>
        <w:t>供应商：（盖章）</w:t>
      </w:r>
    </w:p>
    <w:p>
      <w:pPr>
        <w:tabs>
          <w:tab w:val="left" w:pos="360"/>
          <w:tab w:val="left" w:pos="1800"/>
        </w:tabs>
        <w:spacing w:line="480" w:lineRule="exact"/>
        <w:ind w:firstLine="3600"/>
        <w:rPr>
          <w:rFonts w:ascii="仿宋_GB2312" w:eastAsia="仿宋_GB2312"/>
          <w:color w:val="auto"/>
          <w:sz w:val="24"/>
          <w:highlight w:val="none"/>
        </w:rPr>
      </w:pPr>
      <w:r>
        <w:rPr>
          <w:rFonts w:hint="eastAsia" w:ascii="仿宋_GB2312" w:eastAsia="仿宋_GB2312"/>
          <w:color w:val="auto"/>
          <w:sz w:val="24"/>
          <w:highlight w:val="none"/>
        </w:rPr>
        <w:t>法定代表人：（签字或盖章）</w:t>
      </w:r>
    </w:p>
    <w:p>
      <w:pPr>
        <w:tabs>
          <w:tab w:val="left" w:pos="360"/>
          <w:tab w:val="left" w:pos="1800"/>
        </w:tabs>
        <w:spacing w:line="480" w:lineRule="exact"/>
        <w:ind w:firstLine="3600"/>
        <w:rPr>
          <w:rFonts w:ascii="仿宋_GB2312" w:eastAsia="仿宋_GB2312"/>
          <w:color w:val="auto"/>
          <w:sz w:val="24"/>
          <w:highlight w:val="none"/>
        </w:rPr>
      </w:pPr>
      <w:r>
        <w:rPr>
          <w:rFonts w:hint="eastAsia" w:ascii="仿宋_GB2312" w:eastAsia="仿宋_GB2312"/>
          <w:color w:val="auto"/>
          <w:sz w:val="24"/>
          <w:highlight w:val="none"/>
        </w:rPr>
        <w:t>委托代理人：（签字或盖章）</w:t>
      </w:r>
    </w:p>
    <w:p>
      <w:pPr>
        <w:tabs>
          <w:tab w:val="left" w:pos="360"/>
          <w:tab w:val="left" w:pos="1800"/>
        </w:tabs>
        <w:spacing w:line="480" w:lineRule="exact"/>
        <w:ind w:firstLine="3600"/>
        <w:rPr>
          <w:rFonts w:ascii="仿宋_GB2312" w:eastAsia="仿宋_GB2312"/>
          <w:color w:val="auto"/>
          <w:sz w:val="24"/>
          <w:highlight w:val="none"/>
        </w:rPr>
      </w:pPr>
      <w:r>
        <w:rPr>
          <w:rFonts w:hint="eastAsia" w:ascii="仿宋_GB2312" w:eastAsia="仿宋_GB2312"/>
          <w:color w:val="auto"/>
          <w:sz w:val="24"/>
          <w:highlight w:val="none"/>
        </w:rPr>
        <w:t>日期：      年     月     日</w:t>
      </w:r>
    </w:p>
    <w:p>
      <w:pPr>
        <w:tabs>
          <w:tab w:val="left" w:pos="360"/>
          <w:tab w:val="left" w:pos="1800"/>
        </w:tabs>
        <w:spacing w:line="480" w:lineRule="exact"/>
        <w:ind w:firstLine="3600"/>
        <w:rPr>
          <w:rFonts w:ascii="仿宋_GB2312" w:eastAsia="仿宋_GB2312"/>
          <w:color w:val="auto"/>
          <w:sz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tcPr>
          <w:p>
            <w:pPr>
              <w:tabs>
                <w:tab w:val="left" w:pos="360"/>
                <w:tab w:val="left" w:pos="1800"/>
              </w:tabs>
              <w:spacing w:line="480" w:lineRule="auto"/>
              <w:jc w:val="center"/>
              <w:rPr>
                <w:rFonts w:ascii="仿宋_GB2312" w:hAnsi="Tahoma" w:eastAsia="仿宋_GB2312"/>
                <w:color w:val="auto"/>
                <w:sz w:val="24"/>
                <w:highlight w:val="none"/>
              </w:rPr>
            </w:pPr>
          </w:p>
          <w:p>
            <w:pPr>
              <w:tabs>
                <w:tab w:val="left" w:pos="360"/>
                <w:tab w:val="left" w:pos="1800"/>
              </w:tabs>
              <w:spacing w:line="480" w:lineRule="auto"/>
              <w:jc w:val="center"/>
              <w:rPr>
                <w:rFonts w:ascii="仿宋_GB2312" w:hAnsi="Tahoma" w:eastAsia="仿宋_GB2312"/>
                <w:color w:val="auto"/>
                <w:sz w:val="24"/>
                <w:highlight w:val="none"/>
              </w:rPr>
            </w:pPr>
          </w:p>
          <w:p>
            <w:pPr>
              <w:tabs>
                <w:tab w:val="left" w:pos="360"/>
                <w:tab w:val="left" w:pos="1800"/>
              </w:tabs>
              <w:spacing w:line="480" w:lineRule="auto"/>
              <w:jc w:val="center"/>
              <w:rPr>
                <w:rFonts w:ascii="仿宋_GB2312" w:hAnsi="Tahoma" w:eastAsia="仿宋_GB2312"/>
                <w:color w:val="auto"/>
                <w:sz w:val="24"/>
                <w:highlight w:val="none"/>
              </w:rPr>
            </w:pPr>
            <w:r>
              <w:rPr>
                <w:rFonts w:hint="eastAsia" w:ascii="仿宋_GB2312" w:eastAsia="仿宋_GB2312"/>
                <w:color w:val="auto"/>
                <w:sz w:val="24"/>
                <w:highlight w:val="none"/>
              </w:rPr>
              <w:t>委托代理人</w:t>
            </w:r>
            <w:r>
              <w:rPr>
                <w:rFonts w:hint="eastAsia" w:ascii="仿宋_GB2312" w:hAnsi="Tahoma" w:eastAsia="仿宋_GB2312"/>
                <w:color w:val="auto"/>
                <w:sz w:val="24"/>
                <w:highlight w:val="none"/>
              </w:rPr>
              <w:t>身份证复印件或扫描件（正、反两面）</w:t>
            </w:r>
          </w:p>
        </w:tc>
      </w:tr>
    </w:tbl>
    <w:p>
      <w:pPr>
        <w:tabs>
          <w:tab w:val="left" w:pos="360"/>
          <w:tab w:val="left" w:pos="1800"/>
        </w:tabs>
        <w:spacing w:line="480" w:lineRule="exact"/>
        <w:jc w:val="center"/>
        <w:rPr>
          <w:rFonts w:ascii="仿宋_GB2312" w:eastAsia="仿宋_GB2312"/>
          <w:b/>
          <w:bCs/>
          <w:color w:val="auto"/>
          <w:sz w:val="24"/>
          <w:highlight w:val="none"/>
        </w:rPr>
      </w:pPr>
      <w:r>
        <w:rPr>
          <w:rFonts w:hint="eastAsia" w:ascii="仿宋_GB2312" w:eastAsia="仿宋_GB2312"/>
          <w:b/>
          <w:bCs/>
          <w:color w:val="auto"/>
          <w:sz w:val="24"/>
          <w:highlight w:val="none"/>
        </w:rPr>
        <w:t>注：委托代理人身份证复印件或扫描件应反映出证件有效期等所载内容。</w:t>
      </w:r>
    </w:p>
    <w:p>
      <w:pPr>
        <w:spacing w:line="512" w:lineRule="exact"/>
        <w:jc w:val="center"/>
        <w:rPr>
          <w:rFonts w:ascii="仿宋_GB2312" w:eastAsia="仿宋_GB2312"/>
          <w:b/>
          <w:color w:val="auto"/>
          <w:sz w:val="24"/>
          <w:highlight w:val="none"/>
        </w:rPr>
      </w:pPr>
    </w:p>
    <w:p>
      <w:pPr>
        <w:pStyle w:val="2"/>
        <w:jc w:val="center"/>
        <w:rPr>
          <w:rFonts w:ascii="仿宋_GB2312" w:hAnsi="Arial" w:eastAsia="仿宋_GB2312"/>
          <w:b w:val="0"/>
          <w:bCs w:val="0"/>
          <w:color w:val="auto"/>
          <w:sz w:val="24"/>
          <w:szCs w:val="24"/>
          <w:highlight w:val="none"/>
        </w:rPr>
      </w:pPr>
      <w:r>
        <w:rPr>
          <w:rFonts w:hint="eastAsia" w:ascii="仿宋_GB2312" w:eastAsia="仿宋_GB2312"/>
          <w:color w:val="auto"/>
          <w:sz w:val="24"/>
          <w:szCs w:val="24"/>
          <w:highlight w:val="none"/>
        </w:rPr>
        <w:t>格式6  供应商资格声明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28"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供应商名称</w:t>
            </w:r>
          </w:p>
        </w:tc>
        <w:tc>
          <w:tcPr>
            <w:tcW w:w="7668" w:type="dxa"/>
            <w:gridSpan w:val="5"/>
            <w:vAlign w:val="center"/>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vAlign w:val="center"/>
          </w:tcPr>
          <w:p>
            <w:pPr>
              <w:spacing w:line="46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地 址</w:t>
            </w:r>
          </w:p>
        </w:tc>
        <w:tc>
          <w:tcPr>
            <w:tcW w:w="7668" w:type="dxa"/>
            <w:gridSpan w:val="5"/>
            <w:vAlign w:val="center"/>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主管部门</w:t>
            </w:r>
          </w:p>
        </w:tc>
        <w:tc>
          <w:tcPr>
            <w:tcW w:w="1380" w:type="dxa"/>
            <w:vAlign w:val="center"/>
          </w:tcPr>
          <w:p>
            <w:pPr>
              <w:spacing w:line="460" w:lineRule="exact"/>
              <w:rPr>
                <w:rFonts w:ascii="仿宋_GB2312" w:hAnsi="宋体" w:eastAsia="仿宋_GB2312"/>
                <w:bCs/>
                <w:color w:val="auto"/>
                <w:sz w:val="24"/>
                <w:highlight w:val="none"/>
              </w:rPr>
            </w:pPr>
          </w:p>
        </w:tc>
        <w:tc>
          <w:tcPr>
            <w:tcW w:w="1549"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法定代表人</w:t>
            </w:r>
          </w:p>
        </w:tc>
        <w:tc>
          <w:tcPr>
            <w:tcW w:w="1549" w:type="dxa"/>
            <w:vAlign w:val="center"/>
          </w:tcPr>
          <w:p>
            <w:pPr>
              <w:spacing w:line="460" w:lineRule="exact"/>
              <w:rPr>
                <w:rFonts w:ascii="仿宋_GB2312" w:hAnsi="宋体" w:eastAsia="仿宋_GB2312"/>
                <w:bCs/>
                <w:color w:val="auto"/>
                <w:sz w:val="24"/>
                <w:highlight w:val="none"/>
              </w:rPr>
            </w:pPr>
          </w:p>
        </w:tc>
        <w:tc>
          <w:tcPr>
            <w:tcW w:w="1583" w:type="dxa"/>
            <w:vAlign w:val="center"/>
          </w:tcPr>
          <w:p>
            <w:pPr>
              <w:spacing w:line="46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职 务</w:t>
            </w:r>
          </w:p>
        </w:tc>
        <w:tc>
          <w:tcPr>
            <w:tcW w:w="1607" w:type="dxa"/>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注册时间</w:t>
            </w:r>
          </w:p>
        </w:tc>
        <w:tc>
          <w:tcPr>
            <w:tcW w:w="2929" w:type="dxa"/>
            <w:gridSpan w:val="2"/>
          </w:tcPr>
          <w:p>
            <w:pPr>
              <w:spacing w:line="460" w:lineRule="exact"/>
              <w:rPr>
                <w:rFonts w:ascii="仿宋_GB2312" w:hAnsi="宋体" w:eastAsia="仿宋_GB2312"/>
                <w:bCs/>
                <w:color w:val="auto"/>
                <w:sz w:val="24"/>
                <w:highlight w:val="none"/>
              </w:rPr>
            </w:pPr>
          </w:p>
        </w:tc>
        <w:tc>
          <w:tcPr>
            <w:tcW w:w="1549"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经济类型</w:t>
            </w:r>
          </w:p>
        </w:tc>
        <w:tc>
          <w:tcPr>
            <w:tcW w:w="3190" w:type="dxa"/>
            <w:gridSpan w:val="2"/>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营业执照号</w:t>
            </w:r>
          </w:p>
        </w:tc>
        <w:tc>
          <w:tcPr>
            <w:tcW w:w="4739" w:type="dxa"/>
            <w:gridSpan w:val="3"/>
            <w:vAlign w:val="center"/>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近三年内（2017年至2019年）在经营活动中有无重大违法纪录</w:t>
            </w:r>
          </w:p>
        </w:tc>
        <w:tc>
          <w:tcPr>
            <w:tcW w:w="4739" w:type="dxa"/>
            <w:gridSpan w:val="3"/>
            <w:vAlign w:val="center"/>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是否依法缴纳税收</w:t>
            </w:r>
          </w:p>
        </w:tc>
        <w:tc>
          <w:tcPr>
            <w:tcW w:w="2929" w:type="dxa"/>
            <w:gridSpan w:val="2"/>
          </w:tcPr>
          <w:p>
            <w:pPr>
              <w:spacing w:line="460" w:lineRule="exact"/>
              <w:rPr>
                <w:rFonts w:ascii="仿宋_GB2312" w:hAnsi="宋体" w:eastAsia="仿宋_GB2312"/>
                <w:bCs/>
                <w:color w:val="auto"/>
                <w:sz w:val="24"/>
                <w:highlight w:val="none"/>
              </w:rPr>
            </w:pPr>
          </w:p>
        </w:tc>
        <w:tc>
          <w:tcPr>
            <w:tcW w:w="1549"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是否依法缴纳社会保障资金</w:t>
            </w:r>
          </w:p>
        </w:tc>
        <w:tc>
          <w:tcPr>
            <w:tcW w:w="3190" w:type="dxa"/>
            <w:gridSpan w:val="2"/>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tcPr>
          <w:p>
            <w:pPr>
              <w:spacing w:line="460" w:lineRule="exact"/>
              <w:jc w:val="center"/>
              <w:rPr>
                <w:rFonts w:ascii="仿宋_GB2312" w:hAnsi="宋体" w:eastAsia="仿宋_GB2312"/>
                <w:bCs/>
                <w:color w:val="auto"/>
                <w:sz w:val="24"/>
                <w:highlight w:val="none"/>
              </w:rPr>
            </w:pPr>
            <w:r>
              <w:rPr>
                <w:rFonts w:hint="eastAsia" w:ascii="仿宋_GB2312" w:hAnsi="宋体" w:eastAsia="仿宋_GB2312"/>
                <w:bCs/>
                <w:color w:val="auto"/>
                <w:sz w:val="24"/>
                <w:highlight w:val="none"/>
              </w:rPr>
              <w:t>单</w:t>
            </w:r>
          </w:p>
          <w:p>
            <w:pPr>
              <w:spacing w:line="460" w:lineRule="exact"/>
              <w:jc w:val="center"/>
              <w:rPr>
                <w:rFonts w:ascii="仿宋_GB2312" w:hAnsi="宋体" w:eastAsia="仿宋_GB2312"/>
                <w:bCs/>
                <w:color w:val="auto"/>
                <w:sz w:val="24"/>
                <w:highlight w:val="none"/>
              </w:rPr>
            </w:pPr>
            <w:r>
              <w:rPr>
                <w:rFonts w:hint="eastAsia" w:ascii="仿宋_GB2312" w:hAnsi="宋体" w:eastAsia="仿宋_GB2312"/>
                <w:bCs/>
                <w:color w:val="auto"/>
                <w:sz w:val="24"/>
                <w:highlight w:val="none"/>
              </w:rPr>
              <w:t>位</w:t>
            </w:r>
          </w:p>
          <w:p>
            <w:pPr>
              <w:spacing w:line="460" w:lineRule="exact"/>
              <w:jc w:val="center"/>
              <w:rPr>
                <w:rFonts w:ascii="仿宋_GB2312" w:hAnsi="宋体" w:eastAsia="仿宋_GB2312"/>
                <w:bCs/>
                <w:color w:val="auto"/>
                <w:sz w:val="24"/>
                <w:highlight w:val="none"/>
              </w:rPr>
            </w:pPr>
            <w:r>
              <w:rPr>
                <w:rFonts w:hint="eastAsia" w:ascii="仿宋_GB2312" w:hAnsi="宋体" w:eastAsia="仿宋_GB2312"/>
                <w:bCs/>
                <w:color w:val="auto"/>
                <w:sz w:val="24"/>
                <w:highlight w:val="none"/>
              </w:rPr>
              <w:t>概</w:t>
            </w:r>
          </w:p>
          <w:p>
            <w:pPr>
              <w:spacing w:line="460" w:lineRule="exact"/>
              <w:jc w:val="center"/>
              <w:rPr>
                <w:rFonts w:ascii="仿宋_GB2312" w:hAnsi="宋体" w:eastAsia="仿宋_GB2312"/>
                <w:bCs/>
                <w:color w:val="auto"/>
                <w:sz w:val="24"/>
                <w:highlight w:val="none"/>
              </w:rPr>
            </w:pPr>
            <w:r>
              <w:rPr>
                <w:rFonts w:hint="eastAsia" w:ascii="仿宋_GB2312" w:hAnsi="宋体" w:eastAsia="仿宋_GB2312"/>
                <w:bCs/>
                <w:color w:val="auto"/>
                <w:sz w:val="24"/>
                <w:highlight w:val="none"/>
              </w:rPr>
              <w:t>况</w:t>
            </w:r>
          </w:p>
        </w:tc>
        <w:tc>
          <w:tcPr>
            <w:tcW w:w="1380"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注册资本</w:t>
            </w:r>
          </w:p>
        </w:tc>
        <w:tc>
          <w:tcPr>
            <w:tcW w:w="1549"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 xml:space="preserve">     万元</w:t>
            </w:r>
          </w:p>
        </w:tc>
        <w:tc>
          <w:tcPr>
            <w:tcW w:w="1549"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占地面积</w:t>
            </w:r>
          </w:p>
        </w:tc>
        <w:tc>
          <w:tcPr>
            <w:tcW w:w="3190" w:type="dxa"/>
            <w:gridSpan w:val="2"/>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tcPr>
          <w:p>
            <w:pPr>
              <w:spacing w:line="460" w:lineRule="exact"/>
              <w:rPr>
                <w:rFonts w:ascii="仿宋_GB2312" w:hAnsi="宋体" w:eastAsia="仿宋_GB2312"/>
                <w:bCs/>
                <w:color w:val="auto"/>
                <w:sz w:val="24"/>
                <w:highlight w:val="none"/>
              </w:rPr>
            </w:pPr>
          </w:p>
        </w:tc>
        <w:tc>
          <w:tcPr>
            <w:tcW w:w="1380"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职工总数</w:t>
            </w:r>
          </w:p>
        </w:tc>
        <w:tc>
          <w:tcPr>
            <w:tcW w:w="1549"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 xml:space="preserve">       人</w:t>
            </w:r>
          </w:p>
        </w:tc>
        <w:tc>
          <w:tcPr>
            <w:tcW w:w="1549"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建筑面积</w:t>
            </w:r>
          </w:p>
        </w:tc>
        <w:tc>
          <w:tcPr>
            <w:tcW w:w="3190" w:type="dxa"/>
            <w:gridSpan w:val="2"/>
          </w:tcPr>
          <w:p>
            <w:pPr>
              <w:spacing w:line="460" w:lineRule="exact"/>
              <w:ind w:firstLine="1800" w:firstLineChars="750"/>
              <w:rPr>
                <w:rFonts w:ascii="仿宋_GB2312" w:hAnsi="宋体" w:eastAsia="仿宋_GB2312"/>
                <w:bCs/>
                <w:color w:val="auto"/>
                <w:sz w:val="24"/>
                <w:highlight w:val="none"/>
              </w:rPr>
            </w:pPr>
            <w:r>
              <w:rPr>
                <w:rFonts w:hint="eastAsia" w:ascii="仿宋_GB2312" w:hAnsi="宋体" w:eastAsia="仿宋_GB2312"/>
                <w:bCs/>
                <w:color w:val="auto"/>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tcPr>
          <w:p>
            <w:pPr>
              <w:spacing w:line="460" w:lineRule="exact"/>
              <w:rPr>
                <w:rFonts w:ascii="仿宋_GB2312" w:hAnsi="宋体" w:eastAsia="仿宋_GB2312"/>
                <w:bCs/>
                <w:color w:val="auto"/>
                <w:sz w:val="24"/>
                <w:highlight w:val="none"/>
              </w:rPr>
            </w:pPr>
          </w:p>
        </w:tc>
        <w:tc>
          <w:tcPr>
            <w:tcW w:w="1380" w:type="dxa"/>
            <w:vMerge w:val="restart"/>
            <w:vAlign w:val="center"/>
          </w:tcPr>
          <w:p>
            <w:pPr>
              <w:spacing w:line="46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资产</w:t>
            </w:r>
          </w:p>
          <w:p>
            <w:pPr>
              <w:spacing w:line="46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情况</w:t>
            </w:r>
          </w:p>
        </w:tc>
        <w:tc>
          <w:tcPr>
            <w:tcW w:w="3098" w:type="dxa"/>
            <w:gridSpan w:val="2"/>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净资产：        万元</w:t>
            </w:r>
          </w:p>
        </w:tc>
        <w:tc>
          <w:tcPr>
            <w:tcW w:w="3190" w:type="dxa"/>
            <w:gridSpan w:val="2"/>
            <w:vMerge w:val="restart"/>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固定资产原值 ：      万元</w:t>
            </w:r>
          </w:p>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tcPr>
          <w:p>
            <w:pPr>
              <w:spacing w:line="460" w:lineRule="exact"/>
              <w:rPr>
                <w:rFonts w:ascii="仿宋_GB2312" w:hAnsi="宋体" w:eastAsia="仿宋_GB2312"/>
                <w:bCs/>
                <w:color w:val="auto"/>
                <w:sz w:val="24"/>
                <w:highlight w:val="none"/>
              </w:rPr>
            </w:pPr>
          </w:p>
        </w:tc>
        <w:tc>
          <w:tcPr>
            <w:tcW w:w="1380" w:type="dxa"/>
            <w:vMerge w:val="continue"/>
          </w:tcPr>
          <w:p>
            <w:pPr>
              <w:spacing w:line="460" w:lineRule="exact"/>
              <w:rPr>
                <w:rFonts w:ascii="仿宋_GB2312" w:hAnsi="宋体" w:eastAsia="仿宋_GB2312"/>
                <w:bCs/>
                <w:color w:val="auto"/>
                <w:sz w:val="24"/>
                <w:highlight w:val="none"/>
              </w:rPr>
            </w:pPr>
          </w:p>
        </w:tc>
        <w:tc>
          <w:tcPr>
            <w:tcW w:w="3098" w:type="dxa"/>
            <w:gridSpan w:val="2"/>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负 债：         万元</w:t>
            </w:r>
          </w:p>
        </w:tc>
        <w:tc>
          <w:tcPr>
            <w:tcW w:w="3190" w:type="dxa"/>
            <w:gridSpan w:val="2"/>
            <w:vMerge w:val="continue"/>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vAlign w:val="center"/>
          </w:tcPr>
          <w:p>
            <w:pPr>
              <w:spacing w:line="460" w:lineRule="exact"/>
              <w:ind w:firstLine="120" w:firstLineChars="50"/>
              <w:rPr>
                <w:rFonts w:ascii="仿宋_GB2312" w:hAnsi="宋体" w:eastAsia="仿宋_GB2312"/>
                <w:bCs/>
                <w:color w:val="auto"/>
                <w:sz w:val="24"/>
                <w:highlight w:val="none"/>
              </w:rPr>
            </w:pPr>
            <w:r>
              <w:rPr>
                <w:rFonts w:hint="eastAsia" w:ascii="仿宋_GB2312" w:hAnsi="宋体" w:eastAsia="仿宋_GB2312"/>
                <w:bCs/>
                <w:color w:val="auto"/>
                <w:sz w:val="24"/>
                <w:highlight w:val="none"/>
              </w:rPr>
              <w:t>财务状况</w:t>
            </w:r>
          </w:p>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（最近三年2017年至2019）</w:t>
            </w:r>
          </w:p>
        </w:tc>
        <w:tc>
          <w:tcPr>
            <w:tcW w:w="1380" w:type="dxa"/>
          </w:tcPr>
          <w:p>
            <w:pPr>
              <w:spacing w:line="460" w:lineRule="exact"/>
              <w:jc w:val="center"/>
              <w:rPr>
                <w:rFonts w:ascii="仿宋_GB2312" w:hAnsi="宋体" w:eastAsia="仿宋_GB2312"/>
                <w:bCs/>
                <w:color w:val="auto"/>
                <w:sz w:val="24"/>
                <w:highlight w:val="none"/>
              </w:rPr>
            </w:pPr>
            <w:r>
              <w:rPr>
                <w:rFonts w:hint="eastAsia" w:ascii="仿宋_GB2312" w:hAnsi="宋体" w:eastAsia="仿宋_GB2312"/>
                <w:bCs/>
                <w:color w:val="auto"/>
                <w:sz w:val="24"/>
                <w:highlight w:val="none"/>
              </w:rPr>
              <w:t>年份</w:t>
            </w:r>
          </w:p>
        </w:tc>
        <w:tc>
          <w:tcPr>
            <w:tcW w:w="1549"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主营收入</w:t>
            </w:r>
          </w:p>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（万元）</w:t>
            </w:r>
          </w:p>
        </w:tc>
        <w:tc>
          <w:tcPr>
            <w:tcW w:w="1549"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收入总额</w:t>
            </w:r>
          </w:p>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（万元）</w:t>
            </w:r>
          </w:p>
        </w:tc>
        <w:tc>
          <w:tcPr>
            <w:tcW w:w="1583" w:type="dxa"/>
            <w:vAlign w:val="center"/>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利润总额</w:t>
            </w:r>
          </w:p>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（万元）</w:t>
            </w:r>
          </w:p>
        </w:tc>
        <w:tc>
          <w:tcPr>
            <w:tcW w:w="1607" w:type="dxa"/>
            <w:vAlign w:val="center"/>
          </w:tcPr>
          <w:p>
            <w:pPr>
              <w:spacing w:line="46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净利润</w:t>
            </w:r>
          </w:p>
          <w:p>
            <w:pPr>
              <w:spacing w:line="46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28" w:type="dxa"/>
            <w:vMerge w:val="continue"/>
            <w:vAlign w:val="center"/>
          </w:tcPr>
          <w:p>
            <w:pPr>
              <w:spacing w:line="460" w:lineRule="exact"/>
              <w:rPr>
                <w:rFonts w:ascii="仿宋_GB2312" w:hAnsi="宋体" w:eastAsia="仿宋_GB2312"/>
                <w:bCs/>
                <w:color w:val="auto"/>
                <w:sz w:val="24"/>
                <w:highlight w:val="none"/>
              </w:rPr>
            </w:pPr>
          </w:p>
        </w:tc>
        <w:tc>
          <w:tcPr>
            <w:tcW w:w="1380" w:type="dxa"/>
            <w:vAlign w:val="center"/>
          </w:tcPr>
          <w:p>
            <w:pPr>
              <w:spacing w:line="460" w:lineRule="exact"/>
              <w:rPr>
                <w:rFonts w:ascii="仿宋_GB2312" w:hAnsi="宋体" w:eastAsia="仿宋_GB2312"/>
                <w:bCs/>
                <w:color w:val="auto"/>
                <w:sz w:val="24"/>
                <w:highlight w:val="none"/>
              </w:rPr>
            </w:pPr>
          </w:p>
        </w:tc>
        <w:tc>
          <w:tcPr>
            <w:tcW w:w="1549" w:type="dxa"/>
            <w:vAlign w:val="center"/>
          </w:tcPr>
          <w:p>
            <w:pPr>
              <w:spacing w:line="460" w:lineRule="exact"/>
              <w:rPr>
                <w:rFonts w:ascii="仿宋_GB2312" w:hAnsi="宋体" w:eastAsia="仿宋_GB2312"/>
                <w:bCs/>
                <w:color w:val="auto"/>
                <w:sz w:val="24"/>
                <w:highlight w:val="none"/>
              </w:rPr>
            </w:pPr>
          </w:p>
        </w:tc>
        <w:tc>
          <w:tcPr>
            <w:tcW w:w="1549" w:type="dxa"/>
            <w:vAlign w:val="center"/>
          </w:tcPr>
          <w:p>
            <w:pPr>
              <w:spacing w:line="460" w:lineRule="exact"/>
              <w:rPr>
                <w:rFonts w:ascii="仿宋_GB2312" w:hAnsi="宋体" w:eastAsia="仿宋_GB2312"/>
                <w:bCs/>
                <w:color w:val="auto"/>
                <w:sz w:val="24"/>
                <w:highlight w:val="none"/>
              </w:rPr>
            </w:pPr>
          </w:p>
        </w:tc>
        <w:tc>
          <w:tcPr>
            <w:tcW w:w="1583" w:type="dxa"/>
            <w:vAlign w:val="center"/>
          </w:tcPr>
          <w:p>
            <w:pPr>
              <w:spacing w:line="460" w:lineRule="exact"/>
              <w:rPr>
                <w:rFonts w:ascii="仿宋_GB2312" w:hAnsi="宋体" w:eastAsia="仿宋_GB2312"/>
                <w:bCs/>
                <w:color w:val="auto"/>
                <w:sz w:val="24"/>
                <w:highlight w:val="none"/>
              </w:rPr>
            </w:pPr>
          </w:p>
        </w:tc>
        <w:tc>
          <w:tcPr>
            <w:tcW w:w="1607" w:type="dxa"/>
            <w:vAlign w:val="center"/>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tcPr>
          <w:p>
            <w:pPr>
              <w:spacing w:line="460" w:lineRule="exact"/>
              <w:rPr>
                <w:rFonts w:ascii="仿宋_GB2312" w:hAnsi="宋体" w:eastAsia="仿宋_GB2312"/>
                <w:bCs/>
                <w:color w:val="auto"/>
                <w:sz w:val="24"/>
                <w:highlight w:val="none"/>
              </w:rPr>
            </w:pPr>
          </w:p>
        </w:tc>
        <w:tc>
          <w:tcPr>
            <w:tcW w:w="1380" w:type="dxa"/>
            <w:vAlign w:val="center"/>
          </w:tcPr>
          <w:p>
            <w:pPr>
              <w:spacing w:line="460" w:lineRule="exact"/>
              <w:rPr>
                <w:rFonts w:ascii="仿宋_GB2312" w:hAnsi="宋体" w:eastAsia="仿宋_GB2312"/>
                <w:bCs/>
                <w:color w:val="auto"/>
                <w:sz w:val="24"/>
                <w:highlight w:val="none"/>
              </w:rPr>
            </w:pPr>
          </w:p>
        </w:tc>
        <w:tc>
          <w:tcPr>
            <w:tcW w:w="1549" w:type="dxa"/>
          </w:tcPr>
          <w:p>
            <w:pPr>
              <w:spacing w:line="460" w:lineRule="exact"/>
              <w:rPr>
                <w:rFonts w:ascii="仿宋_GB2312" w:hAnsi="宋体" w:eastAsia="仿宋_GB2312"/>
                <w:bCs/>
                <w:color w:val="auto"/>
                <w:sz w:val="24"/>
                <w:highlight w:val="none"/>
              </w:rPr>
            </w:pPr>
          </w:p>
        </w:tc>
        <w:tc>
          <w:tcPr>
            <w:tcW w:w="1549" w:type="dxa"/>
          </w:tcPr>
          <w:p>
            <w:pPr>
              <w:spacing w:line="460" w:lineRule="exact"/>
              <w:rPr>
                <w:rFonts w:ascii="仿宋_GB2312" w:hAnsi="宋体" w:eastAsia="仿宋_GB2312"/>
                <w:bCs/>
                <w:color w:val="auto"/>
                <w:sz w:val="24"/>
                <w:highlight w:val="none"/>
              </w:rPr>
            </w:pPr>
          </w:p>
        </w:tc>
        <w:tc>
          <w:tcPr>
            <w:tcW w:w="1583" w:type="dxa"/>
          </w:tcPr>
          <w:p>
            <w:pPr>
              <w:spacing w:line="460" w:lineRule="exact"/>
              <w:rPr>
                <w:rFonts w:ascii="仿宋_GB2312" w:hAnsi="宋体" w:eastAsia="仿宋_GB2312"/>
                <w:bCs/>
                <w:color w:val="auto"/>
                <w:sz w:val="24"/>
                <w:highlight w:val="none"/>
              </w:rPr>
            </w:pPr>
          </w:p>
        </w:tc>
        <w:tc>
          <w:tcPr>
            <w:tcW w:w="1607" w:type="dxa"/>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tcPr>
          <w:p>
            <w:pPr>
              <w:spacing w:line="460" w:lineRule="exact"/>
              <w:rPr>
                <w:rFonts w:ascii="仿宋_GB2312" w:hAnsi="宋体" w:eastAsia="仿宋_GB2312"/>
                <w:bCs/>
                <w:color w:val="auto"/>
                <w:sz w:val="24"/>
                <w:highlight w:val="none"/>
              </w:rPr>
            </w:pPr>
          </w:p>
        </w:tc>
        <w:tc>
          <w:tcPr>
            <w:tcW w:w="1380" w:type="dxa"/>
            <w:vAlign w:val="center"/>
          </w:tcPr>
          <w:p>
            <w:pPr>
              <w:spacing w:line="460" w:lineRule="exact"/>
              <w:rPr>
                <w:rFonts w:ascii="仿宋_GB2312" w:hAnsi="宋体" w:eastAsia="仿宋_GB2312"/>
                <w:bCs/>
                <w:color w:val="auto"/>
                <w:sz w:val="24"/>
                <w:highlight w:val="none"/>
              </w:rPr>
            </w:pPr>
          </w:p>
        </w:tc>
        <w:tc>
          <w:tcPr>
            <w:tcW w:w="1549" w:type="dxa"/>
          </w:tcPr>
          <w:p>
            <w:pPr>
              <w:spacing w:line="460" w:lineRule="exact"/>
              <w:rPr>
                <w:rFonts w:ascii="仿宋_GB2312" w:hAnsi="宋体" w:eastAsia="仿宋_GB2312"/>
                <w:bCs/>
                <w:color w:val="auto"/>
                <w:sz w:val="24"/>
                <w:highlight w:val="none"/>
              </w:rPr>
            </w:pPr>
          </w:p>
        </w:tc>
        <w:tc>
          <w:tcPr>
            <w:tcW w:w="1549" w:type="dxa"/>
          </w:tcPr>
          <w:p>
            <w:pPr>
              <w:spacing w:line="460" w:lineRule="exact"/>
              <w:rPr>
                <w:rFonts w:ascii="仿宋_GB2312" w:hAnsi="宋体" w:eastAsia="仿宋_GB2312"/>
                <w:bCs/>
                <w:color w:val="auto"/>
                <w:sz w:val="24"/>
                <w:highlight w:val="none"/>
              </w:rPr>
            </w:pPr>
          </w:p>
        </w:tc>
        <w:tc>
          <w:tcPr>
            <w:tcW w:w="1583" w:type="dxa"/>
          </w:tcPr>
          <w:p>
            <w:pPr>
              <w:spacing w:line="460" w:lineRule="exact"/>
              <w:rPr>
                <w:rFonts w:ascii="仿宋_GB2312" w:hAnsi="宋体" w:eastAsia="仿宋_GB2312"/>
                <w:bCs/>
                <w:color w:val="auto"/>
                <w:sz w:val="24"/>
                <w:highlight w:val="none"/>
              </w:rPr>
            </w:pPr>
          </w:p>
        </w:tc>
        <w:tc>
          <w:tcPr>
            <w:tcW w:w="1607" w:type="dxa"/>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经营范围</w:t>
            </w:r>
          </w:p>
        </w:tc>
        <w:tc>
          <w:tcPr>
            <w:tcW w:w="7668" w:type="dxa"/>
            <w:gridSpan w:val="5"/>
            <w:vAlign w:val="center"/>
          </w:tcPr>
          <w:p>
            <w:pPr>
              <w:spacing w:line="460" w:lineRule="exact"/>
              <w:rPr>
                <w:rFonts w:ascii="仿宋_GB2312" w:hAnsi="宋体" w:eastAsia="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tcPr>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 xml:space="preserve">备注 </w:t>
            </w:r>
          </w:p>
        </w:tc>
        <w:tc>
          <w:tcPr>
            <w:tcW w:w="7668" w:type="dxa"/>
            <w:gridSpan w:val="5"/>
            <w:vAlign w:val="center"/>
          </w:tcPr>
          <w:p>
            <w:pPr>
              <w:spacing w:line="460" w:lineRule="exact"/>
              <w:rPr>
                <w:rFonts w:ascii="仿宋_GB2312" w:hAnsi="宋体" w:eastAsia="仿宋_GB2312"/>
                <w:bCs/>
                <w:color w:val="auto"/>
                <w:sz w:val="24"/>
                <w:highlight w:val="none"/>
              </w:rPr>
            </w:pPr>
          </w:p>
        </w:tc>
      </w:tr>
    </w:tbl>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我们保证上述声明中的资料和数据是真实的、正确的，我们同意如贵方要求，可以出示相关证明文件。</w:t>
      </w:r>
    </w:p>
    <w:p>
      <w:pPr>
        <w:spacing w:line="460" w:lineRule="exact"/>
        <w:rPr>
          <w:rFonts w:ascii="仿宋_GB2312" w:hAnsi="宋体" w:eastAsia="仿宋_GB2312"/>
          <w:bCs/>
          <w:color w:val="auto"/>
          <w:sz w:val="24"/>
          <w:highlight w:val="none"/>
          <w:u w:val="single"/>
        </w:rPr>
      </w:pPr>
      <w:r>
        <w:rPr>
          <w:rFonts w:hint="eastAsia" w:ascii="仿宋_GB2312" w:hAnsi="宋体" w:eastAsia="仿宋_GB2312"/>
          <w:bCs/>
          <w:color w:val="auto"/>
          <w:sz w:val="24"/>
          <w:highlight w:val="none"/>
        </w:rPr>
        <w:t>供应商（单位公章）：</w:t>
      </w:r>
    </w:p>
    <w:p>
      <w:pPr>
        <w:spacing w:line="460" w:lineRule="exact"/>
        <w:rPr>
          <w:rFonts w:ascii="仿宋_GB2312" w:hAnsi="宋体" w:eastAsia="仿宋_GB2312"/>
          <w:bCs/>
          <w:color w:val="auto"/>
          <w:sz w:val="24"/>
          <w:highlight w:val="none"/>
          <w:u w:val="single"/>
        </w:rPr>
      </w:pPr>
      <w:r>
        <w:rPr>
          <w:rFonts w:hint="eastAsia" w:ascii="仿宋_GB2312" w:hAnsi="宋体" w:eastAsia="仿宋_GB2312"/>
          <w:bCs/>
          <w:color w:val="auto"/>
          <w:sz w:val="24"/>
          <w:highlight w:val="none"/>
        </w:rPr>
        <w:t>授权代表签字或盖章：</w:t>
      </w:r>
    </w:p>
    <w:p>
      <w:pPr>
        <w:spacing w:line="460" w:lineRule="exact"/>
        <w:rPr>
          <w:rFonts w:ascii="仿宋_GB2312" w:hAnsi="宋体" w:eastAsia="仿宋_GB2312"/>
          <w:bCs/>
          <w:color w:val="auto"/>
          <w:sz w:val="24"/>
          <w:highlight w:val="none"/>
        </w:rPr>
      </w:pPr>
      <w:r>
        <w:rPr>
          <w:rFonts w:hint="eastAsia" w:ascii="仿宋_GB2312" w:hAnsi="宋体" w:eastAsia="仿宋_GB2312"/>
          <w:bCs/>
          <w:color w:val="auto"/>
          <w:sz w:val="24"/>
          <w:highlight w:val="none"/>
        </w:rPr>
        <w:t>电话号和传真号：                    日期</w:t>
      </w:r>
      <w:r>
        <w:rPr>
          <w:rFonts w:hint="eastAsia" w:ascii="仿宋_GB2312" w:hAnsi="宋体" w:eastAsia="仿宋_GB2312"/>
          <w:bCs/>
          <w:color w:val="auto"/>
          <w:sz w:val="24"/>
          <w:highlight w:val="none"/>
          <w:u w:val="single"/>
        </w:rPr>
        <w:t xml:space="preserve">：    </w:t>
      </w:r>
      <w:r>
        <w:rPr>
          <w:rFonts w:hint="eastAsia" w:ascii="仿宋_GB2312" w:hAnsi="宋体" w:eastAsia="仿宋_GB2312"/>
          <w:bCs/>
          <w:color w:val="auto"/>
          <w:sz w:val="24"/>
          <w:highlight w:val="none"/>
        </w:rPr>
        <w:t>年月日</w:t>
      </w:r>
    </w:p>
    <w:p>
      <w:pPr>
        <w:pStyle w:val="7"/>
        <w:ind w:firstLine="0"/>
        <w:jc w:val="center"/>
        <w:rPr>
          <w:rFonts w:ascii="仿宋_GB2312" w:eastAsia="仿宋_GB2312"/>
          <w:b/>
          <w:color w:val="auto"/>
          <w:sz w:val="30"/>
          <w:szCs w:val="30"/>
          <w:highlight w:val="none"/>
        </w:rPr>
      </w:pPr>
    </w:p>
    <w:p>
      <w:pPr>
        <w:pStyle w:val="7"/>
        <w:ind w:firstLine="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格式7</w:t>
      </w:r>
      <w:r>
        <w:rPr>
          <w:rFonts w:hint="eastAsia" w:ascii="仿宋_GB2312" w:eastAsia="仿宋_GB2312"/>
          <w:b/>
          <w:color w:val="auto"/>
          <w:sz w:val="24"/>
          <w:highlight w:val="none"/>
        </w:rPr>
        <w:t>项目主要管理人员表</w:t>
      </w:r>
    </w:p>
    <w:p>
      <w:pPr>
        <w:snapToGrid w:val="0"/>
        <w:spacing w:line="453" w:lineRule="atLeast"/>
        <w:rPr>
          <w:rFonts w:ascii="仿宋_GB2312" w:hAnsi="宋体" w:eastAsia="仿宋_GB2312"/>
          <w:bCs/>
          <w:color w:val="auto"/>
          <w:szCs w:val="21"/>
          <w:highlight w:val="none"/>
        </w:rPr>
      </w:pPr>
    </w:p>
    <w:tbl>
      <w:tblPr>
        <w:tblStyle w:val="28"/>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r>
              <w:rPr>
                <w:rFonts w:hint="eastAsia" w:ascii="仿宋_GB2312" w:eastAsia="仿宋_GB2312"/>
                <w:color w:val="auto"/>
                <w:sz w:val="24"/>
                <w:highlight w:val="none"/>
              </w:rPr>
              <w:t>类别</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r>
              <w:rPr>
                <w:rFonts w:hint="eastAsia" w:ascii="仿宋_GB2312" w:eastAsia="仿宋_GB2312"/>
                <w:color w:val="auto"/>
                <w:sz w:val="24"/>
                <w:highlight w:val="none"/>
              </w:rPr>
              <w:t>姓名</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r>
              <w:rPr>
                <w:rFonts w:hint="eastAsia" w:ascii="仿宋_GB2312" w:eastAsia="仿宋_GB2312"/>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仿宋_GB2312" w:eastAsia="仿宋_GB2312"/>
                <w:color w:val="auto"/>
                <w:sz w:val="24"/>
                <w:highlight w:val="none"/>
              </w:rPr>
            </w:pPr>
            <w:r>
              <w:rPr>
                <w:rFonts w:hint="eastAsia" w:ascii="仿宋_GB2312" w:eastAsia="仿宋_GB2312"/>
                <w:color w:val="auto"/>
                <w:sz w:val="24"/>
                <w:highlight w:val="none"/>
              </w:rPr>
              <w:t>职称</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r>
              <w:rPr>
                <w:rFonts w:hint="eastAsia" w:ascii="仿宋_GB2312" w:eastAsia="仿宋_GB2312"/>
                <w:color w:val="auto"/>
                <w:sz w:val="24"/>
                <w:highlight w:val="none"/>
              </w:rPr>
              <w:t>证书</w:t>
            </w: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r>
              <w:rPr>
                <w:rFonts w:hint="eastAsia" w:ascii="仿宋_GB2312" w:eastAsia="仿宋_GB2312"/>
                <w:color w:val="auto"/>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仿宋_GB2312" w:eastAsia="仿宋_GB2312"/>
                <w:color w:val="auto"/>
                <w:sz w:val="24"/>
                <w:highlight w:val="none"/>
              </w:rPr>
            </w:pPr>
            <w:r>
              <w:rPr>
                <w:rFonts w:hint="eastAsia" w:ascii="仿宋_GB2312" w:eastAsia="仿宋_GB2312"/>
                <w:color w:val="auto"/>
                <w:sz w:val="24"/>
                <w:highlight w:val="none"/>
              </w:rPr>
              <w:t>一、管理人员</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仿宋_GB2312" w:eastAsia="仿宋_GB2312"/>
                <w:color w:val="auto"/>
                <w:sz w:val="24"/>
                <w:highlight w:val="none"/>
              </w:rPr>
            </w:pPr>
            <w:r>
              <w:rPr>
                <w:rFonts w:hint="eastAsia" w:ascii="仿宋_GB2312" w:eastAsia="仿宋_GB2312"/>
                <w:color w:val="auto"/>
                <w:sz w:val="24"/>
                <w:highlight w:val="none"/>
              </w:rPr>
              <w:t>1、项目负责人</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360"/>
                <w:tab w:val="left" w:pos="1800"/>
              </w:tabs>
              <w:rPr>
                <w:rFonts w:ascii="仿宋_GB2312" w:eastAsia="仿宋_GB2312"/>
                <w:color w:val="auto"/>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360"/>
                <w:tab w:val="left" w:pos="1800"/>
              </w:tabs>
              <w:rPr>
                <w:rFonts w:ascii="仿宋_GB2312" w:eastAsia="仿宋_GB2312"/>
                <w:color w:val="auto"/>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仿宋_GB2312" w:eastAsia="仿宋_GB2312"/>
                <w:color w:val="auto"/>
                <w:sz w:val="24"/>
                <w:highlight w:val="none"/>
              </w:rPr>
            </w:pPr>
            <w:r>
              <w:rPr>
                <w:rFonts w:hint="eastAsia" w:ascii="仿宋_GB2312" w:eastAsia="仿宋_GB2312"/>
                <w:color w:val="auto"/>
                <w:sz w:val="24"/>
                <w:highlight w:val="none"/>
              </w:rPr>
              <w:t>二、服务人员</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360"/>
                <w:tab w:val="left" w:pos="1800"/>
              </w:tabs>
              <w:rPr>
                <w:rFonts w:ascii="仿宋_GB2312" w:eastAsia="仿宋_GB2312"/>
                <w:color w:val="auto"/>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360"/>
                <w:tab w:val="left" w:pos="1800"/>
              </w:tabs>
              <w:rPr>
                <w:rFonts w:ascii="仿宋_GB2312" w:eastAsia="仿宋_GB2312"/>
                <w:color w:val="auto"/>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360"/>
                <w:tab w:val="left" w:pos="1800"/>
              </w:tabs>
              <w:rPr>
                <w:rFonts w:ascii="仿宋_GB2312" w:eastAsia="仿宋_GB2312"/>
                <w:color w:val="auto"/>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仿宋_GB2312" w:eastAsia="仿宋_GB2312"/>
                <w:color w:val="auto"/>
                <w:sz w:val="24"/>
                <w:highlight w:val="none"/>
              </w:rPr>
            </w:pPr>
            <w:r>
              <w:rPr>
                <w:rFonts w:hint="eastAsia" w:ascii="仿宋_GB2312" w:eastAsia="仿宋_GB2312"/>
                <w:color w:val="auto"/>
                <w:sz w:val="24"/>
                <w:highlight w:val="none"/>
              </w:rPr>
              <w:t>三、其他人员</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360"/>
                <w:tab w:val="left" w:pos="1800"/>
              </w:tabs>
              <w:rPr>
                <w:rFonts w:ascii="仿宋_GB2312" w:eastAsia="仿宋_GB2312"/>
                <w:color w:val="auto"/>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仿宋_GB2312" w:eastAsia="仿宋_GB2312"/>
                <w:color w:val="auto"/>
                <w:sz w:val="24"/>
                <w:highlight w:val="none"/>
              </w:rPr>
            </w:pPr>
            <w:r>
              <w:rPr>
                <w:rFonts w:hint="eastAsia" w:ascii="仿宋_GB2312" w:eastAsia="仿宋_GB2312"/>
                <w:color w:val="auto"/>
                <w:sz w:val="24"/>
                <w:highlight w:val="none"/>
              </w:rPr>
              <w:t>2.</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仿宋_GB2312" w:eastAsia="仿宋_GB2312"/>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c>
          <w:tcPr>
            <w:tcW w:w="419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spacing w:line="240" w:lineRule="atLeast"/>
              <w:rPr>
                <w:rFonts w:ascii="仿宋_GB2312" w:eastAsia="仿宋_GB2312"/>
                <w:color w:val="auto"/>
                <w:sz w:val="24"/>
                <w:highlight w:val="none"/>
              </w:rPr>
            </w:pPr>
            <w:r>
              <w:rPr>
                <w:rFonts w:hint="eastAsia" w:ascii="仿宋_GB2312" w:eastAsia="仿宋_GB2312"/>
                <w:b/>
                <w:color w:val="auto"/>
                <w:sz w:val="24"/>
                <w:highlight w:val="none"/>
              </w:rPr>
              <w:t>注：按采购需求配备项目任务组，包括但不限于上述人员配置，不足时请自行添加，并提供</w:t>
            </w:r>
            <w:r>
              <w:rPr>
                <w:rFonts w:hint="eastAsia" w:ascii="仿宋_GB2312" w:hAnsi="仿宋_GB2312" w:eastAsia="仿宋_GB2312" w:cs="仿宋_GB2312"/>
                <w:b/>
                <w:bCs/>
                <w:color w:val="auto"/>
                <w:kern w:val="0"/>
                <w:sz w:val="24"/>
                <w:highlight w:val="none"/>
              </w:rPr>
              <w:t>管理、服务人员、工作人员花名册及其简历基本信息、</w:t>
            </w:r>
            <w:r>
              <w:rPr>
                <w:rFonts w:hint="eastAsia" w:ascii="仿宋_GB2312" w:eastAsia="仿宋_GB2312"/>
                <w:b/>
                <w:color w:val="auto"/>
                <w:sz w:val="24"/>
                <w:highlight w:val="none"/>
              </w:rPr>
              <w:t>岗位资格、</w:t>
            </w:r>
            <w:r>
              <w:rPr>
                <w:rFonts w:hint="eastAsia" w:ascii="仿宋_GB2312" w:hAnsi="仿宋_GB2312" w:eastAsia="仿宋_GB2312" w:cs="仿宋_GB2312"/>
                <w:b/>
                <w:bCs/>
                <w:color w:val="auto"/>
                <w:kern w:val="0"/>
                <w:sz w:val="24"/>
                <w:highlight w:val="none"/>
              </w:rPr>
              <w:t>职称证书、证件等证明材料复印件加盖供应商公章</w:t>
            </w:r>
            <w:r>
              <w:rPr>
                <w:rFonts w:hint="eastAsia" w:ascii="仿宋_GB2312" w:eastAsia="仿宋_GB2312"/>
                <w:b/>
                <w:color w:val="auto"/>
                <w:sz w:val="24"/>
                <w:highlight w:val="none"/>
              </w:rPr>
              <w:t>。</w:t>
            </w:r>
          </w:p>
        </w:tc>
      </w:tr>
    </w:tbl>
    <w:p>
      <w:pPr>
        <w:snapToGrid w:val="0"/>
        <w:spacing w:line="453" w:lineRule="atLeast"/>
        <w:rPr>
          <w:rFonts w:ascii="仿宋_GB2312" w:hAnsi="宋体" w:eastAsia="仿宋_GB2312"/>
          <w:bCs/>
          <w:color w:val="auto"/>
          <w:sz w:val="24"/>
          <w:highlight w:val="none"/>
        </w:rPr>
      </w:pPr>
      <w:r>
        <w:rPr>
          <w:rFonts w:hint="eastAsia" w:ascii="仿宋_GB2312" w:hAnsi="宋体" w:eastAsia="仿宋_GB2312"/>
          <w:bCs/>
          <w:color w:val="auto"/>
          <w:sz w:val="24"/>
          <w:highlight w:val="none"/>
        </w:rPr>
        <w:t>供应商（盖章）：</w:t>
      </w:r>
    </w:p>
    <w:p>
      <w:pPr>
        <w:snapToGrid w:val="0"/>
        <w:spacing w:line="453" w:lineRule="atLeast"/>
        <w:rPr>
          <w:rFonts w:ascii="仿宋_GB2312" w:hAnsi="宋体" w:eastAsia="仿宋_GB2312"/>
          <w:bCs/>
          <w:color w:val="auto"/>
          <w:sz w:val="24"/>
          <w:highlight w:val="none"/>
        </w:rPr>
      </w:pPr>
      <w:r>
        <w:rPr>
          <w:rFonts w:hint="eastAsia" w:ascii="仿宋_GB2312" w:hAnsi="宋体" w:eastAsia="仿宋_GB2312"/>
          <w:bCs/>
          <w:color w:val="auto"/>
          <w:sz w:val="24"/>
          <w:highlight w:val="none"/>
        </w:rPr>
        <w:t>法人代表人或委托代理人签字或盖章：</w:t>
      </w:r>
    </w:p>
    <w:p>
      <w:pPr>
        <w:snapToGrid w:val="0"/>
        <w:spacing w:line="453" w:lineRule="atLeast"/>
        <w:jc w:val="center"/>
        <w:rPr>
          <w:rFonts w:ascii="仿宋_GB2312" w:hAnsi="宋体" w:eastAsia="仿宋_GB2312"/>
          <w:bCs/>
          <w:color w:val="auto"/>
          <w:sz w:val="24"/>
          <w:highlight w:val="none"/>
        </w:rPr>
      </w:pPr>
    </w:p>
    <w:p>
      <w:pPr>
        <w:jc w:val="right"/>
        <w:outlineLvl w:val="0"/>
        <w:rPr>
          <w:rFonts w:ascii="仿宋_GB2312" w:eastAsia="仿宋_GB2312"/>
          <w:color w:val="auto"/>
          <w:sz w:val="24"/>
          <w:highlight w:val="none"/>
        </w:rPr>
      </w:pPr>
      <w:r>
        <w:rPr>
          <w:rFonts w:hint="eastAsia" w:ascii="仿宋_GB2312" w:hAnsi="宋体" w:eastAsia="仿宋_GB2312"/>
          <w:bCs/>
          <w:color w:val="auto"/>
          <w:sz w:val="24"/>
          <w:highlight w:val="none"/>
        </w:rPr>
        <w:t>年  月</w:t>
      </w:r>
      <w:r>
        <w:rPr>
          <w:rFonts w:hint="eastAsia" w:ascii="仿宋_GB2312" w:eastAsia="仿宋_GB2312"/>
          <w:color w:val="auto"/>
          <w:sz w:val="24"/>
          <w:highlight w:val="none"/>
        </w:rPr>
        <w:t xml:space="preserve">  日   </w:t>
      </w:r>
    </w:p>
    <w:p>
      <w:pPr>
        <w:tabs>
          <w:tab w:val="left" w:pos="360"/>
          <w:tab w:val="left" w:pos="1800"/>
        </w:tabs>
        <w:jc w:val="center"/>
        <w:rPr>
          <w:rFonts w:ascii="仿宋_GB2312" w:eastAsia="仿宋_GB2312"/>
          <w:b/>
          <w:bCs/>
          <w:color w:val="auto"/>
          <w:sz w:val="24"/>
          <w:highlight w:val="none"/>
        </w:rPr>
      </w:pPr>
    </w:p>
    <w:p>
      <w:pPr>
        <w:tabs>
          <w:tab w:val="left" w:pos="360"/>
          <w:tab w:val="left" w:pos="1800"/>
        </w:tabs>
        <w:jc w:val="center"/>
        <w:rPr>
          <w:rFonts w:ascii="仿宋_GB2312" w:eastAsia="仿宋_GB2312"/>
          <w:b/>
          <w:bCs/>
          <w:color w:val="auto"/>
          <w:sz w:val="24"/>
          <w:highlight w:val="none"/>
        </w:rPr>
      </w:pPr>
      <w:r>
        <w:rPr>
          <w:rFonts w:hint="eastAsia" w:ascii="仿宋_GB2312" w:eastAsia="仿宋_GB2312"/>
          <w:b/>
          <w:bCs/>
          <w:color w:val="auto"/>
          <w:sz w:val="24"/>
          <w:highlight w:val="none"/>
        </w:rPr>
        <w:t>格式8  医用耗材、器械、医用设备、仪器一览表</w:t>
      </w:r>
    </w:p>
    <w:p>
      <w:pPr>
        <w:tabs>
          <w:tab w:val="left" w:pos="360"/>
          <w:tab w:val="left" w:pos="1800"/>
        </w:tabs>
        <w:jc w:val="center"/>
        <w:rPr>
          <w:rFonts w:ascii="仿宋_GB2312" w:eastAsia="仿宋_GB2312"/>
          <w:color w:val="auto"/>
          <w:sz w:val="24"/>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19"/>
        <w:gridCol w:w="823"/>
        <w:gridCol w:w="822"/>
        <w:gridCol w:w="822"/>
        <w:gridCol w:w="704"/>
        <w:gridCol w:w="704"/>
        <w:gridCol w:w="704"/>
        <w:gridCol w:w="708"/>
        <w:gridCol w:w="570"/>
        <w:gridCol w:w="1064"/>
        <w:gridCol w:w="89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467"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819"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设备名称</w:t>
            </w:r>
          </w:p>
        </w:tc>
        <w:tc>
          <w:tcPr>
            <w:tcW w:w="823"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规格型号</w:t>
            </w:r>
          </w:p>
        </w:tc>
        <w:tc>
          <w:tcPr>
            <w:tcW w:w="822"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产地</w:t>
            </w:r>
          </w:p>
        </w:tc>
        <w:tc>
          <w:tcPr>
            <w:tcW w:w="822"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出厂时间</w:t>
            </w:r>
          </w:p>
        </w:tc>
        <w:tc>
          <w:tcPr>
            <w:tcW w:w="3390" w:type="dxa"/>
            <w:gridSpan w:val="5"/>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数量（台/套）</w:t>
            </w:r>
          </w:p>
        </w:tc>
        <w:tc>
          <w:tcPr>
            <w:tcW w:w="1064"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进口/国产</w:t>
            </w:r>
          </w:p>
        </w:tc>
        <w:tc>
          <w:tcPr>
            <w:tcW w:w="898"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现状</w:t>
            </w:r>
          </w:p>
        </w:tc>
        <w:tc>
          <w:tcPr>
            <w:tcW w:w="892"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67" w:type="dxa"/>
            <w:vMerge w:val="continue"/>
            <w:vAlign w:val="center"/>
          </w:tcPr>
          <w:p>
            <w:pPr>
              <w:snapToGrid w:val="0"/>
              <w:spacing w:line="320" w:lineRule="exact"/>
              <w:jc w:val="center"/>
              <w:rPr>
                <w:rFonts w:ascii="仿宋_GB2312" w:eastAsia="仿宋_GB2312"/>
                <w:color w:val="auto"/>
                <w:sz w:val="24"/>
                <w:highlight w:val="none"/>
              </w:rPr>
            </w:pPr>
          </w:p>
        </w:tc>
        <w:tc>
          <w:tcPr>
            <w:tcW w:w="819" w:type="dxa"/>
            <w:vMerge w:val="continue"/>
            <w:vAlign w:val="center"/>
          </w:tcPr>
          <w:p>
            <w:pPr>
              <w:snapToGrid w:val="0"/>
              <w:spacing w:line="320" w:lineRule="exact"/>
              <w:jc w:val="center"/>
              <w:rPr>
                <w:rFonts w:ascii="仿宋_GB2312" w:eastAsia="仿宋_GB2312"/>
                <w:color w:val="auto"/>
                <w:sz w:val="24"/>
                <w:highlight w:val="none"/>
              </w:rPr>
            </w:pPr>
          </w:p>
        </w:tc>
        <w:tc>
          <w:tcPr>
            <w:tcW w:w="823" w:type="dxa"/>
            <w:vMerge w:val="continue"/>
            <w:vAlign w:val="center"/>
          </w:tcPr>
          <w:p>
            <w:pPr>
              <w:snapToGrid w:val="0"/>
              <w:spacing w:line="320" w:lineRule="exact"/>
              <w:jc w:val="center"/>
              <w:rPr>
                <w:rFonts w:ascii="仿宋_GB2312" w:eastAsia="仿宋_GB2312"/>
                <w:color w:val="auto"/>
                <w:sz w:val="24"/>
                <w:highlight w:val="none"/>
              </w:rPr>
            </w:pPr>
          </w:p>
        </w:tc>
        <w:tc>
          <w:tcPr>
            <w:tcW w:w="822" w:type="dxa"/>
            <w:vMerge w:val="continue"/>
          </w:tcPr>
          <w:p>
            <w:pPr>
              <w:snapToGrid w:val="0"/>
              <w:spacing w:line="320" w:lineRule="exact"/>
              <w:jc w:val="center"/>
              <w:rPr>
                <w:rFonts w:ascii="仿宋_GB2312" w:eastAsia="仿宋_GB2312"/>
                <w:color w:val="auto"/>
                <w:sz w:val="24"/>
                <w:highlight w:val="none"/>
              </w:rPr>
            </w:pPr>
          </w:p>
        </w:tc>
        <w:tc>
          <w:tcPr>
            <w:tcW w:w="822" w:type="dxa"/>
            <w:vMerge w:val="continue"/>
          </w:tcPr>
          <w:p>
            <w:pPr>
              <w:snapToGrid w:val="0"/>
              <w:spacing w:line="320" w:lineRule="exact"/>
              <w:jc w:val="center"/>
              <w:rPr>
                <w:rFonts w:ascii="仿宋_GB2312" w:eastAsia="仿宋_GB2312"/>
                <w:color w:val="auto"/>
                <w:sz w:val="24"/>
                <w:highlight w:val="none"/>
              </w:rPr>
            </w:pPr>
          </w:p>
        </w:tc>
        <w:tc>
          <w:tcPr>
            <w:tcW w:w="2820" w:type="dxa"/>
            <w:gridSpan w:val="4"/>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其中</w:t>
            </w:r>
          </w:p>
        </w:tc>
        <w:tc>
          <w:tcPr>
            <w:tcW w:w="570" w:type="dxa"/>
            <w:vMerge w:val="restart"/>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小计</w:t>
            </w:r>
          </w:p>
        </w:tc>
        <w:tc>
          <w:tcPr>
            <w:tcW w:w="1064" w:type="dxa"/>
            <w:vMerge w:val="continue"/>
          </w:tcPr>
          <w:p>
            <w:pPr>
              <w:snapToGrid w:val="0"/>
              <w:spacing w:line="320" w:lineRule="exact"/>
              <w:jc w:val="center"/>
              <w:rPr>
                <w:rFonts w:ascii="仿宋_GB2312" w:eastAsia="仿宋_GB2312"/>
                <w:color w:val="auto"/>
                <w:sz w:val="24"/>
                <w:highlight w:val="none"/>
              </w:rPr>
            </w:pPr>
          </w:p>
        </w:tc>
        <w:tc>
          <w:tcPr>
            <w:tcW w:w="898" w:type="dxa"/>
            <w:vMerge w:val="continue"/>
          </w:tcPr>
          <w:p>
            <w:pPr>
              <w:snapToGrid w:val="0"/>
              <w:spacing w:line="320" w:lineRule="exact"/>
              <w:jc w:val="center"/>
              <w:rPr>
                <w:rFonts w:ascii="仿宋_GB2312" w:eastAsia="仿宋_GB2312"/>
                <w:color w:val="auto"/>
                <w:sz w:val="24"/>
                <w:highlight w:val="none"/>
              </w:rPr>
            </w:pPr>
          </w:p>
        </w:tc>
        <w:tc>
          <w:tcPr>
            <w:tcW w:w="892" w:type="dxa"/>
            <w:vMerge w:val="continue"/>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7" w:type="dxa"/>
            <w:vMerge w:val="continue"/>
            <w:vAlign w:val="center"/>
          </w:tcPr>
          <w:p>
            <w:pPr>
              <w:snapToGrid w:val="0"/>
              <w:spacing w:line="320" w:lineRule="exact"/>
              <w:jc w:val="center"/>
              <w:rPr>
                <w:rFonts w:ascii="仿宋_GB2312" w:eastAsia="仿宋_GB2312"/>
                <w:color w:val="auto"/>
                <w:sz w:val="24"/>
                <w:highlight w:val="none"/>
              </w:rPr>
            </w:pPr>
          </w:p>
        </w:tc>
        <w:tc>
          <w:tcPr>
            <w:tcW w:w="819" w:type="dxa"/>
            <w:vMerge w:val="continue"/>
            <w:vAlign w:val="center"/>
          </w:tcPr>
          <w:p>
            <w:pPr>
              <w:snapToGrid w:val="0"/>
              <w:spacing w:line="320" w:lineRule="exact"/>
              <w:jc w:val="center"/>
              <w:rPr>
                <w:rFonts w:ascii="仿宋_GB2312" w:eastAsia="仿宋_GB2312"/>
                <w:color w:val="auto"/>
                <w:sz w:val="24"/>
                <w:highlight w:val="none"/>
              </w:rPr>
            </w:pPr>
          </w:p>
        </w:tc>
        <w:tc>
          <w:tcPr>
            <w:tcW w:w="823" w:type="dxa"/>
            <w:vMerge w:val="continue"/>
            <w:vAlign w:val="center"/>
          </w:tcPr>
          <w:p>
            <w:pPr>
              <w:snapToGrid w:val="0"/>
              <w:spacing w:line="320" w:lineRule="exact"/>
              <w:jc w:val="center"/>
              <w:rPr>
                <w:rFonts w:ascii="仿宋_GB2312" w:eastAsia="仿宋_GB2312"/>
                <w:color w:val="auto"/>
                <w:sz w:val="24"/>
                <w:highlight w:val="none"/>
              </w:rPr>
            </w:pPr>
          </w:p>
        </w:tc>
        <w:tc>
          <w:tcPr>
            <w:tcW w:w="822" w:type="dxa"/>
            <w:vMerge w:val="continue"/>
          </w:tcPr>
          <w:p>
            <w:pPr>
              <w:snapToGrid w:val="0"/>
              <w:spacing w:line="320" w:lineRule="exact"/>
              <w:jc w:val="center"/>
              <w:rPr>
                <w:rFonts w:ascii="仿宋_GB2312" w:eastAsia="仿宋_GB2312"/>
                <w:color w:val="auto"/>
                <w:sz w:val="24"/>
                <w:highlight w:val="none"/>
              </w:rPr>
            </w:pPr>
          </w:p>
        </w:tc>
        <w:tc>
          <w:tcPr>
            <w:tcW w:w="822" w:type="dxa"/>
            <w:vMerge w:val="continue"/>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自有</w:t>
            </w:r>
          </w:p>
        </w:tc>
        <w:tc>
          <w:tcPr>
            <w:tcW w:w="704" w:type="dxa"/>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租赁</w:t>
            </w:r>
          </w:p>
        </w:tc>
        <w:tc>
          <w:tcPr>
            <w:tcW w:w="704" w:type="dxa"/>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新购</w:t>
            </w:r>
          </w:p>
        </w:tc>
        <w:tc>
          <w:tcPr>
            <w:tcW w:w="708" w:type="dxa"/>
            <w:vAlign w:val="center"/>
          </w:tcPr>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特别</w:t>
            </w:r>
          </w:p>
          <w:p>
            <w:pPr>
              <w:snapToGrid w:val="0"/>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制造</w:t>
            </w:r>
          </w:p>
        </w:tc>
        <w:tc>
          <w:tcPr>
            <w:tcW w:w="570" w:type="dxa"/>
            <w:vMerge w:val="continue"/>
            <w:vAlign w:val="center"/>
          </w:tcPr>
          <w:p>
            <w:pPr>
              <w:snapToGrid w:val="0"/>
              <w:spacing w:line="320" w:lineRule="exact"/>
              <w:jc w:val="center"/>
              <w:rPr>
                <w:rFonts w:ascii="仿宋_GB2312" w:eastAsia="仿宋_GB2312"/>
                <w:color w:val="auto"/>
                <w:sz w:val="24"/>
                <w:highlight w:val="none"/>
              </w:rPr>
            </w:pPr>
          </w:p>
        </w:tc>
        <w:tc>
          <w:tcPr>
            <w:tcW w:w="1064" w:type="dxa"/>
            <w:vMerge w:val="continue"/>
          </w:tcPr>
          <w:p>
            <w:pPr>
              <w:snapToGrid w:val="0"/>
              <w:spacing w:line="320" w:lineRule="exact"/>
              <w:jc w:val="center"/>
              <w:rPr>
                <w:rFonts w:ascii="仿宋_GB2312" w:eastAsia="仿宋_GB2312"/>
                <w:color w:val="auto"/>
                <w:sz w:val="24"/>
                <w:highlight w:val="none"/>
              </w:rPr>
            </w:pPr>
          </w:p>
        </w:tc>
        <w:tc>
          <w:tcPr>
            <w:tcW w:w="898" w:type="dxa"/>
            <w:vMerge w:val="continue"/>
            <w:vAlign w:val="center"/>
          </w:tcPr>
          <w:p>
            <w:pPr>
              <w:snapToGrid w:val="0"/>
              <w:spacing w:line="320" w:lineRule="exact"/>
              <w:jc w:val="center"/>
              <w:rPr>
                <w:rFonts w:ascii="仿宋_GB2312" w:eastAsia="仿宋_GB2312"/>
                <w:color w:val="auto"/>
                <w:sz w:val="24"/>
                <w:highlight w:val="none"/>
              </w:rPr>
            </w:pPr>
          </w:p>
        </w:tc>
        <w:tc>
          <w:tcPr>
            <w:tcW w:w="892" w:type="dxa"/>
            <w:vMerge w:val="continue"/>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vAlign w:val="center"/>
          </w:tcPr>
          <w:p>
            <w:pPr>
              <w:snapToGrid w:val="0"/>
              <w:spacing w:line="320" w:lineRule="exact"/>
              <w:jc w:val="center"/>
              <w:rPr>
                <w:rFonts w:ascii="仿宋_GB2312" w:eastAsia="仿宋_GB2312"/>
                <w:color w:val="auto"/>
                <w:sz w:val="24"/>
                <w:highlight w:val="none"/>
              </w:rPr>
            </w:pPr>
          </w:p>
        </w:tc>
        <w:tc>
          <w:tcPr>
            <w:tcW w:w="819" w:type="dxa"/>
            <w:vAlign w:val="center"/>
          </w:tcPr>
          <w:p>
            <w:pPr>
              <w:snapToGrid w:val="0"/>
              <w:spacing w:line="320" w:lineRule="exact"/>
              <w:jc w:val="center"/>
              <w:rPr>
                <w:rFonts w:ascii="仿宋_GB2312" w:eastAsia="仿宋_GB2312"/>
                <w:color w:val="auto"/>
                <w:sz w:val="24"/>
                <w:highlight w:val="none"/>
              </w:rPr>
            </w:pPr>
          </w:p>
        </w:tc>
        <w:tc>
          <w:tcPr>
            <w:tcW w:w="823" w:type="dxa"/>
            <w:vAlign w:val="center"/>
          </w:tcPr>
          <w:p>
            <w:pPr>
              <w:snapToGrid w:val="0"/>
              <w:spacing w:line="320" w:lineRule="exact"/>
              <w:jc w:val="center"/>
              <w:rPr>
                <w:rFonts w:ascii="仿宋_GB2312" w:eastAsia="仿宋_GB2312"/>
                <w:color w:val="auto"/>
                <w:sz w:val="24"/>
                <w:highlight w:val="none"/>
              </w:rPr>
            </w:pPr>
          </w:p>
        </w:tc>
        <w:tc>
          <w:tcPr>
            <w:tcW w:w="822" w:type="dxa"/>
          </w:tcPr>
          <w:p>
            <w:pPr>
              <w:snapToGrid w:val="0"/>
              <w:spacing w:line="320" w:lineRule="exact"/>
              <w:jc w:val="center"/>
              <w:rPr>
                <w:rFonts w:ascii="仿宋_GB2312" w:eastAsia="仿宋_GB2312"/>
                <w:color w:val="auto"/>
                <w:sz w:val="24"/>
                <w:highlight w:val="none"/>
              </w:rPr>
            </w:pPr>
          </w:p>
        </w:tc>
        <w:tc>
          <w:tcPr>
            <w:tcW w:w="822"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4" w:type="dxa"/>
            <w:vAlign w:val="center"/>
          </w:tcPr>
          <w:p>
            <w:pPr>
              <w:snapToGrid w:val="0"/>
              <w:spacing w:line="320" w:lineRule="exact"/>
              <w:jc w:val="center"/>
              <w:rPr>
                <w:rFonts w:ascii="仿宋_GB2312" w:eastAsia="仿宋_GB2312"/>
                <w:color w:val="auto"/>
                <w:sz w:val="24"/>
                <w:highlight w:val="none"/>
              </w:rPr>
            </w:pPr>
          </w:p>
        </w:tc>
        <w:tc>
          <w:tcPr>
            <w:tcW w:w="708" w:type="dxa"/>
            <w:vAlign w:val="center"/>
          </w:tcPr>
          <w:p>
            <w:pPr>
              <w:snapToGrid w:val="0"/>
              <w:spacing w:line="320" w:lineRule="exact"/>
              <w:jc w:val="center"/>
              <w:rPr>
                <w:rFonts w:ascii="仿宋_GB2312" w:eastAsia="仿宋_GB2312"/>
                <w:color w:val="auto"/>
                <w:sz w:val="24"/>
                <w:highlight w:val="none"/>
              </w:rPr>
            </w:pPr>
          </w:p>
        </w:tc>
        <w:tc>
          <w:tcPr>
            <w:tcW w:w="570" w:type="dxa"/>
            <w:vAlign w:val="center"/>
          </w:tcPr>
          <w:p>
            <w:pPr>
              <w:snapToGrid w:val="0"/>
              <w:spacing w:line="320" w:lineRule="exact"/>
              <w:jc w:val="center"/>
              <w:rPr>
                <w:rFonts w:ascii="仿宋_GB2312" w:eastAsia="仿宋_GB2312"/>
                <w:color w:val="auto"/>
                <w:sz w:val="24"/>
                <w:highlight w:val="none"/>
              </w:rPr>
            </w:pPr>
          </w:p>
        </w:tc>
        <w:tc>
          <w:tcPr>
            <w:tcW w:w="1064" w:type="dxa"/>
          </w:tcPr>
          <w:p>
            <w:pPr>
              <w:snapToGrid w:val="0"/>
              <w:spacing w:line="320" w:lineRule="exact"/>
              <w:jc w:val="center"/>
              <w:rPr>
                <w:rFonts w:ascii="仿宋_GB2312" w:eastAsia="仿宋_GB2312"/>
                <w:color w:val="auto"/>
                <w:sz w:val="24"/>
                <w:highlight w:val="none"/>
              </w:rPr>
            </w:pPr>
          </w:p>
        </w:tc>
        <w:tc>
          <w:tcPr>
            <w:tcW w:w="898" w:type="dxa"/>
            <w:vAlign w:val="center"/>
          </w:tcPr>
          <w:p>
            <w:pPr>
              <w:snapToGrid w:val="0"/>
              <w:spacing w:line="320" w:lineRule="exact"/>
              <w:jc w:val="center"/>
              <w:rPr>
                <w:rFonts w:ascii="仿宋_GB2312" w:eastAsia="仿宋_GB2312"/>
                <w:color w:val="auto"/>
                <w:sz w:val="24"/>
                <w:highlight w:val="none"/>
              </w:rPr>
            </w:pPr>
          </w:p>
        </w:tc>
        <w:tc>
          <w:tcPr>
            <w:tcW w:w="892" w:type="dxa"/>
            <w:vAlign w:val="center"/>
          </w:tcPr>
          <w:p>
            <w:pPr>
              <w:snapToGrid w:val="0"/>
              <w:spacing w:line="320" w:lineRule="exact"/>
              <w:jc w:val="center"/>
              <w:rPr>
                <w:rFonts w:ascii="仿宋_GB2312" w:eastAsia="仿宋_GB2312"/>
                <w:color w:val="auto"/>
                <w:sz w:val="24"/>
                <w:highlight w:val="none"/>
              </w:rPr>
            </w:pPr>
          </w:p>
        </w:tc>
      </w:tr>
    </w:tbl>
    <w:p>
      <w:pPr>
        <w:snapToGrid w:val="0"/>
        <w:spacing w:line="3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注：1. 设备、仪器按本项目相关需要的顺序填写；</w:t>
      </w:r>
    </w:p>
    <w:p>
      <w:pPr>
        <w:snapToGrid w:val="0"/>
        <w:spacing w:line="360" w:lineRule="exact"/>
        <w:ind w:firstLine="960" w:firstLineChars="400"/>
        <w:rPr>
          <w:rFonts w:ascii="仿宋_GB2312" w:eastAsia="仿宋_GB2312"/>
          <w:color w:val="auto"/>
          <w:sz w:val="24"/>
          <w:highlight w:val="none"/>
        </w:rPr>
      </w:pPr>
      <w:r>
        <w:rPr>
          <w:rFonts w:hint="eastAsia" w:ascii="仿宋_GB2312" w:eastAsia="仿宋_GB2312"/>
          <w:color w:val="auto"/>
          <w:sz w:val="24"/>
          <w:highlight w:val="none"/>
        </w:rPr>
        <w:t>2. 填写拟派于本项目相关的具体设备及仪器；</w:t>
      </w:r>
    </w:p>
    <w:p>
      <w:pPr>
        <w:snapToGrid w:val="0"/>
        <w:spacing w:line="360" w:lineRule="exact"/>
        <w:ind w:firstLine="960" w:firstLineChars="400"/>
        <w:rPr>
          <w:rFonts w:ascii="仿宋_GB2312" w:eastAsia="仿宋_GB2312"/>
          <w:color w:val="auto"/>
          <w:sz w:val="24"/>
          <w:highlight w:val="none"/>
        </w:rPr>
      </w:pPr>
      <w:r>
        <w:rPr>
          <w:rFonts w:hint="eastAsia" w:ascii="仿宋_GB2312" w:eastAsia="仿宋_GB2312"/>
          <w:color w:val="auto"/>
          <w:sz w:val="24"/>
          <w:highlight w:val="none"/>
        </w:rPr>
        <w:t>3. 注明相关设备及仪器出厂日期、目前存放地点、承担工作等内容。</w:t>
      </w:r>
    </w:p>
    <w:p>
      <w:pPr>
        <w:snapToGrid w:val="0"/>
        <w:spacing w:line="360" w:lineRule="exact"/>
        <w:ind w:firstLine="960" w:firstLineChars="400"/>
        <w:rPr>
          <w:rFonts w:ascii="仿宋_GB2312" w:eastAsia="仿宋_GB2312"/>
          <w:color w:val="auto"/>
          <w:sz w:val="24"/>
          <w:highlight w:val="none"/>
        </w:rPr>
      </w:pPr>
    </w:p>
    <w:p>
      <w:pPr>
        <w:snapToGrid w:val="0"/>
        <w:spacing w:line="360" w:lineRule="exact"/>
        <w:ind w:firstLine="960" w:firstLineChars="400"/>
        <w:rPr>
          <w:rFonts w:ascii="仿宋_GB2312" w:eastAsia="仿宋_GB2312"/>
          <w:color w:val="auto"/>
          <w:sz w:val="24"/>
          <w:highlight w:val="none"/>
        </w:rPr>
      </w:pPr>
    </w:p>
    <w:p>
      <w:pPr>
        <w:snapToGrid w:val="0"/>
        <w:spacing w:line="453" w:lineRule="atLeast"/>
        <w:rPr>
          <w:rFonts w:ascii="仿宋_GB2312" w:hAnsi="宋体" w:eastAsia="仿宋_GB2312"/>
          <w:bCs/>
          <w:color w:val="auto"/>
          <w:sz w:val="24"/>
          <w:highlight w:val="none"/>
        </w:rPr>
      </w:pPr>
      <w:r>
        <w:rPr>
          <w:rFonts w:hint="eastAsia" w:ascii="仿宋_GB2312" w:hAnsi="宋体" w:eastAsia="仿宋_GB2312"/>
          <w:bCs/>
          <w:color w:val="auto"/>
          <w:sz w:val="24"/>
          <w:highlight w:val="none"/>
        </w:rPr>
        <w:t>供应商（盖章）：</w:t>
      </w:r>
    </w:p>
    <w:p>
      <w:pPr>
        <w:snapToGrid w:val="0"/>
        <w:spacing w:line="453" w:lineRule="atLeast"/>
        <w:ind w:firstLine="480" w:firstLineChars="200"/>
        <w:rPr>
          <w:rFonts w:ascii="仿宋_GB2312" w:hAnsi="宋体" w:eastAsia="仿宋_GB2312"/>
          <w:bCs/>
          <w:color w:val="auto"/>
          <w:sz w:val="24"/>
          <w:highlight w:val="none"/>
        </w:rPr>
      </w:pPr>
    </w:p>
    <w:p>
      <w:pPr>
        <w:snapToGrid w:val="0"/>
        <w:spacing w:line="453" w:lineRule="atLeast"/>
        <w:rPr>
          <w:rFonts w:ascii="仿宋_GB2312" w:hAnsi="宋体" w:eastAsia="仿宋_GB2312"/>
          <w:bCs/>
          <w:color w:val="auto"/>
          <w:sz w:val="24"/>
          <w:highlight w:val="none"/>
        </w:rPr>
      </w:pPr>
      <w:r>
        <w:rPr>
          <w:rFonts w:hint="eastAsia" w:ascii="仿宋_GB2312" w:hAnsi="宋体" w:eastAsia="仿宋_GB2312"/>
          <w:bCs/>
          <w:color w:val="auto"/>
          <w:sz w:val="24"/>
          <w:highlight w:val="none"/>
        </w:rPr>
        <w:t>法人代表人或委托代理人签字或盖章：</w:t>
      </w:r>
    </w:p>
    <w:p>
      <w:pPr>
        <w:snapToGrid w:val="0"/>
        <w:spacing w:line="453" w:lineRule="atLeast"/>
        <w:jc w:val="center"/>
        <w:rPr>
          <w:rFonts w:ascii="仿宋_GB2312" w:hAnsi="宋体" w:eastAsia="仿宋_GB2312"/>
          <w:bCs/>
          <w:color w:val="auto"/>
          <w:sz w:val="24"/>
          <w:highlight w:val="none"/>
        </w:rPr>
      </w:pPr>
    </w:p>
    <w:p>
      <w:pPr>
        <w:jc w:val="right"/>
        <w:outlineLvl w:val="0"/>
        <w:rPr>
          <w:rFonts w:ascii="仿宋_GB2312" w:eastAsia="仿宋_GB2312"/>
          <w:color w:val="auto"/>
          <w:sz w:val="24"/>
          <w:highlight w:val="none"/>
        </w:rPr>
      </w:pPr>
      <w:r>
        <w:rPr>
          <w:rFonts w:hint="eastAsia" w:ascii="仿宋_GB2312" w:hAnsi="宋体" w:eastAsia="仿宋_GB2312"/>
          <w:bCs/>
          <w:color w:val="auto"/>
          <w:sz w:val="24"/>
          <w:highlight w:val="none"/>
        </w:rPr>
        <w:t>年  月</w:t>
      </w:r>
      <w:r>
        <w:rPr>
          <w:rFonts w:hint="eastAsia" w:ascii="仿宋_GB2312" w:eastAsia="仿宋_GB2312"/>
          <w:color w:val="auto"/>
          <w:sz w:val="24"/>
          <w:highlight w:val="none"/>
        </w:rPr>
        <w:t xml:space="preserve">  日    </w:t>
      </w:r>
    </w:p>
    <w:p>
      <w:pPr>
        <w:jc w:val="center"/>
        <w:outlineLvl w:val="0"/>
        <w:rPr>
          <w:rFonts w:ascii="仿宋_GB2312" w:eastAsia="仿宋_GB2312"/>
          <w:color w:val="auto"/>
          <w:sz w:val="24"/>
          <w:highlight w:val="none"/>
        </w:rPr>
      </w:pPr>
    </w:p>
    <w:p>
      <w:pPr>
        <w:tabs>
          <w:tab w:val="left" w:pos="360"/>
          <w:tab w:val="left" w:pos="1800"/>
        </w:tabs>
        <w:spacing w:line="480" w:lineRule="exact"/>
        <w:rPr>
          <w:rFonts w:ascii="仿宋_GB2312" w:eastAsia="仿宋_GB2312"/>
          <w:bCs/>
          <w:color w:val="auto"/>
          <w:sz w:val="24"/>
          <w:highlight w:val="none"/>
        </w:rPr>
      </w:pPr>
    </w:p>
    <w:p>
      <w:pPr>
        <w:tabs>
          <w:tab w:val="left" w:pos="360"/>
          <w:tab w:val="left" w:pos="1800"/>
        </w:tabs>
        <w:spacing w:line="480" w:lineRule="exact"/>
        <w:rPr>
          <w:rFonts w:ascii="仿宋_GB2312" w:eastAsia="仿宋_GB2312"/>
          <w:bCs/>
          <w:color w:val="auto"/>
          <w:sz w:val="24"/>
          <w:highlight w:val="none"/>
        </w:rPr>
      </w:pPr>
    </w:p>
    <w:p>
      <w:pPr>
        <w:spacing w:line="572" w:lineRule="atLeast"/>
        <w:jc w:val="center"/>
        <w:rPr>
          <w:rFonts w:ascii="仿宋_GB2312" w:eastAsia="仿宋_GB2312"/>
          <w:b/>
          <w:color w:val="auto"/>
          <w:sz w:val="24"/>
          <w:highlight w:val="none"/>
        </w:rPr>
      </w:pPr>
      <w:r>
        <w:rPr>
          <w:rFonts w:hint="eastAsia" w:ascii="仿宋_GB2312" w:eastAsia="仿宋_GB2312"/>
          <w:b/>
          <w:color w:val="auto"/>
          <w:sz w:val="24"/>
          <w:highlight w:val="none"/>
        </w:rPr>
        <w:t>格式9  参与过的同类服务项目业绩表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442"/>
        <w:gridCol w:w="11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05" w:firstLineChars="50"/>
              <w:rPr>
                <w:rFonts w:ascii="仿宋_GB2312" w:hAnsi="宋体" w:eastAsia="仿宋_GB2312" w:cs="Arial"/>
                <w:b/>
                <w:color w:val="auto"/>
                <w:highlight w:val="none"/>
              </w:rPr>
            </w:pPr>
            <w:r>
              <w:rPr>
                <w:rFonts w:hint="eastAsia" w:ascii="仿宋_GB2312" w:hAnsi="宋体" w:eastAsia="仿宋_GB2312" w:cs="Arial"/>
                <w:b/>
                <w:color w:val="auto"/>
                <w:highlight w:val="none"/>
              </w:rPr>
              <w:t>年份</w:t>
            </w:r>
          </w:p>
        </w:tc>
        <w:tc>
          <w:tcPr>
            <w:tcW w:w="1440" w:type="dxa"/>
            <w:vAlign w:val="center"/>
          </w:tcPr>
          <w:p>
            <w:pPr>
              <w:spacing w:line="400" w:lineRule="exact"/>
              <w:jc w:val="center"/>
              <w:rPr>
                <w:rFonts w:ascii="仿宋_GB2312" w:hAnsi="宋体" w:eastAsia="仿宋_GB2312" w:cs="Arial"/>
                <w:b/>
                <w:color w:val="auto"/>
                <w:highlight w:val="none"/>
              </w:rPr>
            </w:pPr>
            <w:r>
              <w:rPr>
                <w:rFonts w:hint="eastAsia" w:ascii="仿宋_GB2312" w:hAnsi="宋体" w:eastAsia="仿宋_GB2312" w:cs="Arial"/>
                <w:b/>
                <w:color w:val="auto"/>
                <w:highlight w:val="none"/>
              </w:rPr>
              <w:t>项目名称</w:t>
            </w:r>
          </w:p>
        </w:tc>
        <w:tc>
          <w:tcPr>
            <w:tcW w:w="1320" w:type="dxa"/>
            <w:vAlign w:val="center"/>
          </w:tcPr>
          <w:p>
            <w:pPr>
              <w:spacing w:line="400" w:lineRule="exact"/>
              <w:jc w:val="center"/>
              <w:rPr>
                <w:rFonts w:ascii="仿宋_GB2312" w:hAnsi="宋体" w:eastAsia="仿宋_GB2312" w:cs="Arial"/>
                <w:b/>
                <w:color w:val="auto"/>
                <w:highlight w:val="none"/>
              </w:rPr>
            </w:pPr>
            <w:r>
              <w:rPr>
                <w:rFonts w:hint="eastAsia" w:ascii="仿宋_GB2312" w:hAnsi="宋体" w:eastAsia="仿宋_GB2312" w:cs="Arial"/>
                <w:b/>
                <w:color w:val="auto"/>
                <w:highlight w:val="none"/>
              </w:rPr>
              <w:t>用户名称</w:t>
            </w:r>
          </w:p>
        </w:tc>
        <w:tc>
          <w:tcPr>
            <w:tcW w:w="1161" w:type="dxa"/>
            <w:vAlign w:val="center"/>
          </w:tcPr>
          <w:p>
            <w:pPr>
              <w:spacing w:line="400" w:lineRule="exact"/>
              <w:jc w:val="center"/>
              <w:rPr>
                <w:rFonts w:ascii="仿宋_GB2312" w:hAnsi="宋体" w:eastAsia="仿宋_GB2312" w:cs="Arial"/>
                <w:b/>
                <w:color w:val="auto"/>
                <w:highlight w:val="none"/>
              </w:rPr>
            </w:pPr>
            <w:r>
              <w:rPr>
                <w:rFonts w:hint="eastAsia" w:ascii="仿宋_GB2312" w:hAnsi="宋体" w:eastAsia="仿宋_GB2312" w:cs="Arial"/>
                <w:b/>
                <w:color w:val="auto"/>
                <w:highlight w:val="none"/>
              </w:rPr>
              <w:t>完成时间</w:t>
            </w:r>
          </w:p>
        </w:tc>
        <w:tc>
          <w:tcPr>
            <w:tcW w:w="1260" w:type="dxa"/>
            <w:vAlign w:val="center"/>
          </w:tcPr>
          <w:p>
            <w:pPr>
              <w:spacing w:line="400" w:lineRule="exact"/>
              <w:ind w:firstLine="105" w:firstLineChars="50"/>
              <w:rPr>
                <w:rFonts w:ascii="仿宋_GB2312" w:hAnsi="宋体" w:eastAsia="仿宋_GB2312" w:cs="Arial"/>
                <w:b/>
                <w:color w:val="auto"/>
                <w:highlight w:val="none"/>
              </w:rPr>
            </w:pPr>
            <w:r>
              <w:rPr>
                <w:rFonts w:hint="eastAsia" w:ascii="仿宋_GB2312" w:hAnsi="宋体" w:eastAsia="仿宋_GB2312" w:cs="Arial"/>
                <w:b/>
                <w:color w:val="auto"/>
                <w:highlight w:val="none"/>
              </w:rPr>
              <w:t>合同金额</w:t>
            </w:r>
          </w:p>
        </w:tc>
        <w:tc>
          <w:tcPr>
            <w:tcW w:w="1374" w:type="dxa"/>
            <w:gridSpan w:val="3"/>
            <w:tcBorders>
              <w:right w:val="single" w:color="auto" w:sz="4" w:space="0"/>
            </w:tcBorders>
            <w:vAlign w:val="center"/>
          </w:tcPr>
          <w:p>
            <w:pPr>
              <w:spacing w:line="400" w:lineRule="exact"/>
              <w:rPr>
                <w:rFonts w:ascii="仿宋_GB2312" w:hAnsi="宋体" w:eastAsia="仿宋_GB2312" w:cs="Arial"/>
                <w:b/>
                <w:color w:val="auto"/>
                <w:highlight w:val="none"/>
              </w:rPr>
            </w:pPr>
            <w:r>
              <w:rPr>
                <w:rFonts w:hint="eastAsia" w:ascii="仿宋_GB2312" w:hAnsi="宋体" w:eastAsia="仿宋_GB2312" w:cs="Arial"/>
                <w:b/>
                <w:color w:val="auto"/>
                <w:highlight w:val="none"/>
              </w:rPr>
              <w:t>完成项目质量</w:t>
            </w:r>
          </w:p>
        </w:tc>
        <w:tc>
          <w:tcPr>
            <w:tcW w:w="1442" w:type="dxa"/>
            <w:tcBorders>
              <w:left w:val="single" w:color="auto" w:sz="4" w:space="0"/>
            </w:tcBorders>
            <w:vAlign w:val="center"/>
          </w:tcPr>
          <w:p>
            <w:pPr>
              <w:spacing w:line="400" w:lineRule="exact"/>
              <w:rPr>
                <w:rFonts w:ascii="仿宋_GB2312" w:hAnsi="宋体" w:eastAsia="仿宋_GB2312" w:cs="Arial"/>
                <w:b/>
                <w:color w:val="auto"/>
                <w:sz w:val="18"/>
                <w:szCs w:val="18"/>
                <w:highlight w:val="none"/>
              </w:rPr>
            </w:pPr>
            <w:r>
              <w:rPr>
                <w:rFonts w:hint="eastAsia" w:ascii="仿宋_GB2312" w:hAnsi="宋体" w:eastAsia="仿宋_GB2312" w:cs="Arial"/>
                <w:b/>
                <w:color w:val="auto"/>
                <w:highlight w:val="none"/>
              </w:rPr>
              <w:t>用户联系电话</w:t>
            </w:r>
          </w:p>
        </w:tc>
        <w:tc>
          <w:tcPr>
            <w:tcW w:w="1168" w:type="dxa"/>
            <w:tcBorders>
              <w:left w:val="single" w:color="auto" w:sz="4" w:space="0"/>
            </w:tcBorders>
            <w:vAlign w:val="center"/>
          </w:tcPr>
          <w:p>
            <w:pPr>
              <w:spacing w:line="400" w:lineRule="exact"/>
              <w:jc w:val="center"/>
              <w:rPr>
                <w:rFonts w:ascii="仿宋_GB2312" w:hAnsi="宋体" w:eastAsia="仿宋_GB2312" w:cs="Arial"/>
                <w:b/>
                <w:color w:val="auto"/>
                <w:highlight w:val="none"/>
              </w:rPr>
            </w:pPr>
            <w:r>
              <w:rPr>
                <w:rFonts w:hint="eastAsia" w:ascii="仿宋_GB2312" w:hAnsi="宋体" w:eastAsia="仿宋_GB2312"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jc w:val="center"/>
              <w:rPr>
                <w:rFonts w:ascii="仿宋_GB2312" w:hAnsi="宋体" w:eastAsia="仿宋_GB2312" w:cs="Arial"/>
                <w:color w:val="auto"/>
                <w:highlight w:val="none"/>
              </w:rPr>
            </w:pPr>
          </w:p>
        </w:tc>
        <w:tc>
          <w:tcPr>
            <w:tcW w:w="1440" w:type="dxa"/>
            <w:vAlign w:val="center"/>
          </w:tcPr>
          <w:p>
            <w:pPr>
              <w:spacing w:line="400" w:lineRule="exact"/>
              <w:jc w:val="center"/>
              <w:rPr>
                <w:rFonts w:ascii="仿宋_GB2312" w:hAnsi="宋体" w:eastAsia="仿宋_GB2312" w:cs="Arial"/>
                <w:color w:val="auto"/>
                <w:highlight w:val="none"/>
              </w:rPr>
            </w:pPr>
          </w:p>
        </w:tc>
        <w:tc>
          <w:tcPr>
            <w:tcW w:w="1320" w:type="dxa"/>
            <w:vAlign w:val="center"/>
          </w:tcPr>
          <w:p>
            <w:pPr>
              <w:spacing w:line="400" w:lineRule="exact"/>
              <w:jc w:val="center"/>
              <w:rPr>
                <w:rFonts w:ascii="仿宋_GB2312" w:hAnsi="宋体" w:eastAsia="仿宋_GB2312" w:cs="Arial"/>
                <w:color w:val="auto"/>
                <w:highlight w:val="none"/>
              </w:rPr>
            </w:pPr>
          </w:p>
        </w:tc>
        <w:tc>
          <w:tcPr>
            <w:tcW w:w="1161" w:type="dxa"/>
            <w:vAlign w:val="center"/>
          </w:tcPr>
          <w:p>
            <w:pPr>
              <w:spacing w:line="400" w:lineRule="exact"/>
              <w:jc w:val="center"/>
              <w:rPr>
                <w:rFonts w:ascii="仿宋_GB2312" w:hAnsi="宋体" w:eastAsia="仿宋_GB2312" w:cs="Arial"/>
                <w:color w:val="auto"/>
                <w:highlight w:val="none"/>
              </w:rPr>
            </w:pPr>
          </w:p>
        </w:tc>
        <w:tc>
          <w:tcPr>
            <w:tcW w:w="1260" w:type="dxa"/>
            <w:vAlign w:val="center"/>
          </w:tcPr>
          <w:p>
            <w:pPr>
              <w:spacing w:line="400" w:lineRule="exact"/>
              <w:jc w:val="center"/>
              <w:rPr>
                <w:rFonts w:ascii="仿宋_GB2312" w:hAnsi="宋体" w:eastAsia="仿宋_GB2312" w:cs="Arial"/>
                <w:color w:val="auto"/>
                <w:highlight w:val="none"/>
              </w:rPr>
            </w:pPr>
          </w:p>
        </w:tc>
        <w:tc>
          <w:tcPr>
            <w:tcW w:w="1374" w:type="dxa"/>
            <w:gridSpan w:val="3"/>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42" w:type="dxa"/>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jc w:val="center"/>
              <w:rPr>
                <w:rFonts w:ascii="仿宋_GB2312" w:hAnsi="宋体" w:eastAsia="仿宋_GB2312" w:cs="Arial"/>
                <w:color w:val="auto"/>
                <w:highlight w:val="none"/>
              </w:rPr>
            </w:pPr>
          </w:p>
        </w:tc>
        <w:tc>
          <w:tcPr>
            <w:tcW w:w="1440" w:type="dxa"/>
            <w:vAlign w:val="center"/>
          </w:tcPr>
          <w:p>
            <w:pPr>
              <w:spacing w:line="400" w:lineRule="exact"/>
              <w:jc w:val="center"/>
              <w:rPr>
                <w:rFonts w:ascii="仿宋_GB2312" w:hAnsi="宋体" w:eastAsia="仿宋_GB2312" w:cs="Arial"/>
                <w:color w:val="auto"/>
                <w:highlight w:val="none"/>
              </w:rPr>
            </w:pPr>
          </w:p>
        </w:tc>
        <w:tc>
          <w:tcPr>
            <w:tcW w:w="1320" w:type="dxa"/>
            <w:vAlign w:val="center"/>
          </w:tcPr>
          <w:p>
            <w:pPr>
              <w:spacing w:line="400" w:lineRule="exact"/>
              <w:jc w:val="center"/>
              <w:rPr>
                <w:rFonts w:ascii="仿宋_GB2312" w:hAnsi="宋体" w:eastAsia="仿宋_GB2312" w:cs="Arial"/>
                <w:color w:val="auto"/>
                <w:highlight w:val="none"/>
              </w:rPr>
            </w:pPr>
          </w:p>
        </w:tc>
        <w:tc>
          <w:tcPr>
            <w:tcW w:w="1161" w:type="dxa"/>
            <w:vAlign w:val="center"/>
          </w:tcPr>
          <w:p>
            <w:pPr>
              <w:spacing w:line="400" w:lineRule="exact"/>
              <w:jc w:val="center"/>
              <w:rPr>
                <w:rFonts w:ascii="仿宋_GB2312" w:hAnsi="宋体" w:eastAsia="仿宋_GB2312" w:cs="Arial"/>
                <w:color w:val="auto"/>
                <w:highlight w:val="none"/>
              </w:rPr>
            </w:pPr>
          </w:p>
        </w:tc>
        <w:tc>
          <w:tcPr>
            <w:tcW w:w="1260" w:type="dxa"/>
            <w:vAlign w:val="center"/>
          </w:tcPr>
          <w:p>
            <w:pPr>
              <w:spacing w:line="400" w:lineRule="exact"/>
              <w:jc w:val="center"/>
              <w:rPr>
                <w:rFonts w:ascii="仿宋_GB2312" w:hAnsi="宋体" w:eastAsia="仿宋_GB2312" w:cs="Arial"/>
                <w:color w:val="auto"/>
                <w:highlight w:val="none"/>
              </w:rPr>
            </w:pPr>
          </w:p>
        </w:tc>
        <w:tc>
          <w:tcPr>
            <w:tcW w:w="1374" w:type="dxa"/>
            <w:gridSpan w:val="3"/>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42" w:type="dxa"/>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jc w:val="center"/>
              <w:rPr>
                <w:rFonts w:ascii="仿宋_GB2312" w:hAnsi="宋体" w:eastAsia="仿宋_GB2312" w:cs="Arial"/>
                <w:color w:val="auto"/>
                <w:highlight w:val="none"/>
              </w:rPr>
            </w:pPr>
          </w:p>
        </w:tc>
        <w:tc>
          <w:tcPr>
            <w:tcW w:w="1440" w:type="dxa"/>
            <w:vAlign w:val="center"/>
          </w:tcPr>
          <w:p>
            <w:pPr>
              <w:spacing w:line="400" w:lineRule="exact"/>
              <w:jc w:val="center"/>
              <w:rPr>
                <w:rFonts w:ascii="仿宋_GB2312" w:hAnsi="宋体" w:eastAsia="仿宋_GB2312" w:cs="Arial"/>
                <w:color w:val="auto"/>
                <w:highlight w:val="none"/>
              </w:rPr>
            </w:pPr>
          </w:p>
        </w:tc>
        <w:tc>
          <w:tcPr>
            <w:tcW w:w="1320" w:type="dxa"/>
            <w:vAlign w:val="center"/>
          </w:tcPr>
          <w:p>
            <w:pPr>
              <w:spacing w:line="400" w:lineRule="exact"/>
              <w:jc w:val="center"/>
              <w:rPr>
                <w:rFonts w:ascii="仿宋_GB2312" w:hAnsi="宋体" w:eastAsia="仿宋_GB2312" w:cs="Arial"/>
                <w:color w:val="auto"/>
                <w:highlight w:val="none"/>
              </w:rPr>
            </w:pPr>
          </w:p>
        </w:tc>
        <w:tc>
          <w:tcPr>
            <w:tcW w:w="1161" w:type="dxa"/>
            <w:vAlign w:val="center"/>
          </w:tcPr>
          <w:p>
            <w:pPr>
              <w:spacing w:line="400" w:lineRule="exact"/>
              <w:jc w:val="center"/>
              <w:rPr>
                <w:rFonts w:ascii="仿宋_GB2312" w:hAnsi="宋体" w:eastAsia="仿宋_GB2312" w:cs="Arial"/>
                <w:color w:val="auto"/>
                <w:highlight w:val="none"/>
              </w:rPr>
            </w:pPr>
          </w:p>
        </w:tc>
        <w:tc>
          <w:tcPr>
            <w:tcW w:w="1260" w:type="dxa"/>
            <w:vAlign w:val="center"/>
          </w:tcPr>
          <w:p>
            <w:pPr>
              <w:spacing w:line="400" w:lineRule="exact"/>
              <w:jc w:val="center"/>
              <w:rPr>
                <w:rFonts w:ascii="仿宋_GB2312" w:hAnsi="宋体" w:eastAsia="仿宋_GB2312" w:cs="Arial"/>
                <w:color w:val="auto"/>
                <w:highlight w:val="none"/>
              </w:rPr>
            </w:pPr>
          </w:p>
        </w:tc>
        <w:tc>
          <w:tcPr>
            <w:tcW w:w="1374" w:type="dxa"/>
            <w:gridSpan w:val="3"/>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42" w:type="dxa"/>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jc w:val="center"/>
              <w:rPr>
                <w:rFonts w:ascii="仿宋_GB2312" w:hAnsi="宋体" w:eastAsia="仿宋_GB2312" w:cs="Arial"/>
                <w:color w:val="auto"/>
                <w:highlight w:val="none"/>
              </w:rPr>
            </w:pPr>
          </w:p>
        </w:tc>
        <w:tc>
          <w:tcPr>
            <w:tcW w:w="1440" w:type="dxa"/>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20" w:type="dxa"/>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1" w:type="dxa"/>
            <w:vAlign w:val="center"/>
          </w:tcPr>
          <w:p>
            <w:pPr>
              <w:spacing w:line="400" w:lineRule="exact"/>
              <w:jc w:val="center"/>
              <w:rPr>
                <w:rFonts w:ascii="仿宋_GB2312" w:hAnsi="宋体" w:eastAsia="仿宋_GB2312" w:cs="Arial"/>
                <w:color w:val="auto"/>
                <w:highlight w:val="none"/>
              </w:rPr>
            </w:pPr>
          </w:p>
        </w:tc>
        <w:tc>
          <w:tcPr>
            <w:tcW w:w="1260" w:type="dxa"/>
            <w:vAlign w:val="center"/>
          </w:tcPr>
          <w:p>
            <w:pPr>
              <w:spacing w:line="400" w:lineRule="exact"/>
              <w:jc w:val="center"/>
              <w:rPr>
                <w:rFonts w:ascii="仿宋_GB2312" w:hAnsi="宋体" w:eastAsia="仿宋_GB2312" w:cs="Arial"/>
                <w:color w:val="auto"/>
                <w:highlight w:val="none"/>
              </w:rPr>
            </w:pPr>
          </w:p>
        </w:tc>
        <w:tc>
          <w:tcPr>
            <w:tcW w:w="1374" w:type="dxa"/>
            <w:gridSpan w:val="3"/>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42" w:type="dxa"/>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vAlign w:val="center"/>
          </w:tcPr>
          <w:p>
            <w:pPr>
              <w:spacing w:line="400" w:lineRule="exact"/>
              <w:rPr>
                <w:rFonts w:ascii="仿宋_GB2312" w:hAnsi="宋体" w:eastAsia="仿宋_GB2312" w:cs="Arial"/>
                <w:color w:val="auto"/>
                <w:highlight w:val="none"/>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s="Arial"/>
                <w:color w:val="auto"/>
                <w:highlight w:val="none"/>
              </w:rPr>
            </w:pPr>
          </w:p>
        </w:tc>
        <w:tc>
          <w:tcPr>
            <w:tcW w:w="1320" w:type="dxa"/>
            <w:tcBorders>
              <w:left w:val="single" w:color="auto" w:sz="4" w:space="0"/>
              <w:right w:val="single" w:color="auto" w:sz="4" w:space="0"/>
            </w:tcBorders>
            <w:vAlign w:val="center"/>
          </w:tcPr>
          <w:p>
            <w:pPr>
              <w:spacing w:line="400" w:lineRule="exact"/>
              <w:rPr>
                <w:rFonts w:ascii="仿宋_GB2312" w:hAnsi="宋体" w:eastAsia="仿宋_GB2312" w:cs="Arial"/>
                <w:color w:val="auto"/>
                <w:highlight w:val="none"/>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s="Arial"/>
                <w:color w:val="auto"/>
                <w:highlight w:val="none"/>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s="Arial"/>
                <w:color w:val="auto"/>
                <w:highlight w:val="none"/>
              </w:rPr>
            </w:pPr>
          </w:p>
        </w:tc>
        <w:tc>
          <w:tcPr>
            <w:tcW w:w="1365" w:type="dxa"/>
            <w:gridSpan w:val="2"/>
            <w:tcBorders>
              <w:left w:val="single" w:color="auto" w:sz="4" w:space="0"/>
              <w:right w:val="single" w:color="auto" w:sz="4" w:space="0"/>
            </w:tcBorders>
            <w:vAlign w:val="center"/>
          </w:tcPr>
          <w:p>
            <w:pPr>
              <w:spacing w:line="400" w:lineRule="exact"/>
              <w:rPr>
                <w:rFonts w:ascii="仿宋_GB2312" w:hAnsi="宋体" w:eastAsia="仿宋_GB2312" w:cs="Arial"/>
                <w:color w:val="auto"/>
                <w:highlight w:val="none"/>
              </w:rPr>
            </w:pPr>
          </w:p>
        </w:tc>
        <w:tc>
          <w:tcPr>
            <w:tcW w:w="1442" w:type="dxa"/>
            <w:tcBorders>
              <w:left w:val="single" w:color="auto" w:sz="4" w:space="0"/>
            </w:tcBorders>
            <w:vAlign w:val="center"/>
          </w:tcPr>
          <w:p>
            <w:pPr>
              <w:spacing w:line="400" w:lineRule="exact"/>
              <w:rPr>
                <w:rFonts w:ascii="仿宋_GB2312" w:hAnsi="宋体" w:eastAsia="仿宋_GB2312" w:cs="Arial"/>
                <w:color w:val="auto"/>
                <w:highlight w:val="none"/>
              </w:rPr>
            </w:pPr>
          </w:p>
        </w:tc>
        <w:tc>
          <w:tcPr>
            <w:tcW w:w="1168" w:type="dxa"/>
            <w:tcBorders>
              <w:left w:val="single" w:color="auto" w:sz="4" w:space="0"/>
            </w:tcBorders>
          </w:tcPr>
          <w:p>
            <w:pPr>
              <w:spacing w:line="400" w:lineRule="exact"/>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s="Arial"/>
                <w:color w:val="auto"/>
                <w:highlight w:val="none"/>
              </w:rPr>
            </w:pPr>
          </w:p>
        </w:tc>
        <w:tc>
          <w:tcPr>
            <w:tcW w:w="1440" w:type="dxa"/>
            <w:vAlign w:val="center"/>
          </w:tcPr>
          <w:p>
            <w:pPr>
              <w:spacing w:line="400" w:lineRule="exact"/>
              <w:rPr>
                <w:rFonts w:ascii="仿宋_GB2312" w:hAnsi="宋体" w:eastAsia="仿宋_GB2312" w:cs="Arial"/>
                <w:color w:val="auto"/>
                <w:highlight w:val="none"/>
              </w:rPr>
            </w:pPr>
          </w:p>
        </w:tc>
        <w:tc>
          <w:tcPr>
            <w:tcW w:w="1320" w:type="dxa"/>
            <w:vAlign w:val="center"/>
          </w:tcPr>
          <w:p>
            <w:pPr>
              <w:spacing w:line="400" w:lineRule="exact"/>
              <w:rPr>
                <w:rFonts w:ascii="仿宋_GB2312" w:hAnsi="宋体" w:eastAsia="仿宋_GB2312" w:cs="Arial"/>
                <w:color w:val="auto"/>
                <w:highlight w:val="none"/>
              </w:rPr>
            </w:pPr>
          </w:p>
        </w:tc>
        <w:tc>
          <w:tcPr>
            <w:tcW w:w="1161" w:type="dxa"/>
            <w:vAlign w:val="center"/>
          </w:tcPr>
          <w:p>
            <w:pPr>
              <w:spacing w:line="400" w:lineRule="exact"/>
              <w:rPr>
                <w:rFonts w:ascii="仿宋_GB2312" w:hAnsi="宋体" w:eastAsia="仿宋_GB2312" w:cs="Arial"/>
                <w:color w:val="auto"/>
                <w:highlight w:val="none"/>
              </w:rPr>
            </w:pPr>
          </w:p>
        </w:tc>
        <w:tc>
          <w:tcPr>
            <w:tcW w:w="1269" w:type="dxa"/>
            <w:gridSpan w:val="2"/>
            <w:tcBorders>
              <w:right w:val="single" w:color="auto" w:sz="4" w:space="0"/>
            </w:tcBorders>
            <w:vAlign w:val="center"/>
          </w:tcPr>
          <w:p>
            <w:pPr>
              <w:spacing w:line="400" w:lineRule="exact"/>
              <w:rPr>
                <w:rFonts w:ascii="仿宋_GB2312" w:hAnsi="宋体" w:eastAsia="仿宋_GB2312" w:cs="Arial"/>
                <w:color w:val="auto"/>
                <w:highlight w:val="none"/>
              </w:rPr>
            </w:pPr>
          </w:p>
        </w:tc>
        <w:tc>
          <w:tcPr>
            <w:tcW w:w="1356" w:type="dxa"/>
            <w:tcBorders>
              <w:left w:val="single" w:color="auto" w:sz="4" w:space="0"/>
              <w:right w:val="single" w:color="auto" w:sz="4" w:space="0"/>
            </w:tcBorders>
            <w:vAlign w:val="center"/>
          </w:tcPr>
          <w:p>
            <w:pPr>
              <w:spacing w:line="400" w:lineRule="exact"/>
              <w:rPr>
                <w:rFonts w:ascii="仿宋_GB2312" w:hAnsi="宋体" w:eastAsia="仿宋_GB2312" w:cs="Arial"/>
                <w:color w:val="auto"/>
                <w:highlight w:val="none"/>
              </w:rPr>
            </w:pPr>
          </w:p>
        </w:tc>
        <w:tc>
          <w:tcPr>
            <w:tcW w:w="1451" w:type="dxa"/>
            <w:gridSpan w:val="2"/>
            <w:tcBorders>
              <w:left w:val="single" w:color="auto" w:sz="4" w:space="0"/>
            </w:tcBorders>
            <w:vAlign w:val="center"/>
          </w:tcPr>
          <w:p>
            <w:pPr>
              <w:spacing w:line="400" w:lineRule="exact"/>
              <w:rPr>
                <w:rFonts w:ascii="仿宋_GB2312" w:hAnsi="宋体" w:eastAsia="仿宋_GB2312" w:cs="Arial"/>
                <w:color w:val="auto"/>
                <w:highlight w:val="none"/>
              </w:rPr>
            </w:pPr>
          </w:p>
        </w:tc>
        <w:tc>
          <w:tcPr>
            <w:tcW w:w="1168" w:type="dxa"/>
            <w:tcBorders>
              <w:left w:val="single" w:color="auto" w:sz="4" w:space="0"/>
            </w:tcBorders>
          </w:tcPr>
          <w:p>
            <w:pPr>
              <w:spacing w:line="400" w:lineRule="exact"/>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jc w:val="center"/>
              <w:rPr>
                <w:rFonts w:ascii="仿宋_GB2312" w:hAnsi="宋体" w:eastAsia="仿宋_GB2312" w:cs="Arial"/>
                <w:color w:val="auto"/>
                <w:highlight w:val="none"/>
              </w:rPr>
            </w:pPr>
          </w:p>
        </w:tc>
        <w:tc>
          <w:tcPr>
            <w:tcW w:w="1440" w:type="dxa"/>
            <w:vAlign w:val="center"/>
          </w:tcPr>
          <w:p>
            <w:pPr>
              <w:spacing w:line="400" w:lineRule="exact"/>
              <w:jc w:val="center"/>
              <w:rPr>
                <w:rFonts w:ascii="仿宋_GB2312" w:hAnsi="宋体" w:eastAsia="仿宋_GB2312" w:cs="Arial"/>
                <w:color w:val="auto"/>
                <w:highlight w:val="none"/>
              </w:rPr>
            </w:pPr>
          </w:p>
        </w:tc>
        <w:tc>
          <w:tcPr>
            <w:tcW w:w="1320" w:type="dxa"/>
            <w:vAlign w:val="center"/>
          </w:tcPr>
          <w:p>
            <w:pPr>
              <w:spacing w:line="400" w:lineRule="exact"/>
              <w:jc w:val="center"/>
              <w:rPr>
                <w:rFonts w:ascii="仿宋_GB2312" w:hAnsi="宋体" w:eastAsia="仿宋_GB2312" w:cs="Arial"/>
                <w:color w:val="auto"/>
                <w:highlight w:val="none"/>
              </w:rPr>
            </w:pPr>
          </w:p>
        </w:tc>
        <w:tc>
          <w:tcPr>
            <w:tcW w:w="1161" w:type="dxa"/>
            <w:vAlign w:val="center"/>
          </w:tcPr>
          <w:p>
            <w:pPr>
              <w:spacing w:line="400" w:lineRule="exact"/>
              <w:jc w:val="center"/>
              <w:rPr>
                <w:rFonts w:ascii="仿宋_GB2312" w:hAnsi="宋体" w:eastAsia="仿宋_GB2312" w:cs="Arial"/>
                <w:color w:val="auto"/>
                <w:highlight w:val="none"/>
              </w:rPr>
            </w:pPr>
          </w:p>
        </w:tc>
        <w:tc>
          <w:tcPr>
            <w:tcW w:w="1269" w:type="dxa"/>
            <w:gridSpan w:val="2"/>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left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jc w:val="center"/>
              <w:rPr>
                <w:rFonts w:ascii="仿宋_GB2312" w:hAnsi="宋体" w:eastAsia="仿宋_GB2312" w:cs="Arial"/>
                <w:color w:val="auto"/>
                <w:highlight w:val="none"/>
              </w:rPr>
            </w:pPr>
          </w:p>
        </w:tc>
        <w:tc>
          <w:tcPr>
            <w:tcW w:w="1440" w:type="dxa"/>
            <w:vAlign w:val="center"/>
          </w:tcPr>
          <w:p>
            <w:pPr>
              <w:spacing w:line="400" w:lineRule="exact"/>
              <w:jc w:val="center"/>
              <w:rPr>
                <w:rFonts w:ascii="仿宋_GB2312" w:hAnsi="宋体" w:eastAsia="仿宋_GB2312" w:cs="Arial"/>
                <w:color w:val="auto"/>
                <w:highlight w:val="none"/>
              </w:rPr>
            </w:pPr>
          </w:p>
        </w:tc>
        <w:tc>
          <w:tcPr>
            <w:tcW w:w="1320" w:type="dxa"/>
            <w:vAlign w:val="center"/>
          </w:tcPr>
          <w:p>
            <w:pPr>
              <w:spacing w:line="400" w:lineRule="exact"/>
              <w:jc w:val="center"/>
              <w:rPr>
                <w:rFonts w:ascii="仿宋_GB2312" w:hAnsi="宋体" w:eastAsia="仿宋_GB2312" w:cs="Arial"/>
                <w:color w:val="auto"/>
                <w:highlight w:val="none"/>
              </w:rPr>
            </w:pPr>
          </w:p>
        </w:tc>
        <w:tc>
          <w:tcPr>
            <w:tcW w:w="1161" w:type="dxa"/>
            <w:vAlign w:val="center"/>
          </w:tcPr>
          <w:p>
            <w:pPr>
              <w:spacing w:line="400" w:lineRule="exact"/>
              <w:jc w:val="center"/>
              <w:rPr>
                <w:rFonts w:ascii="仿宋_GB2312" w:hAnsi="宋体" w:eastAsia="仿宋_GB2312" w:cs="Arial"/>
                <w:color w:val="auto"/>
                <w:highlight w:val="none"/>
              </w:rPr>
            </w:pPr>
          </w:p>
        </w:tc>
        <w:tc>
          <w:tcPr>
            <w:tcW w:w="1269" w:type="dxa"/>
            <w:gridSpan w:val="2"/>
            <w:tcBorders>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left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440" w:type="dxa"/>
            <w:tcBorders>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320" w:type="dxa"/>
            <w:tcBorders>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1" w:type="dxa"/>
            <w:tcBorders>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269" w:type="dxa"/>
            <w:gridSpan w:val="2"/>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left w:val="single" w:color="auto" w:sz="4" w:space="0"/>
              <w:bottom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44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32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1"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top w:val="single" w:color="auto" w:sz="4" w:space="0"/>
              <w:left w:val="single" w:color="auto" w:sz="4" w:space="0"/>
              <w:bottom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44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32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1"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top w:val="single" w:color="auto" w:sz="4" w:space="0"/>
              <w:left w:val="single" w:color="auto" w:sz="4" w:space="0"/>
              <w:bottom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44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320"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1" w:type="dxa"/>
            <w:tcBorders>
              <w:top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top w:val="single" w:color="auto" w:sz="4" w:space="0"/>
              <w:left w:val="single" w:color="auto" w:sz="4" w:space="0"/>
              <w:bottom w:val="single" w:color="auto" w:sz="4" w:space="0"/>
            </w:tcBorders>
          </w:tcPr>
          <w:p>
            <w:pPr>
              <w:spacing w:line="400" w:lineRule="exact"/>
              <w:jc w:val="center"/>
              <w:rPr>
                <w:rFonts w:ascii="仿宋_GB2312" w:hAnsi="宋体" w:eastAsia="仿宋_GB2312"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jc w:val="center"/>
              <w:rPr>
                <w:rFonts w:ascii="仿宋_GB2312" w:hAnsi="宋体" w:eastAsia="仿宋_GB2312" w:cs="Arial"/>
                <w:color w:val="auto"/>
                <w:highlight w:val="none"/>
              </w:rPr>
            </w:pPr>
          </w:p>
        </w:tc>
        <w:tc>
          <w:tcPr>
            <w:tcW w:w="1440" w:type="dxa"/>
            <w:tcBorders>
              <w:top w:val="single" w:color="auto" w:sz="4" w:space="0"/>
            </w:tcBorders>
            <w:vAlign w:val="center"/>
          </w:tcPr>
          <w:p>
            <w:pPr>
              <w:spacing w:line="400" w:lineRule="exact"/>
              <w:jc w:val="center"/>
              <w:rPr>
                <w:rFonts w:ascii="仿宋_GB2312" w:hAnsi="宋体" w:eastAsia="仿宋_GB2312" w:cs="Arial"/>
                <w:color w:val="auto"/>
                <w:highlight w:val="none"/>
              </w:rPr>
            </w:pPr>
          </w:p>
        </w:tc>
        <w:tc>
          <w:tcPr>
            <w:tcW w:w="1320" w:type="dxa"/>
            <w:tcBorders>
              <w:top w:val="single" w:color="auto" w:sz="4" w:space="0"/>
            </w:tcBorders>
            <w:vAlign w:val="center"/>
          </w:tcPr>
          <w:p>
            <w:pPr>
              <w:spacing w:line="400" w:lineRule="exact"/>
              <w:jc w:val="center"/>
              <w:rPr>
                <w:rFonts w:ascii="仿宋_GB2312" w:hAnsi="宋体" w:eastAsia="仿宋_GB2312" w:cs="Arial"/>
                <w:color w:val="auto"/>
                <w:highlight w:val="none"/>
              </w:rPr>
            </w:pPr>
          </w:p>
        </w:tc>
        <w:tc>
          <w:tcPr>
            <w:tcW w:w="1161" w:type="dxa"/>
            <w:tcBorders>
              <w:top w:val="single" w:color="auto" w:sz="4" w:space="0"/>
            </w:tcBorders>
            <w:vAlign w:val="center"/>
          </w:tcPr>
          <w:p>
            <w:pPr>
              <w:spacing w:line="400" w:lineRule="exact"/>
              <w:jc w:val="center"/>
              <w:rPr>
                <w:rFonts w:ascii="仿宋_GB2312" w:hAnsi="宋体" w:eastAsia="仿宋_GB2312" w:cs="Arial"/>
                <w:color w:val="auto"/>
                <w:highlight w:val="none"/>
              </w:rPr>
            </w:pPr>
          </w:p>
        </w:tc>
        <w:tc>
          <w:tcPr>
            <w:tcW w:w="1269" w:type="dxa"/>
            <w:gridSpan w:val="2"/>
            <w:tcBorders>
              <w:top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356" w:type="dxa"/>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cs="Arial"/>
                <w:color w:val="auto"/>
                <w:highlight w:val="none"/>
              </w:rPr>
            </w:pPr>
          </w:p>
        </w:tc>
        <w:tc>
          <w:tcPr>
            <w:tcW w:w="1451" w:type="dxa"/>
            <w:gridSpan w:val="2"/>
            <w:tcBorders>
              <w:top w:val="single" w:color="auto" w:sz="4" w:space="0"/>
              <w:left w:val="single" w:color="auto" w:sz="4" w:space="0"/>
            </w:tcBorders>
            <w:vAlign w:val="center"/>
          </w:tcPr>
          <w:p>
            <w:pPr>
              <w:spacing w:line="400" w:lineRule="exact"/>
              <w:jc w:val="center"/>
              <w:rPr>
                <w:rFonts w:ascii="仿宋_GB2312" w:hAnsi="宋体" w:eastAsia="仿宋_GB2312" w:cs="Arial"/>
                <w:color w:val="auto"/>
                <w:highlight w:val="none"/>
              </w:rPr>
            </w:pPr>
          </w:p>
        </w:tc>
        <w:tc>
          <w:tcPr>
            <w:tcW w:w="1168" w:type="dxa"/>
            <w:tcBorders>
              <w:top w:val="single" w:color="auto" w:sz="4" w:space="0"/>
              <w:left w:val="single" w:color="auto" w:sz="4" w:space="0"/>
            </w:tcBorders>
          </w:tcPr>
          <w:p>
            <w:pPr>
              <w:spacing w:line="400" w:lineRule="exact"/>
              <w:jc w:val="center"/>
              <w:rPr>
                <w:rFonts w:ascii="仿宋_GB2312" w:hAnsi="宋体" w:eastAsia="仿宋_GB2312" w:cs="Arial"/>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注：供应商（仅限于供应商自身实施的）以上业绩需提供有关书面证明材料。“合同金额”需提供合同复印件；“完成项目质量”需提供合同验收合格或用户单位书面证明材料。</w:t>
      </w:r>
    </w:p>
    <w:p>
      <w:pPr>
        <w:spacing w:line="400" w:lineRule="exact"/>
        <w:ind w:left="360"/>
        <w:jc w:val="center"/>
        <w:rPr>
          <w:rFonts w:ascii="仿宋_GB2312" w:hAnsi="宋体" w:eastAsia="仿宋_GB2312" w:cs="Arial"/>
          <w:color w:val="auto"/>
          <w:sz w:val="24"/>
          <w:highlight w:val="none"/>
        </w:rPr>
      </w:pPr>
    </w:p>
    <w:p>
      <w:pPr>
        <w:spacing w:line="400" w:lineRule="exact"/>
        <w:ind w:left="360"/>
        <w:jc w:val="center"/>
        <w:rPr>
          <w:rFonts w:ascii="仿宋_GB2312" w:hAnsi="宋体" w:eastAsia="仿宋_GB2312" w:cs="Arial"/>
          <w:color w:val="auto"/>
          <w:highlight w:val="none"/>
        </w:rPr>
      </w:pPr>
    </w:p>
    <w:p>
      <w:pPr>
        <w:adjustRightInd w:val="0"/>
        <w:spacing w:line="40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供应商：（盖章）</w:t>
      </w:r>
    </w:p>
    <w:p>
      <w:pPr>
        <w:adjustRightInd w:val="0"/>
        <w:spacing w:line="400" w:lineRule="exact"/>
        <w:ind w:firstLine="480" w:firstLineChars="200"/>
        <w:jc w:val="left"/>
        <w:rPr>
          <w:rFonts w:ascii="仿宋_GB2312" w:hAnsi="宋体" w:eastAsia="仿宋_GB2312"/>
          <w:color w:val="auto"/>
          <w:sz w:val="24"/>
          <w:highlight w:val="none"/>
        </w:rPr>
      </w:pPr>
    </w:p>
    <w:p>
      <w:pPr>
        <w:adjustRightInd w:val="0"/>
        <w:spacing w:line="40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w:t>
      </w:r>
      <w:r>
        <w:rPr>
          <w:rFonts w:hint="eastAsia" w:ascii="仿宋_GB2312" w:eastAsia="仿宋_GB2312"/>
          <w:color w:val="auto"/>
          <w:sz w:val="24"/>
          <w:highlight w:val="none"/>
        </w:rPr>
        <w:t>委托代理人</w:t>
      </w:r>
      <w:r>
        <w:rPr>
          <w:rFonts w:hint="eastAsia" w:ascii="仿宋_GB2312" w:hAnsi="宋体" w:eastAsia="仿宋_GB2312"/>
          <w:color w:val="auto"/>
          <w:sz w:val="24"/>
          <w:highlight w:val="none"/>
        </w:rPr>
        <w:t>（签字或盖章）</w:t>
      </w:r>
      <w:r>
        <w:rPr>
          <w:rFonts w:hint="eastAsia" w:ascii="仿宋_GB2312" w:hAnsi="宋体" w:eastAsia="仿宋_GB2312"/>
          <w:bCs/>
          <w:color w:val="auto"/>
          <w:sz w:val="24"/>
          <w:highlight w:val="none"/>
        </w:rPr>
        <w:t>：</w:t>
      </w:r>
    </w:p>
    <w:p>
      <w:pPr>
        <w:spacing w:line="400" w:lineRule="exact"/>
        <w:ind w:right="480" w:firstLine="480" w:firstLineChars="200"/>
        <w:jc w:val="center"/>
        <w:rPr>
          <w:rFonts w:ascii="仿宋_GB2312" w:hAnsi="宋体" w:eastAsia="仿宋_GB2312"/>
          <w:bCs/>
          <w:color w:val="auto"/>
          <w:sz w:val="24"/>
          <w:highlight w:val="none"/>
        </w:rPr>
      </w:pPr>
      <w:r>
        <w:rPr>
          <w:rFonts w:hint="eastAsia" w:ascii="仿宋_GB2312" w:hAnsi="宋体" w:eastAsia="仿宋_GB2312"/>
          <w:bCs/>
          <w:color w:val="auto"/>
          <w:sz w:val="24"/>
          <w:highlight w:val="none"/>
        </w:rPr>
        <w:t xml:space="preserve">                                    年  月  日</w:t>
      </w:r>
    </w:p>
    <w:p>
      <w:pPr>
        <w:pStyle w:val="2"/>
        <w:rPr>
          <w:color w:val="auto"/>
          <w:highlight w:val="none"/>
        </w:rPr>
      </w:pPr>
    </w:p>
    <w:p>
      <w:pPr>
        <w:spacing w:line="360" w:lineRule="auto"/>
        <w:jc w:val="center"/>
        <w:rPr>
          <w:rFonts w:ascii="仿宋_GB2312" w:hAnsi="Courier New" w:eastAsia="仿宋_GB2312"/>
          <w:b/>
          <w:color w:val="auto"/>
          <w:sz w:val="28"/>
          <w:szCs w:val="28"/>
          <w:highlight w:val="none"/>
        </w:rPr>
      </w:pPr>
    </w:p>
    <w:p>
      <w:pPr>
        <w:spacing w:line="572" w:lineRule="atLeast"/>
        <w:jc w:val="center"/>
        <w:rPr>
          <w:rFonts w:ascii="仿宋_GB2312" w:eastAsia="仿宋_GB2312"/>
          <w:b/>
          <w:color w:val="auto"/>
          <w:sz w:val="24"/>
          <w:highlight w:val="none"/>
        </w:rPr>
      </w:pPr>
    </w:p>
    <w:p>
      <w:pPr>
        <w:spacing w:line="360" w:lineRule="auto"/>
        <w:jc w:val="center"/>
        <w:rPr>
          <w:rFonts w:ascii="仿宋_GB2312" w:eastAsia="仿宋_GB2312"/>
          <w:b/>
          <w:color w:val="auto"/>
          <w:sz w:val="24"/>
          <w:highlight w:val="none"/>
        </w:rPr>
      </w:pPr>
    </w:p>
    <w:p>
      <w:pPr>
        <w:spacing w:line="360" w:lineRule="auto"/>
        <w:jc w:val="center"/>
        <w:rPr>
          <w:color w:val="auto"/>
          <w:highlight w:val="none"/>
        </w:rPr>
      </w:pPr>
      <w:r>
        <w:rPr>
          <w:rFonts w:hint="eastAsia" w:ascii="仿宋_GB2312" w:eastAsia="仿宋_GB2312"/>
          <w:b/>
          <w:color w:val="auto"/>
          <w:sz w:val="24"/>
          <w:highlight w:val="none"/>
        </w:rPr>
        <w:t>格式10  考核验收规范及标准</w:t>
      </w:r>
    </w:p>
    <w:p>
      <w:pPr>
        <w:spacing w:line="360" w:lineRule="auto"/>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 xml:space="preserve">    供应商应列明本合同项下所供服务的相关验收规范及标准，并对各标准的关键要素进行详细说明，包括但不限于以下内容：</w:t>
      </w:r>
    </w:p>
    <w:p>
      <w:pPr>
        <w:spacing w:line="360" w:lineRule="auto"/>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 xml:space="preserve">各供应商自行填写。 </w:t>
      </w:r>
    </w:p>
    <w:p>
      <w:pPr>
        <w:spacing w:line="360" w:lineRule="auto"/>
        <w:ind w:firstLine="480" w:firstLineChars="200"/>
        <w:jc w:val="center"/>
        <w:rPr>
          <w:rFonts w:ascii="仿宋_GB2312" w:hAnsi="Courier New" w:eastAsia="仿宋_GB2312"/>
          <w:color w:val="auto"/>
          <w:sz w:val="24"/>
          <w:szCs w:val="20"/>
          <w:highlight w:val="none"/>
        </w:rPr>
      </w:pPr>
    </w:p>
    <w:p>
      <w:pPr>
        <w:pStyle w:val="2"/>
        <w:rPr>
          <w:rFonts w:ascii="仿宋_GB2312" w:hAnsi="Courier New" w:eastAsia="仿宋_GB2312"/>
          <w:color w:val="auto"/>
          <w:sz w:val="24"/>
          <w:szCs w:val="20"/>
          <w:highlight w:val="none"/>
        </w:rPr>
      </w:pPr>
    </w:p>
    <w:p>
      <w:pPr>
        <w:rPr>
          <w:color w:val="auto"/>
          <w:highlight w:val="none"/>
        </w:rPr>
      </w:pPr>
    </w:p>
    <w:p>
      <w:pPr>
        <w:spacing w:line="360" w:lineRule="auto"/>
        <w:ind w:firstLine="480" w:firstLineChars="200"/>
        <w:jc w:val="center"/>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供应商（盖章）：</w:t>
      </w:r>
    </w:p>
    <w:p>
      <w:pPr>
        <w:spacing w:line="360" w:lineRule="auto"/>
        <w:ind w:firstLine="480" w:firstLineChars="200"/>
        <w:jc w:val="center"/>
        <w:rPr>
          <w:rFonts w:ascii="仿宋_GB2312" w:hAnsi="Courier New" w:eastAsia="仿宋_GB2312"/>
          <w:color w:val="auto"/>
          <w:sz w:val="24"/>
          <w:szCs w:val="20"/>
          <w:highlight w:val="none"/>
        </w:rPr>
      </w:pPr>
      <w:r>
        <w:rPr>
          <w:rFonts w:hint="eastAsia" w:ascii="仿宋_GB2312" w:hAnsi="宋体" w:eastAsia="仿宋_GB2312"/>
          <w:color w:val="auto"/>
          <w:sz w:val="24"/>
          <w:highlight w:val="none"/>
        </w:rPr>
        <w:t>法定代表人</w:t>
      </w:r>
      <w:r>
        <w:rPr>
          <w:rFonts w:hint="eastAsia" w:ascii="仿宋_GB2312" w:hAnsi="Courier New" w:eastAsia="仿宋_GB2312"/>
          <w:color w:val="auto"/>
          <w:sz w:val="24"/>
          <w:szCs w:val="20"/>
          <w:highlight w:val="none"/>
        </w:rPr>
        <w:t>或委托代理人（签字或盖章）：</w:t>
      </w:r>
    </w:p>
    <w:p>
      <w:pPr>
        <w:spacing w:line="360" w:lineRule="auto"/>
        <w:rPr>
          <w:rFonts w:ascii="仿宋_GB2312" w:hAnsi="Courier New" w:eastAsia="仿宋_GB2312"/>
          <w:color w:val="auto"/>
          <w:sz w:val="24"/>
          <w:szCs w:val="20"/>
          <w:highlight w:val="none"/>
        </w:rPr>
      </w:pPr>
    </w:p>
    <w:p>
      <w:pPr>
        <w:spacing w:line="360" w:lineRule="auto"/>
        <w:jc w:val="center"/>
        <w:rPr>
          <w:rFonts w:ascii="仿宋_GB2312" w:hAnsi="Courier New" w:eastAsia="仿宋_GB2312"/>
          <w:b/>
          <w:color w:val="auto"/>
          <w:sz w:val="28"/>
          <w:szCs w:val="28"/>
          <w:highlight w:val="none"/>
        </w:rPr>
      </w:pPr>
      <w:r>
        <w:rPr>
          <w:rFonts w:hint="eastAsia" w:ascii="仿宋_GB2312" w:hAnsi="Courier New" w:eastAsia="仿宋_GB2312"/>
          <w:color w:val="auto"/>
          <w:sz w:val="24"/>
          <w:szCs w:val="20"/>
          <w:highlight w:val="none"/>
        </w:rPr>
        <w:t xml:space="preserve">                                                        年  月  日</w:t>
      </w: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r>
        <w:rPr>
          <w:rFonts w:hint="eastAsia" w:ascii="仿宋_GB2312" w:eastAsia="仿宋_GB2312"/>
          <w:b/>
          <w:bCs/>
          <w:color w:val="auto"/>
          <w:sz w:val="24"/>
          <w:highlight w:val="none"/>
        </w:rPr>
        <w:t>格式11  项目运行方案</w:t>
      </w:r>
    </w:p>
    <w:p>
      <w:pPr>
        <w:spacing w:line="360" w:lineRule="auto"/>
        <w:jc w:val="center"/>
        <w:rPr>
          <w:rFonts w:ascii="仿宋_GB2312" w:hAnsi="Courier New" w:eastAsia="仿宋_GB2312"/>
          <w:b/>
          <w:color w:val="auto"/>
          <w:sz w:val="28"/>
          <w:szCs w:val="28"/>
          <w:highlight w:val="none"/>
        </w:rPr>
      </w:pPr>
    </w:p>
    <w:p>
      <w:pPr>
        <w:spacing w:line="360" w:lineRule="auto"/>
        <w:ind w:firstLine="480" w:firstLineChars="200"/>
        <w:rPr>
          <w:rFonts w:ascii="仿宋_GB2312" w:eastAsia="仿宋_GB2312" w:cs="Arial"/>
          <w:color w:val="auto"/>
          <w:sz w:val="24"/>
          <w:highlight w:val="none"/>
        </w:rPr>
      </w:pPr>
      <w:r>
        <w:rPr>
          <w:rFonts w:hint="eastAsia" w:ascii="仿宋_GB2312" w:eastAsia="仿宋_GB2312" w:cs="Arial"/>
          <w:color w:val="auto"/>
          <w:sz w:val="24"/>
          <w:highlight w:val="none"/>
        </w:rPr>
        <w:t>供应商依照《关于印发新疆维吾尔自治区城市社区卫生服务机构标准化建设指导标准（试行）的通知》提供的项目运行方案包括但不限于以下内容：</w:t>
      </w:r>
    </w:p>
    <w:p>
      <w:pPr>
        <w:spacing w:line="360" w:lineRule="auto"/>
        <w:ind w:firstLine="480" w:firstLineChars="200"/>
        <w:rPr>
          <w:rFonts w:ascii="仿宋_GB2312" w:eastAsia="仿宋_GB2312" w:cs="Arial"/>
          <w:color w:val="auto"/>
          <w:sz w:val="24"/>
          <w:highlight w:val="none"/>
        </w:rPr>
      </w:pPr>
      <w:r>
        <w:rPr>
          <w:rFonts w:hint="eastAsia" w:ascii="仿宋_GB2312" w:eastAsia="仿宋_GB2312" w:cs="Arial"/>
          <w:color w:val="auto"/>
          <w:sz w:val="24"/>
          <w:highlight w:val="none"/>
        </w:rPr>
        <w:t>1、保障拟建中心饮片药房的基本功能，确保</w:t>
      </w:r>
      <w:r>
        <w:rPr>
          <w:rFonts w:hint="eastAsia" w:ascii="仿宋_GB2312" w:eastAsia="仿宋_GB2312"/>
          <w:bCs/>
          <w:color w:val="auto"/>
          <w:sz w:val="24"/>
          <w:highlight w:val="none"/>
        </w:rPr>
        <w:t>项目运行方案</w:t>
      </w:r>
      <w:r>
        <w:rPr>
          <w:rFonts w:hint="eastAsia" w:ascii="仿宋_GB2312" w:eastAsia="仿宋_GB2312" w:cs="Arial"/>
          <w:color w:val="auto"/>
          <w:sz w:val="24"/>
          <w:highlight w:val="none"/>
        </w:rPr>
        <w:t>合理，相关部署全面；针对性强，对</w:t>
      </w:r>
      <w:r>
        <w:rPr>
          <w:rFonts w:hint="eastAsia" w:ascii="仿宋_GB2312" w:eastAsia="仿宋_GB2312"/>
          <w:bCs/>
          <w:color w:val="auto"/>
          <w:sz w:val="24"/>
          <w:highlight w:val="none"/>
        </w:rPr>
        <w:t>日常</w:t>
      </w:r>
      <w:r>
        <w:rPr>
          <w:rFonts w:hint="eastAsia" w:ascii="仿宋_GB2312" w:eastAsia="仿宋_GB2312" w:cs="Arial"/>
          <w:color w:val="auto"/>
          <w:sz w:val="24"/>
          <w:highlight w:val="none"/>
        </w:rPr>
        <w:t>工作具有较强的指导性和实施性。</w:t>
      </w:r>
    </w:p>
    <w:p>
      <w:pPr>
        <w:spacing w:line="360" w:lineRule="auto"/>
        <w:ind w:firstLine="480" w:firstLineChars="200"/>
        <w:rPr>
          <w:rFonts w:ascii="仿宋_GB2312" w:eastAsia="仿宋_GB2312" w:cs="Arial"/>
          <w:color w:val="auto"/>
          <w:sz w:val="24"/>
          <w:highlight w:val="none"/>
        </w:rPr>
      </w:pPr>
      <w:r>
        <w:rPr>
          <w:rFonts w:hint="eastAsia" w:ascii="仿宋_GB2312" w:eastAsia="仿宋_GB2312" w:cs="Arial"/>
          <w:color w:val="auto"/>
          <w:sz w:val="24"/>
          <w:highlight w:val="none"/>
        </w:rPr>
        <w:t>2、针对本项目业务科室设置满足项目开展和实施的需要，科室的划分和安排、管理制度的建立健全、工作规范等和管理方案需切实可行。</w:t>
      </w:r>
    </w:p>
    <w:p>
      <w:pPr>
        <w:spacing w:line="360" w:lineRule="auto"/>
        <w:ind w:firstLine="480" w:firstLineChars="200"/>
        <w:rPr>
          <w:rFonts w:ascii="仿宋_GB2312" w:eastAsia="仿宋_GB2312" w:cs="Arial"/>
          <w:color w:val="auto"/>
          <w:sz w:val="24"/>
          <w:highlight w:val="none"/>
        </w:rPr>
      </w:pPr>
      <w:r>
        <w:rPr>
          <w:rFonts w:hint="eastAsia" w:ascii="仿宋_GB2312" w:eastAsia="仿宋_GB2312" w:cs="Arial"/>
          <w:color w:val="auto"/>
          <w:sz w:val="24"/>
          <w:highlight w:val="none"/>
        </w:rPr>
        <w:t>3、依据项目采购需求中的相关设备要求配备医用耗材、器械、设备、仪器清单，配备齐全，有具体的设备清单。</w:t>
      </w:r>
    </w:p>
    <w:p>
      <w:pPr>
        <w:spacing w:line="360" w:lineRule="auto"/>
        <w:ind w:firstLine="480" w:firstLineChars="200"/>
        <w:rPr>
          <w:rFonts w:ascii="仿宋_GB2312" w:eastAsia="仿宋_GB2312" w:cs="Arial"/>
          <w:color w:val="auto"/>
          <w:sz w:val="24"/>
          <w:highlight w:val="none"/>
        </w:rPr>
      </w:pPr>
      <w:r>
        <w:rPr>
          <w:rFonts w:hint="eastAsia" w:ascii="仿宋_GB2312" w:eastAsia="仿宋_GB2312" w:cs="Arial"/>
          <w:color w:val="auto"/>
          <w:sz w:val="24"/>
          <w:highlight w:val="none"/>
        </w:rPr>
        <w:t>4、针对本项目的人员持证上岗等。</w:t>
      </w:r>
    </w:p>
    <w:p>
      <w:pPr>
        <w:spacing w:line="360" w:lineRule="auto"/>
        <w:ind w:firstLine="480" w:firstLineChars="200"/>
        <w:rPr>
          <w:color w:val="auto"/>
          <w:highlight w:val="none"/>
        </w:rPr>
      </w:pPr>
      <w:r>
        <w:rPr>
          <w:rFonts w:hint="eastAsia" w:ascii="仿宋_GB2312" w:eastAsia="仿宋_GB2312" w:cs="Arial"/>
          <w:color w:val="auto"/>
          <w:sz w:val="24"/>
          <w:highlight w:val="none"/>
        </w:rPr>
        <w:t>5、其他。</w:t>
      </w:r>
    </w:p>
    <w:p>
      <w:pPr>
        <w:spacing w:line="300" w:lineRule="auto"/>
        <w:ind w:firstLine="480" w:firstLineChars="200"/>
        <w:rPr>
          <w:rFonts w:ascii="仿宋_GB2312" w:eastAsia="仿宋_GB2312" w:cs="Arial"/>
          <w:color w:val="auto"/>
          <w:sz w:val="24"/>
          <w:highlight w:val="none"/>
        </w:rPr>
      </w:pPr>
    </w:p>
    <w:p>
      <w:pPr>
        <w:spacing w:line="300" w:lineRule="auto"/>
        <w:rPr>
          <w:rFonts w:cs="Arial"/>
          <w:color w:val="auto"/>
          <w:highlight w:val="none"/>
        </w:rPr>
      </w:pP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hAnsi="Courier New" w:eastAsia="仿宋_GB2312"/>
          <w:b/>
          <w:color w:val="auto"/>
          <w:sz w:val="28"/>
          <w:szCs w:val="28"/>
          <w:highlight w:val="none"/>
        </w:rPr>
      </w:pPr>
    </w:p>
    <w:p>
      <w:pPr>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供应商（盖章）：</w:t>
      </w:r>
    </w:p>
    <w:p>
      <w:pPr>
        <w:ind w:firstLine="480" w:firstLineChars="200"/>
        <w:rPr>
          <w:rFonts w:ascii="仿宋_GB2312" w:hAnsi="Courier New" w:eastAsia="仿宋_GB2312"/>
          <w:color w:val="auto"/>
          <w:sz w:val="24"/>
          <w:szCs w:val="20"/>
          <w:highlight w:val="none"/>
        </w:rPr>
      </w:pPr>
    </w:p>
    <w:p>
      <w:pPr>
        <w:ind w:firstLine="480" w:firstLineChars="200"/>
        <w:rPr>
          <w:rFonts w:ascii="仿宋_GB2312" w:hAnsi="Courier New" w:eastAsia="仿宋_GB2312"/>
          <w:color w:val="auto"/>
          <w:sz w:val="24"/>
          <w:szCs w:val="20"/>
          <w:highlight w:val="none"/>
        </w:rPr>
      </w:pPr>
    </w:p>
    <w:p>
      <w:pPr>
        <w:ind w:firstLine="480" w:firstLineChars="200"/>
        <w:rPr>
          <w:rFonts w:ascii="仿宋_GB2312" w:hAnsi="Courier New" w:eastAsia="仿宋_GB2312"/>
          <w:color w:val="auto"/>
          <w:sz w:val="24"/>
          <w:szCs w:val="20"/>
          <w:highlight w:val="none"/>
        </w:rPr>
      </w:pPr>
      <w:r>
        <w:rPr>
          <w:rFonts w:hint="eastAsia" w:ascii="仿宋_GB2312" w:hAnsi="宋体" w:eastAsia="仿宋_GB2312"/>
          <w:color w:val="auto"/>
          <w:sz w:val="24"/>
          <w:highlight w:val="none"/>
        </w:rPr>
        <w:t>法定代表人</w:t>
      </w:r>
      <w:r>
        <w:rPr>
          <w:rFonts w:hint="eastAsia" w:ascii="仿宋_GB2312" w:hAnsi="Courier New" w:eastAsia="仿宋_GB2312"/>
          <w:color w:val="auto"/>
          <w:sz w:val="24"/>
          <w:szCs w:val="20"/>
          <w:highlight w:val="none"/>
        </w:rPr>
        <w:t>或委托代理人（签字或盖章）：</w:t>
      </w:r>
    </w:p>
    <w:p>
      <w:pPr>
        <w:rPr>
          <w:rFonts w:ascii="仿宋_GB2312" w:hAnsi="Courier New" w:eastAsia="仿宋_GB2312"/>
          <w:color w:val="auto"/>
          <w:sz w:val="24"/>
          <w:highlight w:val="none"/>
        </w:rPr>
      </w:pPr>
    </w:p>
    <w:p>
      <w:pPr>
        <w:rPr>
          <w:rFonts w:ascii="仿宋_GB2312" w:hAnsi="Courier New" w:eastAsia="仿宋_GB2312"/>
          <w:color w:val="auto"/>
          <w:sz w:val="24"/>
          <w:szCs w:val="20"/>
          <w:highlight w:val="none"/>
        </w:rPr>
      </w:pPr>
    </w:p>
    <w:p>
      <w:pPr>
        <w:rPr>
          <w:rFonts w:ascii="仿宋_GB2312" w:hAnsi="Courier New" w:eastAsia="仿宋_GB2312"/>
          <w:color w:val="auto"/>
          <w:sz w:val="24"/>
          <w:szCs w:val="20"/>
          <w:highlight w:val="none"/>
        </w:rPr>
      </w:pPr>
    </w:p>
    <w:p>
      <w:pPr>
        <w:spacing w:line="360" w:lineRule="auto"/>
        <w:jc w:val="center"/>
        <w:rPr>
          <w:rFonts w:ascii="仿宋_GB2312" w:hAnsi="Courier New" w:eastAsia="仿宋_GB2312"/>
          <w:b/>
          <w:color w:val="auto"/>
          <w:sz w:val="28"/>
          <w:szCs w:val="28"/>
          <w:highlight w:val="none"/>
        </w:rPr>
      </w:pPr>
      <w:r>
        <w:rPr>
          <w:rFonts w:hint="eastAsia" w:ascii="仿宋_GB2312" w:hAnsi="Courier New" w:eastAsia="仿宋_GB2312"/>
          <w:color w:val="auto"/>
          <w:sz w:val="24"/>
          <w:szCs w:val="20"/>
          <w:highlight w:val="none"/>
        </w:rPr>
        <w:t xml:space="preserve">                                                        年  月  日</w:t>
      </w:r>
    </w:p>
    <w:p>
      <w:pPr>
        <w:spacing w:line="360" w:lineRule="auto"/>
        <w:jc w:val="center"/>
        <w:rPr>
          <w:rFonts w:ascii="仿宋_GB2312" w:hAnsi="Courier New" w:eastAsia="仿宋_GB2312"/>
          <w:b/>
          <w:color w:val="auto"/>
          <w:sz w:val="28"/>
          <w:szCs w:val="28"/>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eastAsia="仿宋_GB2312"/>
          <w:b/>
          <w:bCs/>
          <w:color w:val="auto"/>
          <w:sz w:val="24"/>
          <w:highlight w:val="none"/>
        </w:rPr>
      </w:pPr>
    </w:p>
    <w:p>
      <w:pPr>
        <w:spacing w:line="360" w:lineRule="auto"/>
        <w:jc w:val="center"/>
        <w:rPr>
          <w:rFonts w:ascii="仿宋_GB2312" w:hAnsi="Courier New" w:eastAsia="仿宋_GB2312"/>
          <w:b/>
          <w:color w:val="auto"/>
          <w:sz w:val="28"/>
          <w:szCs w:val="28"/>
          <w:highlight w:val="none"/>
        </w:rPr>
      </w:pPr>
      <w:r>
        <w:rPr>
          <w:rFonts w:hint="eastAsia" w:ascii="仿宋_GB2312" w:eastAsia="仿宋_GB2312"/>
          <w:b/>
          <w:bCs/>
          <w:color w:val="auto"/>
          <w:sz w:val="24"/>
          <w:highlight w:val="none"/>
        </w:rPr>
        <w:t>格式12  质量管理及服务安全保证措施及承诺</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供应商编制和提交的质量管理及读物安全保证措施应包括但不限于以下内容：</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1、质量体系的建立及质量方针和目标：</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1.1质量管理方针</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1.2质量管理目标</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1.3质量体系，建立健全各项管理规章制度</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2、实现质量目标的具体措施</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3、确保实现质量目标的质量管理方案及解决质量管理及服务安全问题的措施及承诺</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3.1</w:t>
      </w:r>
      <w:r>
        <w:rPr>
          <w:rFonts w:hint="eastAsia" w:ascii="仿宋_GB2312" w:eastAsia="仿宋_GB2312" w:cs="Arial"/>
          <w:color w:val="auto"/>
          <w:sz w:val="24"/>
          <w:highlight w:val="none"/>
        </w:rPr>
        <w:t xml:space="preserve"> 质量管理保证措施及承诺</w:t>
      </w:r>
    </w:p>
    <w:p>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3.2服务安全的措施及承诺</w:t>
      </w:r>
    </w:p>
    <w:p>
      <w:pPr>
        <w:spacing w:line="360" w:lineRule="auto"/>
        <w:rPr>
          <w:rFonts w:ascii="仿宋_GB2312" w:hAnsi="Courier New" w:eastAsia="仿宋_GB2312"/>
          <w:color w:val="auto"/>
          <w:sz w:val="24"/>
          <w:highlight w:val="none"/>
        </w:rPr>
      </w:pPr>
    </w:p>
    <w:p>
      <w:pPr>
        <w:spacing w:line="360" w:lineRule="auto"/>
        <w:rPr>
          <w:rFonts w:ascii="仿宋_GB2312" w:hAnsi="Courier New" w:eastAsia="仿宋_GB2312"/>
          <w:color w:val="auto"/>
          <w:sz w:val="24"/>
          <w:highlight w:val="none"/>
        </w:rPr>
      </w:pPr>
    </w:p>
    <w:p>
      <w:pPr>
        <w:spacing w:line="360" w:lineRule="auto"/>
        <w:jc w:val="right"/>
        <w:rPr>
          <w:rFonts w:ascii="仿宋_GB2312" w:hAnsi="Courier New" w:eastAsia="仿宋_GB2312"/>
          <w:color w:val="auto"/>
          <w:sz w:val="24"/>
          <w:highlight w:val="none"/>
        </w:rPr>
      </w:pPr>
    </w:p>
    <w:p>
      <w:pPr>
        <w:spacing w:line="360" w:lineRule="auto"/>
        <w:jc w:val="right"/>
        <w:rPr>
          <w:rFonts w:ascii="仿宋_GB2312" w:hAnsi="Courier New" w:eastAsia="仿宋_GB2312"/>
          <w:color w:val="auto"/>
          <w:sz w:val="24"/>
          <w:highlight w:val="none"/>
        </w:rPr>
      </w:pPr>
    </w:p>
    <w:p>
      <w:pPr>
        <w:ind w:firstLine="480" w:firstLineChars="200"/>
        <w:rPr>
          <w:rFonts w:ascii="仿宋_GB2312" w:hAnsi="Courier New" w:eastAsia="仿宋_GB2312"/>
          <w:color w:val="auto"/>
          <w:sz w:val="24"/>
          <w:szCs w:val="20"/>
          <w:highlight w:val="none"/>
        </w:rPr>
      </w:pPr>
      <w:r>
        <w:rPr>
          <w:rFonts w:hint="eastAsia" w:ascii="仿宋_GB2312" w:hAnsi="Courier New" w:eastAsia="仿宋_GB2312"/>
          <w:color w:val="auto"/>
          <w:sz w:val="24"/>
          <w:szCs w:val="20"/>
          <w:highlight w:val="none"/>
        </w:rPr>
        <w:t>供应商（盖章）：</w:t>
      </w:r>
    </w:p>
    <w:p>
      <w:pPr>
        <w:ind w:firstLine="480" w:firstLineChars="200"/>
        <w:rPr>
          <w:rFonts w:ascii="仿宋_GB2312" w:hAnsi="Courier New" w:eastAsia="仿宋_GB2312"/>
          <w:color w:val="auto"/>
          <w:sz w:val="24"/>
          <w:szCs w:val="20"/>
          <w:highlight w:val="none"/>
        </w:rPr>
      </w:pPr>
    </w:p>
    <w:p>
      <w:pPr>
        <w:ind w:firstLine="480" w:firstLineChars="200"/>
        <w:rPr>
          <w:rFonts w:ascii="仿宋_GB2312" w:hAnsi="Courier New" w:eastAsia="仿宋_GB2312"/>
          <w:color w:val="auto"/>
          <w:sz w:val="24"/>
          <w:szCs w:val="20"/>
          <w:highlight w:val="none"/>
        </w:rPr>
      </w:pPr>
    </w:p>
    <w:p>
      <w:pPr>
        <w:ind w:firstLine="480" w:firstLineChars="200"/>
        <w:rPr>
          <w:rFonts w:ascii="仿宋_GB2312" w:hAnsi="Courier New" w:eastAsia="仿宋_GB2312"/>
          <w:color w:val="auto"/>
          <w:sz w:val="24"/>
          <w:szCs w:val="20"/>
          <w:highlight w:val="none"/>
        </w:rPr>
      </w:pPr>
      <w:r>
        <w:rPr>
          <w:rFonts w:hint="eastAsia" w:ascii="仿宋_GB2312" w:hAnsi="宋体" w:eastAsia="仿宋_GB2312"/>
          <w:color w:val="auto"/>
          <w:sz w:val="24"/>
          <w:highlight w:val="none"/>
        </w:rPr>
        <w:t>法定代表人</w:t>
      </w:r>
      <w:r>
        <w:rPr>
          <w:rFonts w:hint="eastAsia" w:ascii="仿宋_GB2312" w:hAnsi="Courier New" w:eastAsia="仿宋_GB2312"/>
          <w:color w:val="auto"/>
          <w:sz w:val="24"/>
          <w:szCs w:val="20"/>
          <w:highlight w:val="none"/>
        </w:rPr>
        <w:t>或委托代理人（签字或盖章）：</w:t>
      </w:r>
    </w:p>
    <w:p>
      <w:pPr>
        <w:rPr>
          <w:rFonts w:ascii="仿宋_GB2312" w:hAnsi="Courier New" w:eastAsia="仿宋_GB2312"/>
          <w:color w:val="auto"/>
          <w:sz w:val="24"/>
          <w:highlight w:val="none"/>
        </w:rPr>
      </w:pPr>
    </w:p>
    <w:p>
      <w:pPr>
        <w:spacing w:line="360" w:lineRule="auto"/>
        <w:jc w:val="right"/>
        <w:rPr>
          <w:rFonts w:ascii="仿宋_GB2312" w:hAnsi="Courier New" w:eastAsia="仿宋_GB2312"/>
          <w:color w:val="auto"/>
          <w:sz w:val="24"/>
          <w:highlight w:val="none"/>
        </w:rPr>
      </w:pPr>
    </w:p>
    <w:p>
      <w:pPr>
        <w:spacing w:line="360" w:lineRule="auto"/>
        <w:jc w:val="right"/>
        <w:rPr>
          <w:rFonts w:ascii="仿宋_GB2312" w:hAnsi="Courier New" w:eastAsia="仿宋_GB2312"/>
          <w:color w:val="auto"/>
          <w:sz w:val="24"/>
          <w:highlight w:val="none"/>
        </w:rPr>
      </w:pPr>
      <w:r>
        <w:rPr>
          <w:rFonts w:hint="eastAsia" w:ascii="仿宋_GB2312" w:hAnsi="Courier New" w:eastAsia="仿宋_GB2312"/>
          <w:color w:val="auto"/>
          <w:sz w:val="24"/>
          <w:highlight w:val="none"/>
        </w:rPr>
        <w:t>年   月   日</w:t>
      </w:r>
    </w:p>
    <w:p>
      <w:pPr>
        <w:spacing w:line="360" w:lineRule="auto"/>
        <w:ind w:left="809" w:hanging="808" w:hangingChars="337"/>
        <w:jc w:val="center"/>
        <w:rPr>
          <w:rFonts w:ascii="仿宋_GB2312" w:hAnsi="仿宋" w:eastAsia="仿宋_GB2312"/>
          <w:bCs/>
          <w:color w:val="auto"/>
          <w:sz w:val="32"/>
          <w:szCs w:val="32"/>
          <w:highlight w:val="none"/>
        </w:rPr>
      </w:pPr>
      <w:r>
        <w:rPr>
          <w:rFonts w:hint="eastAsia" w:ascii="仿宋_GB2312" w:hAnsi="仿宋" w:eastAsia="仿宋_GB2312"/>
          <w:color w:val="auto"/>
          <w:sz w:val="24"/>
          <w:highlight w:val="none"/>
        </w:rPr>
        <w:br w:type="page"/>
      </w:r>
      <w:r>
        <w:rPr>
          <w:rFonts w:hint="eastAsia" w:ascii="仿宋_GB2312" w:eastAsia="仿宋_GB2312"/>
          <w:b/>
          <w:color w:val="auto"/>
          <w:sz w:val="24"/>
          <w:highlight w:val="none"/>
        </w:rPr>
        <w:t>格式13    资格性/符合性自查表</w:t>
      </w:r>
    </w:p>
    <w:tbl>
      <w:tblPr>
        <w:tblStyle w:val="28"/>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outset" w:color="111111" w:sz="6" w:space="0"/>
              <w:right w:val="outset" w:color="111111" w:sz="6" w:space="0"/>
            </w:tcBorders>
            <w:vAlign w:val="center"/>
          </w:tcPr>
          <w:p>
            <w:pPr>
              <w:jc w:val="center"/>
              <w:rPr>
                <w:rFonts w:ascii="仿宋_GB2312" w:hAnsi="仿宋" w:eastAsia="仿宋_GB2312" w:cs="宋体"/>
                <w:color w:val="auto"/>
                <w:sz w:val="24"/>
                <w:highlight w:val="none"/>
              </w:rPr>
            </w:pPr>
            <w:r>
              <w:rPr>
                <w:rFonts w:hint="eastAsia" w:ascii="仿宋_GB2312" w:hAnsi="仿宋" w:eastAsia="仿宋_GB2312"/>
                <w:b/>
                <w:bCs/>
                <w:color w:val="auto"/>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pPr>
              <w:jc w:val="center"/>
              <w:rPr>
                <w:rFonts w:ascii="仿宋_GB2312" w:hAnsi="仿宋" w:eastAsia="仿宋_GB2312" w:cs="宋体"/>
                <w:color w:val="auto"/>
                <w:sz w:val="24"/>
                <w:highlight w:val="none"/>
              </w:rPr>
            </w:pPr>
            <w:r>
              <w:rPr>
                <w:rFonts w:hint="eastAsia" w:ascii="仿宋_GB2312" w:hAnsi="仿宋" w:eastAsia="仿宋_GB2312"/>
                <w:b/>
                <w:bCs/>
                <w:color w:val="auto"/>
                <w:spacing w:val="10"/>
                <w:sz w:val="24"/>
                <w:highlight w:val="none"/>
                <w:lang w:eastAsia="zh-CN"/>
              </w:rPr>
              <w:t>竞争性磋商文件</w:t>
            </w:r>
            <w:r>
              <w:rPr>
                <w:rFonts w:hint="eastAsia" w:ascii="仿宋_GB2312" w:hAnsi="仿宋" w:eastAsia="仿宋_GB2312"/>
                <w:b/>
                <w:bCs/>
                <w:color w:val="auto"/>
                <w:spacing w:val="10"/>
                <w:sz w:val="24"/>
                <w:highlight w:val="none"/>
              </w:rPr>
              <w:t>要求</w:t>
            </w:r>
            <w:r>
              <w:rPr>
                <w:rFonts w:hint="eastAsia" w:ascii="仿宋_GB2312" w:hAnsi="仿宋" w:eastAsia="仿宋_GB2312"/>
                <w:color w:val="auto"/>
                <w:sz w:val="24"/>
                <w:highlight w:val="none"/>
              </w:rPr>
              <w:br w:type="textWrapping"/>
            </w:r>
            <w:r>
              <w:rPr>
                <w:rFonts w:hint="eastAsia" w:ascii="仿宋_GB2312" w:hAnsi="仿宋" w:eastAsia="仿宋_GB2312"/>
                <w:color w:val="auto"/>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pPr>
              <w:jc w:val="center"/>
              <w:rPr>
                <w:rFonts w:ascii="仿宋_GB2312" w:hAnsi="仿宋" w:eastAsia="仿宋_GB2312" w:cs="宋体"/>
                <w:color w:val="auto"/>
                <w:sz w:val="24"/>
                <w:highlight w:val="none"/>
              </w:rPr>
            </w:pPr>
            <w:r>
              <w:rPr>
                <w:rFonts w:hint="eastAsia" w:ascii="仿宋_GB2312" w:hAnsi="仿宋" w:eastAsia="仿宋_GB2312"/>
                <w:b/>
                <w:bCs/>
                <w:color w:val="auto"/>
                <w:spacing w:val="10"/>
                <w:sz w:val="24"/>
                <w:highlight w:val="none"/>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pPr>
              <w:jc w:val="center"/>
              <w:rPr>
                <w:rFonts w:ascii="仿宋_GB2312" w:hAnsi="仿宋" w:eastAsia="仿宋_GB2312" w:cs="宋体"/>
                <w:color w:val="auto"/>
                <w:sz w:val="24"/>
                <w:highlight w:val="none"/>
              </w:rPr>
            </w:pPr>
            <w:r>
              <w:rPr>
                <w:rFonts w:hint="eastAsia" w:ascii="仿宋_GB2312" w:hAnsi="仿宋" w:eastAsia="仿宋_GB2312"/>
                <w:b/>
                <w:bCs/>
                <w:color w:val="auto"/>
                <w:spacing w:val="10"/>
                <w:sz w:val="24"/>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widowControl/>
              <w:spacing w:before="100" w:beforeAutospacing="1" w:after="100" w:afterAutospacing="1"/>
              <w:jc w:val="center"/>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widowControl/>
              <w:spacing w:before="100" w:beforeAutospacing="1" w:after="100" w:afterAutospacing="1"/>
              <w:jc w:val="center"/>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□符合 □不符合</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□符合 □不符合</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□符合 □不符合</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□符合 □不符合</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□符合 □不符合</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□符合 □不符合</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仿宋_GB2312" w:hAnsi="仿宋" w:eastAsia="仿宋_GB2312" w:cs="宋体"/>
                <w:color w:val="auto"/>
                <w:sz w:val="24"/>
                <w:highlight w:val="none"/>
              </w:rPr>
            </w:pPr>
            <w:r>
              <w:rPr>
                <w:rFonts w:hint="eastAsia" w:ascii="仿宋_GB2312" w:hAnsi="仿宋" w:eastAsia="仿宋_GB2312"/>
                <w:color w:val="auto"/>
                <w:sz w:val="24"/>
                <w:highlight w:val="none"/>
              </w:rPr>
              <w:t>见响应文件第（）页</w:t>
            </w:r>
          </w:p>
        </w:tc>
      </w:tr>
    </w:tbl>
    <w:p>
      <w:pPr>
        <w:tabs>
          <w:tab w:val="left" w:pos="360"/>
          <w:tab w:val="left" w:pos="1800"/>
        </w:tabs>
        <w:ind w:firstLine="361" w:firstLineChars="150"/>
        <w:jc w:val="left"/>
        <w:rPr>
          <w:rFonts w:ascii="仿宋_GB2312" w:hAnsi="仿宋" w:eastAsia="仿宋_GB2312"/>
          <w:b/>
          <w:color w:val="auto"/>
          <w:w w:val="90"/>
          <w:sz w:val="24"/>
          <w:highlight w:val="none"/>
        </w:rPr>
      </w:pPr>
      <w:r>
        <w:rPr>
          <w:rFonts w:hint="eastAsia" w:ascii="仿宋_GB2312" w:hAnsi="仿宋" w:eastAsia="仿宋_GB2312"/>
          <w:b/>
          <w:color w:val="auto"/>
          <w:sz w:val="24"/>
          <w:highlight w:val="none"/>
        </w:rPr>
        <w:t>注：以上材料将作为供应商有效性审核的重要内容之一，供应商必须严格按照其内容及序列要求在响应文件中对应如</w:t>
      </w:r>
      <w:r>
        <w:rPr>
          <w:rFonts w:hint="eastAsia" w:ascii="仿宋_GB2312" w:hAnsi="仿宋" w:eastAsia="仿宋_GB2312"/>
          <w:b/>
          <w:color w:val="auto"/>
          <w:w w:val="90"/>
          <w:sz w:val="24"/>
          <w:highlight w:val="none"/>
        </w:rPr>
        <w:t>实提供，对资格性和符合性证明文件的任何缺漏和不符合项将会直接导致无效响应！供应商根据自查结论在对应的□打“√”。</w:t>
      </w:r>
    </w:p>
    <w:p>
      <w:pPr>
        <w:tabs>
          <w:tab w:val="left" w:pos="360"/>
          <w:tab w:val="left" w:pos="1800"/>
        </w:tabs>
        <w:ind w:firstLine="325" w:firstLineChars="150"/>
        <w:jc w:val="left"/>
        <w:rPr>
          <w:rFonts w:ascii="仿宋_GB2312" w:hAnsi="仿宋" w:eastAsia="仿宋_GB2312"/>
          <w:b/>
          <w:color w:val="auto"/>
          <w:w w:val="90"/>
          <w:sz w:val="24"/>
          <w:highlight w:val="none"/>
        </w:rPr>
      </w:pPr>
    </w:p>
    <w:p>
      <w:pPr>
        <w:tabs>
          <w:tab w:val="left" w:pos="360"/>
          <w:tab w:val="left" w:pos="1800"/>
        </w:tabs>
        <w:ind w:firstLine="361" w:firstLineChars="150"/>
        <w:jc w:val="left"/>
        <w:rPr>
          <w:rFonts w:ascii="仿宋_GB2312" w:eastAsia="仿宋_GB2312"/>
          <w:b/>
          <w:color w:val="auto"/>
          <w:sz w:val="24"/>
          <w:highlight w:val="none"/>
        </w:rPr>
      </w:pPr>
    </w:p>
    <w:p>
      <w:pPr>
        <w:tabs>
          <w:tab w:val="left" w:pos="6300"/>
        </w:tabs>
        <w:snapToGrid w:val="0"/>
        <w:spacing w:line="500" w:lineRule="exact"/>
        <w:jc w:val="center"/>
        <w:rPr>
          <w:rFonts w:ascii="仿宋_GB2312" w:eastAsia="仿宋_GB2312"/>
          <w:b/>
          <w:color w:val="auto"/>
          <w:sz w:val="24"/>
          <w:highlight w:val="none"/>
        </w:rPr>
      </w:pPr>
    </w:p>
    <w:p>
      <w:pPr>
        <w:tabs>
          <w:tab w:val="left" w:pos="6300"/>
        </w:tabs>
        <w:snapToGrid w:val="0"/>
        <w:spacing w:line="500" w:lineRule="exact"/>
        <w:jc w:val="center"/>
        <w:rPr>
          <w:rFonts w:ascii="仿宋_GB2312" w:eastAsia="仿宋_GB2312"/>
          <w:b/>
          <w:color w:val="auto"/>
          <w:sz w:val="24"/>
          <w:highlight w:val="none"/>
        </w:rPr>
      </w:pPr>
    </w:p>
    <w:p>
      <w:pPr>
        <w:tabs>
          <w:tab w:val="left" w:pos="6300"/>
        </w:tabs>
        <w:snapToGrid w:val="0"/>
        <w:spacing w:line="500" w:lineRule="exact"/>
        <w:jc w:val="center"/>
        <w:rPr>
          <w:rFonts w:ascii="仿宋_GB2312" w:eastAsia="仿宋_GB2312"/>
          <w:b/>
          <w:color w:val="auto"/>
          <w:sz w:val="24"/>
          <w:highlight w:val="none"/>
        </w:rPr>
      </w:pPr>
      <w:r>
        <w:rPr>
          <w:rFonts w:hint="eastAsia" w:ascii="仿宋_GB2312" w:eastAsia="仿宋_GB2312"/>
          <w:b/>
          <w:color w:val="auto"/>
          <w:sz w:val="24"/>
          <w:highlight w:val="none"/>
        </w:rPr>
        <w:t>格式14     诚信声明</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采购项目名称：</w:t>
      </w:r>
    </w:p>
    <w:p>
      <w:pPr>
        <w:tabs>
          <w:tab w:val="left" w:pos="6300"/>
        </w:tabs>
        <w:snapToGrid w:val="0"/>
        <w:spacing w:line="500" w:lineRule="exact"/>
        <w:ind w:firstLine="570"/>
        <w:rPr>
          <w:rFonts w:ascii="仿宋_GB2312" w:hAnsi="仿宋_GB2312" w:eastAsia="仿宋_GB2312" w:cs="仿宋_GB2312"/>
          <w:color w:val="auto"/>
          <w:sz w:val="24"/>
          <w:highlight w:val="none"/>
        </w:rPr>
      </w:pPr>
    </w:p>
    <w:p>
      <w:pPr>
        <w:tabs>
          <w:tab w:val="left" w:pos="6300"/>
        </w:tabs>
        <w:snapToGrid w:val="0"/>
        <w:spacing w:line="5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致：（采购代理机构名称）：</w:t>
      </w:r>
    </w:p>
    <w:p>
      <w:pPr>
        <w:tabs>
          <w:tab w:val="left" w:pos="6300"/>
        </w:tabs>
        <w:snapToGrid w:val="0"/>
        <w:spacing w:line="5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名称）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特此声明。</w:t>
      </w:r>
    </w:p>
    <w:p>
      <w:pPr>
        <w:tabs>
          <w:tab w:val="left" w:pos="6300"/>
        </w:tabs>
        <w:snapToGrid w:val="0"/>
        <w:spacing w:line="500" w:lineRule="exact"/>
        <w:ind w:firstLine="570"/>
        <w:rPr>
          <w:rFonts w:ascii="仿宋_GB2312" w:hAnsi="仿宋_GB2312" w:eastAsia="仿宋_GB2312" w:cs="仿宋_GB2312"/>
          <w:color w:val="auto"/>
          <w:sz w:val="24"/>
          <w:highlight w:val="none"/>
        </w:rPr>
      </w:pPr>
    </w:p>
    <w:p>
      <w:pPr>
        <w:tabs>
          <w:tab w:val="left" w:pos="6300"/>
        </w:tabs>
        <w:snapToGrid w:val="0"/>
        <w:spacing w:line="500" w:lineRule="exact"/>
        <w:ind w:firstLine="570"/>
        <w:rPr>
          <w:rFonts w:ascii="仿宋_GB2312" w:hAnsi="仿宋_GB2312" w:eastAsia="仿宋_GB2312" w:cs="仿宋_GB2312"/>
          <w:color w:val="auto"/>
          <w:sz w:val="24"/>
          <w:highlight w:val="none"/>
        </w:rPr>
      </w:pPr>
    </w:p>
    <w:p>
      <w:pPr>
        <w:tabs>
          <w:tab w:val="left" w:pos="6300"/>
        </w:tabs>
        <w:snapToGrid w:val="0"/>
        <w:spacing w:line="500" w:lineRule="exact"/>
        <w:ind w:firstLine="570"/>
        <w:rPr>
          <w:rFonts w:ascii="仿宋_GB2312" w:hAnsi="仿宋_GB2312" w:eastAsia="仿宋_GB2312" w:cs="仿宋_GB2312"/>
          <w:color w:val="auto"/>
          <w:sz w:val="24"/>
          <w:highlight w:val="none"/>
        </w:rPr>
      </w:pPr>
    </w:p>
    <w:p>
      <w:pPr>
        <w:tabs>
          <w:tab w:val="left" w:pos="6300"/>
        </w:tabs>
        <w:snapToGrid w:val="0"/>
        <w:spacing w:line="500" w:lineRule="exact"/>
        <w:ind w:right="424"/>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（供应商公章）</w:t>
      </w:r>
    </w:p>
    <w:p>
      <w:pPr>
        <w:tabs>
          <w:tab w:val="left" w:pos="6300"/>
        </w:tabs>
        <w:snapToGrid w:val="0"/>
        <w:spacing w:line="500" w:lineRule="exact"/>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年   月   日</w:t>
      </w:r>
    </w:p>
    <w:p>
      <w:pPr>
        <w:spacing w:line="360" w:lineRule="auto"/>
        <w:jc w:val="center"/>
        <w:rPr>
          <w:rFonts w:ascii="仿宋_GB2312" w:eastAsia="仿宋_GB2312"/>
          <w:b/>
          <w:bCs/>
          <w:color w:val="auto"/>
          <w:sz w:val="28"/>
          <w:szCs w:val="28"/>
          <w:highlight w:val="none"/>
        </w:rPr>
      </w:pPr>
      <w:r>
        <w:rPr>
          <w:rFonts w:hint="eastAsia" w:ascii="仿宋_GB2312" w:hAnsi="仿宋_GB2312" w:eastAsia="仿宋_GB2312" w:cs="仿宋_GB2312"/>
          <w:color w:val="auto"/>
          <w:sz w:val="24"/>
          <w:highlight w:val="none"/>
        </w:rPr>
        <w:br w:type="page"/>
      </w:r>
      <w:r>
        <w:rPr>
          <w:rFonts w:hint="eastAsia" w:ascii="仿宋_GB2312" w:eastAsia="仿宋_GB2312"/>
          <w:b/>
          <w:bCs/>
          <w:color w:val="auto"/>
          <w:sz w:val="28"/>
          <w:szCs w:val="28"/>
          <w:highlight w:val="none"/>
        </w:rPr>
        <w:t xml:space="preserve">第六章  </w:t>
      </w:r>
      <w:r>
        <w:rPr>
          <w:rFonts w:hint="eastAsia" w:ascii="仿宋_GB2312" w:eastAsia="仿宋_GB2312"/>
          <w:b/>
          <w:color w:val="auto"/>
          <w:sz w:val="28"/>
          <w:szCs w:val="28"/>
          <w:highlight w:val="none"/>
        </w:rPr>
        <w:t>评审标准</w:t>
      </w:r>
      <w:r>
        <w:rPr>
          <w:rFonts w:hint="eastAsia" w:ascii="仿宋_GB2312" w:eastAsia="仿宋_GB2312"/>
          <w:b/>
          <w:bCs/>
          <w:color w:val="auto"/>
          <w:sz w:val="28"/>
          <w:szCs w:val="28"/>
          <w:highlight w:val="none"/>
        </w:rPr>
        <w:t>（综合评分法）</w:t>
      </w:r>
    </w:p>
    <w:p>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一、初审</w:t>
      </w:r>
    </w:p>
    <w:p>
      <w:pPr>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1、资格性审查</w:t>
      </w:r>
    </w:p>
    <w:tbl>
      <w:tblPr>
        <w:tblStyle w:val="28"/>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471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94"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序号</w:t>
            </w:r>
          </w:p>
        </w:tc>
        <w:tc>
          <w:tcPr>
            <w:tcW w:w="4717"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评审因素</w:t>
            </w:r>
          </w:p>
        </w:tc>
        <w:tc>
          <w:tcPr>
            <w:tcW w:w="4668"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994" w:type="dxa"/>
            <w:vAlign w:val="center"/>
          </w:tcPr>
          <w:p>
            <w:pPr>
              <w:spacing w:line="288" w:lineRule="auto"/>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4717"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供应商须符合《中华人民共和国政府采购法》第二十二条</w:t>
            </w:r>
          </w:p>
        </w:tc>
        <w:tc>
          <w:tcPr>
            <w:tcW w:w="4668"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符合竞争性磋商文件规定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994"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4717"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具有独立法人资格并依法取得企业营业执照及营业执照在有效期内并包含本采购项目相应经营范围</w:t>
            </w:r>
          </w:p>
        </w:tc>
        <w:tc>
          <w:tcPr>
            <w:tcW w:w="4668"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符合</w:t>
            </w:r>
            <w:r>
              <w:rPr>
                <w:rFonts w:hint="eastAsia" w:ascii="仿宋_GB2312" w:hAnsi="宋体" w:eastAsia="仿宋_GB2312"/>
                <w:color w:val="auto"/>
                <w:sz w:val="24"/>
                <w:highlight w:val="none"/>
              </w:rPr>
              <w:t>竞争性磋商文件</w:t>
            </w:r>
            <w:r>
              <w:rPr>
                <w:rFonts w:hint="eastAsia" w:ascii="仿宋_GB2312" w:hAnsi="宋体" w:eastAsia="仿宋_GB2312"/>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994"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w:t>
            </w:r>
          </w:p>
        </w:tc>
        <w:tc>
          <w:tcPr>
            <w:tcW w:w="4717"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具有药品监督管理局核发的有效期内的医疗器械生产企业许可证（如为代理商，为医疗器械经营企业许可证）；国家批准的具备资质的中草药、中药配方颗粒试点生产企业；具有《药品生产质量管理规范认证证书》；同时也是在当地食品药监部门完成备案的中草药、中药配方颗粒生产企业；新疆药监部门关于中药配方颗粒的批复；药品信用证明</w:t>
            </w:r>
          </w:p>
        </w:tc>
        <w:tc>
          <w:tcPr>
            <w:tcW w:w="4668"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符合</w:t>
            </w:r>
            <w:r>
              <w:rPr>
                <w:rFonts w:hint="eastAsia" w:ascii="仿宋_GB2312" w:hAnsi="宋体" w:eastAsia="仿宋_GB2312"/>
                <w:color w:val="auto"/>
                <w:sz w:val="24"/>
                <w:highlight w:val="none"/>
              </w:rPr>
              <w:t>竞争性磋商文件</w:t>
            </w:r>
            <w:r>
              <w:rPr>
                <w:rFonts w:hint="eastAsia" w:ascii="仿宋_GB2312" w:hAnsi="宋体" w:eastAsia="仿宋_GB2312"/>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994"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w:t>
            </w:r>
          </w:p>
        </w:tc>
        <w:tc>
          <w:tcPr>
            <w:tcW w:w="4717"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具有有效期内的投标企业生产许可证（经营许可证）</w:t>
            </w:r>
          </w:p>
        </w:tc>
        <w:tc>
          <w:tcPr>
            <w:tcW w:w="4668"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符合</w:t>
            </w:r>
            <w:r>
              <w:rPr>
                <w:rFonts w:hint="eastAsia" w:ascii="仿宋_GB2312" w:hAnsi="宋体" w:eastAsia="仿宋_GB2312"/>
                <w:color w:val="auto"/>
                <w:sz w:val="24"/>
                <w:highlight w:val="none"/>
              </w:rPr>
              <w:t>竞争性磋商文件</w:t>
            </w:r>
            <w:r>
              <w:rPr>
                <w:rFonts w:hint="eastAsia" w:ascii="仿宋_GB2312" w:hAnsi="宋体" w:eastAsia="仿宋_GB2312"/>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4" w:type="dxa"/>
            <w:vAlign w:val="center"/>
          </w:tcPr>
          <w:p>
            <w:pPr>
              <w:spacing w:line="288" w:lineRule="auto"/>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w:t>
            </w:r>
          </w:p>
        </w:tc>
        <w:tc>
          <w:tcPr>
            <w:tcW w:w="4717"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具有有效期内的中药配方颗粒GMP认证证书或当地药监部门现场检查出具的相关证明材料</w:t>
            </w:r>
          </w:p>
        </w:tc>
        <w:tc>
          <w:tcPr>
            <w:tcW w:w="4668"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符合</w:t>
            </w:r>
            <w:r>
              <w:rPr>
                <w:rFonts w:hint="eastAsia" w:ascii="仿宋_GB2312" w:hAnsi="宋体" w:eastAsia="仿宋_GB2312"/>
                <w:color w:val="auto"/>
                <w:sz w:val="24"/>
                <w:highlight w:val="none"/>
              </w:rPr>
              <w:t>竞争性磋商文件</w:t>
            </w:r>
            <w:r>
              <w:rPr>
                <w:rFonts w:hint="eastAsia" w:ascii="仿宋_GB2312" w:hAnsi="宋体" w:eastAsia="仿宋_GB2312"/>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994" w:type="dxa"/>
            <w:vAlign w:val="center"/>
          </w:tcPr>
          <w:p>
            <w:pPr>
              <w:spacing w:line="288" w:lineRule="auto"/>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5</w:t>
            </w:r>
          </w:p>
        </w:tc>
        <w:tc>
          <w:tcPr>
            <w:tcW w:w="4717" w:type="dxa"/>
            <w:vAlign w:val="center"/>
          </w:tcPr>
          <w:p>
            <w:pP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具有新疆维吾尔自治区药品管理部门出具的允许中药配方颗粒剂在本项目所在地使用的相关证明文件或批复</w:t>
            </w:r>
          </w:p>
        </w:tc>
        <w:tc>
          <w:tcPr>
            <w:tcW w:w="4668" w:type="dxa"/>
            <w:vAlign w:val="center"/>
          </w:tcPr>
          <w:p>
            <w:pP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符合</w:t>
            </w:r>
            <w:r>
              <w:rPr>
                <w:rFonts w:hint="eastAsia" w:ascii="仿宋_GB2312" w:hAnsi="宋体" w:eastAsia="仿宋_GB2312"/>
                <w:color w:val="auto"/>
                <w:sz w:val="24"/>
                <w:highlight w:val="none"/>
              </w:rPr>
              <w:t>竞争性磋商文件</w:t>
            </w:r>
            <w:r>
              <w:rPr>
                <w:rFonts w:hint="eastAsia" w:ascii="仿宋_GB2312" w:hAnsi="宋体" w:eastAsia="仿宋_GB2312"/>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994" w:type="dxa"/>
            <w:vAlign w:val="center"/>
          </w:tcPr>
          <w:p>
            <w:pPr>
              <w:spacing w:line="288" w:lineRule="auto"/>
              <w:jc w:val="center"/>
              <w:rPr>
                <w:rFonts w:hint="eastAsia" w:ascii="仿宋_GB2312" w:hAnsi="宋体" w:eastAsia="仿宋_GB2312"/>
                <w:color w:val="auto"/>
                <w:szCs w:val="21"/>
                <w:highlight w:val="none"/>
                <w:lang w:eastAsia="zh-CN"/>
              </w:rPr>
            </w:pPr>
            <w:r>
              <w:rPr>
                <w:rFonts w:hint="eastAsia" w:ascii="仿宋_GB2312" w:hAnsi="宋体" w:eastAsia="仿宋_GB2312"/>
                <w:color w:val="auto"/>
                <w:szCs w:val="21"/>
                <w:highlight w:val="none"/>
                <w:lang w:val="en-US" w:eastAsia="zh-CN"/>
              </w:rPr>
              <w:t>6</w:t>
            </w:r>
          </w:p>
        </w:tc>
        <w:tc>
          <w:tcPr>
            <w:tcW w:w="4717"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本项目不接受联合体供应商参加磋商</w:t>
            </w:r>
          </w:p>
        </w:tc>
        <w:tc>
          <w:tcPr>
            <w:tcW w:w="4668" w:type="dxa"/>
            <w:vAlign w:val="center"/>
          </w:tcPr>
          <w:p>
            <w:pPr>
              <w:rPr>
                <w:rFonts w:ascii="仿宋_GB2312" w:hAnsi="宋体" w:eastAsia="仿宋_GB2312"/>
                <w:color w:val="auto"/>
                <w:sz w:val="24"/>
                <w:highlight w:val="none"/>
              </w:rPr>
            </w:pPr>
            <w:r>
              <w:rPr>
                <w:rFonts w:hint="eastAsia" w:ascii="仿宋_GB2312" w:hAnsi="宋体" w:eastAsia="仿宋_GB2312"/>
                <w:color w:val="auto"/>
                <w:sz w:val="24"/>
                <w:highlight w:val="none"/>
              </w:rPr>
              <w:t>符合</w:t>
            </w:r>
            <w:r>
              <w:rPr>
                <w:rFonts w:hint="eastAsia" w:ascii="仿宋_GB2312" w:hAnsi="宋体" w:eastAsia="仿宋_GB2312"/>
                <w:color w:val="auto"/>
                <w:sz w:val="24"/>
                <w:highlight w:val="none"/>
              </w:rPr>
              <w:t>竞争性磋商文件</w:t>
            </w:r>
            <w:r>
              <w:rPr>
                <w:rFonts w:hint="eastAsia" w:ascii="仿宋_GB2312" w:hAnsi="宋体" w:eastAsia="仿宋_GB2312"/>
                <w:color w:val="auto"/>
                <w:sz w:val="24"/>
                <w:highlight w:val="none"/>
              </w:rPr>
              <w:t>规定</w:t>
            </w:r>
          </w:p>
        </w:tc>
      </w:tr>
    </w:tbl>
    <w:p>
      <w:pPr>
        <w:spacing w:line="360" w:lineRule="auto"/>
        <w:rPr>
          <w:rFonts w:ascii="仿宋_GB2312" w:eastAsia="仿宋_GB2312"/>
          <w:b/>
          <w:bCs/>
          <w:color w:val="auto"/>
          <w:sz w:val="24"/>
          <w:highlight w:val="none"/>
        </w:rPr>
      </w:pPr>
    </w:p>
    <w:p>
      <w:pPr>
        <w:spacing w:line="360" w:lineRule="auto"/>
        <w:rPr>
          <w:rFonts w:ascii="仿宋_GB2312" w:eastAsia="仿宋_GB2312"/>
          <w:b/>
          <w:bCs/>
          <w:color w:val="auto"/>
          <w:sz w:val="24"/>
          <w:highlight w:val="none"/>
        </w:rPr>
      </w:pPr>
    </w:p>
    <w:p>
      <w:pPr>
        <w:spacing w:line="360" w:lineRule="auto"/>
        <w:rPr>
          <w:rFonts w:ascii="仿宋_GB2312" w:eastAsia="仿宋_GB2312"/>
          <w:b/>
          <w:bCs/>
          <w:color w:val="auto"/>
          <w:sz w:val="24"/>
          <w:highlight w:val="none"/>
        </w:rPr>
      </w:pPr>
    </w:p>
    <w:p>
      <w:pPr>
        <w:spacing w:line="360" w:lineRule="auto"/>
        <w:rPr>
          <w:rFonts w:ascii="仿宋_GB2312" w:eastAsia="仿宋_GB2312"/>
          <w:b/>
          <w:bCs/>
          <w:color w:val="auto"/>
          <w:sz w:val="24"/>
          <w:highlight w:val="none"/>
        </w:rPr>
      </w:pPr>
    </w:p>
    <w:p>
      <w:pPr>
        <w:pStyle w:val="2"/>
        <w:rPr>
          <w:rFonts w:ascii="仿宋_GB2312" w:eastAsia="仿宋_GB2312"/>
          <w:b/>
          <w:bCs/>
          <w:color w:val="auto"/>
          <w:sz w:val="24"/>
          <w:highlight w:val="none"/>
        </w:rPr>
      </w:pPr>
    </w:p>
    <w:p>
      <w:pPr>
        <w:rPr>
          <w:rFonts w:ascii="仿宋_GB2312" w:eastAsia="仿宋_GB2312"/>
          <w:b/>
          <w:bCs/>
          <w:color w:val="auto"/>
          <w:sz w:val="24"/>
          <w:highlight w:val="none"/>
        </w:rPr>
      </w:pPr>
    </w:p>
    <w:p>
      <w:pPr>
        <w:spacing w:line="360" w:lineRule="auto"/>
        <w:rPr>
          <w:rFonts w:hint="eastAsia" w:ascii="仿宋_GB2312" w:eastAsia="仿宋_GB2312"/>
          <w:b/>
          <w:bCs/>
          <w:color w:val="auto"/>
          <w:sz w:val="24"/>
          <w:highlight w:val="none"/>
        </w:rPr>
      </w:pPr>
    </w:p>
    <w:p>
      <w:pPr>
        <w:spacing w:line="360" w:lineRule="auto"/>
        <w:rPr>
          <w:rFonts w:hint="eastAsia" w:ascii="仿宋_GB2312" w:eastAsia="仿宋_GB2312"/>
          <w:b/>
          <w:bCs/>
          <w:color w:val="auto"/>
          <w:sz w:val="24"/>
          <w:highlight w:val="none"/>
        </w:rPr>
      </w:pPr>
    </w:p>
    <w:p>
      <w:pPr>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2、符合性审查</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1955"/>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3" w:type="dxa"/>
            <w:vAlign w:val="center"/>
          </w:tcPr>
          <w:p>
            <w:pPr>
              <w:spacing w:line="50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序号</w:t>
            </w:r>
          </w:p>
        </w:tc>
        <w:tc>
          <w:tcPr>
            <w:tcW w:w="3106" w:type="dxa"/>
            <w:gridSpan w:val="2"/>
            <w:vAlign w:val="center"/>
          </w:tcPr>
          <w:p>
            <w:pPr>
              <w:spacing w:line="50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评审因素</w:t>
            </w:r>
          </w:p>
        </w:tc>
        <w:tc>
          <w:tcPr>
            <w:tcW w:w="6284" w:type="dxa"/>
            <w:vAlign w:val="center"/>
          </w:tcPr>
          <w:p>
            <w:pPr>
              <w:spacing w:line="50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3" w:type="dxa"/>
            <w:vMerge w:val="restart"/>
            <w:vAlign w:val="center"/>
          </w:tcPr>
          <w:p>
            <w:pPr>
              <w:spacing w:line="50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1151" w:type="dxa"/>
            <w:vMerge w:val="restart"/>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有效性审查</w:t>
            </w:r>
          </w:p>
        </w:tc>
        <w:tc>
          <w:tcPr>
            <w:tcW w:w="1955"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仿宋_GB2312"/>
                <w:color w:val="auto"/>
                <w:sz w:val="24"/>
                <w:highlight w:val="none"/>
                <w:lang w:val="zh-CN"/>
              </w:rPr>
              <w:t>响应文件</w:t>
            </w:r>
            <w:r>
              <w:rPr>
                <w:rFonts w:hint="eastAsia" w:ascii="仿宋_GB2312" w:hAnsi="宋体" w:eastAsia="仿宋_GB2312"/>
                <w:color w:val="auto"/>
                <w:sz w:val="24"/>
                <w:highlight w:val="none"/>
              </w:rPr>
              <w:t>签署</w:t>
            </w:r>
          </w:p>
        </w:tc>
        <w:tc>
          <w:tcPr>
            <w:tcW w:w="6284"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仿宋_GB2312"/>
                <w:color w:val="auto"/>
                <w:sz w:val="24"/>
                <w:highlight w:val="none"/>
                <w:lang w:val="zh-CN"/>
              </w:rPr>
              <w:t>响应文件</w:t>
            </w:r>
            <w:r>
              <w:rPr>
                <w:rFonts w:hint="eastAsia" w:ascii="仿宋_GB2312" w:hAnsi="宋体" w:eastAsia="仿宋_GB2312"/>
                <w:color w:val="auto"/>
                <w:sz w:val="24"/>
                <w:highlight w:val="none"/>
              </w:rPr>
              <w:t>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vAlign w:val="center"/>
          </w:tcPr>
          <w:p>
            <w:pPr>
              <w:spacing w:line="500" w:lineRule="exact"/>
              <w:jc w:val="center"/>
              <w:rPr>
                <w:rFonts w:ascii="仿宋_GB2312" w:hAnsi="宋体" w:eastAsia="仿宋_GB2312" w:cs="宋体"/>
                <w:color w:val="auto"/>
                <w:kern w:val="0"/>
                <w:sz w:val="24"/>
                <w:highlight w:val="none"/>
              </w:rPr>
            </w:pPr>
          </w:p>
        </w:tc>
        <w:tc>
          <w:tcPr>
            <w:tcW w:w="1151" w:type="dxa"/>
            <w:vMerge w:val="continue"/>
            <w:vAlign w:val="center"/>
          </w:tcPr>
          <w:p>
            <w:pPr>
              <w:spacing w:line="500" w:lineRule="exact"/>
              <w:rPr>
                <w:rFonts w:ascii="仿宋_GB2312" w:hAnsi="宋体" w:eastAsia="仿宋_GB2312" w:cs="宋体"/>
                <w:color w:val="auto"/>
                <w:kern w:val="0"/>
                <w:sz w:val="24"/>
                <w:highlight w:val="none"/>
              </w:rPr>
            </w:pPr>
          </w:p>
        </w:tc>
        <w:tc>
          <w:tcPr>
            <w:tcW w:w="1955" w:type="dxa"/>
            <w:vAlign w:val="center"/>
          </w:tcPr>
          <w:p>
            <w:pPr>
              <w:spacing w:line="5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法定代表人身份证明及授权委托书</w:t>
            </w:r>
          </w:p>
        </w:tc>
        <w:tc>
          <w:tcPr>
            <w:tcW w:w="6284" w:type="dxa"/>
            <w:vAlign w:val="center"/>
          </w:tcPr>
          <w:p>
            <w:pPr>
              <w:spacing w:line="5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法定代表人身份证明及授权委托书有效，且符合</w:t>
            </w:r>
            <w:r>
              <w:rPr>
                <w:rFonts w:hint="eastAsia" w:ascii="仿宋_GB2312" w:hAnsi="宋体" w:eastAsia="仿宋_GB2312"/>
                <w:color w:val="auto"/>
                <w:sz w:val="24"/>
                <w:highlight w:val="none"/>
                <w:lang w:eastAsia="zh-CN"/>
              </w:rPr>
              <w:t>竞争性磋商文件</w:t>
            </w:r>
            <w:r>
              <w:rPr>
                <w:rFonts w:hint="eastAsia" w:ascii="仿宋_GB2312" w:hAnsi="宋体" w:eastAsia="仿宋_GB2312"/>
                <w:color w:val="auto"/>
                <w:sz w:val="24"/>
                <w:highlight w:val="none"/>
              </w:rPr>
              <w:t>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83" w:type="dxa"/>
            <w:vMerge w:val="restart"/>
            <w:vAlign w:val="center"/>
          </w:tcPr>
          <w:p>
            <w:pPr>
              <w:spacing w:line="50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1151" w:type="dxa"/>
            <w:vMerge w:val="restart"/>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完整性审查</w:t>
            </w:r>
          </w:p>
        </w:tc>
        <w:tc>
          <w:tcPr>
            <w:tcW w:w="1955"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仿宋_GB2312"/>
                <w:color w:val="auto"/>
                <w:sz w:val="24"/>
                <w:highlight w:val="none"/>
                <w:lang w:val="zh-CN"/>
              </w:rPr>
              <w:t>响应文件份数</w:t>
            </w:r>
          </w:p>
        </w:tc>
        <w:tc>
          <w:tcPr>
            <w:tcW w:w="6284"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仿宋_GB2312"/>
                <w:color w:val="auto"/>
                <w:sz w:val="24"/>
                <w:highlight w:val="none"/>
                <w:lang w:val="zh-CN"/>
              </w:rPr>
              <w:t>响应文件正本、副本等响应文件数量符合</w:t>
            </w:r>
            <w:r>
              <w:rPr>
                <w:rFonts w:hint="eastAsia" w:ascii="仿宋_GB2312" w:hAnsi="宋体" w:eastAsia="仿宋_GB2312" w:cs="宋体"/>
                <w:color w:val="auto"/>
                <w:kern w:val="0"/>
                <w:sz w:val="24"/>
                <w:highlight w:val="none"/>
                <w:lang w:eastAsia="zh-CN"/>
              </w:rPr>
              <w:t>竞争性磋商文件</w:t>
            </w:r>
            <w:r>
              <w:rPr>
                <w:rFonts w:hint="eastAsia" w:ascii="仿宋_GB2312" w:hAnsi="宋体" w:eastAsia="仿宋_GB2312" w:cs="仿宋_GB2312"/>
                <w:color w:val="auto"/>
                <w:sz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3" w:type="dxa"/>
            <w:vMerge w:val="continue"/>
            <w:vAlign w:val="center"/>
          </w:tcPr>
          <w:p>
            <w:pPr>
              <w:spacing w:line="500" w:lineRule="exact"/>
              <w:jc w:val="center"/>
              <w:rPr>
                <w:rFonts w:ascii="仿宋_GB2312" w:hAnsi="宋体" w:eastAsia="仿宋_GB2312" w:cs="宋体"/>
                <w:color w:val="auto"/>
                <w:kern w:val="0"/>
                <w:sz w:val="24"/>
                <w:highlight w:val="none"/>
              </w:rPr>
            </w:pPr>
          </w:p>
        </w:tc>
        <w:tc>
          <w:tcPr>
            <w:tcW w:w="1151" w:type="dxa"/>
            <w:vMerge w:val="continue"/>
            <w:vAlign w:val="center"/>
          </w:tcPr>
          <w:p>
            <w:pPr>
              <w:spacing w:line="500" w:lineRule="exact"/>
              <w:rPr>
                <w:rFonts w:ascii="仿宋_GB2312" w:hAnsi="宋体" w:eastAsia="仿宋_GB2312" w:cs="宋体"/>
                <w:color w:val="auto"/>
                <w:kern w:val="0"/>
                <w:sz w:val="24"/>
                <w:highlight w:val="none"/>
              </w:rPr>
            </w:pPr>
          </w:p>
        </w:tc>
        <w:tc>
          <w:tcPr>
            <w:tcW w:w="1955" w:type="dxa"/>
            <w:vAlign w:val="center"/>
          </w:tcPr>
          <w:p>
            <w:pPr>
              <w:spacing w:line="500" w:lineRule="exact"/>
              <w:rPr>
                <w:rFonts w:ascii="仿宋_GB2312" w:hAnsi="宋体" w:eastAsia="仿宋_GB2312" w:cs="仿宋_GB2312"/>
                <w:color w:val="auto"/>
                <w:sz w:val="24"/>
                <w:highlight w:val="none"/>
                <w:lang w:val="zh-CN"/>
              </w:rPr>
            </w:pPr>
            <w:r>
              <w:rPr>
                <w:rFonts w:hint="eastAsia" w:ascii="仿宋_GB2312" w:hAnsi="宋体" w:eastAsia="仿宋_GB2312" w:cs="仿宋_GB2312"/>
                <w:color w:val="auto"/>
                <w:sz w:val="24"/>
                <w:highlight w:val="none"/>
                <w:lang w:val="zh-CN"/>
              </w:rPr>
              <w:t>响应文件内容</w:t>
            </w:r>
          </w:p>
        </w:tc>
        <w:tc>
          <w:tcPr>
            <w:tcW w:w="6284" w:type="dxa"/>
            <w:vAlign w:val="center"/>
          </w:tcPr>
          <w:p>
            <w:pPr>
              <w:spacing w:line="500" w:lineRule="exact"/>
              <w:rPr>
                <w:rFonts w:ascii="仿宋_GB2312" w:hAnsi="宋体" w:eastAsia="仿宋_GB2312" w:cs="仿宋_GB2312"/>
                <w:color w:val="auto"/>
                <w:sz w:val="24"/>
                <w:highlight w:val="none"/>
                <w:lang w:val="zh-CN"/>
              </w:rPr>
            </w:pPr>
            <w:r>
              <w:rPr>
                <w:rFonts w:hint="eastAsia" w:ascii="仿宋_GB2312" w:hAnsi="宋体" w:eastAsia="仿宋_GB2312" w:cs="仿宋_GB2312"/>
                <w:color w:val="auto"/>
                <w:sz w:val="24"/>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3" w:type="dxa"/>
            <w:vMerge w:val="restart"/>
            <w:vAlign w:val="center"/>
          </w:tcPr>
          <w:p>
            <w:pPr>
              <w:spacing w:line="50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w:t>
            </w:r>
          </w:p>
        </w:tc>
        <w:tc>
          <w:tcPr>
            <w:tcW w:w="1151" w:type="dxa"/>
            <w:vMerge w:val="restart"/>
            <w:vAlign w:val="center"/>
          </w:tcPr>
          <w:p>
            <w:pPr>
              <w:spacing w:line="500" w:lineRule="exact"/>
              <w:rPr>
                <w:rFonts w:ascii="仿宋_GB2312" w:hAnsi="宋体" w:eastAsia="仿宋_GB2312" w:cs="仿宋_GB2312"/>
                <w:color w:val="auto"/>
                <w:sz w:val="24"/>
                <w:highlight w:val="none"/>
                <w:lang w:val="zh-CN"/>
              </w:rPr>
            </w:pPr>
            <w:r>
              <w:rPr>
                <w:rFonts w:hint="eastAsia" w:ascii="仿宋_GB2312" w:hAnsi="宋体" w:eastAsia="仿宋_GB2312" w:cs="宋体"/>
                <w:color w:val="auto"/>
                <w:kern w:val="0"/>
                <w:sz w:val="24"/>
                <w:highlight w:val="none"/>
                <w:lang w:eastAsia="zh-CN"/>
              </w:rPr>
              <w:t>竞争性磋商文件</w:t>
            </w:r>
            <w:r>
              <w:rPr>
                <w:rFonts w:hint="eastAsia" w:ascii="仿宋_GB2312" w:hAnsi="宋体" w:eastAsia="仿宋_GB2312" w:cs="宋体"/>
                <w:color w:val="auto"/>
                <w:kern w:val="0"/>
                <w:sz w:val="24"/>
                <w:highlight w:val="none"/>
              </w:rPr>
              <w:t>的响应程度审查</w:t>
            </w:r>
          </w:p>
        </w:tc>
        <w:tc>
          <w:tcPr>
            <w:tcW w:w="1955"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仿宋_GB2312"/>
                <w:color w:val="auto"/>
                <w:sz w:val="24"/>
                <w:highlight w:val="none"/>
                <w:lang w:val="zh-CN"/>
              </w:rPr>
              <w:t>响应文件</w:t>
            </w:r>
            <w:r>
              <w:rPr>
                <w:rFonts w:hint="eastAsia" w:ascii="仿宋_GB2312" w:hAnsi="宋体" w:eastAsia="仿宋_GB2312" w:cs="宋体"/>
                <w:color w:val="auto"/>
                <w:kern w:val="0"/>
                <w:sz w:val="24"/>
                <w:highlight w:val="none"/>
              </w:rPr>
              <w:t>内容</w:t>
            </w:r>
          </w:p>
        </w:tc>
        <w:tc>
          <w:tcPr>
            <w:tcW w:w="6284" w:type="dxa"/>
            <w:vAlign w:val="center"/>
          </w:tcPr>
          <w:p>
            <w:pPr>
              <w:pStyle w:val="16"/>
              <w:spacing w:line="500" w:lineRule="exact"/>
              <w:ind w:left="0" w:leftChars="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对</w:t>
            </w:r>
            <w:r>
              <w:rPr>
                <w:rFonts w:hint="eastAsia" w:ascii="仿宋_GB2312" w:hAnsi="宋体" w:eastAsia="仿宋_GB2312" w:cs="宋体"/>
                <w:color w:val="auto"/>
                <w:sz w:val="24"/>
                <w:highlight w:val="none"/>
                <w:lang w:eastAsia="zh-CN"/>
              </w:rPr>
              <w:t>竞争性磋商文件</w:t>
            </w:r>
            <w:r>
              <w:rPr>
                <w:rFonts w:hint="eastAsia" w:ascii="仿宋_GB2312" w:hAnsi="宋体" w:eastAsia="仿宋_GB2312" w:cs="宋体"/>
                <w:color w:val="auto"/>
                <w:sz w:val="24"/>
                <w:highlight w:val="none"/>
              </w:rPr>
              <w:t>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vAlign w:val="center"/>
          </w:tcPr>
          <w:p>
            <w:pPr>
              <w:spacing w:line="500" w:lineRule="exact"/>
              <w:jc w:val="center"/>
              <w:rPr>
                <w:rFonts w:ascii="仿宋_GB2312" w:hAnsi="宋体" w:eastAsia="仿宋_GB2312" w:cs="宋体"/>
                <w:color w:val="auto"/>
                <w:kern w:val="0"/>
                <w:sz w:val="24"/>
                <w:highlight w:val="none"/>
              </w:rPr>
            </w:pPr>
          </w:p>
        </w:tc>
        <w:tc>
          <w:tcPr>
            <w:tcW w:w="1151" w:type="dxa"/>
            <w:vMerge w:val="continue"/>
            <w:vAlign w:val="center"/>
          </w:tcPr>
          <w:p>
            <w:pPr>
              <w:spacing w:line="500" w:lineRule="exact"/>
              <w:rPr>
                <w:rFonts w:ascii="仿宋_GB2312" w:hAnsi="宋体" w:eastAsia="仿宋_GB2312" w:cs="宋体"/>
                <w:color w:val="auto"/>
                <w:kern w:val="0"/>
                <w:sz w:val="24"/>
                <w:highlight w:val="none"/>
              </w:rPr>
            </w:pPr>
          </w:p>
        </w:tc>
        <w:tc>
          <w:tcPr>
            <w:tcW w:w="1955"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质量技术</w:t>
            </w:r>
          </w:p>
        </w:tc>
        <w:tc>
          <w:tcPr>
            <w:tcW w:w="6284"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满足</w:t>
            </w:r>
            <w:r>
              <w:rPr>
                <w:rFonts w:hint="eastAsia" w:ascii="仿宋_GB2312" w:hAnsi="宋体" w:eastAsia="仿宋_GB2312" w:cs="宋体"/>
                <w:color w:val="auto"/>
                <w:kern w:val="0"/>
                <w:sz w:val="24"/>
                <w:highlight w:val="none"/>
                <w:lang w:eastAsia="zh-CN"/>
              </w:rPr>
              <w:t>竞争性磋商文件</w:t>
            </w:r>
            <w:r>
              <w:rPr>
                <w:rFonts w:hint="eastAsia" w:ascii="仿宋_GB2312" w:hAnsi="宋体" w:eastAsia="仿宋_GB2312" w:cs="宋体"/>
                <w:color w:val="auto"/>
                <w:kern w:val="0"/>
                <w:sz w:val="24"/>
                <w:highlight w:val="none"/>
              </w:rPr>
              <w:t>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vAlign w:val="center"/>
          </w:tcPr>
          <w:p>
            <w:pPr>
              <w:spacing w:line="500" w:lineRule="exact"/>
              <w:jc w:val="center"/>
              <w:rPr>
                <w:rFonts w:ascii="仿宋_GB2312" w:hAnsi="宋体" w:eastAsia="仿宋_GB2312" w:cs="宋体"/>
                <w:color w:val="auto"/>
                <w:kern w:val="0"/>
                <w:sz w:val="24"/>
                <w:highlight w:val="none"/>
              </w:rPr>
            </w:pPr>
          </w:p>
        </w:tc>
        <w:tc>
          <w:tcPr>
            <w:tcW w:w="1151" w:type="dxa"/>
            <w:vMerge w:val="continue"/>
            <w:vAlign w:val="center"/>
          </w:tcPr>
          <w:p>
            <w:pPr>
              <w:spacing w:line="500" w:lineRule="exact"/>
              <w:rPr>
                <w:rFonts w:ascii="仿宋_GB2312" w:hAnsi="宋体" w:eastAsia="仿宋_GB2312" w:cs="宋体"/>
                <w:color w:val="auto"/>
                <w:kern w:val="0"/>
                <w:sz w:val="24"/>
                <w:highlight w:val="none"/>
              </w:rPr>
            </w:pPr>
          </w:p>
        </w:tc>
        <w:tc>
          <w:tcPr>
            <w:tcW w:w="1955"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服务期限</w:t>
            </w:r>
          </w:p>
        </w:tc>
        <w:tc>
          <w:tcPr>
            <w:tcW w:w="6284"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满足</w:t>
            </w:r>
            <w:r>
              <w:rPr>
                <w:rFonts w:hint="eastAsia" w:ascii="仿宋_GB2312" w:hAnsi="宋体" w:eastAsia="仿宋_GB2312" w:cs="宋体"/>
                <w:color w:val="auto"/>
                <w:kern w:val="0"/>
                <w:sz w:val="24"/>
                <w:highlight w:val="none"/>
                <w:lang w:eastAsia="zh-CN"/>
              </w:rPr>
              <w:t>竞争性磋商文件</w:t>
            </w:r>
            <w:r>
              <w:rPr>
                <w:rFonts w:hint="eastAsia" w:ascii="仿宋_GB2312" w:hAnsi="宋体" w:eastAsia="仿宋_GB2312" w:cs="仿宋_GB2312"/>
                <w:color w:val="auto"/>
                <w:sz w:val="24"/>
                <w:highlight w:val="none"/>
                <w:lang w:val="zh-CN"/>
              </w:rPr>
              <w:t>规定</w:t>
            </w:r>
            <w:r>
              <w:rPr>
                <w:rFonts w:hint="eastAsia" w:ascii="仿宋_GB2312" w:hAnsi="宋体" w:eastAsia="仿宋_GB2312"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vAlign w:val="center"/>
          </w:tcPr>
          <w:p>
            <w:pPr>
              <w:spacing w:line="500" w:lineRule="exact"/>
              <w:jc w:val="center"/>
              <w:rPr>
                <w:rFonts w:ascii="仿宋_GB2312" w:hAnsi="宋体" w:eastAsia="仿宋_GB2312" w:cs="宋体"/>
                <w:color w:val="auto"/>
                <w:kern w:val="0"/>
                <w:sz w:val="24"/>
                <w:highlight w:val="none"/>
              </w:rPr>
            </w:pPr>
          </w:p>
        </w:tc>
        <w:tc>
          <w:tcPr>
            <w:tcW w:w="1151" w:type="dxa"/>
            <w:vMerge w:val="continue"/>
            <w:vAlign w:val="center"/>
          </w:tcPr>
          <w:p>
            <w:pPr>
              <w:spacing w:line="500" w:lineRule="exact"/>
              <w:rPr>
                <w:rFonts w:ascii="仿宋_GB2312" w:hAnsi="宋体" w:eastAsia="仿宋_GB2312" w:cs="仿宋_GB2312"/>
                <w:color w:val="auto"/>
                <w:sz w:val="24"/>
                <w:highlight w:val="none"/>
                <w:lang w:val="zh-CN"/>
              </w:rPr>
            </w:pPr>
          </w:p>
        </w:tc>
        <w:tc>
          <w:tcPr>
            <w:tcW w:w="1955"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仿宋_GB2312"/>
                <w:color w:val="auto"/>
                <w:sz w:val="24"/>
                <w:highlight w:val="none"/>
                <w:lang w:val="zh-CN"/>
              </w:rPr>
              <w:t>响应文件</w:t>
            </w:r>
            <w:r>
              <w:rPr>
                <w:rFonts w:hint="eastAsia" w:ascii="仿宋_GB2312" w:hAnsi="宋体" w:eastAsia="仿宋_GB2312" w:cs="宋体"/>
                <w:color w:val="auto"/>
                <w:kern w:val="0"/>
                <w:sz w:val="24"/>
                <w:highlight w:val="none"/>
              </w:rPr>
              <w:t>有效期</w:t>
            </w:r>
          </w:p>
        </w:tc>
        <w:tc>
          <w:tcPr>
            <w:tcW w:w="6284" w:type="dxa"/>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满足</w:t>
            </w:r>
            <w:r>
              <w:rPr>
                <w:rFonts w:hint="eastAsia" w:ascii="仿宋_GB2312" w:hAnsi="宋体" w:eastAsia="仿宋_GB2312" w:cs="宋体"/>
                <w:color w:val="auto"/>
                <w:kern w:val="0"/>
                <w:sz w:val="24"/>
                <w:highlight w:val="none"/>
                <w:lang w:eastAsia="zh-CN"/>
              </w:rPr>
              <w:t>竞争性磋商文件</w:t>
            </w:r>
            <w:r>
              <w:rPr>
                <w:rFonts w:hint="eastAsia" w:ascii="仿宋_GB2312" w:hAnsi="宋体" w:eastAsia="仿宋_GB2312" w:cs="仿宋_GB2312"/>
                <w:color w:val="auto"/>
                <w:sz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3" w:type="dxa"/>
            <w:vMerge w:val="continue"/>
            <w:tcBorders>
              <w:bottom w:val="single" w:color="auto" w:sz="4" w:space="0"/>
            </w:tcBorders>
            <w:vAlign w:val="center"/>
          </w:tcPr>
          <w:p>
            <w:pPr>
              <w:spacing w:line="500" w:lineRule="exact"/>
              <w:jc w:val="center"/>
              <w:rPr>
                <w:rFonts w:ascii="仿宋_GB2312" w:hAnsi="宋体" w:eastAsia="仿宋_GB2312" w:cs="宋体"/>
                <w:color w:val="auto"/>
                <w:kern w:val="0"/>
                <w:sz w:val="24"/>
                <w:highlight w:val="none"/>
              </w:rPr>
            </w:pPr>
          </w:p>
        </w:tc>
        <w:tc>
          <w:tcPr>
            <w:tcW w:w="1151" w:type="dxa"/>
            <w:vMerge w:val="continue"/>
            <w:tcBorders>
              <w:bottom w:val="single" w:color="auto" w:sz="4" w:space="0"/>
            </w:tcBorders>
            <w:vAlign w:val="center"/>
          </w:tcPr>
          <w:p>
            <w:pPr>
              <w:spacing w:line="500" w:lineRule="exact"/>
              <w:rPr>
                <w:rFonts w:ascii="仿宋_GB2312" w:hAnsi="宋体" w:eastAsia="仿宋_GB2312" w:cs="仿宋_GB2312"/>
                <w:color w:val="auto"/>
                <w:sz w:val="24"/>
                <w:highlight w:val="none"/>
                <w:lang w:val="zh-CN"/>
              </w:rPr>
            </w:pPr>
          </w:p>
        </w:tc>
        <w:tc>
          <w:tcPr>
            <w:tcW w:w="1955" w:type="dxa"/>
            <w:tcBorders>
              <w:bottom w:val="single" w:color="auto" w:sz="4" w:space="0"/>
            </w:tcBorders>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其他</w:t>
            </w:r>
          </w:p>
        </w:tc>
        <w:tc>
          <w:tcPr>
            <w:tcW w:w="6284" w:type="dxa"/>
            <w:tcBorders>
              <w:bottom w:val="single" w:color="auto" w:sz="4" w:space="0"/>
            </w:tcBorders>
            <w:vAlign w:val="center"/>
          </w:tcPr>
          <w:p>
            <w:pPr>
              <w:spacing w:line="5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满足</w:t>
            </w:r>
            <w:r>
              <w:rPr>
                <w:rFonts w:hint="eastAsia" w:ascii="仿宋_GB2312" w:hAnsi="宋体" w:eastAsia="仿宋_GB2312" w:cs="宋体"/>
                <w:color w:val="auto"/>
                <w:kern w:val="0"/>
                <w:sz w:val="24"/>
                <w:highlight w:val="none"/>
                <w:lang w:eastAsia="zh-CN"/>
              </w:rPr>
              <w:t>竞争性磋商文件</w:t>
            </w:r>
            <w:r>
              <w:rPr>
                <w:rFonts w:hint="eastAsia" w:ascii="仿宋_GB2312" w:hAnsi="宋体" w:eastAsia="仿宋_GB2312" w:cs="宋体"/>
                <w:color w:val="auto"/>
                <w:kern w:val="0"/>
                <w:sz w:val="24"/>
                <w:highlight w:val="none"/>
              </w:rPr>
              <w:t>相关</w:t>
            </w:r>
            <w:r>
              <w:rPr>
                <w:rFonts w:hint="eastAsia" w:ascii="仿宋_GB2312" w:hAnsi="宋体" w:eastAsia="仿宋_GB2312" w:cs="仿宋_GB2312"/>
                <w:color w:val="auto"/>
                <w:sz w:val="24"/>
                <w:highlight w:val="none"/>
                <w:lang w:val="zh-CN"/>
              </w:rPr>
              <w:t>规定。</w:t>
            </w:r>
          </w:p>
        </w:tc>
      </w:tr>
    </w:tbl>
    <w:p>
      <w:pPr>
        <w:spacing w:line="360" w:lineRule="auto"/>
        <w:rPr>
          <w:rFonts w:ascii="仿宋_GB2312" w:eastAsia="仿宋_GB2312"/>
          <w:b/>
          <w:bCs/>
          <w:color w:val="auto"/>
          <w:sz w:val="28"/>
          <w:szCs w:val="28"/>
          <w:highlight w:val="none"/>
        </w:rPr>
      </w:pPr>
    </w:p>
    <w:p>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注：未通过</w:t>
      </w:r>
      <w:r>
        <w:rPr>
          <w:rFonts w:ascii="仿宋_GB2312" w:eastAsia="仿宋_GB2312" w:cs="黑体"/>
          <w:b/>
          <w:color w:val="auto"/>
          <w:sz w:val="24"/>
          <w:szCs w:val="22"/>
          <w:highlight w:val="none"/>
        </w:rPr>
        <w:t>初审</w:t>
      </w:r>
      <w:r>
        <w:rPr>
          <w:rFonts w:hint="eastAsia" w:ascii="仿宋_GB2312" w:eastAsia="仿宋_GB2312"/>
          <w:b/>
          <w:color w:val="auto"/>
          <w:sz w:val="24"/>
          <w:highlight w:val="none"/>
        </w:rPr>
        <w:t>的其响应文件将按照无效响应处理。</w:t>
      </w:r>
    </w:p>
    <w:p>
      <w:pPr>
        <w:widowControl/>
        <w:jc w:val="left"/>
        <w:rPr>
          <w:rFonts w:ascii="仿宋_GB2312" w:eastAsia="仿宋_GB2312"/>
          <w:b/>
          <w:bCs/>
          <w:color w:val="auto"/>
          <w:sz w:val="28"/>
          <w:szCs w:val="28"/>
          <w:highlight w:val="none"/>
        </w:rPr>
      </w:pPr>
    </w:p>
    <w:p>
      <w:pPr>
        <w:pStyle w:val="2"/>
        <w:rPr>
          <w:color w:val="auto"/>
          <w:highlight w:val="none"/>
        </w:rPr>
      </w:pPr>
    </w:p>
    <w:p>
      <w:pPr>
        <w:widowControl/>
        <w:jc w:val="left"/>
        <w:rPr>
          <w:rFonts w:ascii="仿宋_GB2312" w:eastAsia="仿宋_GB2312"/>
          <w:b/>
          <w:bCs/>
          <w:color w:val="auto"/>
          <w:sz w:val="28"/>
          <w:szCs w:val="28"/>
          <w:highlight w:val="none"/>
        </w:rPr>
      </w:pPr>
    </w:p>
    <w:p>
      <w:pPr>
        <w:widowControl/>
        <w:jc w:val="left"/>
        <w:rPr>
          <w:rFonts w:ascii="仿宋_GB2312" w:eastAsia="仿宋_GB2312"/>
          <w:b/>
          <w:bCs/>
          <w:color w:val="auto"/>
          <w:sz w:val="28"/>
          <w:szCs w:val="28"/>
          <w:highlight w:val="none"/>
        </w:rPr>
      </w:pPr>
    </w:p>
    <w:p>
      <w:pPr>
        <w:widowControl/>
        <w:jc w:val="left"/>
        <w:rPr>
          <w:rFonts w:ascii="仿宋_GB2312" w:eastAsia="仿宋_GB2312"/>
          <w:b/>
          <w:bCs/>
          <w:color w:val="auto"/>
          <w:sz w:val="28"/>
          <w:szCs w:val="28"/>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pStyle w:val="2"/>
        <w:rPr>
          <w:color w:val="auto"/>
          <w:sz w:val="28"/>
          <w:szCs w:val="28"/>
          <w:highlight w:val="none"/>
        </w:rPr>
      </w:pPr>
      <w:r>
        <w:rPr>
          <w:rFonts w:hint="eastAsia"/>
          <w:color w:val="auto"/>
          <w:sz w:val="28"/>
          <w:szCs w:val="28"/>
          <w:highlight w:val="none"/>
        </w:rPr>
        <w:t>二 、评审内容</w:t>
      </w:r>
    </w:p>
    <w:tbl>
      <w:tblPr>
        <w:tblStyle w:val="28"/>
        <w:tblpPr w:leftFromText="180" w:rightFromText="180" w:vertAnchor="text" w:horzAnchor="page" w:tblpX="1141" w:tblpY="238"/>
        <w:tblOverlap w:val="never"/>
        <w:tblW w:w="10219" w:type="dxa"/>
        <w:tblInd w:w="0" w:type="dxa"/>
        <w:tblLayout w:type="fixed"/>
        <w:tblCellMar>
          <w:top w:w="0" w:type="dxa"/>
          <w:left w:w="0" w:type="dxa"/>
          <w:bottom w:w="0" w:type="dxa"/>
          <w:right w:w="0" w:type="dxa"/>
        </w:tblCellMar>
      </w:tblPr>
      <w:tblGrid>
        <w:gridCol w:w="546"/>
        <w:gridCol w:w="1255"/>
        <w:gridCol w:w="7753"/>
        <w:gridCol w:w="665"/>
      </w:tblGrid>
      <w:tr>
        <w:tblPrEx>
          <w:tblCellMar>
            <w:top w:w="0" w:type="dxa"/>
            <w:left w:w="0" w:type="dxa"/>
            <w:bottom w:w="0" w:type="dxa"/>
            <w:right w:w="0" w:type="dxa"/>
          </w:tblCellMar>
        </w:tblPrEx>
        <w:trPr>
          <w:trHeight w:val="665" w:hRule="atLeast"/>
        </w:trPr>
        <w:tc>
          <w:tcPr>
            <w:tcW w:w="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序号</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评分项</w:t>
            </w: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评标标准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分值范围</w:t>
            </w:r>
          </w:p>
        </w:tc>
      </w:tr>
      <w:tr>
        <w:tblPrEx>
          <w:tblCellMar>
            <w:top w:w="0" w:type="dxa"/>
            <w:left w:w="0" w:type="dxa"/>
            <w:bottom w:w="0" w:type="dxa"/>
            <w:right w:w="0" w:type="dxa"/>
          </w:tblCellMar>
        </w:tblPrEx>
        <w:trPr>
          <w:trHeight w:val="1497" w:hRule="atLeast"/>
        </w:trPr>
        <w:tc>
          <w:tcPr>
            <w:tcW w:w="54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125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报价分   （20分）</w:t>
            </w: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满足采购文件要求且最终所报承诺月结算价下浮率（%）最低（如10%为低，8%为高）的供应商的下浮率其价格分为基准价，得20分。其他供应商的报价得分统一按照下列公式计算：</w:t>
            </w:r>
          </w:p>
          <w:p>
            <w:pPr>
              <w:keepNext w:val="0"/>
              <w:keepLines w:val="0"/>
              <w:pageBreakBefore w:val="0"/>
              <w:kinsoku/>
              <w:wordWrap/>
              <w:overflowPunct/>
              <w:topLinePunct w:val="0"/>
              <w:autoSpaceDE/>
              <w:autoSpaceDN/>
              <w:bidi w:val="0"/>
              <w:adjustRightInd/>
              <w:snapToGrid/>
              <w:spacing w:line="280" w:lineRule="exact"/>
              <w:outlineLvl w:val="9"/>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szCs w:val="24"/>
                <w:highlight w:val="none"/>
                <w:lang w:val="en-US" w:eastAsia="zh-CN"/>
              </w:rPr>
              <w:t>承诺下浮率（%）得分=【（1-下浮率最低值）/（1-供应商所报下浮率）】×20%×100。</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szCs w:val="24"/>
                <w:highlight w:val="none"/>
                <w:lang w:val="en-US" w:eastAsia="zh-CN"/>
              </w:rPr>
              <w:t>0-20</w:t>
            </w:r>
          </w:p>
        </w:tc>
      </w:tr>
      <w:tr>
        <w:tblPrEx>
          <w:tblCellMar>
            <w:top w:w="0" w:type="dxa"/>
            <w:left w:w="0" w:type="dxa"/>
            <w:bottom w:w="0" w:type="dxa"/>
            <w:right w:w="0" w:type="dxa"/>
          </w:tblCellMar>
        </w:tblPrEx>
        <w:trPr>
          <w:trHeight w:val="3866" w:hRule="atLeast"/>
        </w:trPr>
        <w:tc>
          <w:tcPr>
            <w:tcW w:w="5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w:t>
            </w:r>
          </w:p>
        </w:tc>
        <w:tc>
          <w:tcPr>
            <w:tcW w:w="12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企业综合实力、业绩  （25分）</w:t>
            </w: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评标现场在信合联服网站查询（网址：http://www.xhlfzx.com.cn/）：</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1、信用等级为AAA，得5分；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2、信用等级为AA，得4.5分；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3、信用等级为A，得4分；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4、信用等级为BBB，得3.5分；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5、信用等级为BB，得3分；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6、信用等级为B，得2.5分；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7、信用等级为CCC，得2分；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8、信用等级为CC，得1.5分；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9、信用等级为C，得1分；</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10、信用等级为D，取消其投标资格；</w:t>
            </w:r>
            <w:r>
              <w:rPr>
                <w:rFonts w:hint="eastAsia" w:ascii="仿宋_GB2312" w:hAnsi="仿宋_GB2312" w:eastAsia="仿宋_GB2312" w:cs="仿宋_GB2312"/>
                <w:color w:val="auto"/>
                <w:kern w:val="0"/>
                <w:sz w:val="24"/>
                <w:highlight w:val="none"/>
              </w:rPr>
              <w:br w:type="textWrapping"/>
            </w:r>
            <w:r>
              <w:rPr>
                <w:rFonts w:hint="eastAsia" w:ascii="仿宋_GB2312" w:hAnsi="仿宋_GB2312" w:eastAsia="仿宋_GB2312" w:cs="仿宋_GB2312"/>
                <w:color w:val="auto"/>
                <w:kern w:val="0"/>
                <w:sz w:val="24"/>
                <w:highlight w:val="none"/>
              </w:rPr>
              <w:t>11、未取得信用等级评定的，此项不得分。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90"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中药配方颗粒研究实验室级别-有国家级CNAS实验室的得5分，没有此项不得分。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90"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中药配方颗粒研究获奖奖项-有国家级科学进步奖得5分，没有此项不得分。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291"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供应商有院士工作站得5分，没有此项不得分。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291"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供应商在全国中医院（包含中西医结合医院）使用配方颗粒的医院数量超过20家的得5分，15-20家的得2分，低于15家的不得分。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516" w:hRule="atLeast"/>
        </w:trPr>
        <w:tc>
          <w:tcPr>
            <w:tcW w:w="5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w:t>
            </w:r>
          </w:p>
        </w:tc>
        <w:tc>
          <w:tcPr>
            <w:tcW w:w="12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服务方案与保障</w:t>
            </w:r>
          </w:p>
          <w:p>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50</w:t>
            </w:r>
            <w:r>
              <w:rPr>
                <w:rFonts w:hint="eastAsia" w:ascii="仿宋_GB2312" w:hAnsi="仿宋_GB2312" w:eastAsia="仿宋_GB2312" w:cs="仿宋_GB2312"/>
                <w:color w:val="auto"/>
                <w:kern w:val="0"/>
                <w:sz w:val="24"/>
                <w:highlight w:val="none"/>
              </w:rPr>
              <w:t>分）</w:t>
            </w: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供应商获得国家“现代中药配方颗粒特色产业基地”称号的得5分，没有此项不得分。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0-</w:t>
            </w:r>
            <w:r>
              <w:rPr>
                <w:rFonts w:hint="eastAsia" w:ascii="仿宋_GB2312" w:hAnsi="仿宋_GB2312" w:eastAsia="仿宋_GB2312" w:cs="仿宋_GB2312"/>
                <w:color w:val="auto"/>
                <w:kern w:val="0"/>
                <w:sz w:val="24"/>
                <w:highlight w:val="none"/>
                <w:lang w:val="en-US" w:eastAsia="zh-CN"/>
              </w:rPr>
              <w:t>5</w:t>
            </w:r>
          </w:p>
        </w:tc>
      </w:tr>
      <w:tr>
        <w:tblPrEx>
          <w:tblCellMar>
            <w:top w:w="0" w:type="dxa"/>
            <w:left w:w="0" w:type="dxa"/>
            <w:bottom w:w="0" w:type="dxa"/>
            <w:right w:w="0" w:type="dxa"/>
          </w:tblCellMar>
        </w:tblPrEx>
        <w:trPr>
          <w:trHeight w:val="231"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省级药检所质量标准复核品种超过550种的得5分，500-550种的得3分，400种以下的得1分。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345"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_GB2312" w:hAnsi="宋体" w:eastAsia="仿宋_GB2312" w:cs="宋体"/>
                <w:b/>
                <w:bCs/>
                <w:color w:val="auto"/>
                <w:kern w:val="0"/>
                <w:sz w:val="24"/>
                <w:highlight w:val="none"/>
              </w:rPr>
            </w:pPr>
            <w:r>
              <w:rPr>
                <w:rFonts w:hint="eastAsia" w:ascii="仿宋_GB2312" w:hAnsi="仿宋_GB2312" w:eastAsia="仿宋_GB2312" w:cs="仿宋_GB2312"/>
                <w:color w:val="auto"/>
                <w:kern w:val="0"/>
                <w:sz w:val="24"/>
                <w:highlight w:val="none"/>
              </w:rPr>
              <w:t>供应商具有质量管理、环境管理体系认证的得5分，只有其中一项的得2分。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0-</w:t>
            </w:r>
            <w:r>
              <w:rPr>
                <w:rFonts w:hint="eastAsia" w:ascii="仿宋_GB2312" w:hAnsi="仿宋_GB2312" w:eastAsia="仿宋_GB2312" w:cs="仿宋_GB2312"/>
                <w:color w:val="auto"/>
                <w:kern w:val="0"/>
                <w:sz w:val="24"/>
                <w:highlight w:val="none"/>
                <w:lang w:val="en-US" w:eastAsia="zh-CN"/>
              </w:rPr>
              <w:t>5</w:t>
            </w:r>
          </w:p>
        </w:tc>
      </w:tr>
      <w:tr>
        <w:tblPrEx>
          <w:tblCellMar>
            <w:top w:w="0" w:type="dxa"/>
            <w:left w:w="0" w:type="dxa"/>
            <w:bottom w:w="0" w:type="dxa"/>
            <w:right w:w="0" w:type="dxa"/>
          </w:tblCellMar>
        </w:tblPrEx>
        <w:trPr>
          <w:trHeight w:val="296"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供应商参与国家质量标准制定的得5分，没有的此项不得分</w:t>
            </w:r>
            <w:r>
              <w:rPr>
                <w:rFonts w:hint="eastAsia" w:ascii="仿宋_GB2312" w:hAnsi="仿宋_GB2312" w:eastAsia="仿宋_GB2312" w:cs="仿宋_GB2312"/>
                <w:color w:val="auto"/>
                <w:kern w:val="0"/>
                <w:sz w:val="24"/>
                <w:highlight w:val="none"/>
              </w:rPr>
              <w:t>。</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107"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产品包装袋便查信息-每袋产品有二维码便查信息的得</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分，没有的此项不得分。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0-</w:t>
            </w:r>
            <w:r>
              <w:rPr>
                <w:rFonts w:hint="eastAsia" w:ascii="仿宋_GB2312" w:hAnsi="仿宋_GB2312" w:eastAsia="仿宋_GB2312" w:cs="仿宋_GB2312"/>
                <w:color w:val="auto"/>
                <w:kern w:val="0"/>
                <w:sz w:val="24"/>
                <w:highlight w:val="none"/>
                <w:lang w:val="en-US" w:eastAsia="zh-CN"/>
              </w:rPr>
              <w:t>3</w:t>
            </w:r>
          </w:p>
        </w:tc>
      </w:tr>
      <w:tr>
        <w:tblPrEx>
          <w:tblCellMar>
            <w:top w:w="0" w:type="dxa"/>
            <w:left w:w="0" w:type="dxa"/>
            <w:bottom w:w="0" w:type="dxa"/>
            <w:right w:w="0" w:type="dxa"/>
          </w:tblCellMar>
        </w:tblPrEx>
        <w:trPr>
          <w:trHeight w:val="290"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供应商能够提供全面专业的学术服务及学术支持，协助搭建医院间学术交流、医学支持平台得8分，其他学术服务得4分,无学术0分。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0-8</w:t>
            </w:r>
          </w:p>
        </w:tc>
      </w:tr>
      <w:tr>
        <w:tblPrEx>
          <w:tblCellMar>
            <w:top w:w="0" w:type="dxa"/>
            <w:left w:w="0" w:type="dxa"/>
            <w:bottom w:w="0" w:type="dxa"/>
            <w:right w:w="0" w:type="dxa"/>
          </w:tblCellMar>
        </w:tblPrEx>
        <w:trPr>
          <w:trHeight w:val="345"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提供调配机、药房设计装修等；调配系统智能化程度，提供调配机、药房设计装修的得3分，不提供0分；调配系统智能化程度（处方付数及服用次数灵活调配、便捷性、无药品交叉污染等）的得2分，其次得1分，其他得0分。此项分值可累加，最多得5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146"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775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ascii="仿宋_GB2312" w:hAnsi="仿宋_GB2312" w:eastAsia="仿宋_GB2312" w:cs="仿宋_GB2312"/>
                <w:color w:val="auto"/>
                <w:kern w:val="0"/>
                <w:sz w:val="24"/>
                <w:highlight w:val="none"/>
              </w:rPr>
              <w:t>有膏方推进实施方案得2分，没有膏方方案不得分</w:t>
            </w:r>
            <w:r>
              <w:rPr>
                <w:rFonts w:hint="eastAsia" w:ascii="仿宋_GB2312" w:hAnsi="仿宋_GB2312" w:eastAsia="仿宋_GB2312" w:cs="仿宋_GB2312"/>
                <w:color w:val="auto"/>
                <w:kern w:val="0"/>
                <w:sz w:val="24"/>
                <w:highlight w:val="none"/>
              </w:rPr>
              <w:t>。</w:t>
            </w:r>
          </w:p>
        </w:tc>
        <w:tc>
          <w:tcPr>
            <w:tcW w:w="66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0-2</w:t>
            </w:r>
          </w:p>
        </w:tc>
      </w:tr>
      <w:tr>
        <w:tblPrEx>
          <w:tblCellMar>
            <w:top w:w="0" w:type="dxa"/>
            <w:left w:w="0" w:type="dxa"/>
            <w:bottom w:w="0" w:type="dxa"/>
            <w:right w:w="0" w:type="dxa"/>
          </w:tblCellMar>
        </w:tblPrEx>
        <w:trPr>
          <w:trHeight w:val="456"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775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品牌知名度高，获得驰名商标的得4分，没有不得分。</w:t>
            </w:r>
          </w:p>
        </w:tc>
        <w:tc>
          <w:tcPr>
            <w:tcW w:w="66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0-4</w:t>
            </w:r>
          </w:p>
        </w:tc>
      </w:tr>
      <w:tr>
        <w:tblPrEx>
          <w:tblCellMar>
            <w:top w:w="0" w:type="dxa"/>
            <w:left w:w="0" w:type="dxa"/>
            <w:bottom w:w="0" w:type="dxa"/>
            <w:right w:w="0" w:type="dxa"/>
          </w:tblCellMar>
        </w:tblPrEx>
        <w:trPr>
          <w:trHeight w:val="346"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w:t>
            </w:r>
            <w:r>
              <w:rPr>
                <w:rFonts w:ascii="仿宋_GB2312" w:hAnsi="仿宋_GB2312" w:eastAsia="仿宋_GB2312" w:cs="仿宋_GB2312"/>
                <w:color w:val="auto"/>
                <w:kern w:val="0"/>
                <w:sz w:val="24"/>
                <w:highlight w:val="none"/>
              </w:rPr>
              <w:t>具有独立中药炮制生产线得</w:t>
            </w:r>
            <w:r>
              <w:rPr>
                <w:rFonts w:hint="eastAsia" w:ascii="仿宋_GB2312" w:hAnsi="仿宋_GB2312" w:eastAsia="仿宋_GB2312" w:cs="仿宋_GB2312"/>
                <w:color w:val="auto"/>
                <w:kern w:val="0"/>
                <w:sz w:val="24"/>
                <w:highlight w:val="none"/>
              </w:rPr>
              <w:t>2</w:t>
            </w:r>
            <w:r>
              <w:rPr>
                <w:rFonts w:ascii="仿宋_GB2312" w:hAnsi="仿宋_GB2312" w:eastAsia="仿宋_GB2312" w:cs="仿宋_GB2312"/>
                <w:color w:val="auto"/>
                <w:kern w:val="0"/>
                <w:sz w:val="24"/>
                <w:highlight w:val="none"/>
              </w:rPr>
              <w:t>分；</w:t>
            </w:r>
            <w:r>
              <w:rPr>
                <w:rFonts w:hint="eastAsia" w:ascii="仿宋_GB2312" w:hAnsi="仿宋_GB2312" w:eastAsia="仿宋_GB2312" w:cs="仿宋_GB2312"/>
                <w:color w:val="auto"/>
                <w:kern w:val="0"/>
                <w:sz w:val="24"/>
                <w:highlight w:val="none"/>
              </w:rPr>
              <w:t>具有毒性中药材炮制资质的得1分，</w:t>
            </w:r>
            <w:r>
              <w:rPr>
                <w:rFonts w:ascii="仿宋_GB2312" w:hAnsi="仿宋_GB2312" w:eastAsia="仿宋_GB2312" w:cs="仿宋_GB2312"/>
                <w:color w:val="auto"/>
                <w:kern w:val="0"/>
                <w:sz w:val="24"/>
                <w:highlight w:val="none"/>
              </w:rPr>
              <w:t>没有0分</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rPr>
              <w:t>此小项分值可累加。</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0-3</w:t>
            </w:r>
          </w:p>
        </w:tc>
      </w:tr>
      <w:tr>
        <w:tblPrEx>
          <w:tblCellMar>
            <w:top w:w="0" w:type="dxa"/>
            <w:left w:w="0" w:type="dxa"/>
            <w:bottom w:w="0" w:type="dxa"/>
            <w:right w:w="0" w:type="dxa"/>
          </w:tblCellMar>
        </w:tblPrEx>
        <w:trPr>
          <w:trHeight w:val="346"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GMP认证通过国际、国家双认证得2分，单认证得1分。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0-2</w:t>
            </w:r>
          </w:p>
        </w:tc>
      </w:tr>
      <w:tr>
        <w:tblPrEx>
          <w:tblCellMar>
            <w:top w:w="0" w:type="dxa"/>
            <w:left w:w="0" w:type="dxa"/>
            <w:bottom w:w="0" w:type="dxa"/>
            <w:right w:w="0" w:type="dxa"/>
          </w:tblCellMar>
        </w:tblPrEx>
        <w:trPr>
          <w:trHeight w:val="326" w:hRule="atLeast"/>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12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77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提供产品生产在线监控点得</w:t>
            </w:r>
            <w:r>
              <w:rPr>
                <w:rFonts w:hint="eastAsia" w:ascii="仿宋_GB2312" w:hAnsi="仿宋_GB2312" w:eastAsia="仿宋_GB2312" w:cs="仿宋_GB2312"/>
                <w:color w:val="auto"/>
                <w:kern w:val="0"/>
                <w:sz w:val="24"/>
                <w:highlight w:val="none"/>
              </w:rPr>
              <w:t>1分。</w:t>
            </w:r>
          </w:p>
        </w:tc>
        <w:tc>
          <w:tcPr>
            <w:tcW w:w="6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0-1</w:t>
            </w:r>
          </w:p>
        </w:tc>
      </w:tr>
      <w:tr>
        <w:tblPrEx>
          <w:tblCellMar>
            <w:top w:w="0" w:type="dxa"/>
            <w:left w:w="0" w:type="dxa"/>
            <w:bottom w:w="0" w:type="dxa"/>
            <w:right w:w="0" w:type="dxa"/>
          </w:tblCellMar>
        </w:tblPrEx>
        <w:trPr>
          <w:trHeight w:val="122" w:hRule="atLeast"/>
        </w:trPr>
        <w:tc>
          <w:tcPr>
            <w:tcW w:w="546" w:type="dxa"/>
            <w:vMerge w:val="continue"/>
            <w:tcBorders>
              <w:left w:val="single" w:color="000000" w:sz="4" w:space="0"/>
              <w:bottom w:val="single" w:color="000000" w:sz="6"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1255" w:type="dxa"/>
            <w:vMerge w:val="continue"/>
            <w:tcBorders>
              <w:left w:val="single" w:color="000000" w:sz="4" w:space="0"/>
              <w:bottom w:val="single" w:color="000000" w:sz="6"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p>
        </w:tc>
        <w:tc>
          <w:tcPr>
            <w:tcW w:w="7753" w:type="dxa"/>
            <w:tcBorders>
              <w:top w:val="single" w:color="auto" w:sz="4" w:space="0"/>
              <w:left w:val="single" w:color="000000" w:sz="4" w:space="0"/>
              <w:bottom w:val="single" w:color="000000" w:sz="6" w:space="0"/>
              <w:right w:val="single" w:color="000000" w:sz="4" w:space="0"/>
            </w:tcBorders>
            <w:tcMar>
              <w:top w:w="15" w:type="dxa"/>
              <w:left w:w="15" w:type="dxa"/>
              <w:right w:w="15" w:type="dxa"/>
            </w:tcMar>
            <w:vAlign w:val="center"/>
          </w:tcPr>
          <w:p>
            <w:pPr>
              <w:jc w:val="left"/>
              <w:textAlignment w:val="center"/>
              <w:rPr>
                <w:rFonts w:hint="eastAsia" w:ascii="仿宋_GB2312" w:hAnsi="仿宋_GB2312" w:eastAsia="仿宋_GB2312" w:cs="仿宋_GB2312"/>
                <w:strike/>
                <w:color w:val="auto"/>
                <w:kern w:val="0"/>
                <w:sz w:val="24"/>
                <w:highlight w:val="none"/>
              </w:rPr>
            </w:pPr>
            <w:r>
              <w:rPr>
                <w:rFonts w:hint="eastAsia" w:ascii="仿宋_GB2312" w:hAnsi="仿宋_GB2312" w:eastAsia="仿宋_GB2312" w:cs="仿宋_GB2312"/>
                <w:color w:val="auto"/>
                <w:kern w:val="0"/>
                <w:sz w:val="24"/>
                <w:highlight w:val="none"/>
              </w:rPr>
              <w:t>具有基于DNA条码技术的中药材溯源系统得2分</w:t>
            </w:r>
          </w:p>
        </w:tc>
        <w:tc>
          <w:tcPr>
            <w:tcW w:w="6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0-2</w:t>
            </w:r>
          </w:p>
        </w:tc>
      </w:tr>
      <w:tr>
        <w:tblPrEx>
          <w:tblCellMar>
            <w:top w:w="0" w:type="dxa"/>
            <w:left w:w="0" w:type="dxa"/>
            <w:bottom w:w="0" w:type="dxa"/>
            <w:right w:w="0" w:type="dxa"/>
          </w:tblCellMar>
        </w:tblPrEx>
        <w:trPr>
          <w:trHeight w:val="447" w:hRule="atLeast"/>
        </w:trPr>
        <w:tc>
          <w:tcPr>
            <w:tcW w:w="546"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1255"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服务承诺</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分）</w:t>
            </w:r>
          </w:p>
        </w:tc>
        <w:tc>
          <w:tcPr>
            <w:tcW w:w="7753"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供应商能够承诺退换货免费的得3分，提供</w:t>
            </w:r>
            <w:r>
              <w:rPr>
                <w:rFonts w:hint="eastAsia" w:ascii="仿宋_GB2312" w:hAnsi="仿宋_GB2312" w:eastAsia="仿宋_GB2312" w:cs="仿宋_GB2312"/>
                <w:color w:val="auto"/>
                <w:kern w:val="0"/>
                <w:sz w:val="24"/>
                <w:highlight w:val="none"/>
                <w:lang w:eastAsia="zh-CN"/>
              </w:rPr>
              <w:t>经磋商小组认可利于项目实施或者免费提供其他项目增值服务的</w:t>
            </w:r>
            <w:r>
              <w:rPr>
                <w:rFonts w:hint="eastAsia" w:ascii="仿宋_GB2312" w:hAnsi="仿宋_GB2312" w:eastAsia="仿宋_GB2312" w:cs="仿宋_GB2312"/>
                <w:color w:val="auto"/>
                <w:kern w:val="0"/>
                <w:sz w:val="24"/>
                <w:highlight w:val="none"/>
              </w:rPr>
              <w:t>每一项得1分，最高得2分，没有相关承诺此项不得分。</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0-5</w:t>
            </w:r>
          </w:p>
        </w:tc>
      </w:tr>
      <w:tr>
        <w:tblPrEx>
          <w:tblCellMar>
            <w:top w:w="0" w:type="dxa"/>
            <w:left w:w="0" w:type="dxa"/>
            <w:bottom w:w="0" w:type="dxa"/>
            <w:right w:w="0" w:type="dxa"/>
          </w:tblCellMar>
        </w:tblPrEx>
        <w:trPr>
          <w:trHeight w:val="447" w:hRule="atLeast"/>
        </w:trPr>
        <w:tc>
          <w:tcPr>
            <w:tcW w:w="18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得分合计</w:t>
            </w:r>
          </w:p>
        </w:tc>
        <w:tc>
          <w:tcPr>
            <w:tcW w:w="7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auto"/>
                <w:kern w:val="0"/>
                <w:sz w:val="24"/>
                <w:highlight w:val="none"/>
              </w:rPr>
            </w:pP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w:t>
            </w:r>
          </w:p>
        </w:tc>
      </w:tr>
    </w:tbl>
    <w:p>
      <w:pPr>
        <w:spacing w:line="240" w:lineRule="exact"/>
        <w:rPr>
          <w:rFonts w:ascii="仿宋_GB2312" w:eastAsia="仿宋_GB2312"/>
          <w:b/>
          <w:bCs/>
          <w:color w:val="auto"/>
          <w:sz w:val="28"/>
          <w:szCs w:val="28"/>
          <w:highlight w:val="none"/>
        </w:rPr>
      </w:pPr>
    </w:p>
    <w:sectPr>
      <w:headerReference r:id="rId6" w:type="default"/>
      <w:footerReference r:id="rId7" w:type="default"/>
      <w:pgSz w:w="11906" w:h="16838"/>
      <w:pgMar w:top="567" w:right="850" w:bottom="567"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体">
    <w:altName w:val="新宋体"/>
    <w:panose1 w:val="00000000000000000000"/>
    <w:charset w:val="86"/>
    <w:family w:val="roman"/>
    <w:pitch w:val="default"/>
    <w:sig w:usb0="00000000" w:usb1="00000000" w:usb2="0000001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76"/>
        <w:tab w:val="clear" w:pos="4153"/>
      </w:tabs>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19"/>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76"/>
        <w:tab w:val="clear" w:pos="4153"/>
        <w:tab w:val="clear" w:pos="8306"/>
      </w:tabs>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GHPLMBAABZAwAADgAAAGRycy9lMm9Eb2MueG1srVNNrtMwEN4jcQfL&#10;e5q0Ql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1hhzyz&#10;AQAAWQMAAA4AAAAAAAAAAQAgAAAAHgEAAGRycy9lMm9Eb2MueG1sUEsFBgAAAAAGAAYAWQEAAEMF&#10;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wOn70BAABi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77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nA6fvQEAAGIDAAAOAAAAAAAAAAEAIAAAAB4BAABkcnMvZTJvRG9jLnhtbFBLBQYAAAAA&#10;BgAGAFkBAABNBQAAAAA=&#10;">
              <v:fill on="f" focussize="0,0"/>
              <v:stroke on="f"/>
              <v:imagedata o:title=""/>
              <o:lock v:ext="edit" aspectratio="f"/>
              <v:textbox inset="0mm,0mm,0mm,0mm" style="mso-fit-shape-to-text:t;">
                <w:txbxContent>
                  <w:p>
                    <w:pPr>
                      <w:pStyle w:val="19"/>
                    </w:pP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jc w:val="center"/>
                          </w:pPr>
                          <w:r>
                            <w:fldChar w:fldCharType="begin"/>
                          </w:r>
                          <w:r>
                            <w:instrText xml:space="preserve"> PAGE   \* MERGEFORMAT </w:instrText>
                          </w:r>
                          <w:r>
                            <w:fldChar w:fldCharType="separate"/>
                          </w:r>
                          <w:r>
                            <w:rPr>
                              <w:lang w:val="zh-CN"/>
                            </w:rPr>
                            <w:t>61</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Hl1rMBAABZAwAADgAAAGRycy9lMm9Eb2MueG1srVNNrtMwEN4jcQfL&#10;e5q0Al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v+DMC0cjOn/9cv724/z9M3ue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PbB5daz&#10;AQAAWQMAAA4AAAAAAAAAAQAgAAAAHgEAAGRycy9lMm9Eb2MueG1sUEsFBgAAAAAGAAYAWQEAAEMF&#10;AAAAAA==&#10;">
              <v:fill on="f" focussize="0,0"/>
              <v:stroke on="f"/>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rPr>
                      <w:t>61</w:t>
                    </w:r>
                    <w:r>
                      <w:rPr>
                        <w:lang w:val="zh-CN"/>
                      </w:rPr>
                      <w:fldChar w:fldCharType="end"/>
                    </w:r>
                  </w:p>
                </w:txbxContent>
              </v:textbox>
            </v:shape>
          </w:pict>
        </mc:Fallback>
      </mc:AlternateContent>
    </w:r>
  </w:p>
  <w:p>
    <w:pPr>
      <w:pStyle w:val="19"/>
      <w:tabs>
        <w:tab w:val="left" w:pos="8370"/>
        <w:tab w:val="right" w:pos="9639"/>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A666D"/>
    <w:multiLevelType w:val="singleLevel"/>
    <w:tmpl w:val="AE6A666D"/>
    <w:lvl w:ilvl="0" w:tentative="0">
      <w:start w:val="1"/>
      <w:numFmt w:val="decimal"/>
      <w:suff w:val="space"/>
      <w:lvlText w:val="%1."/>
      <w:lvlJc w:val="left"/>
    </w:lvl>
  </w:abstractNum>
  <w:abstractNum w:abstractNumId="1">
    <w:nsid w:val="B0D391D7"/>
    <w:multiLevelType w:val="singleLevel"/>
    <w:tmpl w:val="B0D391D7"/>
    <w:lvl w:ilvl="0" w:tentative="0">
      <w:start w:val="3"/>
      <w:numFmt w:val="decimal"/>
      <w:suff w:val="space"/>
      <w:lvlText w:val="%1."/>
      <w:lvlJc w:val="left"/>
    </w:lvl>
  </w:abstractNum>
  <w:abstractNum w:abstractNumId="2">
    <w:nsid w:val="C68987BE"/>
    <w:multiLevelType w:val="singleLevel"/>
    <w:tmpl w:val="C68987BE"/>
    <w:lvl w:ilvl="0" w:tentative="0">
      <w:start w:val="2"/>
      <w:numFmt w:val="decimal"/>
      <w:suff w:val="space"/>
      <w:lvlText w:val="%1、"/>
      <w:lvlJc w:val="left"/>
    </w:lvl>
  </w:abstractNum>
  <w:abstractNum w:abstractNumId="3">
    <w:nsid w:val="D565CAD4"/>
    <w:multiLevelType w:val="singleLevel"/>
    <w:tmpl w:val="D565CAD4"/>
    <w:lvl w:ilvl="0" w:tentative="0">
      <w:start w:val="7"/>
      <w:numFmt w:val="chineseCounting"/>
      <w:suff w:val="nothing"/>
      <w:lvlText w:val="%1、"/>
      <w:lvlJc w:val="left"/>
      <w:rPr>
        <w:rFonts w:hint="eastAsia"/>
      </w:rPr>
    </w:lvl>
  </w:abstractNum>
  <w:abstractNum w:abstractNumId="4">
    <w:nsid w:val="4663CF41"/>
    <w:multiLevelType w:val="singleLevel"/>
    <w:tmpl w:val="4663CF41"/>
    <w:lvl w:ilvl="0" w:tentative="0">
      <w:start w:val="1"/>
      <w:numFmt w:val="decimal"/>
      <w:suff w:val="space"/>
      <w:lvlText w:val="%1."/>
      <w:lvlJc w:val="left"/>
    </w:lvl>
  </w:abstractNum>
  <w:abstractNum w:abstractNumId="5">
    <w:nsid w:val="66A64091"/>
    <w:multiLevelType w:val="multilevel"/>
    <w:tmpl w:val="66A64091"/>
    <w:lvl w:ilvl="0" w:tentative="0">
      <w:start w:val="1"/>
      <w:numFmt w:val="chineseCountingThousand"/>
      <w:lvlText w:val="第%1章"/>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isLgl/>
      <w:lvlText w:val="%1.%2.%3"/>
      <w:lvlJc w:val="left"/>
      <w:pPr>
        <w:tabs>
          <w:tab w:val="left" w:pos="720"/>
        </w:tabs>
        <w:ind w:left="720" w:hanging="720"/>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isLgl/>
      <w:lvlText w:val="%1.%2.%3.%4"/>
      <w:lvlJc w:val="left"/>
      <w:pPr>
        <w:tabs>
          <w:tab w:val="left" w:pos="1006"/>
        </w:tabs>
        <w:ind w:left="1006" w:hanging="864"/>
      </w:pPr>
      <w:rPr>
        <w:rFonts w:hint="eastAsia" w:ascii="Calibri" w:hAnsi="Calibri" w:cs="Times New Roman"/>
        <w:b/>
        <w:bCs w:val="0"/>
        <w:i w:val="0"/>
        <w:iCs w:val="0"/>
        <w:caps w:val="0"/>
        <w:smallCaps w:val="0"/>
        <w:strike w:val="0"/>
        <w:dstrike w:val="0"/>
        <w:vanish w:val="0"/>
        <w:color w:val="000000"/>
        <w:spacing w:val="0"/>
        <w:position w:val="0"/>
        <w:u w:val="none"/>
        <w:vertAlign w:val="baseline"/>
      </w:rPr>
    </w:lvl>
    <w:lvl w:ilvl="4" w:tentative="0">
      <w:start w:val="1"/>
      <w:numFmt w:val="decimal"/>
      <w:isLgl/>
      <w:lvlText w:val="%1.%2.%3.%4.%5"/>
      <w:lvlJc w:val="left"/>
      <w:pPr>
        <w:tabs>
          <w:tab w:val="left" w:pos="1008"/>
        </w:tabs>
        <w:ind w:left="1008" w:hanging="1008"/>
      </w:pPr>
      <w:rPr>
        <w:rFonts w:hint="eastAsia"/>
      </w:rPr>
    </w:lvl>
    <w:lvl w:ilvl="5" w:tentative="0">
      <w:start w:val="1"/>
      <w:numFmt w:val="decimal"/>
      <w:pStyle w:val="6"/>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D67F26"/>
    <w:multiLevelType w:val="multilevel"/>
    <w:tmpl w:val="70D67F26"/>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066384"/>
    <w:multiLevelType w:val="singleLevel"/>
    <w:tmpl w:val="76066384"/>
    <w:lvl w:ilvl="0" w:tentative="0">
      <w:start w:val="3"/>
      <w:numFmt w:val="chineseCounting"/>
      <w:suff w:val="nothing"/>
      <w:lvlText w:val="%1、"/>
      <w:lvlJc w:val="left"/>
      <w:rPr>
        <w:rFonts w:hint="eastAsia"/>
      </w:rPr>
    </w:lvl>
  </w:abstractNum>
  <w:num w:numId="1">
    <w:abstractNumId w:val="5"/>
  </w:num>
  <w:num w:numId="2">
    <w:abstractNumId w:val="6"/>
  </w:num>
  <w:num w:numId="3">
    <w:abstractNumId w:val="3"/>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F0"/>
    <w:rsid w:val="0000262F"/>
    <w:rsid w:val="000041BE"/>
    <w:rsid w:val="00004248"/>
    <w:rsid w:val="000060DE"/>
    <w:rsid w:val="00006B79"/>
    <w:rsid w:val="000102F5"/>
    <w:rsid w:val="00010907"/>
    <w:rsid w:val="000113A5"/>
    <w:rsid w:val="00011586"/>
    <w:rsid w:val="00012525"/>
    <w:rsid w:val="00016B46"/>
    <w:rsid w:val="0002107F"/>
    <w:rsid w:val="00021CA5"/>
    <w:rsid w:val="0002630B"/>
    <w:rsid w:val="000272BA"/>
    <w:rsid w:val="00030178"/>
    <w:rsid w:val="00031789"/>
    <w:rsid w:val="00032508"/>
    <w:rsid w:val="00032D6D"/>
    <w:rsid w:val="000337C2"/>
    <w:rsid w:val="000344E0"/>
    <w:rsid w:val="00034734"/>
    <w:rsid w:val="00035624"/>
    <w:rsid w:val="0003605E"/>
    <w:rsid w:val="00036354"/>
    <w:rsid w:val="0004013C"/>
    <w:rsid w:val="0004067F"/>
    <w:rsid w:val="000409E4"/>
    <w:rsid w:val="00040CDB"/>
    <w:rsid w:val="0004120F"/>
    <w:rsid w:val="000447FF"/>
    <w:rsid w:val="00045679"/>
    <w:rsid w:val="00046685"/>
    <w:rsid w:val="00046A73"/>
    <w:rsid w:val="0005372A"/>
    <w:rsid w:val="00055E56"/>
    <w:rsid w:val="00057BFB"/>
    <w:rsid w:val="000601D0"/>
    <w:rsid w:val="0006042C"/>
    <w:rsid w:val="00060967"/>
    <w:rsid w:val="00060DB2"/>
    <w:rsid w:val="00061BC5"/>
    <w:rsid w:val="00062799"/>
    <w:rsid w:val="00066E5A"/>
    <w:rsid w:val="00067701"/>
    <w:rsid w:val="0006772A"/>
    <w:rsid w:val="00067970"/>
    <w:rsid w:val="00067D49"/>
    <w:rsid w:val="00071648"/>
    <w:rsid w:val="00071E56"/>
    <w:rsid w:val="00073194"/>
    <w:rsid w:val="00073EF2"/>
    <w:rsid w:val="00074168"/>
    <w:rsid w:val="00076890"/>
    <w:rsid w:val="00077154"/>
    <w:rsid w:val="00081D2D"/>
    <w:rsid w:val="00082D10"/>
    <w:rsid w:val="00083B20"/>
    <w:rsid w:val="00085BF1"/>
    <w:rsid w:val="0008620D"/>
    <w:rsid w:val="00087EBA"/>
    <w:rsid w:val="00090F80"/>
    <w:rsid w:val="00091E1A"/>
    <w:rsid w:val="00092D94"/>
    <w:rsid w:val="00093DCF"/>
    <w:rsid w:val="00094EE8"/>
    <w:rsid w:val="000964AD"/>
    <w:rsid w:val="000979F3"/>
    <w:rsid w:val="00097A8D"/>
    <w:rsid w:val="00097FF9"/>
    <w:rsid w:val="000A07FC"/>
    <w:rsid w:val="000A10BF"/>
    <w:rsid w:val="000A20CD"/>
    <w:rsid w:val="000A295D"/>
    <w:rsid w:val="000A3C02"/>
    <w:rsid w:val="000A5748"/>
    <w:rsid w:val="000A6B10"/>
    <w:rsid w:val="000A7576"/>
    <w:rsid w:val="000B2F68"/>
    <w:rsid w:val="000B3791"/>
    <w:rsid w:val="000B42AD"/>
    <w:rsid w:val="000B51D1"/>
    <w:rsid w:val="000B577D"/>
    <w:rsid w:val="000B7050"/>
    <w:rsid w:val="000C17CB"/>
    <w:rsid w:val="000C3CF4"/>
    <w:rsid w:val="000C6152"/>
    <w:rsid w:val="000C6548"/>
    <w:rsid w:val="000C6584"/>
    <w:rsid w:val="000D2B31"/>
    <w:rsid w:val="000D3C1A"/>
    <w:rsid w:val="000D5BE9"/>
    <w:rsid w:val="000D6224"/>
    <w:rsid w:val="000D6735"/>
    <w:rsid w:val="000E07D3"/>
    <w:rsid w:val="000E1FB1"/>
    <w:rsid w:val="000E2044"/>
    <w:rsid w:val="000E391C"/>
    <w:rsid w:val="000E507B"/>
    <w:rsid w:val="000E5574"/>
    <w:rsid w:val="000E5F89"/>
    <w:rsid w:val="000E6B3E"/>
    <w:rsid w:val="000E715A"/>
    <w:rsid w:val="000F0D13"/>
    <w:rsid w:val="000F25D7"/>
    <w:rsid w:val="000F3A7D"/>
    <w:rsid w:val="000F4C05"/>
    <w:rsid w:val="000F4E5A"/>
    <w:rsid w:val="000F55CF"/>
    <w:rsid w:val="000F5E53"/>
    <w:rsid w:val="000F74F7"/>
    <w:rsid w:val="000F7BCF"/>
    <w:rsid w:val="00101156"/>
    <w:rsid w:val="00101467"/>
    <w:rsid w:val="0010149F"/>
    <w:rsid w:val="00101EEC"/>
    <w:rsid w:val="00103108"/>
    <w:rsid w:val="00103300"/>
    <w:rsid w:val="00105EAE"/>
    <w:rsid w:val="001077C8"/>
    <w:rsid w:val="00107C38"/>
    <w:rsid w:val="00107F63"/>
    <w:rsid w:val="00115212"/>
    <w:rsid w:val="0011570C"/>
    <w:rsid w:val="001158E7"/>
    <w:rsid w:val="0011730C"/>
    <w:rsid w:val="001221DF"/>
    <w:rsid w:val="00124933"/>
    <w:rsid w:val="00125528"/>
    <w:rsid w:val="00125FA4"/>
    <w:rsid w:val="00126566"/>
    <w:rsid w:val="00132588"/>
    <w:rsid w:val="00132C9E"/>
    <w:rsid w:val="00132DC1"/>
    <w:rsid w:val="001335E4"/>
    <w:rsid w:val="0013394A"/>
    <w:rsid w:val="0013470C"/>
    <w:rsid w:val="0014185E"/>
    <w:rsid w:val="00143377"/>
    <w:rsid w:val="00144D87"/>
    <w:rsid w:val="0014614E"/>
    <w:rsid w:val="00146991"/>
    <w:rsid w:val="00146F93"/>
    <w:rsid w:val="00147360"/>
    <w:rsid w:val="0014756E"/>
    <w:rsid w:val="001507B8"/>
    <w:rsid w:val="00150D79"/>
    <w:rsid w:val="00150E15"/>
    <w:rsid w:val="001519A1"/>
    <w:rsid w:val="00152566"/>
    <w:rsid w:val="0015344D"/>
    <w:rsid w:val="001538C3"/>
    <w:rsid w:val="00154167"/>
    <w:rsid w:val="00154E89"/>
    <w:rsid w:val="0015515B"/>
    <w:rsid w:val="0015550A"/>
    <w:rsid w:val="00155A57"/>
    <w:rsid w:val="0015767E"/>
    <w:rsid w:val="0016007D"/>
    <w:rsid w:val="0016079F"/>
    <w:rsid w:val="001611E4"/>
    <w:rsid w:val="00161719"/>
    <w:rsid w:val="00161AC9"/>
    <w:rsid w:val="00161DB4"/>
    <w:rsid w:val="0016266D"/>
    <w:rsid w:val="001629A6"/>
    <w:rsid w:val="0016332A"/>
    <w:rsid w:val="00165966"/>
    <w:rsid w:val="00165BC9"/>
    <w:rsid w:val="00171524"/>
    <w:rsid w:val="001715E7"/>
    <w:rsid w:val="00172A27"/>
    <w:rsid w:val="00174D5D"/>
    <w:rsid w:val="00180F1D"/>
    <w:rsid w:val="001822FE"/>
    <w:rsid w:val="00182524"/>
    <w:rsid w:val="001847B8"/>
    <w:rsid w:val="001848C5"/>
    <w:rsid w:val="00193A45"/>
    <w:rsid w:val="00197CDC"/>
    <w:rsid w:val="001A1384"/>
    <w:rsid w:val="001A462C"/>
    <w:rsid w:val="001A50F1"/>
    <w:rsid w:val="001A6178"/>
    <w:rsid w:val="001A6641"/>
    <w:rsid w:val="001A6827"/>
    <w:rsid w:val="001A6871"/>
    <w:rsid w:val="001A6C5E"/>
    <w:rsid w:val="001B0775"/>
    <w:rsid w:val="001B0C79"/>
    <w:rsid w:val="001B16D1"/>
    <w:rsid w:val="001B480A"/>
    <w:rsid w:val="001B71AA"/>
    <w:rsid w:val="001B7394"/>
    <w:rsid w:val="001C5207"/>
    <w:rsid w:val="001C57AB"/>
    <w:rsid w:val="001C591A"/>
    <w:rsid w:val="001C7EAA"/>
    <w:rsid w:val="001D00D3"/>
    <w:rsid w:val="001D6055"/>
    <w:rsid w:val="001D6909"/>
    <w:rsid w:val="001D7EC2"/>
    <w:rsid w:val="001E0500"/>
    <w:rsid w:val="001E052D"/>
    <w:rsid w:val="001E0A05"/>
    <w:rsid w:val="001E2075"/>
    <w:rsid w:val="001E24B2"/>
    <w:rsid w:val="001E2EFB"/>
    <w:rsid w:val="001E6008"/>
    <w:rsid w:val="001E750E"/>
    <w:rsid w:val="001E7C51"/>
    <w:rsid w:val="001E7CFF"/>
    <w:rsid w:val="001F006D"/>
    <w:rsid w:val="001F0960"/>
    <w:rsid w:val="001F0B2F"/>
    <w:rsid w:val="001F1DE5"/>
    <w:rsid w:val="001F27C1"/>
    <w:rsid w:val="001F2EBF"/>
    <w:rsid w:val="001F4CAF"/>
    <w:rsid w:val="001F7092"/>
    <w:rsid w:val="001F7857"/>
    <w:rsid w:val="002013BD"/>
    <w:rsid w:val="00202B3B"/>
    <w:rsid w:val="00203239"/>
    <w:rsid w:val="00203CCB"/>
    <w:rsid w:val="00203F5A"/>
    <w:rsid w:val="00205DAA"/>
    <w:rsid w:val="002076F4"/>
    <w:rsid w:val="00207E29"/>
    <w:rsid w:val="00210886"/>
    <w:rsid w:val="00212171"/>
    <w:rsid w:val="00212760"/>
    <w:rsid w:val="0021298D"/>
    <w:rsid w:val="0021484B"/>
    <w:rsid w:val="00216B14"/>
    <w:rsid w:val="00217619"/>
    <w:rsid w:val="002177CD"/>
    <w:rsid w:val="00220B3A"/>
    <w:rsid w:val="00220BB4"/>
    <w:rsid w:val="00221E1A"/>
    <w:rsid w:val="0022223D"/>
    <w:rsid w:val="002248C2"/>
    <w:rsid w:val="002266FA"/>
    <w:rsid w:val="00227077"/>
    <w:rsid w:val="00231A70"/>
    <w:rsid w:val="002327FC"/>
    <w:rsid w:val="00233883"/>
    <w:rsid w:val="00236061"/>
    <w:rsid w:val="00236E5A"/>
    <w:rsid w:val="00237D9A"/>
    <w:rsid w:val="0024090A"/>
    <w:rsid w:val="00241383"/>
    <w:rsid w:val="00243DB8"/>
    <w:rsid w:val="00244785"/>
    <w:rsid w:val="00244DDF"/>
    <w:rsid w:val="00245207"/>
    <w:rsid w:val="00245234"/>
    <w:rsid w:val="00245FED"/>
    <w:rsid w:val="002468F0"/>
    <w:rsid w:val="00250DDF"/>
    <w:rsid w:val="00250EE1"/>
    <w:rsid w:val="00251451"/>
    <w:rsid w:val="00260347"/>
    <w:rsid w:val="00260486"/>
    <w:rsid w:val="002609A3"/>
    <w:rsid w:val="00263DBA"/>
    <w:rsid w:val="002700AA"/>
    <w:rsid w:val="00271224"/>
    <w:rsid w:val="002715D4"/>
    <w:rsid w:val="00271DF6"/>
    <w:rsid w:val="0027265C"/>
    <w:rsid w:val="00274491"/>
    <w:rsid w:val="00274857"/>
    <w:rsid w:val="00276F76"/>
    <w:rsid w:val="002808BB"/>
    <w:rsid w:val="00280BE2"/>
    <w:rsid w:val="00280C7E"/>
    <w:rsid w:val="00282001"/>
    <w:rsid w:val="00282662"/>
    <w:rsid w:val="0028396E"/>
    <w:rsid w:val="00284194"/>
    <w:rsid w:val="002846FD"/>
    <w:rsid w:val="00284926"/>
    <w:rsid w:val="00285054"/>
    <w:rsid w:val="00285617"/>
    <w:rsid w:val="00285F17"/>
    <w:rsid w:val="0028712F"/>
    <w:rsid w:val="0028796C"/>
    <w:rsid w:val="00287AD2"/>
    <w:rsid w:val="00287B88"/>
    <w:rsid w:val="002908ED"/>
    <w:rsid w:val="00290CF6"/>
    <w:rsid w:val="002919AC"/>
    <w:rsid w:val="00291C91"/>
    <w:rsid w:val="00292854"/>
    <w:rsid w:val="002935F3"/>
    <w:rsid w:val="0029662E"/>
    <w:rsid w:val="00296A5D"/>
    <w:rsid w:val="002A129F"/>
    <w:rsid w:val="002A13DE"/>
    <w:rsid w:val="002A2221"/>
    <w:rsid w:val="002A3339"/>
    <w:rsid w:val="002A4631"/>
    <w:rsid w:val="002A4CDB"/>
    <w:rsid w:val="002A4D4C"/>
    <w:rsid w:val="002A5EB8"/>
    <w:rsid w:val="002B0A7F"/>
    <w:rsid w:val="002B0FA7"/>
    <w:rsid w:val="002B1122"/>
    <w:rsid w:val="002B1D47"/>
    <w:rsid w:val="002B2195"/>
    <w:rsid w:val="002B2CD9"/>
    <w:rsid w:val="002B3057"/>
    <w:rsid w:val="002B390C"/>
    <w:rsid w:val="002B3D18"/>
    <w:rsid w:val="002B56C9"/>
    <w:rsid w:val="002B5BCA"/>
    <w:rsid w:val="002B5C12"/>
    <w:rsid w:val="002B7C8B"/>
    <w:rsid w:val="002B7D19"/>
    <w:rsid w:val="002C1372"/>
    <w:rsid w:val="002C19A9"/>
    <w:rsid w:val="002C1CB3"/>
    <w:rsid w:val="002C252B"/>
    <w:rsid w:val="002C2E69"/>
    <w:rsid w:val="002C3D87"/>
    <w:rsid w:val="002C482B"/>
    <w:rsid w:val="002C486D"/>
    <w:rsid w:val="002C4B97"/>
    <w:rsid w:val="002C6050"/>
    <w:rsid w:val="002D3077"/>
    <w:rsid w:val="002D3951"/>
    <w:rsid w:val="002D562D"/>
    <w:rsid w:val="002D5BAD"/>
    <w:rsid w:val="002D6ECD"/>
    <w:rsid w:val="002D70CF"/>
    <w:rsid w:val="002E0096"/>
    <w:rsid w:val="002E2172"/>
    <w:rsid w:val="002E220B"/>
    <w:rsid w:val="002E5E09"/>
    <w:rsid w:val="002F1BAF"/>
    <w:rsid w:val="002F42B8"/>
    <w:rsid w:val="002F44FC"/>
    <w:rsid w:val="002F6F3A"/>
    <w:rsid w:val="002F7CD7"/>
    <w:rsid w:val="0030126A"/>
    <w:rsid w:val="00301616"/>
    <w:rsid w:val="0030241B"/>
    <w:rsid w:val="0030438B"/>
    <w:rsid w:val="00305139"/>
    <w:rsid w:val="00306602"/>
    <w:rsid w:val="003131E1"/>
    <w:rsid w:val="0031572B"/>
    <w:rsid w:val="0031614C"/>
    <w:rsid w:val="003171BD"/>
    <w:rsid w:val="00317AAF"/>
    <w:rsid w:val="00320BE2"/>
    <w:rsid w:val="00320E89"/>
    <w:rsid w:val="0032229E"/>
    <w:rsid w:val="00325FEE"/>
    <w:rsid w:val="00327BF2"/>
    <w:rsid w:val="003318C0"/>
    <w:rsid w:val="003339D5"/>
    <w:rsid w:val="003365D5"/>
    <w:rsid w:val="00337054"/>
    <w:rsid w:val="003422DF"/>
    <w:rsid w:val="00343B2F"/>
    <w:rsid w:val="00345DBB"/>
    <w:rsid w:val="003464F2"/>
    <w:rsid w:val="0034746D"/>
    <w:rsid w:val="00351430"/>
    <w:rsid w:val="00352A7F"/>
    <w:rsid w:val="00352AB5"/>
    <w:rsid w:val="003603E1"/>
    <w:rsid w:val="003648CE"/>
    <w:rsid w:val="00364B12"/>
    <w:rsid w:val="0036776E"/>
    <w:rsid w:val="003700B5"/>
    <w:rsid w:val="00370389"/>
    <w:rsid w:val="00370E46"/>
    <w:rsid w:val="00371697"/>
    <w:rsid w:val="00372F70"/>
    <w:rsid w:val="003733CE"/>
    <w:rsid w:val="00373DB4"/>
    <w:rsid w:val="00375A7F"/>
    <w:rsid w:val="00380A1F"/>
    <w:rsid w:val="00382B6C"/>
    <w:rsid w:val="0038592A"/>
    <w:rsid w:val="003874FC"/>
    <w:rsid w:val="00387872"/>
    <w:rsid w:val="00387D6B"/>
    <w:rsid w:val="00390047"/>
    <w:rsid w:val="0039006F"/>
    <w:rsid w:val="00391CBC"/>
    <w:rsid w:val="00393F9B"/>
    <w:rsid w:val="003940E6"/>
    <w:rsid w:val="0039452B"/>
    <w:rsid w:val="00394FB7"/>
    <w:rsid w:val="00396A5A"/>
    <w:rsid w:val="003A1DB7"/>
    <w:rsid w:val="003A21E7"/>
    <w:rsid w:val="003A31A8"/>
    <w:rsid w:val="003A570A"/>
    <w:rsid w:val="003A6445"/>
    <w:rsid w:val="003A677D"/>
    <w:rsid w:val="003A6F6B"/>
    <w:rsid w:val="003A7E30"/>
    <w:rsid w:val="003B0F7F"/>
    <w:rsid w:val="003B2135"/>
    <w:rsid w:val="003B22DB"/>
    <w:rsid w:val="003B3D53"/>
    <w:rsid w:val="003B4049"/>
    <w:rsid w:val="003B4BA4"/>
    <w:rsid w:val="003B55AF"/>
    <w:rsid w:val="003C5797"/>
    <w:rsid w:val="003C594D"/>
    <w:rsid w:val="003C5C11"/>
    <w:rsid w:val="003C6540"/>
    <w:rsid w:val="003D35DA"/>
    <w:rsid w:val="003D5730"/>
    <w:rsid w:val="003D6C88"/>
    <w:rsid w:val="003D7936"/>
    <w:rsid w:val="003E194F"/>
    <w:rsid w:val="003E2BA5"/>
    <w:rsid w:val="003E2BA6"/>
    <w:rsid w:val="003E303C"/>
    <w:rsid w:val="003E5D39"/>
    <w:rsid w:val="003E5F4D"/>
    <w:rsid w:val="003E6E39"/>
    <w:rsid w:val="003E7554"/>
    <w:rsid w:val="003E76BE"/>
    <w:rsid w:val="003E7E27"/>
    <w:rsid w:val="003F100B"/>
    <w:rsid w:val="003F4CBE"/>
    <w:rsid w:val="003F50D0"/>
    <w:rsid w:val="003F6838"/>
    <w:rsid w:val="003F6C82"/>
    <w:rsid w:val="003F73EF"/>
    <w:rsid w:val="003F7AC1"/>
    <w:rsid w:val="004020F2"/>
    <w:rsid w:val="00402DDC"/>
    <w:rsid w:val="004033A1"/>
    <w:rsid w:val="0040718D"/>
    <w:rsid w:val="004103A3"/>
    <w:rsid w:val="00410AD9"/>
    <w:rsid w:val="00410C4E"/>
    <w:rsid w:val="00411DA4"/>
    <w:rsid w:val="0041277C"/>
    <w:rsid w:val="004151C9"/>
    <w:rsid w:val="00415861"/>
    <w:rsid w:val="00415EB1"/>
    <w:rsid w:val="00417C45"/>
    <w:rsid w:val="004203AD"/>
    <w:rsid w:val="00420821"/>
    <w:rsid w:val="0042522C"/>
    <w:rsid w:val="0042709B"/>
    <w:rsid w:val="004304B0"/>
    <w:rsid w:val="0043215A"/>
    <w:rsid w:val="0043289D"/>
    <w:rsid w:val="004338B6"/>
    <w:rsid w:val="00433DF8"/>
    <w:rsid w:val="00441C49"/>
    <w:rsid w:val="00441E8E"/>
    <w:rsid w:val="00442968"/>
    <w:rsid w:val="004441F0"/>
    <w:rsid w:val="004448A9"/>
    <w:rsid w:val="004451E5"/>
    <w:rsid w:val="004457B7"/>
    <w:rsid w:val="00445982"/>
    <w:rsid w:val="004526E3"/>
    <w:rsid w:val="00455105"/>
    <w:rsid w:val="00455676"/>
    <w:rsid w:val="00455EC8"/>
    <w:rsid w:val="00456167"/>
    <w:rsid w:val="00457C09"/>
    <w:rsid w:val="00460380"/>
    <w:rsid w:val="00460B46"/>
    <w:rsid w:val="004619E4"/>
    <w:rsid w:val="00461CC1"/>
    <w:rsid w:val="004648AB"/>
    <w:rsid w:val="00464E16"/>
    <w:rsid w:val="00467B04"/>
    <w:rsid w:val="00470D66"/>
    <w:rsid w:val="004719BA"/>
    <w:rsid w:val="00471F38"/>
    <w:rsid w:val="004722C0"/>
    <w:rsid w:val="00472885"/>
    <w:rsid w:val="00472DEC"/>
    <w:rsid w:val="00473AD3"/>
    <w:rsid w:val="0047433B"/>
    <w:rsid w:val="00474B64"/>
    <w:rsid w:val="00481884"/>
    <w:rsid w:val="00482525"/>
    <w:rsid w:val="0048313D"/>
    <w:rsid w:val="00483659"/>
    <w:rsid w:val="0048513F"/>
    <w:rsid w:val="0048561B"/>
    <w:rsid w:val="004870E6"/>
    <w:rsid w:val="0048737C"/>
    <w:rsid w:val="004947CA"/>
    <w:rsid w:val="00495BC3"/>
    <w:rsid w:val="004973B5"/>
    <w:rsid w:val="004A069F"/>
    <w:rsid w:val="004A0DD9"/>
    <w:rsid w:val="004A2764"/>
    <w:rsid w:val="004A3AB8"/>
    <w:rsid w:val="004A5647"/>
    <w:rsid w:val="004A7B36"/>
    <w:rsid w:val="004B0E9A"/>
    <w:rsid w:val="004B3B7E"/>
    <w:rsid w:val="004B3FD8"/>
    <w:rsid w:val="004C1A00"/>
    <w:rsid w:val="004C1B13"/>
    <w:rsid w:val="004C2669"/>
    <w:rsid w:val="004C4754"/>
    <w:rsid w:val="004C4EF8"/>
    <w:rsid w:val="004D123C"/>
    <w:rsid w:val="004D146D"/>
    <w:rsid w:val="004D3C0F"/>
    <w:rsid w:val="004D5DAE"/>
    <w:rsid w:val="004D7C1C"/>
    <w:rsid w:val="004E0966"/>
    <w:rsid w:val="004E4D39"/>
    <w:rsid w:val="004E591D"/>
    <w:rsid w:val="004E5F55"/>
    <w:rsid w:val="004E6C86"/>
    <w:rsid w:val="004F160C"/>
    <w:rsid w:val="004F217E"/>
    <w:rsid w:val="004F2AAB"/>
    <w:rsid w:val="004F32F1"/>
    <w:rsid w:val="004F61E5"/>
    <w:rsid w:val="004F6C37"/>
    <w:rsid w:val="004F728E"/>
    <w:rsid w:val="004F77E1"/>
    <w:rsid w:val="00500187"/>
    <w:rsid w:val="00500D0B"/>
    <w:rsid w:val="00504B71"/>
    <w:rsid w:val="00504C53"/>
    <w:rsid w:val="00505640"/>
    <w:rsid w:val="00506447"/>
    <w:rsid w:val="0050692A"/>
    <w:rsid w:val="00507182"/>
    <w:rsid w:val="005077F6"/>
    <w:rsid w:val="0051208C"/>
    <w:rsid w:val="0051407F"/>
    <w:rsid w:val="00515B14"/>
    <w:rsid w:val="005163A6"/>
    <w:rsid w:val="00516BD7"/>
    <w:rsid w:val="00523206"/>
    <w:rsid w:val="0052432B"/>
    <w:rsid w:val="005271AF"/>
    <w:rsid w:val="00527FA4"/>
    <w:rsid w:val="00530F1A"/>
    <w:rsid w:val="0053110E"/>
    <w:rsid w:val="0053122C"/>
    <w:rsid w:val="00531486"/>
    <w:rsid w:val="0053350A"/>
    <w:rsid w:val="00535133"/>
    <w:rsid w:val="00535F25"/>
    <w:rsid w:val="0053678D"/>
    <w:rsid w:val="00536EED"/>
    <w:rsid w:val="00537D0F"/>
    <w:rsid w:val="005410D4"/>
    <w:rsid w:val="00542C41"/>
    <w:rsid w:val="00546A85"/>
    <w:rsid w:val="005473EA"/>
    <w:rsid w:val="00547CCF"/>
    <w:rsid w:val="00552AF9"/>
    <w:rsid w:val="00552B96"/>
    <w:rsid w:val="0055573F"/>
    <w:rsid w:val="00556447"/>
    <w:rsid w:val="005564C1"/>
    <w:rsid w:val="005574BE"/>
    <w:rsid w:val="00560AE1"/>
    <w:rsid w:val="005615DB"/>
    <w:rsid w:val="00563F34"/>
    <w:rsid w:val="00566475"/>
    <w:rsid w:val="00567CD4"/>
    <w:rsid w:val="00570466"/>
    <w:rsid w:val="00571EDF"/>
    <w:rsid w:val="005720C2"/>
    <w:rsid w:val="0057335A"/>
    <w:rsid w:val="00573777"/>
    <w:rsid w:val="00574884"/>
    <w:rsid w:val="0057556C"/>
    <w:rsid w:val="00580892"/>
    <w:rsid w:val="00580D03"/>
    <w:rsid w:val="00580ED7"/>
    <w:rsid w:val="00580FDD"/>
    <w:rsid w:val="00583F61"/>
    <w:rsid w:val="00584A04"/>
    <w:rsid w:val="00585696"/>
    <w:rsid w:val="00586612"/>
    <w:rsid w:val="005901B9"/>
    <w:rsid w:val="00590215"/>
    <w:rsid w:val="00593B21"/>
    <w:rsid w:val="00594415"/>
    <w:rsid w:val="00595632"/>
    <w:rsid w:val="005958CC"/>
    <w:rsid w:val="00595A2D"/>
    <w:rsid w:val="00597928"/>
    <w:rsid w:val="00597C0C"/>
    <w:rsid w:val="005A0EB4"/>
    <w:rsid w:val="005A0F74"/>
    <w:rsid w:val="005A1062"/>
    <w:rsid w:val="005A1658"/>
    <w:rsid w:val="005A1CFF"/>
    <w:rsid w:val="005A320F"/>
    <w:rsid w:val="005A4B38"/>
    <w:rsid w:val="005A71DD"/>
    <w:rsid w:val="005A7E43"/>
    <w:rsid w:val="005B1442"/>
    <w:rsid w:val="005B1FDA"/>
    <w:rsid w:val="005B6BC9"/>
    <w:rsid w:val="005B7160"/>
    <w:rsid w:val="005C3911"/>
    <w:rsid w:val="005C56C5"/>
    <w:rsid w:val="005C56CF"/>
    <w:rsid w:val="005C6B2D"/>
    <w:rsid w:val="005D0942"/>
    <w:rsid w:val="005D1134"/>
    <w:rsid w:val="005D37BC"/>
    <w:rsid w:val="005D429C"/>
    <w:rsid w:val="005D4954"/>
    <w:rsid w:val="005D698E"/>
    <w:rsid w:val="005D7997"/>
    <w:rsid w:val="005E19C8"/>
    <w:rsid w:val="005E2AF5"/>
    <w:rsid w:val="005E3720"/>
    <w:rsid w:val="005E37BD"/>
    <w:rsid w:val="005E3EE1"/>
    <w:rsid w:val="005E7485"/>
    <w:rsid w:val="005F21BB"/>
    <w:rsid w:val="005F29AA"/>
    <w:rsid w:val="005F6726"/>
    <w:rsid w:val="005F73E9"/>
    <w:rsid w:val="00600912"/>
    <w:rsid w:val="00600BE1"/>
    <w:rsid w:val="006018DA"/>
    <w:rsid w:val="00601B05"/>
    <w:rsid w:val="00603E71"/>
    <w:rsid w:val="00604D28"/>
    <w:rsid w:val="00605B2F"/>
    <w:rsid w:val="00607720"/>
    <w:rsid w:val="006106B1"/>
    <w:rsid w:val="00613513"/>
    <w:rsid w:val="006151EA"/>
    <w:rsid w:val="006152E7"/>
    <w:rsid w:val="006158D4"/>
    <w:rsid w:val="00615A9D"/>
    <w:rsid w:val="00615F9A"/>
    <w:rsid w:val="006170C6"/>
    <w:rsid w:val="0061749B"/>
    <w:rsid w:val="00617F38"/>
    <w:rsid w:val="00621650"/>
    <w:rsid w:val="00621680"/>
    <w:rsid w:val="00621F48"/>
    <w:rsid w:val="00622983"/>
    <w:rsid w:val="00623281"/>
    <w:rsid w:val="00624320"/>
    <w:rsid w:val="006267B1"/>
    <w:rsid w:val="00630BF4"/>
    <w:rsid w:val="00630E63"/>
    <w:rsid w:val="00631E51"/>
    <w:rsid w:val="0063260E"/>
    <w:rsid w:val="00634A8E"/>
    <w:rsid w:val="00634F42"/>
    <w:rsid w:val="00634FDA"/>
    <w:rsid w:val="0063523E"/>
    <w:rsid w:val="00636D7D"/>
    <w:rsid w:val="00636DF8"/>
    <w:rsid w:val="00637608"/>
    <w:rsid w:val="006412B6"/>
    <w:rsid w:val="006423F3"/>
    <w:rsid w:val="006445CF"/>
    <w:rsid w:val="00644764"/>
    <w:rsid w:val="00645C9B"/>
    <w:rsid w:val="006468F6"/>
    <w:rsid w:val="00650071"/>
    <w:rsid w:val="006501B8"/>
    <w:rsid w:val="00650AC9"/>
    <w:rsid w:val="00651335"/>
    <w:rsid w:val="006548EF"/>
    <w:rsid w:val="00655784"/>
    <w:rsid w:val="00655CF2"/>
    <w:rsid w:val="0065620C"/>
    <w:rsid w:val="0065653B"/>
    <w:rsid w:val="00656D91"/>
    <w:rsid w:val="006574B4"/>
    <w:rsid w:val="006605E8"/>
    <w:rsid w:val="006610F9"/>
    <w:rsid w:val="00661FDD"/>
    <w:rsid w:val="00663A51"/>
    <w:rsid w:val="0066474C"/>
    <w:rsid w:val="00664FB4"/>
    <w:rsid w:val="00665C06"/>
    <w:rsid w:val="0066607B"/>
    <w:rsid w:val="00666D1B"/>
    <w:rsid w:val="00666E43"/>
    <w:rsid w:val="00666EC8"/>
    <w:rsid w:val="00667BC4"/>
    <w:rsid w:val="00667F43"/>
    <w:rsid w:val="0067045C"/>
    <w:rsid w:val="006707B3"/>
    <w:rsid w:val="006731E4"/>
    <w:rsid w:val="00674F64"/>
    <w:rsid w:val="00675AFF"/>
    <w:rsid w:val="00676EC9"/>
    <w:rsid w:val="00677C74"/>
    <w:rsid w:val="006823C2"/>
    <w:rsid w:val="00682EF4"/>
    <w:rsid w:val="006836DD"/>
    <w:rsid w:val="00684E22"/>
    <w:rsid w:val="006861BC"/>
    <w:rsid w:val="00687022"/>
    <w:rsid w:val="00690D3B"/>
    <w:rsid w:val="0069153F"/>
    <w:rsid w:val="00692DB2"/>
    <w:rsid w:val="00694471"/>
    <w:rsid w:val="00696FD4"/>
    <w:rsid w:val="00697ACF"/>
    <w:rsid w:val="006A178F"/>
    <w:rsid w:val="006A3908"/>
    <w:rsid w:val="006A4876"/>
    <w:rsid w:val="006A6163"/>
    <w:rsid w:val="006A78EF"/>
    <w:rsid w:val="006B0B2C"/>
    <w:rsid w:val="006B2B38"/>
    <w:rsid w:val="006B3CD1"/>
    <w:rsid w:val="006B3DF3"/>
    <w:rsid w:val="006B485F"/>
    <w:rsid w:val="006B5753"/>
    <w:rsid w:val="006B738D"/>
    <w:rsid w:val="006C176F"/>
    <w:rsid w:val="006C23DA"/>
    <w:rsid w:val="006C3E83"/>
    <w:rsid w:val="006C4ADA"/>
    <w:rsid w:val="006C57FD"/>
    <w:rsid w:val="006C75A9"/>
    <w:rsid w:val="006D037B"/>
    <w:rsid w:val="006D10E8"/>
    <w:rsid w:val="006D1942"/>
    <w:rsid w:val="006D27FB"/>
    <w:rsid w:val="006D2B70"/>
    <w:rsid w:val="006D2C9D"/>
    <w:rsid w:val="006D3F53"/>
    <w:rsid w:val="006D4219"/>
    <w:rsid w:val="006D46D5"/>
    <w:rsid w:val="006E0020"/>
    <w:rsid w:val="006E13E7"/>
    <w:rsid w:val="006E1445"/>
    <w:rsid w:val="006E4148"/>
    <w:rsid w:val="006E4572"/>
    <w:rsid w:val="006E528C"/>
    <w:rsid w:val="006E579F"/>
    <w:rsid w:val="006E62B8"/>
    <w:rsid w:val="006F3257"/>
    <w:rsid w:val="006F3BDD"/>
    <w:rsid w:val="006F3D01"/>
    <w:rsid w:val="006F3F58"/>
    <w:rsid w:val="006F69AF"/>
    <w:rsid w:val="00703B0A"/>
    <w:rsid w:val="00703BD4"/>
    <w:rsid w:val="00703C4C"/>
    <w:rsid w:val="00704DD3"/>
    <w:rsid w:val="00706A57"/>
    <w:rsid w:val="00711F9D"/>
    <w:rsid w:val="00713746"/>
    <w:rsid w:val="00714AF9"/>
    <w:rsid w:val="00715C94"/>
    <w:rsid w:val="007174A3"/>
    <w:rsid w:val="00720896"/>
    <w:rsid w:val="00722102"/>
    <w:rsid w:val="007235CB"/>
    <w:rsid w:val="0072426C"/>
    <w:rsid w:val="007244DE"/>
    <w:rsid w:val="00724704"/>
    <w:rsid w:val="00724984"/>
    <w:rsid w:val="00727252"/>
    <w:rsid w:val="00727FE8"/>
    <w:rsid w:val="0073216B"/>
    <w:rsid w:val="00735C12"/>
    <w:rsid w:val="00740BA4"/>
    <w:rsid w:val="00740D83"/>
    <w:rsid w:val="007412F8"/>
    <w:rsid w:val="007415F5"/>
    <w:rsid w:val="00742DD9"/>
    <w:rsid w:val="00743D6A"/>
    <w:rsid w:val="00747B1B"/>
    <w:rsid w:val="007504C6"/>
    <w:rsid w:val="007510CC"/>
    <w:rsid w:val="007551CA"/>
    <w:rsid w:val="00755AE0"/>
    <w:rsid w:val="007618AE"/>
    <w:rsid w:val="00761959"/>
    <w:rsid w:val="00761B53"/>
    <w:rsid w:val="007624CF"/>
    <w:rsid w:val="00762846"/>
    <w:rsid w:val="00763B6E"/>
    <w:rsid w:val="00763C0E"/>
    <w:rsid w:val="00763D8D"/>
    <w:rsid w:val="00763F30"/>
    <w:rsid w:val="00766F89"/>
    <w:rsid w:val="00767FF6"/>
    <w:rsid w:val="00771333"/>
    <w:rsid w:val="007720B9"/>
    <w:rsid w:val="00774EF3"/>
    <w:rsid w:val="007750B1"/>
    <w:rsid w:val="007752F3"/>
    <w:rsid w:val="00777260"/>
    <w:rsid w:val="007816E1"/>
    <w:rsid w:val="00782B14"/>
    <w:rsid w:val="00782F60"/>
    <w:rsid w:val="00784021"/>
    <w:rsid w:val="00784324"/>
    <w:rsid w:val="007845DC"/>
    <w:rsid w:val="00786754"/>
    <w:rsid w:val="00786AD8"/>
    <w:rsid w:val="00790DAA"/>
    <w:rsid w:val="00791261"/>
    <w:rsid w:val="007916F7"/>
    <w:rsid w:val="00794E25"/>
    <w:rsid w:val="00795DA4"/>
    <w:rsid w:val="00795DAA"/>
    <w:rsid w:val="007A17EC"/>
    <w:rsid w:val="007A1B26"/>
    <w:rsid w:val="007A27B0"/>
    <w:rsid w:val="007A59CB"/>
    <w:rsid w:val="007A705B"/>
    <w:rsid w:val="007A7740"/>
    <w:rsid w:val="007B0808"/>
    <w:rsid w:val="007B31CA"/>
    <w:rsid w:val="007B33C2"/>
    <w:rsid w:val="007B7B78"/>
    <w:rsid w:val="007C07B7"/>
    <w:rsid w:val="007C33FB"/>
    <w:rsid w:val="007C56BA"/>
    <w:rsid w:val="007C6DF5"/>
    <w:rsid w:val="007C702F"/>
    <w:rsid w:val="007D2074"/>
    <w:rsid w:val="007D3041"/>
    <w:rsid w:val="007D3E1A"/>
    <w:rsid w:val="007D5118"/>
    <w:rsid w:val="007D5674"/>
    <w:rsid w:val="007D6190"/>
    <w:rsid w:val="007D7465"/>
    <w:rsid w:val="007E13F9"/>
    <w:rsid w:val="007E182F"/>
    <w:rsid w:val="007E21AD"/>
    <w:rsid w:val="007E24DE"/>
    <w:rsid w:val="007E2827"/>
    <w:rsid w:val="007E3815"/>
    <w:rsid w:val="007E3AF2"/>
    <w:rsid w:val="007E4DCC"/>
    <w:rsid w:val="007E69BA"/>
    <w:rsid w:val="007F0110"/>
    <w:rsid w:val="007F1043"/>
    <w:rsid w:val="007F1D7A"/>
    <w:rsid w:val="007F327F"/>
    <w:rsid w:val="007F380E"/>
    <w:rsid w:val="007F3DFE"/>
    <w:rsid w:val="007F4E3E"/>
    <w:rsid w:val="007F6235"/>
    <w:rsid w:val="007F656C"/>
    <w:rsid w:val="00801B98"/>
    <w:rsid w:val="008032FF"/>
    <w:rsid w:val="00803E78"/>
    <w:rsid w:val="00803EB5"/>
    <w:rsid w:val="00803F42"/>
    <w:rsid w:val="00806C09"/>
    <w:rsid w:val="00807393"/>
    <w:rsid w:val="008074CF"/>
    <w:rsid w:val="008104B2"/>
    <w:rsid w:val="00813290"/>
    <w:rsid w:val="0081340C"/>
    <w:rsid w:val="00815C64"/>
    <w:rsid w:val="0082239B"/>
    <w:rsid w:val="008223A3"/>
    <w:rsid w:val="00822BC9"/>
    <w:rsid w:val="00823227"/>
    <w:rsid w:val="00823A63"/>
    <w:rsid w:val="00825C81"/>
    <w:rsid w:val="00826411"/>
    <w:rsid w:val="00831459"/>
    <w:rsid w:val="00831DF5"/>
    <w:rsid w:val="00832722"/>
    <w:rsid w:val="008327C7"/>
    <w:rsid w:val="00833DEA"/>
    <w:rsid w:val="008346FD"/>
    <w:rsid w:val="008355A8"/>
    <w:rsid w:val="00835CD4"/>
    <w:rsid w:val="00837572"/>
    <w:rsid w:val="00844E68"/>
    <w:rsid w:val="008458CE"/>
    <w:rsid w:val="00845B9F"/>
    <w:rsid w:val="00846CF1"/>
    <w:rsid w:val="00850FA9"/>
    <w:rsid w:val="00851E50"/>
    <w:rsid w:val="00851FA8"/>
    <w:rsid w:val="00852959"/>
    <w:rsid w:val="008552B8"/>
    <w:rsid w:val="008562DE"/>
    <w:rsid w:val="00856739"/>
    <w:rsid w:val="00857706"/>
    <w:rsid w:val="008603A5"/>
    <w:rsid w:val="0086270D"/>
    <w:rsid w:val="00862B40"/>
    <w:rsid w:val="008632EE"/>
    <w:rsid w:val="008640ED"/>
    <w:rsid w:val="00864F65"/>
    <w:rsid w:val="008654C4"/>
    <w:rsid w:val="008660B4"/>
    <w:rsid w:val="00866393"/>
    <w:rsid w:val="00866A00"/>
    <w:rsid w:val="00866A19"/>
    <w:rsid w:val="00872E23"/>
    <w:rsid w:val="00874BDA"/>
    <w:rsid w:val="008770CA"/>
    <w:rsid w:val="00877884"/>
    <w:rsid w:val="008800C8"/>
    <w:rsid w:val="00881A11"/>
    <w:rsid w:val="00885D9B"/>
    <w:rsid w:val="0088656C"/>
    <w:rsid w:val="008867ED"/>
    <w:rsid w:val="00886A1D"/>
    <w:rsid w:val="00890886"/>
    <w:rsid w:val="00892914"/>
    <w:rsid w:val="00893102"/>
    <w:rsid w:val="00893239"/>
    <w:rsid w:val="00893941"/>
    <w:rsid w:val="008A0025"/>
    <w:rsid w:val="008A0B3B"/>
    <w:rsid w:val="008A1A35"/>
    <w:rsid w:val="008A2434"/>
    <w:rsid w:val="008A493D"/>
    <w:rsid w:val="008A4E46"/>
    <w:rsid w:val="008A74ED"/>
    <w:rsid w:val="008B1443"/>
    <w:rsid w:val="008B1694"/>
    <w:rsid w:val="008B2150"/>
    <w:rsid w:val="008B2CEB"/>
    <w:rsid w:val="008B4E57"/>
    <w:rsid w:val="008B5EB8"/>
    <w:rsid w:val="008B6308"/>
    <w:rsid w:val="008B7217"/>
    <w:rsid w:val="008B754A"/>
    <w:rsid w:val="008C03BF"/>
    <w:rsid w:val="008C0896"/>
    <w:rsid w:val="008C0A60"/>
    <w:rsid w:val="008C1282"/>
    <w:rsid w:val="008C309E"/>
    <w:rsid w:val="008C4C42"/>
    <w:rsid w:val="008C6D70"/>
    <w:rsid w:val="008C6E02"/>
    <w:rsid w:val="008C72A1"/>
    <w:rsid w:val="008D249B"/>
    <w:rsid w:val="008D52E2"/>
    <w:rsid w:val="008D60A7"/>
    <w:rsid w:val="008D6128"/>
    <w:rsid w:val="008D6C9D"/>
    <w:rsid w:val="008D7DF8"/>
    <w:rsid w:val="008D7EA5"/>
    <w:rsid w:val="008E316B"/>
    <w:rsid w:val="008E7492"/>
    <w:rsid w:val="008F07E0"/>
    <w:rsid w:val="008F752B"/>
    <w:rsid w:val="0090206A"/>
    <w:rsid w:val="0090296B"/>
    <w:rsid w:val="00910630"/>
    <w:rsid w:val="00911552"/>
    <w:rsid w:val="009115EF"/>
    <w:rsid w:val="00912A7E"/>
    <w:rsid w:val="00913A4A"/>
    <w:rsid w:val="00913F6C"/>
    <w:rsid w:val="0091500C"/>
    <w:rsid w:val="009151F6"/>
    <w:rsid w:val="0091606C"/>
    <w:rsid w:val="00916577"/>
    <w:rsid w:val="00916DFD"/>
    <w:rsid w:val="0091797C"/>
    <w:rsid w:val="00921CF5"/>
    <w:rsid w:val="00922561"/>
    <w:rsid w:val="009226F7"/>
    <w:rsid w:val="00924D64"/>
    <w:rsid w:val="0092661F"/>
    <w:rsid w:val="00926DAC"/>
    <w:rsid w:val="009300BF"/>
    <w:rsid w:val="0093321D"/>
    <w:rsid w:val="00933761"/>
    <w:rsid w:val="009340FC"/>
    <w:rsid w:val="00935298"/>
    <w:rsid w:val="0093650E"/>
    <w:rsid w:val="00937C2B"/>
    <w:rsid w:val="00940EE2"/>
    <w:rsid w:val="009419C0"/>
    <w:rsid w:val="00944BCB"/>
    <w:rsid w:val="00944EAE"/>
    <w:rsid w:val="00946081"/>
    <w:rsid w:val="00946D5C"/>
    <w:rsid w:val="00946F4A"/>
    <w:rsid w:val="009512A6"/>
    <w:rsid w:val="009526E5"/>
    <w:rsid w:val="00955E4B"/>
    <w:rsid w:val="00956C3A"/>
    <w:rsid w:val="0096066A"/>
    <w:rsid w:val="00961424"/>
    <w:rsid w:val="00962E67"/>
    <w:rsid w:val="00965825"/>
    <w:rsid w:val="0096776C"/>
    <w:rsid w:val="00970629"/>
    <w:rsid w:val="00971F6B"/>
    <w:rsid w:val="00976662"/>
    <w:rsid w:val="00977396"/>
    <w:rsid w:val="0098444C"/>
    <w:rsid w:val="00984B30"/>
    <w:rsid w:val="00986C51"/>
    <w:rsid w:val="00986DA9"/>
    <w:rsid w:val="00990540"/>
    <w:rsid w:val="009916EC"/>
    <w:rsid w:val="00991844"/>
    <w:rsid w:val="00993E41"/>
    <w:rsid w:val="00994EAD"/>
    <w:rsid w:val="00995D07"/>
    <w:rsid w:val="0099601F"/>
    <w:rsid w:val="0099607A"/>
    <w:rsid w:val="00996152"/>
    <w:rsid w:val="00996C8F"/>
    <w:rsid w:val="009A37E6"/>
    <w:rsid w:val="009A3E2B"/>
    <w:rsid w:val="009A3FE2"/>
    <w:rsid w:val="009A516C"/>
    <w:rsid w:val="009A6848"/>
    <w:rsid w:val="009A6ACB"/>
    <w:rsid w:val="009B0830"/>
    <w:rsid w:val="009B1EA5"/>
    <w:rsid w:val="009B29E8"/>
    <w:rsid w:val="009B40D3"/>
    <w:rsid w:val="009B4E40"/>
    <w:rsid w:val="009B77C5"/>
    <w:rsid w:val="009C0448"/>
    <w:rsid w:val="009C08CA"/>
    <w:rsid w:val="009C08E7"/>
    <w:rsid w:val="009C15CC"/>
    <w:rsid w:val="009C1D67"/>
    <w:rsid w:val="009C23B1"/>
    <w:rsid w:val="009C286A"/>
    <w:rsid w:val="009C31C0"/>
    <w:rsid w:val="009C3F14"/>
    <w:rsid w:val="009D06F2"/>
    <w:rsid w:val="009D0CDB"/>
    <w:rsid w:val="009D1775"/>
    <w:rsid w:val="009D23D0"/>
    <w:rsid w:val="009D35B9"/>
    <w:rsid w:val="009D3A2F"/>
    <w:rsid w:val="009D422E"/>
    <w:rsid w:val="009D462C"/>
    <w:rsid w:val="009D575E"/>
    <w:rsid w:val="009D6F5F"/>
    <w:rsid w:val="009D7F44"/>
    <w:rsid w:val="009E2329"/>
    <w:rsid w:val="009E36A1"/>
    <w:rsid w:val="009E6970"/>
    <w:rsid w:val="009E7037"/>
    <w:rsid w:val="009E78CB"/>
    <w:rsid w:val="009F01C0"/>
    <w:rsid w:val="009F0EBE"/>
    <w:rsid w:val="009F4147"/>
    <w:rsid w:val="009F4ECD"/>
    <w:rsid w:val="009F58B8"/>
    <w:rsid w:val="009F66FF"/>
    <w:rsid w:val="009F7BAA"/>
    <w:rsid w:val="00A0014B"/>
    <w:rsid w:val="00A01172"/>
    <w:rsid w:val="00A01395"/>
    <w:rsid w:val="00A03262"/>
    <w:rsid w:val="00A04A48"/>
    <w:rsid w:val="00A05939"/>
    <w:rsid w:val="00A10539"/>
    <w:rsid w:val="00A10921"/>
    <w:rsid w:val="00A11488"/>
    <w:rsid w:val="00A125EC"/>
    <w:rsid w:val="00A127E9"/>
    <w:rsid w:val="00A133FC"/>
    <w:rsid w:val="00A164FC"/>
    <w:rsid w:val="00A16ECA"/>
    <w:rsid w:val="00A17ADF"/>
    <w:rsid w:val="00A26746"/>
    <w:rsid w:val="00A270A8"/>
    <w:rsid w:val="00A30DDB"/>
    <w:rsid w:val="00A342E2"/>
    <w:rsid w:val="00A354B6"/>
    <w:rsid w:val="00A3600E"/>
    <w:rsid w:val="00A363D5"/>
    <w:rsid w:val="00A36B5B"/>
    <w:rsid w:val="00A36ECE"/>
    <w:rsid w:val="00A4016C"/>
    <w:rsid w:val="00A429D6"/>
    <w:rsid w:val="00A437C5"/>
    <w:rsid w:val="00A456F7"/>
    <w:rsid w:val="00A46421"/>
    <w:rsid w:val="00A46CCF"/>
    <w:rsid w:val="00A46F4A"/>
    <w:rsid w:val="00A46FBD"/>
    <w:rsid w:val="00A50EA1"/>
    <w:rsid w:val="00A526BB"/>
    <w:rsid w:val="00A53583"/>
    <w:rsid w:val="00A54F46"/>
    <w:rsid w:val="00A577E5"/>
    <w:rsid w:val="00A60FF6"/>
    <w:rsid w:val="00A63B14"/>
    <w:rsid w:val="00A6433D"/>
    <w:rsid w:val="00A64873"/>
    <w:rsid w:val="00A64E42"/>
    <w:rsid w:val="00A65408"/>
    <w:rsid w:val="00A65456"/>
    <w:rsid w:val="00A656C7"/>
    <w:rsid w:val="00A66665"/>
    <w:rsid w:val="00A67C88"/>
    <w:rsid w:val="00A708C1"/>
    <w:rsid w:val="00A715E5"/>
    <w:rsid w:val="00A72350"/>
    <w:rsid w:val="00A72B19"/>
    <w:rsid w:val="00A746FC"/>
    <w:rsid w:val="00A74A45"/>
    <w:rsid w:val="00A805D8"/>
    <w:rsid w:val="00A80952"/>
    <w:rsid w:val="00A8109B"/>
    <w:rsid w:val="00A8262A"/>
    <w:rsid w:val="00A827F3"/>
    <w:rsid w:val="00A82E0C"/>
    <w:rsid w:val="00A82E3A"/>
    <w:rsid w:val="00A8366C"/>
    <w:rsid w:val="00A836A5"/>
    <w:rsid w:val="00A83BB7"/>
    <w:rsid w:val="00A86D71"/>
    <w:rsid w:val="00A87185"/>
    <w:rsid w:val="00A90F50"/>
    <w:rsid w:val="00A96949"/>
    <w:rsid w:val="00A9789E"/>
    <w:rsid w:val="00AA12A3"/>
    <w:rsid w:val="00AA363F"/>
    <w:rsid w:val="00AA394C"/>
    <w:rsid w:val="00AA3DB3"/>
    <w:rsid w:val="00AA5CBD"/>
    <w:rsid w:val="00AA681E"/>
    <w:rsid w:val="00AB0CDC"/>
    <w:rsid w:val="00AB1622"/>
    <w:rsid w:val="00AB1B3F"/>
    <w:rsid w:val="00AB2D27"/>
    <w:rsid w:val="00AB31E3"/>
    <w:rsid w:val="00AB3212"/>
    <w:rsid w:val="00AB37F9"/>
    <w:rsid w:val="00AB4B0A"/>
    <w:rsid w:val="00AB5E32"/>
    <w:rsid w:val="00AB6471"/>
    <w:rsid w:val="00AC01CA"/>
    <w:rsid w:val="00AC2152"/>
    <w:rsid w:val="00AC2316"/>
    <w:rsid w:val="00AC49FE"/>
    <w:rsid w:val="00AC5FDF"/>
    <w:rsid w:val="00AD0453"/>
    <w:rsid w:val="00AD18E4"/>
    <w:rsid w:val="00AD2EE7"/>
    <w:rsid w:val="00AD4597"/>
    <w:rsid w:val="00AD6FA4"/>
    <w:rsid w:val="00AD7F55"/>
    <w:rsid w:val="00AE2F95"/>
    <w:rsid w:val="00AE3001"/>
    <w:rsid w:val="00AE3F25"/>
    <w:rsid w:val="00AE3F5D"/>
    <w:rsid w:val="00AE48CA"/>
    <w:rsid w:val="00AE5C6F"/>
    <w:rsid w:val="00AE79F2"/>
    <w:rsid w:val="00AF118D"/>
    <w:rsid w:val="00AF1B37"/>
    <w:rsid w:val="00AF2122"/>
    <w:rsid w:val="00AF25BC"/>
    <w:rsid w:val="00AF2EF6"/>
    <w:rsid w:val="00AF353A"/>
    <w:rsid w:val="00AF4865"/>
    <w:rsid w:val="00AF523F"/>
    <w:rsid w:val="00AF68DC"/>
    <w:rsid w:val="00AF7FE2"/>
    <w:rsid w:val="00B00212"/>
    <w:rsid w:val="00B00A2D"/>
    <w:rsid w:val="00B00D2E"/>
    <w:rsid w:val="00B0104E"/>
    <w:rsid w:val="00B0124B"/>
    <w:rsid w:val="00B01CA0"/>
    <w:rsid w:val="00B03EB8"/>
    <w:rsid w:val="00B04EBE"/>
    <w:rsid w:val="00B061CB"/>
    <w:rsid w:val="00B06664"/>
    <w:rsid w:val="00B1060D"/>
    <w:rsid w:val="00B1194B"/>
    <w:rsid w:val="00B123C7"/>
    <w:rsid w:val="00B13BA7"/>
    <w:rsid w:val="00B14658"/>
    <w:rsid w:val="00B14907"/>
    <w:rsid w:val="00B1524A"/>
    <w:rsid w:val="00B155EA"/>
    <w:rsid w:val="00B206B2"/>
    <w:rsid w:val="00B2353E"/>
    <w:rsid w:val="00B24AFF"/>
    <w:rsid w:val="00B31E51"/>
    <w:rsid w:val="00B361D9"/>
    <w:rsid w:val="00B367D8"/>
    <w:rsid w:val="00B40352"/>
    <w:rsid w:val="00B41011"/>
    <w:rsid w:val="00B4133E"/>
    <w:rsid w:val="00B42D5A"/>
    <w:rsid w:val="00B539CB"/>
    <w:rsid w:val="00B64595"/>
    <w:rsid w:val="00B65174"/>
    <w:rsid w:val="00B65DDE"/>
    <w:rsid w:val="00B661A1"/>
    <w:rsid w:val="00B66663"/>
    <w:rsid w:val="00B678D1"/>
    <w:rsid w:val="00B707B9"/>
    <w:rsid w:val="00B8078D"/>
    <w:rsid w:val="00B81CE5"/>
    <w:rsid w:val="00B82CE1"/>
    <w:rsid w:val="00B85465"/>
    <w:rsid w:val="00B86789"/>
    <w:rsid w:val="00B872CD"/>
    <w:rsid w:val="00B87C43"/>
    <w:rsid w:val="00B94FA3"/>
    <w:rsid w:val="00B97A42"/>
    <w:rsid w:val="00BA15FA"/>
    <w:rsid w:val="00BA22D2"/>
    <w:rsid w:val="00BA3BDB"/>
    <w:rsid w:val="00BA7055"/>
    <w:rsid w:val="00BA7C29"/>
    <w:rsid w:val="00BB017D"/>
    <w:rsid w:val="00BB0437"/>
    <w:rsid w:val="00BB2C01"/>
    <w:rsid w:val="00BB2DC4"/>
    <w:rsid w:val="00BB4333"/>
    <w:rsid w:val="00BC2425"/>
    <w:rsid w:val="00BC3330"/>
    <w:rsid w:val="00BC38FF"/>
    <w:rsid w:val="00BC4BDC"/>
    <w:rsid w:val="00BC65B3"/>
    <w:rsid w:val="00BC7EFC"/>
    <w:rsid w:val="00BD19B4"/>
    <w:rsid w:val="00BD3F68"/>
    <w:rsid w:val="00BD4A9C"/>
    <w:rsid w:val="00BD53D0"/>
    <w:rsid w:val="00BD726F"/>
    <w:rsid w:val="00BD79CD"/>
    <w:rsid w:val="00BD7C9E"/>
    <w:rsid w:val="00BE10AD"/>
    <w:rsid w:val="00BE15DB"/>
    <w:rsid w:val="00BE1986"/>
    <w:rsid w:val="00BE2386"/>
    <w:rsid w:val="00BE3060"/>
    <w:rsid w:val="00BE327E"/>
    <w:rsid w:val="00BE32F7"/>
    <w:rsid w:val="00BE3CD8"/>
    <w:rsid w:val="00BE3F17"/>
    <w:rsid w:val="00BE45A5"/>
    <w:rsid w:val="00BE5E88"/>
    <w:rsid w:val="00BF06ED"/>
    <w:rsid w:val="00BF1AFD"/>
    <w:rsid w:val="00BF2041"/>
    <w:rsid w:val="00BF364B"/>
    <w:rsid w:val="00BF3D1E"/>
    <w:rsid w:val="00BF7C9C"/>
    <w:rsid w:val="00C02B6B"/>
    <w:rsid w:val="00C02E39"/>
    <w:rsid w:val="00C11CCA"/>
    <w:rsid w:val="00C13B77"/>
    <w:rsid w:val="00C1432E"/>
    <w:rsid w:val="00C14E45"/>
    <w:rsid w:val="00C156AF"/>
    <w:rsid w:val="00C159DF"/>
    <w:rsid w:val="00C15A07"/>
    <w:rsid w:val="00C15D76"/>
    <w:rsid w:val="00C168DD"/>
    <w:rsid w:val="00C20292"/>
    <w:rsid w:val="00C206D6"/>
    <w:rsid w:val="00C212AF"/>
    <w:rsid w:val="00C214E6"/>
    <w:rsid w:val="00C2269F"/>
    <w:rsid w:val="00C24F9C"/>
    <w:rsid w:val="00C279A6"/>
    <w:rsid w:val="00C3041B"/>
    <w:rsid w:val="00C31080"/>
    <w:rsid w:val="00C3372F"/>
    <w:rsid w:val="00C353AC"/>
    <w:rsid w:val="00C355A4"/>
    <w:rsid w:val="00C42B4C"/>
    <w:rsid w:val="00C42E97"/>
    <w:rsid w:val="00C43DB5"/>
    <w:rsid w:val="00C44362"/>
    <w:rsid w:val="00C5002A"/>
    <w:rsid w:val="00C53B87"/>
    <w:rsid w:val="00C54317"/>
    <w:rsid w:val="00C54757"/>
    <w:rsid w:val="00C56112"/>
    <w:rsid w:val="00C56C47"/>
    <w:rsid w:val="00C621B5"/>
    <w:rsid w:val="00C62DBE"/>
    <w:rsid w:val="00C64735"/>
    <w:rsid w:val="00C66771"/>
    <w:rsid w:val="00C67F3D"/>
    <w:rsid w:val="00C709D3"/>
    <w:rsid w:val="00C70C22"/>
    <w:rsid w:val="00C736D8"/>
    <w:rsid w:val="00C747DF"/>
    <w:rsid w:val="00C80079"/>
    <w:rsid w:val="00C8162F"/>
    <w:rsid w:val="00C82A3D"/>
    <w:rsid w:val="00C84081"/>
    <w:rsid w:val="00C841E7"/>
    <w:rsid w:val="00C85F90"/>
    <w:rsid w:val="00C86930"/>
    <w:rsid w:val="00C8743E"/>
    <w:rsid w:val="00C87C6C"/>
    <w:rsid w:val="00C9151A"/>
    <w:rsid w:val="00C916F0"/>
    <w:rsid w:val="00C91948"/>
    <w:rsid w:val="00C91E95"/>
    <w:rsid w:val="00C94403"/>
    <w:rsid w:val="00C94657"/>
    <w:rsid w:val="00C95678"/>
    <w:rsid w:val="00C96595"/>
    <w:rsid w:val="00C9670A"/>
    <w:rsid w:val="00C96E1B"/>
    <w:rsid w:val="00CA1846"/>
    <w:rsid w:val="00CA1C8D"/>
    <w:rsid w:val="00CA2250"/>
    <w:rsid w:val="00CA3947"/>
    <w:rsid w:val="00CA4A50"/>
    <w:rsid w:val="00CA6131"/>
    <w:rsid w:val="00CA7578"/>
    <w:rsid w:val="00CA78BD"/>
    <w:rsid w:val="00CB1D94"/>
    <w:rsid w:val="00CB20EB"/>
    <w:rsid w:val="00CB24AC"/>
    <w:rsid w:val="00CB24C3"/>
    <w:rsid w:val="00CB5DB6"/>
    <w:rsid w:val="00CB76E9"/>
    <w:rsid w:val="00CC01FD"/>
    <w:rsid w:val="00CC308A"/>
    <w:rsid w:val="00CC3C15"/>
    <w:rsid w:val="00CC5455"/>
    <w:rsid w:val="00CC550C"/>
    <w:rsid w:val="00CC57B5"/>
    <w:rsid w:val="00CC5C19"/>
    <w:rsid w:val="00CD0087"/>
    <w:rsid w:val="00CD0140"/>
    <w:rsid w:val="00CD240F"/>
    <w:rsid w:val="00CD2E77"/>
    <w:rsid w:val="00CD311F"/>
    <w:rsid w:val="00CE0D53"/>
    <w:rsid w:val="00CE1B55"/>
    <w:rsid w:val="00CE1E4C"/>
    <w:rsid w:val="00CE200B"/>
    <w:rsid w:val="00CE26E1"/>
    <w:rsid w:val="00CE4455"/>
    <w:rsid w:val="00CE49AB"/>
    <w:rsid w:val="00CE4C44"/>
    <w:rsid w:val="00CE71FE"/>
    <w:rsid w:val="00CE7A6B"/>
    <w:rsid w:val="00CE7F6B"/>
    <w:rsid w:val="00CF03BA"/>
    <w:rsid w:val="00CF1AD7"/>
    <w:rsid w:val="00CF3A46"/>
    <w:rsid w:val="00CF4923"/>
    <w:rsid w:val="00CF532F"/>
    <w:rsid w:val="00CF6C37"/>
    <w:rsid w:val="00D02CCF"/>
    <w:rsid w:val="00D03934"/>
    <w:rsid w:val="00D05091"/>
    <w:rsid w:val="00D06604"/>
    <w:rsid w:val="00D1007C"/>
    <w:rsid w:val="00D126FA"/>
    <w:rsid w:val="00D13BD5"/>
    <w:rsid w:val="00D13DD5"/>
    <w:rsid w:val="00D140AE"/>
    <w:rsid w:val="00D154B2"/>
    <w:rsid w:val="00D15721"/>
    <w:rsid w:val="00D158C4"/>
    <w:rsid w:val="00D16106"/>
    <w:rsid w:val="00D243FD"/>
    <w:rsid w:val="00D247CC"/>
    <w:rsid w:val="00D24A52"/>
    <w:rsid w:val="00D24DE7"/>
    <w:rsid w:val="00D250C5"/>
    <w:rsid w:val="00D308A9"/>
    <w:rsid w:val="00D31353"/>
    <w:rsid w:val="00D31E47"/>
    <w:rsid w:val="00D320B9"/>
    <w:rsid w:val="00D34F5E"/>
    <w:rsid w:val="00D35F43"/>
    <w:rsid w:val="00D40690"/>
    <w:rsid w:val="00D43633"/>
    <w:rsid w:val="00D45D35"/>
    <w:rsid w:val="00D470CB"/>
    <w:rsid w:val="00D50462"/>
    <w:rsid w:val="00D5085A"/>
    <w:rsid w:val="00D51EFC"/>
    <w:rsid w:val="00D52310"/>
    <w:rsid w:val="00D53650"/>
    <w:rsid w:val="00D56618"/>
    <w:rsid w:val="00D569FE"/>
    <w:rsid w:val="00D56CEA"/>
    <w:rsid w:val="00D61696"/>
    <w:rsid w:val="00D62228"/>
    <w:rsid w:val="00D64521"/>
    <w:rsid w:val="00D65B1A"/>
    <w:rsid w:val="00D703CA"/>
    <w:rsid w:val="00D71E2F"/>
    <w:rsid w:val="00D73CCD"/>
    <w:rsid w:val="00D7487F"/>
    <w:rsid w:val="00D777B6"/>
    <w:rsid w:val="00D77A16"/>
    <w:rsid w:val="00D81FB2"/>
    <w:rsid w:val="00D85032"/>
    <w:rsid w:val="00D85AC5"/>
    <w:rsid w:val="00D874E6"/>
    <w:rsid w:val="00D92649"/>
    <w:rsid w:val="00D9355E"/>
    <w:rsid w:val="00D93929"/>
    <w:rsid w:val="00D93A25"/>
    <w:rsid w:val="00D944D4"/>
    <w:rsid w:val="00D94C93"/>
    <w:rsid w:val="00D953D8"/>
    <w:rsid w:val="00D97E02"/>
    <w:rsid w:val="00DA2536"/>
    <w:rsid w:val="00DA348D"/>
    <w:rsid w:val="00DA463C"/>
    <w:rsid w:val="00DA475F"/>
    <w:rsid w:val="00DA47D1"/>
    <w:rsid w:val="00DA5CC7"/>
    <w:rsid w:val="00DA7B0D"/>
    <w:rsid w:val="00DB1728"/>
    <w:rsid w:val="00DB1E76"/>
    <w:rsid w:val="00DB2F51"/>
    <w:rsid w:val="00DB39B6"/>
    <w:rsid w:val="00DB458F"/>
    <w:rsid w:val="00DB4893"/>
    <w:rsid w:val="00DB50F2"/>
    <w:rsid w:val="00DB5329"/>
    <w:rsid w:val="00DB6804"/>
    <w:rsid w:val="00DB6A75"/>
    <w:rsid w:val="00DB71E4"/>
    <w:rsid w:val="00DC221D"/>
    <w:rsid w:val="00DC33CC"/>
    <w:rsid w:val="00DC7355"/>
    <w:rsid w:val="00DC791F"/>
    <w:rsid w:val="00DD0A4B"/>
    <w:rsid w:val="00DD1E1F"/>
    <w:rsid w:val="00DD2E1A"/>
    <w:rsid w:val="00DD5AB3"/>
    <w:rsid w:val="00DD5AF9"/>
    <w:rsid w:val="00DD6BEF"/>
    <w:rsid w:val="00DE292F"/>
    <w:rsid w:val="00DE3034"/>
    <w:rsid w:val="00DE3635"/>
    <w:rsid w:val="00DE49F0"/>
    <w:rsid w:val="00DE5D56"/>
    <w:rsid w:val="00DE5FEA"/>
    <w:rsid w:val="00DE620E"/>
    <w:rsid w:val="00DF0E1B"/>
    <w:rsid w:val="00DF167C"/>
    <w:rsid w:val="00DF2BED"/>
    <w:rsid w:val="00DF6945"/>
    <w:rsid w:val="00E005E6"/>
    <w:rsid w:val="00E00E97"/>
    <w:rsid w:val="00E0365B"/>
    <w:rsid w:val="00E03675"/>
    <w:rsid w:val="00E038F5"/>
    <w:rsid w:val="00E04319"/>
    <w:rsid w:val="00E04ACF"/>
    <w:rsid w:val="00E06702"/>
    <w:rsid w:val="00E1134C"/>
    <w:rsid w:val="00E122C2"/>
    <w:rsid w:val="00E1328D"/>
    <w:rsid w:val="00E159E7"/>
    <w:rsid w:val="00E15B55"/>
    <w:rsid w:val="00E15D08"/>
    <w:rsid w:val="00E17C8D"/>
    <w:rsid w:val="00E21258"/>
    <w:rsid w:val="00E2293F"/>
    <w:rsid w:val="00E23B2F"/>
    <w:rsid w:val="00E23E8D"/>
    <w:rsid w:val="00E25873"/>
    <w:rsid w:val="00E26F8A"/>
    <w:rsid w:val="00E2775D"/>
    <w:rsid w:val="00E306BA"/>
    <w:rsid w:val="00E30874"/>
    <w:rsid w:val="00E33528"/>
    <w:rsid w:val="00E37416"/>
    <w:rsid w:val="00E41314"/>
    <w:rsid w:val="00E45E66"/>
    <w:rsid w:val="00E47363"/>
    <w:rsid w:val="00E477CD"/>
    <w:rsid w:val="00E4783C"/>
    <w:rsid w:val="00E47B85"/>
    <w:rsid w:val="00E5199D"/>
    <w:rsid w:val="00E52EA0"/>
    <w:rsid w:val="00E5519B"/>
    <w:rsid w:val="00E56D7A"/>
    <w:rsid w:val="00E6178A"/>
    <w:rsid w:val="00E61CA7"/>
    <w:rsid w:val="00E61FFB"/>
    <w:rsid w:val="00E62E22"/>
    <w:rsid w:val="00E648C7"/>
    <w:rsid w:val="00E651D4"/>
    <w:rsid w:val="00E66410"/>
    <w:rsid w:val="00E66D2E"/>
    <w:rsid w:val="00E67CEC"/>
    <w:rsid w:val="00E70008"/>
    <w:rsid w:val="00E71570"/>
    <w:rsid w:val="00E75FD7"/>
    <w:rsid w:val="00E75FF0"/>
    <w:rsid w:val="00E77539"/>
    <w:rsid w:val="00E77E0A"/>
    <w:rsid w:val="00E77F22"/>
    <w:rsid w:val="00E82021"/>
    <w:rsid w:val="00E821D4"/>
    <w:rsid w:val="00E84CDB"/>
    <w:rsid w:val="00E866F4"/>
    <w:rsid w:val="00E90F4A"/>
    <w:rsid w:val="00E91448"/>
    <w:rsid w:val="00E94CB0"/>
    <w:rsid w:val="00E95E9E"/>
    <w:rsid w:val="00E9615E"/>
    <w:rsid w:val="00E97371"/>
    <w:rsid w:val="00E97935"/>
    <w:rsid w:val="00EA0505"/>
    <w:rsid w:val="00EA1217"/>
    <w:rsid w:val="00EA204F"/>
    <w:rsid w:val="00EA2488"/>
    <w:rsid w:val="00EA2E23"/>
    <w:rsid w:val="00EA350B"/>
    <w:rsid w:val="00EA54F3"/>
    <w:rsid w:val="00EA63F4"/>
    <w:rsid w:val="00EA73EB"/>
    <w:rsid w:val="00EA7ABE"/>
    <w:rsid w:val="00EB16F5"/>
    <w:rsid w:val="00EB2862"/>
    <w:rsid w:val="00EB4F51"/>
    <w:rsid w:val="00EB5B45"/>
    <w:rsid w:val="00EB5E12"/>
    <w:rsid w:val="00EB6500"/>
    <w:rsid w:val="00EB6F53"/>
    <w:rsid w:val="00EB7A18"/>
    <w:rsid w:val="00EC1559"/>
    <w:rsid w:val="00EC1940"/>
    <w:rsid w:val="00EC1974"/>
    <w:rsid w:val="00EC1B5B"/>
    <w:rsid w:val="00EC2E93"/>
    <w:rsid w:val="00EC3797"/>
    <w:rsid w:val="00EC61A5"/>
    <w:rsid w:val="00EC6EB9"/>
    <w:rsid w:val="00ED2CF2"/>
    <w:rsid w:val="00EE0818"/>
    <w:rsid w:val="00EE20B3"/>
    <w:rsid w:val="00EE5135"/>
    <w:rsid w:val="00EE6946"/>
    <w:rsid w:val="00EE72BD"/>
    <w:rsid w:val="00EF004A"/>
    <w:rsid w:val="00EF150F"/>
    <w:rsid w:val="00EF60F4"/>
    <w:rsid w:val="00EF6481"/>
    <w:rsid w:val="00EF7C12"/>
    <w:rsid w:val="00F0060F"/>
    <w:rsid w:val="00F01E9A"/>
    <w:rsid w:val="00F0205C"/>
    <w:rsid w:val="00F05D46"/>
    <w:rsid w:val="00F1018D"/>
    <w:rsid w:val="00F11582"/>
    <w:rsid w:val="00F116FF"/>
    <w:rsid w:val="00F11706"/>
    <w:rsid w:val="00F11B98"/>
    <w:rsid w:val="00F12209"/>
    <w:rsid w:val="00F12911"/>
    <w:rsid w:val="00F134C4"/>
    <w:rsid w:val="00F137EE"/>
    <w:rsid w:val="00F16B65"/>
    <w:rsid w:val="00F200B7"/>
    <w:rsid w:val="00F21C92"/>
    <w:rsid w:val="00F238C8"/>
    <w:rsid w:val="00F24F7F"/>
    <w:rsid w:val="00F25441"/>
    <w:rsid w:val="00F30D00"/>
    <w:rsid w:val="00F3519F"/>
    <w:rsid w:val="00F364BC"/>
    <w:rsid w:val="00F36CAD"/>
    <w:rsid w:val="00F430D4"/>
    <w:rsid w:val="00F43409"/>
    <w:rsid w:val="00F46CBE"/>
    <w:rsid w:val="00F47144"/>
    <w:rsid w:val="00F474F7"/>
    <w:rsid w:val="00F50623"/>
    <w:rsid w:val="00F51363"/>
    <w:rsid w:val="00F517EB"/>
    <w:rsid w:val="00F52164"/>
    <w:rsid w:val="00F52C03"/>
    <w:rsid w:val="00F56549"/>
    <w:rsid w:val="00F57AA7"/>
    <w:rsid w:val="00F605F7"/>
    <w:rsid w:val="00F608BB"/>
    <w:rsid w:val="00F62483"/>
    <w:rsid w:val="00F64B10"/>
    <w:rsid w:val="00F67E40"/>
    <w:rsid w:val="00F71367"/>
    <w:rsid w:val="00F71808"/>
    <w:rsid w:val="00F73694"/>
    <w:rsid w:val="00F77C41"/>
    <w:rsid w:val="00F81251"/>
    <w:rsid w:val="00F817AB"/>
    <w:rsid w:val="00F84582"/>
    <w:rsid w:val="00F8519A"/>
    <w:rsid w:val="00F85422"/>
    <w:rsid w:val="00F85E0E"/>
    <w:rsid w:val="00F8600B"/>
    <w:rsid w:val="00F86594"/>
    <w:rsid w:val="00F9041B"/>
    <w:rsid w:val="00F916BA"/>
    <w:rsid w:val="00F91A2B"/>
    <w:rsid w:val="00F92C79"/>
    <w:rsid w:val="00F93AFC"/>
    <w:rsid w:val="00F93B82"/>
    <w:rsid w:val="00F94697"/>
    <w:rsid w:val="00F95465"/>
    <w:rsid w:val="00F971D5"/>
    <w:rsid w:val="00F97D07"/>
    <w:rsid w:val="00FA07E4"/>
    <w:rsid w:val="00FA105A"/>
    <w:rsid w:val="00FA11AC"/>
    <w:rsid w:val="00FA17EC"/>
    <w:rsid w:val="00FA20A1"/>
    <w:rsid w:val="00FA235F"/>
    <w:rsid w:val="00FA27EF"/>
    <w:rsid w:val="00FA36EC"/>
    <w:rsid w:val="00FA37BF"/>
    <w:rsid w:val="00FA392D"/>
    <w:rsid w:val="00FA3D2F"/>
    <w:rsid w:val="00FA6D3E"/>
    <w:rsid w:val="00FB0174"/>
    <w:rsid w:val="00FB03F8"/>
    <w:rsid w:val="00FB08F6"/>
    <w:rsid w:val="00FB09E8"/>
    <w:rsid w:val="00FB0C0B"/>
    <w:rsid w:val="00FB0DCF"/>
    <w:rsid w:val="00FB1911"/>
    <w:rsid w:val="00FB58E0"/>
    <w:rsid w:val="00FB5C65"/>
    <w:rsid w:val="00FB61BB"/>
    <w:rsid w:val="00FB6347"/>
    <w:rsid w:val="00FB715B"/>
    <w:rsid w:val="00FC1ED2"/>
    <w:rsid w:val="00FC26B5"/>
    <w:rsid w:val="00FC31EB"/>
    <w:rsid w:val="00FC3B4D"/>
    <w:rsid w:val="00FC3D1D"/>
    <w:rsid w:val="00FC49D9"/>
    <w:rsid w:val="00FC4E78"/>
    <w:rsid w:val="00FC751E"/>
    <w:rsid w:val="00FD0935"/>
    <w:rsid w:val="00FD37D6"/>
    <w:rsid w:val="00FD382A"/>
    <w:rsid w:val="00FD566C"/>
    <w:rsid w:val="00FD599B"/>
    <w:rsid w:val="00FD7AFF"/>
    <w:rsid w:val="00FE06E7"/>
    <w:rsid w:val="00FE0C81"/>
    <w:rsid w:val="00FE0DC7"/>
    <w:rsid w:val="00FE0FE2"/>
    <w:rsid w:val="00FE3367"/>
    <w:rsid w:val="00FE34E4"/>
    <w:rsid w:val="00FE4FFA"/>
    <w:rsid w:val="00FE5134"/>
    <w:rsid w:val="00FE68F9"/>
    <w:rsid w:val="00FF0982"/>
    <w:rsid w:val="00FF0A24"/>
    <w:rsid w:val="00FF21A1"/>
    <w:rsid w:val="00FF4F8A"/>
    <w:rsid w:val="00FF6757"/>
    <w:rsid w:val="00FF6DE2"/>
    <w:rsid w:val="010121B4"/>
    <w:rsid w:val="0109301C"/>
    <w:rsid w:val="01093824"/>
    <w:rsid w:val="010C3DC8"/>
    <w:rsid w:val="01214E9F"/>
    <w:rsid w:val="012774C6"/>
    <w:rsid w:val="01472052"/>
    <w:rsid w:val="01510822"/>
    <w:rsid w:val="01593494"/>
    <w:rsid w:val="017C4C76"/>
    <w:rsid w:val="017D2487"/>
    <w:rsid w:val="01852FBD"/>
    <w:rsid w:val="018A21AF"/>
    <w:rsid w:val="01906586"/>
    <w:rsid w:val="019A2EFD"/>
    <w:rsid w:val="019A6EAF"/>
    <w:rsid w:val="01A45240"/>
    <w:rsid w:val="01AF35D1"/>
    <w:rsid w:val="01BE01F8"/>
    <w:rsid w:val="01C43576"/>
    <w:rsid w:val="01D203BF"/>
    <w:rsid w:val="01DB7918"/>
    <w:rsid w:val="01EA67DB"/>
    <w:rsid w:val="01ED348C"/>
    <w:rsid w:val="01F0403A"/>
    <w:rsid w:val="01FB23CB"/>
    <w:rsid w:val="020A18F1"/>
    <w:rsid w:val="021368F0"/>
    <w:rsid w:val="0219066A"/>
    <w:rsid w:val="02262316"/>
    <w:rsid w:val="02320327"/>
    <w:rsid w:val="02474A49"/>
    <w:rsid w:val="02522DDA"/>
    <w:rsid w:val="02533ED5"/>
    <w:rsid w:val="025C49EE"/>
    <w:rsid w:val="025E2B1A"/>
    <w:rsid w:val="026B11BF"/>
    <w:rsid w:val="026D62FC"/>
    <w:rsid w:val="026E7F08"/>
    <w:rsid w:val="026F4EDB"/>
    <w:rsid w:val="028710B6"/>
    <w:rsid w:val="028C35A4"/>
    <w:rsid w:val="02A83E14"/>
    <w:rsid w:val="02AA01BB"/>
    <w:rsid w:val="02AD51D0"/>
    <w:rsid w:val="02B353FD"/>
    <w:rsid w:val="02B61907"/>
    <w:rsid w:val="02D3398A"/>
    <w:rsid w:val="02D943A4"/>
    <w:rsid w:val="02DA6184"/>
    <w:rsid w:val="02DF1744"/>
    <w:rsid w:val="02EA7AD6"/>
    <w:rsid w:val="02EB2811"/>
    <w:rsid w:val="02F155F8"/>
    <w:rsid w:val="0301505B"/>
    <w:rsid w:val="0307240F"/>
    <w:rsid w:val="0314419D"/>
    <w:rsid w:val="0316188B"/>
    <w:rsid w:val="031957EB"/>
    <w:rsid w:val="03200AE6"/>
    <w:rsid w:val="032121AE"/>
    <w:rsid w:val="033D7A4D"/>
    <w:rsid w:val="034B6875"/>
    <w:rsid w:val="035012AD"/>
    <w:rsid w:val="03564C06"/>
    <w:rsid w:val="037615D4"/>
    <w:rsid w:val="037E7CEA"/>
    <w:rsid w:val="03807DE9"/>
    <w:rsid w:val="038E4947"/>
    <w:rsid w:val="038F6A46"/>
    <w:rsid w:val="0396041E"/>
    <w:rsid w:val="03970EF3"/>
    <w:rsid w:val="039752A8"/>
    <w:rsid w:val="03A52100"/>
    <w:rsid w:val="03C1350F"/>
    <w:rsid w:val="03C66855"/>
    <w:rsid w:val="03CF5D09"/>
    <w:rsid w:val="03D436A7"/>
    <w:rsid w:val="03D948BB"/>
    <w:rsid w:val="03E20FA5"/>
    <w:rsid w:val="03E27237"/>
    <w:rsid w:val="03E2723E"/>
    <w:rsid w:val="03E44D4C"/>
    <w:rsid w:val="03ED02B4"/>
    <w:rsid w:val="03EE1902"/>
    <w:rsid w:val="040A1CBB"/>
    <w:rsid w:val="04122DFC"/>
    <w:rsid w:val="04132E68"/>
    <w:rsid w:val="041A5C49"/>
    <w:rsid w:val="041E2C99"/>
    <w:rsid w:val="042677B4"/>
    <w:rsid w:val="042F236B"/>
    <w:rsid w:val="043A06FC"/>
    <w:rsid w:val="043A3F7F"/>
    <w:rsid w:val="04437B7C"/>
    <w:rsid w:val="045031B6"/>
    <w:rsid w:val="045A6A33"/>
    <w:rsid w:val="04623760"/>
    <w:rsid w:val="04623994"/>
    <w:rsid w:val="046369C1"/>
    <w:rsid w:val="0480434D"/>
    <w:rsid w:val="0491110B"/>
    <w:rsid w:val="0491498E"/>
    <w:rsid w:val="04956AF6"/>
    <w:rsid w:val="049B5E13"/>
    <w:rsid w:val="04A0403F"/>
    <w:rsid w:val="04A610B0"/>
    <w:rsid w:val="04A75541"/>
    <w:rsid w:val="04B17441"/>
    <w:rsid w:val="04B270C1"/>
    <w:rsid w:val="04BD245F"/>
    <w:rsid w:val="04CD6DF8"/>
    <w:rsid w:val="04D410C5"/>
    <w:rsid w:val="04E03757"/>
    <w:rsid w:val="04E8539D"/>
    <w:rsid w:val="04EC3AD1"/>
    <w:rsid w:val="04ED2572"/>
    <w:rsid w:val="04F167E7"/>
    <w:rsid w:val="04F2372E"/>
    <w:rsid w:val="050A4B2D"/>
    <w:rsid w:val="050B483B"/>
    <w:rsid w:val="051849A5"/>
    <w:rsid w:val="051E41F2"/>
    <w:rsid w:val="05215F78"/>
    <w:rsid w:val="052554CC"/>
    <w:rsid w:val="05291032"/>
    <w:rsid w:val="05295E06"/>
    <w:rsid w:val="05306DB3"/>
    <w:rsid w:val="05344197"/>
    <w:rsid w:val="05456699"/>
    <w:rsid w:val="055702C3"/>
    <w:rsid w:val="055E085F"/>
    <w:rsid w:val="05753341"/>
    <w:rsid w:val="057F1792"/>
    <w:rsid w:val="05806815"/>
    <w:rsid w:val="05901729"/>
    <w:rsid w:val="059040EB"/>
    <w:rsid w:val="05905187"/>
    <w:rsid w:val="059E19E9"/>
    <w:rsid w:val="059E1C34"/>
    <w:rsid w:val="05A97B5B"/>
    <w:rsid w:val="05AD547D"/>
    <w:rsid w:val="05AF4FAD"/>
    <w:rsid w:val="05B57DF5"/>
    <w:rsid w:val="05BD12C6"/>
    <w:rsid w:val="05C3721B"/>
    <w:rsid w:val="05D51D25"/>
    <w:rsid w:val="05DA0525"/>
    <w:rsid w:val="05DA7AB3"/>
    <w:rsid w:val="05E155B5"/>
    <w:rsid w:val="05E435C2"/>
    <w:rsid w:val="05E66008"/>
    <w:rsid w:val="05F81957"/>
    <w:rsid w:val="06170A6B"/>
    <w:rsid w:val="061A6E25"/>
    <w:rsid w:val="062D7C32"/>
    <w:rsid w:val="064136D1"/>
    <w:rsid w:val="06443FD4"/>
    <w:rsid w:val="06447DCC"/>
    <w:rsid w:val="064F0F22"/>
    <w:rsid w:val="064F2365"/>
    <w:rsid w:val="065906F6"/>
    <w:rsid w:val="066940F8"/>
    <w:rsid w:val="06796A2D"/>
    <w:rsid w:val="067A7314"/>
    <w:rsid w:val="0684349A"/>
    <w:rsid w:val="06923491"/>
    <w:rsid w:val="06994AB6"/>
    <w:rsid w:val="06994D63"/>
    <w:rsid w:val="06A06111"/>
    <w:rsid w:val="06A52D74"/>
    <w:rsid w:val="06AA34EC"/>
    <w:rsid w:val="06B70AFE"/>
    <w:rsid w:val="06B832D5"/>
    <w:rsid w:val="06BB7496"/>
    <w:rsid w:val="06C510AB"/>
    <w:rsid w:val="06C902FE"/>
    <w:rsid w:val="06CC38F2"/>
    <w:rsid w:val="06CD055E"/>
    <w:rsid w:val="06D0743C"/>
    <w:rsid w:val="06D74E33"/>
    <w:rsid w:val="06E32048"/>
    <w:rsid w:val="06E55C8B"/>
    <w:rsid w:val="06F37876"/>
    <w:rsid w:val="06F611D7"/>
    <w:rsid w:val="06FC3783"/>
    <w:rsid w:val="06FE27EA"/>
    <w:rsid w:val="07025B10"/>
    <w:rsid w:val="070E58EA"/>
    <w:rsid w:val="071C1AB9"/>
    <w:rsid w:val="073629BC"/>
    <w:rsid w:val="073A17BD"/>
    <w:rsid w:val="07485E01"/>
    <w:rsid w:val="07486F83"/>
    <w:rsid w:val="074C0893"/>
    <w:rsid w:val="074D14A1"/>
    <w:rsid w:val="07575493"/>
    <w:rsid w:val="077E0859"/>
    <w:rsid w:val="07974122"/>
    <w:rsid w:val="079E1A35"/>
    <w:rsid w:val="079F680F"/>
    <w:rsid w:val="07A76DE7"/>
    <w:rsid w:val="07BA6962"/>
    <w:rsid w:val="07BF12C2"/>
    <w:rsid w:val="07CB0149"/>
    <w:rsid w:val="07CB5286"/>
    <w:rsid w:val="07E27F0F"/>
    <w:rsid w:val="07EB560A"/>
    <w:rsid w:val="07ED18CC"/>
    <w:rsid w:val="07F25CC5"/>
    <w:rsid w:val="07F42849"/>
    <w:rsid w:val="07F44609"/>
    <w:rsid w:val="080055AF"/>
    <w:rsid w:val="08026572"/>
    <w:rsid w:val="080A4391"/>
    <w:rsid w:val="080B3940"/>
    <w:rsid w:val="080F2F3C"/>
    <w:rsid w:val="08144816"/>
    <w:rsid w:val="08161CD1"/>
    <w:rsid w:val="082038E6"/>
    <w:rsid w:val="082B1C77"/>
    <w:rsid w:val="082F0A39"/>
    <w:rsid w:val="083A5AAB"/>
    <w:rsid w:val="08426019"/>
    <w:rsid w:val="084C43AA"/>
    <w:rsid w:val="084F3423"/>
    <w:rsid w:val="085937CC"/>
    <w:rsid w:val="0862434F"/>
    <w:rsid w:val="08646A8A"/>
    <w:rsid w:val="0874513E"/>
    <w:rsid w:val="08822685"/>
    <w:rsid w:val="088A0608"/>
    <w:rsid w:val="088B462B"/>
    <w:rsid w:val="088C0A16"/>
    <w:rsid w:val="088E0145"/>
    <w:rsid w:val="088E0696"/>
    <w:rsid w:val="08986A27"/>
    <w:rsid w:val="089E2836"/>
    <w:rsid w:val="08A86048"/>
    <w:rsid w:val="08B83D7B"/>
    <w:rsid w:val="08B84D5E"/>
    <w:rsid w:val="08C17522"/>
    <w:rsid w:val="08C330EF"/>
    <w:rsid w:val="08C40B03"/>
    <w:rsid w:val="08C52D6F"/>
    <w:rsid w:val="08E510A5"/>
    <w:rsid w:val="08F902E3"/>
    <w:rsid w:val="08F923B8"/>
    <w:rsid w:val="08FA104A"/>
    <w:rsid w:val="09020728"/>
    <w:rsid w:val="090F576C"/>
    <w:rsid w:val="0912608B"/>
    <w:rsid w:val="09216BB1"/>
    <w:rsid w:val="092C4EB6"/>
    <w:rsid w:val="09376C8A"/>
    <w:rsid w:val="09452318"/>
    <w:rsid w:val="095161D6"/>
    <w:rsid w:val="09520E59"/>
    <w:rsid w:val="09552E0E"/>
    <w:rsid w:val="095828A3"/>
    <w:rsid w:val="095B7DEA"/>
    <w:rsid w:val="095F7640"/>
    <w:rsid w:val="09695378"/>
    <w:rsid w:val="09734CA0"/>
    <w:rsid w:val="099224C2"/>
    <w:rsid w:val="09A1241F"/>
    <w:rsid w:val="09C466FC"/>
    <w:rsid w:val="09C65421"/>
    <w:rsid w:val="09D56FE5"/>
    <w:rsid w:val="09D81F87"/>
    <w:rsid w:val="09DD72C1"/>
    <w:rsid w:val="09E868C8"/>
    <w:rsid w:val="09E8755A"/>
    <w:rsid w:val="09E92ED1"/>
    <w:rsid w:val="09F158A1"/>
    <w:rsid w:val="0A0800BD"/>
    <w:rsid w:val="0A173BC0"/>
    <w:rsid w:val="0A181A09"/>
    <w:rsid w:val="0A2055A9"/>
    <w:rsid w:val="0A250907"/>
    <w:rsid w:val="0A263D05"/>
    <w:rsid w:val="0A264B9C"/>
    <w:rsid w:val="0A2C7219"/>
    <w:rsid w:val="0A420C2D"/>
    <w:rsid w:val="0A601425"/>
    <w:rsid w:val="0A616013"/>
    <w:rsid w:val="0A7A77A6"/>
    <w:rsid w:val="0A7D5EDD"/>
    <w:rsid w:val="0A960A6B"/>
    <w:rsid w:val="0AA3159F"/>
    <w:rsid w:val="0AA951F4"/>
    <w:rsid w:val="0AAA6801"/>
    <w:rsid w:val="0AAE28C3"/>
    <w:rsid w:val="0AB86A22"/>
    <w:rsid w:val="0AC24ECA"/>
    <w:rsid w:val="0AC53F21"/>
    <w:rsid w:val="0AC84A4F"/>
    <w:rsid w:val="0ACD7734"/>
    <w:rsid w:val="0AD472DB"/>
    <w:rsid w:val="0AD84D58"/>
    <w:rsid w:val="0ADE4913"/>
    <w:rsid w:val="0AF64843"/>
    <w:rsid w:val="0AF853BA"/>
    <w:rsid w:val="0B000F45"/>
    <w:rsid w:val="0B0421DA"/>
    <w:rsid w:val="0B0C2372"/>
    <w:rsid w:val="0B227BC9"/>
    <w:rsid w:val="0B2473D6"/>
    <w:rsid w:val="0B2E5767"/>
    <w:rsid w:val="0B307D1F"/>
    <w:rsid w:val="0B397328"/>
    <w:rsid w:val="0B3F6CA1"/>
    <w:rsid w:val="0B4B4B6A"/>
    <w:rsid w:val="0B4E6DAF"/>
    <w:rsid w:val="0B4F0990"/>
    <w:rsid w:val="0B5563DA"/>
    <w:rsid w:val="0B6C5965"/>
    <w:rsid w:val="0B7D2CF2"/>
    <w:rsid w:val="0B7E6E21"/>
    <w:rsid w:val="0B8528F2"/>
    <w:rsid w:val="0B87399E"/>
    <w:rsid w:val="0B904506"/>
    <w:rsid w:val="0B940E9E"/>
    <w:rsid w:val="0B9A2898"/>
    <w:rsid w:val="0BA4105B"/>
    <w:rsid w:val="0BBA0BCE"/>
    <w:rsid w:val="0BC41387"/>
    <w:rsid w:val="0BD107F3"/>
    <w:rsid w:val="0BE35CE1"/>
    <w:rsid w:val="0BEC5753"/>
    <w:rsid w:val="0BF063E0"/>
    <w:rsid w:val="0BF132A6"/>
    <w:rsid w:val="0BFD2D71"/>
    <w:rsid w:val="0C090F5C"/>
    <w:rsid w:val="0C115E26"/>
    <w:rsid w:val="0C13125D"/>
    <w:rsid w:val="0C153856"/>
    <w:rsid w:val="0C1A0C1A"/>
    <w:rsid w:val="0C1E0645"/>
    <w:rsid w:val="0C1E6CBF"/>
    <w:rsid w:val="0C330ACE"/>
    <w:rsid w:val="0C335084"/>
    <w:rsid w:val="0C4B09E8"/>
    <w:rsid w:val="0C521A6E"/>
    <w:rsid w:val="0C720E4A"/>
    <w:rsid w:val="0C747FFC"/>
    <w:rsid w:val="0C7C7E6B"/>
    <w:rsid w:val="0C7F638D"/>
    <w:rsid w:val="0C853CB3"/>
    <w:rsid w:val="0C8E0FEF"/>
    <w:rsid w:val="0C8F06B5"/>
    <w:rsid w:val="0C946333"/>
    <w:rsid w:val="0C963AC7"/>
    <w:rsid w:val="0CA04344"/>
    <w:rsid w:val="0CA929CD"/>
    <w:rsid w:val="0CAF7FFC"/>
    <w:rsid w:val="0CB37E4E"/>
    <w:rsid w:val="0CB61CF9"/>
    <w:rsid w:val="0CDB044B"/>
    <w:rsid w:val="0CE0512D"/>
    <w:rsid w:val="0CEC1E9C"/>
    <w:rsid w:val="0CF74D52"/>
    <w:rsid w:val="0D0C1474"/>
    <w:rsid w:val="0D173089"/>
    <w:rsid w:val="0D177805"/>
    <w:rsid w:val="0D22141A"/>
    <w:rsid w:val="0D286357"/>
    <w:rsid w:val="0D397A5A"/>
    <w:rsid w:val="0D403749"/>
    <w:rsid w:val="0D486BD3"/>
    <w:rsid w:val="0D4E5761"/>
    <w:rsid w:val="0D650A0F"/>
    <w:rsid w:val="0D7308C6"/>
    <w:rsid w:val="0D7E0BEF"/>
    <w:rsid w:val="0D895E88"/>
    <w:rsid w:val="0D8F61CA"/>
    <w:rsid w:val="0DAF4501"/>
    <w:rsid w:val="0DBD7B6F"/>
    <w:rsid w:val="0DC40C23"/>
    <w:rsid w:val="0DC444A6"/>
    <w:rsid w:val="0DC57898"/>
    <w:rsid w:val="0DD10C4F"/>
    <w:rsid w:val="0DD33B99"/>
    <w:rsid w:val="0DD66BE0"/>
    <w:rsid w:val="0DDD64B0"/>
    <w:rsid w:val="0DDE1126"/>
    <w:rsid w:val="0DDF4EEF"/>
    <w:rsid w:val="0DE3447F"/>
    <w:rsid w:val="0DEF7681"/>
    <w:rsid w:val="0E096A06"/>
    <w:rsid w:val="0E123975"/>
    <w:rsid w:val="0E1B1632"/>
    <w:rsid w:val="0E2230B3"/>
    <w:rsid w:val="0E223EA5"/>
    <w:rsid w:val="0E263246"/>
    <w:rsid w:val="0E290EBC"/>
    <w:rsid w:val="0E37464C"/>
    <w:rsid w:val="0E3C75E8"/>
    <w:rsid w:val="0E45489C"/>
    <w:rsid w:val="0E4A4B6A"/>
    <w:rsid w:val="0E4B0B22"/>
    <w:rsid w:val="0E4D0697"/>
    <w:rsid w:val="0E52758D"/>
    <w:rsid w:val="0E590597"/>
    <w:rsid w:val="0E5A196E"/>
    <w:rsid w:val="0E5C6BE5"/>
    <w:rsid w:val="0E6E61AD"/>
    <w:rsid w:val="0E6F2234"/>
    <w:rsid w:val="0E710DAC"/>
    <w:rsid w:val="0E7208FF"/>
    <w:rsid w:val="0E7D3C55"/>
    <w:rsid w:val="0EA404FC"/>
    <w:rsid w:val="0EB3632D"/>
    <w:rsid w:val="0EBE46BE"/>
    <w:rsid w:val="0EC0144B"/>
    <w:rsid w:val="0ED2418C"/>
    <w:rsid w:val="0ED333F4"/>
    <w:rsid w:val="0ED5792B"/>
    <w:rsid w:val="0ED715EA"/>
    <w:rsid w:val="0EDE70F7"/>
    <w:rsid w:val="0F0300FC"/>
    <w:rsid w:val="0F035021"/>
    <w:rsid w:val="0F0A5D32"/>
    <w:rsid w:val="0F0C7E0D"/>
    <w:rsid w:val="0F2130DE"/>
    <w:rsid w:val="0F337EE2"/>
    <w:rsid w:val="0F564D38"/>
    <w:rsid w:val="0F69741B"/>
    <w:rsid w:val="0F7D5978"/>
    <w:rsid w:val="0F917E29"/>
    <w:rsid w:val="0FA201B4"/>
    <w:rsid w:val="0FAE40A8"/>
    <w:rsid w:val="0FAF74C9"/>
    <w:rsid w:val="0FB12A96"/>
    <w:rsid w:val="0FC43C1B"/>
    <w:rsid w:val="0FC91031"/>
    <w:rsid w:val="0FCB6A49"/>
    <w:rsid w:val="0FCD1A5B"/>
    <w:rsid w:val="0FCD487B"/>
    <w:rsid w:val="0FE82358"/>
    <w:rsid w:val="0FED3487"/>
    <w:rsid w:val="0FEE2832"/>
    <w:rsid w:val="0FF90BC3"/>
    <w:rsid w:val="0FFA7CDC"/>
    <w:rsid w:val="100030EB"/>
    <w:rsid w:val="10015272"/>
    <w:rsid w:val="100C73A3"/>
    <w:rsid w:val="100E52E5"/>
    <w:rsid w:val="101D622F"/>
    <w:rsid w:val="10206512"/>
    <w:rsid w:val="10251E3B"/>
    <w:rsid w:val="1025205D"/>
    <w:rsid w:val="10307C7B"/>
    <w:rsid w:val="10357274"/>
    <w:rsid w:val="10417D83"/>
    <w:rsid w:val="105054BC"/>
    <w:rsid w:val="105D537C"/>
    <w:rsid w:val="1084324F"/>
    <w:rsid w:val="108D4907"/>
    <w:rsid w:val="108E707F"/>
    <w:rsid w:val="1091203B"/>
    <w:rsid w:val="109B03CC"/>
    <w:rsid w:val="109C3C4F"/>
    <w:rsid w:val="10A00BBC"/>
    <w:rsid w:val="10A00E68"/>
    <w:rsid w:val="10A832AE"/>
    <w:rsid w:val="10B10371"/>
    <w:rsid w:val="10BB6702"/>
    <w:rsid w:val="10BF51CE"/>
    <w:rsid w:val="10D26327"/>
    <w:rsid w:val="10DA70EF"/>
    <w:rsid w:val="10E85D69"/>
    <w:rsid w:val="10F0191E"/>
    <w:rsid w:val="10F221A4"/>
    <w:rsid w:val="11090A1D"/>
    <w:rsid w:val="11127111"/>
    <w:rsid w:val="111E5122"/>
    <w:rsid w:val="111F6BF7"/>
    <w:rsid w:val="112057FA"/>
    <w:rsid w:val="11217992"/>
    <w:rsid w:val="112232F6"/>
    <w:rsid w:val="112852FE"/>
    <w:rsid w:val="112B3025"/>
    <w:rsid w:val="112E511B"/>
    <w:rsid w:val="114917E9"/>
    <w:rsid w:val="114B5F77"/>
    <w:rsid w:val="11572698"/>
    <w:rsid w:val="115E7812"/>
    <w:rsid w:val="1174641C"/>
    <w:rsid w:val="117549F1"/>
    <w:rsid w:val="11755507"/>
    <w:rsid w:val="11803EC2"/>
    <w:rsid w:val="11872CCC"/>
    <w:rsid w:val="118A2253"/>
    <w:rsid w:val="118F4605"/>
    <w:rsid w:val="11A4040E"/>
    <w:rsid w:val="11C101AE"/>
    <w:rsid w:val="11C33A29"/>
    <w:rsid w:val="11D648D0"/>
    <w:rsid w:val="11D70154"/>
    <w:rsid w:val="11E12C61"/>
    <w:rsid w:val="11F446E0"/>
    <w:rsid w:val="11F62C07"/>
    <w:rsid w:val="12022DF2"/>
    <w:rsid w:val="12124483"/>
    <w:rsid w:val="12320870"/>
    <w:rsid w:val="126D2D36"/>
    <w:rsid w:val="12747F6F"/>
    <w:rsid w:val="12752E71"/>
    <w:rsid w:val="128447B5"/>
    <w:rsid w:val="12864420"/>
    <w:rsid w:val="128A0A24"/>
    <w:rsid w:val="128B46C0"/>
    <w:rsid w:val="128E407F"/>
    <w:rsid w:val="12A94E4D"/>
    <w:rsid w:val="12C56343"/>
    <w:rsid w:val="12E21132"/>
    <w:rsid w:val="12E54A8E"/>
    <w:rsid w:val="12EC0C3E"/>
    <w:rsid w:val="12ED5BEB"/>
    <w:rsid w:val="12F22E7F"/>
    <w:rsid w:val="12FE4B8D"/>
    <w:rsid w:val="130064FB"/>
    <w:rsid w:val="13074BB8"/>
    <w:rsid w:val="130D0B0A"/>
    <w:rsid w:val="130F5D29"/>
    <w:rsid w:val="131C29E9"/>
    <w:rsid w:val="132F431F"/>
    <w:rsid w:val="133C549C"/>
    <w:rsid w:val="134770B1"/>
    <w:rsid w:val="13553C02"/>
    <w:rsid w:val="1362585A"/>
    <w:rsid w:val="136A338F"/>
    <w:rsid w:val="13813182"/>
    <w:rsid w:val="13854CBD"/>
    <w:rsid w:val="13887B1A"/>
    <w:rsid w:val="138E3EAE"/>
    <w:rsid w:val="138F4A7E"/>
    <w:rsid w:val="13920AB4"/>
    <w:rsid w:val="13A85E50"/>
    <w:rsid w:val="13AA165E"/>
    <w:rsid w:val="13B43E61"/>
    <w:rsid w:val="13B466CC"/>
    <w:rsid w:val="13BA2792"/>
    <w:rsid w:val="13BA2BAF"/>
    <w:rsid w:val="13C63ADF"/>
    <w:rsid w:val="13CA0070"/>
    <w:rsid w:val="13CC0FD4"/>
    <w:rsid w:val="13D62F02"/>
    <w:rsid w:val="13DF0529"/>
    <w:rsid w:val="13E60B9A"/>
    <w:rsid w:val="13E968BA"/>
    <w:rsid w:val="13F045C1"/>
    <w:rsid w:val="141D66E9"/>
    <w:rsid w:val="141F17CD"/>
    <w:rsid w:val="14200F92"/>
    <w:rsid w:val="14214815"/>
    <w:rsid w:val="142E1CA8"/>
    <w:rsid w:val="14335CF0"/>
    <w:rsid w:val="143A5425"/>
    <w:rsid w:val="144873D6"/>
    <w:rsid w:val="144F6E1C"/>
    <w:rsid w:val="14517EF3"/>
    <w:rsid w:val="1457366A"/>
    <w:rsid w:val="14676145"/>
    <w:rsid w:val="146C484E"/>
    <w:rsid w:val="14741DE5"/>
    <w:rsid w:val="1487400B"/>
    <w:rsid w:val="1490670C"/>
    <w:rsid w:val="149F1264"/>
    <w:rsid w:val="14AE78FC"/>
    <w:rsid w:val="14B95C8D"/>
    <w:rsid w:val="14BC4570"/>
    <w:rsid w:val="14BD1538"/>
    <w:rsid w:val="14C3401F"/>
    <w:rsid w:val="14DF1DB2"/>
    <w:rsid w:val="14EE06E6"/>
    <w:rsid w:val="14EF0366"/>
    <w:rsid w:val="14F9422A"/>
    <w:rsid w:val="14FA66F7"/>
    <w:rsid w:val="152118C2"/>
    <w:rsid w:val="15223A41"/>
    <w:rsid w:val="15242DBE"/>
    <w:rsid w:val="152A0F41"/>
    <w:rsid w:val="154410F5"/>
    <w:rsid w:val="155147CA"/>
    <w:rsid w:val="155B5497"/>
    <w:rsid w:val="155C6F46"/>
    <w:rsid w:val="155D20B5"/>
    <w:rsid w:val="157B37CD"/>
    <w:rsid w:val="157B566A"/>
    <w:rsid w:val="157D344D"/>
    <w:rsid w:val="15904378"/>
    <w:rsid w:val="15A01BFD"/>
    <w:rsid w:val="15A04356"/>
    <w:rsid w:val="15A60000"/>
    <w:rsid w:val="15A7642A"/>
    <w:rsid w:val="15B21729"/>
    <w:rsid w:val="15BA6622"/>
    <w:rsid w:val="15BD7ABA"/>
    <w:rsid w:val="15C42651"/>
    <w:rsid w:val="15DD6C30"/>
    <w:rsid w:val="15DE4F46"/>
    <w:rsid w:val="15E518D3"/>
    <w:rsid w:val="15E53360"/>
    <w:rsid w:val="15E955DF"/>
    <w:rsid w:val="15F852A3"/>
    <w:rsid w:val="15FA5FC3"/>
    <w:rsid w:val="15FF24AF"/>
    <w:rsid w:val="1600509B"/>
    <w:rsid w:val="160075B0"/>
    <w:rsid w:val="160968B4"/>
    <w:rsid w:val="161404C8"/>
    <w:rsid w:val="16192737"/>
    <w:rsid w:val="16352BFB"/>
    <w:rsid w:val="163F0F8C"/>
    <w:rsid w:val="16593B60"/>
    <w:rsid w:val="166A5654"/>
    <w:rsid w:val="166E364E"/>
    <w:rsid w:val="166E4478"/>
    <w:rsid w:val="16815279"/>
    <w:rsid w:val="16842661"/>
    <w:rsid w:val="168C360A"/>
    <w:rsid w:val="16A6709A"/>
    <w:rsid w:val="16B3571C"/>
    <w:rsid w:val="16B67CD2"/>
    <w:rsid w:val="16C16063"/>
    <w:rsid w:val="16CF7820"/>
    <w:rsid w:val="16D11244"/>
    <w:rsid w:val="16D73273"/>
    <w:rsid w:val="16DE0668"/>
    <w:rsid w:val="16E725BD"/>
    <w:rsid w:val="16ED23AA"/>
    <w:rsid w:val="16F070D2"/>
    <w:rsid w:val="16F52C86"/>
    <w:rsid w:val="16F83A74"/>
    <w:rsid w:val="16FC5C88"/>
    <w:rsid w:val="17114D35"/>
    <w:rsid w:val="17123A25"/>
    <w:rsid w:val="17280647"/>
    <w:rsid w:val="1730603A"/>
    <w:rsid w:val="1733712E"/>
    <w:rsid w:val="173F12DE"/>
    <w:rsid w:val="176A60FB"/>
    <w:rsid w:val="176D0F0E"/>
    <w:rsid w:val="17816C3B"/>
    <w:rsid w:val="179A37C7"/>
    <w:rsid w:val="179A6967"/>
    <w:rsid w:val="17AB7911"/>
    <w:rsid w:val="17CA1ED1"/>
    <w:rsid w:val="17D15EA0"/>
    <w:rsid w:val="17DB47C9"/>
    <w:rsid w:val="17E040F8"/>
    <w:rsid w:val="17E625C2"/>
    <w:rsid w:val="17E9393B"/>
    <w:rsid w:val="180E79DB"/>
    <w:rsid w:val="1816528B"/>
    <w:rsid w:val="18212B22"/>
    <w:rsid w:val="182E1910"/>
    <w:rsid w:val="18386666"/>
    <w:rsid w:val="183F3E4A"/>
    <w:rsid w:val="18481B17"/>
    <w:rsid w:val="184B7CE6"/>
    <w:rsid w:val="185314B7"/>
    <w:rsid w:val="18542BF6"/>
    <w:rsid w:val="18554C49"/>
    <w:rsid w:val="18647688"/>
    <w:rsid w:val="18655107"/>
    <w:rsid w:val="186F6888"/>
    <w:rsid w:val="187A6BFB"/>
    <w:rsid w:val="188F5C15"/>
    <w:rsid w:val="189974D5"/>
    <w:rsid w:val="18A3552D"/>
    <w:rsid w:val="18A46C1D"/>
    <w:rsid w:val="18A81D49"/>
    <w:rsid w:val="18D57CCC"/>
    <w:rsid w:val="18DE0462"/>
    <w:rsid w:val="18E018E0"/>
    <w:rsid w:val="18E0605D"/>
    <w:rsid w:val="18E96AD5"/>
    <w:rsid w:val="18EE5902"/>
    <w:rsid w:val="18F54FAA"/>
    <w:rsid w:val="18FA1D7D"/>
    <w:rsid w:val="18FE6252"/>
    <w:rsid w:val="18FF5E81"/>
    <w:rsid w:val="19062F86"/>
    <w:rsid w:val="1907711D"/>
    <w:rsid w:val="19081CEC"/>
    <w:rsid w:val="19114412"/>
    <w:rsid w:val="192164AA"/>
    <w:rsid w:val="193606EC"/>
    <w:rsid w:val="19414A61"/>
    <w:rsid w:val="195D377E"/>
    <w:rsid w:val="19632DB3"/>
    <w:rsid w:val="197874D5"/>
    <w:rsid w:val="19845E24"/>
    <w:rsid w:val="198E5997"/>
    <w:rsid w:val="19942581"/>
    <w:rsid w:val="19A21CD4"/>
    <w:rsid w:val="19A6305F"/>
    <w:rsid w:val="19B959AB"/>
    <w:rsid w:val="19BB11C8"/>
    <w:rsid w:val="19C92FED"/>
    <w:rsid w:val="19DF1761"/>
    <w:rsid w:val="19FA27BF"/>
    <w:rsid w:val="19FF12D3"/>
    <w:rsid w:val="1A042C9F"/>
    <w:rsid w:val="1A065E3F"/>
    <w:rsid w:val="1A1041D0"/>
    <w:rsid w:val="1A2754B3"/>
    <w:rsid w:val="1A2A56C6"/>
    <w:rsid w:val="1A2E757C"/>
    <w:rsid w:val="1A2F0ED3"/>
    <w:rsid w:val="1A302507"/>
    <w:rsid w:val="1A4768A9"/>
    <w:rsid w:val="1A722F70"/>
    <w:rsid w:val="1A725BBE"/>
    <w:rsid w:val="1A7A74D7"/>
    <w:rsid w:val="1A7C1301"/>
    <w:rsid w:val="1A7D4B85"/>
    <w:rsid w:val="1A7F26E9"/>
    <w:rsid w:val="1A8E78C8"/>
    <w:rsid w:val="1A9212A7"/>
    <w:rsid w:val="1A9612B1"/>
    <w:rsid w:val="1A975C0F"/>
    <w:rsid w:val="1A9A1477"/>
    <w:rsid w:val="1A9A6153"/>
    <w:rsid w:val="1A9C7638"/>
    <w:rsid w:val="1AAE7578"/>
    <w:rsid w:val="1AB32536"/>
    <w:rsid w:val="1ABD340B"/>
    <w:rsid w:val="1ABE37D1"/>
    <w:rsid w:val="1AC069D7"/>
    <w:rsid w:val="1AC94B34"/>
    <w:rsid w:val="1ACF4E8A"/>
    <w:rsid w:val="1AD93424"/>
    <w:rsid w:val="1ADB5547"/>
    <w:rsid w:val="1AE36497"/>
    <w:rsid w:val="1AEC31E8"/>
    <w:rsid w:val="1AEC5B63"/>
    <w:rsid w:val="1AF0106E"/>
    <w:rsid w:val="1AF30046"/>
    <w:rsid w:val="1B0C3800"/>
    <w:rsid w:val="1B1F438E"/>
    <w:rsid w:val="1B2D7A8D"/>
    <w:rsid w:val="1B3F26C4"/>
    <w:rsid w:val="1B433A7C"/>
    <w:rsid w:val="1B471426"/>
    <w:rsid w:val="1B4A0A55"/>
    <w:rsid w:val="1B673E5F"/>
    <w:rsid w:val="1B7B1F37"/>
    <w:rsid w:val="1B801011"/>
    <w:rsid w:val="1B8114E2"/>
    <w:rsid w:val="1B9B25DE"/>
    <w:rsid w:val="1B9C129A"/>
    <w:rsid w:val="1BA960B2"/>
    <w:rsid w:val="1BAE6DC0"/>
    <w:rsid w:val="1BCD57AB"/>
    <w:rsid w:val="1BCE1054"/>
    <w:rsid w:val="1BF409EF"/>
    <w:rsid w:val="1BFB229C"/>
    <w:rsid w:val="1BFD62D3"/>
    <w:rsid w:val="1C005AFC"/>
    <w:rsid w:val="1C041C0A"/>
    <w:rsid w:val="1C0E1A98"/>
    <w:rsid w:val="1C0E5F9A"/>
    <w:rsid w:val="1C0E6215"/>
    <w:rsid w:val="1C114456"/>
    <w:rsid w:val="1C154053"/>
    <w:rsid w:val="1C1945A6"/>
    <w:rsid w:val="1C2361BA"/>
    <w:rsid w:val="1C403E6F"/>
    <w:rsid w:val="1C450A71"/>
    <w:rsid w:val="1C4F6C7E"/>
    <w:rsid w:val="1C524353"/>
    <w:rsid w:val="1C605BA0"/>
    <w:rsid w:val="1C7B29AC"/>
    <w:rsid w:val="1C822811"/>
    <w:rsid w:val="1C954E9B"/>
    <w:rsid w:val="1C9E75A2"/>
    <w:rsid w:val="1CA36056"/>
    <w:rsid w:val="1CB112A1"/>
    <w:rsid w:val="1CB117C2"/>
    <w:rsid w:val="1CB41AB0"/>
    <w:rsid w:val="1CB77211"/>
    <w:rsid w:val="1CBB7632"/>
    <w:rsid w:val="1CBF0484"/>
    <w:rsid w:val="1CC66887"/>
    <w:rsid w:val="1CD365A1"/>
    <w:rsid w:val="1CD5442F"/>
    <w:rsid w:val="1CDB5968"/>
    <w:rsid w:val="1CDB7C4D"/>
    <w:rsid w:val="1CF21D0A"/>
    <w:rsid w:val="1CFD391F"/>
    <w:rsid w:val="1D067852"/>
    <w:rsid w:val="1D215514"/>
    <w:rsid w:val="1D2C37CC"/>
    <w:rsid w:val="1D336975"/>
    <w:rsid w:val="1D525701"/>
    <w:rsid w:val="1D54333B"/>
    <w:rsid w:val="1D557E9E"/>
    <w:rsid w:val="1D5841BD"/>
    <w:rsid w:val="1D746DE1"/>
    <w:rsid w:val="1D872729"/>
    <w:rsid w:val="1D8B6A06"/>
    <w:rsid w:val="1D9E4525"/>
    <w:rsid w:val="1DC0145E"/>
    <w:rsid w:val="1DC20072"/>
    <w:rsid w:val="1DC553F5"/>
    <w:rsid w:val="1DCA77EF"/>
    <w:rsid w:val="1DCC746F"/>
    <w:rsid w:val="1DCE373B"/>
    <w:rsid w:val="1DD05EA5"/>
    <w:rsid w:val="1DE13B91"/>
    <w:rsid w:val="1DE306EA"/>
    <w:rsid w:val="1DE87551"/>
    <w:rsid w:val="1DF86487"/>
    <w:rsid w:val="1DFB5625"/>
    <w:rsid w:val="1E064913"/>
    <w:rsid w:val="1E081D86"/>
    <w:rsid w:val="1E120C6F"/>
    <w:rsid w:val="1E1557E5"/>
    <w:rsid w:val="1E1773AB"/>
    <w:rsid w:val="1E266075"/>
    <w:rsid w:val="1E2F4E82"/>
    <w:rsid w:val="1E35783F"/>
    <w:rsid w:val="1E357F8E"/>
    <w:rsid w:val="1E4D4545"/>
    <w:rsid w:val="1E582128"/>
    <w:rsid w:val="1E610EF8"/>
    <w:rsid w:val="1E620845"/>
    <w:rsid w:val="1E667A3A"/>
    <w:rsid w:val="1E673EF4"/>
    <w:rsid w:val="1E6B621D"/>
    <w:rsid w:val="1E6D287C"/>
    <w:rsid w:val="1E7521CB"/>
    <w:rsid w:val="1E895FA8"/>
    <w:rsid w:val="1E8D1130"/>
    <w:rsid w:val="1E934127"/>
    <w:rsid w:val="1E993340"/>
    <w:rsid w:val="1E996D9C"/>
    <w:rsid w:val="1E9D24A4"/>
    <w:rsid w:val="1EA0652D"/>
    <w:rsid w:val="1EA137AD"/>
    <w:rsid w:val="1EA53766"/>
    <w:rsid w:val="1EB02F65"/>
    <w:rsid w:val="1EB11053"/>
    <w:rsid w:val="1EB8060C"/>
    <w:rsid w:val="1ED0129B"/>
    <w:rsid w:val="1EDB762C"/>
    <w:rsid w:val="1EEF7FE2"/>
    <w:rsid w:val="1EF075D2"/>
    <w:rsid w:val="1EF36ABE"/>
    <w:rsid w:val="1EFB5963"/>
    <w:rsid w:val="1F0A6828"/>
    <w:rsid w:val="1F1F7264"/>
    <w:rsid w:val="1F203EAC"/>
    <w:rsid w:val="1F31003B"/>
    <w:rsid w:val="1F4E6CE4"/>
    <w:rsid w:val="1F5B2409"/>
    <w:rsid w:val="1F5E4382"/>
    <w:rsid w:val="1F6A4552"/>
    <w:rsid w:val="1F6F6B0B"/>
    <w:rsid w:val="1F7F26D4"/>
    <w:rsid w:val="1F9B49C4"/>
    <w:rsid w:val="1FA46EF2"/>
    <w:rsid w:val="1FAA7B4A"/>
    <w:rsid w:val="1FAF2132"/>
    <w:rsid w:val="1FB44D91"/>
    <w:rsid w:val="1FC42C89"/>
    <w:rsid w:val="1FCB6360"/>
    <w:rsid w:val="1FD255C9"/>
    <w:rsid w:val="1FD47844"/>
    <w:rsid w:val="1FDA6BD8"/>
    <w:rsid w:val="1FE93925"/>
    <w:rsid w:val="1FFD120E"/>
    <w:rsid w:val="1FFD19DC"/>
    <w:rsid w:val="20043C15"/>
    <w:rsid w:val="2007268D"/>
    <w:rsid w:val="200A19CE"/>
    <w:rsid w:val="200B57A0"/>
    <w:rsid w:val="200C6FE7"/>
    <w:rsid w:val="20125F58"/>
    <w:rsid w:val="201C6A8C"/>
    <w:rsid w:val="20391344"/>
    <w:rsid w:val="204C6209"/>
    <w:rsid w:val="2068288C"/>
    <w:rsid w:val="206C4540"/>
    <w:rsid w:val="2084273E"/>
    <w:rsid w:val="208B055F"/>
    <w:rsid w:val="20B96BBD"/>
    <w:rsid w:val="20D065C3"/>
    <w:rsid w:val="20D953F9"/>
    <w:rsid w:val="20EE1616"/>
    <w:rsid w:val="20F06BAF"/>
    <w:rsid w:val="20F32E50"/>
    <w:rsid w:val="2105587C"/>
    <w:rsid w:val="210F3D49"/>
    <w:rsid w:val="211D0688"/>
    <w:rsid w:val="21223AA9"/>
    <w:rsid w:val="21250983"/>
    <w:rsid w:val="212C59E9"/>
    <w:rsid w:val="212F04D3"/>
    <w:rsid w:val="21354B49"/>
    <w:rsid w:val="21594194"/>
    <w:rsid w:val="21660E98"/>
    <w:rsid w:val="21667FDB"/>
    <w:rsid w:val="21763C74"/>
    <w:rsid w:val="21814378"/>
    <w:rsid w:val="21860DF2"/>
    <w:rsid w:val="21862A8E"/>
    <w:rsid w:val="218C26F8"/>
    <w:rsid w:val="21A70A44"/>
    <w:rsid w:val="21B26DD5"/>
    <w:rsid w:val="21B62972"/>
    <w:rsid w:val="21C31D19"/>
    <w:rsid w:val="21C77478"/>
    <w:rsid w:val="21C77561"/>
    <w:rsid w:val="21D2510C"/>
    <w:rsid w:val="21D61514"/>
    <w:rsid w:val="21D65471"/>
    <w:rsid w:val="21DD0233"/>
    <w:rsid w:val="21DD349D"/>
    <w:rsid w:val="21DF3E47"/>
    <w:rsid w:val="21E540B7"/>
    <w:rsid w:val="21EA1790"/>
    <w:rsid w:val="21FE39A3"/>
    <w:rsid w:val="22007210"/>
    <w:rsid w:val="22017E71"/>
    <w:rsid w:val="22070D29"/>
    <w:rsid w:val="22124018"/>
    <w:rsid w:val="22135B75"/>
    <w:rsid w:val="221E7789"/>
    <w:rsid w:val="22265B0E"/>
    <w:rsid w:val="22295B1A"/>
    <w:rsid w:val="222C6FED"/>
    <w:rsid w:val="224A024D"/>
    <w:rsid w:val="225F01F3"/>
    <w:rsid w:val="22750198"/>
    <w:rsid w:val="22803C51"/>
    <w:rsid w:val="229B1C28"/>
    <w:rsid w:val="229B2294"/>
    <w:rsid w:val="229C66D2"/>
    <w:rsid w:val="22A10C5C"/>
    <w:rsid w:val="22A27591"/>
    <w:rsid w:val="22AC0A11"/>
    <w:rsid w:val="22D66F38"/>
    <w:rsid w:val="22DF166E"/>
    <w:rsid w:val="22E152C9"/>
    <w:rsid w:val="22ED32DA"/>
    <w:rsid w:val="22FE7745"/>
    <w:rsid w:val="230844AD"/>
    <w:rsid w:val="23131CCD"/>
    <w:rsid w:val="231774AE"/>
    <w:rsid w:val="232F59CC"/>
    <w:rsid w:val="233445E7"/>
    <w:rsid w:val="233D1B3B"/>
    <w:rsid w:val="23437A88"/>
    <w:rsid w:val="23576071"/>
    <w:rsid w:val="23796741"/>
    <w:rsid w:val="237A63C1"/>
    <w:rsid w:val="238F60BA"/>
    <w:rsid w:val="239A46D6"/>
    <w:rsid w:val="23B0469D"/>
    <w:rsid w:val="23BA2A2E"/>
    <w:rsid w:val="23BC6128"/>
    <w:rsid w:val="23C50DBF"/>
    <w:rsid w:val="23CB22D4"/>
    <w:rsid w:val="23D75B31"/>
    <w:rsid w:val="23E7793D"/>
    <w:rsid w:val="23EF28D5"/>
    <w:rsid w:val="23FC3497"/>
    <w:rsid w:val="24061828"/>
    <w:rsid w:val="241C17CD"/>
    <w:rsid w:val="24274899"/>
    <w:rsid w:val="2430170E"/>
    <w:rsid w:val="243249F4"/>
    <w:rsid w:val="24341D04"/>
    <w:rsid w:val="24515D4E"/>
    <w:rsid w:val="245252E1"/>
    <w:rsid w:val="246B6CEA"/>
    <w:rsid w:val="246E3499"/>
    <w:rsid w:val="24915C85"/>
    <w:rsid w:val="24916A8A"/>
    <w:rsid w:val="249F6523"/>
    <w:rsid w:val="24A948B4"/>
    <w:rsid w:val="24D1137C"/>
    <w:rsid w:val="24D6424C"/>
    <w:rsid w:val="24D92A81"/>
    <w:rsid w:val="24DA2BBE"/>
    <w:rsid w:val="24DF4A1F"/>
    <w:rsid w:val="24F536AF"/>
    <w:rsid w:val="24F56F32"/>
    <w:rsid w:val="24FA306A"/>
    <w:rsid w:val="25015B7D"/>
    <w:rsid w:val="250F1F00"/>
    <w:rsid w:val="25103438"/>
    <w:rsid w:val="252212A2"/>
    <w:rsid w:val="252773AA"/>
    <w:rsid w:val="253233F3"/>
    <w:rsid w:val="254215B0"/>
    <w:rsid w:val="25437CF5"/>
    <w:rsid w:val="254C40BE"/>
    <w:rsid w:val="254C7941"/>
    <w:rsid w:val="25511489"/>
    <w:rsid w:val="255A1AA3"/>
    <w:rsid w:val="25614063"/>
    <w:rsid w:val="256F64E9"/>
    <w:rsid w:val="257041AF"/>
    <w:rsid w:val="25A34ACC"/>
    <w:rsid w:val="25A8488A"/>
    <w:rsid w:val="25A91EAD"/>
    <w:rsid w:val="25AD339D"/>
    <w:rsid w:val="25AE0DC3"/>
    <w:rsid w:val="25AE66E1"/>
    <w:rsid w:val="25C6196F"/>
    <w:rsid w:val="25D9464A"/>
    <w:rsid w:val="25E40DB9"/>
    <w:rsid w:val="25F60649"/>
    <w:rsid w:val="25F87971"/>
    <w:rsid w:val="25FF0C78"/>
    <w:rsid w:val="260F5480"/>
    <w:rsid w:val="261B3491"/>
    <w:rsid w:val="26371E4B"/>
    <w:rsid w:val="263D5357"/>
    <w:rsid w:val="26416CB2"/>
    <w:rsid w:val="265B436B"/>
    <w:rsid w:val="265F0D06"/>
    <w:rsid w:val="26676C67"/>
    <w:rsid w:val="267260BF"/>
    <w:rsid w:val="26737C48"/>
    <w:rsid w:val="267A66BE"/>
    <w:rsid w:val="267C2231"/>
    <w:rsid w:val="268001D4"/>
    <w:rsid w:val="268F1F40"/>
    <w:rsid w:val="26911B06"/>
    <w:rsid w:val="26A21CED"/>
    <w:rsid w:val="26B57826"/>
    <w:rsid w:val="26BB37C3"/>
    <w:rsid w:val="26BD3F57"/>
    <w:rsid w:val="26C848AF"/>
    <w:rsid w:val="26D870C8"/>
    <w:rsid w:val="26DE4854"/>
    <w:rsid w:val="26E92BE5"/>
    <w:rsid w:val="26EB6721"/>
    <w:rsid w:val="26F36771"/>
    <w:rsid w:val="26FE7307"/>
    <w:rsid w:val="2702246B"/>
    <w:rsid w:val="27097654"/>
    <w:rsid w:val="270F469B"/>
    <w:rsid w:val="27141AB7"/>
    <w:rsid w:val="27153BB0"/>
    <w:rsid w:val="27257A04"/>
    <w:rsid w:val="27314D79"/>
    <w:rsid w:val="27371273"/>
    <w:rsid w:val="273E3CC9"/>
    <w:rsid w:val="27456811"/>
    <w:rsid w:val="2748509E"/>
    <w:rsid w:val="27490317"/>
    <w:rsid w:val="27567996"/>
    <w:rsid w:val="27596CBA"/>
    <w:rsid w:val="27762449"/>
    <w:rsid w:val="27765CCC"/>
    <w:rsid w:val="2777712C"/>
    <w:rsid w:val="2781405D"/>
    <w:rsid w:val="278F19F4"/>
    <w:rsid w:val="27962CB2"/>
    <w:rsid w:val="27987F08"/>
    <w:rsid w:val="27A34F7F"/>
    <w:rsid w:val="27B82B5B"/>
    <w:rsid w:val="27BC253C"/>
    <w:rsid w:val="27BD3571"/>
    <w:rsid w:val="27C55B2C"/>
    <w:rsid w:val="27DA3858"/>
    <w:rsid w:val="27E32A7D"/>
    <w:rsid w:val="28030DB3"/>
    <w:rsid w:val="28120E19"/>
    <w:rsid w:val="28164065"/>
    <w:rsid w:val="28190D59"/>
    <w:rsid w:val="282F05C6"/>
    <w:rsid w:val="2839380C"/>
    <w:rsid w:val="2858368D"/>
    <w:rsid w:val="285A17C2"/>
    <w:rsid w:val="285A7098"/>
    <w:rsid w:val="286007E3"/>
    <w:rsid w:val="28730D3A"/>
    <w:rsid w:val="28777BF4"/>
    <w:rsid w:val="287A4275"/>
    <w:rsid w:val="287A7AF8"/>
    <w:rsid w:val="2880068F"/>
    <w:rsid w:val="2881254E"/>
    <w:rsid w:val="28855E8A"/>
    <w:rsid w:val="2891267E"/>
    <w:rsid w:val="289C59F0"/>
    <w:rsid w:val="28A466F6"/>
    <w:rsid w:val="28C52A84"/>
    <w:rsid w:val="28D14C84"/>
    <w:rsid w:val="28D17B48"/>
    <w:rsid w:val="28E31F35"/>
    <w:rsid w:val="28F040B8"/>
    <w:rsid w:val="28F22C3A"/>
    <w:rsid w:val="2907735C"/>
    <w:rsid w:val="29120F71"/>
    <w:rsid w:val="291800E1"/>
    <w:rsid w:val="2926038B"/>
    <w:rsid w:val="29275693"/>
    <w:rsid w:val="293272A7"/>
    <w:rsid w:val="293450BF"/>
    <w:rsid w:val="293E52B8"/>
    <w:rsid w:val="29493649"/>
    <w:rsid w:val="295636E7"/>
    <w:rsid w:val="297103E9"/>
    <w:rsid w:val="2975700C"/>
    <w:rsid w:val="29955CC7"/>
    <w:rsid w:val="29B06991"/>
    <w:rsid w:val="29CB2C4E"/>
    <w:rsid w:val="29CB4D1F"/>
    <w:rsid w:val="29DA6CFD"/>
    <w:rsid w:val="29EB10F0"/>
    <w:rsid w:val="29EC66D5"/>
    <w:rsid w:val="29EF3469"/>
    <w:rsid w:val="29F74A66"/>
    <w:rsid w:val="2A061630"/>
    <w:rsid w:val="2A172D9D"/>
    <w:rsid w:val="2A1D1B0B"/>
    <w:rsid w:val="2A2111B1"/>
    <w:rsid w:val="2A2A6532"/>
    <w:rsid w:val="2A2D713F"/>
    <w:rsid w:val="2A423861"/>
    <w:rsid w:val="2A592A64"/>
    <w:rsid w:val="2A621B97"/>
    <w:rsid w:val="2A6A4D08"/>
    <w:rsid w:val="2A6C3398"/>
    <w:rsid w:val="2A6D1533"/>
    <w:rsid w:val="2A6F7B5B"/>
    <w:rsid w:val="2A781B3D"/>
    <w:rsid w:val="2A83359C"/>
    <w:rsid w:val="2A8F61FF"/>
    <w:rsid w:val="2A933537"/>
    <w:rsid w:val="2AA45E84"/>
    <w:rsid w:val="2ABF72F4"/>
    <w:rsid w:val="2AC3590F"/>
    <w:rsid w:val="2AC776EE"/>
    <w:rsid w:val="2AD908DC"/>
    <w:rsid w:val="2AD90FA7"/>
    <w:rsid w:val="2AE1471C"/>
    <w:rsid w:val="2AEF4C89"/>
    <w:rsid w:val="2AF33413"/>
    <w:rsid w:val="2AF63152"/>
    <w:rsid w:val="2AFC0538"/>
    <w:rsid w:val="2B0D10E0"/>
    <w:rsid w:val="2B0D6451"/>
    <w:rsid w:val="2B122C35"/>
    <w:rsid w:val="2B126F75"/>
    <w:rsid w:val="2B1A5F61"/>
    <w:rsid w:val="2B3C162C"/>
    <w:rsid w:val="2B3F353D"/>
    <w:rsid w:val="2B413FEF"/>
    <w:rsid w:val="2B4D4A0F"/>
    <w:rsid w:val="2B507556"/>
    <w:rsid w:val="2B5272A1"/>
    <w:rsid w:val="2B5C5632"/>
    <w:rsid w:val="2B5E1FB3"/>
    <w:rsid w:val="2B5E4A9B"/>
    <w:rsid w:val="2B5F276B"/>
    <w:rsid w:val="2B6739C3"/>
    <w:rsid w:val="2B6D23CE"/>
    <w:rsid w:val="2B772B81"/>
    <w:rsid w:val="2B7B00B8"/>
    <w:rsid w:val="2B9F2A69"/>
    <w:rsid w:val="2BA23097"/>
    <w:rsid w:val="2BBE1941"/>
    <w:rsid w:val="2BD83667"/>
    <w:rsid w:val="2BE05C4E"/>
    <w:rsid w:val="2BE42DE1"/>
    <w:rsid w:val="2BE53E95"/>
    <w:rsid w:val="2BEA0719"/>
    <w:rsid w:val="2C0A6A50"/>
    <w:rsid w:val="2C0B206C"/>
    <w:rsid w:val="2C0C576D"/>
    <w:rsid w:val="2C144DE1"/>
    <w:rsid w:val="2C186E9C"/>
    <w:rsid w:val="2C210467"/>
    <w:rsid w:val="2C277052"/>
    <w:rsid w:val="2C357514"/>
    <w:rsid w:val="2C401128"/>
    <w:rsid w:val="2C60459B"/>
    <w:rsid w:val="2C6D77F7"/>
    <w:rsid w:val="2C710E04"/>
    <w:rsid w:val="2C712660"/>
    <w:rsid w:val="2C745626"/>
    <w:rsid w:val="2C771EC3"/>
    <w:rsid w:val="2C7A58E6"/>
    <w:rsid w:val="2C7E3322"/>
    <w:rsid w:val="2C7F1D2A"/>
    <w:rsid w:val="2C9524CE"/>
    <w:rsid w:val="2CAC2DE6"/>
    <w:rsid w:val="2CBE55CC"/>
    <w:rsid w:val="2CC431C4"/>
    <w:rsid w:val="2CC63841"/>
    <w:rsid w:val="2CD9202F"/>
    <w:rsid w:val="2CD94F5A"/>
    <w:rsid w:val="2CFB06C3"/>
    <w:rsid w:val="2D024D8F"/>
    <w:rsid w:val="2D134A6F"/>
    <w:rsid w:val="2D1615A0"/>
    <w:rsid w:val="2D1C4AAD"/>
    <w:rsid w:val="2D2023FA"/>
    <w:rsid w:val="2D2160CA"/>
    <w:rsid w:val="2D3A4BC3"/>
    <w:rsid w:val="2D6D21A3"/>
    <w:rsid w:val="2D71729C"/>
    <w:rsid w:val="2D787F90"/>
    <w:rsid w:val="2D793FA3"/>
    <w:rsid w:val="2D836A35"/>
    <w:rsid w:val="2D8D5519"/>
    <w:rsid w:val="2D901D4F"/>
    <w:rsid w:val="2D980BF4"/>
    <w:rsid w:val="2DB74385"/>
    <w:rsid w:val="2DBF3D3A"/>
    <w:rsid w:val="2DC57838"/>
    <w:rsid w:val="2DC83AF5"/>
    <w:rsid w:val="2DE63220"/>
    <w:rsid w:val="2DED6CEB"/>
    <w:rsid w:val="2DF313F1"/>
    <w:rsid w:val="2E00390A"/>
    <w:rsid w:val="2E066153"/>
    <w:rsid w:val="2E090714"/>
    <w:rsid w:val="2E0B5E43"/>
    <w:rsid w:val="2E2133D6"/>
    <w:rsid w:val="2E334DDB"/>
    <w:rsid w:val="2E356930"/>
    <w:rsid w:val="2E37456A"/>
    <w:rsid w:val="2E46139D"/>
    <w:rsid w:val="2E4B2140"/>
    <w:rsid w:val="2E533769"/>
    <w:rsid w:val="2E601123"/>
    <w:rsid w:val="2E6C4AA2"/>
    <w:rsid w:val="2E807459"/>
    <w:rsid w:val="2E8A57EA"/>
    <w:rsid w:val="2E8B1425"/>
    <w:rsid w:val="2E925D18"/>
    <w:rsid w:val="2E9637FB"/>
    <w:rsid w:val="2E9D79F6"/>
    <w:rsid w:val="2EA11B8C"/>
    <w:rsid w:val="2EA11DE6"/>
    <w:rsid w:val="2EA97373"/>
    <w:rsid w:val="2EB87400"/>
    <w:rsid w:val="2EBD72D2"/>
    <w:rsid w:val="2EBF74FE"/>
    <w:rsid w:val="2EC17EC2"/>
    <w:rsid w:val="2EC41D78"/>
    <w:rsid w:val="2ECB6253"/>
    <w:rsid w:val="2ECE67E6"/>
    <w:rsid w:val="2EDC6866"/>
    <w:rsid w:val="2EE56EBF"/>
    <w:rsid w:val="2F0014CE"/>
    <w:rsid w:val="2F0C2BDA"/>
    <w:rsid w:val="2F0D5E3F"/>
    <w:rsid w:val="2F1F1AC1"/>
    <w:rsid w:val="2F2B7790"/>
    <w:rsid w:val="2F2D4FF3"/>
    <w:rsid w:val="2F366998"/>
    <w:rsid w:val="2F3B63E8"/>
    <w:rsid w:val="2F3E7897"/>
    <w:rsid w:val="2F4225D0"/>
    <w:rsid w:val="2F444C18"/>
    <w:rsid w:val="2F451467"/>
    <w:rsid w:val="2F4A4C1F"/>
    <w:rsid w:val="2F684FBE"/>
    <w:rsid w:val="2F695596"/>
    <w:rsid w:val="2F6D7505"/>
    <w:rsid w:val="2F867365"/>
    <w:rsid w:val="2F8E5A28"/>
    <w:rsid w:val="2FB2416A"/>
    <w:rsid w:val="2FB30432"/>
    <w:rsid w:val="2FB32AA2"/>
    <w:rsid w:val="2FB61531"/>
    <w:rsid w:val="2FCD3965"/>
    <w:rsid w:val="2FD20A06"/>
    <w:rsid w:val="2FD96AE2"/>
    <w:rsid w:val="2FDE0F67"/>
    <w:rsid w:val="2FF311E3"/>
    <w:rsid w:val="2FF40A22"/>
    <w:rsid w:val="30003C7E"/>
    <w:rsid w:val="30110AE9"/>
    <w:rsid w:val="30183EF0"/>
    <w:rsid w:val="301F367D"/>
    <w:rsid w:val="302B26F1"/>
    <w:rsid w:val="304D4473"/>
    <w:rsid w:val="30543002"/>
    <w:rsid w:val="306B313B"/>
    <w:rsid w:val="307D149D"/>
    <w:rsid w:val="307D2FCF"/>
    <w:rsid w:val="30837A14"/>
    <w:rsid w:val="30952396"/>
    <w:rsid w:val="309E3BD0"/>
    <w:rsid w:val="309F7453"/>
    <w:rsid w:val="30A91F61"/>
    <w:rsid w:val="30AA4801"/>
    <w:rsid w:val="30AC4C54"/>
    <w:rsid w:val="30AD68B0"/>
    <w:rsid w:val="30B70001"/>
    <w:rsid w:val="30BB52DB"/>
    <w:rsid w:val="30D172F4"/>
    <w:rsid w:val="30D87F63"/>
    <w:rsid w:val="30DC7DDA"/>
    <w:rsid w:val="30DF7DF9"/>
    <w:rsid w:val="30F37EF1"/>
    <w:rsid w:val="310B4584"/>
    <w:rsid w:val="31152915"/>
    <w:rsid w:val="311C5C37"/>
    <w:rsid w:val="311D255A"/>
    <w:rsid w:val="312840E2"/>
    <w:rsid w:val="312E53DA"/>
    <w:rsid w:val="31342DA5"/>
    <w:rsid w:val="313A1031"/>
    <w:rsid w:val="31416C5C"/>
    <w:rsid w:val="31614F93"/>
    <w:rsid w:val="317607E4"/>
    <w:rsid w:val="317E1E03"/>
    <w:rsid w:val="31807D18"/>
    <w:rsid w:val="31860095"/>
    <w:rsid w:val="318A1295"/>
    <w:rsid w:val="31A02000"/>
    <w:rsid w:val="31A359FC"/>
    <w:rsid w:val="31AD3D8D"/>
    <w:rsid w:val="31B06200"/>
    <w:rsid w:val="31B5413F"/>
    <w:rsid w:val="31B859A2"/>
    <w:rsid w:val="31BE6395"/>
    <w:rsid w:val="31C40E3D"/>
    <w:rsid w:val="31D03569"/>
    <w:rsid w:val="31D57696"/>
    <w:rsid w:val="31D900D5"/>
    <w:rsid w:val="31DC267C"/>
    <w:rsid w:val="31E86D52"/>
    <w:rsid w:val="31ED2DFA"/>
    <w:rsid w:val="31FA3731"/>
    <w:rsid w:val="3204001F"/>
    <w:rsid w:val="320639BA"/>
    <w:rsid w:val="321E639F"/>
    <w:rsid w:val="322259F9"/>
    <w:rsid w:val="32306059"/>
    <w:rsid w:val="32391A6D"/>
    <w:rsid w:val="32421AA2"/>
    <w:rsid w:val="325E1819"/>
    <w:rsid w:val="32650B59"/>
    <w:rsid w:val="32724DD0"/>
    <w:rsid w:val="327B225B"/>
    <w:rsid w:val="327C3161"/>
    <w:rsid w:val="32927883"/>
    <w:rsid w:val="329B7DBC"/>
    <w:rsid w:val="32A116DF"/>
    <w:rsid w:val="32A259D5"/>
    <w:rsid w:val="32A80C5D"/>
    <w:rsid w:val="32B17F01"/>
    <w:rsid w:val="32B25BB9"/>
    <w:rsid w:val="32B71708"/>
    <w:rsid w:val="32B750F6"/>
    <w:rsid w:val="32C72463"/>
    <w:rsid w:val="32CB6523"/>
    <w:rsid w:val="32CB7D58"/>
    <w:rsid w:val="32CC1870"/>
    <w:rsid w:val="32CE33C6"/>
    <w:rsid w:val="32DC5FA3"/>
    <w:rsid w:val="32DE1F01"/>
    <w:rsid w:val="32E53603"/>
    <w:rsid w:val="32E93B15"/>
    <w:rsid w:val="32FB0D84"/>
    <w:rsid w:val="330435CE"/>
    <w:rsid w:val="33051685"/>
    <w:rsid w:val="330865C8"/>
    <w:rsid w:val="33162314"/>
    <w:rsid w:val="333225D6"/>
    <w:rsid w:val="333371EA"/>
    <w:rsid w:val="33551883"/>
    <w:rsid w:val="33616C57"/>
    <w:rsid w:val="336B4FE8"/>
    <w:rsid w:val="336C0FC1"/>
    <w:rsid w:val="338B331E"/>
    <w:rsid w:val="339616AF"/>
    <w:rsid w:val="33964F33"/>
    <w:rsid w:val="339F2D77"/>
    <w:rsid w:val="33A132C4"/>
    <w:rsid w:val="33A91714"/>
    <w:rsid w:val="33B52F2D"/>
    <w:rsid w:val="33B679E6"/>
    <w:rsid w:val="33B77665"/>
    <w:rsid w:val="33C0176F"/>
    <w:rsid w:val="33C75AE2"/>
    <w:rsid w:val="33E13213"/>
    <w:rsid w:val="33E55852"/>
    <w:rsid w:val="33EC20BE"/>
    <w:rsid w:val="34075CF6"/>
    <w:rsid w:val="34094C6E"/>
    <w:rsid w:val="3437098E"/>
    <w:rsid w:val="3439473C"/>
    <w:rsid w:val="3448613B"/>
    <w:rsid w:val="344E38D5"/>
    <w:rsid w:val="34546879"/>
    <w:rsid w:val="34723BAE"/>
    <w:rsid w:val="347A0A28"/>
    <w:rsid w:val="34853536"/>
    <w:rsid w:val="34856DB9"/>
    <w:rsid w:val="348E731C"/>
    <w:rsid w:val="34A57112"/>
    <w:rsid w:val="34A6252F"/>
    <w:rsid w:val="34AC40B0"/>
    <w:rsid w:val="34C47B58"/>
    <w:rsid w:val="34D11437"/>
    <w:rsid w:val="34ED2F12"/>
    <w:rsid w:val="34F018C9"/>
    <w:rsid w:val="34F03B1A"/>
    <w:rsid w:val="34F23B6A"/>
    <w:rsid w:val="34F558E9"/>
    <w:rsid w:val="34FD1EFB"/>
    <w:rsid w:val="3507794E"/>
    <w:rsid w:val="351D0231"/>
    <w:rsid w:val="35217670"/>
    <w:rsid w:val="353201D7"/>
    <w:rsid w:val="35345DF6"/>
    <w:rsid w:val="353C1743"/>
    <w:rsid w:val="353F0FDB"/>
    <w:rsid w:val="355E0C9B"/>
    <w:rsid w:val="355E2212"/>
    <w:rsid w:val="356E06C4"/>
    <w:rsid w:val="35791E5B"/>
    <w:rsid w:val="357B7C5B"/>
    <w:rsid w:val="357D141D"/>
    <w:rsid w:val="357D65D4"/>
    <w:rsid w:val="357E2994"/>
    <w:rsid w:val="357E6FD1"/>
    <w:rsid w:val="35852A38"/>
    <w:rsid w:val="35967F02"/>
    <w:rsid w:val="359E5308"/>
    <w:rsid w:val="359F2FE9"/>
    <w:rsid w:val="35A32C89"/>
    <w:rsid w:val="35A430B3"/>
    <w:rsid w:val="35B516AA"/>
    <w:rsid w:val="35CE6A3E"/>
    <w:rsid w:val="35D364D6"/>
    <w:rsid w:val="35D6555A"/>
    <w:rsid w:val="35D80B35"/>
    <w:rsid w:val="35E05D71"/>
    <w:rsid w:val="35E3175F"/>
    <w:rsid w:val="35E4198A"/>
    <w:rsid w:val="35E41BCB"/>
    <w:rsid w:val="35E81F72"/>
    <w:rsid w:val="35F5294F"/>
    <w:rsid w:val="3609700E"/>
    <w:rsid w:val="360C20B8"/>
    <w:rsid w:val="361A48B6"/>
    <w:rsid w:val="361A7702"/>
    <w:rsid w:val="363430AA"/>
    <w:rsid w:val="36375A72"/>
    <w:rsid w:val="364115BA"/>
    <w:rsid w:val="36471FF9"/>
    <w:rsid w:val="364A7D5F"/>
    <w:rsid w:val="36584736"/>
    <w:rsid w:val="366D46DB"/>
    <w:rsid w:val="367F629A"/>
    <w:rsid w:val="368474E1"/>
    <w:rsid w:val="36BF604D"/>
    <w:rsid w:val="36CB0956"/>
    <w:rsid w:val="36CF347B"/>
    <w:rsid w:val="36D966CC"/>
    <w:rsid w:val="36E2229A"/>
    <w:rsid w:val="36E32F5E"/>
    <w:rsid w:val="36E6117E"/>
    <w:rsid w:val="3700740E"/>
    <w:rsid w:val="37055B53"/>
    <w:rsid w:val="37253E8A"/>
    <w:rsid w:val="372C6596"/>
    <w:rsid w:val="372E15D6"/>
    <w:rsid w:val="37377D88"/>
    <w:rsid w:val="3740425D"/>
    <w:rsid w:val="37415F48"/>
    <w:rsid w:val="37416B52"/>
    <w:rsid w:val="376477E4"/>
    <w:rsid w:val="379E33E5"/>
    <w:rsid w:val="37B565E7"/>
    <w:rsid w:val="37B60101"/>
    <w:rsid w:val="37C83693"/>
    <w:rsid w:val="37CB0C89"/>
    <w:rsid w:val="37DC7FC7"/>
    <w:rsid w:val="37E22273"/>
    <w:rsid w:val="37EA1649"/>
    <w:rsid w:val="37F12FAE"/>
    <w:rsid w:val="37FF15EF"/>
    <w:rsid w:val="37FF5D6B"/>
    <w:rsid w:val="380A7980"/>
    <w:rsid w:val="38126304"/>
    <w:rsid w:val="381A7FCD"/>
    <w:rsid w:val="381D755C"/>
    <w:rsid w:val="381F40A2"/>
    <w:rsid w:val="38241E1F"/>
    <w:rsid w:val="38383E64"/>
    <w:rsid w:val="384B7E11"/>
    <w:rsid w:val="385A574F"/>
    <w:rsid w:val="385A7613"/>
    <w:rsid w:val="385B5300"/>
    <w:rsid w:val="38697764"/>
    <w:rsid w:val="386C326C"/>
    <w:rsid w:val="38764AB1"/>
    <w:rsid w:val="38774730"/>
    <w:rsid w:val="388244B0"/>
    <w:rsid w:val="388E23D2"/>
    <w:rsid w:val="38972A67"/>
    <w:rsid w:val="389971A4"/>
    <w:rsid w:val="389B64E9"/>
    <w:rsid w:val="38A07CF4"/>
    <w:rsid w:val="38A74AD3"/>
    <w:rsid w:val="38C54B20"/>
    <w:rsid w:val="38C63620"/>
    <w:rsid w:val="38D67757"/>
    <w:rsid w:val="38D91C00"/>
    <w:rsid w:val="38DC4C3A"/>
    <w:rsid w:val="38DF6CC0"/>
    <w:rsid w:val="38E31861"/>
    <w:rsid w:val="38E563BD"/>
    <w:rsid w:val="38F13F5A"/>
    <w:rsid w:val="38F81807"/>
    <w:rsid w:val="38FE486E"/>
    <w:rsid w:val="39035D7A"/>
    <w:rsid w:val="390E4BA2"/>
    <w:rsid w:val="39105D6A"/>
    <w:rsid w:val="39105EDE"/>
    <w:rsid w:val="391C3D13"/>
    <w:rsid w:val="39253938"/>
    <w:rsid w:val="39255B4E"/>
    <w:rsid w:val="39287497"/>
    <w:rsid w:val="39374871"/>
    <w:rsid w:val="393A2270"/>
    <w:rsid w:val="39453E84"/>
    <w:rsid w:val="39462149"/>
    <w:rsid w:val="394E2673"/>
    <w:rsid w:val="394F2215"/>
    <w:rsid w:val="395A33AC"/>
    <w:rsid w:val="395D0610"/>
    <w:rsid w:val="396276FB"/>
    <w:rsid w:val="396509C1"/>
    <w:rsid w:val="396C7B97"/>
    <w:rsid w:val="396E4D30"/>
    <w:rsid w:val="39921977"/>
    <w:rsid w:val="399D5BAA"/>
    <w:rsid w:val="39A26E63"/>
    <w:rsid w:val="39A608F9"/>
    <w:rsid w:val="39A62C24"/>
    <w:rsid w:val="39B068F6"/>
    <w:rsid w:val="39BE292C"/>
    <w:rsid w:val="39E474AD"/>
    <w:rsid w:val="39E7368D"/>
    <w:rsid w:val="39EC3DF1"/>
    <w:rsid w:val="39F47D95"/>
    <w:rsid w:val="39F51E97"/>
    <w:rsid w:val="39FD3633"/>
    <w:rsid w:val="3A1E3176"/>
    <w:rsid w:val="3A247715"/>
    <w:rsid w:val="3A2940F7"/>
    <w:rsid w:val="3A2C50B1"/>
    <w:rsid w:val="3A332488"/>
    <w:rsid w:val="3A335D0B"/>
    <w:rsid w:val="3A344BFF"/>
    <w:rsid w:val="3A3D6B6B"/>
    <w:rsid w:val="3A401878"/>
    <w:rsid w:val="3A5362A8"/>
    <w:rsid w:val="3A5953E3"/>
    <w:rsid w:val="3A67703C"/>
    <w:rsid w:val="3AA741F9"/>
    <w:rsid w:val="3AC23843"/>
    <w:rsid w:val="3AC64BA4"/>
    <w:rsid w:val="3ACB44EB"/>
    <w:rsid w:val="3ACC6B3F"/>
    <w:rsid w:val="3AF12502"/>
    <w:rsid w:val="3AF916DD"/>
    <w:rsid w:val="3AFD48F4"/>
    <w:rsid w:val="3B181801"/>
    <w:rsid w:val="3B2D5F23"/>
    <w:rsid w:val="3B336A66"/>
    <w:rsid w:val="3B456FE9"/>
    <w:rsid w:val="3B4C0A0A"/>
    <w:rsid w:val="3B4D4259"/>
    <w:rsid w:val="3B4E3ED9"/>
    <w:rsid w:val="3B541AC7"/>
    <w:rsid w:val="3B620F5F"/>
    <w:rsid w:val="3B6E698C"/>
    <w:rsid w:val="3B794D84"/>
    <w:rsid w:val="3B7E17E7"/>
    <w:rsid w:val="3B802513"/>
    <w:rsid w:val="3B8223C0"/>
    <w:rsid w:val="3B846932"/>
    <w:rsid w:val="3B8A43B0"/>
    <w:rsid w:val="3B8B49E9"/>
    <w:rsid w:val="3B8E0546"/>
    <w:rsid w:val="3B9E19AB"/>
    <w:rsid w:val="3B9E4D42"/>
    <w:rsid w:val="3BA44C68"/>
    <w:rsid w:val="3BA9506A"/>
    <w:rsid w:val="3BB10DB2"/>
    <w:rsid w:val="3BB20B69"/>
    <w:rsid w:val="3BB87C5C"/>
    <w:rsid w:val="3BBA100A"/>
    <w:rsid w:val="3BC378E6"/>
    <w:rsid w:val="3BC57457"/>
    <w:rsid w:val="3BCB0CA4"/>
    <w:rsid w:val="3BF746E8"/>
    <w:rsid w:val="3C063688"/>
    <w:rsid w:val="3C0F31DC"/>
    <w:rsid w:val="3C132F0C"/>
    <w:rsid w:val="3C323000"/>
    <w:rsid w:val="3C325F9A"/>
    <w:rsid w:val="3C3B6B76"/>
    <w:rsid w:val="3C4B2313"/>
    <w:rsid w:val="3C4B3584"/>
    <w:rsid w:val="3C4E4D6E"/>
    <w:rsid w:val="3C5303FD"/>
    <w:rsid w:val="3C606EDC"/>
    <w:rsid w:val="3C73403C"/>
    <w:rsid w:val="3C75216E"/>
    <w:rsid w:val="3C8328F7"/>
    <w:rsid w:val="3C99459C"/>
    <w:rsid w:val="3C9C5AE6"/>
    <w:rsid w:val="3CA2569D"/>
    <w:rsid w:val="3CAA0C2A"/>
    <w:rsid w:val="3CB44AA5"/>
    <w:rsid w:val="3CBB7F5B"/>
    <w:rsid w:val="3CC3647F"/>
    <w:rsid w:val="3CC47910"/>
    <w:rsid w:val="3CD50778"/>
    <w:rsid w:val="3CE83545"/>
    <w:rsid w:val="3CE974FE"/>
    <w:rsid w:val="3CFE22D4"/>
    <w:rsid w:val="3D007123"/>
    <w:rsid w:val="3D0E2A73"/>
    <w:rsid w:val="3D112E45"/>
    <w:rsid w:val="3D153845"/>
    <w:rsid w:val="3D166186"/>
    <w:rsid w:val="3D1C72B6"/>
    <w:rsid w:val="3D263D3A"/>
    <w:rsid w:val="3D2B78EE"/>
    <w:rsid w:val="3D3741F6"/>
    <w:rsid w:val="3D3E5D33"/>
    <w:rsid w:val="3D4A04BA"/>
    <w:rsid w:val="3D59537C"/>
    <w:rsid w:val="3D5A265A"/>
    <w:rsid w:val="3D97091B"/>
    <w:rsid w:val="3D9C09BA"/>
    <w:rsid w:val="3DA57131"/>
    <w:rsid w:val="3DA72863"/>
    <w:rsid w:val="3DAD7FC7"/>
    <w:rsid w:val="3DB518DC"/>
    <w:rsid w:val="3DB85172"/>
    <w:rsid w:val="3DBC3DFE"/>
    <w:rsid w:val="3DC55D08"/>
    <w:rsid w:val="3DE7667A"/>
    <w:rsid w:val="3DEB692A"/>
    <w:rsid w:val="3DEF0FAA"/>
    <w:rsid w:val="3DF22091"/>
    <w:rsid w:val="3E024B2D"/>
    <w:rsid w:val="3E0E3492"/>
    <w:rsid w:val="3E120054"/>
    <w:rsid w:val="3E1359EC"/>
    <w:rsid w:val="3E1E4515"/>
    <w:rsid w:val="3E301A13"/>
    <w:rsid w:val="3E3264BB"/>
    <w:rsid w:val="3E483849"/>
    <w:rsid w:val="3E4C3FFA"/>
    <w:rsid w:val="3E55506C"/>
    <w:rsid w:val="3E575DB0"/>
    <w:rsid w:val="3E730BBA"/>
    <w:rsid w:val="3E757445"/>
    <w:rsid w:val="3E7B1345"/>
    <w:rsid w:val="3E7E6F60"/>
    <w:rsid w:val="3E8A0B0E"/>
    <w:rsid w:val="3E91185D"/>
    <w:rsid w:val="3EA55A0A"/>
    <w:rsid w:val="3EB037FD"/>
    <w:rsid w:val="3EB35BBA"/>
    <w:rsid w:val="3EBC4E7A"/>
    <w:rsid w:val="3EC62E1E"/>
    <w:rsid w:val="3EC76A8F"/>
    <w:rsid w:val="3EDB18C5"/>
    <w:rsid w:val="3EF37553"/>
    <w:rsid w:val="3F055E53"/>
    <w:rsid w:val="3F0A0861"/>
    <w:rsid w:val="3F0F3063"/>
    <w:rsid w:val="3F0F549B"/>
    <w:rsid w:val="3F135889"/>
    <w:rsid w:val="3F1B4815"/>
    <w:rsid w:val="3F2969DF"/>
    <w:rsid w:val="3F2A54AE"/>
    <w:rsid w:val="3F2D65A3"/>
    <w:rsid w:val="3F336025"/>
    <w:rsid w:val="3F3B08A6"/>
    <w:rsid w:val="3F483D2B"/>
    <w:rsid w:val="3F5D633F"/>
    <w:rsid w:val="3F5F7F07"/>
    <w:rsid w:val="3F697D9A"/>
    <w:rsid w:val="3F6B149A"/>
    <w:rsid w:val="3F7E6F0F"/>
    <w:rsid w:val="3F92480A"/>
    <w:rsid w:val="3FA00970"/>
    <w:rsid w:val="3FC26926"/>
    <w:rsid w:val="3FCA69EC"/>
    <w:rsid w:val="3FCD4CB7"/>
    <w:rsid w:val="3FD768CC"/>
    <w:rsid w:val="3FDB19A2"/>
    <w:rsid w:val="3FDC425D"/>
    <w:rsid w:val="3FE446E5"/>
    <w:rsid w:val="3FF17510"/>
    <w:rsid w:val="3FF77B9A"/>
    <w:rsid w:val="3FFB2188"/>
    <w:rsid w:val="3FFF7554"/>
    <w:rsid w:val="401776B5"/>
    <w:rsid w:val="4018132B"/>
    <w:rsid w:val="402E3A57"/>
    <w:rsid w:val="403B0878"/>
    <w:rsid w:val="405939A2"/>
    <w:rsid w:val="405B001E"/>
    <w:rsid w:val="405D1866"/>
    <w:rsid w:val="406E00C4"/>
    <w:rsid w:val="406F2D0A"/>
    <w:rsid w:val="40705908"/>
    <w:rsid w:val="40754EAB"/>
    <w:rsid w:val="40833EF1"/>
    <w:rsid w:val="408A232D"/>
    <w:rsid w:val="408C1B44"/>
    <w:rsid w:val="408C2D32"/>
    <w:rsid w:val="408C7C3F"/>
    <w:rsid w:val="408F660B"/>
    <w:rsid w:val="40952BF8"/>
    <w:rsid w:val="4096107E"/>
    <w:rsid w:val="40AB6764"/>
    <w:rsid w:val="40B173DB"/>
    <w:rsid w:val="40C31CCA"/>
    <w:rsid w:val="40C50AD3"/>
    <w:rsid w:val="40D40A19"/>
    <w:rsid w:val="40E63206"/>
    <w:rsid w:val="40E66A89"/>
    <w:rsid w:val="40F14E1A"/>
    <w:rsid w:val="40FD2E2B"/>
    <w:rsid w:val="4118733B"/>
    <w:rsid w:val="411E7924"/>
    <w:rsid w:val="41205EF4"/>
    <w:rsid w:val="41216299"/>
    <w:rsid w:val="413204D9"/>
    <w:rsid w:val="41325883"/>
    <w:rsid w:val="41340E45"/>
    <w:rsid w:val="413D3C14"/>
    <w:rsid w:val="41492520"/>
    <w:rsid w:val="414B08D8"/>
    <w:rsid w:val="41601EC4"/>
    <w:rsid w:val="41670FB1"/>
    <w:rsid w:val="417E7F01"/>
    <w:rsid w:val="41802FE8"/>
    <w:rsid w:val="41846659"/>
    <w:rsid w:val="418C4C69"/>
    <w:rsid w:val="41944A99"/>
    <w:rsid w:val="41945B5B"/>
    <w:rsid w:val="419E6238"/>
    <w:rsid w:val="41C37468"/>
    <w:rsid w:val="41C857AD"/>
    <w:rsid w:val="41D7769B"/>
    <w:rsid w:val="41F45094"/>
    <w:rsid w:val="42014C57"/>
    <w:rsid w:val="424B477B"/>
    <w:rsid w:val="427C0E32"/>
    <w:rsid w:val="429033B1"/>
    <w:rsid w:val="429960CF"/>
    <w:rsid w:val="42AA0EE1"/>
    <w:rsid w:val="42AD618C"/>
    <w:rsid w:val="42B50733"/>
    <w:rsid w:val="42BE6183"/>
    <w:rsid w:val="42C34BD2"/>
    <w:rsid w:val="42CE0B28"/>
    <w:rsid w:val="42D069A7"/>
    <w:rsid w:val="42DD2370"/>
    <w:rsid w:val="42EB04ED"/>
    <w:rsid w:val="430A4A55"/>
    <w:rsid w:val="43254DBA"/>
    <w:rsid w:val="4330314B"/>
    <w:rsid w:val="43370312"/>
    <w:rsid w:val="434849ED"/>
    <w:rsid w:val="43491915"/>
    <w:rsid w:val="435E1A8C"/>
    <w:rsid w:val="43675823"/>
    <w:rsid w:val="436A314A"/>
    <w:rsid w:val="436F160F"/>
    <w:rsid w:val="43765FCF"/>
    <w:rsid w:val="43833CC9"/>
    <w:rsid w:val="439104AC"/>
    <w:rsid w:val="43911EEB"/>
    <w:rsid w:val="439E7CAA"/>
    <w:rsid w:val="43A02BA4"/>
    <w:rsid w:val="43A33383"/>
    <w:rsid w:val="43A3720F"/>
    <w:rsid w:val="43A72FE1"/>
    <w:rsid w:val="43AA1DC9"/>
    <w:rsid w:val="43B37EA1"/>
    <w:rsid w:val="43B56A99"/>
    <w:rsid w:val="43B95579"/>
    <w:rsid w:val="43CD3AF6"/>
    <w:rsid w:val="43CD4C7D"/>
    <w:rsid w:val="43F30C8A"/>
    <w:rsid w:val="440A08B0"/>
    <w:rsid w:val="44133C26"/>
    <w:rsid w:val="441418CF"/>
    <w:rsid w:val="441A5EC0"/>
    <w:rsid w:val="441B2861"/>
    <w:rsid w:val="441D580B"/>
    <w:rsid w:val="44390B29"/>
    <w:rsid w:val="444C1AD3"/>
    <w:rsid w:val="4456523D"/>
    <w:rsid w:val="445C495B"/>
    <w:rsid w:val="44803D71"/>
    <w:rsid w:val="448734FB"/>
    <w:rsid w:val="44970113"/>
    <w:rsid w:val="44AC00B9"/>
    <w:rsid w:val="44B31F15"/>
    <w:rsid w:val="44B52230"/>
    <w:rsid w:val="44D0553D"/>
    <w:rsid w:val="44DE2495"/>
    <w:rsid w:val="44F47D19"/>
    <w:rsid w:val="44F92736"/>
    <w:rsid w:val="45012603"/>
    <w:rsid w:val="4503395F"/>
    <w:rsid w:val="450B79CA"/>
    <w:rsid w:val="451A6F24"/>
    <w:rsid w:val="452F4E0F"/>
    <w:rsid w:val="45321621"/>
    <w:rsid w:val="4535196F"/>
    <w:rsid w:val="453D3C3F"/>
    <w:rsid w:val="453E0AA9"/>
    <w:rsid w:val="45441531"/>
    <w:rsid w:val="45556562"/>
    <w:rsid w:val="455A53D0"/>
    <w:rsid w:val="455D08CF"/>
    <w:rsid w:val="45650562"/>
    <w:rsid w:val="456F512A"/>
    <w:rsid w:val="45737224"/>
    <w:rsid w:val="458F3751"/>
    <w:rsid w:val="459B1F40"/>
    <w:rsid w:val="459F1D9A"/>
    <w:rsid w:val="45C66607"/>
    <w:rsid w:val="45D4288F"/>
    <w:rsid w:val="45DE28FF"/>
    <w:rsid w:val="45E76302"/>
    <w:rsid w:val="45FC0CDF"/>
    <w:rsid w:val="45FD4563"/>
    <w:rsid w:val="46115B77"/>
    <w:rsid w:val="46120C85"/>
    <w:rsid w:val="4616396A"/>
    <w:rsid w:val="46194223"/>
    <w:rsid w:val="46195A2A"/>
    <w:rsid w:val="461E6C96"/>
    <w:rsid w:val="46237464"/>
    <w:rsid w:val="462D5A91"/>
    <w:rsid w:val="462F1A6E"/>
    <w:rsid w:val="462F39AC"/>
    <w:rsid w:val="46484442"/>
    <w:rsid w:val="4649335D"/>
    <w:rsid w:val="465E3302"/>
    <w:rsid w:val="467A03BA"/>
    <w:rsid w:val="46800869"/>
    <w:rsid w:val="4689092C"/>
    <w:rsid w:val="46895DBD"/>
    <w:rsid w:val="468A764A"/>
    <w:rsid w:val="469F037B"/>
    <w:rsid w:val="469F3D6C"/>
    <w:rsid w:val="46A44C45"/>
    <w:rsid w:val="46A4688F"/>
    <w:rsid w:val="46B53D11"/>
    <w:rsid w:val="46B95C04"/>
    <w:rsid w:val="46BD6AF3"/>
    <w:rsid w:val="46C11F13"/>
    <w:rsid w:val="46C92F6B"/>
    <w:rsid w:val="46D52939"/>
    <w:rsid w:val="46D66444"/>
    <w:rsid w:val="46E10058"/>
    <w:rsid w:val="46EC63E9"/>
    <w:rsid w:val="46F6477A"/>
    <w:rsid w:val="470614FD"/>
    <w:rsid w:val="470C10BB"/>
    <w:rsid w:val="472A3596"/>
    <w:rsid w:val="472A7346"/>
    <w:rsid w:val="47342A2C"/>
    <w:rsid w:val="473B60EE"/>
    <w:rsid w:val="474E614B"/>
    <w:rsid w:val="47753287"/>
    <w:rsid w:val="477914D1"/>
    <w:rsid w:val="477C429A"/>
    <w:rsid w:val="4781730C"/>
    <w:rsid w:val="478A03F2"/>
    <w:rsid w:val="478B0A74"/>
    <w:rsid w:val="478C150B"/>
    <w:rsid w:val="478E5BF3"/>
    <w:rsid w:val="47922667"/>
    <w:rsid w:val="479952FE"/>
    <w:rsid w:val="47A4156E"/>
    <w:rsid w:val="47AA033E"/>
    <w:rsid w:val="47AC062A"/>
    <w:rsid w:val="47B10188"/>
    <w:rsid w:val="47B87959"/>
    <w:rsid w:val="47BD34C2"/>
    <w:rsid w:val="47C16613"/>
    <w:rsid w:val="47D366B2"/>
    <w:rsid w:val="47D40FDA"/>
    <w:rsid w:val="47DA0270"/>
    <w:rsid w:val="47E57BA5"/>
    <w:rsid w:val="47EF4992"/>
    <w:rsid w:val="480A7F3D"/>
    <w:rsid w:val="480F0ED1"/>
    <w:rsid w:val="481C0CDA"/>
    <w:rsid w:val="4826706B"/>
    <w:rsid w:val="482728EE"/>
    <w:rsid w:val="484653A1"/>
    <w:rsid w:val="485D0E6C"/>
    <w:rsid w:val="4865125B"/>
    <w:rsid w:val="48652A5D"/>
    <w:rsid w:val="48683357"/>
    <w:rsid w:val="486C33B6"/>
    <w:rsid w:val="48794C3F"/>
    <w:rsid w:val="487A60AB"/>
    <w:rsid w:val="48A9601F"/>
    <w:rsid w:val="48B759B7"/>
    <w:rsid w:val="48B878EC"/>
    <w:rsid w:val="48D43D0B"/>
    <w:rsid w:val="48DD7150"/>
    <w:rsid w:val="48E152ED"/>
    <w:rsid w:val="48E9042E"/>
    <w:rsid w:val="48F56836"/>
    <w:rsid w:val="49090303"/>
    <w:rsid w:val="49154775"/>
    <w:rsid w:val="491C119F"/>
    <w:rsid w:val="491E0A68"/>
    <w:rsid w:val="49202B06"/>
    <w:rsid w:val="49252381"/>
    <w:rsid w:val="492B471A"/>
    <w:rsid w:val="4938704A"/>
    <w:rsid w:val="49405F32"/>
    <w:rsid w:val="495A7810"/>
    <w:rsid w:val="4961356F"/>
    <w:rsid w:val="49626DF3"/>
    <w:rsid w:val="49705CDA"/>
    <w:rsid w:val="497370EE"/>
    <w:rsid w:val="49784C66"/>
    <w:rsid w:val="49790BE2"/>
    <w:rsid w:val="49854425"/>
    <w:rsid w:val="498C34BA"/>
    <w:rsid w:val="49964740"/>
    <w:rsid w:val="4997184B"/>
    <w:rsid w:val="49A3785C"/>
    <w:rsid w:val="49B833C8"/>
    <w:rsid w:val="49C43B9B"/>
    <w:rsid w:val="49E33EC9"/>
    <w:rsid w:val="49ED225A"/>
    <w:rsid w:val="4A0F0C93"/>
    <w:rsid w:val="4A192D1E"/>
    <w:rsid w:val="4A500C79"/>
    <w:rsid w:val="4A5815FA"/>
    <w:rsid w:val="4A6B4AB7"/>
    <w:rsid w:val="4A70372C"/>
    <w:rsid w:val="4A7367F5"/>
    <w:rsid w:val="4A806ED3"/>
    <w:rsid w:val="4A841EEE"/>
    <w:rsid w:val="4A8D580A"/>
    <w:rsid w:val="4AA15DFD"/>
    <w:rsid w:val="4AAE0BD9"/>
    <w:rsid w:val="4AC61F4E"/>
    <w:rsid w:val="4AC779BE"/>
    <w:rsid w:val="4AD43207"/>
    <w:rsid w:val="4AD87A63"/>
    <w:rsid w:val="4ADE3D60"/>
    <w:rsid w:val="4AED7D77"/>
    <w:rsid w:val="4B10058D"/>
    <w:rsid w:val="4B1E4B4A"/>
    <w:rsid w:val="4B21533E"/>
    <w:rsid w:val="4B28159B"/>
    <w:rsid w:val="4B2E67E5"/>
    <w:rsid w:val="4B390BFB"/>
    <w:rsid w:val="4B3F2B00"/>
    <w:rsid w:val="4B552AA6"/>
    <w:rsid w:val="4B5C6ACF"/>
    <w:rsid w:val="4B6A71C8"/>
    <w:rsid w:val="4B6B638E"/>
    <w:rsid w:val="4B745559"/>
    <w:rsid w:val="4B843543"/>
    <w:rsid w:val="4B882674"/>
    <w:rsid w:val="4B8A54FE"/>
    <w:rsid w:val="4B8B517E"/>
    <w:rsid w:val="4B8F6B2F"/>
    <w:rsid w:val="4B96350F"/>
    <w:rsid w:val="4B9E2427"/>
    <w:rsid w:val="4BA018A0"/>
    <w:rsid w:val="4BB92052"/>
    <w:rsid w:val="4BC051C3"/>
    <w:rsid w:val="4BC06E6B"/>
    <w:rsid w:val="4BC07BD6"/>
    <w:rsid w:val="4BD251E9"/>
    <w:rsid w:val="4BDA697B"/>
    <w:rsid w:val="4BE12767"/>
    <w:rsid w:val="4BE25B8D"/>
    <w:rsid w:val="4BEF5B35"/>
    <w:rsid w:val="4BF519DD"/>
    <w:rsid w:val="4BFB6E16"/>
    <w:rsid w:val="4C02406D"/>
    <w:rsid w:val="4C065300"/>
    <w:rsid w:val="4C0D2254"/>
    <w:rsid w:val="4C15110E"/>
    <w:rsid w:val="4C1705E5"/>
    <w:rsid w:val="4C1D0E21"/>
    <w:rsid w:val="4C254572"/>
    <w:rsid w:val="4C275E76"/>
    <w:rsid w:val="4C2F1C58"/>
    <w:rsid w:val="4C351426"/>
    <w:rsid w:val="4C406C01"/>
    <w:rsid w:val="4C43492C"/>
    <w:rsid w:val="4C48457C"/>
    <w:rsid w:val="4C4F05D0"/>
    <w:rsid w:val="4C6D0AB3"/>
    <w:rsid w:val="4C855396"/>
    <w:rsid w:val="4C924E2D"/>
    <w:rsid w:val="4CC12C2E"/>
    <w:rsid w:val="4CCF6138"/>
    <w:rsid w:val="4CCF7D94"/>
    <w:rsid w:val="4CD116FA"/>
    <w:rsid w:val="4CF15D4A"/>
    <w:rsid w:val="4CF31342"/>
    <w:rsid w:val="4CF76BDD"/>
    <w:rsid w:val="4D0C35CD"/>
    <w:rsid w:val="4D186C63"/>
    <w:rsid w:val="4D2470CB"/>
    <w:rsid w:val="4D2607A2"/>
    <w:rsid w:val="4D3B6F2D"/>
    <w:rsid w:val="4D3D03C8"/>
    <w:rsid w:val="4D450D74"/>
    <w:rsid w:val="4D47307F"/>
    <w:rsid w:val="4D4F5A6E"/>
    <w:rsid w:val="4D5357FE"/>
    <w:rsid w:val="4D571779"/>
    <w:rsid w:val="4D59733A"/>
    <w:rsid w:val="4D5A0C89"/>
    <w:rsid w:val="4D5A3314"/>
    <w:rsid w:val="4D696DCB"/>
    <w:rsid w:val="4D6C0E41"/>
    <w:rsid w:val="4D7920DB"/>
    <w:rsid w:val="4D7D11B1"/>
    <w:rsid w:val="4D935553"/>
    <w:rsid w:val="4D940DD6"/>
    <w:rsid w:val="4D9700C2"/>
    <w:rsid w:val="4D974DAD"/>
    <w:rsid w:val="4DA954F8"/>
    <w:rsid w:val="4DA95694"/>
    <w:rsid w:val="4DBB7A1A"/>
    <w:rsid w:val="4DCB449F"/>
    <w:rsid w:val="4DF41962"/>
    <w:rsid w:val="4DF57B76"/>
    <w:rsid w:val="4E0C3F18"/>
    <w:rsid w:val="4E152BD8"/>
    <w:rsid w:val="4E167232"/>
    <w:rsid w:val="4E2E0733"/>
    <w:rsid w:val="4E2F0B30"/>
    <w:rsid w:val="4E3061FA"/>
    <w:rsid w:val="4E380AE9"/>
    <w:rsid w:val="4E404575"/>
    <w:rsid w:val="4E4070FD"/>
    <w:rsid w:val="4E566916"/>
    <w:rsid w:val="4E5A334C"/>
    <w:rsid w:val="4E63674C"/>
    <w:rsid w:val="4E682E6E"/>
    <w:rsid w:val="4E6F729D"/>
    <w:rsid w:val="4E7C6302"/>
    <w:rsid w:val="4E8D0FEE"/>
    <w:rsid w:val="4E9614B3"/>
    <w:rsid w:val="4EB730DF"/>
    <w:rsid w:val="4EB73B2E"/>
    <w:rsid w:val="4EBF5016"/>
    <w:rsid w:val="4EBF5A8C"/>
    <w:rsid w:val="4EC436C7"/>
    <w:rsid w:val="4ECE1A58"/>
    <w:rsid w:val="4ED94B03"/>
    <w:rsid w:val="4EDB1871"/>
    <w:rsid w:val="4EDF0F70"/>
    <w:rsid w:val="4EE419FD"/>
    <w:rsid w:val="4EF352D3"/>
    <w:rsid w:val="4EF46721"/>
    <w:rsid w:val="4EF4675F"/>
    <w:rsid w:val="4EFA733B"/>
    <w:rsid w:val="4F0A2013"/>
    <w:rsid w:val="4F0D0B89"/>
    <w:rsid w:val="4F105D44"/>
    <w:rsid w:val="4F2372F3"/>
    <w:rsid w:val="4F2C30E3"/>
    <w:rsid w:val="4F3044E6"/>
    <w:rsid w:val="4F373148"/>
    <w:rsid w:val="4F446542"/>
    <w:rsid w:val="4F461FD1"/>
    <w:rsid w:val="4F5762D3"/>
    <w:rsid w:val="4F5C4B3F"/>
    <w:rsid w:val="4F5E5301"/>
    <w:rsid w:val="4F602B25"/>
    <w:rsid w:val="4F712D59"/>
    <w:rsid w:val="4F7C2E75"/>
    <w:rsid w:val="4F892702"/>
    <w:rsid w:val="4F8933C5"/>
    <w:rsid w:val="4FA5253D"/>
    <w:rsid w:val="4FA871BC"/>
    <w:rsid w:val="4FA947B6"/>
    <w:rsid w:val="4FB11242"/>
    <w:rsid w:val="4FB3554D"/>
    <w:rsid w:val="4FC24FED"/>
    <w:rsid w:val="4FC315CA"/>
    <w:rsid w:val="4FC319C0"/>
    <w:rsid w:val="4FCA3B67"/>
    <w:rsid w:val="4FDE7E5E"/>
    <w:rsid w:val="4FF63703"/>
    <w:rsid w:val="4FFD7886"/>
    <w:rsid w:val="4FFF7BCB"/>
    <w:rsid w:val="501025C1"/>
    <w:rsid w:val="50111D35"/>
    <w:rsid w:val="501172D1"/>
    <w:rsid w:val="501442ED"/>
    <w:rsid w:val="50232DC3"/>
    <w:rsid w:val="502B6073"/>
    <w:rsid w:val="503C6ADF"/>
    <w:rsid w:val="5054095A"/>
    <w:rsid w:val="505C680E"/>
    <w:rsid w:val="506A2AF8"/>
    <w:rsid w:val="50710727"/>
    <w:rsid w:val="5074374D"/>
    <w:rsid w:val="507A5008"/>
    <w:rsid w:val="508B3032"/>
    <w:rsid w:val="5096168B"/>
    <w:rsid w:val="509A7F64"/>
    <w:rsid w:val="50AA7C6B"/>
    <w:rsid w:val="50AD4B50"/>
    <w:rsid w:val="50AF36F5"/>
    <w:rsid w:val="50B60147"/>
    <w:rsid w:val="50C04F20"/>
    <w:rsid w:val="50D756B0"/>
    <w:rsid w:val="50DD670D"/>
    <w:rsid w:val="50E600E2"/>
    <w:rsid w:val="50EA7200"/>
    <w:rsid w:val="50EB0151"/>
    <w:rsid w:val="50EE1A52"/>
    <w:rsid w:val="50F25547"/>
    <w:rsid w:val="50F5361C"/>
    <w:rsid w:val="51063B27"/>
    <w:rsid w:val="510808FB"/>
    <w:rsid w:val="510E1E6E"/>
    <w:rsid w:val="51101EEB"/>
    <w:rsid w:val="51102912"/>
    <w:rsid w:val="51151FB8"/>
    <w:rsid w:val="511701B4"/>
    <w:rsid w:val="51186119"/>
    <w:rsid w:val="511E28FA"/>
    <w:rsid w:val="51243CCD"/>
    <w:rsid w:val="512D5BD9"/>
    <w:rsid w:val="513A7B6F"/>
    <w:rsid w:val="513B2E22"/>
    <w:rsid w:val="51505C0D"/>
    <w:rsid w:val="515816F0"/>
    <w:rsid w:val="515B27E8"/>
    <w:rsid w:val="516F6B28"/>
    <w:rsid w:val="517602A3"/>
    <w:rsid w:val="51897301"/>
    <w:rsid w:val="518C012F"/>
    <w:rsid w:val="518D58F9"/>
    <w:rsid w:val="518F4E5F"/>
    <w:rsid w:val="51AC529A"/>
    <w:rsid w:val="51B07591"/>
    <w:rsid w:val="51B65975"/>
    <w:rsid w:val="51BB11A6"/>
    <w:rsid w:val="51BF1C4E"/>
    <w:rsid w:val="51D350B7"/>
    <w:rsid w:val="52121BB5"/>
    <w:rsid w:val="52295F56"/>
    <w:rsid w:val="52310CAA"/>
    <w:rsid w:val="5234212E"/>
    <w:rsid w:val="5246527A"/>
    <w:rsid w:val="52465DD6"/>
    <w:rsid w:val="524E738F"/>
    <w:rsid w:val="524F0571"/>
    <w:rsid w:val="527340EA"/>
    <w:rsid w:val="52746C8E"/>
    <w:rsid w:val="52780022"/>
    <w:rsid w:val="527E6CE5"/>
    <w:rsid w:val="528177C2"/>
    <w:rsid w:val="52827F35"/>
    <w:rsid w:val="52AC2F72"/>
    <w:rsid w:val="52B0523E"/>
    <w:rsid w:val="52BB2796"/>
    <w:rsid w:val="52BF2FD2"/>
    <w:rsid w:val="52CC6AA5"/>
    <w:rsid w:val="52E15705"/>
    <w:rsid w:val="52F47482"/>
    <w:rsid w:val="52F72F34"/>
    <w:rsid w:val="53010577"/>
    <w:rsid w:val="531E60C9"/>
    <w:rsid w:val="53211D72"/>
    <w:rsid w:val="53256232"/>
    <w:rsid w:val="5327651F"/>
    <w:rsid w:val="532B0103"/>
    <w:rsid w:val="53320BD0"/>
    <w:rsid w:val="53374B27"/>
    <w:rsid w:val="53376114"/>
    <w:rsid w:val="5339367E"/>
    <w:rsid w:val="533B47DB"/>
    <w:rsid w:val="534103F4"/>
    <w:rsid w:val="5354542A"/>
    <w:rsid w:val="535D4D1B"/>
    <w:rsid w:val="53652A6E"/>
    <w:rsid w:val="536A5B67"/>
    <w:rsid w:val="537132FC"/>
    <w:rsid w:val="537301C3"/>
    <w:rsid w:val="537405A5"/>
    <w:rsid w:val="53990737"/>
    <w:rsid w:val="53AD7B35"/>
    <w:rsid w:val="53B17BBB"/>
    <w:rsid w:val="53B231EE"/>
    <w:rsid w:val="53C90763"/>
    <w:rsid w:val="53C925D6"/>
    <w:rsid w:val="53D04B06"/>
    <w:rsid w:val="53D207DC"/>
    <w:rsid w:val="53DA11A0"/>
    <w:rsid w:val="53E57531"/>
    <w:rsid w:val="53F01145"/>
    <w:rsid w:val="53F9235A"/>
    <w:rsid w:val="53FD1AA3"/>
    <w:rsid w:val="54055868"/>
    <w:rsid w:val="540963A1"/>
    <w:rsid w:val="541D708F"/>
    <w:rsid w:val="541E7D99"/>
    <w:rsid w:val="543306CE"/>
    <w:rsid w:val="5451170C"/>
    <w:rsid w:val="545A5303"/>
    <w:rsid w:val="54685E0C"/>
    <w:rsid w:val="546C4718"/>
    <w:rsid w:val="5478143A"/>
    <w:rsid w:val="54821223"/>
    <w:rsid w:val="54845F3D"/>
    <w:rsid w:val="54A02A57"/>
    <w:rsid w:val="54A2379D"/>
    <w:rsid w:val="54A35F8E"/>
    <w:rsid w:val="54A96DC4"/>
    <w:rsid w:val="54B6323C"/>
    <w:rsid w:val="54BF23BC"/>
    <w:rsid w:val="54C05667"/>
    <w:rsid w:val="54CB3C0A"/>
    <w:rsid w:val="54CE5A66"/>
    <w:rsid w:val="54D07305"/>
    <w:rsid w:val="54D413B8"/>
    <w:rsid w:val="54DC7858"/>
    <w:rsid w:val="54EA7569"/>
    <w:rsid w:val="54EB78A8"/>
    <w:rsid w:val="54FB0CB4"/>
    <w:rsid w:val="55016CA9"/>
    <w:rsid w:val="55065A58"/>
    <w:rsid w:val="550B43A2"/>
    <w:rsid w:val="551556A5"/>
    <w:rsid w:val="551F4ED9"/>
    <w:rsid w:val="55203A36"/>
    <w:rsid w:val="552B1DC7"/>
    <w:rsid w:val="552C4461"/>
    <w:rsid w:val="552D04DF"/>
    <w:rsid w:val="55393DD6"/>
    <w:rsid w:val="553A18F3"/>
    <w:rsid w:val="5555648E"/>
    <w:rsid w:val="55605AEA"/>
    <w:rsid w:val="55675C0B"/>
    <w:rsid w:val="556B1BF6"/>
    <w:rsid w:val="5597277B"/>
    <w:rsid w:val="559B4E77"/>
    <w:rsid w:val="55A10B0C"/>
    <w:rsid w:val="55A748ED"/>
    <w:rsid w:val="55A94A48"/>
    <w:rsid w:val="55AC6E9D"/>
    <w:rsid w:val="55AD6B1D"/>
    <w:rsid w:val="55AE5202"/>
    <w:rsid w:val="55B5015F"/>
    <w:rsid w:val="55C061A9"/>
    <w:rsid w:val="55CF48B0"/>
    <w:rsid w:val="55D02B04"/>
    <w:rsid w:val="55D831E4"/>
    <w:rsid w:val="55E23127"/>
    <w:rsid w:val="55EC2768"/>
    <w:rsid w:val="55EF3E74"/>
    <w:rsid w:val="55F654E9"/>
    <w:rsid w:val="560F58BD"/>
    <w:rsid w:val="562D54D7"/>
    <w:rsid w:val="563355E1"/>
    <w:rsid w:val="56392846"/>
    <w:rsid w:val="563A6B40"/>
    <w:rsid w:val="56436C26"/>
    <w:rsid w:val="56443B98"/>
    <w:rsid w:val="56603A4B"/>
    <w:rsid w:val="5664185B"/>
    <w:rsid w:val="56681893"/>
    <w:rsid w:val="566917D2"/>
    <w:rsid w:val="566D6E3D"/>
    <w:rsid w:val="56783056"/>
    <w:rsid w:val="567B6271"/>
    <w:rsid w:val="567F1C29"/>
    <w:rsid w:val="568D4638"/>
    <w:rsid w:val="56941DB8"/>
    <w:rsid w:val="56A62938"/>
    <w:rsid w:val="56A77E28"/>
    <w:rsid w:val="56AB17FE"/>
    <w:rsid w:val="56AF1102"/>
    <w:rsid w:val="56AF4ADD"/>
    <w:rsid w:val="56AF608B"/>
    <w:rsid w:val="56B00CC9"/>
    <w:rsid w:val="56B20949"/>
    <w:rsid w:val="56C53BC0"/>
    <w:rsid w:val="56C7506B"/>
    <w:rsid w:val="56C86FCA"/>
    <w:rsid w:val="56D133FC"/>
    <w:rsid w:val="56DD0123"/>
    <w:rsid w:val="56E733A1"/>
    <w:rsid w:val="56E803BD"/>
    <w:rsid w:val="57081358"/>
    <w:rsid w:val="57193C9E"/>
    <w:rsid w:val="571B2BD6"/>
    <w:rsid w:val="571E12FD"/>
    <w:rsid w:val="571E5A7A"/>
    <w:rsid w:val="5728768E"/>
    <w:rsid w:val="573640FD"/>
    <w:rsid w:val="573F3A30"/>
    <w:rsid w:val="57411449"/>
    <w:rsid w:val="574B37A4"/>
    <w:rsid w:val="57540152"/>
    <w:rsid w:val="575C1760"/>
    <w:rsid w:val="57631069"/>
    <w:rsid w:val="57745224"/>
    <w:rsid w:val="57746489"/>
    <w:rsid w:val="577D4571"/>
    <w:rsid w:val="577D5EA0"/>
    <w:rsid w:val="577F009D"/>
    <w:rsid w:val="57852FFA"/>
    <w:rsid w:val="578A642E"/>
    <w:rsid w:val="578D61F6"/>
    <w:rsid w:val="579846C6"/>
    <w:rsid w:val="579D665F"/>
    <w:rsid w:val="57B0371A"/>
    <w:rsid w:val="57B62775"/>
    <w:rsid w:val="57C00B06"/>
    <w:rsid w:val="57C52DA1"/>
    <w:rsid w:val="57D30140"/>
    <w:rsid w:val="57D6683E"/>
    <w:rsid w:val="57E33B36"/>
    <w:rsid w:val="57EB51CE"/>
    <w:rsid w:val="57EE1C9B"/>
    <w:rsid w:val="57F8328C"/>
    <w:rsid w:val="58021570"/>
    <w:rsid w:val="58071D1E"/>
    <w:rsid w:val="58120E4F"/>
    <w:rsid w:val="58171930"/>
    <w:rsid w:val="581E200C"/>
    <w:rsid w:val="58635CE7"/>
    <w:rsid w:val="58736E42"/>
    <w:rsid w:val="588562C6"/>
    <w:rsid w:val="58943B1A"/>
    <w:rsid w:val="589A626B"/>
    <w:rsid w:val="589B4ED6"/>
    <w:rsid w:val="589B7E1A"/>
    <w:rsid w:val="58A92DA2"/>
    <w:rsid w:val="58B07EA7"/>
    <w:rsid w:val="58B9051C"/>
    <w:rsid w:val="58BE03C9"/>
    <w:rsid w:val="58C240DC"/>
    <w:rsid w:val="58C926FB"/>
    <w:rsid w:val="58CA324B"/>
    <w:rsid w:val="58D07D0E"/>
    <w:rsid w:val="58D856C0"/>
    <w:rsid w:val="58DB6CD4"/>
    <w:rsid w:val="58E52D7E"/>
    <w:rsid w:val="58E729B4"/>
    <w:rsid w:val="5901568C"/>
    <w:rsid w:val="59081FF5"/>
    <w:rsid w:val="59102387"/>
    <w:rsid w:val="591D2FC9"/>
    <w:rsid w:val="591D7DF3"/>
    <w:rsid w:val="59200DCE"/>
    <w:rsid w:val="592616D2"/>
    <w:rsid w:val="593276E3"/>
    <w:rsid w:val="593D5A74"/>
    <w:rsid w:val="594015B1"/>
    <w:rsid w:val="59482709"/>
    <w:rsid w:val="59575CD0"/>
    <w:rsid w:val="59713BE2"/>
    <w:rsid w:val="5992152A"/>
    <w:rsid w:val="59B31E77"/>
    <w:rsid w:val="59C15C9E"/>
    <w:rsid w:val="59CF30C7"/>
    <w:rsid w:val="59D56A1F"/>
    <w:rsid w:val="59E00B01"/>
    <w:rsid w:val="59EA6E92"/>
    <w:rsid w:val="59EF6DC0"/>
    <w:rsid w:val="59F02FE1"/>
    <w:rsid w:val="5A006E37"/>
    <w:rsid w:val="5A0C79CA"/>
    <w:rsid w:val="5A102236"/>
    <w:rsid w:val="5A21156A"/>
    <w:rsid w:val="5A2342E4"/>
    <w:rsid w:val="5A237C31"/>
    <w:rsid w:val="5A2A1FA9"/>
    <w:rsid w:val="5A36150F"/>
    <w:rsid w:val="5A385481"/>
    <w:rsid w:val="5A391B9F"/>
    <w:rsid w:val="5A3A20FC"/>
    <w:rsid w:val="5A487D19"/>
    <w:rsid w:val="5A4B333B"/>
    <w:rsid w:val="5A530571"/>
    <w:rsid w:val="5A563FC2"/>
    <w:rsid w:val="5A615BD7"/>
    <w:rsid w:val="5A7561B4"/>
    <w:rsid w:val="5A7877A9"/>
    <w:rsid w:val="5A801ED8"/>
    <w:rsid w:val="5A81444F"/>
    <w:rsid w:val="5A816495"/>
    <w:rsid w:val="5A8A1B6F"/>
    <w:rsid w:val="5A914137"/>
    <w:rsid w:val="5A9802AF"/>
    <w:rsid w:val="5AAD49D1"/>
    <w:rsid w:val="5AB865E5"/>
    <w:rsid w:val="5ACD034C"/>
    <w:rsid w:val="5AD9663A"/>
    <w:rsid w:val="5AE4292D"/>
    <w:rsid w:val="5AE470AA"/>
    <w:rsid w:val="5AF50C6B"/>
    <w:rsid w:val="5AF9704F"/>
    <w:rsid w:val="5B036422"/>
    <w:rsid w:val="5B0453E0"/>
    <w:rsid w:val="5B081542"/>
    <w:rsid w:val="5B08482F"/>
    <w:rsid w:val="5B172084"/>
    <w:rsid w:val="5B253396"/>
    <w:rsid w:val="5B367666"/>
    <w:rsid w:val="5B492C9B"/>
    <w:rsid w:val="5B5A179A"/>
    <w:rsid w:val="5B5A6C4F"/>
    <w:rsid w:val="5B63589A"/>
    <w:rsid w:val="5B6A7913"/>
    <w:rsid w:val="5B715A14"/>
    <w:rsid w:val="5B801C1D"/>
    <w:rsid w:val="5B817770"/>
    <w:rsid w:val="5B834BF3"/>
    <w:rsid w:val="5B83570A"/>
    <w:rsid w:val="5B83629B"/>
    <w:rsid w:val="5B8B7214"/>
    <w:rsid w:val="5B8D6BEB"/>
    <w:rsid w:val="5B8F69A1"/>
    <w:rsid w:val="5B913D4A"/>
    <w:rsid w:val="5B936644"/>
    <w:rsid w:val="5B9C20DB"/>
    <w:rsid w:val="5BAE2011"/>
    <w:rsid w:val="5BB34E27"/>
    <w:rsid w:val="5BC86423"/>
    <w:rsid w:val="5BD347B4"/>
    <w:rsid w:val="5BDD2B45"/>
    <w:rsid w:val="5BE6356C"/>
    <w:rsid w:val="5BE80ED6"/>
    <w:rsid w:val="5BF04C2F"/>
    <w:rsid w:val="5BF32AEA"/>
    <w:rsid w:val="5BF60410"/>
    <w:rsid w:val="5BFA35DC"/>
    <w:rsid w:val="5C0127D9"/>
    <w:rsid w:val="5C1C593B"/>
    <w:rsid w:val="5C2A6D2E"/>
    <w:rsid w:val="5C343553"/>
    <w:rsid w:val="5C4169F8"/>
    <w:rsid w:val="5C49154C"/>
    <w:rsid w:val="5C4A34F9"/>
    <w:rsid w:val="5C5F7C1B"/>
    <w:rsid w:val="5C7B30E3"/>
    <w:rsid w:val="5C8275E2"/>
    <w:rsid w:val="5C8B3F62"/>
    <w:rsid w:val="5C9522F3"/>
    <w:rsid w:val="5C9D349C"/>
    <w:rsid w:val="5CA65BA7"/>
    <w:rsid w:val="5CBC25F0"/>
    <w:rsid w:val="5CC442FE"/>
    <w:rsid w:val="5CCC3CFF"/>
    <w:rsid w:val="5CE52843"/>
    <w:rsid w:val="5CE779D0"/>
    <w:rsid w:val="5CEC2D02"/>
    <w:rsid w:val="5CEF4DEF"/>
    <w:rsid w:val="5CF63A26"/>
    <w:rsid w:val="5CF8202F"/>
    <w:rsid w:val="5CF90068"/>
    <w:rsid w:val="5D07239A"/>
    <w:rsid w:val="5D140095"/>
    <w:rsid w:val="5D145459"/>
    <w:rsid w:val="5D2013F1"/>
    <w:rsid w:val="5D220156"/>
    <w:rsid w:val="5D230C5E"/>
    <w:rsid w:val="5D2353DA"/>
    <w:rsid w:val="5D2E6FEF"/>
    <w:rsid w:val="5D370491"/>
    <w:rsid w:val="5D394EE8"/>
    <w:rsid w:val="5D3A7113"/>
    <w:rsid w:val="5D433711"/>
    <w:rsid w:val="5D491DD8"/>
    <w:rsid w:val="5D4F2F81"/>
    <w:rsid w:val="5D5743EF"/>
    <w:rsid w:val="5D60630E"/>
    <w:rsid w:val="5D6845DA"/>
    <w:rsid w:val="5D7A7855"/>
    <w:rsid w:val="5D8F5D8E"/>
    <w:rsid w:val="5DA17C07"/>
    <w:rsid w:val="5DB314A1"/>
    <w:rsid w:val="5DBB20D6"/>
    <w:rsid w:val="5DD03581"/>
    <w:rsid w:val="5DD067F8"/>
    <w:rsid w:val="5DD34863"/>
    <w:rsid w:val="5DDB040C"/>
    <w:rsid w:val="5DDB4B89"/>
    <w:rsid w:val="5DDF6026"/>
    <w:rsid w:val="5DEF3ADC"/>
    <w:rsid w:val="5DF04B2E"/>
    <w:rsid w:val="5DF8261D"/>
    <w:rsid w:val="5E0502AC"/>
    <w:rsid w:val="5E054C41"/>
    <w:rsid w:val="5E1B0C50"/>
    <w:rsid w:val="5E1C077A"/>
    <w:rsid w:val="5E325597"/>
    <w:rsid w:val="5E3A67DF"/>
    <w:rsid w:val="5E47553D"/>
    <w:rsid w:val="5E583C9E"/>
    <w:rsid w:val="5E6147C3"/>
    <w:rsid w:val="5E6464F6"/>
    <w:rsid w:val="5E7A5F9F"/>
    <w:rsid w:val="5E7E7C15"/>
    <w:rsid w:val="5E846BCA"/>
    <w:rsid w:val="5E8B2237"/>
    <w:rsid w:val="5EA27843"/>
    <w:rsid w:val="5EA43510"/>
    <w:rsid w:val="5EA70666"/>
    <w:rsid w:val="5EBF3F02"/>
    <w:rsid w:val="5EEE6A26"/>
    <w:rsid w:val="5F01496B"/>
    <w:rsid w:val="5F087E51"/>
    <w:rsid w:val="5F093472"/>
    <w:rsid w:val="5F0B2CFC"/>
    <w:rsid w:val="5F0F5F1B"/>
    <w:rsid w:val="5F1337CF"/>
    <w:rsid w:val="5F164911"/>
    <w:rsid w:val="5F201ABF"/>
    <w:rsid w:val="5F387044"/>
    <w:rsid w:val="5F4B2E24"/>
    <w:rsid w:val="5F4D5334"/>
    <w:rsid w:val="5F521631"/>
    <w:rsid w:val="5F5A7462"/>
    <w:rsid w:val="5F666CF1"/>
    <w:rsid w:val="5F6D531F"/>
    <w:rsid w:val="5F722790"/>
    <w:rsid w:val="5F7836B0"/>
    <w:rsid w:val="5F8D09C3"/>
    <w:rsid w:val="5F8D7940"/>
    <w:rsid w:val="5F8D7DD2"/>
    <w:rsid w:val="5FA37E48"/>
    <w:rsid w:val="5FAE5D89"/>
    <w:rsid w:val="5FC8595B"/>
    <w:rsid w:val="5FD13007"/>
    <w:rsid w:val="5FE307E1"/>
    <w:rsid w:val="5FE50461"/>
    <w:rsid w:val="5FF067F2"/>
    <w:rsid w:val="5FFA0406"/>
    <w:rsid w:val="60027706"/>
    <w:rsid w:val="6015179D"/>
    <w:rsid w:val="6017575A"/>
    <w:rsid w:val="6037528C"/>
    <w:rsid w:val="603A11F0"/>
    <w:rsid w:val="603B43A7"/>
    <w:rsid w:val="60464640"/>
    <w:rsid w:val="60536C06"/>
    <w:rsid w:val="608A2168"/>
    <w:rsid w:val="60963123"/>
    <w:rsid w:val="609D7C10"/>
    <w:rsid w:val="60A22FFC"/>
    <w:rsid w:val="60A81824"/>
    <w:rsid w:val="60A97C6A"/>
    <w:rsid w:val="60B24332"/>
    <w:rsid w:val="60B37BB5"/>
    <w:rsid w:val="60B52465"/>
    <w:rsid w:val="60BB2ED0"/>
    <w:rsid w:val="60C842D7"/>
    <w:rsid w:val="60C90494"/>
    <w:rsid w:val="60CC5477"/>
    <w:rsid w:val="60D23209"/>
    <w:rsid w:val="60EB540A"/>
    <w:rsid w:val="60EB7390"/>
    <w:rsid w:val="60FC2464"/>
    <w:rsid w:val="610678A5"/>
    <w:rsid w:val="610961C7"/>
    <w:rsid w:val="610F0A45"/>
    <w:rsid w:val="611E4CE6"/>
    <w:rsid w:val="613678B7"/>
    <w:rsid w:val="6137105F"/>
    <w:rsid w:val="61380D93"/>
    <w:rsid w:val="61407419"/>
    <w:rsid w:val="616365BA"/>
    <w:rsid w:val="61687210"/>
    <w:rsid w:val="617556F4"/>
    <w:rsid w:val="61775374"/>
    <w:rsid w:val="617F2EE1"/>
    <w:rsid w:val="617F71B4"/>
    <w:rsid w:val="618C1A96"/>
    <w:rsid w:val="619667E6"/>
    <w:rsid w:val="61967E27"/>
    <w:rsid w:val="61A93F2B"/>
    <w:rsid w:val="61AC7DCD"/>
    <w:rsid w:val="61B46E99"/>
    <w:rsid w:val="61B71E75"/>
    <w:rsid w:val="61B815EC"/>
    <w:rsid w:val="61B85BDA"/>
    <w:rsid w:val="61BC1F78"/>
    <w:rsid w:val="61CE5D83"/>
    <w:rsid w:val="61D56029"/>
    <w:rsid w:val="61DF3EFE"/>
    <w:rsid w:val="61EC69EA"/>
    <w:rsid w:val="61EE40B9"/>
    <w:rsid w:val="620F67EC"/>
    <w:rsid w:val="62173F2A"/>
    <w:rsid w:val="62237826"/>
    <w:rsid w:val="62266964"/>
    <w:rsid w:val="622F4B23"/>
    <w:rsid w:val="62362B46"/>
    <w:rsid w:val="623E4660"/>
    <w:rsid w:val="62400F9F"/>
    <w:rsid w:val="624F2E59"/>
    <w:rsid w:val="62507E2C"/>
    <w:rsid w:val="62662FF4"/>
    <w:rsid w:val="626E0142"/>
    <w:rsid w:val="6270558C"/>
    <w:rsid w:val="62713B54"/>
    <w:rsid w:val="6275649E"/>
    <w:rsid w:val="62783C0B"/>
    <w:rsid w:val="627B71A0"/>
    <w:rsid w:val="62865532"/>
    <w:rsid w:val="628C2684"/>
    <w:rsid w:val="629574EE"/>
    <w:rsid w:val="62A25031"/>
    <w:rsid w:val="62A73533"/>
    <w:rsid w:val="62B01BF9"/>
    <w:rsid w:val="62B76F64"/>
    <w:rsid w:val="62DC5F40"/>
    <w:rsid w:val="62F13046"/>
    <w:rsid w:val="62FA16F0"/>
    <w:rsid w:val="63110999"/>
    <w:rsid w:val="63113CD3"/>
    <w:rsid w:val="63172B21"/>
    <w:rsid w:val="632905BE"/>
    <w:rsid w:val="632945F8"/>
    <w:rsid w:val="632B067E"/>
    <w:rsid w:val="633D0C9E"/>
    <w:rsid w:val="63455EB5"/>
    <w:rsid w:val="63494123"/>
    <w:rsid w:val="634A31FE"/>
    <w:rsid w:val="634F7A95"/>
    <w:rsid w:val="63515BF7"/>
    <w:rsid w:val="635908C0"/>
    <w:rsid w:val="636802F7"/>
    <w:rsid w:val="63721605"/>
    <w:rsid w:val="637F5749"/>
    <w:rsid w:val="638A735E"/>
    <w:rsid w:val="63902208"/>
    <w:rsid w:val="63946AD2"/>
    <w:rsid w:val="63A13700"/>
    <w:rsid w:val="63AA3121"/>
    <w:rsid w:val="63B13DD2"/>
    <w:rsid w:val="63B42B7E"/>
    <w:rsid w:val="63BD7488"/>
    <w:rsid w:val="63C67A48"/>
    <w:rsid w:val="63C803D6"/>
    <w:rsid w:val="63CB7DC7"/>
    <w:rsid w:val="63CF43D0"/>
    <w:rsid w:val="63D619DB"/>
    <w:rsid w:val="63D66158"/>
    <w:rsid w:val="63E01695"/>
    <w:rsid w:val="63E44CE0"/>
    <w:rsid w:val="63E5166B"/>
    <w:rsid w:val="63EB60FE"/>
    <w:rsid w:val="63F6448F"/>
    <w:rsid w:val="64114619"/>
    <w:rsid w:val="64176BC2"/>
    <w:rsid w:val="641C507E"/>
    <w:rsid w:val="642269BE"/>
    <w:rsid w:val="642B49AC"/>
    <w:rsid w:val="64430DE3"/>
    <w:rsid w:val="64501EFE"/>
    <w:rsid w:val="64592EAE"/>
    <w:rsid w:val="64624FED"/>
    <w:rsid w:val="646311CD"/>
    <w:rsid w:val="646B1711"/>
    <w:rsid w:val="646B3226"/>
    <w:rsid w:val="646D54D6"/>
    <w:rsid w:val="646E2E54"/>
    <w:rsid w:val="647A0394"/>
    <w:rsid w:val="64803573"/>
    <w:rsid w:val="64841231"/>
    <w:rsid w:val="6484786C"/>
    <w:rsid w:val="64855ECC"/>
    <w:rsid w:val="648A0433"/>
    <w:rsid w:val="64972EF1"/>
    <w:rsid w:val="64A05CB5"/>
    <w:rsid w:val="64A358AC"/>
    <w:rsid w:val="64A5552C"/>
    <w:rsid w:val="64AB105D"/>
    <w:rsid w:val="64AD0DC9"/>
    <w:rsid w:val="64AF38BD"/>
    <w:rsid w:val="64AF7C49"/>
    <w:rsid w:val="64C23DD5"/>
    <w:rsid w:val="64D6003D"/>
    <w:rsid w:val="64DD4CB3"/>
    <w:rsid w:val="64DE1751"/>
    <w:rsid w:val="64E742EF"/>
    <w:rsid w:val="64F51F50"/>
    <w:rsid w:val="64FC5F3B"/>
    <w:rsid w:val="64FD483B"/>
    <w:rsid w:val="650B6F5C"/>
    <w:rsid w:val="65474D35"/>
    <w:rsid w:val="654753C5"/>
    <w:rsid w:val="654A627E"/>
    <w:rsid w:val="65547634"/>
    <w:rsid w:val="6567306B"/>
    <w:rsid w:val="657B67E7"/>
    <w:rsid w:val="65927733"/>
    <w:rsid w:val="6598361E"/>
    <w:rsid w:val="65A4203A"/>
    <w:rsid w:val="65A50F82"/>
    <w:rsid w:val="65A97358"/>
    <w:rsid w:val="65B02AA9"/>
    <w:rsid w:val="65BC52FA"/>
    <w:rsid w:val="65C91E0B"/>
    <w:rsid w:val="65D43A20"/>
    <w:rsid w:val="65DE1DB1"/>
    <w:rsid w:val="65EB000C"/>
    <w:rsid w:val="65FF44E4"/>
    <w:rsid w:val="66041EA4"/>
    <w:rsid w:val="660545A7"/>
    <w:rsid w:val="660A2875"/>
    <w:rsid w:val="66343AED"/>
    <w:rsid w:val="66377796"/>
    <w:rsid w:val="66383CB1"/>
    <w:rsid w:val="663910AD"/>
    <w:rsid w:val="663E6DBE"/>
    <w:rsid w:val="663F0B50"/>
    <w:rsid w:val="664107D0"/>
    <w:rsid w:val="66423855"/>
    <w:rsid w:val="66532EE5"/>
    <w:rsid w:val="66551E8A"/>
    <w:rsid w:val="66570776"/>
    <w:rsid w:val="666040B5"/>
    <w:rsid w:val="66727138"/>
    <w:rsid w:val="6677646F"/>
    <w:rsid w:val="667F5D36"/>
    <w:rsid w:val="669F4100"/>
    <w:rsid w:val="66B27489"/>
    <w:rsid w:val="66B44C49"/>
    <w:rsid w:val="66B87515"/>
    <w:rsid w:val="66BA731E"/>
    <w:rsid w:val="66C75A98"/>
    <w:rsid w:val="66CF38B7"/>
    <w:rsid w:val="66E47FD9"/>
    <w:rsid w:val="66E96F94"/>
    <w:rsid w:val="66EF1BEE"/>
    <w:rsid w:val="66F1359C"/>
    <w:rsid w:val="67041B93"/>
    <w:rsid w:val="671962B5"/>
    <w:rsid w:val="67244646"/>
    <w:rsid w:val="673A09E8"/>
    <w:rsid w:val="67435FD9"/>
    <w:rsid w:val="67585434"/>
    <w:rsid w:val="67605D83"/>
    <w:rsid w:val="67626562"/>
    <w:rsid w:val="67626D6D"/>
    <w:rsid w:val="67662C5B"/>
    <w:rsid w:val="6775546F"/>
    <w:rsid w:val="67766731"/>
    <w:rsid w:val="677A5055"/>
    <w:rsid w:val="677C4CD5"/>
    <w:rsid w:val="67805075"/>
    <w:rsid w:val="67961C17"/>
    <w:rsid w:val="679C300B"/>
    <w:rsid w:val="679C7788"/>
    <w:rsid w:val="679F251D"/>
    <w:rsid w:val="67A37C4B"/>
    <w:rsid w:val="67A54BE1"/>
    <w:rsid w:val="67B1772D"/>
    <w:rsid w:val="67C26478"/>
    <w:rsid w:val="67D15A64"/>
    <w:rsid w:val="67D22E77"/>
    <w:rsid w:val="67DD0208"/>
    <w:rsid w:val="67DD60BA"/>
    <w:rsid w:val="67E85D26"/>
    <w:rsid w:val="6814614D"/>
    <w:rsid w:val="681B2F09"/>
    <w:rsid w:val="682778C0"/>
    <w:rsid w:val="682A2BD4"/>
    <w:rsid w:val="682B2612"/>
    <w:rsid w:val="682D1A42"/>
    <w:rsid w:val="682F64A8"/>
    <w:rsid w:val="683E799D"/>
    <w:rsid w:val="683F117F"/>
    <w:rsid w:val="6847290D"/>
    <w:rsid w:val="6849531F"/>
    <w:rsid w:val="68511920"/>
    <w:rsid w:val="68516481"/>
    <w:rsid w:val="68547ECC"/>
    <w:rsid w:val="685E13B0"/>
    <w:rsid w:val="686A7773"/>
    <w:rsid w:val="687B76B7"/>
    <w:rsid w:val="688047A5"/>
    <w:rsid w:val="68816DF1"/>
    <w:rsid w:val="688C06F8"/>
    <w:rsid w:val="68953223"/>
    <w:rsid w:val="68A63005"/>
    <w:rsid w:val="68AF1ABE"/>
    <w:rsid w:val="68B32C45"/>
    <w:rsid w:val="68B83318"/>
    <w:rsid w:val="68B958F2"/>
    <w:rsid w:val="68BA526B"/>
    <w:rsid w:val="68C078EA"/>
    <w:rsid w:val="68C2756A"/>
    <w:rsid w:val="68D73C8C"/>
    <w:rsid w:val="68DA74C0"/>
    <w:rsid w:val="68DC7CE5"/>
    <w:rsid w:val="68EB74F5"/>
    <w:rsid w:val="68F378DD"/>
    <w:rsid w:val="68F71FC3"/>
    <w:rsid w:val="69023BD7"/>
    <w:rsid w:val="691702F9"/>
    <w:rsid w:val="69241FDE"/>
    <w:rsid w:val="693140E6"/>
    <w:rsid w:val="69326EA1"/>
    <w:rsid w:val="69382A2C"/>
    <w:rsid w:val="693D5F2C"/>
    <w:rsid w:val="694A285B"/>
    <w:rsid w:val="695B3B48"/>
    <w:rsid w:val="69606E87"/>
    <w:rsid w:val="69607D50"/>
    <w:rsid w:val="696E0D08"/>
    <w:rsid w:val="69756C79"/>
    <w:rsid w:val="697A6D19"/>
    <w:rsid w:val="697B29FF"/>
    <w:rsid w:val="697B79BF"/>
    <w:rsid w:val="6985092D"/>
    <w:rsid w:val="698F343B"/>
    <w:rsid w:val="698F6CBE"/>
    <w:rsid w:val="699A504F"/>
    <w:rsid w:val="69A126D0"/>
    <w:rsid w:val="69A433E0"/>
    <w:rsid w:val="69A67F0A"/>
    <w:rsid w:val="69A842DD"/>
    <w:rsid w:val="69AE7D52"/>
    <w:rsid w:val="69BB2336"/>
    <w:rsid w:val="69C4740C"/>
    <w:rsid w:val="69CD6BF7"/>
    <w:rsid w:val="69D07728"/>
    <w:rsid w:val="69D8718B"/>
    <w:rsid w:val="69DC7224"/>
    <w:rsid w:val="69FD30F4"/>
    <w:rsid w:val="6A0512F8"/>
    <w:rsid w:val="6A09022B"/>
    <w:rsid w:val="6A0E7DC2"/>
    <w:rsid w:val="6A120191"/>
    <w:rsid w:val="6A134FB1"/>
    <w:rsid w:val="6A1C53D4"/>
    <w:rsid w:val="6A231117"/>
    <w:rsid w:val="6A265BB0"/>
    <w:rsid w:val="6A29456A"/>
    <w:rsid w:val="6A2C5734"/>
    <w:rsid w:val="6A3D00DC"/>
    <w:rsid w:val="6A476164"/>
    <w:rsid w:val="6A4A3203"/>
    <w:rsid w:val="6A53447E"/>
    <w:rsid w:val="6A587DAC"/>
    <w:rsid w:val="6A5C083D"/>
    <w:rsid w:val="6A5E280F"/>
    <w:rsid w:val="6A642AAA"/>
    <w:rsid w:val="6A747834"/>
    <w:rsid w:val="6A8E2A69"/>
    <w:rsid w:val="6A9E6D59"/>
    <w:rsid w:val="6A9E6E7B"/>
    <w:rsid w:val="6AAF349C"/>
    <w:rsid w:val="6AB844F7"/>
    <w:rsid w:val="6ABA3685"/>
    <w:rsid w:val="6AC57246"/>
    <w:rsid w:val="6ACC43E1"/>
    <w:rsid w:val="6ACF5521"/>
    <w:rsid w:val="6ADD3341"/>
    <w:rsid w:val="6AF14744"/>
    <w:rsid w:val="6AFA3AE7"/>
    <w:rsid w:val="6B004708"/>
    <w:rsid w:val="6B0D580B"/>
    <w:rsid w:val="6B0F1B3B"/>
    <w:rsid w:val="6B0F4667"/>
    <w:rsid w:val="6B2F77C3"/>
    <w:rsid w:val="6B3674BF"/>
    <w:rsid w:val="6B385C16"/>
    <w:rsid w:val="6B5704F0"/>
    <w:rsid w:val="6B604F37"/>
    <w:rsid w:val="6B62463B"/>
    <w:rsid w:val="6B646EC7"/>
    <w:rsid w:val="6B66231C"/>
    <w:rsid w:val="6B7845E0"/>
    <w:rsid w:val="6B81124F"/>
    <w:rsid w:val="6B8E7AC6"/>
    <w:rsid w:val="6B91077B"/>
    <w:rsid w:val="6B97541B"/>
    <w:rsid w:val="6B9B5645"/>
    <w:rsid w:val="6BBA6453"/>
    <w:rsid w:val="6BC04DD2"/>
    <w:rsid w:val="6BCA635C"/>
    <w:rsid w:val="6BCE176C"/>
    <w:rsid w:val="6BD034B1"/>
    <w:rsid w:val="6BD93380"/>
    <w:rsid w:val="6BEA7DA0"/>
    <w:rsid w:val="6C0A033A"/>
    <w:rsid w:val="6C1F6917"/>
    <w:rsid w:val="6C2A49C0"/>
    <w:rsid w:val="6C364839"/>
    <w:rsid w:val="6C3B1E96"/>
    <w:rsid w:val="6C4504B1"/>
    <w:rsid w:val="6C4A122A"/>
    <w:rsid w:val="6C507880"/>
    <w:rsid w:val="6C515FF1"/>
    <w:rsid w:val="6C5A2E12"/>
    <w:rsid w:val="6C666467"/>
    <w:rsid w:val="6C7147F8"/>
    <w:rsid w:val="6C7500CD"/>
    <w:rsid w:val="6C7C2B89"/>
    <w:rsid w:val="6C7F058A"/>
    <w:rsid w:val="6C881897"/>
    <w:rsid w:val="6C9C58B1"/>
    <w:rsid w:val="6C9C7E18"/>
    <w:rsid w:val="6C9D0B3F"/>
    <w:rsid w:val="6CA2098A"/>
    <w:rsid w:val="6CBD6E76"/>
    <w:rsid w:val="6CCB049A"/>
    <w:rsid w:val="6CD05A66"/>
    <w:rsid w:val="6CD43218"/>
    <w:rsid w:val="6CF40DC4"/>
    <w:rsid w:val="6CF727C6"/>
    <w:rsid w:val="6CFF65A1"/>
    <w:rsid w:val="6D062142"/>
    <w:rsid w:val="6D144001"/>
    <w:rsid w:val="6D16708F"/>
    <w:rsid w:val="6D2B3C26"/>
    <w:rsid w:val="6D351FB7"/>
    <w:rsid w:val="6D3E5E30"/>
    <w:rsid w:val="6D425BC9"/>
    <w:rsid w:val="6D504C80"/>
    <w:rsid w:val="6D5502EE"/>
    <w:rsid w:val="6D5B4F1A"/>
    <w:rsid w:val="6D5C3453"/>
    <w:rsid w:val="6D617180"/>
    <w:rsid w:val="6D6934FE"/>
    <w:rsid w:val="6D6B0293"/>
    <w:rsid w:val="6D782195"/>
    <w:rsid w:val="6D85309D"/>
    <w:rsid w:val="6D92113C"/>
    <w:rsid w:val="6DAC0CFD"/>
    <w:rsid w:val="6DCC7033"/>
    <w:rsid w:val="6DD70B0A"/>
    <w:rsid w:val="6DDC7BF5"/>
    <w:rsid w:val="6DF723A2"/>
    <w:rsid w:val="6E03170B"/>
    <w:rsid w:val="6E0D7A9C"/>
    <w:rsid w:val="6E1E14E8"/>
    <w:rsid w:val="6E4068C7"/>
    <w:rsid w:val="6E49479B"/>
    <w:rsid w:val="6E4C734A"/>
    <w:rsid w:val="6E4D5F42"/>
    <w:rsid w:val="6E680EDE"/>
    <w:rsid w:val="6E897A2F"/>
    <w:rsid w:val="6EAA5408"/>
    <w:rsid w:val="6EAB5DBA"/>
    <w:rsid w:val="6EB120D4"/>
    <w:rsid w:val="6EB742F5"/>
    <w:rsid w:val="6EB834AF"/>
    <w:rsid w:val="6EBB3D15"/>
    <w:rsid w:val="6EC76ECB"/>
    <w:rsid w:val="6EC92089"/>
    <w:rsid w:val="6EDF71FD"/>
    <w:rsid w:val="6EE75201"/>
    <w:rsid w:val="6EE85358"/>
    <w:rsid w:val="6EF23592"/>
    <w:rsid w:val="6EF27C38"/>
    <w:rsid w:val="6EF517B8"/>
    <w:rsid w:val="6EFD77D4"/>
    <w:rsid w:val="6F1218C9"/>
    <w:rsid w:val="6F12190F"/>
    <w:rsid w:val="6F13518C"/>
    <w:rsid w:val="6F156D3B"/>
    <w:rsid w:val="6F1C7C5A"/>
    <w:rsid w:val="6F374CE3"/>
    <w:rsid w:val="6F3D238D"/>
    <w:rsid w:val="6F502A24"/>
    <w:rsid w:val="6F54558B"/>
    <w:rsid w:val="6F665603"/>
    <w:rsid w:val="6F6B7855"/>
    <w:rsid w:val="6F6D468E"/>
    <w:rsid w:val="6F6F1A4E"/>
    <w:rsid w:val="6F722FD8"/>
    <w:rsid w:val="6F777FA1"/>
    <w:rsid w:val="6F8252D9"/>
    <w:rsid w:val="6F942D9B"/>
    <w:rsid w:val="6F94661F"/>
    <w:rsid w:val="6FCB0CF7"/>
    <w:rsid w:val="6FE05419"/>
    <w:rsid w:val="6FE40EC0"/>
    <w:rsid w:val="700C51DD"/>
    <w:rsid w:val="7016325A"/>
    <w:rsid w:val="701A0CE1"/>
    <w:rsid w:val="702B1C62"/>
    <w:rsid w:val="7035282B"/>
    <w:rsid w:val="703716AB"/>
    <w:rsid w:val="703E1E48"/>
    <w:rsid w:val="703E4ED1"/>
    <w:rsid w:val="704241B9"/>
    <w:rsid w:val="70452701"/>
    <w:rsid w:val="70454A71"/>
    <w:rsid w:val="704D5DCD"/>
    <w:rsid w:val="70502B76"/>
    <w:rsid w:val="7063216F"/>
    <w:rsid w:val="707F0060"/>
    <w:rsid w:val="7086098D"/>
    <w:rsid w:val="7087503F"/>
    <w:rsid w:val="708E1623"/>
    <w:rsid w:val="70984BC8"/>
    <w:rsid w:val="709A0BC8"/>
    <w:rsid w:val="709B0D8D"/>
    <w:rsid w:val="70A05F07"/>
    <w:rsid w:val="70A367DC"/>
    <w:rsid w:val="70A56F0D"/>
    <w:rsid w:val="70B37B3D"/>
    <w:rsid w:val="70B43E26"/>
    <w:rsid w:val="70BA7D9B"/>
    <w:rsid w:val="70CF2B23"/>
    <w:rsid w:val="70F53402"/>
    <w:rsid w:val="70FA2BD8"/>
    <w:rsid w:val="71005226"/>
    <w:rsid w:val="7105557C"/>
    <w:rsid w:val="710B1FB1"/>
    <w:rsid w:val="711411DE"/>
    <w:rsid w:val="713002C3"/>
    <w:rsid w:val="713118C3"/>
    <w:rsid w:val="71333835"/>
    <w:rsid w:val="714F2465"/>
    <w:rsid w:val="715D5C0A"/>
    <w:rsid w:val="71692EA2"/>
    <w:rsid w:val="717644BC"/>
    <w:rsid w:val="71783771"/>
    <w:rsid w:val="717D3F41"/>
    <w:rsid w:val="7186773D"/>
    <w:rsid w:val="718B11FA"/>
    <w:rsid w:val="719D69F4"/>
    <w:rsid w:val="71A65D18"/>
    <w:rsid w:val="71B5485A"/>
    <w:rsid w:val="71BE171C"/>
    <w:rsid w:val="71BE6BBF"/>
    <w:rsid w:val="71C12220"/>
    <w:rsid w:val="71C17044"/>
    <w:rsid w:val="71D32769"/>
    <w:rsid w:val="71E13574"/>
    <w:rsid w:val="71EA5EF0"/>
    <w:rsid w:val="71EB0940"/>
    <w:rsid w:val="71EE1A7A"/>
    <w:rsid w:val="71F9224B"/>
    <w:rsid w:val="71FB00F3"/>
    <w:rsid w:val="720113A1"/>
    <w:rsid w:val="72075822"/>
    <w:rsid w:val="721466EA"/>
    <w:rsid w:val="721904E0"/>
    <w:rsid w:val="722A1ADB"/>
    <w:rsid w:val="7233577E"/>
    <w:rsid w:val="72364999"/>
    <w:rsid w:val="7240150C"/>
    <w:rsid w:val="724A1465"/>
    <w:rsid w:val="72617C37"/>
    <w:rsid w:val="726B2544"/>
    <w:rsid w:val="72704516"/>
    <w:rsid w:val="727379B5"/>
    <w:rsid w:val="727453AB"/>
    <w:rsid w:val="7276015A"/>
    <w:rsid w:val="72817322"/>
    <w:rsid w:val="7288132C"/>
    <w:rsid w:val="729F5002"/>
    <w:rsid w:val="72A10820"/>
    <w:rsid w:val="72A11439"/>
    <w:rsid w:val="72A1635F"/>
    <w:rsid w:val="72AD6831"/>
    <w:rsid w:val="72AF4A63"/>
    <w:rsid w:val="72B80445"/>
    <w:rsid w:val="72C05077"/>
    <w:rsid w:val="72E95A44"/>
    <w:rsid w:val="72F243E8"/>
    <w:rsid w:val="72F8122F"/>
    <w:rsid w:val="730B6CBD"/>
    <w:rsid w:val="730E55D1"/>
    <w:rsid w:val="7319726C"/>
    <w:rsid w:val="731D01EE"/>
    <w:rsid w:val="73224E88"/>
    <w:rsid w:val="732E3907"/>
    <w:rsid w:val="734A0A1D"/>
    <w:rsid w:val="735018BD"/>
    <w:rsid w:val="735720CD"/>
    <w:rsid w:val="735A63E7"/>
    <w:rsid w:val="735B7C4E"/>
    <w:rsid w:val="73651863"/>
    <w:rsid w:val="73730D64"/>
    <w:rsid w:val="737B5F85"/>
    <w:rsid w:val="7386016D"/>
    <w:rsid w:val="739C06B8"/>
    <w:rsid w:val="739F3FA5"/>
    <w:rsid w:val="73A722CC"/>
    <w:rsid w:val="73AB1A61"/>
    <w:rsid w:val="73B374B8"/>
    <w:rsid w:val="73BE3158"/>
    <w:rsid w:val="73C42388"/>
    <w:rsid w:val="73C60F15"/>
    <w:rsid w:val="73C7661F"/>
    <w:rsid w:val="73CC53BA"/>
    <w:rsid w:val="73D92EA5"/>
    <w:rsid w:val="73E32F46"/>
    <w:rsid w:val="73FD7457"/>
    <w:rsid w:val="741A4194"/>
    <w:rsid w:val="741E6BF6"/>
    <w:rsid w:val="74255C42"/>
    <w:rsid w:val="74277F7A"/>
    <w:rsid w:val="743453B3"/>
    <w:rsid w:val="74462F0F"/>
    <w:rsid w:val="744A039E"/>
    <w:rsid w:val="745436E9"/>
    <w:rsid w:val="745E2910"/>
    <w:rsid w:val="74617D0C"/>
    <w:rsid w:val="74710496"/>
    <w:rsid w:val="747D1735"/>
    <w:rsid w:val="747E087F"/>
    <w:rsid w:val="7480686B"/>
    <w:rsid w:val="74825767"/>
    <w:rsid w:val="74DA44E4"/>
    <w:rsid w:val="74E267D1"/>
    <w:rsid w:val="74E657DC"/>
    <w:rsid w:val="74F34ACD"/>
    <w:rsid w:val="75057709"/>
    <w:rsid w:val="75086D99"/>
    <w:rsid w:val="750C5B34"/>
    <w:rsid w:val="75101DE0"/>
    <w:rsid w:val="75162045"/>
    <w:rsid w:val="751D528F"/>
    <w:rsid w:val="7521337B"/>
    <w:rsid w:val="752175BA"/>
    <w:rsid w:val="7523723A"/>
    <w:rsid w:val="752B5A68"/>
    <w:rsid w:val="752E55CB"/>
    <w:rsid w:val="7538395C"/>
    <w:rsid w:val="754419D6"/>
    <w:rsid w:val="755E68DC"/>
    <w:rsid w:val="75687D77"/>
    <w:rsid w:val="756E1C38"/>
    <w:rsid w:val="75787FC9"/>
    <w:rsid w:val="7584184B"/>
    <w:rsid w:val="75AA0272"/>
    <w:rsid w:val="75AF26A1"/>
    <w:rsid w:val="75C009E9"/>
    <w:rsid w:val="75CD3BF1"/>
    <w:rsid w:val="75CF09D8"/>
    <w:rsid w:val="76076FFD"/>
    <w:rsid w:val="76233C70"/>
    <w:rsid w:val="76255E21"/>
    <w:rsid w:val="763273F7"/>
    <w:rsid w:val="763D0820"/>
    <w:rsid w:val="76406402"/>
    <w:rsid w:val="764B632B"/>
    <w:rsid w:val="764F7024"/>
    <w:rsid w:val="765C3ABF"/>
    <w:rsid w:val="766421C7"/>
    <w:rsid w:val="767232C6"/>
    <w:rsid w:val="76723970"/>
    <w:rsid w:val="76790445"/>
    <w:rsid w:val="767E7F9F"/>
    <w:rsid w:val="767F1BEE"/>
    <w:rsid w:val="768F1EEC"/>
    <w:rsid w:val="76A107D6"/>
    <w:rsid w:val="76A51AB3"/>
    <w:rsid w:val="76AC36EB"/>
    <w:rsid w:val="76B22901"/>
    <w:rsid w:val="76B5414D"/>
    <w:rsid w:val="76BE16A4"/>
    <w:rsid w:val="76CD6D69"/>
    <w:rsid w:val="76D04D8C"/>
    <w:rsid w:val="76D10E1C"/>
    <w:rsid w:val="76D46C00"/>
    <w:rsid w:val="76DB17CF"/>
    <w:rsid w:val="76DF5D67"/>
    <w:rsid w:val="76E663C9"/>
    <w:rsid w:val="76EF77A7"/>
    <w:rsid w:val="76F830BB"/>
    <w:rsid w:val="77066F93"/>
    <w:rsid w:val="770B4B5C"/>
    <w:rsid w:val="771F0D23"/>
    <w:rsid w:val="7723261E"/>
    <w:rsid w:val="772A78E1"/>
    <w:rsid w:val="772B2E92"/>
    <w:rsid w:val="77361223"/>
    <w:rsid w:val="77443583"/>
    <w:rsid w:val="775E187F"/>
    <w:rsid w:val="77603F37"/>
    <w:rsid w:val="776F3A52"/>
    <w:rsid w:val="77771C8D"/>
    <w:rsid w:val="77794C3F"/>
    <w:rsid w:val="777B1D14"/>
    <w:rsid w:val="77891EB0"/>
    <w:rsid w:val="779D0B82"/>
    <w:rsid w:val="77B06E9C"/>
    <w:rsid w:val="77B33165"/>
    <w:rsid w:val="77B95F79"/>
    <w:rsid w:val="77CB2E7D"/>
    <w:rsid w:val="77D51759"/>
    <w:rsid w:val="77D90A2D"/>
    <w:rsid w:val="77E710CA"/>
    <w:rsid w:val="77FE1F22"/>
    <w:rsid w:val="780B2412"/>
    <w:rsid w:val="780E02EC"/>
    <w:rsid w:val="781A65AF"/>
    <w:rsid w:val="781E79F3"/>
    <w:rsid w:val="781F26FF"/>
    <w:rsid w:val="7828626A"/>
    <w:rsid w:val="78307C3A"/>
    <w:rsid w:val="78353A5F"/>
    <w:rsid w:val="783A3050"/>
    <w:rsid w:val="784538CA"/>
    <w:rsid w:val="786C09BA"/>
    <w:rsid w:val="787F51EA"/>
    <w:rsid w:val="787F6A16"/>
    <w:rsid w:val="78861E4A"/>
    <w:rsid w:val="78913A5E"/>
    <w:rsid w:val="78953369"/>
    <w:rsid w:val="78A472CA"/>
    <w:rsid w:val="78A50A5C"/>
    <w:rsid w:val="78AA2490"/>
    <w:rsid w:val="78B26191"/>
    <w:rsid w:val="78BD2563"/>
    <w:rsid w:val="78E45F37"/>
    <w:rsid w:val="78F25828"/>
    <w:rsid w:val="78FD0B8F"/>
    <w:rsid w:val="78FD5B9F"/>
    <w:rsid w:val="78FF080F"/>
    <w:rsid w:val="79096BA0"/>
    <w:rsid w:val="79133290"/>
    <w:rsid w:val="791453EB"/>
    <w:rsid w:val="79360369"/>
    <w:rsid w:val="793F45F2"/>
    <w:rsid w:val="794B7741"/>
    <w:rsid w:val="795223E3"/>
    <w:rsid w:val="7955121E"/>
    <w:rsid w:val="795B41E2"/>
    <w:rsid w:val="795D3791"/>
    <w:rsid w:val="796075AF"/>
    <w:rsid w:val="796A5940"/>
    <w:rsid w:val="796C2272"/>
    <w:rsid w:val="79721B56"/>
    <w:rsid w:val="79753CD1"/>
    <w:rsid w:val="79757554"/>
    <w:rsid w:val="797C6C5A"/>
    <w:rsid w:val="79850D92"/>
    <w:rsid w:val="798F4B48"/>
    <w:rsid w:val="79953958"/>
    <w:rsid w:val="799B74F9"/>
    <w:rsid w:val="79A4749B"/>
    <w:rsid w:val="79A65DD0"/>
    <w:rsid w:val="79A75C38"/>
    <w:rsid w:val="79B4314E"/>
    <w:rsid w:val="79B46BE2"/>
    <w:rsid w:val="79B60D5D"/>
    <w:rsid w:val="79B62EC1"/>
    <w:rsid w:val="79CB1769"/>
    <w:rsid w:val="79CC46E0"/>
    <w:rsid w:val="79D16604"/>
    <w:rsid w:val="79D70C1B"/>
    <w:rsid w:val="79D74884"/>
    <w:rsid w:val="79DA6447"/>
    <w:rsid w:val="79DD591F"/>
    <w:rsid w:val="79E7544E"/>
    <w:rsid w:val="79EA33E5"/>
    <w:rsid w:val="79EB155B"/>
    <w:rsid w:val="79EB412B"/>
    <w:rsid w:val="79EF5F6D"/>
    <w:rsid w:val="79F80A27"/>
    <w:rsid w:val="79F93B5A"/>
    <w:rsid w:val="79FF0AC7"/>
    <w:rsid w:val="7A057C7A"/>
    <w:rsid w:val="7A0B743C"/>
    <w:rsid w:val="7A0D09CC"/>
    <w:rsid w:val="7A1D7C7E"/>
    <w:rsid w:val="7A2250EE"/>
    <w:rsid w:val="7A275C3A"/>
    <w:rsid w:val="7A2E16C5"/>
    <w:rsid w:val="7A396733"/>
    <w:rsid w:val="7A3B77D6"/>
    <w:rsid w:val="7A564B8A"/>
    <w:rsid w:val="7A5E390D"/>
    <w:rsid w:val="7A5E54C2"/>
    <w:rsid w:val="7A617D32"/>
    <w:rsid w:val="7A811E80"/>
    <w:rsid w:val="7A827615"/>
    <w:rsid w:val="7A8B406C"/>
    <w:rsid w:val="7A8F5AA2"/>
    <w:rsid w:val="7AA51020"/>
    <w:rsid w:val="7AA51E44"/>
    <w:rsid w:val="7AA63559"/>
    <w:rsid w:val="7AAC4F8C"/>
    <w:rsid w:val="7AB14ADE"/>
    <w:rsid w:val="7AB42678"/>
    <w:rsid w:val="7AB76852"/>
    <w:rsid w:val="7AC06BD5"/>
    <w:rsid w:val="7AC92260"/>
    <w:rsid w:val="7AD465B2"/>
    <w:rsid w:val="7AD579F5"/>
    <w:rsid w:val="7AE06875"/>
    <w:rsid w:val="7AE76131"/>
    <w:rsid w:val="7AFD2B32"/>
    <w:rsid w:val="7AFD7176"/>
    <w:rsid w:val="7AFF0452"/>
    <w:rsid w:val="7B02377F"/>
    <w:rsid w:val="7B074467"/>
    <w:rsid w:val="7B0C66E5"/>
    <w:rsid w:val="7B1C0B89"/>
    <w:rsid w:val="7B2548CE"/>
    <w:rsid w:val="7B276F1B"/>
    <w:rsid w:val="7B2F5E36"/>
    <w:rsid w:val="7B47606E"/>
    <w:rsid w:val="7B484ED1"/>
    <w:rsid w:val="7B491528"/>
    <w:rsid w:val="7B543063"/>
    <w:rsid w:val="7B5E4E76"/>
    <w:rsid w:val="7B6A0D1A"/>
    <w:rsid w:val="7B6F35BC"/>
    <w:rsid w:val="7B815A26"/>
    <w:rsid w:val="7B895D52"/>
    <w:rsid w:val="7B965AB3"/>
    <w:rsid w:val="7B9A0717"/>
    <w:rsid w:val="7BA77A66"/>
    <w:rsid w:val="7BBE30A4"/>
    <w:rsid w:val="7BD27A4E"/>
    <w:rsid w:val="7BD74C69"/>
    <w:rsid w:val="7BDB417E"/>
    <w:rsid w:val="7BE0750F"/>
    <w:rsid w:val="7BEB46DA"/>
    <w:rsid w:val="7BEB7F5D"/>
    <w:rsid w:val="7BEC5E16"/>
    <w:rsid w:val="7BF2196F"/>
    <w:rsid w:val="7BF62A6B"/>
    <w:rsid w:val="7C00467F"/>
    <w:rsid w:val="7C0B1570"/>
    <w:rsid w:val="7C0E2E9E"/>
    <w:rsid w:val="7C120BDF"/>
    <w:rsid w:val="7C2100CF"/>
    <w:rsid w:val="7C242551"/>
    <w:rsid w:val="7C252840"/>
    <w:rsid w:val="7C2D09C7"/>
    <w:rsid w:val="7C42096C"/>
    <w:rsid w:val="7C471B8A"/>
    <w:rsid w:val="7C4F3D47"/>
    <w:rsid w:val="7C560D0F"/>
    <w:rsid w:val="7C735972"/>
    <w:rsid w:val="7C7D2A53"/>
    <w:rsid w:val="7C801AF1"/>
    <w:rsid w:val="7C822B9F"/>
    <w:rsid w:val="7C8313D5"/>
    <w:rsid w:val="7C8A6B48"/>
    <w:rsid w:val="7C920791"/>
    <w:rsid w:val="7CA33E88"/>
    <w:rsid w:val="7CA75D4D"/>
    <w:rsid w:val="7CB9778C"/>
    <w:rsid w:val="7CCE548B"/>
    <w:rsid w:val="7CD16865"/>
    <w:rsid w:val="7CD22418"/>
    <w:rsid w:val="7CD732EB"/>
    <w:rsid w:val="7CD83B5C"/>
    <w:rsid w:val="7CDA1DE4"/>
    <w:rsid w:val="7CDD6F93"/>
    <w:rsid w:val="7CDE019A"/>
    <w:rsid w:val="7CE4330E"/>
    <w:rsid w:val="7CEF1D89"/>
    <w:rsid w:val="7CFA4897"/>
    <w:rsid w:val="7CFC066F"/>
    <w:rsid w:val="7CFD1EED"/>
    <w:rsid w:val="7CFF7412"/>
    <w:rsid w:val="7D085F7C"/>
    <w:rsid w:val="7D1144BC"/>
    <w:rsid w:val="7D172835"/>
    <w:rsid w:val="7D2C5792"/>
    <w:rsid w:val="7D306F70"/>
    <w:rsid w:val="7D3127F3"/>
    <w:rsid w:val="7D492DAE"/>
    <w:rsid w:val="7D655FB7"/>
    <w:rsid w:val="7D985F20"/>
    <w:rsid w:val="7D9D7924"/>
    <w:rsid w:val="7DAC6C2B"/>
    <w:rsid w:val="7DB92344"/>
    <w:rsid w:val="7DBC39C2"/>
    <w:rsid w:val="7DBD5C5A"/>
    <w:rsid w:val="7DBD62BB"/>
    <w:rsid w:val="7DD266DC"/>
    <w:rsid w:val="7DE54694"/>
    <w:rsid w:val="7DEB3417"/>
    <w:rsid w:val="7DF30332"/>
    <w:rsid w:val="7DF32CB5"/>
    <w:rsid w:val="7DFA43D5"/>
    <w:rsid w:val="7DFC34F3"/>
    <w:rsid w:val="7E1968A9"/>
    <w:rsid w:val="7E4530E6"/>
    <w:rsid w:val="7E4A0D41"/>
    <w:rsid w:val="7E4B5288"/>
    <w:rsid w:val="7E551087"/>
    <w:rsid w:val="7E564596"/>
    <w:rsid w:val="7E67785F"/>
    <w:rsid w:val="7E6E7DB8"/>
    <w:rsid w:val="7E750548"/>
    <w:rsid w:val="7E795A6A"/>
    <w:rsid w:val="7E7B0200"/>
    <w:rsid w:val="7E851A36"/>
    <w:rsid w:val="7E8666DE"/>
    <w:rsid w:val="7E8C5D15"/>
    <w:rsid w:val="7E8E6483"/>
    <w:rsid w:val="7E910C89"/>
    <w:rsid w:val="7E924ABB"/>
    <w:rsid w:val="7E952391"/>
    <w:rsid w:val="7E9633BF"/>
    <w:rsid w:val="7E9D00E3"/>
    <w:rsid w:val="7EA81185"/>
    <w:rsid w:val="7EAD7761"/>
    <w:rsid w:val="7EAE3A27"/>
    <w:rsid w:val="7EB278DF"/>
    <w:rsid w:val="7EB46432"/>
    <w:rsid w:val="7ECA3CF7"/>
    <w:rsid w:val="7EDF30DC"/>
    <w:rsid w:val="7EEB7C9D"/>
    <w:rsid w:val="7EED3DCE"/>
    <w:rsid w:val="7EEE3E8F"/>
    <w:rsid w:val="7EF32C30"/>
    <w:rsid w:val="7EFB527B"/>
    <w:rsid w:val="7F052F6E"/>
    <w:rsid w:val="7F0B3B5E"/>
    <w:rsid w:val="7F0E456F"/>
    <w:rsid w:val="7F152F0A"/>
    <w:rsid w:val="7F190115"/>
    <w:rsid w:val="7F1A3E85"/>
    <w:rsid w:val="7F242AEB"/>
    <w:rsid w:val="7F242C23"/>
    <w:rsid w:val="7F2C1AE6"/>
    <w:rsid w:val="7F2E4837"/>
    <w:rsid w:val="7F2F7EB0"/>
    <w:rsid w:val="7F3530EF"/>
    <w:rsid w:val="7F38358F"/>
    <w:rsid w:val="7F392BC8"/>
    <w:rsid w:val="7F496947"/>
    <w:rsid w:val="7F4A17F9"/>
    <w:rsid w:val="7F5D5137"/>
    <w:rsid w:val="7F5F4C0C"/>
    <w:rsid w:val="7F63726C"/>
    <w:rsid w:val="7F6646A2"/>
    <w:rsid w:val="7F68398A"/>
    <w:rsid w:val="7F693C5A"/>
    <w:rsid w:val="7F695060"/>
    <w:rsid w:val="7F7676A4"/>
    <w:rsid w:val="7F7A3631"/>
    <w:rsid w:val="7F7D7E91"/>
    <w:rsid w:val="7F7E17C0"/>
    <w:rsid w:val="7F811CE4"/>
    <w:rsid w:val="7F913256"/>
    <w:rsid w:val="7FAA6E2A"/>
    <w:rsid w:val="7FB1158D"/>
    <w:rsid w:val="7FD05F1D"/>
    <w:rsid w:val="7FD178C3"/>
    <w:rsid w:val="7FD77265"/>
    <w:rsid w:val="7FDD6E92"/>
    <w:rsid w:val="7FE155B1"/>
    <w:rsid w:val="7FE45401"/>
    <w:rsid w:val="7FFD0387"/>
    <w:rsid w:val="7FFE7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widowControl/>
      <w:spacing w:before="340" w:after="330" w:line="576" w:lineRule="auto"/>
      <w:jc w:val="left"/>
      <w:outlineLvl w:val="0"/>
    </w:pPr>
    <w:rPr>
      <w:rFonts w:ascii="Times New Roman" w:hAnsi="Times New Roman"/>
      <w:b/>
      <w:bCs/>
      <w:kern w:val="44"/>
      <w:sz w:val="44"/>
      <w:szCs w:val="44"/>
    </w:rPr>
  </w:style>
  <w:style w:type="paragraph" w:styleId="4">
    <w:name w:val="heading 2"/>
    <w:basedOn w:val="1"/>
    <w:next w:val="1"/>
    <w:link w:val="39"/>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link w:val="41"/>
    <w:qFormat/>
    <w:uiPriority w:val="0"/>
    <w:pPr>
      <w:keepNext/>
      <w:keepLines/>
      <w:spacing w:before="260" w:after="260" w:line="415" w:lineRule="auto"/>
      <w:outlineLvl w:val="2"/>
    </w:pPr>
    <w:rPr>
      <w:rFonts w:ascii="Times New Roman" w:hAnsi="Times New Roman"/>
      <w:b/>
      <w:bCs/>
      <w:kern w:val="0"/>
      <w:sz w:val="32"/>
      <w:szCs w:val="32"/>
    </w:rPr>
  </w:style>
  <w:style w:type="paragraph" w:styleId="5">
    <w:name w:val="heading 4"/>
    <w:basedOn w:val="1"/>
    <w:next w:val="1"/>
    <w:link w:val="45"/>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qFormat/>
    <w:uiPriority w:val="9"/>
    <w:pPr>
      <w:keepNext/>
      <w:keepLines/>
      <w:numPr>
        <w:ilvl w:val="5"/>
        <w:numId w:val="1"/>
      </w:numPr>
      <w:tabs>
        <w:tab w:val="left" w:pos="432"/>
      </w:tabs>
      <w:adjustRightInd w:val="0"/>
      <w:snapToGrid w:val="0"/>
      <w:spacing w:before="240" w:after="64" w:line="320" w:lineRule="auto"/>
      <w:ind w:firstLine="0"/>
      <w:jc w:val="left"/>
      <w:outlineLvl w:val="5"/>
    </w:pPr>
    <w:rPr>
      <w:rFonts w:ascii="Arial" w:hAnsi="Arial" w:eastAsia="黑体" w:cs="微软雅黑"/>
      <w:b/>
      <w:bCs/>
      <w:sz w:val="24"/>
      <w:szCs w:val="21"/>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0"/>
    <w:pPr>
      <w:widowControl/>
      <w:ind w:firstLine="420"/>
      <w:jc w:val="left"/>
    </w:pPr>
    <w:rPr>
      <w:szCs w:val="22"/>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semiHidden/>
    <w:unhideWhenUsed/>
    <w:qFormat/>
    <w:uiPriority w:val="99"/>
    <w:pPr>
      <w:jc w:val="left"/>
    </w:pPr>
  </w:style>
  <w:style w:type="paragraph" w:styleId="10">
    <w:name w:val="Salutation"/>
    <w:basedOn w:val="1"/>
    <w:next w:val="1"/>
    <w:link w:val="36"/>
    <w:qFormat/>
    <w:uiPriority w:val="0"/>
    <w:rPr>
      <w:rFonts w:ascii="Times New Roman" w:hAnsi="Times New Roman"/>
      <w:kern w:val="0"/>
      <w:sz w:val="20"/>
    </w:rPr>
  </w:style>
  <w:style w:type="paragraph" w:styleId="11">
    <w:name w:val="Closing"/>
    <w:basedOn w:val="1"/>
    <w:link w:val="48"/>
    <w:qFormat/>
    <w:uiPriority w:val="0"/>
    <w:pPr>
      <w:ind w:left="100" w:leftChars="2100"/>
    </w:pPr>
    <w:rPr>
      <w:rFonts w:ascii="Times New Roman" w:hAnsi="Times New Roman"/>
      <w:kern w:val="0"/>
      <w:sz w:val="20"/>
    </w:rPr>
  </w:style>
  <w:style w:type="paragraph" w:styleId="12">
    <w:name w:val="Body Text"/>
    <w:basedOn w:val="1"/>
    <w:link w:val="63"/>
    <w:qFormat/>
    <w:uiPriority w:val="0"/>
    <w:pPr>
      <w:widowControl/>
      <w:jc w:val="left"/>
    </w:pPr>
    <w:rPr>
      <w:rFonts w:ascii="Times New Roman" w:hAnsi="Times New Roman"/>
      <w:kern w:val="0"/>
      <w:sz w:val="24"/>
      <w:szCs w:val="20"/>
    </w:rPr>
  </w:style>
  <w:style w:type="paragraph" w:styleId="13">
    <w:name w:val="Body Text Indent"/>
    <w:basedOn w:val="1"/>
    <w:link w:val="35"/>
    <w:qFormat/>
    <w:uiPriority w:val="0"/>
    <w:pPr>
      <w:spacing w:after="120"/>
      <w:ind w:left="420" w:leftChars="200"/>
    </w:pPr>
    <w:rPr>
      <w:rFonts w:ascii="Times New Roman" w:hAnsi="Times New Roman"/>
      <w:kern w:val="0"/>
      <w:sz w:val="20"/>
    </w:rPr>
  </w:style>
  <w:style w:type="paragraph" w:styleId="14">
    <w:name w:val="Block Text"/>
    <w:basedOn w:val="1"/>
    <w:qFormat/>
    <w:uiPriority w:val="0"/>
    <w:pPr>
      <w:autoSpaceDE w:val="0"/>
      <w:autoSpaceDN w:val="0"/>
      <w:adjustRightInd w:val="0"/>
      <w:spacing w:line="360" w:lineRule="atLeast"/>
      <w:ind w:left="1418" w:right="1800" w:rightChars="857" w:firstLine="540"/>
    </w:pPr>
    <w:rPr>
      <w:rFonts w:ascii="宋体" w:hAnsi="Times New Roman"/>
      <w:color w:val="000000"/>
      <w:kern w:val="0"/>
      <w:sz w:val="24"/>
    </w:rPr>
  </w:style>
  <w:style w:type="paragraph" w:styleId="15">
    <w:name w:val="Plain Text"/>
    <w:basedOn w:val="1"/>
    <w:link w:val="49"/>
    <w:qFormat/>
    <w:uiPriority w:val="0"/>
    <w:rPr>
      <w:rFonts w:ascii="宋体" w:hAnsi="Courier New"/>
      <w:kern w:val="0"/>
      <w:sz w:val="20"/>
      <w:szCs w:val="20"/>
    </w:rPr>
  </w:style>
  <w:style w:type="paragraph" w:styleId="16">
    <w:name w:val="Date"/>
    <w:basedOn w:val="1"/>
    <w:next w:val="1"/>
    <w:link w:val="60"/>
    <w:qFormat/>
    <w:uiPriority w:val="0"/>
    <w:pPr>
      <w:ind w:left="100" w:leftChars="2500"/>
    </w:pPr>
    <w:rPr>
      <w:rFonts w:ascii="Times New Roman" w:hAnsi="Times New Roman"/>
      <w:kern w:val="0"/>
      <w:sz w:val="20"/>
    </w:rPr>
  </w:style>
  <w:style w:type="paragraph" w:styleId="17">
    <w:name w:val="Body Text Indent 2"/>
    <w:basedOn w:val="1"/>
    <w:link w:val="37"/>
    <w:qFormat/>
    <w:uiPriority w:val="0"/>
    <w:pPr>
      <w:spacing w:line="360" w:lineRule="auto"/>
      <w:ind w:left="839" w:hanging="839" w:hangingChars="355"/>
    </w:pPr>
    <w:rPr>
      <w:rFonts w:ascii="Times New Roman" w:hAnsi="Times New Roman"/>
      <w:b/>
      <w:kern w:val="0"/>
      <w:sz w:val="24"/>
    </w:rPr>
  </w:style>
  <w:style w:type="paragraph" w:styleId="18">
    <w:name w:val="Balloon Text"/>
    <w:basedOn w:val="1"/>
    <w:link w:val="42"/>
    <w:qFormat/>
    <w:uiPriority w:val="99"/>
    <w:rPr>
      <w:rFonts w:ascii="Times New Roman" w:hAnsi="Times New Roman"/>
      <w:kern w:val="0"/>
      <w:sz w:val="18"/>
      <w:szCs w:val="18"/>
    </w:rPr>
  </w:style>
  <w:style w:type="paragraph" w:styleId="19">
    <w:name w:val="footer"/>
    <w:basedOn w:val="1"/>
    <w:link w:val="62"/>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5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qFormat/>
    <w:uiPriority w:val="0"/>
    <w:pPr>
      <w:tabs>
        <w:tab w:val="left" w:pos="840"/>
        <w:tab w:val="right" w:leader="dot" w:pos="8210"/>
      </w:tabs>
      <w:jc w:val="left"/>
    </w:pPr>
    <w:rPr>
      <w:rFonts w:ascii="仿宋_GB2312" w:hAnsi="宋体" w:eastAsia="仿宋_GB2312"/>
      <w:b/>
      <w:bCs/>
      <w:caps/>
      <w:sz w:val="32"/>
      <w:szCs w:val="32"/>
    </w:rPr>
  </w:style>
  <w:style w:type="paragraph" w:styleId="22">
    <w:name w:val="table of figures"/>
    <w:basedOn w:val="1"/>
    <w:next w:val="1"/>
    <w:qFormat/>
    <w:uiPriority w:val="0"/>
    <w:pPr>
      <w:adjustRightInd w:val="0"/>
      <w:ind w:left="420" w:hanging="420"/>
      <w:jc w:val="left"/>
      <w:textAlignment w:val="baseline"/>
    </w:pPr>
    <w:rPr>
      <w:rFonts w:ascii="Times New Roman" w:hAnsi="Times New Roman" w:eastAsia="楷体_GB2312"/>
      <w:smallCaps/>
      <w:sz w:val="24"/>
      <w:szCs w:val="20"/>
    </w:rPr>
  </w:style>
  <w:style w:type="paragraph" w:styleId="23">
    <w:name w:val="Body Text 2"/>
    <w:basedOn w:val="1"/>
    <w:link w:val="40"/>
    <w:unhideWhenUsed/>
    <w:qFormat/>
    <w:uiPriority w:val="99"/>
    <w:pPr>
      <w:spacing w:after="120" w:line="480" w:lineRule="auto"/>
    </w:pPr>
    <w:rPr>
      <w:szCs w:val="22"/>
    </w:rPr>
  </w:style>
  <w:style w:type="paragraph" w:styleId="24">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rPr>
      <w:rFonts w:ascii="Times New Roman" w:hAnsi="Times New Roman"/>
    </w:rPr>
  </w:style>
  <w:style w:type="paragraph" w:styleId="27">
    <w:name w:val="Body Text First Indent"/>
    <w:basedOn w:val="12"/>
    <w:link w:val="56"/>
    <w:qFormat/>
    <w:uiPriority w:val="0"/>
    <w:pPr>
      <w:widowControl w:val="0"/>
      <w:spacing w:after="120"/>
      <w:ind w:firstLine="420" w:firstLineChars="100"/>
      <w:jc w:val="both"/>
    </w:pPr>
    <w:rPr>
      <w:kern w:val="2"/>
      <w:sz w:val="21"/>
      <w:szCs w:val="21"/>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Theme"/>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rPr>
  </w:style>
  <w:style w:type="character" w:styleId="33">
    <w:name w:val="page number"/>
    <w:basedOn w:val="31"/>
    <w:qFormat/>
    <w:uiPriority w:val="0"/>
    <w:rPr>
      <w:rFonts w:ascii="Times New Roman" w:hAnsi="Times New Roman" w:eastAsia="宋体" w:cs="Times New Roman"/>
    </w:rPr>
  </w:style>
  <w:style w:type="character" w:styleId="34">
    <w:name w:val="Hyperlink"/>
    <w:qFormat/>
    <w:uiPriority w:val="0"/>
    <w:rPr>
      <w:rFonts w:ascii="Times New Roman" w:hAnsi="Times New Roman" w:eastAsia="宋体" w:cs="Times New Roman"/>
      <w:color w:val="0000FF"/>
      <w:u w:val="single"/>
    </w:rPr>
  </w:style>
  <w:style w:type="character" w:customStyle="1" w:styleId="35">
    <w:name w:val="正文文本缩进 Char"/>
    <w:link w:val="13"/>
    <w:qFormat/>
    <w:uiPriority w:val="0"/>
    <w:rPr>
      <w:rFonts w:ascii="Times New Roman" w:hAnsi="Times New Roman" w:eastAsia="宋体" w:cs="Times New Roman"/>
      <w:szCs w:val="24"/>
    </w:rPr>
  </w:style>
  <w:style w:type="character" w:customStyle="1" w:styleId="36">
    <w:name w:val="称呼 Char"/>
    <w:link w:val="10"/>
    <w:qFormat/>
    <w:uiPriority w:val="0"/>
    <w:rPr>
      <w:rFonts w:ascii="Times New Roman" w:hAnsi="Times New Roman" w:eastAsia="宋体" w:cs="Times New Roman"/>
      <w:szCs w:val="24"/>
    </w:rPr>
  </w:style>
  <w:style w:type="character" w:customStyle="1" w:styleId="37">
    <w:name w:val="正文文本缩进 2 Char"/>
    <w:link w:val="17"/>
    <w:qFormat/>
    <w:uiPriority w:val="0"/>
    <w:rPr>
      <w:rFonts w:ascii="Times New Roman" w:hAnsi="Times New Roman" w:eastAsia="宋体" w:cs="Times New Roman"/>
      <w:b/>
      <w:sz w:val="24"/>
      <w:szCs w:val="24"/>
    </w:rPr>
  </w:style>
  <w:style w:type="character" w:customStyle="1" w:styleId="38">
    <w:name w:val="纯文本 Char1"/>
    <w:qFormat/>
    <w:uiPriority w:val="0"/>
    <w:rPr>
      <w:rFonts w:ascii="宋体" w:hAnsi="Courier New" w:eastAsia="宋体" w:cs="Courier New"/>
      <w:szCs w:val="21"/>
    </w:rPr>
  </w:style>
  <w:style w:type="character" w:customStyle="1" w:styleId="39">
    <w:name w:val="标题 2 Char"/>
    <w:link w:val="4"/>
    <w:qFormat/>
    <w:uiPriority w:val="0"/>
    <w:rPr>
      <w:rFonts w:ascii="Arial" w:hAnsi="Arial" w:eastAsia="黑体" w:cs="Times New Roman"/>
      <w:b/>
      <w:bCs/>
      <w:sz w:val="32"/>
      <w:szCs w:val="32"/>
    </w:rPr>
  </w:style>
  <w:style w:type="character" w:customStyle="1" w:styleId="40">
    <w:name w:val="正文文本 2 Char"/>
    <w:basedOn w:val="31"/>
    <w:link w:val="23"/>
    <w:qFormat/>
    <w:uiPriority w:val="99"/>
    <w:rPr>
      <w:rFonts w:ascii="Calibri" w:hAnsi="Calibri" w:eastAsia="宋体" w:cs="Times New Roman"/>
      <w:kern w:val="2"/>
      <w:sz w:val="21"/>
      <w:szCs w:val="22"/>
    </w:rPr>
  </w:style>
  <w:style w:type="character" w:customStyle="1" w:styleId="41">
    <w:name w:val="标题 3 Char"/>
    <w:link w:val="2"/>
    <w:qFormat/>
    <w:uiPriority w:val="0"/>
    <w:rPr>
      <w:rFonts w:ascii="Times New Roman" w:hAnsi="Times New Roman" w:eastAsia="宋体" w:cs="Times New Roman"/>
      <w:b/>
      <w:bCs/>
      <w:sz w:val="32"/>
      <w:szCs w:val="32"/>
    </w:rPr>
  </w:style>
  <w:style w:type="character" w:customStyle="1" w:styleId="42">
    <w:name w:val="批注框文本 Char"/>
    <w:link w:val="18"/>
    <w:qFormat/>
    <w:uiPriority w:val="99"/>
    <w:rPr>
      <w:rFonts w:ascii="Times New Roman" w:hAnsi="Times New Roman" w:eastAsia="宋体" w:cs="Times New Roman"/>
      <w:sz w:val="18"/>
      <w:szCs w:val="18"/>
    </w:rPr>
  </w:style>
  <w:style w:type="character" w:customStyle="1" w:styleId="43">
    <w:name w:val="标题 1 Char"/>
    <w:link w:val="3"/>
    <w:qFormat/>
    <w:uiPriority w:val="0"/>
    <w:rPr>
      <w:rFonts w:ascii="Times New Roman" w:hAnsi="Times New Roman" w:eastAsia="宋体" w:cs="Times New Roman"/>
      <w:b/>
      <w:bCs/>
      <w:kern w:val="44"/>
      <w:sz w:val="44"/>
      <w:szCs w:val="44"/>
    </w:rPr>
  </w:style>
  <w:style w:type="character" w:customStyle="1" w:styleId="44">
    <w:name w:val="标题 1 字符"/>
    <w:qFormat/>
    <w:uiPriority w:val="9"/>
    <w:rPr>
      <w:rFonts w:ascii="Calibri" w:hAnsi="Calibri" w:eastAsia="宋体" w:cs="Times New Roman"/>
      <w:b/>
      <w:bCs/>
      <w:kern w:val="44"/>
      <w:sz w:val="44"/>
      <w:szCs w:val="44"/>
    </w:rPr>
  </w:style>
  <w:style w:type="character" w:customStyle="1" w:styleId="45">
    <w:name w:val="标题 4 Char"/>
    <w:link w:val="5"/>
    <w:qFormat/>
    <w:uiPriority w:val="0"/>
    <w:rPr>
      <w:rFonts w:ascii="Arial" w:hAnsi="Arial" w:eastAsia="黑体" w:cs="Times New Roman"/>
      <w:b/>
      <w:bCs/>
      <w:sz w:val="28"/>
      <w:szCs w:val="28"/>
    </w:rPr>
  </w:style>
  <w:style w:type="character" w:customStyle="1" w:styleId="46">
    <w:name w:val="Char Char16"/>
    <w:qFormat/>
    <w:uiPriority w:val="0"/>
    <w:rPr>
      <w:rFonts w:ascii="仿宋体" w:hAnsi="Times New Roman" w:eastAsia="仿宋体" w:cs="Times New Roman"/>
      <w:kern w:val="2"/>
      <w:sz w:val="24"/>
      <w:szCs w:val="24"/>
    </w:rPr>
  </w:style>
  <w:style w:type="character" w:customStyle="1" w:styleId="47">
    <w:name w:val="p31"/>
    <w:qFormat/>
    <w:uiPriority w:val="0"/>
    <w:rPr>
      <w:rFonts w:ascii="Times New Roman" w:hAnsi="Times New Roman" w:eastAsia="宋体" w:cs="Times New Roman"/>
      <w:sz w:val="20"/>
      <w:szCs w:val="20"/>
    </w:rPr>
  </w:style>
  <w:style w:type="character" w:customStyle="1" w:styleId="48">
    <w:name w:val="结束语 Char"/>
    <w:link w:val="11"/>
    <w:qFormat/>
    <w:uiPriority w:val="0"/>
    <w:rPr>
      <w:rFonts w:ascii="Times New Roman" w:hAnsi="Times New Roman" w:eastAsia="宋体" w:cs="Times New Roman"/>
      <w:szCs w:val="24"/>
    </w:rPr>
  </w:style>
  <w:style w:type="character" w:customStyle="1" w:styleId="49">
    <w:name w:val="纯文本 Char"/>
    <w:link w:val="15"/>
    <w:qFormat/>
    <w:uiPriority w:val="0"/>
    <w:rPr>
      <w:rFonts w:ascii="宋体" w:hAnsi="Courier New" w:eastAsia="宋体" w:cs="Times New Roman"/>
    </w:rPr>
  </w:style>
  <w:style w:type="character" w:customStyle="1" w:styleId="50">
    <w:name w:val="font01"/>
    <w:basedOn w:val="31"/>
    <w:qFormat/>
    <w:uiPriority w:val="0"/>
    <w:rPr>
      <w:rFonts w:hint="default" w:ascii="仿宋" w:hAnsi="仿宋" w:eastAsia="仿宋" w:cs="仿宋"/>
      <w:color w:val="FF0000"/>
      <w:sz w:val="24"/>
      <w:szCs w:val="24"/>
      <w:u w:val="none"/>
    </w:rPr>
  </w:style>
  <w:style w:type="character" w:customStyle="1" w:styleId="51">
    <w:name w:val="Char Char161"/>
    <w:qFormat/>
    <w:uiPriority w:val="0"/>
    <w:rPr>
      <w:rFonts w:ascii="仿宋体" w:hAnsi="Times New Roman" w:eastAsia="仿宋体" w:cs="Times New Roman"/>
      <w:kern w:val="2"/>
      <w:sz w:val="24"/>
      <w:szCs w:val="24"/>
    </w:rPr>
  </w:style>
  <w:style w:type="character" w:customStyle="1" w:styleId="52">
    <w:name w:val="页眉 Char"/>
    <w:link w:val="20"/>
    <w:qFormat/>
    <w:uiPriority w:val="99"/>
    <w:rPr>
      <w:rFonts w:ascii="Times New Roman" w:hAnsi="Times New Roman" w:eastAsia="宋体" w:cs="Times New Roman"/>
      <w:sz w:val="18"/>
      <w:szCs w:val="18"/>
    </w:rPr>
  </w:style>
  <w:style w:type="character" w:customStyle="1" w:styleId="53">
    <w:name w:val="HTML 预设格式 Char"/>
    <w:link w:val="24"/>
    <w:qFormat/>
    <w:uiPriority w:val="0"/>
    <w:rPr>
      <w:rFonts w:ascii="宋体" w:hAnsi="宋体" w:eastAsia="宋体" w:cs="宋体"/>
      <w:kern w:val="0"/>
      <w:sz w:val="24"/>
      <w:szCs w:val="24"/>
    </w:rPr>
  </w:style>
  <w:style w:type="character" w:customStyle="1" w:styleId="54">
    <w:name w:val="日期 Char1"/>
    <w:qFormat/>
    <w:uiPriority w:val="0"/>
    <w:rPr>
      <w:rFonts w:ascii="Times New Roman" w:hAnsi="Times New Roman" w:eastAsia="宋体" w:cs="Times New Roman"/>
      <w:szCs w:val="24"/>
    </w:rPr>
  </w:style>
  <w:style w:type="character" w:customStyle="1" w:styleId="55">
    <w:name w:val="正文文本缩进 Char1"/>
    <w:qFormat/>
    <w:uiPriority w:val="0"/>
    <w:rPr>
      <w:rFonts w:ascii="Times New Roman" w:hAnsi="Times New Roman" w:eastAsia="宋体" w:cs="Times New Roman"/>
      <w:szCs w:val="24"/>
    </w:rPr>
  </w:style>
  <w:style w:type="character" w:customStyle="1" w:styleId="56">
    <w:name w:val="正文首行缩进 Char"/>
    <w:link w:val="27"/>
    <w:qFormat/>
    <w:uiPriority w:val="0"/>
    <w:rPr>
      <w:rFonts w:ascii="Times New Roman" w:hAnsi="Times New Roman" w:eastAsia="宋体" w:cs="Times New Roman"/>
      <w:kern w:val="2"/>
      <w:sz w:val="21"/>
      <w:szCs w:val="21"/>
      <w:lang w:val="en-US" w:eastAsia="zh-CN" w:bidi="ar-SA"/>
    </w:rPr>
  </w:style>
  <w:style w:type="character" w:customStyle="1" w:styleId="57">
    <w:name w:val="font71"/>
    <w:basedOn w:val="31"/>
    <w:qFormat/>
    <w:uiPriority w:val="0"/>
    <w:rPr>
      <w:rFonts w:hint="default" w:ascii="仿宋" w:hAnsi="仿宋" w:eastAsia="仿宋" w:cs="仿宋"/>
      <w:color w:val="000000"/>
      <w:sz w:val="24"/>
      <w:szCs w:val="24"/>
      <w:u w:val="none"/>
    </w:rPr>
  </w:style>
  <w:style w:type="character" w:customStyle="1" w:styleId="58">
    <w:name w:val="hei"/>
    <w:basedOn w:val="31"/>
    <w:qFormat/>
    <w:uiPriority w:val="0"/>
    <w:rPr>
      <w:rFonts w:ascii="Times New Roman" w:hAnsi="Times New Roman" w:eastAsia="宋体" w:cs="Times New Roman"/>
    </w:rPr>
  </w:style>
  <w:style w:type="character" w:customStyle="1" w:styleId="59">
    <w:name w:val="正文缩进 Char"/>
    <w:basedOn w:val="31"/>
    <w:link w:val="7"/>
    <w:qFormat/>
    <w:uiPriority w:val="0"/>
    <w:rPr>
      <w:rFonts w:ascii="Times New Roman" w:hAnsi="Times New Roman" w:eastAsia="宋体" w:cs="Times New Roman"/>
    </w:rPr>
  </w:style>
  <w:style w:type="character" w:customStyle="1" w:styleId="60">
    <w:name w:val="日期 Char"/>
    <w:link w:val="16"/>
    <w:qFormat/>
    <w:uiPriority w:val="0"/>
    <w:rPr>
      <w:rFonts w:ascii="Times New Roman" w:hAnsi="Times New Roman" w:eastAsia="宋体" w:cs="Times New Roman"/>
      <w:szCs w:val="24"/>
    </w:rPr>
  </w:style>
  <w:style w:type="character" w:customStyle="1" w:styleId="61">
    <w:name w:val="正文缩进 Char1"/>
    <w:qFormat/>
    <w:uiPriority w:val="0"/>
    <w:rPr>
      <w:rFonts w:ascii="Times New Roman" w:hAnsi="Times New Roman" w:eastAsia="宋体" w:cs="Times New Roman"/>
      <w:kern w:val="2"/>
      <w:sz w:val="21"/>
      <w:szCs w:val="24"/>
      <w:lang w:val="en-US" w:eastAsia="zh-CN" w:bidi="ar-SA"/>
    </w:rPr>
  </w:style>
  <w:style w:type="character" w:customStyle="1" w:styleId="62">
    <w:name w:val="页脚 Char"/>
    <w:link w:val="19"/>
    <w:qFormat/>
    <w:uiPriority w:val="99"/>
    <w:rPr>
      <w:rFonts w:ascii="Times New Roman" w:hAnsi="Times New Roman" w:eastAsia="宋体" w:cs="Times New Roman"/>
      <w:sz w:val="18"/>
      <w:szCs w:val="18"/>
    </w:rPr>
  </w:style>
  <w:style w:type="character" w:customStyle="1" w:styleId="63">
    <w:name w:val="正文文本 Char"/>
    <w:link w:val="12"/>
    <w:qFormat/>
    <w:uiPriority w:val="0"/>
    <w:rPr>
      <w:rFonts w:ascii="Times New Roman" w:hAnsi="Times New Roman" w:eastAsia="宋体" w:cs="Times New Roman"/>
      <w:kern w:val="0"/>
      <w:sz w:val="24"/>
      <w:szCs w:val="20"/>
    </w:rPr>
  </w:style>
  <w:style w:type="character" w:customStyle="1" w:styleId="64">
    <w:name w:val="NormalCharacter"/>
    <w:semiHidden/>
    <w:qFormat/>
    <w:uiPriority w:val="99"/>
  </w:style>
  <w:style w:type="paragraph" w:customStyle="1" w:styleId="65">
    <w:name w:val="文档正文"/>
    <w:basedOn w:val="1"/>
    <w:qFormat/>
    <w:uiPriority w:val="0"/>
    <w:pPr>
      <w:adjustRightInd w:val="0"/>
      <w:spacing w:line="480" w:lineRule="atLeast"/>
      <w:ind w:firstLine="567"/>
      <w:textAlignment w:val="baseline"/>
    </w:pPr>
    <w:rPr>
      <w:rFonts w:ascii="仿宋_GB2312" w:hAnsi="Times New Roman" w:eastAsia="仿宋_GB2312"/>
      <w:kern w:val="0"/>
      <w:sz w:val="28"/>
      <w:szCs w:val="20"/>
    </w:rPr>
  </w:style>
  <w:style w:type="paragraph" w:customStyle="1" w:styleId="66">
    <w:name w:val="白皮书 正文"/>
    <w:basedOn w:val="1"/>
    <w:qFormat/>
    <w:uiPriority w:val="0"/>
    <w:pPr>
      <w:spacing w:beforeLines="50" w:afterLines="50"/>
      <w:ind w:firstLine="480" w:firstLineChars="200"/>
    </w:pPr>
    <w:rPr>
      <w:rFonts w:ascii="宋体"/>
      <w:sz w:val="24"/>
      <w:szCs w:val="20"/>
    </w:rPr>
  </w:style>
  <w:style w:type="paragraph" w:customStyle="1" w:styleId="67">
    <w:name w:val="text9"/>
    <w:basedOn w:val="1"/>
    <w:qFormat/>
    <w:uiPriority w:val="0"/>
    <w:pPr>
      <w:widowControl/>
      <w:spacing w:before="100" w:beforeAutospacing="1" w:after="100" w:afterAutospacing="1"/>
      <w:jc w:val="left"/>
    </w:pPr>
    <w:rPr>
      <w:rFonts w:ascii="宋体" w:hAnsi="宋体"/>
      <w:kern w:val="0"/>
      <w:sz w:val="24"/>
    </w:rPr>
  </w:style>
  <w:style w:type="paragraph" w:customStyle="1" w:styleId="68">
    <w:name w:val="采购正文"/>
    <w:qFormat/>
    <w:uiPriority w:val="0"/>
    <w:pPr>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69">
    <w:name w:val="小节标题"/>
    <w:basedOn w:val="1"/>
    <w:next w:val="1"/>
    <w:qFormat/>
    <w:uiPriority w:val="0"/>
    <w:pPr>
      <w:widowControl/>
      <w:spacing w:before="175" w:after="102" w:line="351" w:lineRule="atLeast"/>
      <w:textAlignment w:val="baseline"/>
    </w:pPr>
    <w:rPr>
      <w:rFonts w:ascii="Times New Roman" w:hAnsi="Times New Roman" w:eastAsia="黑体"/>
      <w:color w:val="000000"/>
      <w:kern w:val="0"/>
      <w:szCs w:val="20"/>
      <w:u w:color="000000"/>
    </w:rPr>
  </w:style>
  <w:style w:type="paragraph" w:customStyle="1" w:styleId="70">
    <w:name w:val="z-窗体顶端1"/>
    <w:basedOn w:val="1"/>
    <w:qFormat/>
    <w:uiPriority w:val="0"/>
    <w:pPr>
      <w:ind w:firstLine="420" w:firstLineChars="200"/>
    </w:pPr>
    <w:rPr>
      <w:rFonts w:ascii="Times New Roman" w:hAnsi="Times New Roman"/>
    </w:rPr>
  </w:style>
  <w:style w:type="paragraph" w:customStyle="1" w:styleId="71">
    <w:name w:val="List Paragraph1"/>
    <w:basedOn w:val="1"/>
    <w:qFormat/>
    <w:uiPriority w:val="34"/>
    <w:pPr>
      <w:ind w:firstLine="420" w:firstLineChars="200"/>
    </w:pPr>
  </w:style>
  <w:style w:type="paragraph" w:customStyle="1" w:styleId="72">
    <w:name w:val="默认段落字体 Para Char"/>
    <w:basedOn w:val="1"/>
    <w:qFormat/>
    <w:uiPriority w:val="0"/>
    <w:pPr>
      <w:adjustRightInd w:val="0"/>
      <w:spacing w:line="360" w:lineRule="auto"/>
    </w:pPr>
    <w:rPr>
      <w:rFonts w:ascii="宋体" w:hAnsi="宋体" w:cs="宋体"/>
      <w:kern w:val="0"/>
      <w:sz w:val="24"/>
      <w:szCs w:val="20"/>
    </w:rPr>
  </w:style>
  <w:style w:type="paragraph" w:customStyle="1" w:styleId="73">
    <w:name w:val="纯文本1"/>
    <w:basedOn w:val="1"/>
    <w:qFormat/>
    <w:uiPriority w:val="0"/>
    <w:pPr>
      <w:adjustRightInd w:val="0"/>
      <w:textAlignment w:val="baseline"/>
    </w:pPr>
    <w:rPr>
      <w:rFonts w:ascii="宋体" w:hAnsi="Courier New" w:eastAsia="楷体_GB2312"/>
      <w:sz w:val="26"/>
      <w:szCs w:val="20"/>
    </w:rPr>
  </w:style>
  <w:style w:type="paragraph" w:customStyle="1" w:styleId="74">
    <w:name w:val="默认段落字体 Para Char Char Char Char"/>
    <w:basedOn w:val="1"/>
    <w:qFormat/>
    <w:uiPriority w:val="0"/>
    <w:rPr>
      <w:rFonts w:ascii="Times New Roman" w:hAnsi="Times New Roman"/>
    </w:rPr>
  </w:style>
  <w:style w:type="paragraph" w:customStyle="1" w:styleId="75">
    <w:name w:val="列出段落1"/>
    <w:basedOn w:val="1"/>
    <w:qFormat/>
    <w:uiPriority w:val="34"/>
    <w:pPr>
      <w:ind w:firstLine="420" w:firstLineChars="200"/>
    </w:pPr>
    <w:rPr>
      <w:szCs w:val="22"/>
    </w:rPr>
  </w:style>
  <w:style w:type="paragraph" w:customStyle="1" w:styleId="76">
    <w:name w:val="正文无缩进"/>
    <w:basedOn w:val="1"/>
    <w:qFormat/>
    <w:uiPriority w:val="0"/>
    <w:pPr>
      <w:widowControl/>
      <w:autoSpaceDE w:val="0"/>
      <w:autoSpaceDN w:val="0"/>
      <w:spacing w:line="300" w:lineRule="auto"/>
      <w:textAlignment w:val="bottom"/>
    </w:pPr>
    <w:rPr>
      <w:rFonts w:ascii="Times New Roman" w:hAnsi="Times New Roman" w:eastAsia="楷体_GB2312"/>
      <w:szCs w:val="20"/>
    </w:rPr>
  </w:style>
  <w:style w:type="paragraph" w:customStyle="1" w:styleId="77">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8">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79">
    <w:name w:val="封面字体3"/>
    <w:basedOn w:val="1"/>
    <w:qFormat/>
    <w:uiPriority w:val="0"/>
    <w:pPr>
      <w:spacing w:line="240" w:lineRule="atLeast"/>
    </w:pPr>
    <w:rPr>
      <w:rFonts w:ascii="黑体" w:hAnsi="华文细黑" w:eastAsia="黑体" w:cs="Arial"/>
      <w:bCs/>
      <w:spacing w:val="100"/>
      <w:kern w:val="0"/>
      <w:sz w:val="44"/>
      <w:szCs w:val="28"/>
    </w:rPr>
  </w:style>
  <w:style w:type="paragraph" w:customStyle="1" w:styleId="80">
    <w:name w:val="p0"/>
    <w:basedOn w:val="1"/>
    <w:qFormat/>
    <w:uiPriority w:val="0"/>
    <w:pPr>
      <w:widowControl/>
    </w:pPr>
    <w:rPr>
      <w:rFonts w:ascii="Times New Roman" w:hAnsi="Times New Roman"/>
      <w:kern w:val="0"/>
      <w:szCs w:val="21"/>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82">
    <w:name w:val="List Paragraph"/>
    <w:basedOn w:val="1"/>
    <w:qFormat/>
    <w:uiPriority w:val="99"/>
    <w:pPr>
      <w:ind w:firstLine="420" w:firstLineChars="200"/>
    </w:pPr>
    <w:rPr>
      <w:rFonts w:ascii="Times New Roman" w:hAnsi="Times New Roman"/>
    </w:rPr>
  </w:style>
  <w:style w:type="paragraph" w:customStyle="1" w:styleId="8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4">
    <w:name w:val="纯文本2"/>
    <w:basedOn w:val="1"/>
    <w:qFormat/>
    <w:uiPriority w:val="0"/>
    <w:pPr>
      <w:adjustRightInd w:val="0"/>
      <w:textAlignment w:val="baseline"/>
    </w:pPr>
    <w:rPr>
      <w:rFonts w:ascii="宋体" w:hAnsi="Courier New" w:eastAsia="楷体_GB2312"/>
      <w:sz w:val="26"/>
      <w:szCs w:val="20"/>
    </w:rPr>
  </w:style>
  <w:style w:type="paragraph" w:styleId="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xl36"/>
    <w:basedOn w:val="1"/>
    <w:qFormat/>
    <w:uiPriority w:val="0"/>
    <w:pPr>
      <w:widowControl/>
      <w:spacing w:before="100" w:after="100"/>
      <w:jc w:val="center"/>
    </w:pPr>
    <w:rPr>
      <w:rFonts w:ascii="宋体" w:hAnsi="宋体"/>
      <w:kern w:val="0"/>
      <w:sz w:val="24"/>
      <w:szCs w:val="20"/>
    </w:rPr>
  </w:style>
  <w:style w:type="paragraph" w:customStyle="1" w:styleId="8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88">
    <w:name w:val="样式5"/>
    <w:basedOn w:val="1"/>
    <w:qFormat/>
    <w:uiPriority w:val="0"/>
    <w:pPr>
      <w:ind w:firstLine="425"/>
    </w:pPr>
    <w:rPr>
      <w:sz w:val="24"/>
    </w:rPr>
  </w:style>
  <w:style w:type="paragraph" w:customStyle="1" w:styleId="89">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90">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91">
    <w:name w:val="_Style 5"/>
    <w:basedOn w:val="1"/>
    <w:qFormat/>
    <w:uiPriority w:val="0"/>
    <w:pPr>
      <w:adjustRightInd w:val="0"/>
      <w:spacing w:line="360" w:lineRule="auto"/>
    </w:pPr>
    <w:rPr>
      <w:rFonts w:ascii="宋体" w:hAnsi="宋体" w:cs="宋体"/>
      <w:kern w:val="0"/>
      <w:sz w:val="24"/>
      <w:szCs w:val="20"/>
    </w:rPr>
  </w:style>
  <w:style w:type="paragraph" w:customStyle="1" w:styleId="92">
    <w:name w:val="Char Char5"/>
    <w:basedOn w:val="1"/>
    <w:qFormat/>
    <w:uiPriority w:val="0"/>
    <w:pPr>
      <w:adjustRightInd w:val="0"/>
      <w:spacing w:line="360" w:lineRule="auto"/>
    </w:pPr>
    <w:rPr>
      <w:rFonts w:ascii="宋体" w:hAnsi="宋体" w:cs="宋体"/>
      <w:kern w:val="0"/>
      <w:sz w:val="24"/>
      <w:szCs w:val="20"/>
    </w:rPr>
  </w:style>
  <w:style w:type="paragraph" w:customStyle="1" w:styleId="93">
    <w:name w:val="0"/>
    <w:basedOn w:val="1"/>
    <w:qFormat/>
    <w:uiPriority w:val="0"/>
    <w:pPr>
      <w:widowControl/>
      <w:snapToGrid w:val="0"/>
    </w:pPr>
    <w:rPr>
      <w:rFonts w:ascii="Times New Roman" w:hAnsi="Times New Roman"/>
      <w:kern w:val="0"/>
      <w:szCs w:val="21"/>
    </w:rPr>
  </w:style>
  <w:style w:type="character" w:customStyle="1" w:styleId="94">
    <w:name w:val="font31"/>
    <w:basedOn w:val="31"/>
    <w:qFormat/>
    <w:uiPriority w:val="0"/>
    <w:rPr>
      <w:rFonts w:ascii="Courier New" w:hAnsi="Courier New" w:cs="Courier New"/>
      <w:color w:val="000000"/>
      <w:sz w:val="18"/>
      <w:szCs w:val="18"/>
      <w:u w:val="none"/>
    </w:rPr>
  </w:style>
  <w:style w:type="character" w:customStyle="1" w:styleId="95">
    <w:name w:val="font51"/>
    <w:basedOn w:val="3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08628-0A46-4DF4-9C14-BF7D3E9FE193}">
  <ds:schemaRefs/>
</ds:datastoreItem>
</file>

<file path=docProps/app.xml><?xml version="1.0" encoding="utf-8"?>
<Properties xmlns="http://schemas.openxmlformats.org/officeDocument/2006/extended-properties" xmlns:vt="http://schemas.openxmlformats.org/officeDocument/2006/docPropsVTypes">
  <Template>Normal.dotm</Template>
  <Company>注册单位=China</Company>
  <Pages>62</Pages>
  <Words>6962</Words>
  <Characters>39684</Characters>
  <Lines>330</Lines>
  <Paragraphs>93</Paragraphs>
  <TotalTime>0</TotalTime>
  <ScaleCrop>false</ScaleCrop>
  <LinksUpToDate>false</LinksUpToDate>
  <CharactersWithSpaces>46553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2020-07-09T12:05:00Z</dcterms:created>
  <dc:creator>微软用户</dc:creator>
  <cp:lastModifiedBy>Administrator</cp:lastModifiedBy>
  <cp:lastPrinted>2019-12-13T07:53:00Z</cp:lastPrinted>
  <dcterms:modified xsi:type="dcterms:W3CDTF">2020-09-07T03:26:06Z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